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971" w:rsidRDefault="00174971" w:rsidP="00611217">
      <w:r>
        <w:rPr>
          <w:b/>
          <w:sz w:val="28"/>
          <w:szCs w:val="28"/>
        </w:rPr>
        <w:t>ERASMUS UNIVERSITEIT ROTTERDAM</w:t>
      </w:r>
      <w:r>
        <w:t xml:space="preserve"> </w:t>
      </w:r>
      <w:r>
        <w:tab/>
        <w:t xml:space="preserve">          </w:t>
      </w:r>
      <w:r>
        <w:tab/>
      </w:r>
      <w:r>
        <w:tab/>
        <w:t>Nadruk verboden</w:t>
      </w:r>
    </w:p>
    <w:p w:rsidR="00174971" w:rsidRPr="00611217" w:rsidRDefault="00174971" w:rsidP="00611217">
      <w:pPr>
        <w:rPr>
          <w:b/>
        </w:rPr>
      </w:pPr>
      <w:r>
        <w:rPr>
          <w:b/>
        </w:rPr>
        <w:t>Erasmus School of Economics</w:t>
      </w:r>
    </w:p>
    <w:p w:rsidR="00174971" w:rsidRDefault="00174971" w:rsidP="00611217">
      <w:pPr>
        <w:rPr>
          <w:b/>
        </w:rPr>
      </w:pPr>
      <w:r>
        <w:rPr>
          <w:b/>
        </w:rPr>
        <w:t>Masterscriptie</w:t>
      </w:r>
    </w:p>
    <w:p w:rsidR="00174971" w:rsidRDefault="00174971" w:rsidP="00611217">
      <w:pPr>
        <w:rPr>
          <w:b/>
        </w:rPr>
      </w:pPr>
    </w:p>
    <w:p w:rsidR="00174971" w:rsidRDefault="00174971" w:rsidP="00611217">
      <w:pPr>
        <w:rPr>
          <w:b/>
        </w:rPr>
      </w:pPr>
    </w:p>
    <w:p w:rsidR="00174971" w:rsidRDefault="00174971" w:rsidP="00611217">
      <w:pPr>
        <w:rPr>
          <w:b/>
        </w:rPr>
      </w:pPr>
    </w:p>
    <w:p w:rsidR="00174971" w:rsidRDefault="00174971" w:rsidP="00611217">
      <w:pPr>
        <w:jc w:val="center"/>
        <w:rPr>
          <w:b/>
        </w:rPr>
      </w:pPr>
    </w:p>
    <w:p w:rsidR="00174971" w:rsidRPr="00611217" w:rsidRDefault="00174971" w:rsidP="00611217">
      <w:pPr>
        <w:jc w:val="center"/>
        <w:rPr>
          <w:b/>
          <w:sz w:val="48"/>
          <w:szCs w:val="48"/>
        </w:rPr>
      </w:pPr>
      <w:r>
        <w:rPr>
          <w:b/>
          <w:sz w:val="48"/>
          <w:szCs w:val="48"/>
        </w:rPr>
        <w:t>De ruimte voor de toepassing van f</w:t>
      </w:r>
      <w:r w:rsidRPr="00611217">
        <w:rPr>
          <w:b/>
          <w:sz w:val="48"/>
          <w:szCs w:val="48"/>
        </w:rPr>
        <w:t>raus legis naast artikel 14, lid 4, Wet VPB 1969</w:t>
      </w:r>
    </w:p>
    <w:p w:rsidR="00174971" w:rsidRPr="006B3ADC" w:rsidRDefault="00174971" w:rsidP="00611217">
      <w:pPr>
        <w:jc w:val="center"/>
        <w:rPr>
          <w:sz w:val="28"/>
          <w:szCs w:val="28"/>
        </w:rPr>
      </w:pPr>
      <w:r w:rsidRPr="006B3ADC">
        <w:rPr>
          <w:sz w:val="28"/>
          <w:szCs w:val="28"/>
        </w:rPr>
        <w:t>Studie naar de mogelijkheid tot inroepen van het leerstuk van fraus legis bij oneigenlijk gebruik van de bedrijfsfusiefaciliteit</w:t>
      </w:r>
    </w:p>
    <w:p w:rsidR="00174971" w:rsidRDefault="00174971" w:rsidP="00611217">
      <w:pPr>
        <w:rPr>
          <w:b/>
          <w:sz w:val="28"/>
          <w:szCs w:val="28"/>
        </w:rPr>
      </w:pPr>
    </w:p>
    <w:p w:rsidR="00174971" w:rsidRDefault="00174971" w:rsidP="00611217">
      <w:pPr>
        <w:rPr>
          <w:b/>
          <w:sz w:val="28"/>
          <w:szCs w:val="28"/>
        </w:rPr>
      </w:pPr>
    </w:p>
    <w:p w:rsidR="00174971" w:rsidRDefault="00174971" w:rsidP="00611217">
      <w:pPr>
        <w:rPr>
          <w:b/>
          <w:sz w:val="28"/>
          <w:szCs w:val="28"/>
        </w:rPr>
      </w:pPr>
    </w:p>
    <w:p w:rsidR="00174971" w:rsidRDefault="00174971" w:rsidP="00611217">
      <w:pPr>
        <w:spacing w:after="0"/>
        <w:rPr>
          <w:sz w:val="24"/>
          <w:szCs w:val="24"/>
        </w:rPr>
      </w:pPr>
      <w:r>
        <w:rPr>
          <w:sz w:val="24"/>
          <w:szCs w:val="24"/>
        </w:rPr>
        <w:t>Naam: Harmen Riemens</w:t>
      </w:r>
    </w:p>
    <w:p w:rsidR="00174971" w:rsidRDefault="00174971" w:rsidP="00611217">
      <w:pPr>
        <w:spacing w:after="0"/>
        <w:rPr>
          <w:sz w:val="24"/>
          <w:szCs w:val="24"/>
        </w:rPr>
      </w:pPr>
      <w:r>
        <w:rPr>
          <w:sz w:val="24"/>
          <w:szCs w:val="24"/>
        </w:rPr>
        <w:t>Studentnummer: 289505</w:t>
      </w:r>
    </w:p>
    <w:p w:rsidR="00174971" w:rsidRDefault="00174971" w:rsidP="00611217">
      <w:pPr>
        <w:spacing w:after="0"/>
        <w:rPr>
          <w:sz w:val="24"/>
          <w:szCs w:val="24"/>
        </w:rPr>
      </w:pPr>
      <w:r>
        <w:rPr>
          <w:sz w:val="24"/>
          <w:szCs w:val="24"/>
        </w:rPr>
        <w:t>Begeleider: dr. D.A. Albregtse</w:t>
      </w:r>
    </w:p>
    <w:p w:rsidR="00174971" w:rsidRPr="00611217" w:rsidRDefault="00174971" w:rsidP="00611217">
      <w:pPr>
        <w:spacing w:after="0"/>
        <w:rPr>
          <w:sz w:val="24"/>
          <w:szCs w:val="24"/>
        </w:rPr>
      </w:pPr>
      <w:r>
        <w:rPr>
          <w:sz w:val="24"/>
          <w:szCs w:val="24"/>
        </w:rPr>
        <w:t>Rotterdam, 28 juni 2010</w:t>
      </w:r>
    </w:p>
    <w:p w:rsidR="00174971" w:rsidRDefault="00174971" w:rsidP="00611217">
      <w:pPr>
        <w:spacing w:after="0"/>
        <w:rPr>
          <w:b/>
          <w:bCs/>
          <w:sz w:val="28"/>
          <w:szCs w:val="28"/>
        </w:rPr>
      </w:pPr>
    </w:p>
    <w:p w:rsidR="00174971" w:rsidRDefault="00174971">
      <w:pPr>
        <w:spacing w:after="200" w:line="276" w:lineRule="auto"/>
        <w:rPr>
          <w:b/>
          <w:bCs/>
          <w:sz w:val="28"/>
          <w:szCs w:val="28"/>
        </w:rPr>
      </w:pPr>
      <w:r>
        <w:br w:type="page"/>
      </w:r>
    </w:p>
    <w:p w:rsidR="00174971" w:rsidRDefault="00174971">
      <w:pPr>
        <w:pStyle w:val="TOC1"/>
        <w:rPr>
          <w:rFonts w:ascii="Calibri" w:hAnsi="Calibri"/>
          <w:b w:val="0"/>
          <w:sz w:val="22"/>
          <w:lang w:eastAsia="nl-NL"/>
        </w:rPr>
      </w:pPr>
      <w:r w:rsidRPr="00010276">
        <w:rPr>
          <w:rFonts w:ascii="Calibri" w:hAnsi="Calibri"/>
        </w:rPr>
        <w:fldChar w:fldCharType="begin"/>
      </w:r>
      <w:r w:rsidRPr="00010276">
        <w:rPr>
          <w:rFonts w:ascii="Calibri" w:hAnsi="Calibri"/>
        </w:rPr>
        <w:instrText xml:space="preserve"> TOC \o "1-4" \u </w:instrText>
      </w:r>
      <w:r w:rsidRPr="00010276">
        <w:rPr>
          <w:rFonts w:ascii="Calibri" w:hAnsi="Calibri"/>
        </w:rPr>
        <w:fldChar w:fldCharType="separate"/>
      </w:r>
      <w:r>
        <w:t>Lijst van gebruikte afkortingen</w:t>
      </w:r>
      <w:r>
        <w:tab/>
      </w:r>
      <w:r>
        <w:fldChar w:fldCharType="begin"/>
      </w:r>
      <w:r>
        <w:instrText xml:space="preserve"> PAGEREF _Toc265484786 \h </w:instrText>
      </w:r>
      <w:r>
        <w:fldChar w:fldCharType="separate"/>
      </w:r>
      <w:r>
        <w:t>- 6 -</w:t>
      </w:r>
      <w:r>
        <w:fldChar w:fldCharType="end"/>
      </w:r>
    </w:p>
    <w:p w:rsidR="00174971" w:rsidRDefault="00174971">
      <w:pPr>
        <w:pStyle w:val="TOC1"/>
        <w:rPr>
          <w:rFonts w:ascii="Calibri" w:hAnsi="Calibri"/>
          <w:b w:val="0"/>
          <w:sz w:val="22"/>
          <w:lang w:eastAsia="nl-NL"/>
        </w:rPr>
      </w:pPr>
      <w:r>
        <w:t>1 Inleiding en probleemstelling</w:t>
      </w:r>
      <w:r>
        <w:tab/>
      </w:r>
      <w:r>
        <w:fldChar w:fldCharType="begin"/>
      </w:r>
      <w:r>
        <w:instrText xml:space="preserve"> PAGEREF _Toc265484787 \h </w:instrText>
      </w:r>
      <w:r>
        <w:fldChar w:fldCharType="separate"/>
      </w:r>
      <w:r>
        <w:t>- 7 -</w:t>
      </w:r>
      <w:r>
        <w:fldChar w:fldCharType="end"/>
      </w:r>
    </w:p>
    <w:p w:rsidR="00174971" w:rsidRDefault="00174971">
      <w:pPr>
        <w:pStyle w:val="TOC2"/>
        <w:rPr>
          <w:rFonts w:ascii="Calibri" w:hAnsi="Calibri"/>
          <w:noProof/>
          <w:sz w:val="22"/>
          <w:lang w:val="nl-NL" w:eastAsia="nl-NL"/>
        </w:rPr>
      </w:pPr>
      <w:r w:rsidRPr="001935D1">
        <w:rPr>
          <w:noProof/>
          <w:lang w:val="nl-NL"/>
        </w:rPr>
        <w:t>1.1 Het ontgaan van belasting en de fiscale wapens daartegen</w:t>
      </w:r>
      <w:r w:rsidRPr="001935D1">
        <w:rPr>
          <w:noProof/>
          <w:lang w:val="nl-NL"/>
        </w:rPr>
        <w:tab/>
      </w:r>
      <w:r w:rsidRPr="001935D1">
        <w:rPr>
          <w:noProof/>
          <w:lang w:val="nl-NL"/>
        </w:rPr>
        <w:fldChar w:fldCharType="begin"/>
      </w:r>
      <w:r w:rsidRPr="001935D1">
        <w:rPr>
          <w:noProof/>
          <w:lang w:val="nl-NL"/>
        </w:rPr>
        <w:instrText xml:space="preserve"> PAGEREF _Toc265484788 \h </w:instrText>
      </w:r>
      <w:r>
        <w:rPr>
          <w:noProof/>
        </w:rPr>
      </w:r>
      <w:r w:rsidRPr="001935D1">
        <w:rPr>
          <w:noProof/>
          <w:lang w:val="nl-NL"/>
        </w:rPr>
        <w:fldChar w:fldCharType="separate"/>
      </w:r>
      <w:r>
        <w:rPr>
          <w:noProof/>
          <w:lang w:val="nl-NL"/>
        </w:rPr>
        <w:t>- 7 -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1.2 Het onderwerp van het onderzoek</w:t>
      </w:r>
      <w:r w:rsidRPr="001935D1">
        <w:rPr>
          <w:noProof/>
          <w:lang w:val="nl-NL"/>
        </w:rPr>
        <w:tab/>
      </w:r>
      <w:r w:rsidRPr="001935D1">
        <w:rPr>
          <w:noProof/>
          <w:lang w:val="nl-NL"/>
        </w:rPr>
        <w:fldChar w:fldCharType="begin"/>
      </w:r>
      <w:r w:rsidRPr="001935D1">
        <w:rPr>
          <w:noProof/>
          <w:lang w:val="nl-NL"/>
        </w:rPr>
        <w:instrText xml:space="preserve"> PAGEREF _Toc265484789 \h </w:instrText>
      </w:r>
      <w:r>
        <w:rPr>
          <w:noProof/>
        </w:rPr>
      </w:r>
      <w:r w:rsidRPr="001935D1">
        <w:rPr>
          <w:noProof/>
          <w:lang w:val="nl-NL"/>
        </w:rPr>
        <w:fldChar w:fldCharType="separate"/>
      </w:r>
      <w:r>
        <w:rPr>
          <w:noProof/>
          <w:lang w:val="nl-NL"/>
        </w:rPr>
        <w:t>- 8 -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1.3 Reikwijdte van het onderzoek</w:t>
      </w:r>
      <w:r w:rsidRPr="001935D1">
        <w:rPr>
          <w:noProof/>
          <w:lang w:val="nl-NL"/>
        </w:rPr>
        <w:tab/>
      </w:r>
      <w:r w:rsidRPr="001935D1">
        <w:rPr>
          <w:noProof/>
          <w:lang w:val="nl-NL"/>
        </w:rPr>
        <w:fldChar w:fldCharType="begin"/>
      </w:r>
      <w:r w:rsidRPr="001935D1">
        <w:rPr>
          <w:noProof/>
          <w:lang w:val="nl-NL"/>
        </w:rPr>
        <w:instrText xml:space="preserve"> PAGEREF _Toc265484790 \h </w:instrText>
      </w:r>
      <w:r>
        <w:rPr>
          <w:noProof/>
        </w:rPr>
      </w:r>
      <w:r w:rsidRPr="001935D1">
        <w:rPr>
          <w:noProof/>
          <w:lang w:val="nl-NL"/>
        </w:rPr>
        <w:fldChar w:fldCharType="separate"/>
      </w:r>
      <w:r>
        <w:rPr>
          <w:noProof/>
          <w:lang w:val="nl-NL"/>
        </w:rPr>
        <w:t>- 9 -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1.4 Probleemstelling en toetsingskader</w:t>
      </w:r>
      <w:r w:rsidRPr="001935D1">
        <w:rPr>
          <w:noProof/>
          <w:lang w:val="nl-NL"/>
        </w:rPr>
        <w:tab/>
      </w:r>
      <w:r w:rsidRPr="001935D1">
        <w:rPr>
          <w:noProof/>
          <w:lang w:val="nl-NL"/>
        </w:rPr>
        <w:fldChar w:fldCharType="begin"/>
      </w:r>
      <w:r w:rsidRPr="001935D1">
        <w:rPr>
          <w:noProof/>
          <w:lang w:val="nl-NL"/>
        </w:rPr>
        <w:instrText xml:space="preserve"> PAGEREF _Toc265484791 \h </w:instrText>
      </w:r>
      <w:r>
        <w:rPr>
          <w:noProof/>
        </w:rPr>
      </w:r>
      <w:r w:rsidRPr="001935D1">
        <w:rPr>
          <w:noProof/>
          <w:lang w:val="nl-NL"/>
        </w:rPr>
        <w:fldChar w:fldCharType="separate"/>
      </w:r>
      <w:r>
        <w:rPr>
          <w:noProof/>
          <w:lang w:val="nl-NL"/>
        </w:rPr>
        <w:t>- 10 -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1.5 Opzet van het onderzoek</w:t>
      </w:r>
      <w:r w:rsidRPr="001935D1">
        <w:rPr>
          <w:noProof/>
          <w:lang w:val="nl-NL"/>
        </w:rPr>
        <w:tab/>
      </w:r>
      <w:r w:rsidRPr="001935D1">
        <w:rPr>
          <w:noProof/>
          <w:lang w:val="nl-NL"/>
        </w:rPr>
        <w:fldChar w:fldCharType="begin"/>
      </w:r>
      <w:r w:rsidRPr="001935D1">
        <w:rPr>
          <w:noProof/>
          <w:lang w:val="nl-NL"/>
        </w:rPr>
        <w:instrText xml:space="preserve"> PAGEREF _Toc265484792 \h </w:instrText>
      </w:r>
      <w:r>
        <w:rPr>
          <w:noProof/>
        </w:rPr>
      </w:r>
      <w:r w:rsidRPr="001935D1">
        <w:rPr>
          <w:noProof/>
          <w:lang w:val="nl-NL"/>
        </w:rPr>
        <w:fldChar w:fldCharType="separate"/>
      </w:r>
      <w:r>
        <w:rPr>
          <w:noProof/>
          <w:lang w:val="nl-NL"/>
        </w:rPr>
        <w:t>- 11 -</w:t>
      </w:r>
      <w:r w:rsidRPr="001935D1">
        <w:rPr>
          <w:noProof/>
          <w:lang w:val="nl-NL"/>
        </w:rPr>
        <w:fldChar w:fldCharType="end"/>
      </w:r>
    </w:p>
    <w:p w:rsidR="00174971" w:rsidRDefault="00174971">
      <w:pPr>
        <w:pStyle w:val="TOC1"/>
        <w:rPr>
          <w:rFonts w:ascii="Calibri" w:hAnsi="Calibri"/>
          <w:b w:val="0"/>
          <w:sz w:val="22"/>
          <w:lang w:eastAsia="nl-NL"/>
        </w:rPr>
      </w:pPr>
      <w:r>
        <w:t>2 Het leerstuk van fraus legis</w:t>
      </w:r>
      <w:r>
        <w:tab/>
      </w:r>
      <w:r>
        <w:fldChar w:fldCharType="begin"/>
      </w:r>
      <w:r>
        <w:instrText xml:space="preserve"> PAGEREF _Toc265484793 \h </w:instrText>
      </w:r>
      <w:r>
        <w:fldChar w:fldCharType="separate"/>
      </w:r>
      <w:r>
        <w:t>- 13 -</w:t>
      </w:r>
      <w:r>
        <w:fldChar w:fldCharType="end"/>
      </w:r>
    </w:p>
    <w:p w:rsidR="00174971" w:rsidRDefault="00174971">
      <w:pPr>
        <w:pStyle w:val="TOC2"/>
        <w:rPr>
          <w:rFonts w:ascii="Calibri" w:hAnsi="Calibri"/>
          <w:noProof/>
          <w:sz w:val="22"/>
          <w:lang w:val="nl-NL" w:eastAsia="nl-NL"/>
        </w:rPr>
      </w:pPr>
      <w:r w:rsidRPr="001935D1">
        <w:rPr>
          <w:noProof/>
          <w:lang w:val="nl-NL"/>
        </w:rPr>
        <w:t>2.1 Inleiding</w:t>
      </w:r>
      <w:r w:rsidRPr="001935D1">
        <w:rPr>
          <w:noProof/>
          <w:lang w:val="nl-NL"/>
        </w:rPr>
        <w:tab/>
      </w:r>
      <w:r w:rsidRPr="001935D1">
        <w:rPr>
          <w:noProof/>
          <w:lang w:val="nl-NL"/>
        </w:rPr>
        <w:fldChar w:fldCharType="begin"/>
      </w:r>
      <w:r w:rsidRPr="001935D1">
        <w:rPr>
          <w:noProof/>
          <w:lang w:val="nl-NL"/>
        </w:rPr>
        <w:instrText xml:space="preserve"> PAGEREF _Toc265484794 \h </w:instrText>
      </w:r>
      <w:r>
        <w:rPr>
          <w:noProof/>
        </w:rPr>
      </w:r>
      <w:r w:rsidRPr="001935D1">
        <w:rPr>
          <w:noProof/>
          <w:lang w:val="nl-NL"/>
        </w:rPr>
        <w:fldChar w:fldCharType="separate"/>
      </w:r>
      <w:r>
        <w:rPr>
          <w:noProof/>
          <w:lang w:val="nl-NL"/>
        </w:rPr>
        <w:t>- 13 -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2.2 Het ontstaan van fraus legis tot en met de huidige aanwezigheid</w:t>
      </w:r>
      <w:r w:rsidRPr="001935D1">
        <w:rPr>
          <w:noProof/>
          <w:lang w:val="nl-NL"/>
        </w:rPr>
        <w:tab/>
      </w:r>
      <w:r w:rsidRPr="001935D1">
        <w:rPr>
          <w:noProof/>
          <w:lang w:val="nl-NL"/>
        </w:rPr>
        <w:fldChar w:fldCharType="begin"/>
      </w:r>
      <w:r w:rsidRPr="001935D1">
        <w:rPr>
          <w:noProof/>
          <w:lang w:val="nl-NL"/>
        </w:rPr>
        <w:instrText xml:space="preserve"> PAGEREF _Toc265484795 \h </w:instrText>
      </w:r>
      <w:r>
        <w:rPr>
          <w:noProof/>
        </w:rPr>
      </w:r>
      <w:r w:rsidRPr="001935D1">
        <w:rPr>
          <w:noProof/>
          <w:lang w:val="nl-NL"/>
        </w:rPr>
        <w:fldChar w:fldCharType="separate"/>
      </w:r>
      <w:r>
        <w:rPr>
          <w:noProof/>
          <w:lang w:val="nl-NL"/>
        </w:rPr>
        <w:t>- 14 -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2.2.1 De eerste verschijning in het belastingrecht</w:t>
      </w:r>
      <w:r w:rsidRPr="001935D1">
        <w:rPr>
          <w:noProof/>
          <w:lang w:val="nl-NL"/>
        </w:rPr>
        <w:tab/>
      </w:r>
      <w:r w:rsidRPr="001935D1">
        <w:rPr>
          <w:noProof/>
          <w:lang w:val="nl-NL"/>
        </w:rPr>
        <w:fldChar w:fldCharType="begin"/>
      </w:r>
      <w:r w:rsidRPr="001935D1">
        <w:rPr>
          <w:noProof/>
          <w:lang w:val="nl-NL"/>
        </w:rPr>
        <w:instrText xml:space="preserve"> PAGEREF _Toc265484796 \h </w:instrText>
      </w:r>
      <w:r>
        <w:rPr>
          <w:noProof/>
        </w:rPr>
      </w:r>
      <w:r w:rsidRPr="001935D1">
        <w:rPr>
          <w:noProof/>
          <w:lang w:val="nl-NL"/>
        </w:rPr>
        <w:fldChar w:fldCharType="separate"/>
      </w:r>
      <w:r>
        <w:rPr>
          <w:noProof/>
          <w:lang w:val="nl-NL"/>
        </w:rPr>
        <w:t>- 15 -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2.2.2 Richtige heffing</w:t>
      </w:r>
      <w:r w:rsidRPr="001935D1">
        <w:rPr>
          <w:noProof/>
          <w:lang w:val="nl-NL"/>
        </w:rPr>
        <w:tab/>
      </w:r>
      <w:r w:rsidRPr="001935D1">
        <w:rPr>
          <w:noProof/>
          <w:lang w:val="nl-NL"/>
        </w:rPr>
        <w:fldChar w:fldCharType="begin"/>
      </w:r>
      <w:r w:rsidRPr="001935D1">
        <w:rPr>
          <w:noProof/>
          <w:lang w:val="nl-NL"/>
        </w:rPr>
        <w:instrText xml:space="preserve"> PAGEREF _Toc265484797 \h </w:instrText>
      </w:r>
      <w:r>
        <w:rPr>
          <w:noProof/>
        </w:rPr>
      </w:r>
      <w:r w:rsidRPr="001935D1">
        <w:rPr>
          <w:noProof/>
          <w:lang w:val="nl-NL"/>
        </w:rPr>
        <w:fldChar w:fldCharType="separate"/>
      </w:r>
      <w:r>
        <w:rPr>
          <w:noProof/>
          <w:lang w:val="nl-NL"/>
        </w:rPr>
        <w:t>- 15 -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2.2.3 De verhouding tussen fraus legis en richtige heffing</w:t>
      </w:r>
      <w:r w:rsidRPr="001935D1">
        <w:rPr>
          <w:noProof/>
          <w:lang w:val="nl-NL"/>
        </w:rPr>
        <w:tab/>
      </w:r>
      <w:r w:rsidRPr="001935D1">
        <w:rPr>
          <w:noProof/>
          <w:lang w:val="nl-NL"/>
        </w:rPr>
        <w:fldChar w:fldCharType="begin"/>
      </w:r>
      <w:r w:rsidRPr="001935D1">
        <w:rPr>
          <w:noProof/>
          <w:lang w:val="nl-NL"/>
        </w:rPr>
        <w:instrText xml:space="preserve"> PAGEREF _Toc265484798 \h </w:instrText>
      </w:r>
      <w:r>
        <w:rPr>
          <w:noProof/>
        </w:rPr>
      </w:r>
      <w:r w:rsidRPr="001935D1">
        <w:rPr>
          <w:noProof/>
          <w:lang w:val="nl-NL"/>
        </w:rPr>
        <w:fldChar w:fldCharType="separate"/>
      </w:r>
      <w:r>
        <w:rPr>
          <w:noProof/>
          <w:lang w:val="nl-NL"/>
        </w:rPr>
        <w:t>- 17 -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2.3 Vereisten voor fraus legis</w:t>
      </w:r>
      <w:r w:rsidRPr="001935D1">
        <w:rPr>
          <w:noProof/>
          <w:lang w:val="nl-NL"/>
        </w:rPr>
        <w:tab/>
      </w:r>
      <w:r w:rsidRPr="001935D1">
        <w:rPr>
          <w:noProof/>
          <w:lang w:val="nl-NL"/>
        </w:rPr>
        <w:fldChar w:fldCharType="begin"/>
      </w:r>
      <w:r w:rsidRPr="001935D1">
        <w:rPr>
          <w:noProof/>
          <w:lang w:val="nl-NL"/>
        </w:rPr>
        <w:instrText xml:space="preserve"> PAGEREF _Toc265484799 \h </w:instrText>
      </w:r>
      <w:r>
        <w:rPr>
          <w:noProof/>
        </w:rPr>
      </w:r>
      <w:r w:rsidRPr="001935D1">
        <w:rPr>
          <w:noProof/>
          <w:lang w:val="nl-NL"/>
        </w:rPr>
        <w:fldChar w:fldCharType="separate"/>
      </w:r>
      <w:r>
        <w:rPr>
          <w:noProof/>
          <w:lang w:val="nl-NL"/>
        </w:rPr>
        <w:t>- 20 -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2.3.1 Het normvereiste</w:t>
      </w:r>
      <w:r w:rsidRPr="001935D1">
        <w:rPr>
          <w:noProof/>
          <w:lang w:val="nl-NL"/>
        </w:rPr>
        <w:tab/>
      </w:r>
      <w:r w:rsidRPr="001935D1">
        <w:rPr>
          <w:noProof/>
          <w:lang w:val="nl-NL"/>
        </w:rPr>
        <w:fldChar w:fldCharType="begin"/>
      </w:r>
      <w:r w:rsidRPr="001935D1">
        <w:rPr>
          <w:noProof/>
          <w:lang w:val="nl-NL"/>
        </w:rPr>
        <w:instrText xml:space="preserve"> PAGEREF _Toc265484800 \h </w:instrText>
      </w:r>
      <w:r>
        <w:rPr>
          <w:noProof/>
        </w:rPr>
      </w:r>
      <w:r w:rsidRPr="001935D1">
        <w:rPr>
          <w:noProof/>
          <w:lang w:val="nl-NL"/>
        </w:rPr>
        <w:fldChar w:fldCharType="separate"/>
      </w:r>
      <w:r>
        <w:rPr>
          <w:noProof/>
          <w:lang w:val="nl-NL"/>
        </w:rPr>
        <w:t>- 20 -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2.3.2 Motiefvereiste</w:t>
      </w:r>
      <w:r w:rsidRPr="001935D1">
        <w:rPr>
          <w:noProof/>
          <w:lang w:val="nl-NL"/>
        </w:rPr>
        <w:tab/>
      </w:r>
      <w:r w:rsidRPr="001935D1">
        <w:rPr>
          <w:noProof/>
          <w:lang w:val="nl-NL"/>
        </w:rPr>
        <w:fldChar w:fldCharType="begin"/>
      </w:r>
      <w:r w:rsidRPr="001935D1">
        <w:rPr>
          <w:noProof/>
          <w:lang w:val="nl-NL"/>
        </w:rPr>
        <w:instrText xml:space="preserve"> PAGEREF _Toc265484801 \h </w:instrText>
      </w:r>
      <w:r>
        <w:rPr>
          <w:noProof/>
        </w:rPr>
      </w:r>
      <w:r w:rsidRPr="001935D1">
        <w:rPr>
          <w:noProof/>
          <w:lang w:val="nl-NL"/>
        </w:rPr>
        <w:fldChar w:fldCharType="separate"/>
      </w:r>
      <w:r>
        <w:rPr>
          <w:noProof/>
          <w:lang w:val="nl-NL"/>
        </w:rPr>
        <w:t>- 22 -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2.3.3 Meerwegenleer</w:t>
      </w:r>
      <w:r w:rsidRPr="001935D1">
        <w:rPr>
          <w:noProof/>
          <w:lang w:val="nl-NL"/>
        </w:rPr>
        <w:tab/>
      </w:r>
      <w:r w:rsidRPr="001935D1">
        <w:rPr>
          <w:noProof/>
          <w:lang w:val="nl-NL"/>
        </w:rPr>
        <w:fldChar w:fldCharType="begin"/>
      </w:r>
      <w:r w:rsidRPr="001935D1">
        <w:rPr>
          <w:noProof/>
          <w:lang w:val="nl-NL"/>
        </w:rPr>
        <w:instrText xml:space="preserve"> PAGEREF _Toc265484802 \h </w:instrText>
      </w:r>
      <w:r>
        <w:rPr>
          <w:noProof/>
        </w:rPr>
      </w:r>
      <w:r w:rsidRPr="001935D1">
        <w:rPr>
          <w:noProof/>
          <w:lang w:val="nl-NL"/>
        </w:rPr>
        <w:fldChar w:fldCharType="separate"/>
      </w:r>
      <w:r>
        <w:rPr>
          <w:noProof/>
          <w:lang w:val="nl-NL"/>
        </w:rPr>
        <w:t>- 23 -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2.4 Aanvaarden van ontgaansmogelijkheden door de overheid</w:t>
      </w:r>
      <w:r w:rsidRPr="001935D1">
        <w:rPr>
          <w:noProof/>
          <w:lang w:val="nl-NL"/>
        </w:rPr>
        <w:tab/>
      </w:r>
      <w:r w:rsidRPr="001935D1">
        <w:rPr>
          <w:noProof/>
          <w:lang w:val="nl-NL"/>
        </w:rPr>
        <w:fldChar w:fldCharType="begin"/>
      </w:r>
      <w:r w:rsidRPr="001935D1">
        <w:rPr>
          <w:noProof/>
          <w:lang w:val="nl-NL"/>
        </w:rPr>
        <w:instrText xml:space="preserve"> PAGEREF _Toc265484803 \h </w:instrText>
      </w:r>
      <w:r>
        <w:rPr>
          <w:noProof/>
        </w:rPr>
      </w:r>
      <w:r w:rsidRPr="001935D1">
        <w:rPr>
          <w:noProof/>
          <w:lang w:val="nl-NL"/>
        </w:rPr>
        <w:fldChar w:fldCharType="separate"/>
      </w:r>
      <w:r>
        <w:rPr>
          <w:noProof/>
          <w:lang w:val="nl-NL"/>
        </w:rPr>
        <w:t>- 25 -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2.5 Conclusies</w:t>
      </w:r>
      <w:r w:rsidRPr="001935D1">
        <w:rPr>
          <w:noProof/>
          <w:lang w:val="nl-NL"/>
        </w:rPr>
        <w:tab/>
      </w:r>
      <w:r w:rsidRPr="001935D1">
        <w:rPr>
          <w:noProof/>
          <w:lang w:val="nl-NL"/>
        </w:rPr>
        <w:fldChar w:fldCharType="begin"/>
      </w:r>
      <w:r w:rsidRPr="001935D1">
        <w:rPr>
          <w:noProof/>
          <w:lang w:val="nl-NL"/>
        </w:rPr>
        <w:instrText xml:space="preserve"> PAGEREF _Toc265484804 \h </w:instrText>
      </w:r>
      <w:r>
        <w:rPr>
          <w:noProof/>
        </w:rPr>
      </w:r>
      <w:r w:rsidRPr="001935D1">
        <w:rPr>
          <w:noProof/>
          <w:lang w:val="nl-NL"/>
        </w:rPr>
        <w:fldChar w:fldCharType="separate"/>
      </w:r>
      <w:r>
        <w:rPr>
          <w:noProof/>
          <w:lang w:val="nl-NL"/>
        </w:rPr>
        <w:t>- 27 -</w:t>
      </w:r>
      <w:r w:rsidRPr="001935D1">
        <w:rPr>
          <w:noProof/>
          <w:lang w:val="nl-NL"/>
        </w:rPr>
        <w:fldChar w:fldCharType="end"/>
      </w:r>
    </w:p>
    <w:p w:rsidR="00174971" w:rsidRDefault="00174971">
      <w:pPr>
        <w:pStyle w:val="TOC1"/>
        <w:rPr>
          <w:rFonts w:ascii="Calibri" w:hAnsi="Calibri"/>
          <w:b w:val="0"/>
          <w:sz w:val="22"/>
          <w:lang w:eastAsia="nl-NL"/>
        </w:rPr>
      </w:pPr>
      <w:r>
        <w:t>3 Toepassing van fraus legis bij reparatiewetgeving in de Wet VPB 1969</w:t>
      </w:r>
      <w:r>
        <w:tab/>
      </w:r>
      <w:r>
        <w:fldChar w:fldCharType="begin"/>
      </w:r>
      <w:r>
        <w:instrText xml:space="preserve"> PAGEREF _Toc265484805 \h </w:instrText>
      </w:r>
      <w:r>
        <w:fldChar w:fldCharType="separate"/>
      </w:r>
      <w:r>
        <w:t>- 28 -</w:t>
      </w:r>
      <w:r>
        <w:fldChar w:fldCharType="end"/>
      </w:r>
    </w:p>
    <w:p w:rsidR="00174971" w:rsidRDefault="00174971">
      <w:pPr>
        <w:pStyle w:val="TOC2"/>
        <w:rPr>
          <w:rFonts w:ascii="Calibri" w:hAnsi="Calibri"/>
          <w:noProof/>
          <w:sz w:val="22"/>
          <w:lang w:val="nl-NL" w:eastAsia="nl-NL"/>
        </w:rPr>
      </w:pPr>
      <w:r w:rsidRPr="001935D1">
        <w:rPr>
          <w:noProof/>
          <w:lang w:val="nl-NL"/>
        </w:rPr>
        <w:t>3.1 Inleiding</w:t>
      </w:r>
      <w:r w:rsidRPr="001935D1">
        <w:rPr>
          <w:noProof/>
          <w:lang w:val="nl-NL"/>
        </w:rPr>
        <w:tab/>
      </w:r>
      <w:r w:rsidRPr="001935D1">
        <w:rPr>
          <w:noProof/>
          <w:lang w:val="nl-NL"/>
        </w:rPr>
        <w:fldChar w:fldCharType="begin"/>
      </w:r>
      <w:r w:rsidRPr="001935D1">
        <w:rPr>
          <w:noProof/>
          <w:lang w:val="nl-NL"/>
        </w:rPr>
        <w:instrText xml:space="preserve"> PAGEREF _Toc265484806 \h </w:instrText>
      </w:r>
      <w:r>
        <w:rPr>
          <w:noProof/>
        </w:rPr>
      </w:r>
      <w:r w:rsidRPr="001935D1">
        <w:rPr>
          <w:noProof/>
          <w:lang w:val="nl-NL"/>
        </w:rPr>
        <w:fldChar w:fldCharType="separate"/>
      </w:r>
      <w:r>
        <w:rPr>
          <w:noProof/>
          <w:lang w:val="nl-NL"/>
        </w:rPr>
        <w:t>- 28 -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3.2 Reparatiewetgeving</w:t>
      </w:r>
      <w:r w:rsidRPr="001935D1">
        <w:rPr>
          <w:noProof/>
          <w:lang w:val="nl-NL"/>
        </w:rPr>
        <w:tab/>
      </w:r>
      <w:r w:rsidRPr="001935D1">
        <w:rPr>
          <w:noProof/>
          <w:lang w:val="nl-NL"/>
        </w:rPr>
        <w:fldChar w:fldCharType="begin"/>
      </w:r>
      <w:r w:rsidRPr="001935D1">
        <w:rPr>
          <w:noProof/>
          <w:lang w:val="nl-NL"/>
        </w:rPr>
        <w:instrText xml:space="preserve"> PAGEREF _Toc265484807 \h </w:instrText>
      </w:r>
      <w:r>
        <w:rPr>
          <w:noProof/>
        </w:rPr>
      </w:r>
      <w:r w:rsidRPr="001935D1">
        <w:rPr>
          <w:noProof/>
          <w:lang w:val="nl-NL"/>
        </w:rPr>
        <w:fldChar w:fldCharType="separate"/>
      </w:r>
      <w:r>
        <w:rPr>
          <w:noProof/>
          <w:lang w:val="nl-NL"/>
        </w:rPr>
        <w:t>- 29 -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3.2.1 Interpretatie van de fiscale wetgeving</w:t>
      </w:r>
      <w:r w:rsidRPr="001935D1">
        <w:rPr>
          <w:noProof/>
          <w:lang w:val="nl-NL"/>
        </w:rPr>
        <w:tab/>
      </w:r>
      <w:r w:rsidRPr="001935D1">
        <w:rPr>
          <w:noProof/>
          <w:lang w:val="nl-NL"/>
        </w:rPr>
        <w:fldChar w:fldCharType="begin"/>
      </w:r>
      <w:r w:rsidRPr="001935D1">
        <w:rPr>
          <w:noProof/>
          <w:lang w:val="nl-NL"/>
        </w:rPr>
        <w:instrText xml:space="preserve"> PAGEREF _Toc265484808 \h </w:instrText>
      </w:r>
      <w:r>
        <w:rPr>
          <w:noProof/>
        </w:rPr>
      </w:r>
      <w:r w:rsidRPr="001935D1">
        <w:rPr>
          <w:noProof/>
          <w:lang w:val="nl-NL"/>
        </w:rPr>
        <w:fldChar w:fldCharType="separate"/>
      </w:r>
      <w:r>
        <w:rPr>
          <w:noProof/>
          <w:lang w:val="nl-NL"/>
        </w:rPr>
        <w:t>- 30 -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3.3 Fraus legis en artikel 10a</w:t>
      </w:r>
      <w:r w:rsidRPr="001935D1">
        <w:rPr>
          <w:noProof/>
          <w:lang w:val="nl-NL"/>
        </w:rPr>
        <w:tab/>
      </w:r>
      <w:r w:rsidRPr="001935D1">
        <w:rPr>
          <w:noProof/>
          <w:lang w:val="nl-NL"/>
        </w:rPr>
        <w:fldChar w:fldCharType="begin"/>
      </w:r>
      <w:r w:rsidRPr="001935D1">
        <w:rPr>
          <w:noProof/>
          <w:lang w:val="nl-NL"/>
        </w:rPr>
        <w:instrText xml:space="preserve"> PAGEREF _Toc265484809 \h </w:instrText>
      </w:r>
      <w:r>
        <w:rPr>
          <w:noProof/>
        </w:rPr>
      </w:r>
      <w:r w:rsidRPr="001935D1">
        <w:rPr>
          <w:noProof/>
          <w:lang w:val="nl-NL"/>
        </w:rPr>
        <w:fldChar w:fldCharType="separate"/>
      </w:r>
      <w:r>
        <w:rPr>
          <w:noProof/>
          <w:lang w:val="nl-NL"/>
        </w:rPr>
        <w:t>- 31 -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3.3.1 Inhoud en doel en strekking 10a</w:t>
      </w:r>
      <w:r w:rsidRPr="001935D1">
        <w:rPr>
          <w:noProof/>
          <w:lang w:val="nl-NL"/>
        </w:rPr>
        <w:tab/>
      </w:r>
      <w:r w:rsidRPr="001935D1">
        <w:rPr>
          <w:noProof/>
          <w:lang w:val="nl-NL"/>
        </w:rPr>
        <w:fldChar w:fldCharType="begin"/>
      </w:r>
      <w:r w:rsidRPr="001935D1">
        <w:rPr>
          <w:noProof/>
          <w:lang w:val="nl-NL"/>
        </w:rPr>
        <w:instrText xml:space="preserve"> PAGEREF _Toc265484810 \h </w:instrText>
      </w:r>
      <w:r>
        <w:rPr>
          <w:noProof/>
        </w:rPr>
      </w:r>
      <w:r w:rsidRPr="001935D1">
        <w:rPr>
          <w:noProof/>
          <w:lang w:val="nl-NL"/>
        </w:rPr>
        <w:fldChar w:fldCharType="separate"/>
      </w:r>
      <w:r>
        <w:rPr>
          <w:noProof/>
          <w:lang w:val="nl-NL"/>
        </w:rPr>
        <w:t>- 31 -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3.3.2 Strijd met doel en strekking van artikel 10a Wet VPB 1969</w:t>
      </w:r>
      <w:r w:rsidRPr="001935D1">
        <w:rPr>
          <w:noProof/>
          <w:lang w:val="nl-NL"/>
        </w:rPr>
        <w:tab/>
      </w:r>
      <w:r w:rsidRPr="001935D1">
        <w:rPr>
          <w:noProof/>
          <w:lang w:val="nl-NL"/>
        </w:rPr>
        <w:fldChar w:fldCharType="begin"/>
      </w:r>
      <w:r w:rsidRPr="001935D1">
        <w:rPr>
          <w:noProof/>
          <w:lang w:val="nl-NL"/>
        </w:rPr>
        <w:instrText xml:space="preserve"> PAGEREF _Toc265484811 \h </w:instrText>
      </w:r>
      <w:r>
        <w:rPr>
          <w:noProof/>
        </w:rPr>
      </w:r>
      <w:r w:rsidRPr="001935D1">
        <w:rPr>
          <w:noProof/>
          <w:lang w:val="nl-NL"/>
        </w:rPr>
        <w:fldChar w:fldCharType="separate"/>
      </w:r>
      <w:r>
        <w:rPr>
          <w:noProof/>
          <w:lang w:val="nl-NL"/>
        </w:rPr>
        <w:t>- 33 -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3.3.3 Meerwegenleer en de zakelijkheidstoets van artikel 10a Wet VPB 1969</w:t>
      </w:r>
      <w:r w:rsidRPr="001935D1">
        <w:rPr>
          <w:noProof/>
          <w:lang w:val="nl-NL"/>
        </w:rPr>
        <w:tab/>
      </w:r>
      <w:r w:rsidRPr="001935D1">
        <w:rPr>
          <w:noProof/>
          <w:lang w:val="nl-NL"/>
        </w:rPr>
        <w:fldChar w:fldCharType="begin"/>
      </w:r>
      <w:r w:rsidRPr="001935D1">
        <w:rPr>
          <w:noProof/>
          <w:lang w:val="nl-NL"/>
        </w:rPr>
        <w:instrText xml:space="preserve"> PAGEREF _Toc265484812 \h </w:instrText>
      </w:r>
      <w:r>
        <w:rPr>
          <w:noProof/>
        </w:rPr>
      </w:r>
      <w:r w:rsidRPr="001935D1">
        <w:rPr>
          <w:noProof/>
          <w:lang w:val="nl-NL"/>
        </w:rPr>
        <w:fldChar w:fldCharType="separate"/>
      </w:r>
      <w:r>
        <w:rPr>
          <w:noProof/>
          <w:lang w:val="nl-NL"/>
        </w:rPr>
        <w:t>- 35 -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3.4 Fraus legis en het verbreken van een fiscale eenheid</w:t>
      </w:r>
      <w:r w:rsidRPr="001935D1">
        <w:rPr>
          <w:noProof/>
          <w:lang w:val="nl-NL"/>
        </w:rPr>
        <w:tab/>
      </w:r>
      <w:r w:rsidRPr="001935D1">
        <w:rPr>
          <w:noProof/>
          <w:lang w:val="nl-NL"/>
        </w:rPr>
        <w:fldChar w:fldCharType="begin"/>
      </w:r>
      <w:r w:rsidRPr="001935D1">
        <w:rPr>
          <w:noProof/>
          <w:lang w:val="nl-NL"/>
        </w:rPr>
        <w:instrText xml:space="preserve"> PAGEREF _Toc265484813 \h </w:instrText>
      </w:r>
      <w:r>
        <w:rPr>
          <w:noProof/>
        </w:rPr>
      </w:r>
      <w:r w:rsidRPr="001935D1">
        <w:rPr>
          <w:noProof/>
          <w:lang w:val="nl-NL"/>
        </w:rPr>
        <w:fldChar w:fldCharType="separate"/>
      </w:r>
      <w:r>
        <w:rPr>
          <w:noProof/>
          <w:lang w:val="nl-NL"/>
        </w:rPr>
        <w:t>- 36 -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3.5 Conclusie</w:t>
      </w:r>
      <w:r w:rsidRPr="001935D1">
        <w:rPr>
          <w:noProof/>
          <w:lang w:val="nl-NL"/>
        </w:rPr>
        <w:tab/>
      </w:r>
      <w:r w:rsidRPr="001935D1">
        <w:rPr>
          <w:noProof/>
          <w:lang w:val="nl-NL"/>
        </w:rPr>
        <w:fldChar w:fldCharType="begin"/>
      </w:r>
      <w:r w:rsidRPr="001935D1">
        <w:rPr>
          <w:noProof/>
          <w:lang w:val="nl-NL"/>
        </w:rPr>
        <w:instrText xml:space="preserve"> PAGEREF _Toc265484814 \h </w:instrText>
      </w:r>
      <w:r>
        <w:rPr>
          <w:noProof/>
        </w:rPr>
      </w:r>
      <w:r w:rsidRPr="001935D1">
        <w:rPr>
          <w:noProof/>
          <w:lang w:val="nl-NL"/>
        </w:rPr>
        <w:fldChar w:fldCharType="separate"/>
      </w:r>
      <w:r>
        <w:rPr>
          <w:noProof/>
          <w:lang w:val="nl-NL"/>
        </w:rPr>
        <w:t>- 39 -</w:t>
      </w:r>
      <w:r w:rsidRPr="001935D1">
        <w:rPr>
          <w:noProof/>
          <w:lang w:val="nl-NL"/>
        </w:rPr>
        <w:fldChar w:fldCharType="end"/>
      </w:r>
    </w:p>
    <w:p w:rsidR="00174971" w:rsidRDefault="00174971">
      <w:pPr>
        <w:pStyle w:val="TOC1"/>
        <w:rPr>
          <w:rFonts w:ascii="Calibri" w:hAnsi="Calibri"/>
          <w:b w:val="0"/>
          <w:sz w:val="22"/>
          <w:lang w:eastAsia="nl-NL"/>
        </w:rPr>
      </w:pPr>
      <w:r>
        <w:t>4 De bedrijfsfusiefaciliteit</w:t>
      </w:r>
      <w:r>
        <w:tab/>
      </w:r>
      <w:r>
        <w:fldChar w:fldCharType="begin"/>
      </w:r>
      <w:r>
        <w:instrText xml:space="preserve"> PAGEREF _Toc265484815 \h </w:instrText>
      </w:r>
      <w:r>
        <w:fldChar w:fldCharType="separate"/>
      </w:r>
      <w:r>
        <w:t>- 41 -</w:t>
      </w:r>
      <w:r>
        <w:fldChar w:fldCharType="end"/>
      </w:r>
    </w:p>
    <w:p w:rsidR="00174971" w:rsidRDefault="00174971">
      <w:pPr>
        <w:pStyle w:val="TOC2"/>
        <w:rPr>
          <w:rFonts w:ascii="Calibri" w:hAnsi="Calibri"/>
          <w:noProof/>
          <w:sz w:val="22"/>
          <w:lang w:val="nl-NL" w:eastAsia="nl-NL"/>
        </w:rPr>
      </w:pPr>
      <w:r w:rsidRPr="001935D1">
        <w:rPr>
          <w:noProof/>
          <w:lang w:val="nl-NL"/>
        </w:rPr>
        <w:t>4.1 Inleiding</w:t>
      </w:r>
      <w:r w:rsidRPr="001935D1">
        <w:rPr>
          <w:noProof/>
          <w:lang w:val="nl-NL"/>
        </w:rPr>
        <w:tab/>
      </w:r>
      <w:r w:rsidRPr="001935D1">
        <w:rPr>
          <w:noProof/>
          <w:lang w:val="nl-NL"/>
        </w:rPr>
        <w:fldChar w:fldCharType="begin"/>
      </w:r>
      <w:r w:rsidRPr="001935D1">
        <w:rPr>
          <w:noProof/>
          <w:lang w:val="nl-NL"/>
        </w:rPr>
        <w:instrText xml:space="preserve"> PAGEREF _Toc265484816 \h </w:instrText>
      </w:r>
      <w:r>
        <w:rPr>
          <w:noProof/>
        </w:rPr>
      </w:r>
      <w:r w:rsidRPr="001935D1">
        <w:rPr>
          <w:noProof/>
          <w:lang w:val="nl-NL"/>
        </w:rPr>
        <w:fldChar w:fldCharType="separate"/>
      </w:r>
      <w:r>
        <w:rPr>
          <w:noProof/>
          <w:lang w:val="nl-NL"/>
        </w:rPr>
        <w:t>- 41 -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4.2 Het Leur-Bloem-arrest</w:t>
      </w:r>
      <w:r w:rsidRPr="001935D1">
        <w:rPr>
          <w:noProof/>
          <w:lang w:val="nl-NL"/>
        </w:rPr>
        <w:tab/>
      </w:r>
      <w:r w:rsidRPr="001935D1">
        <w:rPr>
          <w:noProof/>
          <w:lang w:val="nl-NL"/>
        </w:rPr>
        <w:fldChar w:fldCharType="begin"/>
      </w:r>
      <w:r w:rsidRPr="001935D1">
        <w:rPr>
          <w:noProof/>
          <w:lang w:val="nl-NL"/>
        </w:rPr>
        <w:instrText xml:space="preserve"> PAGEREF _Toc265484817 \h </w:instrText>
      </w:r>
      <w:r>
        <w:rPr>
          <w:noProof/>
        </w:rPr>
      </w:r>
      <w:r w:rsidRPr="001935D1">
        <w:rPr>
          <w:noProof/>
          <w:lang w:val="nl-NL"/>
        </w:rPr>
        <w:fldChar w:fldCharType="separate"/>
      </w:r>
      <w:r>
        <w:rPr>
          <w:noProof/>
          <w:lang w:val="nl-NL"/>
        </w:rPr>
        <w:t>- 42 -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4.3 De bedrijfsfusiefaciliteit uit artikel 14 Wet VPB 1969</w:t>
      </w:r>
      <w:r w:rsidRPr="001935D1">
        <w:rPr>
          <w:noProof/>
          <w:lang w:val="nl-NL"/>
        </w:rPr>
        <w:tab/>
      </w:r>
      <w:r w:rsidRPr="001935D1">
        <w:rPr>
          <w:noProof/>
          <w:lang w:val="nl-NL"/>
        </w:rPr>
        <w:fldChar w:fldCharType="begin"/>
      </w:r>
      <w:r w:rsidRPr="001935D1">
        <w:rPr>
          <w:noProof/>
          <w:lang w:val="nl-NL"/>
        </w:rPr>
        <w:instrText xml:space="preserve"> PAGEREF _Toc265484818 \h </w:instrText>
      </w:r>
      <w:r>
        <w:rPr>
          <w:noProof/>
        </w:rPr>
      </w:r>
      <w:r w:rsidRPr="001935D1">
        <w:rPr>
          <w:noProof/>
          <w:lang w:val="nl-NL"/>
        </w:rPr>
        <w:fldChar w:fldCharType="separate"/>
      </w:r>
      <w:r>
        <w:rPr>
          <w:noProof/>
          <w:lang w:val="nl-NL"/>
        </w:rPr>
        <w:t>- 43 -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4.4 De antimisbruikbepaling van artikel 14, lid 4, Wet VPB 1969</w:t>
      </w:r>
      <w:r w:rsidRPr="001935D1">
        <w:rPr>
          <w:noProof/>
          <w:lang w:val="nl-NL"/>
        </w:rPr>
        <w:tab/>
      </w:r>
      <w:r w:rsidRPr="001935D1">
        <w:rPr>
          <w:noProof/>
          <w:lang w:val="nl-NL"/>
        </w:rPr>
        <w:fldChar w:fldCharType="begin"/>
      </w:r>
      <w:r w:rsidRPr="001935D1">
        <w:rPr>
          <w:noProof/>
          <w:lang w:val="nl-NL"/>
        </w:rPr>
        <w:instrText xml:space="preserve"> PAGEREF _Toc265484819 \h </w:instrText>
      </w:r>
      <w:r>
        <w:rPr>
          <w:noProof/>
        </w:rPr>
      </w:r>
      <w:r w:rsidRPr="001935D1">
        <w:rPr>
          <w:noProof/>
          <w:lang w:val="nl-NL"/>
        </w:rPr>
        <w:fldChar w:fldCharType="separate"/>
      </w:r>
      <w:r>
        <w:rPr>
          <w:noProof/>
          <w:lang w:val="nl-NL"/>
        </w:rPr>
        <w:t>- 45 -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4.4.1 Overwegende mate ontgaan of uitstellen van belastingheffing</w:t>
      </w:r>
      <w:r w:rsidRPr="001935D1">
        <w:rPr>
          <w:noProof/>
          <w:lang w:val="nl-NL"/>
        </w:rPr>
        <w:tab/>
      </w:r>
      <w:r w:rsidRPr="001935D1">
        <w:rPr>
          <w:noProof/>
          <w:lang w:val="nl-NL"/>
        </w:rPr>
        <w:fldChar w:fldCharType="begin"/>
      </w:r>
      <w:r w:rsidRPr="001935D1">
        <w:rPr>
          <w:noProof/>
          <w:lang w:val="nl-NL"/>
        </w:rPr>
        <w:instrText xml:space="preserve"> PAGEREF _Toc265484820 \h </w:instrText>
      </w:r>
      <w:r>
        <w:rPr>
          <w:noProof/>
        </w:rPr>
      </w:r>
      <w:r w:rsidRPr="001935D1">
        <w:rPr>
          <w:noProof/>
          <w:lang w:val="nl-NL"/>
        </w:rPr>
        <w:fldChar w:fldCharType="separate"/>
      </w:r>
      <w:r>
        <w:rPr>
          <w:noProof/>
          <w:lang w:val="nl-NL"/>
        </w:rPr>
        <w:t>- 46 -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4.4.2 Geen zakelijke overwegingen of vervreemding binnen drie jaar</w:t>
      </w:r>
      <w:r w:rsidRPr="001935D1">
        <w:rPr>
          <w:noProof/>
          <w:lang w:val="nl-NL"/>
        </w:rPr>
        <w:tab/>
      </w:r>
      <w:r w:rsidRPr="001935D1">
        <w:rPr>
          <w:noProof/>
          <w:lang w:val="nl-NL"/>
        </w:rPr>
        <w:fldChar w:fldCharType="begin"/>
      </w:r>
      <w:r w:rsidRPr="001935D1">
        <w:rPr>
          <w:noProof/>
          <w:lang w:val="nl-NL"/>
        </w:rPr>
        <w:instrText xml:space="preserve"> PAGEREF _Toc265484821 \h </w:instrText>
      </w:r>
      <w:r>
        <w:rPr>
          <w:noProof/>
        </w:rPr>
      </w:r>
      <w:r w:rsidRPr="001935D1">
        <w:rPr>
          <w:noProof/>
          <w:lang w:val="nl-NL"/>
        </w:rPr>
        <w:fldChar w:fldCharType="separate"/>
      </w:r>
      <w:r>
        <w:rPr>
          <w:noProof/>
          <w:lang w:val="nl-NL"/>
        </w:rPr>
        <w:t>- 47 -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4.5 Artikel 15, lid 1, onderdeel a, Fusierichtlijn</w:t>
      </w:r>
      <w:r w:rsidRPr="001935D1">
        <w:rPr>
          <w:noProof/>
          <w:lang w:val="nl-NL"/>
        </w:rPr>
        <w:tab/>
      </w:r>
      <w:r w:rsidRPr="001935D1">
        <w:rPr>
          <w:noProof/>
          <w:lang w:val="nl-NL"/>
        </w:rPr>
        <w:fldChar w:fldCharType="begin"/>
      </w:r>
      <w:r w:rsidRPr="001935D1">
        <w:rPr>
          <w:noProof/>
          <w:lang w:val="nl-NL"/>
        </w:rPr>
        <w:instrText xml:space="preserve"> PAGEREF _Toc265484822 \h </w:instrText>
      </w:r>
      <w:r>
        <w:rPr>
          <w:noProof/>
        </w:rPr>
      </w:r>
      <w:r w:rsidRPr="001935D1">
        <w:rPr>
          <w:noProof/>
          <w:lang w:val="nl-NL"/>
        </w:rPr>
        <w:fldChar w:fldCharType="separate"/>
      </w:r>
      <w:r>
        <w:rPr>
          <w:noProof/>
          <w:lang w:val="nl-NL"/>
        </w:rPr>
        <w:t>- 47 -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4.6 Toetsing van artikel 14, lid 4, Wet VPB 1969 aan artikel 15, lid 1, onderdeel a, Fusierichtlijn</w:t>
      </w:r>
      <w:r w:rsidRPr="001935D1">
        <w:rPr>
          <w:noProof/>
          <w:lang w:val="nl-NL"/>
        </w:rPr>
        <w:tab/>
      </w:r>
      <w:r w:rsidRPr="001935D1">
        <w:rPr>
          <w:noProof/>
          <w:lang w:val="nl-NL"/>
        </w:rPr>
        <w:fldChar w:fldCharType="begin"/>
      </w:r>
      <w:r w:rsidRPr="001935D1">
        <w:rPr>
          <w:noProof/>
          <w:lang w:val="nl-NL"/>
        </w:rPr>
        <w:instrText xml:space="preserve"> PAGEREF _Toc265484823 \h </w:instrText>
      </w:r>
      <w:r>
        <w:rPr>
          <w:noProof/>
        </w:rPr>
      </w:r>
      <w:r w:rsidRPr="001935D1">
        <w:rPr>
          <w:noProof/>
          <w:lang w:val="nl-NL"/>
        </w:rPr>
        <w:fldChar w:fldCharType="separate"/>
      </w:r>
      <w:r>
        <w:rPr>
          <w:noProof/>
          <w:lang w:val="nl-NL"/>
        </w:rPr>
        <w:t>- 49 -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4.7 Toetsing door het Hof van Justitie</w:t>
      </w:r>
      <w:r w:rsidRPr="001935D1">
        <w:rPr>
          <w:noProof/>
          <w:lang w:val="nl-NL"/>
        </w:rPr>
        <w:tab/>
      </w:r>
      <w:r w:rsidRPr="001935D1">
        <w:rPr>
          <w:noProof/>
          <w:lang w:val="nl-NL"/>
        </w:rPr>
        <w:fldChar w:fldCharType="begin"/>
      </w:r>
      <w:r w:rsidRPr="001935D1">
        <w:rPr>
          <w:noProof/>
          <w:lang w:val="nl-NL"/>
        </w:rPr>
        <w:instrText xml:space="preserve"> PAGEREF _Toc265484824 \h </w:instrText>
      </w:r>
      <w:r>
        <w:rPr>
          <w:noProof/>
        </w:rPr>
      </w:r>
      <w:r w:rsidRPr="001935D1">
        <w:rPr>
          <w:noProof/>
          <w:lang w:val="nl-NL"/>
        </w:rPr>
        <w:fldChar w:fldCharType="separate"/>
      </w:r>
      <w:r>
        <w:rPr>
          <w:noProof/>
          <w:lang w:val="nl-NL"/>
        </w:rPr>
        <w:t>- 51 -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4.8 Conclusies</w:t>
      </w:r>
      <w:r w:rsidRPr="001935D1">
        <w:rPr>
          <w:noProof/>
          <w:lang w:val="nl-NL"/>
        </w:rPr>
        <w:tab/>
      </w:r>
      <w:r w:rsidRPr="001935D1">
        <w:rPr>
          <w:noProof/>
          <w:lang w:val="nl-NL"/>
        </w:rPr>
        <w:fldChar w:fldCharType="begin"/>
      </w:r>
      <w:r w:rsidRPr="001935D1">
        <w:rPr>
          <w:noProof/>
          <w:lang w:val="nl-NL"/>
        </w:rPr>
        <w:instrText xml:space="preserve"> PAGEREF _Toc265484825 \h </w:instrText>
      </w:r>
      <w:r>
        <w:rPr>
          <w:noProof/>
        </w:rPr>
      </w:r>
      <w:r w:rsidRPr="001935D1">
        <w:rPr>
          <w:noProof/>
          <w:lang w:val="nl-NL"/>
        </w:rPr>
        <w:fldChar w:fldCharType="separate"/>
      </w:r>
      <w:r>
        <w:rPr>
          <w:noProof/>
          <w:lang w:val="nl-NL"/>
        </w:rPr>
        <w:t>- 53 -</w:t>
      </w:r>
      <w:r w:rsidRPr="001935D1">
        <w:rPr>
          <w:noProof/>
          <w:lang w:val="nl-NL"/>
        </w:rPr>
        <w:fldChar w:fldCharType="end"/>
      </w:r>
    </w:p>
    <w:p w:rsidR="00174971" w:rsidRDefault="00174971">
      <w:pPr>
        <w:pStyle w:val="TOC1"/>
        <w:rPr>
          <w:rFonts w:ascii="Calibri" w:hAnsi="Calibri"/>
          <w:b w:val="0"/>
          <w:sz w:val="22"/>
          <w:lang w:eastAsia="nl-NL"/>
        </w:rPr>
      </w:pPr>
      <w:r>
        <w:t>5 De ruimte voor de toepassing van fraus legis bij bedrijfsfusies</w:t>
      </w:r>
      <w:r>
        <w:tab/>
      </w:r>
      <w:r>
        <w:fldChar w:fldCharType="begin"/>
      </w:r>
      <w:r>
        <w:instrText xml:space="preserve"> PAGEREF _Toc265484826 \h </w:instrText>
      </w:r>
      <w:r>
        <w:fldChar w:fldCharType="separate"/>
      </w:r>
      <w:r>
        <w:t>- 55 -</w:t>
      </w:r>
      <w:r>
        <w:fldChar w:fldCharType="end"/>
      </w:r>
    </w:p>
    <w:p w:rsidR="00174971" w:rsidRDefault="00174971">
      <w:pPr>
        <w:pStyle w:val="TOC2"/>
        <w:rPr>
          <w:rFonts w:ascii="Calibri" w:hAnsi="Calibri"/>
          <w:noProof/>
          <w:sz w:val="22"/>
          <w:lang w:val="nl-NL" w:eastAsia="nl-NL"/>
        </w:rPr>
      </w:pPr>
      <w:r w:rsidRPr="001935D1">
        <w:rPr>
          <w:noProof/>
          <w:lang w:val="nl-NL"/>
        </w:rPr>
        <w:t>5.1 Inleiding</w:t>
      </w:r>
      <w:r w:rsidRPr="001935D1">
        <w:rPr>
          <w:noProof/>
          <w:lang w:val="nl-NL"/>
        </w:rPr>
        <w:tab/>
      </w:r>
      <w:r w:rsidRPr="001935D1">
        <w:rPr>
          <w:noProof/>
          <w:lang w:val="nl-NL"/>
        </w:rPr>
        <w:fldChar w:fldCharType="begin"/>
      </w:r>
      <w:r w:rsidRPr="001935D1">
        <w:rPr>
          <w:noProof/>
          <w:lang w:val="nl-NL"/>
        </w:rPr>
        <w:instrText xml:space="preserve"> PAGEREF _Toc265484827 \h </w:instrText>
      </w:r>
      <w:r>
        <w:rPr>
          <w:noProof/>
        </w:rPr>
      </w:r>
      <w:r w:rsidRPr="001935D1">
        <w:rPr>
          <w:noProof/>
          <w:lang w:val="nl-NL"/>
        </w:rPr>
        <w:fldChar w:fldCharType="separate"/>
      </w:r>
      <w:r>
        <w:rPr>
          <w:noProof/>
          <w:lang w:val="nl-NL"/>
        </w:rPr>
        <w:t>- 55 -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5.2 Verbod tot rechtsmisbruik naast artikel 15, lid 1, onderdeel a, Fusierichtlijn</w:t>
      </w:r>
      <w:r w:rsidRPr="001935D1">
        <w:rPr>
          <w:noProof/>
          <w:lang w:val="nl-NL"/>
        </w:rPr>
        <w:tab/>
      </w:r>
      <w:r w:rsidRPr="001935D1">
        <w:rPr>
          <w:noProof/>
          <w:lang w:val="nl-NL"/>
        </w:rPr>
        <w:fldChar w:fldCharType="begin"/>
      </w:r>
      <w:r w:rsidRPr="001935D1">
        <w:rPr>
          <w:noProof/>
          <w:lang w:val="nl-NL"/>
        </w:rPr>
        <w:instrText xml:space="preserve"> PAGEREF _Toc265484828 \h </w:instrText>
      </w:r>
      <w:r>
        <w:rPr>
          <w:noProof/>
        </w:rPr>
      </w:r>
      <w:r w:rsidRPr="001935D1">
        <w:rPr>
          <w:noProof/>
          <w:lang w:val="nl-NL"/>
        </w:rPr>
        <w:fldChar w:fldCharType="separate"/>
      </w:r>
      <w:r>
        <w:rPr>
          <w:noProof/>
          <w:lang w:val="nl-NL"/>
        </w:rPr>
        <w:t>- 56 -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5.2.1 Het verbod tot rechtsmisbruik als Europees beginsel</w:t>
      </w:r>
      <w:r w:rsidRPr="001935D1">
        <w:rPr>
          <w:noProof/>
          <w:lang w:val="nl-NL"/>
        </w:rPr>
        <w:tab/>
      </w:r>
      <w:r w:rsidRPr="001935D1">
        <w:rPr>
          <w:noProof/>
          <w:lang w:val="nl-NL"/>
        </w:rPr>
        <w:fldChar w:fldCharType="begin"/>
      </w:r>
      <w:r w:rsidRPr="001935D1">
        <w:rPr>
          <w:noProof/>
          <w:lang w:val="nl-NL"/>
        </w:rPr>
        <w:instrText xml:space="preserve"> PAGEREF _Toc265484829 \h </w:instrText>
      </w:r>
      <w:r>
        <w:rPr>
          <w:noProof/>
        </w:rPr>
      </w:r>
      <w:r w:rsidRPr="001935D1">
        <w:rPr>
          <w:noProof/>
          <w:lang w:val="nl-NL"/>
        </w:rPr>
        <w:fldChar w:fldCharType="separate"/>
      </w:r>
      <w:r>
        <w:rPr>
          <w:noProof/>
          <w:lang w:val="nl-NL"/>
        </w:rPr>
        <w:t>- 57 -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5.2.2 Mededeling van de Europese Gemeenschap omtrent antimisbruikbepalingen</w:t>
      </w:r>
      <w:r w:rsidRPr="001935D1">
        <w:rPr>
          <w:noProof/>
          <w:lang w:val="nl-NL"/>
        </w:rPr>
        <w:tab/>
      </w:r>
      <w:r w:rsidRPr="001935D1">
        <w:rPr>
          <w:noProof/>
          <w:lang w:val="nl-NL"/>
        </w:rPr>
        <w:fldChar w:fldCharType="begin"/>
      </w:r>
      <w:r w:rsidRPr="001935D1">
        <w:rPr>
          <w:noProof/>
          <w:lang w:val="nl-NL"/>
        </w:rPr>
        <w:instrText xml:space="preserve"> PAGEREF _Toc265484830 \h </w:instrText>
      </w:r>
      <w:r>
        <w:rPr>
          <w:noProof/>
        </w:rPr>
      </w:r>
      <w:r w:rsidRPr="001935D1">
        <w:rPr>
          <w:noProof/>
          <w:lang w:val="nl-NL"/>
        </w:rPr>
        <w:fldChar w:fldCharType="separate"/>
      </w:r>
      <w:r>
        <w:rPr>
          <w:noProof/>
          <w:lang w:val="nl-NL"/>
        </w:rPr>
        <w:t>- 57 -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5.2.3 Beroep op het verbod tot rechtsmisbruik naast artikel 15, lid 1, onderdeel a, Fusierichtlijn</w:t>
      </w:r>
      <w:r w:rsidRPr="001935D1">
        <w:rPr>
          <w:noProof/>
          <w:lang w:val="nl-NL"/>
        </w:rPr>
        <w:tab/>
      </w:r>
      <w:r w:rsidRPr="001935D1">
        <w:rPr>
          <w:noProof/>
          <w:lang w:val="nl-NL"/>
        </w:rPr>
        <w:fldChar w:fldCharType="begin"/>
      </w:r>
      <w:r w:rsidRPr="001935D1">
        <w:rPr>
          <w:noProof/>
          <w:lang w:val="nl-NL"/>
        </w:rPr>
        <w:instrText xml:space="preserve"> PAGEREF _Toc265484831 \h </w:instrText>
      </w:r>
      <w:r>
        <w:rPr>
          <w:noProof/>
        </w:rPr>
      </w:r>
      <w:r w:rsidRPr="001935D1">
        <w:rPr>
          <w:noProof/>
          <w:lang w:val="nl-NL"/>
        </w:rPr>
        <w:fldChar w:fldCharType="separate"/>
      </w:r>
      <w:r>
        <w:rPr>
          <w:noProof/>
          <w:lang w:val="nl-NL"/>
        </w:rPr>
        <w:t>- 59 -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5.3 Verhouding fraus legis tot het Europese begrip belastingontwijking</w:t>
      </w:r>
      <w:r w:rsidRPr="001935D1">
        <w:rPr>
          <w:noProof/>
          <w:lang w:val="nl-NL"/>
        </w:rPr>
        <w:tab/>
      </w:r>
      <w:r w:rsidRPr="001935D1">
        <w:rPr>
          <w:noProof/>
          <w:lang w:val="nl-NL"/>
        </w:rPr>
        <w:fldChar w:fldCharType="begin"/>
      </w:r>
      <w:r w:rsidRPr="001935D1">
        <w:rPr>
          <w:noProof/>
          <w:lang w:val="nl-NL"/>
        </w:rPr>
        <w:instrText xml:space="preserve"> PAGEREF _Toc265484832 \h </w:instrText>
      </w:r>
      <w:r>
        <w:rPr>
          <w:noProof/>
        </w:rPr>
      </w:r>
      <w:r w:rsidRPr="001935D1">
        <w:rPr>
          <w:noProof/>
          <w:lang w:val="nl-NL"/>
        </w:rPr>
        <w:fldChar w:fldCharType="separate"/>
      </w:r>
      <w:r>
        <w:rPr>
          <w:noProof/>
          <w:lang w:val="nl-NL"/>
        </w:rPr>
        <w:t>- 60 -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5.3.1 Visie van de staatssecretaris van Financiën</w:t>
      </w:r>
      <w:r w:rsidRPr="001935D1">
        <w:rPr>
          <w:noProof/>
          <w:lang w:val="nl-NL"/>
        </w:rPr>
        <w:tab/>
      </w:r>
      <w:r w:rsidRPr="001935D1">
        <w:rPr>
          <w:noProof/>
          <w:lang w:val="nl-NL"/>
        </w:rPr>
        <w:fldChar w:fldCharType="begin"/>
      </w:r>
      <w:r w:rsidRPr="001935D1">
        <w:rPr>
          <w:noProof/>
          <w:lang w:val="nl-NL"/>
        </w:rPr>
        <w:instrText xml:space="preserve"> PAGEREF _Toc265484833 \h </w:instrText>
      </w:r>
      <w:r>
        <w:rPr>
          <w:noProof/>
        </w:rPr>
      </w:r>
      <w:r w:rsidRPr="001935D1">
        <w:rPr>
          <w:noProof/>
          <w:lang w:val="nl-NL"/>
        </w:rPr>
        <w:fldChar w:fldCharType="separate"/>
      </w:r>
      <w:r>
        <w:rPr>
          <w:noProof/>
          <w:lang w:val="nl-NL"/>
        </w:rPr>
        <w:t>- 61 -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5.3.2 Toepassing in de jurisprudentie</w:t>
      </w:r>
      <w:r w:rsidRPr="001935D1">
        <w:rPr>
          <w:noProof/>
          <w:lang w:val="nl-NL"/>
        </w:rPr>
        <w:tab/>
      </w:r>
      <w:r w:rsidRPr="001935D1">
        <w:rPr>
          <w:noProof/>
          <w:lang w:val="nl-NL"/>
        </w:rPr>
        <w:fldChar w:fldCharType="begin"/>
      </w:r>
      <w:r w:rsidRPr="001935D1">
        <w:rPr>
          <w:noProof/>
          <w:lang w:val="nl-NL"/>
        </w:rPr>
        <w:instrText xml:space="preserve"> PAGEREF _Toc265484834 \h </w:instrText>
      </w:r>
      <w:r>
        <w:rPr>
          <w:noProof/>
        </w:rPr>
      </w:r>
      <w:r w:rsidRPr="001935D1">
        <w:rPr>
          <w:noProof/>
          <w:lang w:val="nl-NL"/>
        </w:rPr>
        <w:fldChar w:fldCharType="separate"/>
      </w:r>
      <w:r>
        <w:rPr>
          <w:noProof/>
          <w:lang w:val="nl-NL"/>
        </w:rPr>
        <w:t>- 62 -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5.3.3 De strekking van belastingontwijking vergeleken met de strekking van fraus legis</w:t>
      </w:r>
      <w:r w:rsidRPr="001935D1">
        <w:rPr>
          <w:noProof/>
          <w:lang w:val="nl-NL"/>
        </w:rPr>
        <w:tab/>
      </w:r>
      <w:r w:rsidRPr="001935D1">
        <w:rPr>
          <w:noProof/>
          <w:lang w:val="nl-NL"/>
        </w:rPr>
        <w:fldChar w:fldCharType="begin"/>
      </w:r>
      <w:r w:rsidRPr="001935D1">
        <w:rPr>
          <w:noProof/>
          <w:lang w:val="nl-NL"/>
        </w:rPr>
        <w:instrText xml:space="preserve"> PAGEREF _Toc265484835 \h </w:instrText>
      </w:r>
      <w:r>
        <w:rPr>
          <w:noProof/>
        </w:rPr>
      </w:r>
      <w:r w:rsidRPr="001935D1">
        <w:rPr>
          <w:noProof/>
          <w:lang w:val="nl-NL"/>
        </w:rPr>
        <w:fldChar w:fldCharType="separate"/>
      </w:r>
      <w:r>
        <w:rPr>
          <w:noProof/>
          <w:lang w:val="nl-NL"/>
        </w:rPr>
        <w:t>- 63 -</w:t>
      </w:r>
      <w:r w:rsidRPr="001935D1">
        <w:rPr>
          <w:noProof/>
          <w:lang w:val="nl-NL"/>
        </w:rPr>
        <w:fldChar w:fldCharType="end"/>
      </w:r>
    </w:p>
    <w:p w:rsidR="00174971" w:rsidRDefault="00174971">
      <w:pPr>
        <w:pStyle w:val="TOC4"/>
        <w:tabs>
          <w:tab w:val="right" w:leader="dot" w:pos="9016"/>
        </w:tabs>
        <w:rPr>
          <w:rFonts w:ascii="Calibri" w:hAnsi="Calibri"/>
          <w:noProof/>
          <w:lang w:eastAsia="nl-NL"/>
        </w:rPr>
      </w:pPr>
      <w:r>
        <w:rPr>
          <w:noProof/>
        </w:rPr>
        <w:t>5.3.3.1 Motiefvereiste</w:t>
      </w:r>
      <w:r>
        <w:rPr>
          <w:noProof/>
        </w:rPr>
        <w:tab/>
      </w:r>
      <w:r>
        <w:rPr>
          <w:noProof/>
        </w:rPr>
        <w:fldChar w:fldCharType="begin"/>
      </w:r>
      <w:r>
        <w:rPr>
          <w:noProof/>
        </w:rPr>
        <w:instrText xml:space="preserve"> PAGEREF _Toc265484836 \h </w:instrText>
      </w:r>
      <w:r>
        <w:rPr>
          <w:noProof/>
        </w:rPr>
      </w:r>
      <w:r>
        <w:rPr>
          <w:noProof/>
        </w:rPr>
        <w:fldChar w:fldCharType="separate"/>
      </w:r>
      <w:r>
        <w:rPr>
          <w:noProof/>
        </w:rPr>
        <w:t>- 63 -</w:t>
      </w:r>
      <w:r>
        <w:rPr>
          <w:noProof/>
        </w:rPr>
        <w:fldChar w:fldCharType="end"/>
      </w:r>
    </w:p>
    <w:p w:rsidR="00174971" w:rsidRDefault="00174971">
      <w:pPr>
        <w:pStyle w:val="TOC4"/>
        <w:tabs>
          <w:tab w:val="right" w:leader="dot" w:pos="9016"/>
        </w:tabs>
        <w:rPr>
          <w:rFonts w:ascii="Calibri" w:hAnsi="Calibri"/>
          <w:noProof/>
          <w:lang w:eastAsia="nl-NL"/>
        </w:rPr>
      </w:pPr>
      <w:r>
        <w:rPr>
          <w:noProof/>
        </w:rPr>
        <w:t>5.3.3.2 Normvereiste</w:t>
      </w:r>
      <w:r>
        <w:rPr>
          <w:noProof/>
        </w:rPr>
        <w:tab/>
      </w:r>
      <w:r>
        <w:rPr>
          <w:noProof/>
        </w:rPr>
        <w:fldChar w:fldCharType="begin"/>
      </w:r>
      <w:r>
        <w:rPr>
          <w:noProof/>
        </w:rPr>
        <w:instrText xml:space="preserve"> PAGEREF _Toc265484837 \h </w:instrText>
      </w:r>
      <w:r>
        <w:rPr>
          <w:noProof/>
        </w:rPr>
      </w:r>
      <w:r>
        <w:rPr>
          <w:noProof/>
        </w:rPr>
        <w:fldChar w:fldCharType="separate"/>
      </w:r>
      <w:r>
        <w:rPr>
          <w:noProof/>
        </w:rPr>
        <w:t>- 64 -</w:t>
      </w:r>
      <w:r>
        <w:rPr>
          <w:noProof/>
        </w:rPr>
        <w:fldChar w:fldCharType="end"/>
      </w:r>
    </w:p>
    <w:p w:rsidR="00174971" w:rsidRDefault="00174971">
      <w:pPr>
        <w:pStyle w:val="TOC4"/>
        <w:tabs>
          <w:tab w:val="right" w:leader="dot" w:pos="9016"/>
        </w:tabs>
        <w:rPr>
          <w:rFonts w:ascii="Calibri" w:hAnsi="Calibri"/>
          <w:noProof/>
          <w:lang w:eastAsia="nl-NL"/>
        </w:rPr>
      </w:pPr>
      <w:r>
        <w:rPr>
          <w:noProof/>
        </w:rPr>
        <w:t>5.3.3.3 Verschil in dekking tussen fraus legis en belastingontwijking</w:t>
      </w:r>
      <w:r>
        <w:rPr>
          <w:noProof/>
        </w:rPr>
        <w:tab/>
      </w:r>
      <w:r>
        <w:rPr>
          <w:noProof/>
        </w:rPr>
        <w:fldChar w:fldCharType="begin"/>
      </w:r>
      <w:r>
        <w:rPr>
          <w:noProof/>
        </w:rPr>
        <w:instrText xml:space="preserve"> PAGEREF _Toc265484838 \h </w:instrText>
      </w:r>
      <w:r>
        <w:rPr>
          <w:noProof/>
        </w:rPr>
      </w:r>
      <w:r>
        <w:rPr>
          <w:noProof/>
        </w:rPr>
        <w:fldChar w:fldCharType="separate"/>
      </w:r>
      <w:r>
        <w:rPr>
          <w:noProof/>
        </w:rPr>
        <w:t>- 64 -</w:t>
      </w:r>
      <w:r>
        <w:rPr>
          <w:noProof/>
        </w:rPr>
        <w:fldChar w:fldCharType="end"/>
      </w:r>
    </w:p>
    <w:p w:rsidR="00174971" w:rsidRDefault="00174971">
      <w:pPr>
        <w:pStyle w:val="TOC2"/>
        <w:rPr>
          <w:rFonts w:ascii="Calibri" w:hAnsi="Calibri"/>
          <w:noProof/>
          <w:sz w:val="22"/>
          <w:lang w:val="nl-NL" w:eastAsia="nl-NL"/>
        </w:rPr>
      </w:pPr>
      <w:r w:rsidRPr="001935D1">
        <w:rPr>
          <w:noProof/>
          <w:lang w:val="nl-NL"/>
        </w:rPr>
        <w:t>5.4 Fraus legis naast artikel 14, lid 4, Wet VPB 1969</w:t>
      </w:r>
      <w:r w:rsidRPr="001935D1">
        <w:rPr>
          <w:noProof/>
          <w:lang w:val="nl-NL"/>
        </w:rPr>
        <w:tab/>
      </w:r>
      <w:r w:rsidRPr="001935D1">
        <w:rPr>
          <w:noProof/>
          <w:lang w:val="nl-NL"/>
        </w:rPr>
        <w:fldChar w:fldCharType="begin"/>
      </w:r>
      <w:r w:rsidRPr="001935D1">
        <w:rPr>
          <w:noProof/>
          <w:lang w:val="nl-NL"/>
        </w:rPr>
        <w:instrText xml:space="preserve"> PAGEREF _Toc265484839 \h </w:instrText>
      </w:r>
      <w:r>
        <w:rPr>
          <w:noProof/>
        </w:rPr>
      </w:r>
      <w:r w:rsidRPr="001935D1">
        <w:rPr>
          <w:noProof/>
          <w:lang w:val="nl-NL"/>
        </w:rPr>
        <w:fldChar w:fldCharType="separate"/>
      </w:r>
      <w:r>
        <w:rPr>
          <w:noProof/>
          <w:lang w:val="nl-NL"/>
        </w:rPr>
        <w:t>- 65 -</w:t>
      </w:r>
      <w:r w:rsidRPr="001935D1">
        <w:rPr>
          <w:noProof/>
          <w:lang w:val="nl-NL"/>
        </w:rPr>
        <w:fldChar w:fldCharType="end"/>
      </w:r>
    </w:p>
    <w:p w:rsidR="00174971" w:rsidRDefault="00174971">
      <w:pPr>
        <w:pStyle w:val="TOC3"/>
        <w:rPr>
          <w:rFonts w:ascii="Calibri" w:hAnsi="Calibri"/>
          <w:i/>
          <w:noProof/>
          <w:lang w:val="nl-NL" w:eastAsia="nl-NL"/>
        </w:rPr>
      </w:pPr>
      <w:r w:rsidRPr="001935D1">
        <w:rPr>
          <w:noProof/>
          <w:lang w:val="nl-NL"/>
        </w:rPr>
        <w:t>5.4.1 In overwegende mate uitstellen of ontgaan van belastingheffing versus fraus legis</w:t>
      </w:r>
      <w:r w:rsidRPr="001935D1">
        <w:rPr>
          <w:noProof/>
          <w:lang w:val="nl-NL"/>
        </w:rPr>
        <w:tab/>
      </w:r>
      <w:r w:rsidRPr="001935D1">
        <w:rPr>
          <w:noProof/>
          <w:lang w:val="nl-NL"/>
        </w:rPr>
        <w:fldChar w:fldCharType="begin"/>
      </w:r>
      <w:r w:rsidRPr="001935D1">
        <w:rPr>
          <w:noProof/>
          <w:lang w:val="nl-NL"/>
        </w:rPr>
        <w:instrText xml:space="preserve"> PAGEREF _Toc265484840 \h </w:instrText>
      </w:r>
      <w:r>
        <w:rPr>
          <w:noProof/>
        </w:rPr>
      </w:r>
      <w:r w:rsidRPr="001935D1">
        <w:rPr>
          <w:noProof/>
          <w:lang w:val="nl-NL"/>
        </w:rPr>
        <w:fldChar w:fldCharType="separate"/>
      </w:r>
      <w:r>
        <w:rPr>
          <w:noProof/>
          <w:lang w:val="nl-NL"/>
        </w:rPr>
        <w:t>- 66 -</w:t>
      </w:r>
      <w:r w:rsidRPr="001935D1">
        <w:rPr>
          <w:noProof/>
          <w:lang w:val="nl-NL"/>
        </w:rPr>
        <w:fldChar w:fldCharType="end"/>
      </w:r>
    </w:p>
    <w:p w:rsidR="00174971" w:rsidRDefault="00174971">
      <w:pPr>
        <w:pStyle w:val="TOC4"/>
        <w:tabs>
          <w:tab w:val="right" w:leader="dot" w:pos="9016"/>
        </w:tabs>
        <w:rPr>
          <w:rFonts w:ascii="Calibri" w:hAnsi="Calibri"/>
          <w:noProof/>
          <w:lang w:eastAsia="nl-NL"/>
        </w:rPr>
      </w:pPr>
      <w:r>
        <w:rPr>
          <w:noProof/>
        </w:rPr>
        <w:t>5.4.1.1 Motiefvereiste versus overwegende mate</w:t>
      </w:r>
      <w:r>
        <w:rPr>
          <w:noProof/>
        </w:rPr>
        <w:tab/>
      </w:r>
      <w:r>
        <w:rPr>
          <w:noProof/>
        </w:rPr>
        <w:fldChar w:fldCharType="begin"/>
      </w:r>
      <w:r>
        <w:rPr>
          <w:noProof/>
        </w:rPr>
        <w:instrText xml:space="preserve"> PAGEREF _Toc265484841 \h </w:instrText>
      </w:r>
      <w:r>
        <w:rPr>
          <w:noProof/>
        </w:rPr>
      </w:r>
      <w:r>
        <w:rPr>
          <w:noProof/>
        </w:rPr>
        <w:fldChar w:fldCharType="separate"/>
      </w:r>
      <w:r>
        <w:rPr>
          <w:noProof/>
        </w:rPr>
        <w:t>- 66 -</w:t>
      </w:r>
      <w:r>
        <w:rPr>
          <w:noProof/>
        </w:rPr>
        <w:fldChar w:fldCharType="end"/>
      </w:r>
    </w:p>
    <w:p w:rsidR="00174971" w:rsidRDefault="00174971">
      <w:pPr>
        <w:pStyle w:val="TOC4"/>
        <w:tabs>
          <w:tab w:val="right" w:leader="dot" w:pos="9016"/>
        </w:tabs>
        <w:rPr>
          <w:rFonts w:ascii="Calibri" w:hAnsi="Calibri"/>
          <w:noProof/>
          <w:lang w:eastAsia="nl-NL"/>
        </w:rPr>
      </w:pPr>
      <w:r>
        <w:rPr>
          <w:noProof/>
        </w:rPr>
        <w:t>5.4.1.2 Normvereiste versus uitstellen of ontgaan van belastingheffing</w:t>
      </w:r>
      <w:r>
        <w:rPr>
          <w:noProof/>
        </w:rPr>
        <w:tab/>
      </w:r>
      <w:r>
        <w:rPr>
          <w:noProof/>
        </w:rPr>
        <w:fldChar w:fldCharType="begin"/>
      </w:r>
      <w:r>
        <w:rPr>
          <w:noProof/>
        </w:rPr>
        <w:instrText xml:space="preserve"> PAGEREF _Toc265484842 \h </w:instrText>
      </w:r>
      <w:r>
        <w:rPr>
          <w:noProof/>
        </w:rPr>
      </w:r>
      <w:r>
        <w:rPr>
          <w:noProof/>
        </w:rPr>
        <w:fldChar w:fldCharType="separate"/>
      </w:r>
      <w:r>
        <w:rPr>
          <w:noProof/>
        </w:rPr>
        <w:t>- 66 -</w:t>
      </w:r>
      <w:r>
        <w:rPr>
          <w:noProof/>
        </w:rPr>
        <w:fldChar w:fldCharType="end"/>
      </w:r>
    </w:p>
    <w:p w:rsidR="00174971" w:rsidRDefault="00174971">
      <w:pPr>
        <w:pStyle w:val="TOC4"/>
        <w:tabs>
          <w:tab w:val="right" w:leader="dot" w:pos="9016"/>
        </w:tabs>
        <w:rPr>
          <w:rFonts w:ascii="Calibri" w:hAnsi="Calibri"/>
          <w:noProof/>
          <w:lang w:eastAsia="nl-NL"/>
        </w:rPr>
      </w:pPr>
      <w:r>
        <w:rPr>
          <w:noProof/>
        </w:rPr>
        <w:t>5.4.1.3 Overeenkomstig bereik fraus legis en antimisbruikbepaling</w:t>
      </w:r>
      <w:r>
        <w:rPr>
          <w:noProof/>
        </w:rPr>
        <w:tab/>
      </w:r>
      <w:r>
        <w:rPr>
          <w:noProof/>
        </w:rPr>
        <w:fldChar w:fldCharType="begin"/>
      </w:r>
      <w:r>
        <w:rPr>
          <w:noProof/>
        </w:rPr>
        <w:instrText xml:space="preserve"> PAGEREF _Toc265484843 \h </w:instrText>
      </w:r>
      <w:r>
        <w:rPr>
          <w:noProof/>
        </w:rPr>
      </w:r>
      <w:r>
        <w:rPr>
          <w:noProof/>
        </w:rPr>
        <w:fldChar w:fldCharType="separate"/>
      </w:r>
      <w:r>
        <w:rPr>
          <w:noProof/>
        </w:rPr>
        <w:t>- 68 -</w:t>
      </w:r>
      <w:r>
        <w:rPr>
          <w:noProof/>
        </w:rPr>
        <w:fldChar w:fldCharType="end"/>
      </w:r>
    </w:p>
    <w:p w:rsidR="00174971" w:rsidRDefault="00174971">
      <w:pPr>
        <w:pStyle w:val="TOC3"/>
        <w:rPr>
          <w:rFonts w:ascii="Calibri" w:hAnsi="Calibri"/>
          <w:i/>
          <w:noProof/>
          <w:lang w:val="nl-NL" w:eastAsia="nl-NL"/>
        </w:rPr>
      </w:pPr>
      <w:r w:rsidRPr="001935D1">
        <w:rPr>
          <w:noProof/>
          <w:lang w:val="nl-NL"/>
        </w:rPr>
        <w:t>5.4.2 Meerwegenleer</w:t>
      </w:r>
      <w:r w:rsidRPr="001935D1">
        <w:rPr>
          <w:noProof/>
          <w:lang w:val="nl-NL"/>
        </w:rPr>
        <w:tab/>
      </w:r>
      <w:r w:rsidRPr="001935D1">
        <w:rPr>
          <w:noProof/>
          <w:lang w:val="nl-NL"/>
        </w:rPr>
        <w:fldChar w:fldCharType="begin"/>
      </w:r>
      <w:r w:rsidRPr="001935D1">
        <w:rPr>
          <w:noProof/>
          <w:lang w:val="nl-NL"/>
        </w:rPr>
        <w:instrText xml:space="preserve"> PAGEREF _Toc265484844 \h </w:instrText>
      </w:r>
      <w:r>
        <w:rPr>
          <w:noProof/>
        </w:rPr>
      </w:r>
      <w:r w:rsidRPr="001935D1">
        <w:rPr>
          <w:noProof/>
          <w:lang w:val="nl-NL"/>
        </w:rPr>
        <w:fldChar w:fldCharType="separate"/>
      </w:r>
      <w:r>
        <w:rPr>
          <w:noProof/>
          <w:lang w:val="nl-NL"/>
        </w:rPr>
        <w:t>- 68 -</w:t>
      </w:r>
      <w:r w:rsidRPr="001935D1">
        <w:rPr>
          <w:noProof/>
          <w:lang w:val="nl-NL"/>
        </w:rPr>
        <w:fldChar w:fldCharType="end"/>
      </w:r>
    </w:p>
    <w:p w:rsidR="00174971" w:rsidRDefault="00174971">
      <w:pPr>
        <w:pStyle w:val="TOC4"/>
        <w:tabs>
          <w:tab w:val="right" w:leader="dot" w:pos="9016"/>
        </w:tabs>
        <w:rPr>
          <w:rFonts w:ascii="Calibri" w:hAnsi="Calibri"/>
          <w:noProof/>
          <w:lang w:eastAsia="nl-NL"/>
        </w:rPr>
      </w:pPr>
      <w:r>
        <w:rPr>
          <w:noProof/>
        </w:rPr>
        <w:t>5.4.2.1 Ontwijken van belastingheffing, anders dan Nederlandse vennootschapsbelasting</w:t>
      </w:r>
      <w:r>
        <w:rPr>
          <w:noProof/>
        </w:rPr>
        <w:tab/>
      </w:r>
      <w:r>
        <w:rPr>
          <w:noProof/>
        </w:rPr>
        <w:fldChar w:fldCharType="begin"/>
      </w:r>
      <w:r>
        <w:rPr>
          <w:noProof/>
        </w:rPr>
        <w:instrText xml:space="preserve"> PAGEREF _Toc265484845 \h </w:instrText>
      </w:r>
      <w:r>
        <w:rPr>
          <w:noProof/>
        </w:rPr>
      </w:r>
      <w:r>
        <w:rPr>
          <w:noProof/>
        </w:rPr>
        <w:fldChar w:fldCharType="separate"/>
      </w:r>
      <w:r>
        <w:rPr>
          <w:noProof/>
        </w:rPr>
        <w:t>- 69 -</w:t>
      </w:r>
      <w:r>
        <w:rPr>
          <w:noProof/>
        </w:rPr>
        <w:fldChar w:fldCharType="end"/>
      </w:r>
    </w:p>
    <w:p w:rsidR="00174971" w:rsidRDefault="00174971">
      <w:pPr>
        <w:pStyle w:val="TOC4"/>
        <w:tabs>
          <w:tab w:val="right" w:leader="dot" w:pos="9016"/>
        </w:tabs>
        <w:rPr>
          <w:rFonts w:ascii="Calibri" w:hAnsi="Calibri"/>
          <w:noProof/>
          <w:lang w:eastAsia="nl-NL"/>
        </w:rPr>
      </w:pPr>
      <w:r>
        <w:rPr>
          <w:noProof/>
        </w:rPr>
        <w:t>5.4.2.2 Uitstellen van Nederlandse vennootschapsbelasting</w:t>
      </w:r>
      <w:r>
        <w:rPr>
          <w:noProof/>
        </w:rPr>
        <w:tab/>
      </w:r>
      <w:r>
        <w:rPr>
          <w:noProof/>
        </w:rPr>
        <w:fldChar w:fldCharType="begin"/>
      </w:r>
      <w:r>
        <w:rPr>
          <w:noProof/>
        </w:rPr>
        <w:instrText xml:space="preserve"> PAGEREF _Toc265484846 \h </w:instrText>
      </w:r>
      <w:r>
        <w:rPr>
          <w:noProof/>
        </w:rPr>
      </w:r>
      <w:r>
        <w:rPr>
          <w:noProof/>
        </w:rPr>
        <w:fldChar w:fldCharType="separate"/>
      </w:r>
      <w:r>
        <w:rPr>
          <w:noProof/>
        </w:rPr>
        <w:t>- 70 -</w:t>
      </w:r>
      <w:r>
        <w:rPr>
          <w:noProof/>
        </w:rPr>
        <w:fldChar w:fldCharType="end"/>
      </w:r>
    </w:p>
    <w:p w:rsidR="00174971" w:rsidRDefault="00174971">
      <w:pPr>
        <w:pStyle w:val="TOC4"/>
        <w:tabs>
          <w:tab w:val="right" w:leader="dot" w:pos="9016"/>
        </w:tabs>
        <w:rPr>
          <w:rFonts w:ascii="Calibri" w:hAnsi="Calibri"/>
          <w:noProof/>
          <w:lang w:eastAsia="nl-NL"/>
        </w:rPr>
      </w:pPr>
      <w:r>
        <w:rPr>
          <w:noProof/>
        </w:rPr>
        <w:t>5.4.2.3 Toetsing aan fusierichtlijn door de Hoge Raad</w:t>
      </w:r>
      <w:r>
        <w:rPr>
          <w:noProof/>
        </w:rPr>
        <w:tab/>
      </w:r>
      <w:r>
        <w:rPr>
          <w:noProof/>
        </w:rPr>
        <w:fldChar w:fldCharType="begin"/>
      </w:r>
      <w:r>
        <w:rPr>
          <w:noProof/>
        </w:rPr>
        <w:instrText xml:space="preserve"> PAGEREF _Toc265484847 \h </w:instrText>
      </w:r>
      <w:r>
        <w:rPr>
          <w:noProof/>
        </w:rPr>
      </w:r>
      <w:r>
        <w:rPr>
          <w:noProof/>
        </w:rPr>
        <w:fldChar w:fldCharType="separate"/>
      </w:r>
      <w:r>
        <w:rPr>
          <w:noProof/>
        </w:rPr>
        <w:t>- 71 -</w:t>
      </w:r>
      <w:r>
        <w:rPr>
          <w:noProof/>
        </w:rPr>
        <w:fldChar w:fldCharType="end"/>
      </w:r>
    </w:p>
    <w:p w:rsidR="00174971" w:rsidRDefault="00174971">
      <w:pPr>
        <w:pStyle w:val="TOC3"/>
        <w:rPr>
          <w:rFonts w:ascii="Calibri" w:hAnsi="Calibri"/>
          <w:i/>
          <w:noProof/>
          <w:lang w:val="nl-NL" w:eastAsia="nl-NL"/>
        </w:rPr>
      </w:pPr>
      <w:r w:rsidRPr="001935D1">
        <w:rPr>
          <w:noProof/>
          <w:lang w:val="nl-NL"/>
        </w:rPr>
        <w:t>5.4.3 De intentie van de wetgever voor artikel 14, lid 4, Wet VPB 1969</w:t>
      </w:r>
      <w:r w:rsidRPr="001935D1">
        <w:rPr>
          <w:noProof/>
          <w:lang w:val="nl-NL"/>
        </w:rPr>
        <w:tab/>
      </w:r>
      <w:r w:rsidRPr="001935D1">
        <w:rPr>
          <w:noProof/>
          <w:lang w:val="nl-NL"/>
        </w:rPr>
        <w:fldChar w:fldCharType="begin"/>
      </w:r>
      <w:r w:rsidRPr="001935D1">
        <w:rPr>
          <w:noProof/>
          <w:lang w:val="nl-NL"/>
        </w:rPr>
        <w:instrText xml:space="preserve"> PAGEREF _Toc265484848 \h </w:instrText>
      </w:r>
      <w:r>
        <w:rPr>
          <w:noProof/>
        </w:rPr>
      </w:r>
      <w:r w:rsidRPr="001935D1">
        <w:rPr>
          <w:noProof/>
          <w:lang w:val="nl-NL"/>
        </w:rPr>
        <w:fldChar w:fldCharType="separate"/>
      </w:r>
      <w:r>
        <w:rPr>
          <w:noProof/>
          <w:lang w:val="nl-NL"/>
        </w:rPr>
        <w:t>- 72 -</w:t>
      </w:r>
      <w:r w:rsidRPr="001935D1">
        <w:rPr>
          <w:noProof/>
          <w:lang w:val="nl-NL"/>
        </w:rPr>
        <w:fldChar w:fldCharType="end"/>
      </w:r>
    </w:p>
    <w:p w:rsidR="00174971" w:rsidRDefault="00174971">
      <w:pPr>
        <w:pStyle w:val="TOC2"/>
        <w:rPr>
          <w:rFonts w:ascii="Calibri" w:hAnsi="Calibri"/>
          <w:noProof/>
          <w:sz w:val="22"/>
          <w:lang w:val="nl-NL" w:eastAsia="nl-NL"/>
        </w:rPr>
      </w:pPr>
      <w:r w:rsidRPr="001935D1">
        <w:rPr>
          <w:noProof/>
          <w:lang w:val="nl-NL"/>
        </w:rPr>
        <w:t>5.5 Conclusie</w:t>
      </w:r>
      <w:r w:rsidRPr="001935D1">
        <w:rPr>
          <w:noProof/>
          <w:lang w:val="nl-NL"/>
        </w:rPr>
        <w:tab/>
      </w:r>
      <w:r w:rsidRPr="001935D1">
        <w:rPr>
          <w:noProof/>
          <w:lang w:val="nl-NL"/>
        </w:rPr>
        <w:fldChar w:fldCharType="begin"/>
      </w:r>
      <w:r w:rsidRPr="001935D1">
        <w:rPr>
          <w:noProof/>
          <w:lang w:val="nl-NL"/>
        </w:rPr>
        <w:instrText xml:space="preserve"> PAGEREF _Toc265484849 \h </w:instrText>
      </w:r>
      <w:r>
        <w:rPr>
          <w:noProof/>
        </w:rPr>
      </w:r>
      <w:r w:rsidRPr="001935D1">
        <w:rPr>
          <w:noProof/>
          <w:lang w:val="nl-NL"/>
        </w:rPr>
        <w:fldChar w:fldCharType="separate"/>
      </w:r>
      <w:r>
        <w:rPr>
          <w:noProof/>
          <w:lang w:val="nl-NL"/>
        </w:rPr>
        <w:t>- 74 -</w:t>
      </w:r>
      <w:r w:rsidRPr="001935D1">
        <w:rPr>
          <w:noProof/>
          <w:lang w:val="nl-NL"/>
        </w:rPr>
        <w:fldChar w:fldCharType="end"/>
      </w:r>
    </w:p>
    <w:p w:rsidR="00174971" w:rsidRDefault="00174971">
      <w:pPr>
        <w:pStyle w:val="TOC1"/>
        <w:rPr>
          <w:rFonts w:ascii="Calibri" w:hAnsi="Calibri"/>
          <w:b w:val="0"/>
          <w:sz w:val="22"/>
          <w:lang w:eastAsia="nl-NL"/>
        </w:rPr>
      </w:pPr>
      <w:r>
        <w:t>6 Samenvatting en conclusie</w:t>
      </w:r>
      <w:r>
        <w:tab/>
      </w:r>
      <w:r>
        <w:fldChar w:fldCharType="begin"/>
      </w:r>
      <w:r>
        <w:instrText xml:space="preserve"> PAGEREF _Toc265484850 \h </w:instrText>
      </w:r>
      <w:r>
        <w:fldChar w:fldCharType="separate"/>
      </w:r>
      <w:r>
        <w:t>- 77 -</w:t>
      </w:r>
      <w:r>
        <w:fldChar w:fldCharType="end"/>
      </w:r>
    </w:p>
    <w:p w:rsidR="00174971" w:rsidRDefault="00174971">
      <w:pPr>
        <w:pStyle w:val="TOC1"/>
        <w:rPr>
          <w:rFonts w:ascii="Calibri" w:hAnsi="Calibri"/>
          <w:b w:val="0"/>
          <w:sz w:val="22"/>
          <w:lang w:eastAsia="nl-NL"/>
        </w:rPr>
      </w:pPr>
      <w:r>
        <w:t>Literatuurlijst</w:t>
      </w:r>
      <w:r>
        <w:tab/>
      </w:r>
      <w:r>
        <w:fldChar w:fldCharType="begin"/>
      </w:r>
      <w:r>
        <w:instrText xml:space="preserve"> PAGEREF _Toc265484851 \h </w:instrText>
      </w:r>
      <w:r>
        <w:fldChar w:fldCharType="separate"/>
      </w:r>
      <w:r>
        <w:t>- 82 -</w:t>
      </w:r>
      <w:r>
        <w:fldChar w:fldCharType="end"/>
      </w:r>
    </w:p>
    <w:p w:rsidR="00174971" w:rsidRDefault="00174971">
      <w:pPr>
        <w:pStyle w:val="TOC1"/>
        <w:rPr>
          <w:rFonts w:ascii="Calibri" w:hAnsi="Calibri"/>
          <w:b w:val="0"/>
          <w:sz w:val="22"/>
          <w:lang w:eastAsia="nl-NL"/>
        </w:rPr>
      </w:pPr>
      <w:r w:rsidRPr="00474C51">
        <w:rPr>
          <w:lang w:eastAsia="nl-NL"/>
        </w:rPr>
        <w:t>Bijlage I</w:t>
      </w:r>
      <w:r>
        <w:tab/>
      </w:r>
      <w:r>
        <w:fldChar w:fldCharType="begin"/>
      </w:r>
      <w:r>
        <w:instrText xml:space="preserve"> PAGEREF _Toc265484852 \h </w:instrText>
      </w:r>
      <w:r>
        <w:fldChar w:fldCharType="separate"/>
      </w:r>
      <w:r>
        <w:t>- 88 -</w:t>
      </w:r>
      <w:r>
        <w:fldChar w:fldCharType="end"/>
      </w:r>
    </w:p>
    <w:p w:rsidR="00174971" w:rsidRDefault="00174971">
      <w:r w:rsidRPr="00010276">
        <w:rPr>
          <w:rFonts w:ascii="Calibri" w:hAnsi="Calibri"/>
        </w:rPr>
        <w:fldChar w:fldCharType="end"/>
      </w:r>
    </w:p>
    <w:p w:rsidR="00174971" w:rsidRDefault="00174971">
      <w:pPr>
        <w:spacing w:after="200" w:line="276" w:lineRule="auto"/>
        <w:rPr>
          <w:b/>
          <w:bCs/>
          <w:sz w:val="28"/>
          <w:szCs w:val="28"/>
        </w:rPr>
      </w:pPr>
      <w:r>
        <w:br w:type="page"/>
      </w:r>
    </w:p>
    <w:p w:rsidR="00174971" w:rsidRDefault="00174971" w:rsidP="00B169A1">
      <w:pPr>
        <w:pStyle w:val="Heading1"/>
      </w:pPr>
      <w:bookmarkStart w:id="0" w:name="_Toc265484786"/>
      <w:r>
        <w:t>Lijst van gebruikte afkortingen</w:t>
      </w:r>
      <w:bookmarkEnd w:id="0"/>
    </w:p>
    <w:p w:rsidR="00174971" w:rsidRPr="00640DDB" w:rsidRDefault="00174971" w:rsidP="00B169A1">
      <w:pPr>
        <w:spacing w:after="0"/>
      </w:pPr>
      <w:r w:rsidRPr="00640DDB">
        <w:t xml:space="preserve">A-G </w:t>
      </w:r>
      <w:r w:rsidRPr="00640DDB">
        <w:tab/>
      </w:r>
      <w:r w:rsidRPr="00640DDB">
        <w:tab/>
      </w:r>
      <w:r w:rsidRPr="00640DDB">
        <w:tab/>
        <w:t>Advocaat-generaal</w:t>
      </w:r>
    </w:p>
    <w:p w:rsidR="00174971" w:rsidRDefault="00174971" w:rsidP="00B169A1">
      <w:pPr>
        <w:spacing w:after="0"/>
      </w:pPr>
      <w:r w:rsidRPr="00640DDB">
        <w:t xml:space="preserve">Art. </w:t>
      </w:r>
      <w:r w:rsidRPr="00640DDB">
        <w:tab/>
      </w:r>
      <w:r w:rsidRPr="00640DDB">
        <w:tab/>
      </w:r>
      <w:r w:rsidRPr="00640DDB">
        <w:tab/>
      </w:r>
      <w:r>
        <w:t>Artikel</w:t>
      </w:r>
    </w:p>
    <w:p w:rsidR="00174971" w:rsidRDefault="00174971" w:rsidP="00B169A1">
      <w:pPr>
        <w:spacing w:after="0"/>
      </w:pPr>
      <w:r>
        <w:t>AWR</w:t>
      </w:r>
      <w:r>
        <w:tab/>
      </w:r>
      <w:r>
        <w:tab/>
      </w:r>
      <w:r>
        <w:tab/>
        <w:t>Algemene Wet inzake Rijksbelastingen</w:t>
      </w:r>
    </w:p>
    <w:p w:rsidR="00174971" w:rsidRDefault="00174971" w:rsidP="00B169A1">
      <w:pPr>
        <w:spacing w:after="0"/>
      </w:pPr>
      <w:r>
        <w:t>Besluit VPB 1942</w:t>
      </w:r>
      <w:r>
        <w:tab/>
        <w:t>Besluit op de vennootschapsbelasting 1942</w:t>
      </w:r>
    </w:p>
    <w:p w:rsidR="00174971" w:rsidRDefault="00174971" w:rsidP="00B169A1">
      <w:pPr>
        <w:spacing w:after="0"/>
      </w:pPr>
      <w:r>
        <w:t xml:space="preserve">BNB </w:t>
      </w:r>
      <w:r>
        <w:tab/>
      </w:r>
      <w:r>
        <w:tab/>
      </w:r>
      <w:r>
        <w:tab/>
        <w:t>Beslissingen in belastingzaken</w:t>
      </w:r>
    </w:p>
    <w:p w:rsidR="00174971" w:rsidRDefault="00174971" w:rsidP="00B169A1">
      <w:pPr>
        <w:spacing w:after="0"/>
      </w:pPr>
      <w:r>
        <w:t>BV</w:t>
      </w:r>
      <w:r>
        <w:tab/>
      </w:r>
      <w:r>
        <w:tab/>
      </w:r>
      <w:r>
        <w:tab/>
        <w:t>Besloten vennootschap</w:t>
      </w:r>
    </w:p>
    <w:p w:rsidR="00174971" w:rsidRDefault="00174971" w:rsidP="00B169A1">
      <w:pPr>
        <w:spacing w:after="0"/>
      </w:pPr>
      <w:r>
        <w:t>EC</w:t>
      </w:r>
      <w:r>
        <w:tab/>
      </w:r>
      <w:r>
        <w:tab/>
      </w:r>
      <w:r>
        <w:tab/>
        <w:t>Europese Commissie</w:t>
      </w:r>
    </w:p>
    <w:p w:rsidR="00174971" w:rsidRDefault="00174971" w:rsidP="00B169A1">
      <w:pPr>
        <w:spacing w:after="0"/>
      </w:pPr>
      <w:r>
        <w:t>EEG</w:t>
      </w:r>
      <w:r>
        <w:tab/>
      </w:r>
      <w:r>
        <w:tab/>
      </w:r>
      <w:r>
        <w:tab/>
        <w:t>Europese Economische Gemeenschap</w:t>
      </w:r>
    </w:p>
    <w:p w:rsidR="00174971" w:rsidRDefault="00174971" w:rsidP="00B169A1">
      <w:pPr>
        <w:spacing w:after="0"/>
      </w:pPr>
      <w:r>
        <w:t>EG</w:t>
      </w:r>
      <w:r>
        <w:tab/>
      </w:r>
      <w:r>
        <w:tab/>
      </w:r>
      <w:r>
        <w:tab/>
        <w:t>Europese Gemeenschap</w:t>
      </w:r>
      <w:r>
        <w:tab/>
      </w:r>
      <w:r>
        <w:tab/>
      </w:r>
    </w:p>
    <w:p w:rsidR="00174971" w:rsidRDefault="00174971" w:rsidP="00B169A1">
      <w:pPr>
        <w:spacing w:after="0"/>
      </w:pPr>
      <w:r>
        <w:t>EU</w:t>
      </w:r>
      <w:r>
        <w:tab/>
      </w:r>
      <w:r>
        <w:tab/>
      </w:r>
      <w:r>
        <w:tab/>
        <w:t>Europese Unie</w:t>
      </w:r>
    </w:p>
    <w:p w:rsidR="00174971" w:rsidRDefault="00174971" w:rsidP="00B169A1">
      <w:pPr>
        <w:spacing w:after="0"/>
      </w:pPr>
      <w:r>
        <w:t>FED</w:t>
      </w:r>
      <w:r>
        <w:tab/>
      </w:r>
      <w:r>
        <w:tab/>
      </w:r>
      <w:r>
        <w:tab/>
        <w:t>Fiscaal weekblad FED</w:t>
      </w:r>
    </w:p>
    <w:p w:rsidR="00174971" w:rsidRDefault="00174971" w:rsidP="00B169A1">
      <w:pPr>
        <w:spacing w:after="0"/>
      </w:pPr>
      <w:r>
        <w:t>FTV</w:t>
      </w:r>
      <w:r>
        <w:tab/>
      </w:r>
      <w:r>
        <w:tab/>
      </w:r>
      <w:r>
        <w:tab/>
        <w:t>Fiscaal Tijdschrift Vermogen</w:t>
      </w:r>
    </w:p>
    <w:p w:rsidR="00174971" w:rsidRDefault="00174971" w:rsidP="00B169A1">
      <w:pPr>
        <w:spacing w:after="0"/>
      </w:pPr>
      <w:r>
        <w:t>HR</w:t>
      </w:r>
      <w:r>
        <w:tab/>
      </w:r>
      <w:r>
        <w:tab/>
      </w:r>
      <w:r>
        <w:tab/>
        <w:t>Hoge Raad der Nederlanden</w:t>
      </w:r>
    </w:p>
    <w:p w:rsidR="00174971" w:rsidRDefault="00174971" w:rsidP="00B169A1">
      <w:pPr>
        <w:spacing w:after="0"/>
      </w:pPr>
      <w:r>
        <w:t>HvJ EG</w:t>
      </w:r>
      <w:r>
        <w:tab/>
      </w:r>
      <w:r>
        <w:tab/>
      </w:r>
      <w:r>
        <w:tab/>
        <w:t>Hof van Justitie van de Europese Gemeenschappen</w:t>
      </w:r>
    </w:p>
    <w:p w:rsidR="00174971" w:rsidRDefault="00174971" w:rsidP="00B169A1">
      <w:pPr>
        <w:spacing w:after="0"/>
      </w:pPr>
      <w:r>
        <w:t>Jur.</w:t>
      </w:r>
      <w:r>
        <w:tab/>
      </w:r>
      <w:r>
        <w:tab/>
      </w:r>
      <w:r>
        <w:tab/>
      </w:r>
      <w:r w:rsidRPr="00577051">
        <w:t>Jurisprudentie van het Hof van Justitie en van het Gerecht van eerste aanleg</w:t>
      </w:r>
    </w:p>
    <w:p w:rsidR="00174971" w:rsidRDefault="00174971" w:rsidP="00B169A1">
      <w:pPr>
        <w:spacing w:after="0"/>
      </w:pPr>
      <w:r>
        <w:t>MBB</w:t>
      </w:r>
      <w:r>
        <w:tab/>
      </w:r>
      <w:r>
        <w:tab/>
      </w:r>
      <w:r>
        <w:tab/>
        <w:t>Maandblad Belastingbeschouwingen</w:t>
      </w:r>
    </w:p>
    <w:p w:rsidR="00174971" w:rsidRDefault="00174971" w:rsidP="00B169A1">
      <w:pPr>
        <w:spacing w:after="0"/>
      </w:pPr>
      <w:r>
        <w:t>NJ</w:t>
      </w:r>
      <w:r>
        <w:tab/>
      </w:r>
      <w:r>
        <w:tab/>
      </w:r>
      <w:r>
        <w:tab/>
        <w:t>Nederlandse Jurisprudentie</w:t>
      </w:r>
    </w:p>
    <w:p w:rsidR="00174971" w:rsidRDefault="00174971" w:rsidP="00B169A1">
      <w:pPr>
        <w:spacing w:after="0"/>
      </w:pPr>
      <w:r>
        <w:t>NTFR</w:t>
      </w:r>
      <w:r>
        <w:tab/>
      </w:r>
      <w:r>
        <w:tab/>
      </w:r>
      <w:r>
        <w:tab/>
        <w:t>Nederlands Tijdschrift Fiscaal Recht</w:t>
      </w:r>
    </w:p>
    <w:p w:rsidR="00174971" w:rsidRDefault="00174971" w:rsidP="00B169A1">
      <w:pPr>
        <w:spacing w:after="0"/>
      </w:pPr>
      <w:r>
        <w:t xml:space="preserve">NTFR-B </w:t>
      </w:r>
      <w:r>
        <w:tab/>
      </w:r>
      <w:r>
        <w:tab/>
        <w:t>Nederlands Tijdschrift Fiscaal Recht Beschouwingen</w:t>
      </w:r>
    </w:p>
    <w:p w:rsidR="00174971" w:rsidRDefault="00174971" w:rsidP="00B169A1">
      <w:pPr>
        <w:spacing w:after="0"/>
      </w:pPr>
      <w:r>
        <w:t xml:space="preserve">Nr. </w:t>
      </w:r>
      <w:r>
        <w:tab/>
      </w:r>
      <w:r>
        <w:tab/>
      </w:r>
      <w:r>
        <w:tab/>
        <w:t>Nummer</w:t>
      </w:r>
    </w:p>
    <w:p w:rsidR="00174971" w:rsidRDefault="00174971" w:rsidP="00B169A1">
      <w:pPr>
        <w:spacing w:after="0"/>
      </w:pPr>
      <w:r>
        <w:t>R.o.</w:t>
      </w:r>
      <w:r>
        <w:tab/>
      </w:r>
      <w:r>
        <w:tab/>
      </w:r>
      <w:r>
        <w:tab/>
        <w:t>Rechtsoverweging</w:t>
      </w:r>
    </w:p>
    <w:p w:rsidR="00174971" w:rsidRDefault="00174971" w:rsidP="00B81519">
      <w:pPr>
        <w:spacing w:after="0"/>
      </w:pPr>
      <w:r>
        <w:t>Red.</w:t>
      </w:r>
      <w:r>
        <w:tab/>
      </w:r>
      <w:r>
        <w:tab/>
      </w:r>
      <w:r>
        <w:tab/>
        <w:t>Redactie</w:t>
      </w:r>
    </w:p>
    <w:p w:rsidR="00174971" w:rsidRDefault="00174971" w:rsidP="00B169A1">
      <w:pPr>
        <w:spacing w:after="0"/>
      </w:pPr>
      <w:r>
        <w:t>Rolnr.</w:t>
      </w:r>
      <w:r>
        <w:tab/>
      </w:r>
      <w:r>
        <w:tab/>
      </w:r>
      <w:r>
        <w:tab/>
        <w:t>Rolnummer</w:t>
      </w:r>
    </w:p>
    <w:p w:rsidR="00174971" w:rsidRPr="001A0609" w:rsidRDefault="00174971" w:rsidP="00B169A1">
      <w:pPr>
        <w:spacing w:after="0"/>
      </w:pPr>
      <w:r w:rsidRPr="001A0609">
        <w:t>SCE</w:t>
      </w:r>
      <w:r w:rsidRPr="001A0609">
        <w:tab/>
      </w:r>
      <w:r w:rsidRPr="001A0609">
        <w:tab/>
      </w:r>
      <w:r w:rsidRPr="001A0609">
        <w:tab/>
      </w:r>
      <w:r w:rsidRPr="001A0609">
        <w:rPr>
          <w:bCs/>
        </w:rPr>
        <w:t>Societas Cooperativa Europæa</w:t>
      </w:r>
    </w:p>
    <w:p w:rsidR="00174971" w:rsidRPr="001A0609" w:rsidRDefault="00174971" w:rsidP="00B169A1">
      <w:pPr>
        <w:spacing w:after="0"/>
      </w:pPr>
      <w:r w:rsidRPr="001A0609">
        <w:t>SE</w:t>
      </w:r>
      <w:r w:rsidRPr="001A0609">
        <w:tab/>
      </w:r>
      <w:r w:rsidRPr="001A0609">
        <w:tab/>
      </w:r>
      <w:r w:rsidRPr="001A0609">
        <w:tab/>
      </w:r>
      <w:r w:rsidRPr="001A0609">
        <w:rPr>
          <w:bCs/>
        </w:rPr>
        <w:t>Societas Europæa</w:t>
      </w:r>
    </w:p>
    <w:p w:rsidR="00174971" w:rsidRDefault="00174971" w:rsidP="00B169A1">
      <w:pPr>
        <w:spacing w:after="0"/>
      </w:pPr>
      <w:r>
        <w:t>Stb.</w:t>
      </w:r>
      <w:r>
        <w:tab/>
      </w:r>
      <w:r>
        <w:tab/>
      </w:r>
      <w:r>
        <w:tab/>
        <w:t>Staatsblad</w:t>
      </w:r>
    </w:p>
    <w:p w:rsidR="00174971" w:rsidRDefault="00174971" w:rsidP="00B169A1">
      <w:pPr>
        <w:spacing w:after="0"/>
      </w:pPr>
      <w:r>
        <w:t>TFB</w:t>
      </w:r>
      <w:r>
        <w:tab/>
      </w:r>
      <w:r>
        <w:tab/>
      </w:r>
      <w:r>
        <w:tab/>
        <w:t>Tijdschrift voor Formeel Belastingrecht</w:t>
      </w:r>
    </w:p>
    <w:p w:rsidR="00174971" w:rsidRDefault="00174971" w:rsidP="00B169A1">
      <w:pPr>
        <w:spacing w:after="0"/>
      </w:pPr>
      <w:r>
        <w:t>TFO</w:t>
      </w:r>
      <w:r>
        <w:tab/>
      </w:r>
      <w:r>
        <w:tab/>
      </w:r>
      <w:r>
        <w:tab/>
        <w:t>Tijdschrift Fiscaal Ondernemingsrecht</w:t>
      </w:r>
    </w:p>
    <w:p w:rsidR="00174971" w:rsidRDefault="00174971" w:rsidP="00B169A1">
      <w:pPr>
        <w:spacing w:after="0"/>
      </w:pPr>
      <w:r>
        <w:t xml:space="preserve">V-N </w:t>
      </w:r>
      <w:r>
        <w:tab/>
      </w:r>
      <w:r>
        <w:tab/>
      </w:r>
      <w:r>
        <w:tab/>
        <w:t>Vakstudie Nieuws</w:t>
      </w:r>
    </w:p>
    <w:p w:rsidR="00174971" w:rsidRDefault="00174971" w:rsidP="00B169A1">
      <w:pPr>
        <w:spacing w:after="0"/>
      </w:pPr>
      <w:r>
        <w:t>Wet BRV</w:t>
      </w:r>
      <w:r>
        <w:tab/>
      </w:r>
      <w:r>
        <w:tab/>
        <w:t>Wet op de belastingen van rechtsverkeer</w:t>
      </w:r>
    </w:p>
    <w:p w:rsidR="00174971" w:rsidRDefault="00174971" w:rsidP="00B169A1">
      <w:pPr>
        <w:spacing w:after="0"/>
      </w:pPr>
      <w:r>
        <w:t>Wet IB 1964</w:t>
      </w:r>
      <w:r>
        <w:tab/>
      </w:r>
      <w:r>
        <w:tab/>
        <w:t>Wet op de inkomstenbelasting 1964</w:t>
      </w:r>
    </w:p>
    <w:p w:rsidR="00174971" w:rsidRDefault="00174971" w:rsidP="00B169A1">
      <w:pPr>
        <w:spacing w:after="0"/>
      </w:pPr>
      <w:r>
        <w:t>Wet IB 2001</w:t>
      </w:r>
      <w:r>
        <w:tab/>
      </w:r>
      <w:r>
        <w:tab/>
        <w:t>Wet inkomstenbelasting 2001</w:t>
      </w:r>
    </w:p>
    <w:p w:rsidR="00174971" w:rsidRDefault="00174971" w:rsidP="00B169A1">
      <w:pPr>
        <w:spacing w:after="0"/>
      </w:pPr>
      <w:r>
        <w:t>Wet VPB 1969</w:t>
      </w:r>
      <w:r>
        <w:tab/>
      </w:r>
      <w:r>
        <w:tab/>
        <w:t>Wet op de vennootschapsbelasting 1969</w:t>
      </w:r>
    </w:p>
    <w:p w:rsidR="00174971" w:rsidRDefault="00174971" w:rsidP="00B169A1">
      <w:pPr>
        <w:spacing w:after="0"/>
      </w:pPr>
      <w:r>
        <w:t>WFR</w:t>
      </w:r>
      <w:r>
        <w:tab/>
      </w:r>
      <w:r>
        <w:tab/>
      </w:r>
      <w:r>
        <w:tab/>
        <w:t>Weekblad voor Fiscaal Recht</w:t>
      </w:r>
      <w:r>
        <w:br w:type="page"/>
      </w:r>
    </w:p>
    <w:p w:rsidR="00174971" w:rsidRDefault="00174971" w:rsidP="004D3912">
      <w:pPr>
        <w:pStyle w:val="Heading1"/>
      </w:pPr>
      <w:bookmarkStart w:id="1" w:name="_Toc265484787"/>
      <w:r>
        <w:t xml:space="preserve">1 </w:t>
      </w:r>
      <w:r w:rsidRPr="001D117D">
        <w:t>Inleiding</w:t>
      </w:r>
      <w:r>
        <w:t xml:space="preserve"> en probleemstelling</w:t>
      </w:r>
      <w:bookmarkEnd w:id="1"/>
    </w:p>
    <w:p w:rsidR="00174971" w:rsidRPr="001D117D" w:rsidRDefault="00174971" w:rsidP="009F24D9">
      <w:pPr>
        <w:pStyle w:val="Heading2"/>
      </w:pPr>
      <w:bookmarkStart w:id="2" w:name="_Toc265484788"/>
      <w:r>
        <w:t>1.1 Het ontgaan van belasting en de fiscale wapens daartegen</w:t>
      </w:r>
      <w:bookmarkEnd w:id="2"/>
    </w:p>
    <w:p w:rsidR="00174971" w:rsidRDefault="00174971" w:rsidP="004D3912">
      <w:r>
        <w:rPr>
          <w:i/>
          <w:color w:val="000000"/>
        </w:rPr>
        <w:t>‘</w:t>
      </w:r>
      <w:r w:rsidRPr="00674D47">
        <w:rPr>
          <w:i/>
          <w:color w:val="000000"/>
        </w:rPr>
        <w:t>Meer fraude door falend toezicht fiscus</w:t>
      </w:r>
      <w:r>
        <w:rPr>
          <w:i/>
          <w:color w:val="000000"/>
        </w:rPr>
        <w:t>’</w:t>
      </w:r>
      <w:r>
        <w:rPr>
          <w:rStyle w:val="FootnoteReference"/>
          <w:i/>
          <w:color w:val="000000"/>
        </w:rPr>
        <w:footnoteReference w:id="2"/>
      </w:r>
      <w:r>
        <w:rPr>
          <w:color w:val="000000"/>
        </w:rPr>
        <w:t>, zo kopte een artikel in het NRC Handelsblad ruim twee jaar geleden. Deze quote tekent de instelling van belastingplichtigen, namelijk zo min mogelijk belasting betalen als mogelijk is.</w:t>
      </w:r>
      <w:r>
        <w:t xml:space="preserve"> In tegenstelling tot deze krantenkop zal de fiscus in het algemeen strikt de wet toepassen om de belastingplichtige het juiste belastingbedrag te laten betalen. Het op een juiste manier toepassen van de wet door de fiscus en het opportunisme van de belastingplichtige leidt in de praktijk geregeld tot geschillen. Opvallend hierbij is dat beide partijen dezelfde wetgeving toepassen die leiden tot verschillende standpunten. Dit is het gevolg van het feit dat de belastingwetten op verschillende manieren uit te leggen zijn, zo is in het verleden al vaker gebleken</w:t>
      </w:r>
      <w:r>
        <w:rPr>
          <w:rStyle w:val="FootnoteReference"/>
        </w:rPr>
        <w:footnoteReference w:id="3"/>
      </w:r>
      <w:r>
        <w:t>. In beginsel zijn vier methoden van rechtsvinding te onderscheiden waarop een belastingplichtige en de fiscus hun standpunt op kunnen baseren</w:t>
      </w:r>
      <w:r>
        <w:rPr>
          <w:rStyle w:val="FootnoteReference"/>
        </w:rPr>
        <w:footnoteReference w:id="4"/>
      </w:r>
      <w:r>
        <w:t>:</w:t>
      </w:r>
    </w:p>
    <w:p w:rsidR="00174971" w:rsidRDefault="00174971" w:rsidP="004D3912">
      <w:pPr>
        <w:pStyle w:val="ListParagraph"/>
        <w:numPr>
          <w:ilvl w:val="0"/>
          <w:numId w:val="1"/>
        </w:numPr>
      </w:pPr>
      <w:r>
        <w:t>Tekstuele methode, hierbij wordt de wet uitgelegd volgens de grammaticale tekst</w:t>
      </w:r>
      <w:r>
        <w:rPr>
          <w:rStyle w:val="FootnoteReference"/>
        </w:rPr>
        <w:footnoteReference w:id="5"/>
      </w:r>
    </w:p>
    <w:p w:rsidR="00174971" w:rsidRDefault="00174971" w:rsidP="004D3912">
      <w:pPr>
        <w:pStyle w:val="ListParagraph"/>
        <w:numPr>
          <w:ilvl w:val="0"/>
          <w:numId w:val="1"/>
        </w:numPr>
      </w:pPr>
      <w:r>
        <w:t>Historische methode, uitgangspunt hierbij is voorafgaande rechtspraak of parlementaire geschiedenis</w:t>
      </w:r>
      <w:r>
        <w:rPr>
          <w:rStyle w:val="FootnoteReference"/>
        </w:rPr>
        <w:footnoteReference w:id="6"/>
      </w:r>
    </w:p>
    <w:p w:rsidR="00174971" w:rsidRDefault="00174971" w:rsidP="004D3912">
      <w:pPr>
        <w:pStyle w:val="ListParagraph"/>
        <w:numPr>
          <w:ilvl w:val="0"/>
          <w:numId w:val="1"/>
        </w:numPr>
      </w:pPr>
      <w:r>
        <w:t>Systematische methode, het systeem van de wet bepaalt hoe de wet uitgelegd wordt</w:t>
      </w:r>
      <w:r>
        <w:rPr>
          <w:rStyle w:val="FootnoteReference"/>
        </w:rPr>
        <w:footnoteReference w:id="7"/>
      </w:r>
    </w:p>
    <w:p w:rsidR="00174971" w:rsidRPr="006A4968" w:rsidRDefault="00174971" w:rsidP="004D3912">
      <w:pPr>
        <w:pStyle w:val="ListParagraph"/>
        <w:numPr>
          <w:ilvl w:val="0"/>
          <w:numId w:val="1"/>
        </w:numPr>
      </w:pPr>
      <w:r>
        <w:t>Teleologische methode, hierbij wordt aansluiting gezocht bij het doel en de strekking van de wet</w:t>
      </w:r>
      <w:r>
        <w:rPr>
          <w:rStyle w:val="FootnoteReference"/>
        </w:rPr>
        <w:footnoteReference w:id="8"/>
      </w:r>
    </w:p>
    <w:p w:rsidR="00174971" w:rsidRDefault="00174971" w:rsidP="004D3912">
      <w:r>
        <w:t>Het zal duidelijk zijn dat belastingheffing grote financiële belangen met zich kan meebrengen, vaak zelfs voor de eigen portemonnee van belastingplichtigen. Hierdoor gemotiveerd willen belastingplichtigen soms ver gaan om hun belastingplicht te verminderen of in zijn geheel te laten verdwijnen. Het u</w:t>
      </w:r>
      <w:r w:rsidRPr="00572E69">
        <w:t xml:space="preserve">itgangspunt </w:t>
      </w:r>
      <w:r>
        <w:t xml:space="preserve">in de fiscaliteit </w:t>
      </w:r>
      <w:r w:rsidRPr="00572E69">
        <w:t>hierbij is dat belastingont</w:t>
      </w:r>
      <w:r>
        <w:t>duiking of fraude</w:t>
      </w:r>
      <w:r w:rsidRPr="00572E69">
        <w:t xml:space="preserve">, in tegenstelling tot </w:t>
      </w:r>
      <w:r>
        <w:t>belastingontwijking, strafbaar is</w:t>
      </w:r>
      <w:r w:rsidRPr="00572E69">
        <w:t xml:space="preserve">. </w:t>
      </w:r>
      <w:r>
        <w:t>Belastingontduiking is te kenmerken als ‘het knoeien met feiten’</w:t>
      </w:r>
      <w:r>
        <w:rPr>
          <w:rStyle w:val="FootnoteReference"/>
        </w:rPr>
        <w:footnoteReference w:id="9"/>
      </w:r>
      <w:r>
        <w:t xml:space="preserve">, het belastingobject of het belastbare feit wordt geheim gehouden door de belastingplichtige. Voorbeelden hiervan zijn het verzwijgen van inkomen en het boeken van privé-uitgaven als bedrijfskosten. Het ontwijken van belasting is daarentegen meer op gericht om door middel van fiscale constructies te voorkomen dat een belastingplicht ontstaat, dit is een belangrijk verschil. </w:t>
      </w:r>
      <w:r w:rsidRPr="00572E69">
        <w:t>Belastingplichtigen hebben een ruime vrijheid van handelen bij het maken van constructies om belasting te ontwijken</w:t>
      </w:r>
      <w:r>
        <w:t>, het ‘spelen met het recht’ is in beginsel toegestaan</w:t>
      </w:r>
      <w:r w:rsidRPr="00572E69">
        <w:t xml:space="preserve">. </w:t>
      </w:r>
      <w:r>
        <w:t>Een nagestreefd doel wordt zodoende bereikt op de fiscaal meest gunstige manier, zonder daarbij de wet te overtreden. Hoewel het ontwijken van belasting door middel van dergelijke constructies in beginsel niet strafbaar is, houdt dit niet in dat deze altijd zijn toegestaan. De fiscus heeft namelijk verschillende wapens tegen de uitholling van de Nederlandse belasting grondslag. Een daarvan is om de wetsinterpretatie van de belastingplichtige aan te vechten bij de rechter. Een ander strijdmiddel is het invoeren van specifieke reparatiewetgeving waardoor het bij wet niet meer mogelijk is om belasting op een bepaalde manier te ontgaan. In het verleden konden inspecteurs zich ook nog richten op de toepassing van richtige heffing, maar ze hadden hiervoor wel een ministeriele machtiging voor nodig</w:t>
      </w:r>
      <w:r>
        <w:rPr>
          <w:rStyle w:val="FootnoteReference"/>
        </w:rPr>
        <w:footnoteReference w:id="10"/>
      </w:r>
      <w:r>
        <w:t>. Sinds 1 augustus 1987 worden deze machtigingen echter niet meer afgegeven door de staatssecretaris van Financiën</w:t>
      </w:r>
      <w:r>
        <w:rPr>
          <w:rStyle w:val="FootnoteReference"/>
        </w:rPr>
        <w:footnoteReference w:id="11"/>
      </w:r>
      <w:r>
        <w:t>, waardoor hier geen beroep meer op gedaan wordt. Het laatste wapen van de fiscus, het leerstuk van fraus legis, zal in deze scriptie uitgediept worden.</w:t>
      </w:r>
    </w:p>
    <w:p w:rsidR="00174971" w:rsidRDefault="00174971" w:rsidP="004D3912">
      <w:pPr>
        <w:pStyle w:val="Heading2"/>
      </w:pPr>
      <w:bookmarkStart w:id="3" w:name="_Toc265484789"/>
      <w:r>
        <w:t>1.2 Het onderwerp van het onderzoek</w:t>
      </w:r>
      <w:bookmarkEnd w:id="3"/>
    </w:p>
    <w:p w:rsidR="00174971" w:rsidRDefault="00174971" w:rsidP="004D3912">
      <w:r>
        <w:t>De fiscale wetgeving is in de loop der jaren in woorden flink uitgebreid. Lichtend voorbeeld hierbij is de ontwikkeling die de deelnemingsvrijstelling in de vennootschapsbelasting heeft doorgemaakt van 1969 tot aan het begin van de 21</w:t>
      </w:r>
      <w:r w:rsidRPr="0041139C">
        <w:rPr>
          <w:vertAlign w:val="superscript"/>
        </w:rPr>
        <w:t>e</w:t>
      </w:r>
      <w:r>
        <w:t xml:space="preserve"> eeuw. Bij de introductie van de Wet op de vennootschapsbelasting 1969 telde de regeling slechts 651 woorden</w:t>
      </w:r>
      <w:r>
        <w:rPr>
          <w:rStyle w:val="FootnoteReference"/>
        </w:rPr>
        <w:footnoteReference w:id="12"/>
      </w:r>
      <w:r>
        <w:t>, terwijl de omvang van de huidige deelnemingsvrijstelling meer dan tienmaal zo groot is</w:t>
      </w:r>
      <w:r>
        <w:rPr>
          <w:rStyle w:val="FootnoteReference"/>
        </w:rPr>
        <w:footnoteReference w:id="13"/>
      </w:r>
      <w:r>
        <w:t>. Het feit dat het doel en de strekking van de deelnemingsvrijstelling niet veranderd is, namelijk het voorkomen van dubbele belasting, maakt deze expansie zeer opmerkelijk. Slechts een relatief klein gedeelte van de uitbreiding van de tekst ziet op ontwikkelingen in de afgelopen veertig jaar, zoals Europeesrechtelijke ontwikkelingen</w:t>
      </w:r>
      <w:r>
        <w:rPr>
          <w:rStyle w:val="FootnoteReference"/>
        </w:rPr>
        <w:footnoteReference w:id="14"/>
      </w:r>
      <w:r>
        <w:t>. Het overgrote gedeelte van de bijgekomen tekst is in de wet gekomen om misbruik en oneigenlijk gebruik van de deelnemingsvrijstelling tegen te gaan. Hier is sprake van reparatiewetgeving die er voor moet zorgen dat belastingbesparende constructies niet meer mogelijk zijn. Bij aanvang van de Wet VPB 1969 was wetgeving met betrekking tot de deelnemingsvrijstelling relatief eenvoudig, zodat er veel vrijheid voor de interpretatie van verschillende partijen aanwezig was. In die teleologische benadering is het vaak aan de rechter om in gevallen waarin de interpretatie van de belastingplichtige niet overeenkwam met de inspecteur, recht te spreken. Door het grondig uitbreiden van de wettekst in de loop der tijd, is de wetgever enigszins afgestapt van deze teleologische methode. Deze zogenoemde doel- en strekkingenleer maakt dus steeds vaker plaats voor een codificatie van antimisbruikbepalingen in het belastingrecht.</w:t>
      </w:r>
    </w:p>
    <w:p w:rsidR="00174971" w:rsidRDefault="00174971" w:rsidP="004D3912">
      <w:r>
        <w:t>In theorie wordt de rol van fraus legis steeds verder ingeperkt door de conversie naar meer wetgeving en minder vrijheid van interpretatie. Immers als de wetgever de wet aanpast om bepaalde belastingontwijking tegen te gaan, heeft hij gecodificeerd dat hij dergelijk gedrag niet toestaat. Een mogelijke conclusie die hieruit getrokken kan worden is dat belasting besparende constructies die niet bij wet worden tegengegaan, zijn toegestaan. Daarentegen kan echter worden betoogd dat fraus legis een ultimum remedium blijft en dat de fiscus er altijd een beroep op kan blijven doen.</w:t>
      </w:r>
    </w:p>
    <w:p w:rsidR="00174971" w:rsidRDefault="00174971" w:rsidP="004D3912">
      <w:r>
        <w:t>Deze discussie is al geruime tijd aan de gang in de vennootschapsbelasting, bijvoorbeeld in verband met mogelijke renteaftrek en de beperking voortvloeiend uit artikel 10a Wet VPB 1969</w:t>
      </w:r>
      <w:r>
        <w:rPr>
          <w:rStyle w:val="FootnoteReference"/>
        </w:rPr>
        <w:footnoteReference w:id="15"/>
      </w:r>
      <w:r>
        <w:t>. Hier is duidelijk sprake van gecodificeerd antimisbruikbeleid, waarbij alsnog ruimte is voor fraus legis zo heeft de Hoge Raad bepaald</w:t>
      </w:r>
      <w:r>
        <w:rPr>
          <w:rStyle w:val="FootnoteReference"/>
        </w:rPr>
        <w:footnoteReference w:id="16"/>
      </w:r>
      <w:r>
        <w:t>. Ook in de bedrijfsfusiefaciliteit van artikel 14 Wet VPB 1969 is in lid 4 een antimisbruikbepaling opgenomen. Summier samengevat, bepaalt dit lid dat de bedrijfsfusie niet wordt gefaciliteerd indien de bedrijfsfusie in overwegende mate is gericht op het ontgaan of uitstellen van belasting. Deze scriptie onderzoekt de vraag of het leerstuk van fraus legis nog kan worden toegepast nadat duidelijk is geworden dat een fusie van vennootschappen niet verhinderd wordt door de antimisbruikbepaling van de bedrijfsfusie.</w:t>
      </w:r>
    </w:p>
    <w:p w:rsidR="00174971" w:rsidRDefault="00174971" w:rsidP="004D3912">
      <w:pPr>
        <w:pStyle w:val="Heading2"/>
      </w:pPr>
      <w:bookmarkStart w:id="4" w:name="_Toc265484790"/>
      <w:r>
        <w:t>1.3 Reikwijdte van het onderzoek</w:t>
      </w:r>
      <w:bookmarkEnd w:id="4"/>
    </w:p>
    <w:p w:rsidR="00174971" w:rsidRDefault="00174971" w:rsidP="00C05352">
      <w:pPr>
        <w:autoSpaceDE w:val="0"/>
        <w:autoSpaceDN w:val="0"/>
        <w:adjustRightInd w:val="0"/>
      </w:pPr>
      <w:r>
        <w:t>De bedrijfsfusiefaciliteit zoals die in de huidige wet is opgenomen, vindt zijn oorsprong in de Europese fusierichtlijn. Deze richtlijn is geïmplementeerd in de Nederlandse wet, maar de wetgever heeft er voor gekozen om dit niet letterlijk te doen. Fuserende partijen kunnen, ook in een louter nationale situatie, een beroep doen op de nationale bepaling of de fusierichtlijn. De antimisbruikbepalingen uit de beide regelingen zijn verschillend opgesteld en het is de vraag of de antimisbruikbepaling uit artikel 14, lid 4, Wet VPB 1969 niet te ruim is geformuleerd vergeleken met de richtlijn. Deze vraag en de daarmee samenhangende consequentie dat de Nederlandse antimisbruikbepaling in zijn huidige vorm in strijd is met het Europees recht, zal ik niet behandelen</w:t>
      </w:r>
      <w:r>
        <w:rPr>
          <w:rStyle w:val="FootnoteReference"/>
        </w:rPr>
        <w:footnoteReference w:id="17"/>
      </w:r>
      <w:r>
        <w:t>. Toch is de Europese fusierichtlijn wel van belang in dit onderzoek. Ik concentreer me op de vraag of fraus legis van toepassing kan zijn en daarbij zal ik ook de fusierichtlijn meenemen, aangezien particulieren zich daarop kunnen beroepen. Dit geeft een volledig beeld van de ruimte die de fiscus heeft om fraus legis toe te passen bij een bedrijfsfusie. Met betrekking tot de fusierichtlijn zal ik weinig aandacht schenken aan de term belastingfraude uit artikel 15, lid 1, onderdeel a, Fusierichtlijn. Bij belastingfraude zal er immer nooit aan fraus legis toegekomen kunnen worden, waardoor dit niet van belang is voor mijn onderzoek. Tevens zal ik de overige bepalingen van artikel 15 Fusierichtlijn niet behandelen</w:t>
      </w:r>
      <w:r>
        <w:rPr>
          <w:rStyle w:val="FootnoteReference"/>
        </w:rPr>
        <w:footnoteReference w:id="18"/>
      </w:r>
      <w:r>
        <w:t>. Deze bepalingen hebben geen invloed op mijn onderzoeksvraag en zijn derhalve niet van waarde voor dit onderzoek.</w:t>
      </w:r>
    </w:p>
    <w:p w:rsidR="00174971" w:rsidRPr="00C05352" w:rsidRDefault="00174971" w:rsidP="00C05352">
      <w:pPr>
        <w:autoSpaceDE w:val="0"/>
        <w:autoSpaceDN w:val="0"/>
        <w:adjustRightInd w:val="0"/>
      </w:pPr>
      <w:r>
        <w:t>Ik beperk me in dit onderzoek tot de bedrijfsfusie en zal niet onderzoeken of de fiscus bijvoorbeeld een beroep kan doen op fraus legis naast de antimisbruikbepaling van de juridische fusiefaciliteit</w:t>
      </w:r>
      <w:r>
        <w:rPr>
          <w:rStyle w:val="FootnoteReference"/>
        </w:rPr>
        <w:footnoteReference w:id="19"/>
      </w:r>
      <w:r>
        <w:t>. Hoewel deze antimisbruikbepaling veel lijkt op artikel 14, lid 4, Wet VPB 1969 en belastingplichtigen zich bij juridische fusies ook kunnen beroepen op de fusierichtlijn, benadruk ik dat ik de enkel de bedrijfsfusiefaciliteit onderzoek. Het is wel mogelijk dat conclusies die volgen uit dit onderzoek doorgetrokken kunnen worden naar de juridische fusie door de vele overeenkomsten.</w:t>
      </w:r>
    </w:p>
    <w:p w:rsidR="00174971" w:rsidRDefault="00174971" w:rsidP="004D3912">
      <w:pPr>
        <w:pStyle w:val="Heading2"/>
      </w:pPr>
      <w:bookmarkStart w:id="5" w:name="_Toc265484791"/>
      <w:r>
        <w:t>1.4 Probleemstelling en toetsingskader</w:t>
      </w:r>
      <w:bookmarkEnd w:id="5"/>
    </w:p>
    <w:p w:rsidR="00174971" w:rsidRDefault="00174971" w:rsidP="004D3912">
      <w:r w:rsidRPr="00C1215B">
        <w:t xml:space="preserve">In deze scriptie zal onderzocht worden of </w:t>
      </w:r>
      <w:r>
        <w:t xml:space="preserve">nog ruimte is voor </w:t>
      </w:r>
      <w:r w:rsidRPr="00C1215B">
        <w:t>het leerstuk van fraus legis in de vennootschapsbelasting</w:t>
      </w:r>
      <w:r>
        <w:t xml:space="preserve"> naast antimisbruikbepalingen, waarbij de focus wordt gelegd op de </w:t>
      </w:r>
      <w:r w:rsidRPr="00C1215B">
        <w:t>bedrijfsfusiefaciliteit. Artikel 14, lid 4</w:t>
      </w:r>
      <w:r>
        <w:t>,</w:t>
      </w:r>
      <w:r w:rsidRPr="00C1215B">
        <w:t xml:space="preserve"> Wet VPB 1969 is in de wet gekomen om te voorkomen dat door middel van gekunstelde situaties belasting wordt ontgaan </w:t>
      </w:r>
      <w:r>
        <w:t>in geval van een</w:t>
      </w:r>
      <w:r w:rsidRPr="00C1215B">
        <w:t xml:space="preserve"> bedrijfsfusie. </w:t>
      </w:r>
      <w:r>
        <w:t>Het criterium hiervoor is dat geen sprake mag zijn van een fusie die in overwegende mate is gericht op het ontgaan of uitstellen van belastingheffing. Indien een fusie niet plaatsvindt op grond van zakelijke overwegingen, zoals herstructurering of rationalisering van de actieve werkzaamheden van de overdrager en de overnemer, wordt een bedrijfsfusie in beginsel niet gefaciliteerd. Indien aandelen in de overdrager of in de overnemer binnen drie jaar na de fusie worden vervreemd aan een niet-verbonden lichaam, worden zakelijk overwegingen niet aanwezig geacht. Deze beide ficties kunnen succesvol worden bestreden door aannemelijk te maken dat de fusie niet in overwegende mate gericht was op het ontgaan of het uitstellen van belastingheffing.</w:t>
      </w:r>
    </w:p>
    <w:p w:rsidR="00174971" w:rsidRPr="00C1215B" w:rsidRDefault="00174971" w:rsidP="004D3912">
      <w:r>
        <w:t>Als artikel 14, lid 4, Wet VPB 1969 niet voldoende is voor de fiscus om ongewenste belastingontwijking tegen te gaan, kan in beginsel een beroep op fraus legis worden gedaan. Het is echter de vraag of dat mogelijk is en of de fiscus er het gewenste resultaat mee kan behalen. Daar waar artikel 14, lid 4, Wet VPB 1969 namelijk ziet op het ontgaan of uitstellen van belastingheffing, ziet fraus legis op wetsontduiking. Deze mikpunten liggen dicht bij elkaar, maar mogelijk is een subtiel verschil aanwezig. Om te onderzoeken of het leerstuk van fraus legis nog toepassing kan vinden, staat centraal in deze scriptie de vraag:</w:t>
      </w:r>
    </w:p>
    <w:p w:rsidR="00174971" w:rsidRDefault="00174971" w:rsidP="004D3912">
      <w:pPr>
        <w:pStyle w:val="Subtitle"/>
      </w:pPr>
      <w:r w:rsidRPr="001E312D">
        <w:t>In hoeverre kan de fiscus, complementair aan de bestaande regels uit artikel 14, lid 4</w:t>
      </w:r>
      <w:r>
        <w:t>,</w:t>
      </w:r>
      <w:r w:rsidRPr="001E312D">
        <w:t xml:space="preserve"> Wet op de vennootschapsbelasting</w:t>
      </w:r>
      <w:r>
        <w:t xml:space="preserve"> 1969,</w:t>
      </w:r>
      <w:r w:rsidRPr="001E312D">
        <w:t xml:space="preserve"> zich beroepen op het leerstuk van fraus legis </w:t>
      </w:r>
      <w:r>
        <w:t>om</w:t>
      </w:r>
      <w:r w:rsidRPr="001E312D">
        <w:t xml:space="preserve"> </w:t>
      </w:r>
      <w:r>
        <w:t xml:space="preserve">fiscaal opgezette </w:t>
      </w:r>
      <w:r w:rsidRPr="001E312D">
        <w:t>constructies</w:t>
      </w:r>
      <w:r w:rsidRPr="00D03217">
        <w:t xml:space="preserve"> </w:t>
      </w:r>
      <w:r>
        <w:t>die</w:t>
      </w:r>
      <w:r w:rsidRPr="001E312D">
        <w:t xml:space="preserve"> </w:t>
      </w:r>
      <w:r>
        <w:t xml:space="preserve">met </w:t>
      </w:r>
      <w:r w:rsidRPr="001E312D">
        <w:t xml:space="preserve">behulp van </w:t>
      </w:r>
      <w:r>
        <w:t xml:space="preserve">de </w:t>
      </w:r>
      <w:r w:rsidRPr="001E312D">
        <w:t>bedrijfsfusie</w:t>
      </w:r>
      <w:r>
        <w:t>faciliteit belastingheffing ontwijken, te bestrijden</w:t>
      </w:r>
      <w:r w:rsidRPr="001E312D">
        <w:t>?</w:t>
      </w:r>
    </w:p>
    <w:p w:rsidR="00174971" w:rsidRDefault="00174971" w:rsidP="004D3912">
      <w:r>
        <w:t>Deze vraag zal op twee manieren benaderd worden, namelijk of een beroep op fraus legis in zijn algemeenheid toepassing kan vinden bij antimisbruikwetgeving en of het leerstuk van fraus legis nog betekenis heeft indien een belastingbesparende constructie de toets van het niet ontgaan of uitstellen van belasting overleeft. Ik zal naar een antwoord op de cursief gestelde hoofdvraag zoeken door middel van het beantwoorden van een aantal deelvragen. Deze deelvragen worden per hoofdstuk afzonderlijk behandeld.</w:t>
      </w:r>
    </w:p>
    <w:p w:rsidR="00174971" w:rsidRDefault="00174971" w:rsidP="004D3912">
      <w:pPr>
        <w:pStyle w:val="Heading2"/>
      </w:pPr>
      <w:bookmarkStart w:id="6" w:name="_Toc265484792"/>
      <w:r>
        <w:t>1.5 Opzet van het onderzoek</w:t>
      </w:r>
      <w:bookmarkEnd w:id="6"/>
    </w:p>
    <w:p w:rsidR="00174971" w:rsidRDefault="00174971" w:rsidP="00590306">
      <w:r>
        <w:t>Voordat onderzocht kan worden of de fiscus zich kan beroepen op fraus legis, is het van belang om dit leerstuk eerst zorgvuldig te bestuderen. Direct na dit inleidende hoofdstuk, zal daarom ingegaan worden op de betekenis en toepassing van fraus legis. Dit voor de fiscaliteit belangrijke begrip zal vanaf zijn introductie in het Nederlandse belastingrecht tot aan de huidige actualiteit behandeld worden. Het zal een overzicht geven van het leerstuk van fraus legis door de jaren heen, waarbij ook het leerstuk van richtige heffing aan bod zal komen. Door middel van de beschrijving van fraus legis zal duidelijk worden wat dit leerstuk inhoudt en wanneer er met succes een beroep op kan worden gedaan door de fiscus. Vooral de rol van fraus legis bij de reparatiewetgeving in de vennootschapsbelasting zal beschreven worden. De wetgever heeft in de loop der jaren een groot scala aan reparatiewetgeving in de wet op de vennootschapsbelasting toegevoegd om misbruik en oneigenlijk gebruik te voorkomen. In hoofdstuk drie wordt de vraag beantwoord of naast de antimisbruikartikelen in de Wet VPB 1969 ook nog een beroep gedaan kan worden op het leerstuk van fraus legis. Hierbij zal vooral een grote rol weggelegd zijn voor artikel 10a Wet VPB 1969, maar ook mogelijke fraus legis bij de verbreking van een fiscale eenheid zal worden besproken. De rol van dit hoofdstuk voor het gehele onderzoek is dat duidelijk moet worden of fraus legis nog toepassing kan vinden ingeval de wetgever antimisbruikregelgeving heeft opgenomen in de wet.</w:t>
      </w:r>
    </w:p>
    <w:p w:rsidR="00174971" w:rsidRDefault="00174971" w:rsidP="00590306">
      <w:r>
        <w:t>Vervolgens zal dit onderzoek zich toespitsen op de bedrijfsfusiefaciliteit in de vennootschapsbelasting. Ik zal uiteenzetten wat de bedrijfsfusie inhoudt en wanneer een beroep op de faciliteit kan worden gedaan. Tevens zal de fusierichtlijn een rol spelen, omdat deze van grote betekenis is in het licht van artikel 14 Wet VPB 1969. Het zwaartepunt van deze bespreking zal liggen op de antimisbruikbepalingen die beide regelingen rijk zijn. Mogelijke tekstuele en inhoudelijke verschillen zullen worden geanalyseerd. Dit hoofdstuk moet duidelijkheid geven over de bedrijfsfusiefaciliteit en met name de Nederlandse antimisbruikbepaling. De functie van dit onderzoek is om helderheid te verschaffen over de wijze waarop en waarom de wetgever artikel 14 Wet VPB heeft opgesteld.</w:t>
      </w:r>
    </w:p>
    <w:p w:rsidR="00174971" w:rsidRDefault="00174971" w:rsidP="00590306">
      <w:r>
        <w:t>Dit onderzoek zal zich daarna toespitsen op de vraag of fraus legis nog een rol van betekenis kan spelen indien het vierde lid van artikel 14 Wet VPB 1969 geen toepassing vindt. Volledigheidshalve zal ik beargumenteren of op grond van het Europese recht nog op andere manieren misbruik van de fusierichtlijn kan worden tegengegaan. Ook zal ik onderzoeken wat de verhouding is tussen het leerstuk van fraus legis en de antimisbruikbepaling uit de fusierichtlijn. Daarna zal ik nagaan of de fiscus feitelijk nog iets heeft aan het leerstuk van fraus legis of dat al het misbruik moet worden tegengegaan met artikel 14, lid 4, Wet VPB 1969. In dit hoofdstuk staat de analyse centraal waaruit ik het antwoord op de onderzoeksvraag moet kunnen halen. Tot slot zal deze scriptie afgesloten worden met een samenvatting en conclusie waarin, met behulp van de eerder opgedane kennis, een antwoord gegeven zal worden op de eerder geformuleerde hoofdvraag.</w:t>
      </w:r>
    </w:p>
    <w:p w:rsidR="00174971" w:rsidRPr="0026069B" w:rsidRDefault="00174971" w:rsidP="00590306">
      <w:r>
        <w:t>Omdat artikel 14 Wet VPB 1969 en artikel 15 Fusierichtlijn een prominente plaats innemen in dit onderzoek, heb ik de teksten van de deze bepalingen gevoegd in een bijlage bij deze scriptie.</w:t>
      </w:r>
      <w:r>
        <w:br w:type="page"/>
      </w:r>
    </w:p>
    <w:p w:rsidR="00174971" w:rsidRDefault="00174971" w:rsidP="00CD5FB9">
      <w:pPr>
        <w:pStyle w:val="Heading1"/>
      </w:pPr>
      <w:bookmarkStart w:id="7" w:name="_Toc265484793"/>
      <w:r>
        <w:t>2 Het leerstuk van fraus legis</w:t>
      </w:r>
      <w:bookmarkEnd w:id="7"/>
    </w:p>
    <w:p w:rsidR="00174971" w:rsidRPr="00C35BE6" w:rsidRDefault="00174971" w:rsidP="004D3912">
      <w:pPr>
        <w:pStyle w:val="Heading2"/>
      </w:pPr>
      <w:bookmarkStart w:id="8" w:name="_Toc265484794"/>
      <w:r w:rsidRPr="00C35BE6">
        <w:t>2.1 Inleiding</w:t>
      </w:r>
      <w:bookmarkEnd w:id="8"/>
    </w:p>
    <w:p w:rsidR="00174971" w:rsidRDefault="00174971" w:rsidP="004D3912">
      <w:pPr>
        <w:spacing w:before="200"/>
      </w:pPr>
      <w:r w:rsidRPr="00572E69">
        <w:t xml:space="preserve">Het is </w:t>
      </w:r>
      <w:r>
        <w:t>duidelijk geworden dat de wet</w:t>
      </w:r>
      <w:r w:rsidRPr="00572E69">
        <w:t xml:space="preserve"> niet altijd zwart-wit kan worden uitgelegd, een onzeker grijs gebied </w:t>
      </w:r>
      <w:r>
        <w:t>kan ontstaan</w:t>
      </w:r>
      <w:r w:rsidRPr="00572E69">
        <w:t xml:space="preserve"> d</w:t>
      </w:r>
      <w:r>
        <w:t>at</w:t>
      </w:r>
      <w:r w:rsidRPr="00572E69">
        <w:t xml:space="preserve"> spanningen tussen belastingplichtige en inspecteur met zich mee brengt.</w:t>
      </w:r>
      <w:r>
        <w:t xml:space="preserve"> De vraag speelt of de wettekst of juist het doel en de strekking achter deze tekst dan voorrang krijgt. </w:t>
      </w:r>
      <w:r w:rsidRPr="00572E69">
        <w:t>In dit spanningsveld is een belangrijke rol weggelegd voor het leerstuk van fraus legis binnen ons rechtssysteem</w:t>
      </w:r>
      <w:r>
        <w:t>. Het is een middel voor de fiscus waarbij de teleologische benadering wordt geprefereerd boven de tekstuele benadering. Het wordt in de literatuur gezien als laatste middel voor de fiscus om onaanvaardbare juridische constructies te voorkomen</w:t>
      </w:r>
      <w:r>
        <w:rPr>
          <w:rStyle w:val="FootnoteReference"/>
        </w:rPr>
        <w:footnoteReference w:id="20"/>
      </w:r>
      <w:r>
        <w:t>. Het ultimum remedium dat de fiscus kan inroepen om op grond van ongeschreven recht te voorkomen dat belastingheffing ontweken wordt omdat het materiële recht tekortschiet. Het leerstuk van wetsontduiking geldt niet alleen voor het belastingrecht maar voor het gehele Nederlandse recht. Echter in de fiscaliteit heeft fraus legis de laatste decennia aanzienlijk meer toepassing gevonden dan in overige rechtsgebieden, de reden daarvoor is treffend verwoord door Kakebeeke-Van Der Put:</w:t>
      </w:r>
    </w:p>
    <w:p w:rsidR="00174971" w:rsidRDefault="00174971" w:rsidP="004D3912">
      <w:pPr>
        <w:pStyle w:val="Subtitle"/>
      </w:pPr>
      <w:r>
        <w:t>“Uiteraard vormt het fiscale recht meer dan welk recht ook een terrein waar de particuliere belangen van het individu in botsing komen met het belang en het doel van wat de overheid wil verwezenlijken: heffing van de verschillende belastingen en een zo billijk mogelijke verdeling van deze lasten over de contribuabelen”</w:t>
      </w:r>
      <w:r>
        <w:rPr>
          <w:rStyle w:val="FootnoteReference"/>
        </w:rPr>
        <w:footnoteReference w:id="21"/>
      </w:r>
      <w:r>
        <w:t>.</w:t>
      </w:r>
    </w:p>
    <w:p w:rsidR="00174971" w:rsidRDefault="00174971" w:rsidP="004D3912">
      <w:r>
        <w:t>Voor dit onderzoek is enkel fraus legis in de fiscaliteit van belang en zal overige wetsontduiking niet behandeld worden. Ik ben me bewust dat strikt gezien wetsontduiking een ruimer begrip is dan fraus legis en bijvoorbeeld ook valsheid in geschrifte omhelst. Ondanks dat de leerstukken wetsontduiking en fraus legis niet gelijk zijn aan elkaar zal ik ze in deze scriptie door elkaar gebruiken voor hetzelfde begrip. In dit hoofdstuk zal de betekenis en de aanwezigheid van fraus legis in de belastingwetgeving behandeld worden. Om de mogelijkheid tot het inroepen van dit leerstuk bij de bedrijfsfusiefaciliteit te onderzoeken, is het van belang om te weten wat het leerstuk in de fiscaliteit precies inhoudt. Dit hoofdstuk zal de geschiedenis van fraus legis behandelen tot aan het heden. Daarbij zal de nodige jurisprudentie langs komen vanaf het drie dagenarrest tot aan het baanbrekende holdingarrest. Het leerstuk van fraus legis heeft een lange tijd een beperkte werking gehad door het leerstuk van richtige heffing. De fiscus verkoos tot aan het eind van de twintigste eeuw het leerstuk van richtige heffing vaak boven fraus legis en daarom zal ik dit leerstuk ook behandelen. Vervolgens zal ik de vereisten voor de toepassing van fraus legis behandelen, het normvereiste en het motiefvereiste. Ook wordt de zogenoemde meerwegenleer en haar grillige karakter besproken. Ten slotte zal dit hoofdstuk worden afgesloten met de conclusies die getrokken kunnen worden en belang hebben voor het vervolg van dit onderzoek.</w:t>
      </w:r>
    </w:p>
    <w:p w:rsidR="00174971" w:rsidRDefault="00174971" w:rsidP="004D3912">
      <w:pPr>
        <w:pStyle w:val="Heading2"/>
      </w:pPr>
      <w:bookmarkStart w:id="9" w:name="_Toc265484795"/>
      <w:r>
        <w:t>2.2 Het ontstaan van fraus legis tot en met de huidige aanwezigheid</w:t>
      </w:r>
      <w:bookmarkEnd w:id="9"/>
    </w:p>
    <w:p w:rsidR="00174971" w:rsidRPr="00ED2A46" w:rsidRDefault="00174971" w:rsidP="004D3912">
      <w:pPr>
        <w:spacing w:before="200"/>
        <w:rPr>
          <w:rStyle w:val="Strong"/>
          <w:b w:val="0"/>
          <w:bCs w:val="0"/>
        </w:rPr>
      </w:pPr>
      <w:r>
        <w:rPr>
          <w:rStyle w:val="Strong"/>
          <w:b w:val="0"/>
          <w:bCs w:val="0"/>
        </w:rPr>
        <w:t xml:space="preserve">Fraus legis, vertaald naar het Nederlands wetsontduiking, is een Latijnse term die in het oude Romeinse recht een vergelijkbare dekking had als in </w:t>
      </w:r>
      <w:r w:rsidRPr="00801C98">
        <w:rPr>
          <w:rStyle w:val="Strong"/>
          <w:b w:val="0"/>
        </w:rPr>
        <w:t>het</w:t>
      </w:r>
      <w:r>
        <w:rPr>
          <w:rStyle w:val="Strong"/>
          <w:b w:val="0"/>
          <w:bCs w:val="0"/>
        </w:rPr>
        <w:t xml:space="preserve"> huidige recht zo blijkt uit het volgende citaat:</w:t>
      </w:r>
    </w:p>
    <w:p w:rsidR="00174971" w:rsidRPr="00ED2A46" w:rsidRDefault="00174971" w:rsidP="004D3912">
      <w:pPr>
        <w:pStyle w:val="Subtitle"/>
        <w:rPr>
          <w:lang w:val="en-US"/>
        </w:rPr>
      </w:pPr>
      <w:r w:rsidRPr="00ED2A46">
        <w:rPr>
          <w:rStyle w:val="Strong"/>
          <w:b w:val="0"/>
          <w:bCs w:val="0"/>
          <w:lang w:val="en-US"/>
        </w:rPr>
        <w:t>“Fraus enim legi fit, ubi quod fieri noluit, fieri autem non vetuit, id fit</w:t>
      </w:r>
      <w:r>
        <w:rPr>
          <w:rStyle w:val="Strong"/>
          <w:b w:val="0"/>
          <w:bCs w:val="0"/>
          <w:lang w:val="en-US"/>
        </w:rPr>
        <w:t>”</w:t>
      </w:r>
      <w:r>
        <w:rPr>
          <w:rStyle w:val="FootnoteReference"/>
          <w:lang w:val="en-US"/>
        </w:rPr>
        <w:footnoteReference w:id="22"/>
      </w:r>
      <w:r w:rsidRPr="00ED2A46">
        <w:rPr>
          <w:rStyle w:val="Strong"/>
          <w:b w:val="0"/>
          <w:bCs w:val="0"/>
          <w:lang w:val="en-US"/>
        </w:rPr>
        <w:t>.</w:t>
      </w:r>
    </w:p>
    <w:p w:rsidR="00174971" w:rsidRDefault="00174971" w:rsidP="004D3912">
      <w:r w:rsidRPr="00BF1EAB">
        <w:t>Vertaald naar het Nederlands be</w:t>
      </w:r>
      <w:r>
        <w:t>t</w:t>
      </w:r>
      <w:r w:rsidRPr="00BF1EAB">
        <w:t>ekent het</w:t>
      </w:r>
      <w:r>
        <w:t xml:space="preserve"> dat fraus legis plaats grijpt als geschiedt wat de wet niet wil dat het geschiedt, maar dit niet (uitdrukkelijk) verboden heeft</w:t>
      </w:r>
      <w:r>
        <w:rPr>
          <w:rStyle w:val="FootnoteReference"/>
        </w:rPr>
        <w:footnoteReference w:id="23"/>
      </w:r>
      <w:r>
        <w:t xml:space="preserve">. Deze uitleg van het leerstuk heeft grote overeenkomsten met de gevallen waarin sprake is van wetsontduiking heden ten dage: </w:t>
      </w:r>
    </w:p>
    <w:p w:rsidR="00174971" w:rsidRPr="00C873DB" w:rsidRDefault="00174971" w:rsidP="004D3912">
      <w:pPr>
        <w:pStyle w:val="Subtitle"/>
      </w:pPr>
      <w:r w:rsidRPr="00C873DB">
        <w:t xml:space="preserve">“Er is sprake van handelen in fraudem legis, indien een belanghebbende zich bedient van een uitsluitend, althans </w:t>
      </w:r>
      <w:r>
        <w:t>doorslaggevend</w:t>
      </w:r>
      <w:r w:rsidRPr="00C873DB">
        <w:t xml:space="preserve">, met het oog op de </w:t>
      </w:r>
      <w:r>
        <w:t>beoogde</w:t>
      </w:r>
      <w:r w:rsidRPr="00C873DB">
        <w:t xml:space="preserve"> fiscale gevolgen gekozen zodanige vormgeving, </w:t>
      </w:r>
      <w:r>
        <w:t>dat die beoogde</w:t>
      </w:r>
      <w:r w:rsidRPr="00C873DB">
        <w:t xml:space="preserve"> fiscale gevolgen op grond van de </w:t>
      </w:r>
      <w:r>
        <w:t>relevante belastingwetgeving, zoals die te interpreteren is, zouden</w:t>
      </w:r>
      <w:r w:rsidRPr="00C873DB">
        <w:t xml:space="preserve"> moeten intreden, terwijl </w:t>
      </w:r>
      <w:r>
        <w:t>dat</w:t>
      </w:r>
      <w:r w:rsidRPr="00C873DB">
        <w:t xml:space="preserve"> in strijd is met doel en strekking van de we</w:t>
      </w:r>
      <w:r>
        <w:t>t</w:t>
      </w:r>
      <w:r w:rsidRPr="00C873DB">
        <w:t>”</w:t>
      </w:r>
      <w:r>
        <w:rPr>
          <w:rStyle w:val="FootnoteReference"/>
          <w:i w:val="0"/>
        </w:rPr>
        <w:footnoteReference w:id="24"/>
      </w:r>
      <w:r>
        <w:t>.</w:t>
      </w:r>
    </w:p>
    <w:p w:rsidR="00174971" w:rsidRDefault="00174971" w:rsidP="004D3912">
      <w:r>
        <w:t>Er zijn twee hoofdvormen te onderscheiden bij wetsontduiking. Allereerst kan een belanghebbende zich kunstmatig buiten een voor hem bezwarende bepaling stellen. Daarnaast kan hij ook via een fiscale constructie ervoor zorgen dat een begunstigende bepaling juist wel op hem van toepassing is. Deze twee vormen van, vanuit de optiek van de fiscus gezien, ongewenste gedragingen zijn in de loop der jaren onderwerp van geschil geweest in de fiscale jurisprudentie.</w:t>
      </w:r>
    </w:p>
    <w:p w:rsidR="00174971" w:rsidRDefault="00174971" w:rsidP="004D3912">
      <w:pPr>
        <w:pStyle w:val="Heading3"/>
      </w:pPr>
      <w:bookmarkStart w:id="10" w:name="_Toc265484796"/>
      <w:r>
        <w:t>2.2.1 De eerste verschijning in het belastingrecht</w:t>
      </w:r>
      <w:bookmarkEnd w:id="10"/>
    </w:p>
    <w:p w:rsidR="00174971" w:rsidRDefault="00174971" w:rsidP="004D3912">
      <w:r w:rsidRPr="00572E69">
        <w:t xml:space="preserve">De Hoge Raad heeft fraus legis in het belastingrecht voor het eerst toegepast in </w:t>
      </w:r>
      <w:r>
        <w:t>1926, tijdens het bekende ‘drie dagen</w:t>
      </w:r>
      <w:r w:rsidRPr="00572E69">
        <w:t>arrest’</w:t>
      </w:r>
      <w:r>
        <w:rPr>
          <w:rStyle w:val="FootnoteReference"/>
        </w:rPr>
        <w:footnoteReference w:id="25"/>
      </w:r>
      <w:r w:rsidRPr="00572E69">
        <w:t xml:space="preserve">. </w:t>
      </w:r>
      <w:r>
        <w:t>In dit arrest ontving belanghebbende jaarlijks een som geld, met de kanttekening dat deze jaarlijkse geldstroom zou stoppen drie dagen voor de schenker zou overlijden. Door de beëindiging van de schenking drie dagen voor het einde van het overlijden te laten plaatsvinden, werd de toepassing van artikel 11 Successiewet 1859 ontweken. In dit artikel was bij fictie geregeld dat al datgene dat de overledene onder beding van een periodieke uitkering afstond tot aan zijn dood, tot de boedel behoorde. De Hoge Raad was van mening dat de constructie om de schenking drie dagen voor het overlijden te stoppen, niet in overeenstemming was met doel en strekking van artikel 11 Successiewet 1859 en achtte daarom fraus legis van toepassing. Opvallend is dat ruim een jaar later</w:t>
      </w:r>
      <w:r>
        <w:rPr>
          <w:rStyle w:val="FootnoteReference"/>
        </w:rPr>
        <w:footnoteReference w:id="26"/>
      </w:r>
      <w:r>
        <w:t xml:space="preserve"> aan het artikel in de Successiewet een bijzin is toegevoegd die regelde dat de fictie ook in werking gesteld werd indien de periodieke uitkering uit werd gekeerd tot een tijdstip die met het overlijden rekening hield. Ondanks het succesvolle beroep op fraus legis, achtte de wetgever het nodig om deze antimisbruikbepaling toe te voegen om:</w:t>
      </w:r>
    </w:p>
    <w:p w:rsidR="00174971" w:rsidRDefault="00174971" w:rsidP="004D3912">
      <w:pPr>
        <w:pStyle w:val="Subtitle"/>
      </w:pPr>
      <w:r>
        <w:t>“Elken grond weg te nemen voor de bewering dat, zoo bv. het recht was bedongen tot 3 dagen vóór iemands dood, het artikel niet toepasselijk zou zijn”</w:t>
      </w:r>
      <w:r>
        <w:rPr>
          <w:rStyle w:val="FootnoteReference"/>
        </w:rPr>
        <w:footnoteReference w:id="27"/>
      </w:r>
      <w:r>
        <w:t>.</w:t>
      </w:r>
    </w:p>
    <w:p w:rsidR="00174971" w:rsidRDefault="00174971" w:rsidP="004D3912">
      <w:r>
        <w:t>Ondanks het succes van de fiscus, was dit niet het startschot om het leerstuk van wetsontduiking veel vaker toe te passen. Tot aan de jaren tachtig van de 20</w:t>
      </w:r>
      <w:r w:rsidRPr="005708E1">
        <w:rPr>
          <w:vertAlign w:val="superscript"/>
        </w:rPr>
        <w:t>e</w:t>
      </w:r>
      <w:r>
        <w:t xml:space="preserve"> werd nauwelijks gebruik gemaakt van fraus legis omdat het gecodificeerde rechtsmiddel van richtige heffing de voorkeur genoot.</w:t>
      </w:r>
    </w:p>
    <w:p w:rsidR="00174971" w:rsidRDefault="00174971" w:rsidP="004D3912">
      <w:pPr>
        <w:pStyle w:val="Heading3"/>
      </w:pPr>
      <w:bookmarkStart w:id="11" w:name="_Toc265484797"/>
      <w:r>
        <w:t>2.2.2 Richtige heffing</w:t>
      </w:r>
      <w:bookmarkEnd w:id="11"/>
    </w:p>
    <w:p w:rsidR="00174971" w:rsidRDefault="00174971" w:rsidP="004D3912">
      <w:r>
        <w:t>Het rechtsmiddel richtige heffing is een rechtsmiddel dat gecodificeerd is in de Algemene wet inzake rijksbelastingen. Echter voor het in gebruik nemen van de AWR had richtige heffing haar plaats in het belastingrecht al gevonden. De oorzaak hiervoor lag in het feit dat belastingplichtigen steeds vaker de belastingwetgeving wilden omzeilen. De wetgever bemerkte in de eerste decennia van de 20</w:t>
      </w:r>
      <w:r w:rsidRPr="0044130D">
        <w:rPr>
          <w:vertAlign w:val="superscript"/>
        </w:rPr>
        <w:t>e</w:t>
      </w:r>
      <w:r>
        <w:t xml:space="preserve"> eeuw, nadat de inkomstenbelastingtarieven waren verhoogd, dat het aantal fiscale constructies om belasting te ontwijken flink gestegen was</w:t>
      </w:r>
      <w:r>
        <w:rPr>
          <w:rStyle w:val="FootnoteReference"/>
        </w:rPr>
        <w:t xml:space="preserve">·. </w:t>
      </w:r>
      <w:r>
        <w:t>Om deze reden werd per 1 mei 1925 de Wet Richtige heffing</w:t>
      </w:r>
      <w:r>
        <w:rPr>
          <w:rStyle w:val="FootnoteReference"/>
        </w:rPr>
        <w:footnoteReference w:id="28"/>
      </w:r>
      <w:r>
        <w:t xml:space="preserve"> ingevoerd, waarvan het eerste artikel de hoofdregel tegen belastingontwijking bevatte. Hierin werd bepaald </w:t>
      </w:r>
      <w:r w:rsidRPr="00EF6268">
        <w:t>dat bij de heffing van de dir</w:t>
      </w:r>
      <w:r>
        <w:t xml:space="preserve">ecte belastingen geen rekening </w:t>
      </w:r>
      <w:r w:rsidRPr="00EF6268">
        <w:t>gehouden</w:t>
      </w:r>
      <w:r>
        <w:t xml:space="preserve"> werd met rechtshandelingen, waarvan</w:t>
      </w:r>
      <w:r w:rsidRPr="00EF6268">
        <w:t xml:space="preserve"> aangenomen </w:t>
      </w:r>
      <w:r>
        <w:t xml:space="preserve">werd </w:t>
      </w:r>
      <w:r w:rsidRPr="00EF6268">
        <w:t xml:space="preserve">dat zij </w:t>
      </w:r>
      <w:r>
        <w:t xml:space="preserve">niet gemaakt zouden zijn indien daarmee niet een lagere belastingplicht bewerkstelligd zou worden. </w:t>
      </w:r>
    </w:p>
    <w:p w:rsidR="00174971" w:rsidRDefault="00174971" w:rsidP="004D3912">
      <w:r>
        <w:t>Opvallend is dat de jurisprudentie ten tijde van de Wet RH met betrekking tot de richtige heffing beperkt is gebleven tot een aantal uitspraken van Hof ’s-Gravenhage</w:t>
      </w:r>
      <w:r>
        <w:rPr>
          <w:rStyle w:val="FootnoteReference"/>
        </w:rPr>
        <w:footnoteReference w:id="29"/>
      </w:r>
      <w:r>
        <w:t>. Uit het feit dat de Hoge Raad zich destijds niet over het leerstuk heeft hoeven buigen, kan afgeleid worden dat de wet voornamelijk een preventieve werking had. Dit zal ook de reden geweest zijn dat de richtige heffing vrijwel zonder aanpassingen is overgenomen in de AWR tijdens de invoering van deze wet in 1959. De artikelen ter bevordering van de richtige heffing zijn opgenomen in hoofdstuk zes</w:t>
      </w:r>
      <w:r w:rsidRPr="0004275B">
        <w:t xml:space="preserve"> </w:t>
      </w:r>
      <w:r>
        <w:t>van de AWR, in de artikelen 31 tot en met 36. Aangezien weinig veranderd was met betrekking tot de wettekst van de richtige heffing en de fiscus vrijwel nooit genade vond bij de Hoge Raad om beroep te doen op dit rechtsmiddel, werd dit hoofdstuk gezien als een stille waker op de achtergrond</w:t>
      </w:r>
      <w:r>
        <w:rPr>
          <w:rStyle w:val="FootnoteReference"/>
        </w:rPr>
        <w:footnoteReference w:id="30"/>
      </w:r>
      <w:r>
        <w:t>. Echter op 27 december 1967 oordeelde de Hoge Raad in het holdingarrest</w:t>
      </w:r>
      <w:r>
        <w:rPr>
          <w:rStyle w:val="FootnoteReference"/>
        </w:rPr>
        <w:footnoteReference w:id="31"/>
      </w:r>
      <w:r>
        <w:t>, dat richtige heffing zeker nog betekenis toekwam en dat het meer dan alleen een preventieve werking had</w:t>
      </w:r>
      <w:r>
        <w:rPr>
          <w:rStyle w:val="FootnoteReference"/>
        </w:rPr>
        <w:footnoteReference w:id="32"/>
      </w:r>
      <w:r>
        <w:t>.</w:t>
      </w:r>
    </w:p>
    <w:p w:rsidR="00174971" w:rsidRDefault="00174971" w:rsidP="004D3912">
      <w:r>
        <w:t>In dit arrest had belanghebbende samen met een aantal familieleden een holding opgericht en daaraan aandelen in de werkmaatschappij overgedragen. De overdrachtsprijs voor deze aandelen werd schuldig gebleven en over de schuld werd een zakelijke rente berekend. De dividenden die de holding ontving op de aandelen werden gebruikt voor aflossingen van de schuld. Hierdoor was er in plaats van een dividendstroom sprake van een reeks aflossingen. Door deze fiscale constructie werden dividenden ontvangen door de familieleden zonder dat daarover inkomstenbelasting verschuldigd was. De inspecteur besloot met een beroep op richtige heffing om de oprichting van de holding te elimineren, waartegen belanghebbende in beroep ging. De Hoge Raad verklaarde het beroep in cassatie van belanghebbende ongegrond door zich te verenigen met de uitspraak van hof ’s-Gravenhage, waarin de inspecteur al in het gelijk gesteld werd. De Hoge Raad gaf in het arrest drie uitgangspunten voor de toepassing van het leerstuk van richtige heffing:</w:t>
      </w:r>
    </w:p>
    <w:p w:rsidR="00174971" w:rsidRDefault="00174971" w:rsidP="004D3912">
      <w:pPr>
        <w:pStyle w:val="ListParagraph"/>
        <w:numPr>
          <w:ilvl w:val="0"/>
          <w:numId w:val="2"/>
        </w:numPr>
      </w:pPr>
      <w:r>
        <w:t>Artikel 31 AWR komt voor toepassing in aanmerking indien de doorslaggevende beweegreden voor de rechtshandeling belastingverijdeling is</w:t>
      </w:r>
    </w:p>
    <w:p w:rsidR="00174971" w:rsidRDefault="00174971" w:rsidP="004D3912">
      <w:pPr>
        <w:pStyle w:val="ListParagraph"/>
        <w:numPr>
          <w:ilvl w:val="0"/>
          <w:numId w:val="2"/>
        </w:numPr>
      </w:pPr>
      <w:r>
        <w:t>De wijze van het ontgaan van belasting is in strijd met doel en strekking van de fiscale wetgeving en dit is gebeurd onder omstandigheden die veroorzaken dat op niet meer aanvaardbare wijze de normale toepassing van de wettelijke bepalingen is doorkruist</w:t>
      </w:r>
    </w:p>
    <w:p w:rsidR="00174971" w:rsidRDefault="00174971" w:rsidP="004D3912">
      <w:pPr>
        <w:pStyle w:val="ListParagraph"/>
        <w:numPr>
          <w:ilvl w:val="0"/>
          <w:numId w:val="2"/>
        </w:numPr>
      </w:pPr>
      <w:r>
        <w:t>Er is niet op normale wijze gebruikgemaakt van toelaatbare middelen om belasting te ontgaan</w:t>
      </w:r>
    </w:p>
    <w:p w:rsidR="00174971" w:rsidRPr="00761367" w:rsidRDefault="00174971" w:rsidP="004D3912">
      <w:r>
        <w:t>Door deze drie uitgangspunten duidelijk te formuleren heeft de Hoge Raad een belangrijke stap gezet voor de toepassing van richtige heffing in de jaren na het holdingarrest. In latere jurisprudentie zijn deze uitgangspunten verder uitgewerkt. Zo heeft de Hoge Raad geoordeeld dat een vermoeden van een doorslaggevende beweegreden al aanwezig is indien de constructie, afgezien van de fiscale voordelen, voorzienbaar nadelig is</w:t>
      </w:r>
      <w:r>
        <w:rPr>
          <w:rStyle w:val="FootnoteReference"/>
        </w:rPr>
        <w:footnoteReference w:id="33"/>
      </w:r>
      <w:r>
        <w:t>. De bewijslast om te bepalen of de drie uitgangspunten zich voordoen, ligt bij de inspecteur. Mocht de inspecteur hierin slagen, dan heeft de belastingplichtige de mogelijkheid om te bewijzen dat andere beweegredenen ten grondslag lagen aan de belastingbesparende constructie.</w:t>
      </w:r>
    </w:p>
    <w:p w:rsidR="00174971" w:rsidRPr="00761367" w:rsidRDefault="00174971" w:rsidP="004D3912">
      <w:pPr>
        <w:pStyle w:val="Heading3"/>
      </w:pPr>
      <w:bookmarkStart w:id="12" w:name="_Toc265484798"/>
      <w:r>
        <w:t xml:space="preserve">2.2.3 </w:t>
      </w:r>
      <w:r w:rsidRPr="00761367">
        <w:t>De verhouding tussen fraus legis en richtige heffing</w:t>
      </w:r>
      <w:bookmarkEnd w:id="12"/>
    </w:p>
    <w:p w:rsidR="00174971" w:rsidRDefault="00174971" w:rsidP="004D3912">
      <w:r>
        <w:t xml:space="preserve">Doordat het leerstuk van richtige heffing in een stroomversnelling terecht gekomen was na het holdingarrest en fraus legis na het drie dagenarrest nauwelijks toegepast werd, speelde de vraag wat de verhouding tussen beide leerstukken is. Destijds was er geen eensgezindheid over de vraag of er plaats is voor zowel fraus legis als richtige heffing naast elkaar in de fiscaliteit. Zo werd in de literatuur verdedigd dat de twee begrippen een congruentie vertonen: </w:t>
      </w:r>
    </w:p>
    <w:p w:rsidR="00174971" w:rsidRDefault="00174971" w:rsidP="004D3912">
      <w:pPr>
        <w:pStyle w:val="Subtitle"/>
      </w:pPr>
      <w:r>
        <w:t>“Het leerstuk van de fraus legis heeft geen zelfstandige betekenis naast interpretatie en analogie. Toepassing van dit leerstuk is in wezen toepassing van analogie”</w:t>
      </w:r>
      <w:r>
        <w:rPr>
          <w:rStyle w:val="FootnoteReference"/>
        </w:rPr>
        <w:footnoteReference w:id="34"/>
      </w:r>
      <w:r>
        <w:t>.</w:t>
      </w:r>
    </w:p>
    <w:p w:rsidR="00174971" w:rsidRDefault="00174971" w:rsidP="004D3912">
      <w:r>
        <w:t>Anderen bestreden deze gedachte en meenden dat beide leerstukken het bestaansrecht naast elkaar hadden</w:t>
      </w:r>
      <w:r>
        <w:rPr>
          <w:rStyle w:val="FootnoteReference"/>
        </w:rPr>
        <w:footnoteReference w:id="35"/>
      </w:r>
      <w:r>
        <w:t>. Zo stelde AG Van Soest bij het fraus legis arrest van 21 juni 1978 in zijn conclusie dat richtige heffing een lex specialis is op het gebied van wetsontduiking</w:t>
      </w:r>
      <w:r>
        <w:rPr>
          <w:rStyle w:val="FootnoteReference"/>
        </w:rPr>
        <w:footnoteReference w:id="36"/>
      </w:r>
      <w:r>
        <w:t>. Hij baseerde zijn standpunt op het feit dat de wetgever de rechtsgevolgen bij wetsontduiking heeft geregeld in artikel 31 e.v. AWR, waardoor andere rechtsgevolgen die niet uit de wet volgen uit dienen te blijven. Richtige heffing heeft dus voorrang op fraus legis omdat richtige heffing gecodificeerd is, aldus Van Soest. Als deze conclusie doorgetrokken wordt, zal fraus legis nooit toepassing kunnen vinden in de sfeer van directe belastingen aangezien omdat artikel 31 AWR dan geldt. De Hoge Raad heeft in BNB 1985/32</w:t>
      </w:r>
      <w:r>
        <w:rPr>
          <w:rStyle w:val="FootnoteReference"/>
        </w:rPr>
        <w:footnoteReference w:id="37"/>
      </w:r>
      <w:r>
        <w:t xml:space="preserve"> duidelijk gemaakt dat dit standpunt niet juist is. Uit dit arrest volgt dat belastingontwijkende rechtshandelingen in de sfeer van directe belastingen zowel met fraus legis als met richtige heffing kunnen worden bestreden. Dit arrest kan gezien worden als een doorbraak voor de werking van het leerstuk van fraus legis in verhouding met richtige heffing. </w:t>
      </w:r>
    </w:p>
    <w:p w:rsidR="00174971" w:rsidRPr="000129F6" w:rsidRDefault="00174971" w:rsidP="004D3912">
      <w:r>
        <w:t>Uit dit arrest kunnen drie voorwaarden voor de toepassing van het leerstuk van wetsontduiking worden gehaald</w:t>
      </w:r>
      <w:r>
        <w:rPr>
          <w:rStyle w:val="FootnoteReference"/>
        </w:rPr>
        <w:footnoteReference w:id="38"/>
      </w:r>
      <w:r>
        <w:t>:</w:t>
      </w:r>
    </w:p>
    <w:p w:rsidR="00174971" w:rsidRDefault="00174971" w:rsidP="004D3912">
      <w:pPr>
        <w:pStyle w:val="ListParagraph"/>
        <w:numPr>
          <w:ilvl w:val="0"/>
          <w:numId w:val="3"/>
        </w:numPr>
        <w:ind w:left="714" w:hanging="357"/>
      </w:pPr>
      <w:r>
        <w:t>Voor de belastingplichtige is het bereiken van een aanzienlijke belastingbesparing het enige, althans volstrekt overwegende, motief geweest voor het sluiten van de transacties</w:t>
      </w:r>
    </w:p>
    <w:p w:rsidR="00174971" w:rsidRDefault="00174971" w:rsidP="004D3912">
      <w:pPr>
        <w:pStyle w:val="ListParagraph"/>
        <w:numPr>
          <w:ilvl w:val="0"/>
          <w:numId w:val="3"/>
        </w:numPr>
        <w:ind w:left="714" w:hanging="357"/>
      </w:pPr>
      <w:r>
        <w:t>De transacties hadden voor de belastingplichtige buiten het daarmee beoogde fiscale voordeel geen reële, praktische betekenis</w:t>
      </w:r>
    </w:p>
    <w:p w:rsidR="00174971" w:rsidRPr="0057546A" w:rsidRDefault="00174971" w:rsidP="004D3912">
      <w:pPr>
        <w:pStyle w:val="ListParagraph"/>
        <w:numPr>
          <w:ilvl w:val="0"/>
          <w:numId w:val="3"/>
        </w:numPr>
        <w:ind w:left="714" w:hanging="357"/>
      </w:pPr>
      <w:r>
        <w:t xml:space="preserve"> Doel en strekking van de wet zouden worden miskend, indien de verlangde aftrek zou worden verleend.</w:t>
      </w:r>
    </w:p>
    <w:p w:rsidR="00174971" w:rsidRDefault="00174971" w:rsidP="004D3912">
      <w:r>
        <w:t>Deze voorwaarden zijn niet stringenter dan de eerder genoemde uitgangspunten voor het toepassen van richtige heffing uit het holdingarrest. In beide gevallen moet belastingbesparing de doorslaggevende of volstrekt overwegende beweegreden zijn voor de rechtshandelingen, inhoudelijk verschilt dit niet. De tweede voorwaarde hangt naar mijns inziens sterk samen met de eerste voorwaarde. Als een belastingbesparing het overwegende motief is, dan zal de transactie in veel gevallen geen reële praktisch betekenis hebben. In latere jurisprudentie werden constructies ook niet meer altijd getoetst op deze voorwaarde</w:t>
      </w:r>
      <w:r>
        <w:rPr>
          <w:rStyle w:val="FootnoteReference"/>
        </w:rPr>
        <w:footnoteReference w:id="39"/>
      </w:r>
      <w:r>
        <w:t xml:space="preserve">. Ook strijdigheid met doel en strekking van de wet is zowel voor toepassing van fraus legis als van richtige heffing noodzakelijk. </w:t>
      </w:r>
    </w:p>
    <w:p w:rsidR="00174971" w:rsidRDefault="00174971" w:rsidP="004D3912">
      <w:r>
        <w:t>Het toepassingsgebied van het leerstuk van wetsontduiking is onder andere door BNB 1985/32 en BNB 1985/171 aanzienlijk verruimd. De Hoge Raad heeft in deze arresten duidelijk gemaakt dat met toepassing van fraus legis een rechtshandeling kan worden genegeerd, voorheen werd dit geacht alleen met behulp van richtige heffing mogelijk te zijn. Deze verruiming van de toepasbaarheid van fraus legis houdt niet in dat het gelijk gesteld kan worden met richtige heffing, er zijn een aantal belangrijke verschillen. Allereerst is richtige heffing alleen van toepassing op directe belastingen en de inkomstenbelasting</w:t>
      </w:r>
      <w:r>
        <w:rPr>
          <w:rStyle w:val="FootnoteReference"/>
        </w:rPr>
        <w:footnoteReference w:id="40"/>
      </w:r>
      <w:r>
        <w:t>, fraus legis geldt daarentegen voor het gehele rechtsverkeer. Tevens zijn er verschillen tussen de te volgen procedures om de twee wapens tegen belastingontwijking in stelling te brengen. Voor richtige heffing geldt dat toestemming nodig is van de minister van Financiën. Daaraan voorafgaand is er een afzonderlijke voorprocedure om uit te maken of richtige heffing kan worden toegepast in een bepaalde situatie. Wetsontduiking is daarentegen ontwikkeld in de rechtspraak en kan te allen tijde worden ingeroepen door een inspecteur. Ook bestaan er verschillen in de toepassingsmogelijkheden van beide leerstukken. Dit is duidelijk geworden in BNB 1986/283</w:t>
      </w:r>
      <w:r>
        <w:rPr>
          <w:rStyle w:val="FootnoteReference"/>
        </w:rPr>
        <w:footnoteReference w:id="41"/>
      </w:r>
      <w:r>
        <w:t xml:space="preserve"> waar belanghebbende een koopsompolis had verkocht aan een emigrant, die op het moment van de transactie nog binnenlands belastingplichtig was. Kort daarna emigreerde hij en eenmaal in het buitenland kocht hij de polis af. De reden voor deze constructie was dat de belanghebbende met het oog op de destijds geldende wet geen inkomstenbelasting verschuldigd was over de afkoop, terwijl een vervreemding aan een niet binnenlands belastingplichtige wel in heffing zou resulteren</w:t>
      </w:r>
      <w:r>
        <w:rPr>
          <w:rStyle w:val="FootnoteReference"/>
        </w:rPr>
        <w:footnoteReference w:id="42"/>
      </w:r>
      <w:r>
        <w:t xml:space="preserve">. Dit ontwijken van belastingheffing door het vervreemden van de koopsompolis aan een emigrant is niet verenigbaar met doel en strekking van de wet, aldus de inspecteur. Om belastingverijdeling te voorkomen riep de inspecteur de toepassing van richtige heffing in om zodoende geen rekening te houden met de verkoop van de polis aan de emigrant. Dit negeren van de rechtshandeling zou echter niet leiden tot het gewenste resultaat voor de inspecteur omdat er dan geen belastbaar inkomen aanwijsbaar is bij de belanghebbende. Om ervoor te zorgen dat er toch belasting geheven kan worden, moet de vervreemding aan de emigrant gelijk gesteld worden aan een vervreemding aan een niet binnenlands belastingplichtige. Het is dus noodzakelijk dat de rechtshandeling niet wordt genegeerd, maar dat de rechtshandeling wordt omgezet in een andere rechtshandeling. De Hoge Raad oordeelde dat met richtige heffing alleen wetsontduiking bestreden kan worden door geen rekening te houden met de desbetreffende rechtshandeling en dat dat leerstuk in casu dus geen oplossing biedt om belastingheffing alsnog te laten plaatsvinden. Daarom stelde de Hoge Raad dat het ontgaan van belasting in deze casus niet met artikel 31 AWR moet worden bestreden, maar met fraus legis. Fraus legis kan hier wel een oplossing bieden door de onbelaste rechtshandeling te transformeren in een belaste rechtshandeling. Dit arrest duidt er op dat fraus legis een breder toepassingsbereik heeft dan richtige heffing. Met behulp van richtige heffing kan immers alleen een rechtshandeling worden genegeerd, terwijl met behulp van fraus legis naast het negeren een rechtshandeling ook getransformeerd kan worden in een andere rechtshandeling. </w:t>
      </w:r>
    </w:p>
    <w:p w:rsidR="00174971" w:rsidRDefault="00174971" w:rsidP="004D3912">
      <w:r>
        <w:t>Al deze verschillen en overeenkomsten, die duidelijk werden in de jaren ’80, maken van fraus legis een aantrekkelijkere oplossing voor de fiscus dan richtige heffing. De staatssecretaris heeft dit ook ingezien en heeft na BNB 1986 283 een persbericht afgegeven:</w:t>
      </w:r>
    </w:p>
    <w:p w:rsidR="00174971" w:rsidRPr="00844EB1" w:rsidRDefault="00174971" w:rsidP="004D3912">
      <w:pPr>
        <w:pStyle w:val="Subtitle"/>
      </w:pPr>
      <w:bookmarkStart w:id="13" w:name="h100"/>
      <w:bookmarkEnd w:id="13"/>
      <w:r>
        <w:rPr>
          <w:rStyle w:val="hit"/>
        </w:rPr>
        <w:t>“</w:t>
      </w:r>
      <w:r w:rsidRPr="00844EB1">
        <w:rPr>
          <w:rStyle w:val="hit"/>
        </w:rPr>
        <w:t>Uit</w:t>
      </w:r>
      <w:r w:rsidRPr="00844EB1">
        <w:t xml:space="preserve"> </w:t>
      </w:r>
      <w:bookmarkStart w:id="14" w:name="h101"/>
      <w:bookmarkEnd w:id="14"/>
      <w:r w:rsidRPr="00844EB1">
        <w:rPr>
          <w:rStyle w:val="hit"/>
        </w:rPr>
        <w:t>de</w:t>
      </w:r>
      <w:r w:rsidRPr="00844EB1">
        <w:t xml:space="preserve"> </w:t>
      </w:r>
      <w:bookmarkStart w:id="15" w:name="h102"/>
      <w:bookmarkEnd w:id="15"/>
      <w:r w:rsidRPr="00844EB1">
        <w:rPr>
          <w:rStyle w:val="hit"/>
        </w:rPr>
        <w:t>meest</w:t>
      </w:r>
      <w:r w:rsidRPr="00844EB1">
        <w:t xml:space="preserve"> </w:t>
      </w:r>
      <w:bookmarkStart w:id="16" w:name="h103"/>
      <w:bookmarkEnd w:id="16"/>
      <w:r w:rsidRPr="00844EB1">
        <w:rPr>
          <w:rStyle w:val="hit"/>
        </w:rPr>
        <w:t>recente</w:t>
      </w:r>
      <w:r w:rsidRPr="00844EB1">
        <w:t xml:space="preserve"> </w:t>
      </w:r>
      <w:bookmarkStart w:id="17" w:name="h104"/>
      <w:bookmarkEnd w:id="17"/>
      <w:r w:rsidRPr="00844EB1">
        <w:rPr>
          <w:rStyle w:val="hit"/>
        </w:rPr>
        <w:t>jurisprudentie</w:t>
      </w:r>
      <w:r w:rsidRPr="00844EB1">
        <w:t>, na de aanbevelingen van het ISMO-rapport, blijkt dat het toepassingsgebied van fraus legis is verruimd. Het toepassingsgebied omvat mede de richtige heffing. Aangezien het de vraag is of deze recente ontwikkeling van structurele aard is, heeft de Staatssecretaris besloten vooralsnog geen wetsvoorstel in te dienen. Wel zullen voor een observatieperiode van 5 jaren met ingang van 1 augustus 1987 geen machtigingen voor de toepassing van de richtige heffing worden verstrekt. Na deze periode, waarin het ontgaan van belastingen uitsluitend met behulp van fraus legis zal worden bestreden, zullen de ontwikkelingen in de jurisprudentie geëvalueerd worden. Dan kan alsnog worden bezien of - en in welke zin - een wetsw</w:t>
      </w:r>
      <w:r>
        <w:t>ijziging moet worden voorbereid”</w:t>
      </w:r>
      <w:r>
        <w:rPr>
          <w:rStyle w:val="FootnoteReference"/>
        </w:rPr>
        <w:footnoteReference w:id="43"/>
      </w:r>
      <w:r>
        <w:t>.</w:t>
      </w:r>
    </w:p>
    <w:p w:rsidR="00174971" w:rsidRDefault="00174971" w:rsidP="004D3912">
      <w:r>
        <w:t>Meer dan twintig jaar na dit persbericht heeft dit nog niet geleid tot een wetswijziging in de AWR. De periode van vijf jaren waarin de staatssecretaris geen machtigingen heeft afgegeven is inmiddels stilzwijgend verlengd aangezien tot op heden nog altijd geen machtigingen zijn afgegeven. Hierdoor is sinds 1987 het leerstuk van fraus legis feitelijk het enige instrument om belastingontwijking te bestrijden. Het zou de wetgever prijzen als hij het leerstuk van de richtige heffing met een wetswijziging schrapt uit de AWR.</w:t>
      </w:r>
    </w:p>
    <w:p w:rsidR="00174971" w:rsidRDefault="00174971" w:rsidP="004D3912">
      <w:pPr>
        <w:pStyle w:val="Heading2"/>
      </w:pPr>
      <w:bookmarkStart w:id="18" w:name="_Toc265484799"/>
      <w:r>
        <w:t>2.3 Vereisten voor fraus legis</w:t>
      </w:r>
      <w:bookmarkEnd w:id="18"/>
    </w:p>
    <w:p w:rsidR="00174971" w:rsidRDefault="00174971" w:rsidP="004D3912">
      <w:r>
        <w:t>Uit de eerder genoemde jurisprudentie over het leerstuk van de wetsontduiking volgt dat een handeling kwalificeert als fraus legis indien de handeling in strijd is met doel en strekking van de wet en de belanghebbende dit doet met het oog op de gewenste fiscale gevolgen. Deze twee voorwaarden, waaraan cumulatief aan dient te worden voldaan, zijn respectievelijk te benoemen als het normvereiste en het motiefvereiste.</w:t>
      </w:r>
    </w:p>
    <w:p w:rsidR="00174971" w:rsidRDefault="00174971" w:rsidP="004D3912">
      <w:pPr>
        <w:pStyle w:val="Heading3"/>
      </w:pPr>
      <w:bookmarkStart w:id="19" w:name="_Toc265484800"/>
      <w:r>
        <w:t>2.3.1 Het normvereiste</w:t>
      </w:r>
      <w:bookmarkEnd w:id="19"/>
    </w:p>
    <w:p w:rsidR="00174971" w:rsidRDefault="00174971" w:rsidP="004D3912">
      <w:r>
        <w:t>Het doel en de strekking van een wet kunnen worden gevonden in de ontstaansgeschiedenis van een wet. Hierin komt vaak naar voren wat de bedoeling van de wetgever is achter een bepaalde wettekst. In de regel is het uitgangspunt van de wet, dat aangeknoopt wordt bij reële economische gebeurtenissen in het economisch verkeer. Hierdoor mag er in beginsel van uit worden gegaan dat rechtshandelingen die niet een wezenlijke wijziging van omstandigheden veroorzaken doordat de economische verhoudingen na enkele verschuivingen gelijk blijven, in strijd zijn met doel en strekking van de wet</w:t>
      </w:r>
      <w:r>
        <w:rPr>
          <w:rStyle w:val="FootnoteReference"/>
        </w:rPr>
        <w:footnoteReference w:id="44"/>
      </w:r>
      <w:r>
        <w:t>. Dit houdt in dat indien het eindresultaat van rechtshandelingen geen aanvaardbare economische zin heeft, de belanghebbende in de risicosfeer terecht komt. Een voorbeeld van een toepassing van fraus legis op dit gebied is BNB 1993/197</w:t>
      </w:r>
      <w:r>
        <w:rPr>
          <w:rStyle w:val="FootnoteReference"/>
        </w:rPr>
        <w:footnoteReference w:id="45"/>
      </w:r>
      <w:r>
        <w:t>. In dit arrest creëerde een vennootschap een rentelast bij zichzelf en de bijhorende rentebaten bij de 100% dochter die verrekenbare verliezen had. Dit heeft hij gedaan door het betalen van agio door de moeder aan de dochter bij plaatsing van nieuwe aandelen en vervolgens werd hetzelfde bedrag teruggeleend. De Hoge Raad oordeelde hier dat het toekennen van agio van de moeder aan de dochter geen reële praktische betekenis had voor de financiële positie van de vennootschappen. Het zou daarom in strijd zijn met doel en strekking van de wet zijn als renteaftrek op het niveau van de moeder zou worden toegestaan. Dergelijke rechtshandelingen die geen invloed hebben op de economische realiteit, bestempelt IJzerman als ‘circulaire bewegingen’</w:t>
      </w:r>
      <w:r>
        <w:rPr>
          <w:rStyle w:val="FootnoteReference"/>
        </w:rPr>
        <w:footnoteReference w:id="46"/>
      </w:r>
      <w:r>
        <w:t>.</w:t>
      </w:r>
    </w:p>
    <w:p w:rsidR="00174971" w:rsidRDefault="00174971" w:rsidP="004D3912">
      <w:pPr>
        <w:rPr>
          <w:b/>
        </w:rPr>
      </w:pPr>
      <w:r>
        <w:t>Naast deze circulaire bewegingen kan er ook strijd zijn met doel en strekking van de wet indien het eindresultaat in beginsel economisch aanvaardbaar is, maar in de rechtshandelingen die daartoe leiden onaanvaardbare stappen aan te wijzen zijn. Een voorbeeld hiervan is BNB 2000/19</w:t>
      </w:r>
      <w:r>
        <w:rPr>
          <w:rStyle w:val="FootnoteReference"/>
        </w:rPr>
        <w:footnoteReference w:id="47"/>
      </w:r>
      <w:r>
        <w:t xml:space="preserve"> waarin een belastingplichtige de aandelen in een onroerendgoedlichaam</w:t>
      </w:r>
      <w:r>
        <w:rPr>
          <w:rStyle w:val="FootnoteReference"/>
        </w:rPr>
        <w:footnoteReference w:id="48"/>
      </w:r>
      <w:r>
        <w:t xml:space="preserve"> wil kopen maar voor het moment van levering van de aandelen eerst de onroerende zaken uit de vennootschap worden overgenomen door met de belastingplichtige gelieerde partijen. De overdracht van deze onroerende zaken vond plaats zonder dat een juridische levering plaatsvond. Door deze constructie had de vennootschap alle aandelen in het onroerendgoedlichaam verkregen, zonder overdrachtsbelasting te betalen. Het eindresultaat, de aankoop van de aandelen, heeft economische realiteit maar onaanvaardbaar zijn hier de genomen tussenstappen. Om deze reden heeft de Hoge Raad geoordeeld dat de belastingplichtige in een dergelijke situatie handelde in fraudem legis.</w:t>
      </w:r>
    </w:p>
    <w:p w:rsidR="00174971" w:rsidRDefault="00174971" w:rsidP="004D3912">
      <w:r>
        <w:t>Naast de twee genoemde manieren waarop strijdigheid met doel en strekking van de wet kan plaatsvinden, kan er ook sprake zijn van strijdigheid met het systeem van de wetgeving. Dit is een allerlaatste redmiddel voor de fiscus en is in het verleden toegepast in gevallen van renteaftrek. Een voorbeeld hiervan is een arrest van BNB 1990/72</w:t>
      </w:r>
      <w:r>
        <w:rPr>
          <w:rStyle w:val="FootnoteReference"/>
        </w:rPr>
        <w:footnoteReference w:id="49"/>
      </w:r>
      <w:r>
        <w:t xml:space="preserve"> waarin de Hoge Raad besloot om aftrek van rente niet toe te staan, met behulp van toepassing van het leerstuk fraus legis. In deze casus had een Nederlandse vennootschap aandelen in een vennootschap gekocht en werd de koopsom rentedragend schuldig gebleven. De Hoge Raad weigerde de renteaftrek met de toepassing fraus legis. Dit terwijl de wetgever dit nooit als doel en strekking van de renteaftrek bedoeld heeft:</w:t>
      </w:r>
    </w:p>
    <w:p w:rsidR="00174971" w:rsidRDefault="00174971" w:rsidP="004D3912">
      <w:pPr>
        <w:pStyle w:val="Subtitle"/>
      </w:pPr>
      <w:r>
        <w:t>“De wetgever heeft wat betreft de aftrek van rente immers – men leze de wetsgeschiedenis er op na – niets bedoeld. De rechter legt (…) de wetgever iets in de mond dat hij niet heeft bedoeld, maar in de ogen van de rechter had behoren te bedoelen. Een normatieve teleologische interpretatie”</w:t>
      </w:r>
      <w:r>
        <w:rPr>
          <w:rStyle w:val="FootnoteReference"/>
        </w:rPr>
        <w:footnoteReference w:id="50"/>
      </w:r>
      <w:r>
        <w:t>.</w:t>
      </w:r>
    </w:p>
    <w:p w:rsidR="00174971" w:rsidRDefault="00174971" w:rsidP="004D3912">
      <w:r>
        <w:t xml:space="preserve">De rechter schiet hier dus de wetgever te hulp door niet louter naar doel en strekking van de wet te kijken maar ook naar doel en strekking van het systeem van de wet. Hierdoor kunnen ook rechtshandelingen bestreden worden waarvan de wetgever zich ten tijde van de redactie van een bepaalde wettekst niet van bewust kon zijn. </w:t>
      </w:r>
    </w:p>
    <w:p w:rsidR="00174971" w:rsidRDefault="00174971" w:rsidP="004D3912">
      <w:r>
        <w:t>Om te bepalen of aan het normvereiste is voldaan, is het van belang of doel en strekking van een bepaalde wet statisch of juist dynamisch geïnterpreteerd dienen te worden. Door ontwikkelingen is het mogelijk dat de wetgeving in de loop der tijd anders geïnterpreteerd kan worden dan bij de introductie van de wet. Indien doel en strekking dynamisch uitgelegd dienen te worden, kunnen belanghebbende en fiscus inspelen op veranderingen in de (fiscale) wereld. Het is aan de rechter om per specifieke wet te oordelen of doel en strekking statisch of dynamisch getoetst dienen te worden.</w:t>
      </w:r>
    </w:p>
    <w:p w:rsidR="00174971" w:rsidRDefault="00174971" w:rsidP="004D3912">
      <w:pPr>
        <w:pStyle w:val="Heading3"/>
      </w:pPr>
      <w:bookmarkStart w:id="20" w:name="_Toc265484801"/>
      <w:r>
        <w:t>2.3.2 Motiefvereiste</w:t>
      </w:r>
      <w:bookmarkEnd w:id="20"/>
    </w:p>
    <w:p w:rsidR="00174971" w:rsidRDefault="00174971" w:rsidP="004D3912">
      <w:r>
        <w:t>Om natuurlijke en rechtspersonen te beschermen tegen willekeur en onverwachtse acties van de overheid, is in artikel 104 van de Grondwet vastgelegd dat rijksbelastingen worden geheven uit kracht van een wet. Dit artikel codificeert het legaliteitsbeginsel, dat vereist dat belastingplichtigen uit de wet moeten kunnen afleiden wat de fiscale verplichtingen zijn waaraan zij moeten voldoen. Het leerstuk van fraus legis maakt inbreuk op deze gedachtegang, omdat het afdoet aan de rechtszekerheid die uit de wet voortvloeit. Het kan getypeerd worden als rechtersrecht en strekt verder dan de wet. Om deze reden is het motiefvereiste voor de fiscus van belang om het leerstuk te mogen toepassen.</w:t>
      </w:r>
    </w:p>
    <w:p w:rsidR="00174971" w:rsidRDefault="00174971" w:rsidP="004D3912">
      <w:r>
        <w:t>Doordat alleen rechtshandelingen die gedaan zijn met als overwegende beweegreden het verijdelen van belasting onder de werking van fraus legis kunnen vallen, kan een belastingplichtige niet snel onverwachts met fraus legis geconfronteerd worden. Als hij bepaalde rechtshandelingen doet met het oog op het besparen van belasting, moet hij zich ervan bewust zijn dat fraus legis van toepassing kan zijn. Een belastingplichtige zal bij belastingbesparende constructies vaak van mening zijn dat deze geoorloofd zijn en dat er daardoor geen ruimte is voor fraus legis. Ik ben van mening dat hij ook in die situaties, waarin hij opzettelijk de fiscale grenzen opzoekt, rekening moet houden met het leerstuk van fraus legis. Door naast het normvereiste ook het motiefvereiste te stellen, worden alleen opzettelijke belastingontwijkende natuurlijke en rechtspersonen onder het bereik van het leerstuk van fraus legis gebracht. Het zal echter vaak lastig zijn om een motief van belastingplichtige vast te stellen, zeker als hij heeft kunnen kiezen tussen verschillende wegen om tot zijn doel te komen. In de loop der tijd zijn om die reden veel zaken voorgekomen bij de Hoge Raad, in verband waarmee deze een meerwegenleer</w:t>
      </w:r>
      <w:r>
        <w:rPr>
          <w:rStyle w:val="FootnoteReference"/>
        </w:rPr>
        <w:footnoteReference w:id="51"/>
      </w:r>
      <w:r>
        <w:t xml:space="preserve"> heeft ontwikkeld.</w:t>
      </w:r>
    </w:p>
    <w:p w:rsidR="00174971" w:rsidRPr="0013309D" w:rsidRDefault="00174971" w:rsidP="004D3912">
      <w:pPr>
        <w:pStyle w:val="Heading3"/>
      </w:pPr>
      <w:bookmarkStart w:id="21" w:name="_Toc265484802"/>
      <w:r w:rsidRPr="00A82058">
        <w:t>2.3.</w:t>
      </w:r>
      <w:r>
        <w:t>3</w:t>
      </w:r>
      <w:r w:rsidRPr="00A82058">
        <w:t xml:space="preserve"> Meerwegenleer</w:t>
      </w:r>
      <w:bookmarkEnd w:id="21"/>
    </w:p>
    <w:p w:rsidR="00174971" w:rsidRDefault="00174971" w:rsidP="004D3912">
      <w:r>
        <w:t>Het motiefvereiste verbiedt niet dat een belastingplichtige de fiscaal meest gunstige weg kiest indien hij kan kiezen om een doel te bereiken via verschillende opties</w:t>
      </w:r>
      <w:r>
        <w:rPr>
          <w:rStyle w:val="FootnoteReference"/>
        </w:rPr>
        <w:footnoteReference w:id="52"/>
      </w:r>
      <w:r>
        <w:t>. De belastingplichtige heeft de vrijheid om te kiezen tussen verschillende wegen om het doel te bereiken, voordat er sprake is van wetsontduiking. Deze vrijheid voor de belastingplichtige is echter niet grenzeloos, dit blijkt uit het feit dat de fiscus geregeld met succes een onzakelijke omweg heeft bestreden met fraus legis</w:t>
      </w:r>
      <w:r>
        <w:rPr>
          <w:rStyle w:val="FootnoteReference"/>
        </w:rPr>
        <w:footnoteReference w:id="53"/>
      </w:r>
      <w:r>
        <w:t>. Dit leidde tot een grijs gebied in de fiscale wereld over wanneer een fiscaal gunstige keuze was toegestaan en wanneer er sprake was wetsontduiking. In 1995 was het aan de Hoge Raad om meer duidelijkheid te verschaffen in de meerwegenproblematiek in het leerstuk van fraus legis</w:t>
      </w:r>
      <w:r>
        <w:rPr>
          <w:rStyle w:val="FootnoteReference"/>
        </w:rPr>
        <w:footnoteReference w:id="54"/>
      </w:r>
      <w:r>
        <w:t>. In deze casus stond een herstructurering onder schuldigerkenning centraal, met als onderdeel van het concern een van vennootschapsbelasting vrijgestelde vereniging. Er waren verschillende wegen mogelijk om het nagestreefde doel te bereiken. De weg die uiteindelijke gekozen werd door de belanghebbende verdiende volgens de Hoge Raad niet op enigerlei grond de voorkeur, afgezien van de fiscale gevolgen. Ondanks dat de herstructurering een meer dan bijkomstig zakelijk motief had overwoog de Hoge Raad dat:</w:t>
      </w:r>
    </w:p>
    <w:p w:rsidR="00174971" w:rsidRDefault="00174971" w:rsidP="004D3912">
      <w:pPr>
        <w:pStyle w:val="Subtitle"/>
      </w:pPr>
      <w:r>
        <w:t>“De omstandigheid dat een samenstel van rechtshandelingen, in zijn geheel bezien, strekt ter verwezenlijking van zakelijk gefundeerde doeleinden, sluit niet uit dat daarin rechtshandelingen zijn begrepen die voor het bereiken van die doeleinden niet noodzakelijk zijn en die - indien zij voor de heffing van de vennootschapsbelasting zouden worden aanvaard - zouden leiden tot een willekeurige en voortdurende verijdeling van deze heffing”</w:t>
      </w:r>
      <w:r>
        <w:rPr>
          <w:rStyle w:val="FootnoteReference"/>
        </w:rPr>
        <w:footnoteReference w:id="55"/>
      </w:r>
      <w:r>
        <w:t>.</w:t>
      </w:r>
    </w:p>
    <w:p w:rsidR="00174971" w:rsidRDefault="00174971" w:rsidP="004D3912">
      <w:r>
        <w:t>Uit deze overweging van de Hoge Raad kunnen drie cumulatieve voorwaarden worden afgeleid die toepassing van fraus legis rechtvaardigen indien een belastingplichtige verschillende mogelijkheden heeft om zijn zakelijke doel te bereiken:</w:t>
      </w:r>
    </w:p>
    <w:p w:rsidR="00174971" w:rsidRDefault="00174971" w:rsidP="004D3912">
      <w:pPr>
        <w:pStyle w:val="ListParagraph"/>
        <w:numPr>
          <w:ilvl w:val="0"/>
          <w:numId w:val="4"/>
        </w:numPr>
      </w:pPr>
      <w:r>
        <w:t>Rechtshandelingen zijn niet noodzakelijk om zakelijk gefundeerde doeleinden te bereiken</w:t>
      </w:r>
    </w:p>
    <w:p w:rsidR="00174971" w:rsidRDefault="00174971" w:rsidP="004D3912">
      <w:pPr>
        <w:pStyle w:val="ListParagraph"/>
        <w:numPr>
          <w:ilvl w:val="0"/>
          <w:numId w:val="4"/>
        </w:numPr>
      </w:pPr>
      <w:r>
        <w:t>Rechtshandelingen leiden tot een willekeurige verijdeling van belastingheffing</w:t>
      </w:r>
    </w:p>
    <w:p w:rsidR="00174971" w:rsidRDefault="00174971" w:rsidP="004D3912">
      <w:pPr>
        <w:pStyle w:val="ListParagraph"/>
        <w:numPr>
          <w:ilvl w:val="0"/>
          <w:numId w:val="4"/>
        </w:numPr>
      </w:pPr>
      <w:r>
        <w:t>Rechtshandelingen leiden tot voortdurende verijdeling van belastingheffing</w:t>
      </w:r>
    </w:p>
    <w:p w:rsidR="00174971" w:rsidRDefault="00174971" w:rsidP="004D3912">
      <w:r>
        <w:t>Uit deze toets blijkt dat het normvereiste en het motiefvereiste niet strikt te onderscheiden zijn, er is sprake van motiefcomponent (niet noodzakelijk) en een normcomponent (willekeurige en voortdurende verijdeling van heffing)</w:t>
      </w:r>
      <w:r>
        <w:rPr>
          <w:rStyle w:val="FootnoteReference"/>
        </w:rPr>
        <w:footnoteReference w:id="56"/>
      </w:r>
      <w:r>
        <w:t>. Door de meerwegenleer die door de Hoge Raad is ontwikkeld kan de fiscus ondanks een overkoepelend zakelijk doel van een samenstel van rechtshandelingen, het fiscale resultaat toch met fraus legis bestrijden, indien de gekozen weg niet voldoende zakelijk gemotiveerd is en tot een resultaat leidt dat in strijd met doel en strekking van de wet is</w:t>
      </w:r>
      <w:r>
        <w:rPr>
          <w:rStyle w:val="FootnoteReference"/>
        </w:rPr>
        <w:footnoteReference w:id="57"/>
      </w:r>
      <w:r>
        <w:t>.</w:t>
      </w:r>
    </w:p>
    <w:p w:rsidR="00174971" w:rsidRDefault="00174971" w:rsidP="004D3912">
      <w:r>
        <w:t>Dat de fiscus met behulp van de meerwegenleer niet een vrijbrief had gekregen om fraus legis altijd toe te passen blijkt uit verschillende andere arresten waarin de fiscus aan het kortste eind trok</w:t>
      </w:r>
      <w:r>
        <w:rPr>
          <w:rStyle w:val="FootnoteReference"/>
        </w:rPr>
        <w:footnoteReference w:id="58"/>
      </w:r>
      <w:r>
        <w:t>. Opvallend arrest in deze reeks is BNB 2000/111</w:t>
      </w:r>
      <w:r>
        <w:rPr>
          <w:rStyle w:val="FootnoteReference"/>
        </w:rPr>
        <w:footnoteReference w:id="59"/>
      </w:r>
      <w:r>
        <w:t>, waarin Hoge Raad anders besluit dan de conclusie van de advocaat-generaal. In deze casus wilde een advocaat met behulp van een aandelenruil een dubbele BV-structuur tot stand brengen, om zo zijn aansprakelijkheid in te perken. De Hoge Raad oordeelde hier dat gebruik mocht worden gemaakt van de aandelenfusiefaciliteit, omdat belastingverijdeling niet het hoofddoel was. Blijkbaar was het deze keer niet nodig om de bewandelde weg te toetsen aan fiscale aanvaardbaarheid, wellicht doordat hier slechts sprake was van belastinguitstel. Doordat de fiscus steeds minder vaak het gelijk aan zijn zijde kreeg wanneer hij zich beriep op de meerwegenleer, riep het de vraag op of de leer nog wel enig belang had</w:t>
      </w:r>
      <w:r>
        <w:rPr>
          <w:rStyle w:val="FootnoteReference"/>
        </w:rPr>
        <w:footnoteReference w:id="60"/>
      </w:r>
      <w:r>
        <w:t xml:space="preserve">. </w:t>
      </w:r>
    </w:p>
    <w:p w:rsidR="00174971" w:rsidRDefault="00174971" w:rsidP="004D3912">
      <w:r>
        <w:t>De Hoge Raad heeft recent antwoord gegeven op deze vraag door te bevestigen dat de meerwegenleer nog altijd geldend is</w:t>
      </w:r>
      <w:r>
        <w:rPr>
          <w:rStyle w:val="FootnoteReference"/>
        </w:rPr>
        <w:footnoteReference w:id="61"/>
      </w:r>
      <w:r>
        <w:t>. Uit al deze arresten, met verschillende uitkomsten wat betreft het succesvol inroepen van fraus legis met behulp van de meerwegenleer, kan worden afgeleid dat de fiscus deze leer nog kan gebruiken maar alleen in uitzonderlijke gevallen. De Vries vat de jurisprudentie omtrent de meerwegenleer treffend samen:</w:t>
      </w:r>
    </w:p>
    <w:p w:rsidR="00174971" w:rsidRDefault="00174971" w:rsidP="004D3912">
      <w:pPr>
        <w:pStyle w:val="Subtitle"/>
      </w:pPr>
      <w:r>
        <w:t>“Het gehele tot nu toe door de Hoge Raad opgetrokken "meerwegenleerbouwwerk" in ogenschouw nemend meen ik het volgende te kunnen concluderen. Bij de toepassing van fraus legis is ondanks een zakelijk einddoel sprake van excessen die de toepassing van de meerwegenleer rechtvaardigen indien de belastingplichtigen door middel van kunstmatige constructies, dat wil zeggen met behulp van rechtshandelingen waaraan behoudens de fiscaliteit geen materiële betekenis kan worden toegekend, belastingclaims willekeurig en definitief kunnen frustreren waardoor belastingheffing in Nederland tot het onacceptabele niveau van een tombolaspel dreigt af te glijden”</w:t>
      </w:r>
      <w:r>
        <w:rPr>
          <w:rStyle w:val="FootnoteReference"/>
        </w:rPr>
        <w:footnoteReference w:id="62"/>
      </w:r>
      <w:r>
        <w:t>.</w:t>
      </w:r>
    </w:p>
    <w:p w:rsidR="00174971" w:rsidRDefault="00174971" w:rsidP="004D3912">
      <w:r>
        <w:t>Aldus kan geconcludeerd worden dat de meerwegenleer flink aan belang heeft ingeboet. Desondanks kan de fiscus nog altijd een beroep doen op fraus legis op grond van de meerwegenleer indien kunstmatige constructies, met behulp van niet noodzakelijk toegevoegde rechtshandelingen, belastingclaims willekeurig en definitief frustreren. Hieruit blijkt ook dat de fiscus op minder steun kan rekenen om het leerstuk toe te passen om belastinguitstel te bestrijden. In hoofdstuk vijf zal ik de toepassing van de meerwegenleer bij bedrijfsfusies nader bespreken met het oog op het onlangs verschenen Zwijnenburg-arrest</w:t>
      </w:r>
      <w:r>
        <w:rPr>
          <w:rStyle w:val="FootnoteReference"/>
        </w:rPr>
        <w:footnoteReference w:id="63"/>
      </w:r>
      <w:r>
        <w:t>.</w:t>
      </w:r>
    </w:p>
    <w:p w:rsidR="00174971" w:rsidRDefault="00174971" w:rsidP="004D3912">
      <w:pPr>
        <w:pStyle w:val="Heading2"/>
      </w:pPr>
      <w:bookmarkStart w:id="22" w:name="_Toc265484803"/>
      <w:r>
        <w:t>2.4 Aanvaarden van ontgaansmogelijkheden door de overheid</w:t>
      </w:r>
      <w:bookmarkEnd w:id="22"/>
    </w:p>
    <w:p w:rsidR="00174971" w:rsidRDefault="00174971" w:rsidP="0035360E">
      <w:r>
        <w:t>Uit de ontstaansgeschiedenis moet blijken of de wetgever bewust was van een bepaalde ontgaansmogelijkheid en of hij deze heeft aanvaard. Als de wetgever het ontgaan van een wet onder ogen ziet en aanvaardt, zal de fiscus zich niet kunnen beroepen op fraus legis. Aan de hand van jurisprudentie zijn vier situaties te onderscheiden waarin de wetgever, al dan niet bewust, een ontgaansmogelijkheid aanvaardt:</w:t>
      </w:r>
    </w:p>
    <w:p w:rsidR="00174971" w:rsidRDefault="00174971" w:rsidP="004D3912">
      <w:pPr>
        <w:pStyle w:val="ListParagraph"/>
        <w:numPr>
          <w:ilvl w:val="0"/>
          <w:numId w:val="6"/>
        </w:numPr>
      </w:pPr>
      <w:r>
        <w:t>Indien het ontgaan van de wettekst ter sprake is gekomen in de parlementaire behandeling van een wet en de wetgever deze aanvaardbaar heeft geacht of om een andere reden geen rekening mee gehouden heeft bij de wetsredactie, heeft hij de mogelijkheid om belasting te ontgaan aanvaard. Dit blijkt uit de volgende overweging van de Hoge Raad:</w:t>
      </w:r>
    </w:p>
    <w:p w:rsidR="00174971" w:rsidRDefault="00174971" w:rsidP="004D3912">
      <w:pPr>
        <w:pStyle w:val="Subtitle"/>
        <w:ind w:left="708"/>
      </w:pPr>
      <w:r>
        <w:t>“Vervolgens heeft het Hof uit de geschiedenis van de totstandkoming van evenbedoeld artikel 3 afgeleid dat de wetgever bewust ervoor heeft gekozen de sanctie op bedoeld gebruik niet te richten tegen de aandeelhouders maar tegen het lichaam. Het Hof heeft terecht geoordeeld dat een en ander meebrengt dat voor een beroep op het leerstuk van de wetsontduiking als door de Inspecteur voorgestaan geen plaats meer is”</w:t>
      </w:r>
      <w:r>
        <w:rPr>
          <w:rStyle w:val="FootnoteReference"/>
        </w:rPr>
        <w:footnoteReference w:id="64"/>
      </w:r>
      <w:r>
        <w:t>.</w:t>
      </w:r>
    </w:p>
    <w:p w:rsidR="00174971" w:rsidRDefault="00174971" w:rsidP="004D3912">
      <w:pPr>
        <w:pStyle w:val="ListParagraph"/>
        <w:numPr>
          <w:ilvl w:val="0"/>
          <w:numId w:val="6"/>
        </w:numPr>
      </w:pPr>
      <w:r>
        <w:t>Als de mogelijkheid om belasting te ontgaan inherent is aan de gekozen wetssystematiek. Het is niet aan de rechter om een door de wetgever gekozen systeem te wijzigen. Dit kwam aan de orde in de strijd die de fiscus voerde tegen turbo-BV’s, die niet gewonnen werd voor de Hoge Raad:</w:t>
      </w:r>
    </w:p>
    <w:p w:rsidR="00174971" w:rsidRDefault="00174971" w:rsidP="004D3912">
      <w:pPr>
        <w:pStyle w:val="Subtitle"/>
        <w:ind w:left="708"/>
      </w:pPr>
      <w:r>
        <w:t>“Het aldus door de wetgever tot stand gebrachte systeem berust zozeer op een fundamentele keuze van de wetgever dat het niet in een geval als het onderhavige met een beroep op het leerstuk der wetsontduiking kan worden terzijde gesteld”</w:t>
      </w:r>
      <w:r>
        <w:rPr>
          <w:rStyle w:val="FootnoteReference"/>
        </w:rPr>
        <w:footnoteReference w:id="65"/>
      </w:r>
      <w:r>
        <w:t>.</w:t>
      </w:r>
    </w:p>
    <w:p w:rsidR="00174971" w:rsidRDefault="00174971" w:rsidP="004D3912">
      <w:pPr>
        <w:pStyle w:val="ListParagraph"/>
        <w:numPr>
          <w:ilvl w:val="0"/>
          <w:numId w:val="6"/>
        </w:numPr>
      </w:pPr>
      <w:r>
        <w:t>Als het niet duidelijk is of de wetgever een bepaalde ontgaansmogelijkheid in zijn overwegingen heeft meegenomen, maar hij dit volgens een deskundige redelijkerwijs wel had moeten doen, wordt hij geacht de ontgaansmogelijkheid te hebben aanvaard. De wetgever moet in dergelijke evidente gevallen maatregelen treffen aldus de Hoge Raad:</w:t>
      </w:r>
    </w:p>
    <w:p w:rsidR="00174971" w:rsidRPr="00194F69" w:rsidRDefault="00174971" w:rsidP="004D3912">
      <w:pPr>
        <w:pStyle w:val="Subtitle"/>
        <w:ind w:left="708"/>
      </w:pPr>
      <w:r>
        <w:t>“Aangenomen moet worden dat als de wetgever deze voor de hand liggende ontgaansmogelijkheid had willen uitsluiten, hij daarvoor een regeling zou hebben getroffen”</w:t>
      </w:r>
      <w:r>
        <w:rPr>
          <w:rStyle w:val="FootnoteReference"/>
        </w:rPr>
        <w:footnoteReference w:id="66"/>
      </w:r>
    </w:p>
    <w:p w:rsidR="00174971" w:rsidRDefault="00174971" w:rsidP="004D3912">
      <w:pPr>
        <w:pStyle w:val="ListParagraph"/>
        <w:numPr>
          <w:ilvl w:val="0"/>
          <w:numId w:val="6"/>
        </w:numPr>
      </w:pPr>
      <w:r>
        <w:t>Als nadat een wet is ingevoerd ontgaansmogelijkheden ontdekt worden, de wetgever langdurig geen actie onderneemt tegen het ontgaan van belastingwetgeving. Een voorbeeld dat de Hoge Raad fraus legis niet toepasbaar acht in dergelijke situaties is BNB 2000/261</w:t>
      </w:r>
      <w:r>
        <w:rPr>
          <w:rStyle w:val="FootnoteReference"/>
        </w:rPr>
        <w:footnoteReference w:id="67"/>
      </w:r>
      <w:r>
        <w:t xml:space="preserve">. In deze zaak werd een beroep op het leerstuk van wetsontduiking door de Hoge Raad afgewezen omdat de wetgever bewust was van het ongewenste gebruik van de herkapitalisatiefaciliteit, maar daar niets tegen had ondernomen. De A-G achtte dit een verzuim van de wetgever zo vermeldt hij in een onderdeel van zijn conclusie waar de Hoge Raad naar verwijst: </w:t>
      </w:r>
    </w:p>
    <w:p w:rsidR="00174971" w:rsidRPr="00194F69" w:rsidRDefault="00174971" w:rsidP="004D3912">
      <w:pPr>
        <w:pStyle w:val="Subtitle"/>
        <w:ind w:left="708"/>
      </w:pPr>
      <w:r>
        <w:t>“</w:t>
      </w:r>
      <w:r w:rsidRPr="002C4107">
        <w:t xml:space="preserve">Ik laat nog daar dat de wetgever al in 1988 maatregelen had kunnen nemen om dat </w:t>
      </w:r>
      <w:r>
        <w:t>‘</w:t>
      </w:r>
      <w:r w:rsidRPr="002C4107">
        <w:t>ongewenste</w:t>
      </w:r>
      <w:r>
        <w:t>’</w:t>
      </w:r>
      <w:r w:rsidRPr="002C4107">
        <w:t xml:space="preserve"> gebruik van de faciliteit te voorkomen, hetzij door al in dat jaar h</w:t>
      </w:r>
      <w:r>
        <w:t xml:space="preserve">et gebruik van de faciliteit te </w:t>
      </w:r>
      <w:r w:rsidRPr="002C4107">
        <w:t>beperken op de wijze als bij Wet van 13 december 1996, Stb. 652 werd gerealiseerd dan wel op</w:t>
      </w:r>
      <w:r>
        <w:t xml:space="preserve"> </w:t>
      </w:r>
      <w:r w:rsidRPr="002C4107">
        <w:t>andere wijze</w:t>
      </w:r>
      <w:r>
        <w:t>”</w:t>
      </w:r>
      <w:r>
        <w:rPr>
          <w:rStyle w:val="FootnoteReference"/>
        </w:rPr>
        <w:footnoteReference w:id="68"/>
      </w:r>
      <w:r>
        <w:t xml:space="preserve">. </w:t>
      </w:r>
    </w:p>
    <w:p w:rsidR="00174971" w:rsidRPr="000119DD" w:rsidRDefault="00174971" w:rsidP="004D3912">
      <w:r>
        <w:t>Deze situaties zijn niet altijd eenvoudig te onderscheiden maar de conclusie die uit de genoemde arresten kan worden getrokken is dat de fiscus niet altijd kan terugvallen op het wapen van fraus legis als er sprake is van strijdigheid met doel en strekking van de wet. Ook voor de overheid kan niet (volledig) ingrijpen dus leiden tot ongewenste consequenties, namelijk dat hij zijn heffingsrecht verspeelt.</w:t>
      </w:r>
    </w:p>
    <w:p w:rsidR="00174971" w:rsidRDefault="00174971" w:rsidP="004D3912">
      <w:pPr>
        <w:pStyle w:val="Heading2"/>
      </w:pPr>
      <w:bookmarkStart w:id="23" w:name="_Toc265484804"/>
      <w:r>
        <w:t>2.5 Conclusies</w:t>
      </w:r>
      <w:bookmarkEnd w:id="23"/>
    </w:p>
    <w:p w:rsidR="00174971" w:rsidRDefault="00174971" w:rsidP="004D3912">
      <w:r>
        <w:t>Het Latijnse begrip fraus legis is per 1926 geïntroduceerd in de belastingwetgeving, maar heeft lang in de schaduw gestaan voor het gecodificeerde leerstuk van de richtige heffing. Het speelt een rol indien er strijdigheid is tussen de letterlijke wettekst en de teleologische uitleg van de wettekst. De grote doorbraak kwam in de jaren ’80 van de vorige eeuw. Fraus legis heeft een aantal voordelen ten opzichte van de richtige heffing. Zo is de procedure bij de richtige heffing ingewikkelder en neemt ze meer tijd in beslag. Een ander voordeel dat naar voren is gekomen uit de jurisprudentie is dat fraus legis een ruimer toepassingsbereik heeft dan de richtige heffing. Waar richtige heffing alleen rechtshandelingen kan negeren, kan fraus legis daarnaast ook rechtshandelingen transformeren naar de gewenste situatie. Het leerstuk van fraus legis wordt daarom geprefereerd door de fiscus. Omdat de minister van Financiën zelfs geen machtigingen voor toepassing van de richtige heffing meer afgeeft, is fraus legis op dit moment feitelijk het enige leerstuk dat de wetgever kan gebruiken om wetsontduiking te bestrijden. Een rechtshandeling kan bestreden worden met fraus legis als zowel aan het normvereiste als het motiefvereiste is voldaan. Hier is sprake van indien belastingbesparing het overwegende motief voor een constructie is en deze constructie weliswaar in lijn is met de geïnterpreteerde wetgeving maar in strijd is met doel en strekking van dezelfde wetgeving. Met name de meerwegenleer, die van belang is bij het motiefvereiste, heeft recent tot veel jurisprudentie geleid. Hieruit kan geconcludeerd worden dat de Hoge Raad een beroep op de meerwegenleer niet vaak zal toestaan. Alleen indien kunstmatige constructies een belastingclaim willekeurig en definitief frustreren zal de fiscus zich met succes kunnen beroepen op de meerwegenleer. De bedrijfsfusie leidt echter in beginsel tot belastinguitstel en daarom zal de Hoge Raad naar verwachting geen beroep doen op de meerwegenleer bij bedrijfsfusies. Een andere beperking in de toepassing van het leerstuk van wetsontduiking, is als de wetgever bepaalde ontgaansmogelijkheden heeft aanvaard. Dit is het geval als hij de ontgaansmogelijkheden heeft onderkend, of geacht wordt onderkend te hebben, maar vervolgens niets gedaan heeft om deze mogelijkheden ongedaan te maken.</w:t>
      </w:r>
      <w:r>
        <w:br w:type="page"/>
      </w:r>
    </w:p>
    <w:p w:rsidR="00174971" w:rsidRDefault="00174971" w:rsidP="004E4A1A">
      <w:pPr>
        <w:pStyle w:val="Heading1"/>
      </w:pPr>
      <w:bookmarkStart w:id="24" w:name="_Toc265484805"/>
      <w:r>
        <w:t>3 Toepassing van fraus legis bij reparatiewetgeving in de Wet VPB 1969</w:t>
      </w:r>
      <w:bookmarkEnd w:id="24"/>
    </w:p>
    <w:p w:rsidR="00174971" w:rsidRDefault="00174971" w:rsidP="004E4A1A">
      <w:pPr>
        <w:pStyle w:val="Heading2"/>
      </w:pPr>
      <w:bookmarkStart w:id="25" w:name="_Toc265484806"/>
      <w:r>
        <w:t>3.1 Inleiding</w:t>
      </w:r>
      <w:bookmarkEnd w:id="25"/>
    </w:p>
    <w:p w:rsidR="00174971" w:rsidRDefault="00174971" w:rsidP="004E4A1A">
      <w:r>
        <w:t>In het voorgaand hoofdstuk is geanalyseerd in welke gevallen het leerstuk van fraus legis toepassing kan vinden en wanneer de Hoge Raad een beroep hierop niet aanvaardt. De wetgever heeft in die gevallen, bewust of onbewust, ruimte overgelaten voor specifieke wetsontduiking. Indien de fiscus de belastingontwijkende rechtshandelingen niet aanvaardbaar acht, heeft hij de mogelijkheid om met behulp van een beroep op fraus legis belastingheffing alsnog te laten plaatsvinden. Daarnaast zijn er, zoals uit het eerste hoofdstuk is gebleken, meer wapens voor de overheid om ongewenste belastingontwijking te bestrijden. Een daarvan is de mogelijkheid voor de wetgever om het misbruik in het vervolg te voorkomen door de desbetreffende wet aan te passen. Als de wetgever antimisbruikbepalingen opneemt, is het de vraag of fraus legis nog toepassing kan vinden of dat ervan uit mag worden gegaan dat de wetgever alle ongewenste rechtshandelingen heeft bestreden met de antimisbruikbepalingen.</w:t>
      </w:r>
      <w:r w:rsidRPr="006143E7">
        <w:t xml:space="preserve"> </w:t>
      </w:r>
      <w:r>
        <w:t>Marres stelt zelfs:</w:t>
      </w:r>
    </w:p>
    <w:p w:rsidR="00174971" w:rsidRDefault="00174971" w:rsidP="004E4A1A">
      <w:pPr>
        <w:pStyle w:val="Subtitle"/>
      </w:pPr>
      <w:r>
        <w:t>“Wanneer de wetgever een bepaald terrein heeft geordend, komt de rechter geen ruimte toe om vermeende leemten aan te vullen</w:t>
      </w:r>
      <w:r>
        <w:rPr>
          <w:rStyle w:val="FootnoteReference"/>
        </w:rPr>
        <w:footnoteReference w:id="69"/>
      </w:r>
      <w:r>
        <w:t xml:space="preserve">”. </w:t>
      </w:r>
    </w:p>
    <w:p w:rsidR="00174971" w:rsidRDefault="00174971" w:rsidP="004E4A1A">
      <w:r>
        <w:t>Hij gaat ervan uit dat indien naast antimisbruikregelgeving nog een mogelijkheid voor wetsontduiking resteert, de wetgever dit aanvaardbaar acht. Deze zienswijze zal alleen maar meer te billijken zijn indien een uitgebreide parlementaire discussie over het misbruik is geweest.</w:t>
      </w:r>
    </w:p>
    <w:p w:rsidR="00174971" w:rsidRDefault="00174971" w:rsidP="004E4A1A">
      <w:r>
        <w:t>De wetgever heeft in het verleden de vennootschapsbelasting een aantal malen aangepast om misbruik tegen te gaan. Deze reparatiewetgeving is echter niet in elk geval voldoende geweest om ongewenst gedrag van belastingplichtigen tegen te gaan en de fiscus heeft daarom meer dan eens de hulp van het leerstuk van fraus legis willen inroepen. In dit hoofdstuk zal ik dieper ingaan op de toepassing van fraus legis in combinatie met antimisbruikbepalingen in de vennootschapsbelasting. Ik zal ruim aandacht besteden aan de discussie rondom artikel 10a Wet VPB 1969 en mogelijke antwoorden die daar uit gedestilleerd kunnen worden. Naast fraus legis bij de renteaftrekproblematiek, zal in dit hoofdstuk ook de toepassing van het leerstuk bij de fiscale eenheid uitgelicht worden. Bij een fiscale eenheid kunnen een moedermaatschappij en één of meer dochtermaatschappijen gevoegd worden, waarna de belasting van hen geheven wordt alsof er één belastingplichtige is. Daardoor kunnen vermogensbestanddelen tussen de verschillende entiteiten binnen de fiscale eenheid verschoven worden zonder dat daar direct belasting over betaald moet worden. De fiscale eenheid is daarom een aantrekkelijke faciliteit bij interne reorganisaties. Een belastingplichtige kan bij dergelijke reorganisaties ook gebruik maken van de bedrijfsfusiefaciliteit, die later in deze scriptie centraal staat. Het is interessant om te onderzoeken of er ruimte is voor toepassing van fraus legis naast artikel 15 tot en met 15aj Wet VPB 1969, om dit later te vergelijken met de ruimte ingeval van de bedrijfsfusiefaciliteit.</w:t>
      </w:r>
    </w:p>
    <w:p w:rsidR="00174971" w:rsidRDefault="00174971" w:rsidP="004E4A1A">
      <w:r>
        <w:t>Ik sluit dit hoofdstuk af met het antwoord op de vraag of er nog ruimte is voor fraus legis in het geval de wetgever (gedetailleerde) antimisbruikregelgeving heeft opgesteld. Dit antwoord zal ik in het volgend hoofdstuk gebruiken om de toepassingsmogelijkheden van fraus legis te onderzoeken indien aan alle voorwaarden van de bedrijfsfusiefaciliteit is voldaan. Bij de bedrijfsfusiefaciliteit is immers ook een antimisbruikregeling opgenomen in artikel 14, lid 4, Wet VPB 1969.</w:t>
      </w:r>
    </w:p>
    <w:p w:rsidR="00174971" w:rsidRDefault="00174971" w:rsidP="004E4A1A">
      <w:pPr>
        <w:pStyle w:val="Heading2"/>
      </w:pPr>
      <w:bookmarkStart w:id="26" w:name="_Toc265484807"/>
      <w:r w:rsidRPr="00BA6796">
        <w:t>3</w:t>
      </w:r>
      <w:r w:rsidRPr="00BA6796">
        <w:rPr>
          <w:b w:val="0"/>
          <w:bCs w:val="0"/>
        </w:rPr>
        <w:t>.</w:t>
      </w:r>
      <w:r>
        <w:t>2 Reparatiewetgeving</w:t>
      </w:r>
      <w:bookmarkEnd w:id="26"/>
    </w:p>
    <w:p w:rsidR="00174971" w:rsidRDefault="00174971" w:rsidP="004E4A1A">
      <w:pPr>
        <w:rPr>
          <w:rStyle w:val="SubtitleChar"/>
          <w:sz w:val="22"/>
        </w:rPr>
      </w:pPr>
      <w:r w:rsidRPr="008B3783">
        <w:rPr>
          <w:rStyle w:val="SubtitleChar"/>
          <w:sz w:val="22"/>
        </w:rPr>
        <w:t>Globaal kan het doel van de reparatiewetgeving worden geformuleerd als het tegengaan van misbruik (in parlementaire taal aangeduid als oneigenlijk gebruik) van mazen in de belastingwetgeving</w:t>
      </w:r>
      <w:r>
        <w:rPr>
          <w:rStyle w:val="SubtitleChar"/>
          <w:sz w:val="22"/>
        </w:rPr>
        <w:t>”</w:t>
      </w:r>
      <w:r>
        <w:rPr>
          <w:rStyle w:val="FootnoteReference"/>
          <w:i/>
          <w:iCs/>
          <w:szCs w:val="24"/>
        </w:rPr>
        <w:footnoteReference w:id="70"/>
      </w:r>
    </w:p>
    <w:p w:rsidR="00174971" w:rsidRDefault="00174971" w:rsidP="004E4A1A">
      <w:r>
        <w:t>Doordat belastingplichtigen steeds meer de fiscale grenzen opzochten in de tweede helft van de 20</w:t>
      </w:r>
      <w:r w:rsidRPr="00B02055">
        <w:rPr>
          <w:vertAlign w:val="superscript"/>
        </w:rPr>
        <w:t>e</w:t>
      </w:r>
      <w:r>
        <w:t xml:space="preserve"> eeuw, was steeds vaker de vraag of een wet teleologisch of grammaticaal geïnterpreteerd moest worden. De Nederlandse overheid had enerzijds de keuze om de teleologische benadering te prefereren, maar was daardoor voor de uitkomst afhankelijk van de rechter. Anderzijds was er de keuze om wetsaanpassingen door te voeren om het gewenste resultaat te bereiken. De wetgever heeft in veel gevallen het heft in eigen hand genomen en gekozen voor de laatstgenoemde optie. Het gevolg hiervan was een flinke uitbreiding van de wettekst met reparatiewetgeving, hetgeen de leesbaarheid van de wetteksten niet altijd ten goede kwam. Het begrijpen en interpreteren van deze ingewikkelde wetteksten is slechts weggelegd voor deskundigen op dat gebied. Door deze onduidelijkheid van de tekst kunnen nieuwe mazen ontstaan in de wetgeving, die juist is aangepast om andere mazen te dichten. Dit wordt geïllustreerd door de vele kritische beschouwingen in de fiscale literatuur nadat er reparatiewetgeving is ingevoerd</w:t>
      </w:r>
      <w:r>
        <w:rPr>
          <w:rStyle w:val="FootnoteReference"/>
        </w:rPr>
        <w:footnoteReference w:id="71"/>
      </w:r>
      <w:r>
        <w:t>. Het toepassen van reparatiewetgeving leidt door deze kritiek mogelijk tot nieuwe reparatiewetgeving, waardoor het proces opnieuw kan plaatsvinden. In de literatuur is dan ook gepleit om reparatiewetgeving alleen te gebruiken in beperkte gevallen en zich te richten op de ergste uitwassen</w:t>
      </w:r>
      <w:r>
        <w:rPr>
          <w:rStyle w:val="FootnoteReference"/>
        </w:rPr>
        <w:footnoteReference w:id="72"/>
      </w:r>
      <w:r>
        <w:t>. Aardema stelt zelfs dat hij slechts kan leven met reparatiewetgeving omdat hij zich realiseerde dat nietsdoen nog erger zou zijn uit het oogpunt van fiscaal-psychologische milieuverontreiniging</w:t>
      </w:r>
      <w:r>
        <w:rPr>
          <w:rStyle w:val="FootnoteReference"/>
        </w:rPr>
        <w:footnoteReference w:id="73"/>
      </w:r>
      <w:r>
        <w:t>. Ondanks deze kritiek gebruikt de wetgever nog steeds wetgeving om de mazen in de wet te dichten. Een voorbeeld hiervan is artikel 10a Wet VPB 1969, dat de aftrek van rente beperkt.</w:t>
      </w:r>
    </w:p>
    <w:p w:rsidR="00174971" w:rsidRPr="000B7DE2" w:rsidRDefault="00174971" w:rsidP="004E4A1A">
      <w:pPr>
        <w:pStyle w:val="Heading2"/>
      </w:pPr>
      <w:bookmarkStart w:id="27" w:name="_Toc265484808"/>
      <w:r w:rsidRPr="000B7DE2">
        <w:t xml:space="preserve">3.2.1 Interpretatie van </w:t>
      </w:r>
      <w:r>
        <w:t xml:space="preserve">de fiscale </w:t>
      </w:r>
      <w:r w:rsidRPr="000B7DE2">
        <w:t>wetgeving</w:t>
      </w:r>
      <w:bookmarkEnd w:id="27"/>
    </w:p>
    <w:p w:rsidR="00174971" w:rsidRDefault="00174971" w:rsidP="004E4A1A">
      <w:r>
        <w:t>Om te bepalen of fraus legis een rol kan spelen bij een specifieke antimisbruikbepaling is het van belang om te onderscheiden op welke manier het artikel geïnterpreteerd dient te worden. Als het artikel restrictief moet worden geïnterpreteerd wordt de wettekst nauwgezet gevolgd. Dit houdt in dat er weinig ruimte is voor fraus legis. Bij een extensieve interpretatie wordt er juist van uitgegaan dat de wet verstrekkend is en de fiscus meer succes zal hebben met het inroepen van het leerstuk van wetsontduiking. Daarnaast is er nog een derde interpretatiemethode, namelijk die van analogische wetstoepassing. Dit houdt in dat een rechter een rechtsregel afleidt van een meer algemene rechtsregel. Deze afgeleide regel past hij vervolgens toe op omstandigheden die volgens de bewoordingen van de wet niet, maar naar strekking van de meer algemene regel wel onder de oorspronkelijke regel valt. Dit is een omstreden methode, met name wanneer het in het nadeel van een belastingplichtige werkt aangezien het weinig rechtszekerheid biedt. In het strafrecht is de analogische wetstoepassing om deze reden verboden, maar in het belastingrecht is het beginsel toegestaan</w:t>
      </w:r>
      <w:r>
        <w:rPr>
          <w:rStyle w:val="FootnoteReference"/>
        </w:rPr>
        <w:footnoteReference w:id="74"/>
      </w:r>
      <w:r>
        <w:t>. Desondanks zal toepassing ten nadele van de belastingplichtige nauwelijks plaatsvinden omdat het vaak niet voorzienbaar is voor de belastingplichtige.</w:t>
      </w:r>
    </w:p>
    <w:p w:rsidR="00174971" w:rsidRDefault="00174971" w:rsidP="004E4A1A">
      <w:r>
        <w:t>Hof Amsterdam heeft in het verleden uitgesproken dat antimisbruikwetgeving restrictief moet worden geïnterpreteerd</w:t>
      </w:r>
      <w:r>
        <w:rPr>
          <w:rStyle w:val="FootnoteReference"/>
        </w:rPr>
        <w:footnoteReference w:id="75"/>
      </w:r>
      <w:r>
        <w:t>. Een argument voor deze beperkte interpretatie is dat het een uitzondering is op de hoofdregel. Doordat een hoofdregel in het algemeen ruim uitgelegd dient te worden, zullen uitzonderingen vaak restrictief uitgelegd worden. Een ander argument dat voor een restrictieve interpretatie pleit, is dat de bepalingen door de wetgever vaak zeer gedetailleerd zijn opgesteld. Gedetailleerde wetgeving wekt de suggestie om de wet restrictief toe te passen, omdat de wetgever klaarblijkelijk intensief het mogelijke misbruik heeft geanalyseerd. Gedetailleerdheid van wetteksten werkt ook een restrictieve uitleg in hand aangezien de grote lijn vaak niet meer duidelijk is, zoals ook Stoffer van mening is:</w:t>
      </w:r>
    </w:p>
    <w:p w:rsidR="00174971" w:rsidRDefault="00174971" w:rsidP="004E4A1A">
      <w:pPr>
        <w:pStyle w:val="Subtitle"/>
      </w:pPr>
      <w:r>
        <w:t>“Bij detailregelingen loopt de wetgever eerder de kans dat de grote lijn zoek raakt en dat de rechter zich noodgedwongen aan de woorden van de wet gaat houden”</w:t>
      </w:r>
      <w:r>
        <w:rPr>
          <w:rStyle w:val="FootnoteReference"/>
        </w:rPr>
        <w:footnoteReference w:id="76"/>
      </w:r>
      <w:r>
        <w:t>.</w:t>
      </w:r>
    </w:p>
    <w:p w:rsidR="00174971" w:rsidRPr="00714419" w:rsidRDefault="00174971" w:rsidP="004E4A1A">
      <w:r>
        <w:t>Deze argumenten sterken mij in de gedachte dat bij antimisbruikbepalingen een restrictieve wetstoepassing de voorkeur verdiend boven andere interpretaties. Deze voorkeur houdt niet in dat er geen mogelijkheid is om dergelijke regelingen extensief te interpreteren.</w:t>
      </w:r>
    </w:p>
    <w:p w:rsidR="00174971" w:rsidRDefault="00174971" w:rsidP="004E4A1A">
      <w:pPr>
        <w:pStyle w:val="Heading2"/>
      </w:pPr>
      <w:bookmarkStart w:id="28" w:name="_Toc265484809"/>
      <w:r>
        <w:t>3.3 Fraus legis en artikel 10a</w:t>
      </w:r>
      <w:bookmarkEnd w:id="28"/>
    </w:p>
    <w:p w:rsidR="00174971" w:rsidRDefault="00174971" w:rsidP="004E4A1A">
      <w:pPr>
        <w:pStyle w:val="Heading3"/>
      </w:pPr>
      <w:bookmarkStart w:id="29" w:name="_Toc265484810"/>
      <w:r>
        <w:t>3.3.1 Inhoud en doel en strekking 10a</w:t>
      </w:r>
      <w:bookmarkEnd w:id="29"/>
    </w:p>
    <w:p w:rsidR="00174971" w:rsidRDefault="00174971" w:rsidP="004E4A1A">
      <w:r>
        <w:t>In beginsel zijn rentekosten bij vennootschapsbelastingplichtige lichamen aftrekbaar op grond van artikel 3.8 Wet IB 2001 juncto artikel 8, lid 1 Wet VPB 1969 omdat het kosten zijn die aan de financiering van een onderneming zijn verbonden. Binnen een concern spelen interne schuldverhoudingen een grote rol bij het bepalen van belastingposities. Door bijvoorbeeld een lichaam in een hoogbelast land geld te laten lenen van een verbonden lichaam in een laagbelast land, kan binnen het concern renteaftrek tegen een hoog tarief plaatsvinden en kan heffing over de rentebaten plaatsvinden over een laag tarief. Op deze manier wordt het financieren met vreemd vermogen gestimuleerd. Het doel van artikel 10a Wet VPB 1969 is het voorkomen van dergelijke winstdrainage door de renteaftrek te beperken.</w:t>
      </w:r>
    </w:p>
    <w:p w:rsidR="00174971" w:rsidRDefault="00174971" w:rsidP="004E4A1A">
      <w:r>
        <w:t>Voor de introductie van artikel 10a Wet VPB 1969 probeerde Nederlandse fiscus winstdrainage door renteaftrek te voorkomen met een beroep op richtige heffing en fraus legis. De Hoge Raad oordeelde echter niet altijd in het voordeel van de fiscus, zodat belastingplichtigen met specifieke constructies alsnog renteaftrek konden bewerkstelligen. Met name de winstdrainagearresten</w:t>
      </w:r>
      <w:r>
        <w:rPr>
          <w:rStyle w:val="FootnoteReference"/>
        </w:rPr>
        <w:footnoteReference w:id="77"/>
      </w:r>
      <w:r>
        <w:t xml:space="preserve"> van de zomer van 1995 werkten in het voordeel van belastingplichtigen. De Hoge Raad stond in deze arresten renteaftrek toe indien de rentebaten in een heffing werden betrokken die naar Nederlandse maatstaven redelijk is. Hierdoor was renteaftrek in Nederland al mogelijk indien er sprake was van een redelijke heffing over de rente in het buitenland, maar er in feite geen belasting werd betaald door bijvoorbeeld de aanwezigheid van verrekenbare verliezen. Dit was niet het gewenste resultaat voor de staatssecretaris en daarom reageerde hij met de Wet fiscale infrastructuur</w:t>
      </w:r>
      <w:r>
        <w:rPr>
          <w:rStyle w:val="FootnoteReference"/>
        </w:rPr>
        <w:footnoteReference w:id="78"/>
      </w:r>
      <w:r>
        <w:t xml:space="preserve"> met daarin opgenomen de regeling van artikel 10a tegen winstdrainage. Het artikel is deels een codificatie van jurisprudentie en deels een aanscherping van deze jurisprudentie. Een voorbeeld hiervan is dat ook geen renteaftrek toegestaan is indien feitelijk geen belasting verschuldigd was, zodat de ongewenste gevolgen van de winstdrainagearresten werden gerepareerd.</w:t>
      </w:r>
    </w:p>
    <w:p w:rsidR="00174971" w:rsidRDefault="00174971" w:rsidP="004E4A1A">
      <w:r>
        <w:t>Artikel 10a Wet VPB 1969 is een aantal malen gewijzigd, waarvan de meeste ingrijpende wijziging plaatsvond bij de Wet werken aan winst</w:t>
      </w:r>
      <w:r>
        <w:rPr>
          <w:rStyle w:val="FootnoteReference"/>
        </w:rPr>
        <w:footnoteReference w:id="79"/>
      </w:r>
      <w:r>
        <w:t>. Het huidige artikel ziet erop dat rente niet aftrekbaar is indien de schuld bij een verbonden lichaam samenhangt met:</w:t>
      </w:r>
    </w:p>
    <w:p w:rsidR="00174971" w:rsidRDefault="00174971" w:rsidP="004E4A1A">
      <w:pPr>
        <w:pStyle w:val="ListParagraph"/>
        <w:numPr>
          <w:ilvl w:val="0"/>
          <w:numId w:val="5"/>
        </w:numPr>
      </w:pPr>
      <w:r>
        <w:t>Een winstuitdeling of teruggaaf van gestort kapitaal door de belastingplichtige, aan een verbonden lichaam of natuurlijk persoon</w:t>
      </w:r>
    </w:p>
    <w:p w:rsidR="00174971" w:rsidRDefault="00174971" w:rsidP="004E4A1A">
      <w:pPr>
        <w:pStyle w:val="ListParagraph"/>
        <w:numPr>
          <w:ilvl w:val="0"/>
          <w:numId w:val="5"/>
        </w:numPr>
      </w:pPr>
      <w:r>
        <w:t>Een kapitaalstorting door de belastingplichtige of een in Nederland wonende verbonden natuurlijk persoon, in een verbonden lichaam</w:t>
      </w:r>
    </w:p>
    <w:p w:rsidR="00174971" w:rsidRDefault="00174971" w:rsidP="004E4A1A">
      <w:pPr>
        <w:pStyle w:val="ListParagraph"/>
        <w:numPr>
          <w:ilvl w:val="0"/>
          <w:numId w:val="5"/>
        </w:numPr>
      </w:pPr>
      <w:r>
        <w:t>Een verwerving of uitbreiding van een belang door de belastingplichtige of een in Nederland wonende verbonden natuurlijk persoon in een lichaam dat daarna een met hem verbonden lichaam is</w:t>
      </w:r>
    </w:p>
    <w:p w:rsidR="00174971" w:rsidRDefault="00174971" w:rsidP="004E4A1A">
      <w:r>
        <w:t>Deze handelingen van de belastingplichtige worden ook door artikel 10a Wet VPB 1969 geraakt, indien ze zijn gedaan door een met de belastingplichtige verbonden lichaam. Zoals eerder vermeld is artikel 10a Wet VPB 1969 voor een groot deel een codificatie van fraus legis jurisprudentie, waarvan het doel is willekeurige belastingverijdeling zonder reële betekenis te voorkomen. Aangezien het artikel verder gaat dan het codificeren van jurisprudentie heeft het artikel ook een zelfstandig doel en strekking, die een breder bereik hebben dan de oude jurisprudentie. Doel en strekking van het artikel houden in dat geen recht op renteaftrek bestaat in de drie eerder genoemde situaties indien er geen sprake is van een reële wijziging van de vermogenspositie of zeggenschap van de belastingplichtige of diens aandeelhouder, tenzij er zakelijke overwegingen aan ten grondslag liggen</w:t>
      </w:r>
      <w:r>
        <w:rPr>
          <w:rStyle w:val="FootnoteReference"/>
        </w:rPr>
        <w:footnoteReference w:id="80"/>
      </w:r>
      <w:r>
        <w:t>.</w:t>
      </w:r>
    </w:p>
    <w:p w:rsidR="00174971" w:rsidRDefault="00174971" w:rsidP="004E4A1A">
      <w:r>
        <w:t>Als in overwegende mate zakelijke overwegingen ten grondslag liggen aan zowel de schuld als de daarmee corresponderende rechtshandeling dan is de rente wel aftrekbaar, zo volgt uit lid 3, onderdeel a. De bewijslast voor de aanwezigheid van overwegend zakelijke overwegingen ligt bij de belastingplichtige. Daarnaast heeft de belastingplichtige nog een andere tegenbewijsmogelijkheid om aftrekbeperking tegen te gaan, zo volgt uit onderdeel b bij het derde lid. Belastingplichtige moet dan bewijzen dat over de rente bij de feitelijke genieter een winstbelasting wordt geheven met een tarief dat naar Nederlandse maatstaven redelijk is. Tevens mag er, om te voldoen aan deze compenserende heffingstoets, bij de feitelijke genieter geen sprake zijn van verrekening van verliezen of andere aanspraken waardoor per saldo geen heffing naar redelijke maatstaven plaatsvindt. Een heffing is naar Nederlandse maatstaven redelijk indien deze resulteert in een heffing naar een tarief van minstens 10% over een naar Nederlandse maatstaven bepaalde belastbare winst. Door deze twee tegenbewijsregelingen heeft de wetgever getracht om louter kunstmatige constructies die renteaftrekbeperking voorkomen, te bestrijden:</w:t>
      </w:r>
    </w:p>
    <w:p w:rsidR="00174971" w:rsidRDefault="00174971" w:rsidP="004E4A1A">
      <w:pPr>
        <w:pStyle w:val="Subtitle"/>
      </w:pPr>
      <w:r>
        <w:t>“Artikel 10a van de Wet Vpb is gericht tegen constructies waarbij op gekunstelde wijze rentelasten worden gecreëerd die ten koste gaan van de Nederlandse belastinggrondslag”</w:t>
      </w:r>
      <w:r>
        <w:rPr>
          <w:rStyle w:val="FootnoteReference"/>
        </w:rPr>
        <w:footnoteReference w:id="81"/>
      </w:r>
      <w:r>
        <w:t>.</w:t>
      </w:r>
    </w:p>
    <w:p w:rsidR="00174971" w:rsidRDefault="00174971" w:rsidP="004E4A1A">
      <w:pPr>
        <w:pStyle w:val="Heading3"/>
      </w:pPr>
      <w:bookmarkStart w:id="30" w:name="_Toc265484811"/>
      <w:r>
        <w:t>3.3.2 Strijd met doel en strekking van artikel 10a Wet VPB 1969</w:t>
      </w:r>
      <w:bookmarkEnd w:id="30"/>
    </w:p>
    <w:p w:rsidR="00174971" w:rsidRDefault="00174971" w:rsidP="004E4A1A">
      <w:r>
        <w:t>Uit de vorige paragraaf is duidelijk geworden dat artikel 10a Wet VPB 1969 een beschermingsfunctie heeft om het naleven van doel en strekking van het systeem van de wet te verzekeren. Het is de vraag of er nog ruimte is voor de toepassing van fraus legis indien een bepaalde constructie niet geconfronteerd wordt door de beperking van artikel 10a Wet VPB 1969, maar de fiscus het wel ongewenst acht. Bij de parlementaire behandeling van artikel 10a Wet VPB 1969 zijn vragen gesteld over de toepassing van fraus legis aanvullend aan het antimisbruikartikel. Ook de vraag of na alle aanpassingen nog ruimte is voor de toepassing van fraus legis als een renteaftrekbeperkende bepaling toepassing mist, werd gesteld. De minister van Financiën antwoordde:</w:t>
      </w:r>
    </w:p>
    <w:p w:rsidR="00174971" w:rsidRDefault="00174971" w:rsidP="004E4A1A">
      <w:pPr>
        <w:pStyle w:val="Subtitle"/>
      </w:pPr>
      <w:r>
        <w:t>“Het is niet uitgesloten dat fraus legis van toepassing zou kunnen zijn bij renteaftrek. Het moet dan gaan om een uitzonderlijke situatie, waarbij de grens van geoorloofde belastingbesparing duidelijk is overschreden. Omdat dergelijke gevallen al verregaand zijn gecodificeerd, met name in artikel 10a, zal toepassing van fraus legis ten aanzien van renteaftrek zich in de praktijk niet snel kunnen voordoen”</w:t>
      </w:r>
      <w:r>
        <w:rPr>
          <w:rStyle w:val="FootnoteReference"/>
        </w:rPr>
        <w:footnoteReference w:id="82"/>
      </w:r>
      <w:r>
        <w:t>.</w:t>
      </w:r>
    </w:p>
    <w:p w:rsidR="00174971" w:rsidRDefault="00174971" w:rsidP="004E4A1A">
      <w:r>
        <w:t xml:space="preserve">Met zijn antwoord maakt de minister van Financiën expliciet duidelijk dat hij denkt dat artikel 10a Wet VPB 1969 vrijwel al het misbruik bestrijdt en fraus legis niet snel toepassing zal vinden. Maar hij wil ook niet de toepassing van het leerstuk helemaal uitsluiten, mijns inziens zodat hij nog een wapen achter de hand heeft om uitholling van de belastinggrondslag door renteaftrek te voorkomen. Indien een antimisbruikbepaling beoogt volledig te zijn, zal wetsontduiking moeilijker te bestrijden zijn met fraus legis door de fiscus. Aangezien de minister in het citaat duidelijk maakt dat er in beginsel nog ruimte is voor toepassing van fraus legis, heeft hij met het opstellen van artikel 10a Wet VPB 1969 niet volledig willen of kunnen zijn om winstdrainage te bestrijden. Indien hij op een specifiek vlak niet volledig heeft willen zijn, zal de toepassing van fraus legis niet eenvoudig zijn aangezien hij de mogelijke ongewenste rechtshandelingen had voorzien. Als hij de misbruikmogelijkheden niet heeft kunnen voorzien, zal de toepassing van fraus legis waarschijnlijk op meer succes kunnen rekenen. </w:t>
      </w:r>
    </w:p>
    <w:p w:rsidR="00174971" w:rsidRDefault="00174971" w:rsidP="004E4A1A">
      <w:r>
        <w:t>Het artikel is slechts een codificatie van jurisprudentie met daarbij een aantal aanpassingen om specifiek misbruik tegen te gaan. Indien een andere vorm van misbruik niet specifiek besproken is bij het opstellen van de wet en de parlementaire discussie daaromtrent, is er ruimte voor de toepassing van fraus legis naast de antimisbruikbepaling. Indien de wetgever deze ontgaansmogelijkheid echter heeft aanvaard of geacht aanvaard te hebben, is er geen ruimte voor de toepassing van fraus legis. Om te bepalen of de fiscus zich kan beroepen op wetsontduiking naast artikel 10a Wet VPB 1969 is het dus van belang of de wetgever een specifieke ontgaansmogelijkheid aanvaard heeft. Ter illustratie zal ik BNB 2008/266</w:t>
      </w:r>
      <w:r>
        <w:rPr>
          <w:rStyle w:val="FootnoteReference"/>
        </w:rPr>
        <w:footnoteReference w:id="83"/>
      </w:r>
      <w:r>
        <w:t xml:space="preserve"> behandelen waarin de toepassing van fraus legis naast artikel 10a Wet VPB 1969 werd aanvaard. Hoewel de casus zich afspeelde in 1999 en de oude wettekst van artikel 10a Wet VPB 1969 van toepassing was, weerspiegelt het arrest goed de ruimte voor toepassing van fraus legis.</w:t>
      </w:r>
    </w:p>
    <w:p w:rsidR="00174971" w:rsidRDefault="00174971" w:rsidP="004E4A1A">
      <w:r>
        <w:t>In deze casus werd een vennootschap (B BV) verhangen van een natuurlijk persoon (A) naar zijn 100% holding (X BV). De verplichting tot het betalen van de koopsom van X BV aan A werd omgezet in een geldlening en later werd deze geldlening omgezet in een lijfrenteverplichting die jaarlijks werd opgerent. Ondertussen waren X BV en B BV een fiscale eenheid aangegaan, om de rente over de geldlening en later de oprenting van de lijfrenteverplichting effectief in mindering te brengen op de winst van B BV. De fiscus weigerde deze aftrek op grond van artikel 10a (oud) Wet VPB 1969. Het punt van discussie was de omzetting van de geldlening in een lijfrenteverplichting, aangezien het tweede lid van het artikel van geldlening sprak. De Hoge Raad oordeelde dat de lijfrenteverplichting geen geldlening was en dat artikel 10a (oud) Wet VPB 1969 daarom toepassing miste, aangezien in het artikel slechts geldleningen besmet kunnen zijn. Maar indien het doorslaggevende motief voor de omzetting in de lijfrenteverplichting was gelegen in de verijdeling van de toepassing van artikel 10a (oud) Wet VPB 1969, dan was de toepassing van fraus legis wel mogelijk omdat er dan sprake was van strijdigheid met doel en strekking van artikel 10a (oud) Wet VPB 1969. De Hoge Raad verwees de zaak en Hof Arnhem oordeelde dat de omzetting geen zakelijk doel diende waardoor fraus legis toepassing vond</w:t>
      </w:r>
      <w:r>
        <w:rPr>
          <w:rStyle w:val="FootnoteReference"/>
        </w:rPr>
        <w:footnoteReference w:id="84"/>
      </w:r>
      <w:r>
        <w:t>. Belanghebbende ging vervolgens in cassatie maar de Hoge Raad sloot zich aan bij de visie van het verwijzingshof</w:t>
      </w:r>
      <w:r>
        <w:rPr>
          <w:rStyle w:val="FootnoteReference"/>
        </w:rPr>
        <w:footnoteReference w:id="85"/>
      </w:r>
      <w:r>
        <w:t>. Kennelijk moet het begrip geldlening restrictief worden uitgelegd en niet extensief. Een extensieve uitleg zou als gevolg kunnen hebben dat elke passiefpost waarover rente verschuldigd is als zodanig zou kwalificeren. Hij had ook de lijfrenteverplichting onder het begrip lijfrente kunnen scharen, om zo renteaftrek onmogelijk te maken. Verder acht de Hoge Raad het in geding zijnde misbruik niet voor de hand liggend, zo blijkt uit het arrest. Immers als een deskundige fiscalist deze ontgaansmogelijkheid onder ogen had moeten zien, had de wetgever die mogelijkheid ook moeten kunnen onderkennen en was er geen ruimte geweest voor de toepassing van fraus legis</w:t>
      </w:r>
      <w:r>
        <w:rPr>
          <w:rStyle w:val="FootnoteReference"/>
        </w:rPr>
        <w:footnoteReference w:id="86"/>
      </w:r>
      <w:r>
        <w:t>. Overigens is het restrictieve begrip geldleningen per 1 januari 2007 vervangen voor het extensieve begrip schulden, waardoor wetsontduiking met behulp van een lijfrenteverplichting in plaats van een geldlening niet meer mogelijk is. Het begrip schulden is immers ruimer dan het begrip geldleningen. Immers, onder het begrip schulden kunnen bijvoorbeeld in tegenstelling tot onder het begrip geldleningen ook schulden in natura worden geschaard.</w:t>
      </w:r>
    </w:p>
    <w:p w:rsidR="00174971" w:rsidRDefault="00174971" w:rsidP="004E4A1A">
      <w:pPr>
        <w:pStyle w:val="Heading3"/>
      </w:pPr>
      <w:bookmarkStart w:id="31" w:name="_Toc265484812"/>
      <w:r>
        <w:t>3.3.3 Meerwegenleer en de zakelijkheidstoets van artikel 10a Wet VPB 1969</w:t>
      </w:r>
      <w:bookmarkEnd w:id="31"/>
    </w:p>
    <w:p w:rsidR="00174971" w:rsidRDefault="00174971" w:rsidP="004E4A1A">
      <w:r>
        <w:t>Zoals eerder vermeld is een van de tegenbewijsregelingen om onder de renteaftrekbeperking van artikel 10a Wet VPB 1969 te komen de zakelijkheidstoets. Een belastingplichtige moet bij een door het eerste lid besmette handeling bewijzen dat aan deze tweeledige toets is voldaan, om renteaftrek alsnog te bewerkstelligen. In geval van een externe acquisitie is de vraag gerezen of dit niet per definitie zakelijk is, zeker na BNB 2005/169</w:t>
      </w:r>
      <w:r>
        <w:rPr>
          <w:rStyle w:val="FootnoteReference"/>
        </w:rPr>
        <w:footnoteReference w:id="87"/>
      </w:r>
      <w:r>
        <w:t>. Deze casus, die zich weliswaar afspeelde voor de introductie van artikel 10a Wet VPB 1969 maar toch van wezenlijk belang is voor het artikel, betrof een externe overname door een Nederlandse dochtermaatschappij. Om dit te financieren had de dochtermaatschappij geld geleend van een buitenlandse tophoudster. De rentebaten bij de tophoudster werden niet belast, omdat in dat land een kasstelsel</w:t>
      </w:r>
      <w:r>
        <w:rPr>
          <w:rStyle w:val="FootnoteReference"/>
        </w:rPr>
        <w:footnoteReference w:id="88"/>
      </w:r>
      <w:r>
        <w:t xml:space="preserve"> werd gehanteerd. De Nederlandse dochter claimde renteaftrek omdat de acquisitie onomstreden zakelijk is. De fiscus weigerde deze aftrek met het beroep op fraus legis en de meerwegenleer. Het was duidelijk dat de acquisitie op verschillende wegen te realiseren was en dat de gekozen weg fiscaal de voordeligste was. De overname kon ook gedeeltelijk gefinancierd worden met eigen vermogen en het was dus niet noodzakelijk dat de dochter met een dergelijk bedrag aan vreemd vermogen werd voorzien. Ondanks dit gegeven achtte de Hoge Raad de financieringsrelatie zakelijk en oordeelde dat niet in strijd met doel en strekking van de wet was gehandeld. </w:t>
      </w:r>
    </w:p>
    <w:p w:rsidR="00174971" w:rsidRDefault="00174971" w:rsidP="004E4A1A">
      <w:r>
        <w:t>De motivering tot zakelijkheid van de Hoge Raad kan gekoppeld worden aan het huidige artikel 10a Wet VPB 1969. Indien voldaan is aan het zakelijkheidsvereiste uit het derde lid, zal de fiscus mijns inziens geen beroep meer kunnen doen op de meerwegenleer. Als een belastingplichtige aannemelijk maakt dat zakelijke overwegingen in overwegende mate ten grondslag liggen aan een schuld en de daarmee verband houdende rechtshandeling, kan de fiscus niet meer een beroep doen op het leerstuk van fraus legis</w:t>
      </w:r>
      <w:r>
        <w:rPr>
          <w:rStyle w:val="FootnoteReference"/>
        </w:rPr>
        <w:footnoteReference w:id="89"/>
      </w:r>
      <w:r>
        <w:t xml:space="preserve">. </w:t>
      </w:r>
    </w:p>
    <w:p w:rsidR="00174971" w:rsidRDefault="00174971" w:rsidP="004E4A1A">
      <w:pPr>
        <w:pStyle w:val="Heading2"/>
      </w:pPr>
      <w:bookmarkStart w:id="32" w:name="_Toc265484813"/>
      <w:r>
        <w:t>3.4 Fraus legis en het verbreken van een fiscale eenheid</w:t>
      </w:r>
      <w:bookmarkEnd w:id="32"/>
    </w:p>
    <w:p w:rsidR="00174971" w:rsidRDefault="00174971" w:rsidP="004E4A1A">
      <w:r>
        <w:t>In het kader van een interne reorganisatie worden in het economische verkeer vaak vermogensbestanddelen overgedragen tussen de betreffende lichamen. Om deze overgang van vermogensbestanddelen niet direct te laten belasten zijn er verschillende faciliteiten waaronder de fiscale eenheid. Het regime van de fiscale eenheid is de afgelopen jaren flink aan verandering onderhevig geweest. De laatste grote verandering dateert van 2003, toen de het fiscale eenheidsregime zich uitbreidde van één artikel naar elf artikelen</w:t>
      </w:r>
      <w:r>
        <w:rPr>
          <w:rStyle w:val="FootnoteReference"/>
        </w:rPr>
        <w:footnoteReference w:id="90"/>
      </w:r>
      <w:r>
        <w:t>. Deze ingevoerde artikelen, 15aa tot en met 15aj Wet VPB 1969, vinden voor het grootste deel hun oorsprong in de oude standaardvoorwaarden. Zo is de antimisbruikbepaling uit de zestiende Standaardvoorwaarde, weliswaar enigszins gewijzigd, overgenomen in artikel 15ai Wet VPB 1969. Voor de herziening in 2003 maakten belastingplichtigen echter ook gebruik van constructies die met behulp van de fiscale eenheid belastingbesparend werkten. De wetgever had niet alle belastingbesparende mogelijkheden dichtgetimmerd met antimisbruikbepalingen.</w:t>
      </w:r>
    </w:p>
    <w:p w:rsidR="00174971" w:rsidRDefault="00174971" w:rsidP="004E4A1A">
      <w:r>
        <w:t>Een typerend voorbeeld hiervan is BNB 1992/97</w:t>
      </w:r>
      <w:r>
        <w:rPr>
          <w:rStyle w:val="FootnoteReference"/>
        </w:rPr>
        <w:footnoteReference w:id="91"/>
      </w:r>
      <w:r>
        <w:t xml:space="preserve">. In deze casus was M BV gevoegd in een fiscale eenheid met de insolvabele dochter D BV. Op 25 juni 1983 verkoopt M BV de aandelen D BV aan haar enige aandeelhouder en wordt de fiscale eenheid dus ontbonden. Vervolgens wordt D BV op 28 juni 1983 in staat van faillissement verklaard en worden een dag later alle bedrijfsmiddelen verkocht. Door deze verkoop was vennootschapsbelasting verschuldigd wegens desinvesteringsbetalingen. Door de destijds geldende Standaardvoorwaarde 4, onderdeel e, werd bepaald dat een latente verplichting tot een desinvesteringsbetaling overgaat op de maatschappij, die het bedrijfsmiddel waarmee de verplichting verband houdt op het splitsingstijdstip, bezit. Op grond van deze bepaling kwam de belastingclaim te liggen bij D BV, die de claim niet kan betalen door een gebrek aan middelen. Doordat dit complex van rechtshandelingen heffing van vennootschapsbelasting frustreerde, stelde de fiscus primair dat de verkoop van D BV aan de enige aandeelhouder van M BV nietig is wegens het ontbreken van een geoorloofde oorzaak om de fiscale eenheid te verbreken. Dit nietig verklaren zou betekenen dat de fiscale eenheid in stand zou blijven en de winst in de fiscale eenheid vrijviel. Subsidiair werd gesteld dat de doorslaggevende reden van het verkopen van de aandelen in D BV gelegen was in de wens tot belastingverijdeling, terwijl dit geheel in strijd is met doel en strekking van artikel 15 Wet VPB 1969. Ook als het een ongeoorloofde vorm van wetsontduiking zou zijn, zou de winst bij de fiscale eenheid vrijvallen. De Hoge Raad oordeelde dat de oorzaak die ten grondslag lag aan de verkoop van de aandelen niet ongeoorloofd was omdat het enkele feit dat de dochter niet solvabel was, onvoldoende grond hiervoor biedt. Tevens was er geen sprake van strijdigheid met doel en strekking van artikel 15 Wet VPB 1969, zo overwoog de Hoge Raad. Deze belastingbesparende constructie werd dus toegestaan door de Hoge Raad. </w:t>
      </w:r>
    </w:p>
    <w:p w:rsidR="00174971" w:rsidRDefault="00174971" w:rsidP="004E4A1A">
      <w:r>
        <w:t>Na BNB 1992/97 is het de vraag of er in zijn algemeenheid nog ruimte is voor de toepassing van fraus legis bij het verbreken van een fiscale eenheid naast de aanwezige antimisbruikbepalingen. Om een antwoord te kunnen formuleren op deze vraag is de motivering van de Hoge Raad bij BNB 1992/97 van belang:</w:t>
      </w:r>
    </w:p>
    <w:p w:rsidR="00174971" w:rsidRDefault="00174971" w:rsidP="004E4A1A">
      <w:pPr>
        <w:pStyle w:val="Subtitle"/>
      </w:pPr>
      <w:r>
        <w:t>“Indien een besloten vennootschap met beperkte aansprakelijkheid met toepassing van artikel 15 van de Wet voor de heffing van die belasting met een dochtervennootschap is verenigd, staat het haar vrij de aandelen in de dochtervennootschap over te dragen en aldus de fiscale eenheid met die vennootschap te beëindigen. Dit is niet anders indien de overdracht plaatsvindt aan een met haar verbonden persoon of vennootschap, en met die overdracht uitsluitend wordt beoogd de fiscale eenheid te verbreken en aldus te bewerkstelligen dat de aan die eenheid verbonden gevolgen met ingang van het zogenaamde splitsingstijdstip zich niet meer zullen voordoen. Een zodanige gang van zaken is in overeenstemming met het wettelijke stelsel en brengt derhalve niet mee dat de strekking van artikel 15 van de Wet geweld wordt aangedaan”</w:t>
      </w:r>
      <w:r>
        <w:rPr>
          <w:rStyle w:val="FootnoteReference"/>
        </w:rPr>
        <w:footnoteReference w:id="92"/>
      </w:r>
      <w:r>
        <w:t>.</w:t>
      </w:r>
    </w:p>
    <w:p w:rsidR="00174971" w:rsidRDefault="00174971" w:rsidP="004E4A1A">
      <w:r>
        <w:t>De Hoge Raad betoogt dat vennootschappen de vrijheid hebben om een fiscale eenheid te beëindigen en dat in casu niet in strijd wordt gehandeld met doel en strekking van artikel 15 Wet VPB 1969. Het is hiermee niet duidelijk of fraus legis nooit van toepassing kan zijn bij een verbreking van een fiscale eenheid. In de noot bij het arrest stelt Slot dat het wel denkbaar is dat een aandelenverkoop om de fiscale eenheid te verbreken wel leidt tot strijd met doel en strekking van de fiscale eenheid:</w:t>
      </w:r>
    </w:p>
    <w:p w:rsidR="00174971" w:rsidRDefault="00174971" w:rsidP="004E4A1A">
      <w:pPr>
        <w:pStyle w:val="Subtitle"/>
      </w:pPr>
      <w:r>
        <w:t>“Als een beroep op de regels zoals de wetgever die heeft geformuleerd een handeling tot het ontgaan van belastingheffing steeds zou rechtvaardigen zou wetsontduiking nooit aan de orde kunnen komen”</w:t>
      </w:r>
      <w:r>
        <w:rPr>
          <w:rStyle w:val="FootnoteReference"/>
        </w:rPr>
        <w:footnoteReference w:id="93"/>
      </w:r>
      <w:r>
        <w:t>.</w:t>
      </w:r>
    </w:p>
    <w:p w:rsidR="00174971" w:rsidRDefault="00174971" w:rsidP="004E4A1A">
      <w:r>
        <w:t>Ik ben het eens met deze stelling, maar ik wil erbij aantekenen dat deze niet inhoudt dat de toepassing van fraus legis bij elk wetsartikel mogelijk is. Dit is al gebleken uit het vorige hoofdstuk. Van Kemmeren</w:t>
      </w:r>
      <w:r>
        <w:rPr>
          <w:rStyle w:val="FootnoteReference"/>
        </w:rPr>
        <w:footnoteReference w:id="94"/>
      </w:r>
      <w:r>
        <w:t xml:space="preserve"> is evenals Slot van mening dat na dit arrest niet gesteld mag worden dat de verbreking van een fiscale eenheid nooit met fraus legis kan worden bestreden. Hij baseert dit op het gegeven dat het probleem in bovengestelde casus niet lag in de heffingssfeer maar in de invorderingssfeer. Het heffingssysteem wordt niet gefrustreerd, de belastingplichtige heeft enkel onvoldoende middelen om belastingheffing te voldoen. De toepassing van fraus legis ziet juist op de systematiek van heffing. Dit arrest zag inderdaad louter op het invorderingsprobleem voor de fiscus en op basis van dit arrest kan niet met zekerheid gezegd worden dat fraus legis geen ruimte vindt bij de verbreking van de fiscale eenheid. </w:t>
      </w:r>
    </w:p>
    <w:p w:rsidR="00174971" w:rsidRDefault="00174971" w:rsidP="004E4A1A">
      <w:r>
        <w:t>De aangehaalde meningen hadden betrekking op het oude fiscale eenheidsregime tot 2003. Toen werd misbruik nog, in tegenstelling tot de huidige antimisbruikwetgeving, bestreden met de standaardvoorwaarden. In de oude systematiek mochten de standaardvoorwaarden slechts strekken ter verzekering van de heffing en de invordering van belasting, zo volgde uit artikel 15, lid 3 (oud), Wet VPB 1969. Met ingang van de herziening van 1 januari 2003, toen veel van de standaardvoorwaarden overgebracht werden naar de wet, vermeldt de huidige wet deze eis niet meer. In artikel 15, lid 6, onderdeel d, Wet VPB 1969 is geregeld dat de fiscale eenheid op verzoek van gevoegde partijen kan worden beëindigd, zonder dat een uitzondering gemaakt kan worden voor de gevallen dat de verbreking plaatsvindt met het oog op fiscale voordelen. Samen met Kok</w:t>
      </w:r>
      <w:r>
        <w:rPr>
          <w:rStyle w:val="FootnoteReference"/>
        </w:rPr>
        <w:footnoteReference w:id="95"/>
      </w:r>
      <w:r>
        <w:t xml:space="preserve"> ben ik daarom van mening dat onder het huidige regime fraus legis geen toepassing kan vinden bij het verbreken van een fiscale eenheid, zelfs indien het motief hiervoor belastingbesparing is. Misbruik van de fiscale eenheid heeft de wetgever willen voorkomen door antimisbruikartikelen zoals 15ai en 15aj, lid 3 Wet VPB 1969. Deze artikelen voorkomen een groot deel van de voor de fiscus ongewenste fiscale gevolgen, waardoor verbreking om fiscale motieven niet vaak voordelig zal uitvallen voor de belastingplichtige. Strijd met doel en strekking van de specifieke antimisbruikbepalingen is in principe wel mogelijk op dezelfde wijze als in BNB 2008/266. Dat is dus bijvoorbeeld in de gevallen dat een woord, zoals geldlening in artikel 10a (oud) Wet VPB 1969, breder moet worden uitgelegd dan de letterlijke uitleg. Mijns inziens zal de fiscus niet gemakkelijk het leerstuk van fraus legis kunnen toepassen indien de antimisbruikbepaling van artikel 15aj, lid 3, onderdeel a, Wet VPB 1969 niet toegepast kan worden. Dit artikel dankt zijn bestaan aan BNB 1992/97 en de wetgever tracht met deze bepaling de ongewenste gevolgen van een ontvoeging in het zicht van liquidatie te voorkomen. De staatssecretaris stelde al voor het arrest dat bij een nadelige beslissing voor de fiscus, hij deze problematiek zou betrekken in de nieuwe regeling van de fiscale eenheid</w:t>
      </w:r>
      <w:r>
        <w:rPr>
          <w:rStyle w:val="FootnoteReference"/>
        </w:rPr>
        <w:footnoteReference w:id="96"/>
      </w:r>
      <w:r>
        <w:t>. Het opnemen van artikel 15aj, lid 3, Wet VPB 1969 in de wet is hier, weliswaar pas een aantal jaren na het arrest, het gevolg van. In onderdeel a van dit artikel wordt geregeld dat indien een dochtermaatschappij wordt ontvoegd in zicht van haar liquidatie, een tot haar vermogen behorende schuld op het moment direct voor ontvoeging moet worden gesteld op bedrijfswaarde. Het doel van de regeling is het voorkomen dat door de ontvoeging heffing over de winst, die ontstaat door het vrijvallen van onbetaald gebleven schulden bij het faillissement, onmogelijk wordt gemaakt doordat de dochter onvoldoende middelen heeft om de belasting te voldoen. Deze antimisbruikbepaling ziet dus op schulden van een insolvabele dochter, onderdeel b van lid 3 ziet op eventueel aanwezige egalisatiereserves en herinvesteringsreserves. Voor de desinvesteringsbijtelling, onderwerp van geschil in BNB 1992/97, heeft de wetgever opvallend genoeg geen antimisbruikbepaling opgesteld. Aangezien in de jurisprudentie en in de parlementaire discussie uitgebreid aandacht aan dit onderwerp besteed is en de wetgever geen maatregelen hiertegen heeft genomen, zal de ruimte voor de toepassing van fraus legis beperkt zijn indien 15aj, lid 3, Wet VPB ontoereikend is voor de fiscus.</w:t>
      </w:r>
    </w:p>
    <w:p w:rsidR="00174971" w:rsidRDefault="00174971" w:rsidP="004E4A1A">
      <w:pPr>
        <w:pStyle w:val="Heading2"/>
      </w:pPr>
      <w:bookmarkStart w:id="33" w:name="_Toc265484814"/>
      <w:r>
        <w:t>3.5 Conclusie</w:t>
      </w:r>
      <w:bookmarkEnd w:id="33"/>
    </w:p>
    <w:p w:rsidR="00174971" w:rsidRDefault="00174971" w:rsidP="004E4A1A">
      <w:r>
        <w:t>In dit hoofdstuk is de toepasbaarheid van fraus legis naast de aanwezige antimisbruikbepalingen in de vennootschapsbelasting onderzocht. Het is gebleken dat de wetgever met grote regelmaat gebruik heeft gemaakt van nieuwe wetgeving om misbruik tegen te gaan, ondanks dat het vaak niet met enthousiasme wordt ontvangen. De kenmerken van antimisbruikbepalingen zijn dat ze vaak zeer gedetailleerd zijn opgesteld en dat ze een uitzondering vormen op een hoofdregel. Hierom zal dergelijke wetgeving in het algemeen restrictief geïnterpreteerd dienen te worden, waardoor er weinig ruimte is voor fraus legis. Dit houdt echter niet in dat er helemaal geen plaats is voor het leerstuk van fraus legis naast reparatiewetgeving. Een kenmerkende antimisbruikregeling is artikel 10a Wet VPB 1969, die is gebaseerd op fraus legis jurisprudentie maar ook een aanscherping van deze jurisprudentie omhelst.</w:t>
      </w:r>
    </w:p>
    <w:p w:rsidR="00174971" w:rsidRDefault="00174971" w:rsidP="004E4A1A">
      <w:r>
        <w:t>De minister van Financiën had in de parlementaire bespreking van de grootscheepse wijziging van het artikel in 2007 al achter de hand gehouden dat hij ongewenst gedrag nog kon tegengaan met fraus legis. Uit het arrest van 11 juli 2008, waarin de fiscus zich met succes beriep op fraus legis omdat een rechtshandeling in strijd was met doel en strekking van artikel 10a (oud) Wet VPB 1969, is in ieder geval gebleken dat er nog ruimte is voor het leerstuk naast de bepaling. Hoewel artikel 10a Wet VPB 1969 is gewijzigd sinds deze casus, heeft het arrest de discussie of er nog ruimte is voor fraus legis naast uitvoerig beschreven antimisbruikbepalingen beëindigd. Er is ruimte voor de toepassing van fraus legis indien de wetgever met de bepaling op een bepaald terrein onbewust iets niet (voldoende) heeft geregeld, maar ook indien er strijd is met doel en strekking van het antimisbruikartikel zelf.</w:t>
      </w:r>
    </w:p>
    <w:p w:rsidR="00174971" w:rsidRPr="004E4A1A" w:rsidRDefault="00174971" w:rsidP="004E4A1A">
      <w:r>
        <w:t>Het regime van de fiscale eenheid is sinds 2003 uitgerust met antimisbruikwetgeving. Deze bepalingen zijn voor een groot gedeelte overgenomen uit de voormalige standaardvoorwaarden bij de regeling van de fiscale eenheid voor 2003, die strekten ter verzekering van de heffing en invordering van belasting. De huidige antimisbruikbepalingen, zoals artikel 15ai en 15aj, lid 3, Wet VPB 1969 treden inwerking bij verbreking van de fiscale eenheid. Aan de verbreking zijn op zichzelf echter geen voorwaarden verbonden, waardoor strijd met doel en strekking van de wet mijns inziens onmogelijk is bij een verbreking. Het zal echter niet gemakkelijk zijn voor belastingplichtige om een fiscale eenheid te verbreken met als overwegende beweegreden het halen van een fiscaal voordeel, aangezien de antimisbruikartikelen bij de fiscale eenheid dit voorkomen. Strijd met doel en strekking van de antimisbruikartikelen 15ai en 15aj, lid 3, Wet VPB 1969 zal in beginsel mogelijk zijn, net als bij artikel 10a (oud) Wet VPB 1969 is gebleken. Toepassing van fraus legis bij de ontvoeging van een lichaam in het zicht liquidatie zal echter moeilijk zijn. Dit is gelegen in het feit dat artikel 15aj, lid 3, VPB 1969 rechtstreeks voortvloeit uit jurisprudentie en de wetgever nauwkeurig het ongewenst gedrag heeft bestudeerd. Het leerstuk zal in situaties vergelijkbaar met de casus als uit het arrest BNB 2008/266 toepassing kunnen vinden.</w:t>
      </w:r>
      <w:r>
        <w:rPr>
          <w:b/>
        </w:rPr>
        <w:br w:type="page"/>
      </w:r>
    </w:p>
    <w:p w:rsidR="00174971" w:rsidRDefault="00174971" w:rsidP="00285F0E">
      <w:pPr>
        <w:pStyle w:val="Heading1"/>
      </w:pPr>
      <w:bookmarkStart w:id="34" w:name="_Toc265484815"/>
      <w:r>
        <w:t>4 De bedrijfsfusiefaciliteit</w:t>
      </w:r>
      <w:bookmarkEnd w:id="34"/>
    </w:p>
    <w:p w:rsidR="00174971" w:rsidRPr="00CD5FB9" w:rsidRDefault="00174971" w:rsidP="00285F0E">
      <w:pPr>
        <w:pStyle w:val="Heading2"/>
      </w:pPr>
      <w:bookmarkStart w:id="35" w:name="_Toc265484816"/>
      <w:r>
        <w:t>4.1 Inleiding</w:t>
      </w:r>
      <w:bookmarkEnd w:id="35"/>
    </w:p>
    <w:p w:rsidR="00174971" w:rsidRDefault="00174971" w:rsidP="00285F0E">
      <w:r>
        <w:t>Interne reorganisaties worden in het huidige bedrijfsleven met grote regelmaat doorgevoerd. De daarmee verband houdende fusies en splitsingen kunnen op verschillende motiveringen gestoeld zijn. Aan de ene kant kan een reorganisatie zijn aangegaan om economische of commerciële doeleinden, maar aan de andere kant kunnen ook fiscale motieven de overwegende beweegreden zijn. De Nederlandse wetgever heeft het niet wenselijk geacht om reorganisaties die zijn aangegaan om economische redenen, te belemmeren door fiscale aspecten. Bij het aangaan of verbreken van een samenwerkingsverband kunnen immers heffingsmomenten optreden, die partijen kunnen tegenhouden om te bedrijfsfusie aan te gaan. Om ervoor te zorgen dat de keuze voor een op economische motieven gegronde reorganisatie niet wordt beïnvloed door fiscale aspecten kent de Nederlandse wetgeving een aantal faciliteiten. Echter de wetgever wil de faciliteiten niet verlenen indien gereorganiseerd wordt om fiscale voordelen te behalen. De genoemde faciliteiten waar lichamen in de vennootschapsbelasting gebruik van kunnen maken, zijn de bedrijfsfusie, juridische splitsing, juridische fusie en de fiscale eenheid. In dit onderzoek zal de bedrijfsfusiefaciliteit centraal staan.</w:t>
      </w:r>
    </w:p>
    <w:p w:rsidR="00174971" w:rsidRDefault="00174971" w:rsidP="00285F0E">
      <w:r>
        <w:t>De bedrijfsfusiefaciliteit is opgenomen in artikel 14 Wet VPB 1969 en was voor 1969 te vinden in artikel 18, lid 2, Besluit VPB 1942. Bij bedrijfsfusies speelt, naast de nationale wetgeving, Europees recht ook een belangrijke rol. De Raad van Europese Gemeenschappen heeft op 23 juli 1990 een richtlijn op het gebied van grensoverschrijdende fusies en reorganisaties aangenomen, kortweg de fusierichtlijn genoemd</w:t>
      </w:r>
      <w:r>
        <w:rPr>
          <w:rStyle w:val="FootnoteReference"/>
        </w:rPr>
        <w:footnoteReference w:id="97"/>
      </w:r>
      <w:r>
        <w:t>. Deze richtlijn heeft onder andere als doel om belastingheffing over inkomen, winsten en vermogenswinsten die optreden bij (grensoverschrijdende) bedrijfsreorganisaties uit te stellen</w:t>
      </w:r>
      <w:r>
        <w:rPr>
          <w:rStyle w:val="FootnoteReference"/>
        </w:rPr>
        <w:footnoteReference w:id="98"/>
      </w:r>
      <w:r>
        <w:t>. Het is voor lidstaten niet verplicht om deze fusierichtlijn letterlijk te implementeren in de nationale wetgeving. Het is slechts noodzakelijk dat het resultaat dat de richtlijn beoogt te hebben ook bereikt wordt door de nationale wet, zo volgt uit artikel 249, derde alinea, EG-verdrag. Nederland heeft gekozen om de fusierichtlijn niet letterlijk over te nemen, maar om de bestaande bedrijfsfusiefaciliteit uit artikel 14 Wet VPB 1969 zodanig te wijzigen dat deze in lijn is met de fusierichtlijn. Volgens de staatssecretaris van Financiën is de faciliteit na deze wijziging in overeenstemming met de fusierichtlijn:</w:t>
      </w:r>
    </w:p>
    <w:p w:rsidR="00174971" w:rsidRDefault="00174971" w:rsidP="00285F0E">
      <w:pPr>
        <w:pStyle w:val="Subtitle"/>
      </w:pPr>
      <w:r>
        <w:t>“</w:t>
      </w:r>
      <w:r w:rsidRPr="00B1100E">
        <w:t>De faciliteit voor de bedrijfsfusie is, net als de fiscale begeleiding van de</w:t>
      </w:r>
      <w:r>
        <w:t xml:space="preserve"> </w:t>
      </w:r>
      <w:r w:rsidRPr="00B1100E">
        <w:t>aandelenfusie en de overgang onder algemene titel in het kader van een</w:t>
      </w:r>
      <w:r>
        <w:t xml:space="preserve"> </w:t>
      </w:r>
      <w:r w:rsidRPr="00B1100E">
        <w:t>fusie of een splitsing, aangepast teneinde deze in overeenstemming te</w:t>
      </w:r>
      <w:r>
        <w:t xml:space="preserve"> brengen met de fusierichtlijn”</w:t>
      </w:r>
      <w:r w:rsidRPr="00333089">
        <w:rPr>
          <w:rStyle w:val="FootnoteReference"/>
        </w:rPr>
        <w:t xml:space="preserve"> </w:t>
      </w:r>
      <w:r>
        <w:rPr>
          <w:rStyle w:val="FootnoteReference"/>
        </w:rPr>
        <w:footnoteReference w:id="99"/>
      </w:r>
      <w:r>
        <w:t>.</w:t>
      </w:r>
    </w:p>
    <w:p w:rsidR="00174971" w:rsidRDefault="00174971" w:rsidP="00285F0E">
      <w:r>
        <w:t>In de literatuur is hier echter geen eensgezindheid over. Met name de tekst van artikel 14, lid 4, Wet VPB 1969 in vergelijking met artikel 15, lid 1, sub a, fusierichtlijn, roept veel discussie op</w:t>
      </w:r>
      <w:r>
        <w:rPr>
          <w:rStyle w:val="FootnoteReference"/>
        </w:rPr>
        <w:footnoteReference w:id="100"/>
      </w:r>
      <w:r>
        <w:t>. Door de verschillen in de tekst, speelt zowel de nationale wet als de Europese richtlijn voor dit gehele onderzoek een belangrijke rol. Of er ruimte is voor de toepassing van het leerstuk van fraus legis, zal afhangen van de Nederlandse wet en van de fusierichtlijn. In dit hoofdstuk wordt ervan uitgegaan dat belastingplichtigen zich ook kunnen beroepen op de fusierichtlijn in puur binnenlandse situaties. Dit is het directe gevolg van het Leur-Bloem-arrest</w:t>
      </w:r>
      <w:r>
        <w:rPr>
          <w:rStyle w:val="FootnoteReference"/>
        </w:rPr>
        <w:footnoteReference w:id="101"/>
      </w:r>
      <w:r>
        <w:t>. Dit arrest en de gevolgen hiervan zullen uitgebreid aan bod komen. Na het bespreken van dit arrest zal een uiteenzetting van het huidige artikel 14 Wet VPB 1969 worden gegeven, zodat een duidelijk beeld van de nationale faciliteit kan worden geschetst. Ik zal hierbij voornamelijk aandacht schenken aan de antimisbruikbepaling in het vierde lid. Daarna zal de fusierichtlijn worden uitgewerkt. De nadruk ligt vooral op de antimisbruikbepaling van artikel 15, lid 1, sub a, Fusierichtlijn. Vervolgens zullen beide bepalingen met elkaar vergeleken worden en zal duidelijk worden wat de verschillen tussen de beide bepalingen zijn. Aan de hand hiervan zal in het volgende hoofdstuk moeten blijken of er ruimte is voor fraus legis naast de antimisbruikartikelen in de nationale wetgeving dan wel de Europese richtlijn.</w:t>
      </w:r>
    </w:p>
    <w:p w:rsidR="00174971" w:rsidRDefault="00174971" w:rsidP="00285F0E">
      <w:pPr>
        <w:pStyle w:val="Heading2"/>
      </w:pPr>
      <w:bookmarkStart w:id="36" w:name="_Toc265484817"/>
      <w:r>
        <w:t>4.2 Het Leur-Bloem-arrest</w:t>
      </w:r>
      <w:bookmarkEnd w:id="36"/>
    </w:p>
    <w:p w:rsidR="00174971" w:rsidRDefault="00174971" w:rsidP="00285F0E">
      <w:r>
        <w:t>In het Leur-Bloem-arrest stond een aandelenfusie binnen Nederland centraal, er waren in het geheel geen grensoverschrijdende handelingen. Aangezien het de bedoeling was dat de aandelenfusiefaciliteit volledig aansloot bij de Europese fusierichtlijn, besloot Hof Amsterdam om prejudiciële vragen te stellen</w:t>
      </w:r>
      <w:r>
        <w:rPr>
          <w:rStyle w:val="FootnoteReference"/>
        </w:rPr>
        <w:footnoteReference w:id="102"/>
      </w:r>
      <w:r>
        <w:t>. De eerste vraag aan het Hof van Justitie van de Europese Gemeenschappen (hierna: Hof van Justitie) was of een fusie die binnen Nederland plaatsvindt getoetst kan worden op de Europese fiscale regels. Het Hof van Justitie was van oordeel dat dit mogelijk is aangezien de nationale fusiefaciliteit is aangepast op de fusierichtlijn:</w:t>
      </w:r>
    </w:p>
    <w:p w:rsidR="00174971" w:rsidRDefault="00174971" w:rsidP="00285F0E">
      <w:pPr>
        <w:pStyle w:val="Subtitle"/>
      </w:pPr>
      <w:r>
        <w:t>“Uit al het voorgaande volgt, dat op de eerste vraag moet worden geantwoord, dat het Hof krachtens artikel 177 van het Verdrag bevoegd is het gemeenschapsrecht uit te leggen wanneer dit de betrokken situatie niet rechtstreeks regelt, doch de nationale wetgever bij de omzetting van de bepalingen van een richtlijn in nationaal recht heeft besloten, zuiver interne situaties op dezelfde wijze te behandelen als situaties die door de richtlijn worden geregeld, en hij zijn nationale wetgeving dus heeft aangepast aan het gemeenschapsrecht”</w:t>
      </w:r>
      <w:r>
        <w:rPr>
          <w:rStyle w:val="FootnoteReference"/>
          <w:rFonts w:ascii="Arial Unicode MS" w:hAnsi="Arial Unicode MS" w:cs="Arial Unicode MS"/>
          <w:sz w:val="17"/>
          <w:szCs w:val="17"/>
        </w:rPr>
        <w:footnoteReference w:id="103"/>
      </w:r>
      <w:r>
        <w:t>.</w:t>
      </w:r>
    </w:p>
    <w:p w:rsidR="00174971" w:rsidRPr="00865070" w:rsidRDefault="00174971" w:rsidP="00285F0E">
      <w:r>
        <w:t>Deze overweging heeft grote invloed op de implementatie van Europees recht in de Nederlandse wetgeving. Artikel 14 Wet VPB 1969 dient namelijk hierdoor zowel voor nationale als voor grensoverschrijdende fusies in ieder geval niet strikter te zijn dan de fusierichtlijn. Nadat bleek dat nationale fusies ook aan de richtlijn getoetst kunnen worden, werden in hetzelfde arrest de Nederlandse fusieregelingen als niet richtlijn conform beoordeeld door het Hof van Justitie. In 2001 heeft een grote herziening van artikel 14 Wet VPB 1969 plaatsgevonden, waardoor het huidige artikel in overeenstemming zou moeten zijn met de richtlijn.</w:t>
      </w:r>
    </w:p>
    <w:p w:rsidR="00174971" w:rsidRDefault="00174971" w:rsidP="00285F0E">
      <w:pPr>
        <w:pStyle w:val="Heading2"/>
      </w:pPr>
      <w:bookmarkStart w:id="37" w:name="_Toc265484818"/>
      <w:r>
        <w:t>4.3 De bedrijfsfusiefaciliteit uit artikel 14 Wet VPB 1969</w:t>
      </w:r>
      <w:bookmarkEnd w:id="37"/>
    </w:p>
    <w:p w:rsidR="00174971" w:rsidRDefault="00174971" w:rsidP="00285F0E">
      <w:r>
        <w:t xml:space="preserve">Bij een bedrijfsfusie neemt een belastingplichtig lichaam een onderneming of een zelfstandig deel van een onderneming over van een ander belastingplichtige lichaam, tegen uitreiking van aandelen in de overnemer. Het overdragende lichaam wordt de houdster van het overnemende lichaam. Beide lichamen blijven dus na de bedrijfsfusie bestaan. In figuur 4.1 is een eenvoudige bedrijfsfusie geïllustreerd. In deze situatie heeft X de onderneming in Y verworven en in ruil daarvoor heeft Y aandelen in X verkregen. </w:t>
      </w:r>
      <w:r>
        <w:rPr>
          <w:noProof/>
          <w:lang w:val="en-US"/>
        </w:rPr>
      </w:r>
      <w:r>
        <w:pict>
          <v:group id="_x0000_s1026" editas="canvas" style="width:441.55pt;height:262.15pt;mso-position-horizontal-relative:char;mso-position-vertical-relative:line" coordorigin="2524,9144" coordsize="7044,418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524;top:9144;width:7044;height:4182" o:preferrelative="f">
              <v:fill o:detectmouseclick="t"/>
              <v:path o:extrusionok="t" o:connecttype="none"/>
              <o:lock v:ext="edit" text="t"/>
            </v:shape>
            <v:rect id="_x0000_s1028" style="position:absolute;left:2530;top:10921;width:1029;height:801">
              <v:textbox style="mso-next-textbox:#_x0000_s1028">
                <w:txbxContent>
                  <w:p w:rsidR="00174971" w:rsidRPr="001323DE" w:rsidRDefault="00174971" w:rsidP="00FE585D">
                    <w:pPr>
                      <w:spacing w:before="240" w:after="120"/>
                      <w:jc w:val="center"/>
                      <w:rPr>
                        <w:sz w:val="40"/>
                        <w:szCs w:val="40"/>
                      </w:rPr>
                    </w:pPr>
                    <w:r w:rsidRPr="001323DE">
                      <w:rPr>
                        <w:sz w:val="40"/>
                        <w:szCs w:val="40"/>
                      </w:rPr>
                      <w:t>X</w:t>
                    </w:r>
                  </w:p>
                </w:txbxContent>
              </v:textbox>
            </v:rect>
            <v:rect id="_x0000_s1029" style="position:absolute;left:4026;top:10921;width:1029;height:801">
              <v:textbox style="mso-next-textbox:#_x0000_s1029">
                <w:txbxContent>
                  <w:p w:rsidR="00174971" w:rsidRPr="001323DE" w:rsidRDefault="00174971" w:rsidP="00FE585D">
                    <w:pPr>
                      <w:spacing w:before="240" w:after="120"/>
                      <w:jc w:val="center"/>
                      <w:rPr>
                        <w:sz w:val="40"/>
                        <w:szCs w:val="40"/>
                      </w:rPr>
                    </w:pPr>
                    <w:r w:rsidRPr="001323DE">
                      <w:rPr>
                        <w:sz w:val="40"/>
                        <w:szCs w:val="40"/>
                      </w:rPr>
                      <w:t>Y</w:t>
                    </w:r>
                  </w:p>
                </w:txbxContent>
              </v:textbox>
            </v:rect>
            <v:rect id="_x0000_s1030" style="position:absolute;left:7999;top:10789;width:1029;height:802">
              <v:textbox style="mso-next-textbox:#_x0000_s1030">
                <w:txbxContent>
                  <w:p w:rsidR="00174971" w:rsidRPr="001323DE" w:rsidRDefault="00174971" w:rsidP="00FE585D">
                    <w:pPr>
                      <w:spacing w:before="240" w:after="120"/>
                      <w:jc w:val="center"/>
                      <w:rPr>
                        <w:sz w:val="40"/>
                        <w:szCs w:val="40"/>
                      </w:rPr>
                    </w:pPr>
                    <w:r w:rsidRPr="001323DE">
                      <w:rPr>
                        <w:sz w:val="40"/>
                        <w:szCs w:val="40"/>
                      </w:rPr>
                      <w:t>Y</w:t>
                    </w:r>
                  </w:p>
                </w:txbxContent>
              </v:textbox>
            </v:rect>
            <v:rect id="_x0000_s1031" style="position:absolute;left:6575;top:11974;width:1029;height:801">
              <v:textbox style="mso-next-textbox:#_x0000_s1031">
                <w:txbxContent>
                  <w:p w:rsidR="00174971" w:rsidRPr="001323DE" w:rsidRDefault="00174971" w:rsidP="00FE585D">
                    <w:pPr>
                      <w:spacing w:before="240" w:after="120"/>
                      <w:jc w:val="center"/>
                      <w:rPr>
                        <w:sz w:val="40"/>
                        <w:szCs w:val="40"/>
                      </w:rPr>
                    </w:pPr>
                    <w:r w:rsidRPr="001323DE">
                      <w:rPr>
                        <w:sz w:val="40"/>
                        <w:szCs w:val="40"/>
                      </w:rPr>
                      <w:t>X</w:t>
                    </w:r>
                  </w:p>
                </w:txbxContent>
              </v:textbox>
            </v:rect>
            <v:shapetype id="_x0000_t32" coordsize="21600,21600" o:spt="32" o:oned="t" path="m,l21600,21600e" filled="f">
              <v:path arrowok="t" fillok="f" o:connecttype="none"/>
              <o:lock v:ext="edit" shapetype="t"/>
            </v:shapetype>
            <v:shape id="_x0000_s1032" type="#_x0000_t32" style="position:absolute;left:7077;top:10071;width:13;height:1903;flip:x y" o:connectortype="straight"/>
            <v:shape id="_x0000_s1033" type="#_x0000_t32" style="position:absolute;left:8510;top:10071;width:4;height:718;flip:x y" o:connectortype="straight"/>
            <v:shape id="_x0000_s1034" type="#_x0000_t32" style="position:absolute;left:3032;top:10071;width:13;height:850;flip:x y" o:connectortype="straight"/>
            <v:shape id="_x0000_s1035" type="#_x0000_t32" style="position:absolute;left:4524;top:10071;width:16;height:850;flip:x y" o:connectortype="straight"/>
            <v:shapetype id="_x0000_t202" coordsize="21600,21600" o:spt="202" path="m,l,21600r21600,l21600,xe">
              <v:stroke joinstyle="miter"/>
              <v:path gradientshapeok="t" o:connecttype="rect"/>
            </v:shapetype>
            <v:shape id="_x0000_s1036" type="#_x0000_t202" style="position:absolute;left:2733;top:9617;width:670;height:454" strokecolor="white">
              <v:textbox style="mso-next-textbox:#_x0000_s1036">
                <w:txbxContent>
                  <w:p w:rsidR="00174971" w:rsidRPr="001323DE" w:rsidRDefault="00174971" w:rsidP="00FE585D">
                    <w:pPr>
                      <w:jc w:val="center"/>
                      <w:rPr>
                        <w:sz w:val="40"/>
                        <w:szCs w:val="40"/>
                      </w:rPr>
                    </w:pPr>
                    <w:r w:rsidRPr="001323DE">
                      <w:rPr>
                        <w:sz w:val="40"/>
                        <w:szCs w:val="40"/>
                      </w:rPr>
                      <w:t>A</w:t>
                    </w:r>
                  </w:p>
                </w:txbxContent>
              </v:textbox>
            </v:shape>
            <v:shape id="_x0000_s1037" type="#_x0000_t202" style="position:absolute;left:4181;top:9617;width:670;height:454" strokecolor="white">
              <v:textbox style="mso-next-textbox:#_x0000_s1037">
                <w:txbxContent>
                  <w:p w:rsidR="00174971" w:rsidRPr="001323DE" w:rsidRDefault="00174971" w:rsidP="00FE585D">
                    <w:pPr>
                      <w:jc w:val="center"/>
                      <w:rPr>
                        <w:sz w:val="40"/>
                        <w:szCs w:val="40"/>
                      </w:rPr>
                    </w:pPr>
                    <w:r>
                      <w:rPr>
                        <w:sz w:val="40"/>
                        <w:szCs w:val="40"/>
                      </w:rPr>
                      <w:t>B</w:t>
                    </w:r>
                  </w:p>
                </w:txbxContent>
              </v:textbox>
            </v:shape>
            <v:shape id="_x0000_s1038" type="#_x0000_t202" style="position:absolute;left:6717;top:9617;width:670;height:454" strokecolor="white">
              <v:textbox style="mso-next-textbox:#_x0000_s1038">
                <w:txbxContent>
                  <w:p w:rsidR="00174971" w:rsidRPr="001323DE" w:rsidRDefault="00174971" w:rsidP="00FE585D">
                    <w:pPr>
                      <w:jc w:val="center"/>
                      <w:rPr>
                        <w:sz w:val="40"/>
                        <w:szCs w:val="40"/>
                      </w:rPr>
                    </w:pPr>
                    <w:r w:rsidRPr="001323DE">
                      <w:rPr>
                        <w:sz w:val="40"/>
                        <w:szCs w:val="40"/>
                      </w:rPr>
                      <w:t>A</w:t>
                    </w:r>
                  </w:p>
                </w:txbxContent>
              </v:textbox>
            </v:shape>
            <v:shape id="_x0000_s1039" type="#_x0000_t202" style="position:absolute;left:8176;top:9617;width:670;height:454" strokecolor="white">
              <v:textbox style="mso-next-textbox:#_x0000_s1039">
                <w:txbxContent>
                  <w:p w:rsidR="00174971" w:rsidRPr="001323DE" w:rsidRDefault="00174971" w:rsidP="00FE585D">
                    <w:pPr>
                      <w:jc w:val="center"/>
                      <w:rPr>
                        <w:sz w:val="40"/>
                        <w:szCs w:val="40"/>
                      </w:rPr>
                    </w:pPr>
                    <w:r>
                      <w:rPr>
                        <w:sz w:val="40"/>
                        <w:szCs w:val="40"/>
                      </w:rPr>
                      <w:t>B</w:t>
                    </w:r>
                  </w:p>
                </w:txbxContent>
              </v:textbox>
            </v:shape>
            <v:shape id="_x0000_s1040" type="#_x0000_t32" style="position:absolute;left:7090;top:11591;width:1424;height:383;flip:y" o:connectortype="straight"/>
            <v:shape id="_x0000_s1041" type="#_x0000_t202" style="position:absolute;left:7999;top:12869;width:1563;height:450" strokecolor="white">
              <v:textbox style="mso-next-textbox:#_x0000_s1041">
                <w:txbxContent>
                  <w:p w:rsidR="00174971" w:rsidRPr="00FE585D" w:rsidRDefault="00174971" w:rsidP="00FE585D">
                    <w:pPr>
                      <w:jc w:val="right"/>
                      <w:rPr>
                        <w:b/>
                      </w:rPr>
                    </w:pPr>
                    <w:r>
                      <w:rPr>
                        <w:b/>
                      </w:rPr>
                      <w:t>Figuur 4.1</w:t>
                    </w:r>
                  </w:p>
                </w:txbxContent>
              </v:textbox>
            </v:shape>
            <v:shape id="_x0000_s1042" type="#_x0000_t32" style="position:absolute;left:5952;top:9150;width:12;height:3989;flip:x" o:connectortype="straight">
              <v:stroke dashstyle="1 1"/>
            </v:shape>
            <v:shape id="_x0000_s1043" type="#_x0000_t202" style="position:absolute;left:2524;top:9150;width:3242;height:468">
              <v:textbox>
                <w:txbxContent>
                  <w:p w:rsidR="00174971" w:rsidRPr="00FE585D" w:rsidRDefault="00174971" w:rsidP="00FE585D">
                    <w:pPr>
                      <w:jc w:val="center"/>
                      <w:rPr>
                        <w:b/>
                      </w:rPr>
                    </w:pPr>
                    <w:r>
                      <w:rPr>
                        <w:b/>
                      </w:rPr>
                      <w:t>Situatie voor bedrijfsfusie</w:t>
                    </w:r>
                  </w:p>
                </w:txbxContent>
              </v:textbox>
            </v:shape>
            <v:shape id="_x0000_s1044" type="#_x0000_t202" style="position:absolute;left:6201;top:9150;width:3243;height:467">
              <v:textbox>
                <w:txbxContent>
                  <w:p w:rsidR="00174971" w:rsidRPr="00FE585D" w:rsidRDefault="00174971" w:rsidP="00FE585D">
                    <w:pPr>
                      <w:jc w:val="center"/>
                      <w:rPr>
                        <w:b/>
                      </w:rPr>
                    </w:pPr>
                    <w:r>
                      <w:rPr>
                        <w:b/>
                      </w:rPr>
                      <w:t>Situatie na bedrijfsfusie</w:t>
                    </w:r>
                  </w:p>
                </w:txbxContent>
              </v:textbox>
            </v:shape>
            <w10:anchorlock/>
          </v:group>
        </w:pict>
      </w:r>
      <w:r w:rsidRPr="006409B9">
        <w:t xml:space="preserve"> </w:t>
      </w:r>
      <w:r>
        <w:t>De aandeelhouders A en B zijn niet direct betrokken bij de reorganisatie, het is een transactie tussen de twee vennootschappen. Anders dan bijvoorbeeld bij de aandelenfusie is de bedrijfsfusie daardoor primair een vennootschapsbelastingprobleem, voor wat het de directe belastingen betreft. Bij het overdragende lichaam (Y) dient te worden afgerekend over de stille en fiscale reserves. Deze heffing kan een obstakel voor de belastingplichtigen zijn om de bedrijfsfusie doorgang te laten vinden en dat heeft de wetgever willen voorkomen door het verlenen van de bedrijfsfusiefaciliteit. Aangezien de tegenprestatie voor de overgang van het zelfstandige deel van de onderneming in aandelen is en er geen contanten mee gemoeid zijn, zou directe afrekening ook liquiditeitsproblemen bij de overdrager met zich mee kunnen brengen. Door toepassing van de faciliteit hoeft de overdragende partij de winst op de opgebouwde reserves niet in aanmerking te nemen. De overnemer dient in de plaats te treden van de overdrager ten aanzien van alle vermogensbestanddelen die zijn verkregen in het kader van de bedrijfsfusie. Deze indeplaatsstelling heeft de wetgever verplicht om de fiscale claims over de reserves te behouden. De belastingclaim wordt dus doorgeschoven naar de overnemende partij, terwijl de winst is gerealiseerd bij de overdragende partij.</w:t>
      </w:r>
    </w:p>
    <w:p w:rsidR="00174971" w:rsidRDefault="00174971" w:rsidP="00285F0E">
      <w:r>
        <w:t>Uit artikel 14 Wet VPB 1969 blijkt dat de bedrijfsfusie op twee verschillende manieren gefaciliteerd kan worden. De eerste mogelijkheid volgt uit het eerste lid. Deze mogelijkheid kunnen de fuserende partijen van rechtswege toepassen indien aan de voorwaarden wordt voldaan. Er hoeft dus geen verzoek ingediend te worden om de faciliteit toe te passen. Het aantal voorwaarden voor het toepassen van de bedrijfsfusiefaciliteit uit lid 1 is omvangrijk. Zoals ik al heb beschreven moet er sprake zijn van een overdracht een gehele onderneming of een zelfstandig gedeelte van de onderneming en dient de overdracht tegen uitreiking van aandelen</w:t>
      </w:r>
      <w:r>
        <w:rPr>
          <w:rStyle w:val="FootnoteReference"/>
        </w:rPr>
        <w:footnoteReference w:id="104"/>
      </w:r>
      <w:r>
        <w:t xml:space="preserve"> plaats te vinden. Tevens volgen uit het eerste lid nog de volgende voorwaarden voor toepassing van de faciliteit:</w:t>
      </w:r>
    </w:p>
    <w:p w:rsidR="00174971" w:rsidRDefault="00174971" w:rsidP="00285F0E">
      <w:pPr>
        <w:pStyle w:val="ListParagraph"/>
        <w:numPr>
          <w:ilvl w:val="0"/>
          <w:numId w:val="7"/>
        </w:numPr>
      </w:pPr>
      <w:r>
        <w:t>Bij de overdrager en overnemer dienen dezelfde winstbepalingen van toepassing zijn. Hiermee wordt vereist dat beide lichamen zijn onderworpen aan het zelfde winstregime. Naast het feit dat beide lichamen belastingplichtig voor de vennootschapsbelasting moeten zijn, volgt uit deze voorwaarde bijvoorbeeld dat een fiscale beleggingsinstelling</w:t>
      </w:r>
      <w:r>
        <w:rPr>
          <w:rStyle w:val="FootnoteReference"/>
        </w:rPr>
        <w:t xml:space="preserve"> </w:t>
      </w:r>
      <w:r>
        <w:t>uit artikel 28 Wet VPB 1969 niet met een normaal belaste vennootschap kan fuseren op grond van lid 1.</w:t>
      </w:r>
    </w:p>
    <w:p w:rsidR="00174971" w:rsidRDefault="00174971" w:rsidP="00285F0E">
      <w:pPr>
        <w:pStyle w:val="ListParagraph"/>
        <w:numPr>
          <w:ilvl w:val="0"/>
          <w:numId w:val="7"/>
        </w:numPr>
      </w:pPr>
      <w:r>
        <w:t xml:space="preserve">De overnemer kan geen aanspraak maken op voorwaartse verrekening van verliezen, op vermindering ter voorkoming van dubbele belasting ter zake van buitenlandse resultaten, op toepassing van de octrooibox of op toepassing van de deelnemingsverrekening. </w:t>
      </w:r>
    </w:p>
    <w:p w:rsidR="00174971" w:rsidRDefault="00174971" w:rsidP="00285F0E">
      <w:pPr>
        <w:pStyle w:val="ListParagraph"/>
        <w:numPr>
          <w:ilvl w:val="0"/>
          <w:numId w:val="7"/>
        </w:numPr>
      </w:pPr>
      <w:r>
        <w:t>De latere heffing is verzekerd. Deze voorwaarde kan gezien worden als de kerngedachte achter de faciliteit. De heffing wordt verzekerd doordat de overnemer de fiscale boekwaarde en de fiscale reserves overneemt (de indeplaatsstelling).</w:t>
      </w:r>
    </w:p>
    <w:p w:rsidR="00174971" w:rsidRDefault="00174971" w:rsidP="00285F0E">
      <w:r>
        <w:t>Indien niet aan alle bovenstaande vereisten is voldaan, dan is er nog een tweede manier waarop een bedrijfsfusie gefaciliteerd kan worden. Dit kan op grond van het tweede lid van artikel 14 Wet VPB 1969 en kan enkel op verzoek van beide fuserende partijen plaatsvinden. Om een bedrijfsfusie op deze wijze te faciliteren worden nadere voorwaarden gesteld. Deze standaardvoorwaarden zijn voor het eerst gepubliceerd in 1970 en worden begrensd door artikel 14, lid 7, Wet VPB 1969. Uit dit lid blijkt dat de voorwaarden alleen mogen strekken ter verzekering van de heffing en invordering van de belasting die verschuldigd zou zijn of zou worden indien geen gebruik van de faciliteit zou worden gemaakt. De voorwaarden die worden gesteld hebben betrekking op de eerder opgesomde eisen voor de fusiefaciliteit op grond van lid 1. De huidige standaardvoorwaarden zijn opgenomen in het Besluit van 29 september 2008</w:t>
      </w:r>
      <w:r>
        <w:rPr>
          <w:rStyle w:val="FootnoteReference"/>
        </w:rPr>
        <w:footnoteReference w:id="105"/>
      </w:r>
      <w:r>
        <w:t>. Omdat deze standaardvoorwaarden voor toepassing van de faciliteit op verzoek geen grote rol spelen voor dit onderzoek, zal ik deze niet verder behandelen.</w:t>
      </w:r>
      <w:r>
        <w:br/>
        <w:t>De faciliteit zal nooit verleend worden indien de bedrijfsfusie in overwegende mate is gericht op het ontgaan of uitstellen van belastingheffing, zo volgt uit het vierde lid. Deze bepaling is in de wet gekomen om misbruik tegen te gaan en zal ik er hierna verder uitlichten.</w:t>
      </w:r>
    </w:p>
    <w:p w:rsidR="00174971" w:rsidRDefault="00174971" w:rsidP="00285F0E">
      <w:pPr>
        <w:pStyle w:val="Heading2"/>
      </w:pPr>
      <w:bookmarkStart w:id="38" w:name="_Toc265484819"/>
      <w:r w:rsidRPr="00792776">
        <w:t>4.</w:t>
      </w:r>
      <w:r>
        <w:t>4</w:t>
      </w:r>
      <w:r w:rsidRPr="00792776">
        <w:t xml:space="preserve"> De antimisbruikbepaling van artikel 14, lid 4, Wet VPB 1969</w:t>
      </w:r>
      <w:bookmarkEnd w:id="38"/>
    </w:p>
    <w:p w:rsidR="00174971" w:rsidRDefault="00174971" w:rsidP="00285F0E">
      <w:r>
        <w:t>De wetgever heeft het niet wenselijk geacht om een bedrijfsfusie te faciliteren indien deze in overwegende mate is aangegaan om belasting te ontgaan of uit te stellen. De bewijslast ligt hierbij in beginsel bij de inspecteur. Als de bedrijfsfusie niet plaatsvindt op grond van zakelijke overwegingen dan wordt deze geacht in overwegende mate te zijn gericht op het ontgaan of uitstellen van belastingheffing, waardoor de faciliteit niet wordt verleend. Indien aandelen in het overnemend lichaam of overdragend lichaam binnen drie jaar na de bedrijfsfusie worden vervreemd aan een niet-verbonden lichaam, worden geen zakelijke overwegingen aanwezig geacht. Dit wordt gezien als misbruik van de bedrijfsfusiefaciliteit en dat heeft de wetgever willen voorkomen met het artikel 14, lid 4, Wet VPB 1969. Indien de bedrijfsfusie niet op zakelijk gronden is aangegaan of er wordt geacht dat er geen zakelijke gronden aanwezig waren, resteert nog een mogelijkheid voor de fuserende partijen om alsnog gebruik te kunnen maken van de faciliteit. In dat geval moeten zij bewijzen dat de bedrijfsfusie niet is aangegaan om belasting te ontgaan of uit stellen en er dus geen sprake is van misbruik. Indien dit bewezen kan worden, is er geen sprake van misbruik van de bedrijfsfusiefaciliteit. In de antimisbruikbepaling staan een aantal begrippen centraal die een doorslaggevende reden kunnen zijn om te faciliteit te verlenen of te weigeren. Deze begrippen zal ik hieronder verder uitlichten.</w:t>
      </w:r>
    </w:p>
    <w:p w:rsidR="00174971" w:rsidRDefault="00174971" w:rsidP="00285F0E">
      <w:pPr>
        <w:pStyle w:val="Heading3"/>
      </w:pPr>
      <w:bookmarkStart w:id="39" w:name="_Toc265484820"/>
      <w:r w:rsidRPr="00C9386C">
        <w:t>4.</w:t>
      </w:r>
      <w:r>
        <w:t>4</w:t>
      </w:r>
      <w:r w:rsidRPr="00C9386C">
        <w:t xml:space="preserve">.1 </w:t>
      </w:r>
      <w:r>
        <w:t>Overwegende mate ontgaan of uitstellen van belastingheffing</w:t>
      </w:r>
      <w:bookmarkEnd w:id="39"/>
    </w:p>
    <w:p w:rsidR="00174971" w:rsidRDefault="00174971" w:rsidP="00285F0E">
      <w:r>
        <w:t>Bij de faciliteit van de juridische fusie is in artikel 14b, lid 5, Wet VPB 1969 is een vergelijkbare bepaling opgenomen die de faciliteit niet verleend indien de fusie in overwegende mate is gericht op het ontgaan of uitstellen van belastingheffing. De staatssecretaris heeft in de memorie van toelichting van de belastingherziening 2001 gesteld op welke wijze het ontgaan en uitstellen moeten worden uitgelegd bij de juridische fusie:</w:t>
      </w:r>
    </w:p>
    <w:p w:rsidR="00174971" w:rsidRDefault="00174971" w:rsidP="00285F0E">
      <w:pPr>
        <w:pStyle w:val="Subtitle"/>
      </w:pPr>
      <w:r>
        <w:t>“Dit houdt in dat naast gevallen waarin de aandelenruil ertoe leidt dat (een deel van) de fiscale claim verloren gaat (ontgaan), ook sprake kan zijn van belastingontwijking indien een handelen of een samenstel van rechtshandelingen erop is gericht een min of meer acute fiscale verplichting uit te stellen”</w:t>
      </w:r>
      <w:r>
        <w:rPr>
          <w:rStyle w:val="FootnoteReference"/>
        </w:rPr>
        <w:footnoteReference w:id="106"/>
      </w:r>
      <w:r>
        <w:t>.</w:t>
      </w:r>
    </w:p>
    <w:p w:rsidR="00174971" w:rsidRDefault="00174971" w:rsidP="00285F0E">
      <w:r>
        <w:t xml:space="preserve">Deze uitleg geldt eveneens voor misbruik bij de bedrijfsfusie. Met het formuleren van ontgaan van belastingheffing in de antimisbruikbepaling heeft de wetgever dus willen voorkomen dat een fiscale claim (gedeeltelijk) verloren gaat. Het uitstellen van belastingheffing is aanwezig indien een fiscale verplichting die vrijwel direct moet worden voldaan, uitgesteld wordt. Het verbieden van ontgaan van belastingheffing met behulp van de bedrijfsfusiefaciliteit is begrijpelijk, het verbieden van uitstel verdient meer uitleg aangezien de faciliteit op zichzelf al gericht is op het uitstellen van heffing. Om deze reden heeft de staatssecretaris in de parlementaire behandeling een voorbeeld van ongewenst uitstel van belastingheffing gegeven. Dit aangedragen voorbeeld ziet op een aandelenfusie, maar zal ik uitleggen in het kader van een bedrijfsfusie. Het betreft het geval dat een aanmerkelijkbelanghouder het voornemen heeft om zijn aandelen te vervreemden. Voordat hij dit doet, ruilt hij zijn aandelen in zijn vennootschap voor aandelen in een houdstervennootschap en wil hij hiervoor gebruik maken van de bedrijfsfusiefaciliteit. Door deze omweg kan hij aanmerkelijkbelangheffing over de vervreemdingswinst voorkomen, omdat de houdster niet belast wordt over de vervreemdingswinst door de toepassing van de deelnemingsvrijstelling. Uiteindelijk zal door deze constructie de belastingclaim weliswaar blijven bestaan, maar de bedrijfsfusie wordt hier enkel gebruikt om onmiddellijke heffing uit te stellen. </w:t>
      </w:r>
    </w:p>
    <w:p w:rsidR="00174971" w:rsidRDefault="00174971" w:rsidP="00285F0E">
      <w:r>
        <w:t>Dergelijke constructies wil de wetgever voorkomen door de faciliteit niet te verlenen omdat het overwegende motief het uitstellen van belastingheffing is. Het begrip in overwegende mate houdt in dat het motief voor de bedrijfsfusie maximaal voor 50% mag bestaan uit het ontgaan of uitstellen van belastingheffing, indien de fuserende lichamen de faciliteit willen toepassen</w:t>
      </w:r>
      <w:r>
        <w:rPr>
          <w:rStyle w:val="FootnoteReference"/>
        </w:rPr>
        <w:footnoteReference w:id="107"/>
      </w:r>
      <w:r>
        <w:t>.</w:t>
      </w:r>
    </w:p>
    <w:p w:rsidR="00174971" w:rsidRDefault="00174971" w:rsidP="00285F0E">
      <w:pPr>
        <w:pStyle w:val="Heading3"/>
      </w:pPr>
      <w:bookmarkStart w:id="40" w:name="_Toc265484821"/>
      <w:r>
        <w:t>4.4.2 Geen zakelijke overwegingen of vervreemding binnen drie jaar</w:t>
      </w:r>
      <w:bookmarkEnd w:id="40"/>
    </w:p>
    <w:p w:rsidR="00174971" w:rsidRDefault="00174971" w:rsidP="00285F0E">
      <w:r>
        <w:t>In de wet staan als voorbeelden voor zakelijke overwegingen herstructurering en rationalisering van actieve werkzaamheden van de overdrager en de overnemer. Verder wordt de stelling ingenomen dat er sprake is van de aanwezigheid van zakelijke motieven indien de bedrijfsfusie strekt ter verbetering van de bedrijfsvoering van de overnemende dan wel overdragende partij</w:t>
      </w:r>
      <w:r>
        <w:rPr>
          <w:rStyle w:val="FootnoteReference"/>
        </w:rPr>
        <w:footnoteReference w:id="108"/>
      </w:r>
      <w:r>
        <w:t>. Tevens heeft de staatssecretaris aangegeven dat er in het geval van een bedrijfsopvolging in beginsel vanuit wordt gegaan dat een zakelijk motief aanwezig is</w:t>
      </w:r>
      <w:r>
        <w:rPr>
          <w:rStyle w:val="FootnoteReference"/>
        </w:rPr>
        <w:footnoteReference w:id="109"/>
      </w:r>
      <w:r>
        <w:t>. Niet zakelijk is het bijvoorbeeld als fiscale overwegingen</w:t>
      </w:r>
      <w:r>
        <w:rPr>
          <w:rStyle w:val="FootnoteReference"/>
        </w:rPr>
        <w:footnoteReference w:id="110"/>
      </w:r>
      <w:r>
        <w:t xml:space="preserve"> ten grondslag liggen aan de bedrijfsfusie.</w:t>
      </w:r>
    </w:p>
    <w:p w:rsidR="00174971" w:rsidRDefault="00174971" w:rsidP="00285F0E">
      <w:r>
        <w:t>De faciliteit wordt teruggenomen indien binnen drie jaar aandelen in de overnemende of overdragende partij worden vervreemd aan een niet-verbonden lichaam. Het overdragende lichaam is daardoor alsnog belasting verschuldigd over de winst die bij de overdracht is gerealiseerd. Opvallend is dat in artikel 14, lid 4, laatste volzin Wet VPB 1969 enkel gesproken wordt over een vervreemding aan een niet-verbonden lichaam. Dat houdt in dat in het geval van een vervreemding binnen drie jaar aan een niet-verbonden natuurlijk persoon de faciliteit niet alsnog wordt teruggedraaid. Daarnaast is het opmerkelijk dat de vervreemding van een enkel aandeel in de overnemende of overdragende partij al leidt tot het ongedaan maken van de faciliteit. Het ligt in die situaties overigens wel in de lijn der verwachting dat de partijen duidelijk kunnen maken dat geen sprake is van uitstel of ontgaan van belastingheffing.</w:t>
      </w:r>
    </w:p>
    <w:p w:rsidR="00174971" w:rsidRDefault="00174971" w:rsidP="00285F0E">
      <w:pPr>
        <w:pStyle w:val="Heading2"/>
      </w:pPr>
      <w:bookmarkStart w:id="41" w:name="_Toc265484822"/>
      <w:r>
        <w:t>4.5 Artikel 15, lid 1, onderdeel a, Fusierichtlijn</w:t>
      </w:r>
      <w:bookmarkEnd w:id="41"/>
    </w:p>
    <w:p w:rsidR="00174971" w:rsidRDefault="00174971" w:rsidP="00285F0E">
      <w:r>
        <w:t>Een van de doelen die de Europese Economische Gemeenschap stelde bij haar oprichting door middel van het verdrag van Rome was de invoering van een algemene gemeenschappelijke markt. Om dit te bewerkstelligen is het noodzakelijk dat fusies tussen vennootschappen in verschillende lidstaten onder dezelfde voorwaarden mogelijk moeten zijn als fusies binnen een land</w:t>
      </w:r>
      <w:r>
        <w:rPr>
          <w:rStyle w:val="FootnoteReference"/>
        </w:rPr>
        <w:footnoteReference w:id="111"/>
      </w:r>
      <w:r>
        <w:t>. De fusierichtlijn moet ervoor zorgen dat grensoverschrijdende fusies op dezelfde wijze behandeld worden als binnenlandse fusies. Daarbij zijn er twee uitgangspunten die een rol spelen. Ten eerste mogen er geen fiscale belemmeringen zijn omdat een fusie tussen vennootschappen in verschillende lidstaten gesloten wordt. Daarnaast moet de lidstaat van de overdragende vennootschap de belastingclaim over de stille en fiscale reserves behouden. Dit laatste wordt gerealiseerd doordat de overgenomen vermogensbestanddelen tot een vaste inrichting van de overnemende vennootschap gaan behoren. De kernbepaling van de fusierichtlijn is artikel 4, lid 1, Fusierichtlijn. Daarin staat weergegeven dat een fusie niet leidt tot belastingheffing over de vermogenswinst, die bestaat uit het verschil tussen werkelijke waarde en fiscale waarde van de ingebrachte activa en passiva. Lidstaten zijn in beginsel verplicht om de faciliteit te verlenen, tenzij er sprake is van misbruik. Het artikel dat misbruik van de faciliteit moet tegengaan is opgenomen in artikel 15, lid 1, Fusierichtlijn. Ik richt me tot onderdeel a van dit lid.</w:t>
      </w:r>
    </w:p>
    <w:p w:rsidR="00174971" w:rsidRDefault="00174971" w:rsidP="00285F0E">
      <w:r>
        <w:t>Naar de letter van artikel 15, lid 1, onderdeel a, Fusierichtlijn wordt er geen bedrijfsfusiefaciliteit verleend indien het hoofddoel of een van de hoofddoelen van de rechtshandeling belastingfraude of belastingontwijking is. Een vermoeden hiervan is aanwezig indien de bedrijfsfusie niet plaatsvindt op grond van zakelijke overwegingen. Uit deze wettekst volgt dat de bewijslast voor de aanwezigheid van misbruik van de faciliteit in eerste instantie bij de fiscus ligt. Mocht de fiscus kunnen bewijzen dat er geen zakelijke overwegingen ten grondslag liggen aan de bedrijfsfusie, dan heeft de belastingplichtige nog een mogelijkheid om het tegendeel aan te tonen. Belastingfraude is aanwezig als opzettelijk wordt gehandeld in strijd met de wet</w:t>
      </w:r>
      <w:r>
        <w:rPr>
          <w:rStyle w:val="FootnoteReference"/>
        </w:rPr>
        <w:footnoteReference w:id="112"/>
      </w:r>
      <w:r>
        <w:t>. In gevallen van belastingontwijking is wel in overeenstemming met de wettekst gehandeld maar leidt deze handelswijze tot een, in de ogen van de fiscus, ongewenste belastingbesparende situatie. Het Hof van Justitie heeft in het verleden een aantal keer verwoord wat onder het begrip belastingontwijking verstaan moet worden</w:t>
      </w:r>
      <w:r>
        <w:rPr>
          <w:rStyle w:val="FootnoteReference"/>
        </w:rPr>
        <w:footnoteReference w:id="113"/>
      </w:r>
      <w:r>
        <w:t>. In Cadbury Schweppes-arrest stelt het Hof van Justitie dat twee elementen nodig zijn om te concluderen dat er sprake is van een ‘volstrekt kunstmatige constructie’ die alleen bedoeld is om belasting te ontwijken:</w:t>
      </w:r>
    </w:p>
    <w:p w:rsidR="00174971" w:rsidRDefault="00174971" w:rsidP="00285F0E">
      <w:pPr>
        <w:pStyle w:val="Subtitle"/>
        <w:rPr>
          <w:szCs w:val="22"/>
        </w:rPr>
      </w:pPr>
      <w:r w:rsidRPr="0012635A">
        <w:rPr>
          <w:szCs w:val="22"/>
        </w:rPr>
        <w:t>“Voor de vaststelling van het bestaan van een dergelijke constructie is immers naast een subjectief element, namelijk de wil om een belastingvoordeel te verkrijgen, ook vereist dat uit een geheel van objectieve elementen blijkt dat, in weerwil van de formele vervulling van de door gemeenschapsregeling gestelde voorwaarden, het door de vrijheid van vestiging beoogde doel - zoals dat in de punten 54 en 55 van dit arrest is uiteengezet - niet werd bereikt</w:t>
      </w:r>
      <w:r>
        <w:rPr>
          <w:szCs w:val="22"/>
        </w:rPr>
        <w:t xml:space="preserve"> </w:t>
      </w:r>
      <w:r w:rsidRPr="0012635A">
        <w:t>(zie in die zin arresten van 14 december 2000, Emsland-Stärke, C 110/99, Jurispr. blz. I 11569, punten 52 en 53, en 21 februari 2006, Halifax e.a., C 255/02, Jurispr. blz. I 1609, punten 74 en 75).</w:t>
      </w:r>
      <w:r w:rsidRPr="0012635A">
        <w:rPr>
          <w:szCs w:val="22"/>
        </w:rPr>
        <w:t>”</w:t>
      </w:r>
      <w:r w:rsidRPr="0012635A">
        <w:rPr>
          <w:rStyle w:val="FootnoteReference"/>
          <w:szCs w:val="22"/>
        </w:rPr>
        <w:footnoteReference w:id="114"/>
      </w:r>
    </w:p>
    <w:p w:rsidR="00174971" w:rsidRDefault="00174971" w:rsidP="00285F0E">
      <w:r>
        <w:t>In het in deze rechtsoverweging aangehaalde Halifax-arrest heeft het Hof van Justitie geoordeeld dat, indien meerdere opties mogelijk zijn om een doel te bereiken, de belastingplichtige niet de verplichting heeft om de meest belastende constructie te kiezen.</w:t>
      </w:r>
    </w:p>
    <w:p w:rsidR="00174971" w:rsidRDefault="00174971" w:rsidP="00285F0E">
      <w:r>
        <w:t xml:space="preserve">Volgens de fusierichtlijn is er sprake van misbruik indien een hoofddoel of een van de hoofddoelen van de bedrijfsfusie belastingfraude of belastingontwijking is. Dit houdt in dat er naast de fraude of ontwijking nog een ander hoofddoel kan zijn. </w:t>
      </w:r>
    </w:p>
    <w:p w:rsidR="00174971" w:rsidRDefault="00174971" w:rsidP="00285F0E">
      <w:r>
        <w:t>Net zoals in de nationale wet is in de fusierichtlijn een omkering van de bewijslast opgenomen indien de rechtshandeling niet plaatsvindt op zakelijke overwegingen. Indien de inspecteur dit aannemelijk maakt wordt er geacht dat het hoofddoel of een der hoofddoelen van de rechtshandeling belastingfraude of belastingontwijking is. In de fusierichtlijn wordt een herstructurering of rationalisering van de activiteiten van de fuserende vennootschappen als voorbeeld gegeven van zakelijke overwegingen.</w:t>
      </w:r>
    </w:p>
    <w:p w:rsidR="00174971" w:rsidRDefault="00174971" w:rsidP="00285F0E">
      <w:pPr>
        <w:pStyle w:val="Heading2"/>
      </w:pPr>
      <w:bookmarkStart w:id="42" w:name="_Toc265484823"/>
      <w:r>
        <w:t>4.6 Toetsing van artikel 14, lid 4, Wet VPB 1969 aan artikel 15, lid 1, onderdeel a, Fusierichtlijn</w:t>
      </w:r>
      <w:bookmarkEnd w:id="42"/>
    </w:p>
    <w:p w:rsidR="00174971" w:rsidRDefault="00174971" w:rsidP="00285F0E">
      <w:r>
        <w:t>De opvallendste verschillen tussen beide antimisbruikbepalingen zijn de nationale begrippen ‘ontgaan en uitstellen van belasting’ versus de Europese begrippen ‘belastingfraude en belastingontwijking’. De staatssecretaris vond het niet nodig om deze begrippen letterlijk over te nemen in de nationale wettekst</w:t>
      </w:r>
      <w:r>
        <w:rPr>
          <w:rStyle w:val="FootnoteReference"/>
        </w:rPr>
        <w:footnoteReference w:id="115"/>
      </w:r>
      <w:r>
        <w:t>. Een reden die de staatssecretaris hiervoor geeft, is dat het inherent aan het Nederlandse belastingsysteem is dat bij belastingfraude de faciliteit achteraf wordt teruggenomen. Deze beredenering kan ik volgen, maar het niet letterlijk opnemen van de term belastingontwijking vind ik een gemiste kans. Als in artikel 14, lid 4, Wet VPB 1969 zou worden gesproken over belastingontwijking, dan zou er immers geen discussie kunnen oplaaien over eventuele strijdigheid met de fusierichtlijn. In de parlementaire behandeling motiveerde de staatssecretaris het niet letterlijk opnemen van belastingontwijking in de wet door te stellen dat het begrip niet zonder meer toepasbaar is binnen de Nederlandse wetgeving. Verdere motivering waarom het niet toepasbaar is in die Nederlandse wetgeving ontbreekt. Ik zie niet in waarom het begrip niet toepasbaar is in de Nederlandse wetgeving en ik vind het daarom jammer dat de staatssecretaris dit niet verder toelicht. Het niet letterlijk opnemen van belastingontwijking is bovendien verbazingwekkend gezien het arrest Direct Cosmetics</w:t>
      </w:r>
      <w:r>
        <w:rPr>
          <w:rStyle w:val="FootnoteReference"/>
        </w:rPr>
        <w:footnoteReference w:id="116"/>
      </w:r>
      <w:r>
        <w:t>. In dit arrest is gebleken dat belastingontwijking een communautair begrip is, waarvan de betekenis niet overgelaten kan worden aan de afzonderlijke lidstaten. De Nederlandse wetgever heeft dit begrip willen omvatten met de termen ontgaan en uitstellen van belasting. Deze vertaling mag niet leiden tot een inperking van de faciliteit die de fusierichtlijn beoogt te bieden, de antimisbruikbepaling mag in Nederland derhalve niet ruimer zijn dan de Europese bepaling. Het uitstellen van heffing zal in veel gevallen echter niet aan te merken zijn als misbruik, zo heeft ook de staatssecretaris onderkend</w:t>
      </w:r>
      <w:r>
        <w:rPr>
          <w:rStyle w:val="FootnoteReference"/>
        </w:rPr>
        <w:footnoteReference w:id="117"/>
      </w:r>
      <w:r>
        <w:t>. Het uitstellen van belastingheffing is inherent aan de bedrijfsfusiefaciliteit. Ik ben van mening dat de terminologie ontgaan en uitstellen van belastingheffing uit de Nederlandse wet daarom breder is dan het Europese begrip belastingontwijking. Het heeft er de schijn van dat de wetgever bewust ervoor gekozen heeft voor dit ruimere begrip om vermeend misbruik van de faciliteit beter te kunnen bestrijden.</w:t>
      </w:r>
    </w:p>
    <w:p w:rsidR="00174971" w:rsidRDefault="00174971" w:rsidP="00285F0E">
      <w:r>
        <w:t>Een ander verschil tussen beide bepalingen is dat de fusierichtlijn spreekt van ‘hoofddoel of een der hoofddoelen’ en de nationale wet van ‘in overwegende mate’. Dit verschil maakt de Europese antimisbruikbepaling ruimer en eerder toepasbaar. Er kan immers maar een doel overwegend zijn, terwijl er meerdere hoofddoelen aanwezig kunnen zijn. De fiscus zal zich dus minder gemakkelijk op misbruik kunnen beroepen met behulp van de Nederlandse bepaling dan met de Europese bepaling.</w:t>
      </w:r>
    </w:p>
    <w:p w:rsidR="00174971" w:rsidRDefault="00174971" w:rsidP="00285F0E">
      <w:r>
        <w:t>Als voorbeeld van zakelijke overwegingen wordt in de Nederlandse wet een herstructurering of rationalisering van actieve werkzaamheden genoemd. Met de term ‘actieve werkzaamheden’ heeft de wetgever beoogd om passieve vennootschappen waarvan de werkzaamheden niet normaal vermogensbeheer te boven gaan, te onderscheiden van actieve vennootschappen. Geen zakelijke overwegingen worden dus aanwezig geacht bij een herstructurering of rationalisering van een passieve vennootschap in tegenstelling tot bij dergelijke handelingen van een actieve vennootschap. De fusierichtlijn spreekt bij een herstructurering of rationalisering enkel van ‘activiteiten’. Met activiteiten worden niet specifiek actieve vennootschappen bedoeld, zo bleek uit het Leur-Bloem-arrest. De richtlijn maakt derhalve geen onderscheid tussen actieve en passieve vennootschappen. Na dit arrest is de Nederlandse wetgever teruggefloten met betrekking tot het uitsluiten van beleggingsactiviteiten door Hof Amsterdam</w:t>
      </w:r>
      <w:r>
        <w:rPr>
          <w:rStyle w:val="FootnoteReference"/>
        </w:rPr>
        <w:footnoteReference w:id="118"/>
      </w:r>
      <w:r>
        <w:t>.</w:t>
      </w:r>
    </w:p>
    <w:p w:rsidR="00174971" w:rsidRDefault="00174971" w:rsidP="00285F0E">
      <w:r>
        <w:t>Het vervreemdingsverbod uit artikel 14, lid 4, slotzin, Wet VPB 1969 is niet opgenomen in de fusierichtlijn. Deze bepaling verlicht de inspecteur aangezien hij, bij een vervreemding van aandelen aan een niet-verbonden lichaam binnen drie jaar, de bewijslast bij de belastingplichtige kan leggen. Dit terwijl de inspecteur niet hoeft aan te tonen dat zakelijke overwegingen ontbreken. Door dit voordeel voor de inspecteur is het vervreemdingsverbod uit de slotzin van artikel 14, lid 4, Wet VPB 1969 in strijd met de fusierichtlijn</w:t>
      </w:r>
      <w:r>
        <w:rPr>
          <w:rStyle w:val="FootnoteReference"/>
        </w:rPr>
        <w:footnoteReference w:id="119"/>
      </w:r>
      <w:r>
        <w:t xml:space="preserve">. </w:t>
      </w:r>
    </w:p>
    <w:p w:rsidR="00174971" w:rsidRDefault="00174971" w:rsidP="00285F0E">
      <w:r>
        <w:t>Mijns inziens ontlopen de overige tekstuele verschillen elkaar wat betreft de inhoud niet of nauwelijks. Deze zal ik daarom niet bespreken in dit onderzoek.</w:t>
      </w:r>
    </w:p>
    <w:p w:rsidR="00174971" w:rsidRDefault="00174971" w:rsidP="00285F0E">
      <w:pPr>
        <w:pStyle w:val="Heading2"/>
      </w:pPr>
      <w:bookmarkStart w:id="43" w:name="_Toc265484824"/>
      <w:r>
        <w:t>4.7 Toetsing door het Hof van Justitie</w:t>
      </w:r>
      <w:bookmarkEnd w:id="43"/>
    </w:p>
    <w:p w:rsidR="00174971" w:rsidRDefault="00174971" w:rsidP="00285F0E">
      <w:r>
        <w:t>De verenigbaarheid van artikel 14 Wet VPB 1969 met de fusierichtlijn is nog niet voorgelegd aan het Hof van Justitie. Naar aanleiding van een casus waarin met behulp van een gekunstelde constructie werd getracht overdrachtsbelasting te ontgaan en vennootschapsbelasting uit te stellen heeft A-G Wattel de Hoge Raad wel geadviseerd om drie prejudiciële vragen hierover te stellen aan het Hof van Justitie:</w:t>
      </w:r>
    </w:p>
    <w:p w:rsidR="00174971" w:rsidRDefault="00174971" w:rsidP="00285F0E">
      <w:pPr>
        <w:pStyle w:val="Subtitle"/>
      </w:pPr>
      <w:r>
        <w:t>“i) kunnen ook indien niet verijdeling, maar uitstel van vennootschapsbelasting of inkomstenbelasting (met behoud van aanspraak van de fiscus op - wellicht veel - latere heffing) hoofddoel of één der hoofddoelen is van een inbreng van activa in de zin van art. 2, lid 1, sub c, van Richtlijn 90/434/EEG,</w:t>
      </w:r>
      <w:bookmarkStart w:id="44" w:name="VN-N1872"/>
      <w:bookmarkEnd w:id="44"/>
      <w:r>
        <w:t xml:space="preserve"> de voordelen van die Richtlijn worden geweigerd aan de belastingplichtige op de grond dat sprake is van "belastingontwijking" in de zin van art. 11 van de Fusierichtlijn, en zo ja, onder welke omstandigheden?</w:t>
      </w:r>
    </w:p>
    <w:p w:rsidR="00174971" w:rsidRDefault="00174971" w:rsidP="00285F0E">
      <w:pPr>
        <w:pStyle w:val="Subtitle"/>
      </w:pPr>
      <w:r>
        <w:t>ii) kunnen de Richtlijnvoordelen, die uitsluitend de vennootschapsbelasting en de inkomstenbelasting betreffen, op grond van art. 11 van de Fusierichtlijn geweigerd worden indien een overigens onder de Richtlijn vallende bedrijfsfusie als hoofddoel of één der hoofddoelen heeft de ontwijking van andere belastingen dan die waarop de Richtlijn ziet, met name de overdrachtsbelasting?</w:t>
      </w:r>
    </w:p>
    <w:p w:rsidR="00174971" w:rsidRDefault="00174971" w:rsidP="00285F0E">
      <w:pPr>
        <w:pStyle w:val="Subtitle"/>
      </w:pPr>
      <w:r>
        <w:t>iii) kunnen aandeelhoudersbelangen als "zakelijke overwegingen" in de zin van art. 11 van de Richtlijn gelden indien die belangen geen verband houden met ondernemingsbelangen van de betrokken rechtspersonen”?</w:t>
      </w:r>
      <w:r>
        <w:rPr>
          <w:rStyle w:val="FootnoteReference"/>
        </w:rPr>
        <w:footnoteReference w:id="120"/>
      </w:r>
    </w:p>
    <w:p w:rsidR="00174971" w:rsidRDefault="00174971" w:rsidP="00285F0E">
      <w:r>
        <w:t>Met de eerste vraag wil de A-G weten of het juist is of belastingontwijking in de Nederlandse wet is omschreven als het uitstellen en ontgaan van belastingheffing. Deze vraag zou een antwoord kunnen geven of de fusierichtlijn op een juiste wijze is geïmplementeerd. De tweede vraag ziet op de soort belasting die ontweken wordt. In deze casus werd niet vennootschapsbelasting ontgaan met behulp van een kunstmatige constructie maar overdrachtsbelasting</w:t>
      </w:r>
      <w:r>
        <w:rPr>
          <w:rStyle w:val="FootnoteReference"/>
        </w:rPr>
        <w:footnoteReference w:id="121"/>
      </w:r>
      <w:r>
        <w:t>. Het is de vraag of de antimisbruikbepaling uit de richtlijn ook op deze belasting ziet. De laatste vraag die Wattel wilde voorleggen, betreft of aandeelhoudersmotieven ook als zakelijke overwegingen uit te leggen zijn. Als dit niet het geval is, rust de bewijslast om duidelijk te maken dat er geen sprake is van belastingontwijking bij de belastingplichtige.</w:t>
      </w:r>
    </w:p>
    <w:p w:rsidR="00174971" w:rsidRDefault="00174971" w:rsidP="00285F0E">
      <w:r>
        <w:t>Het is spijtig dat de Hoge Raad besloten heeft om enkel de tweede vraag voor te leggen aan het Hof van Justitie</w:t>
      </w:r>
      <w:r>
        <w:rPr>
          <w:rStyle w:val="FootnoteReference"/>
        </w:rPr>
        <w:footnoteReference w:id="122"/>
      </w:r>
      <w:r>
        <w:t>. Voor een definitief oordeel of er sprake is van strijdigheid, is het nog wachten. Overigens heeft A-G Kokott het Hof van Justitie in overweging gegeven om te oordelen dat de fusierichtlijn slechts ziet op ontwijking van belasting waarop de faciliteit inwerkt</w:t>
      </w:r>
      <w:r>
        <w:rPr>
          <w:rStyle w:val="FootnoteReference"/>
        </w:rPr>
        <w:footnoteReference w:id="123"/>
      </w:r>
      <w:r>
        <w:t>. Het ontwijken van overdrachtsbelasting is dus geen misbruik waarop artikel 15, lid 1, onderdeel a, Fusierichtlijn ziet, aldus A-G Kokott. Op 20 mei 2010 heeft het Hof van Justitie heeft in overeenstemming met de A-G geoordeeld dat de fusiefaciliteit niet geweigerd kan worden op grond van het feit dat een belasting wordt ontgaan die niet binnen werkingssfeer van de fusierichtlijn valt</w:t>
      </w:r>
      <w:r>
        <w:rPr>
          <w:rStyle w:val="FootnoteReference"/>
        </w:rPr>
        <w:footnoteReference w:id="124"/>
      </w:r>
      <w:r>
        <w:t>.</w:t>
      </w:r>
    </w:p>
    <w:p w:rsidR="00174971" w:rsidRDefault="00174971" w:rsidP="00285F0E">
      <w:r>
        <w:t>Vooral interessant zijn de rechtsoverwegingen 40 tot en met 47 in de conclusie van A-G Kokott, waarin zij het begrip ontwijking nader uitlegt. Het samenvoegen van twee panden in een vennootschap berust in deze casus op zakelijke overwegingen, maar de Hoge Raad was van mening dat de omweg waarmee dit gebeurde niet op zakelijke overwegingen was ingegeven. De A-G is van mening dat indien het doel zakelijk is, het buitensporig is als het middel wordt afgewezen. Een belastingplichtige heeft vaak meerdere mogelijkheden om het doel te bereiken en mag hiervoor ook de route kiezen die voor hem fiscaal het voordeligst is. De A-G adviseert daarom om de verwijzende rechter de zakelijke overwegingen opnieuw te laten onderzoeken en daarbij rekening te houden met het zakelijke doel. Deze beoordeling van een onzakelijke omweg om een zakelijk doel te bereiken, komt overeen met jurisprudentie van het Hof van Justitie inzake belastingontwijking. Om daar aan te voldoen moet er sprake zijn van volstrekt kunstmatige constructies. Als een zakelijk doel aanwezig is, zal een constructie mijns inziens moeilijk als volstrekt kunstmatig kunnen worden beoordeeld. Aan de andere kant heeft het hof met betrekking tot omzetbelasting in het Part Service-arrest</w:t>
      </w:r>
      <w:r>
        <w:rPr>
          <w:rStyle w:val="FootnoteReference"/>
        </w:rPr>
        <w:footnoteReference w:id="125"/>
      </w:r>
      <w:r>
        <w:t xml:space="preserve"> duidelijk gemaakt dat er sprake is van misbruik indien het verkrijgen van belastingvoordeel een wezenlijk doel is van de handeling. Dit arrest geeft het begrip belastingontwijking een ruimere reikwijdte. Ondanks dat het in het Part Service-arrest om het ontwijken van omzetbelasting ging, geeft het lidstaten wellicht wel ruimte om ook een onzakelijke route te bestrijden. Helaas heeft het Hof van Justitie zich in het Zwijnenburg-arrest niet uitgelaten over de zakelijkheid van een onzakelijke omweg naar een zakelijk doel. In het arrest wordt niet ingegaan op dit gedeelte van de conclusie van de A-G, er wordt enkel ingegaan op de prejudiciële vraag op welke belastingen de fusierichtlijn ziet.</w:t>
      </w:r>
    </w:p>
    <w:p w:rsidR="00174971" w:rsidRDefault="00174971" w:rsidP="00285F0E">
      <w:pPr>
        <w:pStyle w:val="Heading2"/>
      </w:pPr>
      <w:bookmarkStart w:id="45" w:name="_Toc265484825"/>
      <w:r>
        <w:t>4.8 Conclusies</w:t>
      </w:r>
      <w:bookmarkEnd w:id="45"/>
    </w:p>
    <w:p w:rsidR="00174971" w:rsidRDefault="00174971" w:rsidP="00285F0E">
      <w:r>
        <w:t>Bij een bedrijfsfusie wordt een onderneming of een zelfstandig deel van een onderneming overgedragen aan een vennootschapsbelastingplichtig lichaam, tegen uitreiking van aandelen in dit laatstgenoemde lichaam. De wetgever heeft het niet wenselijk geacht om bij dergelijke rechtshandelingen over de opgebouwde reserves belasting te heffen. Daarom heeft hij de bedrijfsfusiefaciliteit uit artikel 14 Wet VPB 1969 als oplossing in de wet gebracht. Deze faciliteit stelt de overnemer in de plaats van de overdragende partij waardoor de belastingclaim overgaat op de overnemer. De fuserende partijen kunnen op twee manieren een beroep doen op de bedrijfsfusiefaciliteit. De eerste manier is indien voldaan is aan de voorwaarden die zijn opgesteld in artikel 14, lid 1, Wet VPB 1969. Uitgangspunt voor deze voorwaarden is dat de fiscus geen belastingopbrengsten misloopt door de faciliteit, er hoeft alleen niet direct te worden afgerekend. Indien niet aan de voorwaarden is voldaan, kunnen de fuserende partijen nog een verzoek indienen bij de inspecteur om alsnog de bedrijfsfusiefaciliteit te mogen toepassen. Voor deze gevallen zijn standaardvoorwaarden opgesteld waaraan de fuserende lichamen moeten voldoen. Om ongewenste constructies tegen te gaan is in artikel 14, lid 4, Wet VPB 1969 een bepaling opgenomen waarmee misbruik tegen kan worden gegaan. Er is sprake van misbruik indien de bedrijfsfusie in overwegende mate is gericht op het ontgaan en uitstellen van belastingheffing.</w:t>
      </w:r>
    </w:p>
    <w:p w:rsidR="00174971" w:rsidRDefault="00174971" w:rsidP="009C2B22">
      <w:r>
        <w:t>Artikel 14 Wet VPB 1969 heeft zijn huidige vorm voor een groot gedeelte te danken aan de Europese fusierichtlijn. Uit het Leur-Bloem-arrest was gebleken dat, naast grensoverschrijdende fusies, ook nationale fusies recht mogen ontlenen aan de richtlijn. In 2001 is een grootscheepse herziening van de bedrijfsfusiefaciliteit geweest om strijdigheid met het Europees recht op te heffen. De Nederlandse wetgever heeft ervoor gekozen om de richtlijn niet letterlijk over te nemen. Met betrekking tot de antimisbruikbepaling is er een aantal tekstuele verschillen, waarover geen eensgezindheid is of deze inhoudelijk wel gelijk zijn. Meest in het oog springend verschil is de nationale term ‘ontgaan of uitstellen van belastingheffing’ en de Europese term ‘belastingfraude of belastingontwijking’. Aangezien uit het systeem van de Nederlandse fiscale wetgeving volgt dat belastingfraude op geen enkele wijze mag plaatsvinden, heeft de wetgever het niet nodig geacht om dit begrip in de antimisbruikbepaling van artikel 14 Wet VPB 1969 over te nemen. De term belastingontwijking is in de Nederlandse wet omschreven als het ontgaan en uitstellen van belastingheffing. Mogelijk is dit Nederlandse begrip ruimer dan de fusierichtlijn toestaat. Ondanks dat A-G Wattel had voorgesteld om prejudiciële vragen hierover te stellen bij het Hof van Justitie, heeft de Hoge Raad dit niet gedaan. Hierdoor is het nog niet duidelijk is of de nationale bepaling in overeenstemming is met de Europese bepaling. Wel heeft het Hof van Justitie onlangs bepaald dat de antimisbruikbepaling uit de fusierichtlijn niet ziet op het ontwijken van een belasting die niet binnen de werkingssfeer van de richtlijn valt.</w:t>
      </w:r>
    </w:p>
    <w:p w:rsidR="00174971" w:rsidRDefault="00174971" w:rsidP="00285F0E">
      <w:pPr>
        <w:spacing w:line="276" w:lineRule="auto"/>
      </w:pPr>
      <w:r>
        <w:br w:type="page"/>
      </w:r>
    </w:p>
    <w:p w:rsidR="00174971" w:rsidRDefault="00174971" w:rsidP="00E01B68">
      <w:pPr>
        <w:pStyle w:val="Heading1"/>
      </w:pPr>
      <w:bookmarkStart w:id="46" w:name="_Toc265484826"/>
      <w:r>
        <w:t>5 De ruimte voor de toepassing van fraus legis bij bedrijfsfusies</w:t>
      </w:r>
      <w:bookmarkEnd w:id="46"/>
    </w:p>
    <w:p w:rsidR="00174971" w:rsidRDefault="00174971" w:rsidP="00C8656D">
      <w:pPr>
        <w:pStyle w:val="Heading2"/>
      </w:pPr>
      <w:bookmarkStart w:id="47" w:name="_Toc265484827"/>
      <w:r>
        <w:t>5.1 Inleiding</w:t>
      </w:r>
      <w:bookmarkEnd w:id="47"/>
    </w:p>
    <w:p w:rsidR="00174971" w:rsidRDefault="00174971" w:rsidP="00C8656D">
      <w:r>
        <w:t>De overheid kan ongewenste constructies in beginsel zowel door antimisbruikbepalingen als door het leerstuk van fraus legis bestrijden. In veel situaties zullen deze middelen elkaar overlappen. In die gevallen zal de wettelijke antimisbruikbepaling van toepassing zijn en hoeft de fiscus geen beroep te doen op fraus legis. In dit hoofdstuk zal de vraag centraal staan of de fiscus de mogelijkheid heeft om het leerstuk van fraus legis toe te passen indien een belastingplichtige op een, naar de mening van de fiscus, ongewenste manier gebruik maakt van de bedrijfsfusiefaciliteit. Deze vraag heeft verschillende complicerende factoren. Om deze kwestie volledig te kunnen behandelen, moet het leerstuk van fraus legis in combinatie met de Europese en nationale antimisbruikbepalingen vanuit verschillende perspectieven bekeken worden. Daarbij zal ik eerst aandacht schenken aan de Europese behandeling en vervolgens aan de Nederlandse aspecten.</w:t>
      </w:r>
    </w:p>
    <w:p w:rsidR="00174971" w:rsidRDefault="00174971" w:rsidP="00AF35AF">
      <w:r>
        <w:t>Allereerst is het de vraag of het communautaire recht een leerstuk kent als het Nederlandse fraus legis of een vergelijkbaar beginsel dat misbruik tegengaat. Deze vraag raakt de problematiek die besproken is in hoofdstuk drie, namelijk of de Europese richtlijngever met artikel 15, lid 1, onderdeel a, Fusierichtlijn heeft getracht om volledig te zijn met betrekking tot het voorkomen van ongewenst gebruik. Mocht een dergelijk beginsel of bepaling ontbreken, dan kan het Hof van Justitie enkel rechtspreken op grond van de bepalingen in de fusierichtlijn. Misbruik van de fusierichtlijn kan dan enkel worden bestreden met artikel 15, lid 1, onderdeel a, Fusierichtlijn. In dit gedeelte komt de Nederlandse regeling nog niet naar voren en zal ik alleen het communautaire recht behandelen.</w:t>
      </w:r>
    </w:p>
    <w:p w:rsidR="00174971" w:rsidRDefault="00174971" w:rsidP="00C8656D">
      <w:r>
        <w:t>Ten tweede is er discussie over hoe de termen belastingfraude en belastingontwijking uit de Europese antimisbruikbepaling zich verhouden tot fraus legis. Uit eerdere hoofdstukken is gebleken dat de toepassing van fraus legis niet mogelijk is bij belastingfraude. De belasting die niet geheven wordt door belastingfraude wordt nagevorderd op grond van artikel 16 AWR en de fraudeur kan vervolgens bestraft worden met de strafrechtelijke bepalingen uit hoofdstuk IX van de AWR. In deze situaties speelt fraus legis dus geen rol en daarom zal belastingfraude niet verder behandeld worden in dit onderzoek. De reikwijdte van het Europese begrip belastingontwijking vergeleken met het Nederlandse leerstuk fraus legis moet daarentegen wel onderzocht worden. Indien belastingontwijking dezelfde strekking heeft als fraus legis, kan de overheid zich in gevallen van misbruik volgens de fusierichtlijn beroepen op fraus legis.</w:t>
      </w:r>
      <w:r w:rsidRPr="00444F88">
        <w:t xml:space="preserve"> </w:t>
      </w:r>
      <w:r>
        <w:t>Bij het implementeren van een richtlijn is het immers niet noodzakelijk dat de bepalingen letterlijk in de nationale wet wordt opgenomen, het is slechts noodzakelijk dat het beoogde resultaat wordt bereikt. Dus ook ongeschreven leerstukken als fraus legis kunnen dienen om het misbruik te bestrijden</w:t>
      </w:r>
      <w:r>
        <w:rPr>
          <w:rStyle w:val="FootnoteReference"/>
        </w:rPr>
        <w:footnoteReference w:id="126"/>
      </w:r>
      <w:r>
        <w:t>.</w:t>
      </w:r>
      <w:r w:rsidRPr="00444F88">
        <w:t xml:space="preserve"> </w:t>
      </w:r>
      <w:r>
        <w:t>Als fraus legis een minder ruime strekking heeft dan belastingontwijking, zal dit leerstuk maar beperkt toepasbaar zijn indien sprake is van het ontwijken van belasting. Als fraus legis een ruimere strekking heeft dan het begrip belastingontwijking kan de fiscus in deze excessieve gevallen geen beroep op het leerstuk, anders wordt in strijd met de strekking van de fusierichtlijn gehandeld. Deze vraag zal ik in de tweede paragraaf van dit hoofdstuk behandelen. Het belang van dit onderdeel is dat het zodoende duidelijk wordt of fraus legis wel een passend leerstuk is om de antimisbruikbepaling uit de fusierichtlijn te implementeren. In dit gedeelte komt de Nederlandse regeling nog niet naar voren maar enkel de antimisbruikbepaling uit de fusierichtlijn en het leerstuk van fraus legis.</w:t>
      </w:r>
    </w:p>
    <w:p w:rsidR="00174971" w:rsidRPr="0016323D" w:rsidRDefault="00174971" w:rsidP="00C8656D">
      <w:pPr>
        <w:rPr>
          <w:b/>
        </w:rPr>
      </w:pPr>
      <w:r>
        <w:t>Uiteraard speelt de Nederlandse antimisbruikbepaling uit artikel 14, lid 4, Wet VPB 1969 wel een grote rol in dit onderzoek en daarom zal deze regeling na de Europese behandeling aan bod komen. Ik zal de antimisbruikbepaling vergelijken met het leerstuk van fraus legis. De nationale bepaling zal op verschillende manieren onder de loep worden genomen. Allereerst is het van belang of er verschil is tussen het ontgaan of uitstellen van belastingheffing en de toepassingsvoorwaarden voor fraus legis. Als dit immers gelijk is, dan is fraus legis geen toegevoegd middel om ongewenste constructies te ontgaan. Het leerstuk zal dan niet meer kunnen bestrijden dan artikel 14, lid 4, Wet VPB 1969 doet. Een belangrijke rol is daarbij weggelegd voor het begrip belastingheffing en met name op welke belastingen dit begrip ziet. Vervolgens zal ik de mogelijkheid voor de fiscus om een beroep te doen op de meerwegenleer behandelen. Aan de hand van jurisprudentie zal ik motiveren of een bedrijfsfusie die als kunstmatige tussenstap enkel op fiscale reden wordt ingevoegd, het leerstuk van fraus legis met behulp van de meerwegenleer toegepast kan worden. Daarna zal ik bepalen wat het doel was van de wetgever voor de invoering van de antimisbruikbepaling in de wet. Ik heb eerder al beschreven dat hij hiermee de faciliteit in lijn wilde brengen met de fusierichtlijn. Daarbij is het van belang of het bedoeling was om de richtlijn volledig en uitputtend te implementeren. Als dit het geval is, zal dat consequenties hebben voor de fiscus voor de mogelijkheid om fraus legis in te roepen. Deze mogelijkheid zal ik analyseren aan de hand van de in hoofdstuk twee opgesomde situaties waarin de fiscus geen beroep kan doen op fraus legis.</w:t>
      </w:r>
    </w:p>
    <w:p w:rsidR="00174971" w:rsidRDefault="00174971" w:rsidP="00AF35AF">
      <w:pPr>
        <w:pStyle w:val="Heading2"/>
      </w:pPr>
      <w:bookmarkStart w:id="48" w:name="_Toc265484828"/>
      <w:r>
        <w:t>5.2 Verbod tot rechtsmisbruik naast artikel 15, lid 1, onderdeel a, Fusierichtlijn</w:t>
      </w:r>
      <w:bookmarkEnd w:id="48"/>
    </w:p>
    <w:p w:rsidR="00174971" w:rsidRPr="00EB5B33" w:rsidRDefault="00174971" w:rsidP="00AF35AF">
      <w:r>
        <w:t>De bepaling uit artikel 15, lid 1, onderdeel a, Fusierichtlijn heb ik in dit onderzoek meerdere malen bestempeld als een antimisbruikbepaling. Om te weten wat doel en strekking is van de regeling, is het van belang wat onder misbruik wordt verstaan in Europa en wat de status van het begrip is. Zodoende moet duidelijk worden of artikel 15, lid 1, onderdeel a, Fusierichtlijn al het mogelijke misbruik dient te bestrijden, of dat er daarnaast nog een soort Europees leerstuk van fraus legis bestaat.</w:t>
      </w:r>
    </w:p>
    <w:p w:rsidR="00174971" w:rsidRDefault="00174971" w:rsidP="00AF35AF">
      <w:pPr>
        <w:pStyle w:val="Heading3"/>
      </w:pPr>
      <w:bookmarkStart w:id="49" w:name="_Toc265484829"/>
      <w:r>
        <w:t>5.2.1 Het verbod tot rechtsmisbruik als Europees beginsel</w:t>
      </w:r>
      <w:bookmarkEnd w:id="49"/>
    </w:p>
    <w:p w:rsidR="00174971" w:rsidRDefault="00174971" w:rsidP="00AF35AF">
      <w:r>
        <w:t>Naast de primaire en de secundaire bronnen van het Europees recht bestaan in Europees verband ook algemene rechtsbeginselen. Het Hof van Justitie kan gebruik maken van de algemene rechtsbeginselen om bepaalde rechtstekorten op te heffen. Er zijn zowel geschreven als ongeschreven algemene rechtsbeginselen. Bekende voorbeelden zijn het gelijkheidsbeginsel, vertrouwensbeginsel en de rechten van de mens. Er is lange tijd discussie geweest of de bestrijding van misbruik ook een algemeen beginsel van gemeenschapsrecht is. Het Hof van Justitie heeft aan deze discussie een einde gebracht door in het Kofoed-arrest het volgende te bepalen:</w:t>
      </w:r>
    </w:p>
    <w:p w:rsidR="00174971" w:rsidRDefault="00174971" w:rsidP="00AF35AF">
      <w:pPr>
        <w:pStyle w:val="Subtitle"/>
      </w:pPr>
      <w:r>
        <w:t>“Artikel 11, lid 1, sub a, van richtlijn 90/434 weerspiegelt aldus het algemene beginsel van gemeenschapsrecht, dat rechtsmisbruik is verboden”</w:t>
      </w:r>
      <w:r w:rsidRPr="004C700C">
        <w:rPr>
          <w:rStyle w:val="FootnoteReference"/>
        </w:rPr>
        <w:t xml:space="preserve"> </w:t>
      </w:r>
      <w:r>
        <w:rPr>
          <w:rStyle w:val="FootnoteReference"/>
        </w:rPr>
        <w:footnoteReference w:id="127"/>
      </w:r>
      <w:r>
        <w:t>.</w:t>
      </w:r>
    </w:p>
    <w:p w:rsidR="00174971" w:rsidRPr="00537738" w:rsidRDefault="00174971" w:rsidP="00AF35AF">
      <w:r>
        <w:t>Het verbod tot rechtsmisbruik heeft met name door de arresten Emsland-Stärke</w:t>
      </w:r>
      <w:r>
        <w:rPr>
          <w:rStyle w:val="FootnoteReference"/>
        </w:rPr>
        <w:footnoteReference w:id="128"/>
      </w:r>
      <w:r>
        <w:t xml:space="preserve"> en Halifax</w:t>
      </w:r>
      <w:r>
        <w:rPr>
          <w:rStyle w:val="FootnoteReference"/>
        </w:rPr>
        <w:footnoteReference w:id="129"/>
      </w:r>
      <w:r>
        <w:t xml:space="preserve"> aan belang gewonnen. Zo heeft het Hof van Justitie in het Halifax-arrest geoordeeld dat belastingplichtigen geen beroep kunnen doen op het communautaire recht ingeval van fraude of misbruik. Strikt gezien lijkt het verbod tot rechtsmisbruik geen algemeen beginsel van gemeenschapsrecht te zijn. Het zullen immers niet belastingplichtigen zijn die zich op dit beginsel zullen beroepen, maar de lidstaten. Ook is het onduidelijk of de lidstaten verplicht zijn om misbruik te bestrijden, terwijl andere rechtsbeginselen wel een verplichting met zich meebrengen. Daarom vind ik het gepaster om aan te sluiten bij de omschrijving die A-G Maduro in haar conclusie bij het Halifax arrest geeft, namelijk dat het verbod tot rechtsmisbruik een </w:t>
      </w:r>
      <w:r w:rsidRPr="00B01135">
        <w:t xml:space="preserve">beginsel </w:t>
      </w:r>
      <w:r>
        <w:t xml:space="preserve">is </w:t>
      </w:r>
      <w:r w:rsidRPr="00B01135">
        <w:t>voor de uitlegging van het gemeenschapsrecht</w:t>
      </w:r>
      <w:r>
        <w:rPr>
          <w:rStyle w:val="FootnoteReference"/>
        </w:rPr>
        <w:footnoteReference w:id="130"/>
      </w:r>
      <w:r>
        <w:t>.</w:t>
      </w:r>
    </w:p>
    <w:p w:rsidR="00174971" w:rsidRPr="004C700C" w:rsidRDefault="00174971" w:rsidP="00AF35AF">
      <w:pPr>
        <w:pStyle w:val="Heading3"/>
      </w:pPr>
      <w:bookmarkStart w:id="50" w:name="_Toc265484830"/>
      <w:r>
        <w:t>5.2.2 Mededeling van de Europese Gemeenschap omtrent antimisbruikbepalingen</w:t>
      </w:r>
      <w:bookmarkEnd w:id="50"/>
    </w:p>
    <w:p w:rsidR="00174971" w:rsidRPr="00961BDE" w:rsidRDefault="00174971" w:rsidP="00AF35AF">
      <w:r>
        <w:t>Naar aanleiding van verschillende arresten van het Hof van Justitie waarbij misbruik centraal stond</w:t>
      </w:r>
      <w:r>
        <w:rPr>
          <w:rStyle w:val="FootnoteReference"/>
        </w:rPr>
        <w:footnoteReference w:id="131"/>
      </w:r>
      <w:r>
        <w:t>,</w:t>
      </w:r>
      <w:r>
        <w:rPr>
          <w:rStyle w:val="FootnoteReference"/>
        </w:rPr>
        <w:t xml:space="preserve"> </w:t>
      </w:r>
      <w:r>
        <w:t>achtte de Europese Commissie het nodig om een verklaring naar buiten te brengen over antimisbruikregelingen. Op 10 december 2007 heeft de EC daarom een mededeling</w:t>
      </w:r>
      <w:r>
        <w:rPr>
          <w:rStyle w:val="FootnoteReference"/>
        </w:rPr>
        <w:footnoteReference w:id="132"/>
      </w:r>
      <w:r>
        <w:t xml:space="preserve"> uitgebracht die het doel had om de toepassing van fiscale antimisbruikbepalingen van lidstaten doelgerichter en beter gecoördineerd te laten plaatsvinden</w:t>
      </w:r>
      <w:r>
        <w:rPr>
          <w:rStyle w:val="FootnoteReference"/>
        </w:rPr>
        <w:footnoteReference w:id="133"/>
      </w:r>
      <w:r w:rsidRPr="007E40D6">
        <w:t>.</w:t>
      </w:r>
      <w:r>
        <w:t xml:space="preserve"> Met deze mededeling wilde de EC een aantal aanbevelingen doen aan de lidstaten op het niveau van</w:t>
      </w:r>
      <w:r>
        <w:rPr>
          <w:rStyle w:val="FootnoteReference"/>
        </w:rPr>
        <w:footnoteReference w:id="134"/>
      </w:r>
      <w:r>
        <w:t>:</w:t>
      </w:r>
    </w:p>
    <w:p w:rsidR="00174971" w:rsidRDefault="00174971" w:rsidP="00AF35AF">
      <w:pPr>
        <w:pStyle w:val="ListParagraph"/>
        <w:numPr>
          <w:ilvl w:val="0"/>
          <w:numId w:val="8"/>
        </w:numPr>
      </w:pPr>
      <w:r>
        <w:t>Ontwikkeling van een algemene antimisbruikdefinitie</w:t>
      </w:r>
    </w:p>
    <w:p w:rsidR="00174971" w:rsidRDefault="00174971" w:rsidP="00AF35AF">
      <w:pPr>
        <w:pStyle w:val="ListParagraph"/>
        <w:numPr>
          <w:ilvl w:val="0"/>
          <w:numId w:val="8"/>
        </w:numPr>
      </w:pPr>
      <w:r>
        <w:t>Verbetering van de administratieve samenwerking teneinde misbruik e.d. op te sporen</w:t>
      </w:r>
    </w:p>
    <w:p w:rsidR="00174971" w:rsidRDefault="00174971" w:rsidP="00AF35AF">
      <w:pPr>
        <w:pStyle w:val="ListParagraph"/>
        <w:numPr>
          <w:ilvl w:val="0"/>
          <w:numId w:val="8"/>
        </w:numPr>
      </w:pPr>
      <w:r>
        <w:t>Totstandbrenging van een gemeenschappelijke beleidslijn ten aanzien van antimisbruikbepalingen</w:t>
      </w:r>
    </w:p>
    <w:p w:rsidR="00174971" w:rsidRDefault="00174971" w:rsidP="00AF35AF">
      <w:pPr>
        <w:pStyle w:val="ListParagraph"/>
        <w:numPr>
          <w:ilvl w:val="0"/>
          <w:numId w:val="8"/>
        </w:numPr>
      </w:pPr>
      <w:r>
        <w:t>Verbetering samenwerking met derde landen in het kader van het tegengaan van het ontgaan van belastingheffing</w:t>
      </w:r>
    </w:p>
    <w:p w:rsidR="00174971" w:rsidRDefault="00174971" w:rsidP="00AF35AF">
      <w:r>
        <w:t>In de mededeling geeft de EC tevens aan wat de eisen zijn om het verbod tot rechtsmisbruik toe te passen:</w:t>
      </w:r>
    </w:p>
    <w:p w:rsidR="00174971" w:rsidRPr="00EE470E" w:rsidRDefault="00174971" w:rsidP="00AF35AF">
      <w:pPr>
        <w:pStyle w:val="Subtitle"/>
      </w:pPr>
      <w:r w:rsidRPr="00EE470E">
        <w:rPr>
          <w:rStyle w:val="SubtleEmphasis"/>
          <w:i/>
          <w:iCs/>
          <w:color w:val="auto"/>
        </w:rPr>
        <w:t>“</w:t>
      </w:r>
      <w:r>
        <w:t>er is slechts sprake van misbruik wanneer, ondanks de formele naleving van de in de toepasselijke communautaire regeling opgelegde voorwaarden, het door deze regeling beoogde doel niet werd bereikt én er een voornemen bestond om een voordeel te verkrijgen door kunstmatig de voorwaarden te creëren waaronder dit voordeel ontstaat</w:t>
      </w:r>
      <w:r w:rsidRPr="00EE470E">
        <w:rPr>
          <w:rStyle w:val="SubtleEmphasis"/>
          <w:i/>
          <w:iCs/>
          <w:color w:val="auto"/>
        </w:rPr>
        <w:t>”</w:t>
      </w:r>
      <w:r w:rsidRPr="00EE470E">
        <w:rPr>
          <w:rStyle w:val="FootnoteReference"/>
        </w:rPr>
        <w:t xml:space="preserve"> </w:t>
      </w:r>
      <w:r>
        <w:rPr>
          <w:rStyle w:val="FootnoteReference"/>
        </w:rPr>
        <w:footnoteReference w:id="135"/>
      </w:r>
      <w:r w:rsidRPr="00EE470E">
        <w:rPr>
          <w:rStyle w:val="SubtleEmphasis"/>
          <w:i/>
          <w:iCs/>
          <w:color w:val="auto"/>
        </w:rPr>
        <w:t>.</w:t>
      </w:r>
    </w:p>
    <w:p w:rsidR="00174971" w:rsidRDefault="00174971" w:rsidP="00AF35AF">
      <w:r>
        <w:t xml:space="preserve">Deze definitie is geformuleerd aan de hand van overwegingen van het Hof van Justitie in de arresten Emsland-Stärke en Halifax. Voor de aanwezigheid van misbruik van recht is dus zowel strijdigheid met het doel van de regeling, het objectieve vereiste, als het motief om voordeel te verkrijgen, het subjectieve vereiste, noodzakelijk. Deze voorwaarden zijn gelijk aan de voorwaarden van het in paragraaf 4.5 behandelde communautaire begrip belastingontwijking. Dit maakt het duidelijk dat de term belastingontwijking in de richtlijn is gekomen om misbruik tegen te gaan. </w:t>
      </w:r>
    </w:p>
    <w:p w:rsidR="00174971" w:rsidRDefault="00174971" w:rsidP="00AF35AF">
      <w:pPr>
        <w:pStyle w:val="Heading3"/>
      </w:pPr>
      <w:bookmarkStart w:id="51" w:name="_Toc265484831"/>
      <w:r>
        <w:t>5.2.3 Beroep op het verbod tot rechtsmisbruik naast artikel 15, lid 1, onderdeel a, Fusierichtlijn</w:t>
      </w:r>
      <w:bookmarkEnd w:id="51"/>
    </w:p>
    <w:p w:rsidR="00174971" w:rsidRDefault="00174971" w:rsidP="00AF35AF">
      <w:r>
        <w:t>A-G Kokott wijdt in haar conclusie bij het Zwijnenburg-arrest ook een onderdeel aan het algemene verbod van rechtsmisbruik</w:t>
      </w:r>
      <w:r>
        <w:rPr>
          <w:rStyle w:val="FootnoteReference"/>
        </w:rPr>
        <w:footnoteReference w:id="136"/>
      </w:r>
      <w:r>
        <w:t>. Zij is van mening dat als naast deze bepaling ook nog een beroep kan worden gedaan op het verbod van misbruik, de beoogde harmonisatie wordt ondermijnd en de rechtszekerheid voor herstructurerende vennootschappen in het geding zal komen. Aangezien rechtszekerheid een van de fundamentele beginselen van het gemeenschapsrecht is</w:t>
      </w:r>
      <w:r>
        <w:rPr>
          <w:rStyle w:val="FootnoteReference"/>
        </w:rPr>
        <w:footnoteReference w:id="137"/>
      </w:r>
      <w:r>
        <w:t>, zal de fusierichtlijn dit ook nastreven. A-G Kokott stelt bovendien dat artikel 15, lid 1, onderdeel a, Fusierichtlijn op uitputtende wijze de voorwaarden vaststelt wanneer de faciliteit kan worden geweigerd op grond van misbruik. Dit leidt zij af uit de overweging van het Hof van Justitie dat het antimisbruikartikel uit de richtlijn een weerspiegeling is van het algemene beginsel van gemeenschapsrecht dat rechtsmisbruik is verboden. Weerspiegeling houdt volgens haar in dat er geen verschil tussen beide is. Ik sluit mij aan bij deze heldere conclusie van A-G Kokott en ben derhalve van mening dat het verbod tot rechtsmisbruik volledig is gecodificeerd in de antimisbruikbepaling van de fusierichtlijn. Een beroep op dit beginsel voor de uitlegging van het gemeenschapsrecht biedt geen additionele mogelijkheid om misbruik van de fusierichtlijn tegen te gaan.</w:t>
      </w:r>
    </w:p>
    <w:p w:rsidR="00174971" w:rsidRDefault="00174971" w:rsidP="00AF35AF">
      <w:r>
        <w:t>Het Hof van Justitie heeft in het Zwijnenburg-arrest helaas niet expliciet het algemene verbod van rechtsmisbruik meegenomen in de beslissing, maar wel een en ander verduidelijkt. De fiscale faciliteit uit de fusierichtlijn is van toepassing bij elke bedrijfsfusie, ongeacht of de reden voor de fusie van financiële, economisch of fiscale aard is. Lidstaten kunnen zelf de faciliteit (gedeeltelijk) weigeren of het voordeel tenietdoen indien blijkt dat het hoofddoel of een der hoofddoelen van de bedrijfsfusie belastingontwijking of belastingfraude is. Deze behandeling houdt naar mijn mening in dat ook indien er sprake is van een ongewenst motief voor een bedrijfsfusie er toegang is tot de fusierichtlijn en dat de enige mogelijkheid om misbruik tegen te gaan besloten ligt in artikel 15 Fusierichtlijn is.</w:t>
      </w:r>
    </w:p>
    <w:p w:rsidR="00174971" w:rsidRPr="00C66264" w:rsidRDefault="00174971" w:rsidP="00AF35AF">
      <w:r>
        <w:t>Overigens hadden de Franse, Italiaanse en Portugese regering voorafgaand aan het arrest opmerkingen ingediend onder ander over de vraag of de bedrijfsfusiefaciliteit geweigerd kon worden op grond van het algemene verbod tot rechtsmisbruik</w:t>
      </w:r>
      <w:r>
        <w:rPr>
          <w:rStyle w:val="FootnoteReference"/>
        </w:rPr>
        <w:footnoteReference w:id="138"/>
      </w:r>
      <w:r>
        <w:t>. Dit feit maakt het merkwaardig dat het Hof van Justitie hier, in tegenstelling tot de A-G, niet dieper op in is gegaan. Desondanks ben ik van mening dat uit het arrest wel de conclusie kan worden getrokken dat de fiscale faciliteiten uit de fusierichtlijn niet geweigerd kunnen worden indien een belastingplichtige artikel 15, lid 1, onderdeel a, Fusierichtlijn is gepasseerd. De antimisbruikbepaling uit de fusierichtlijn is de enige rechtsgrond waarop een bedrijfsfusie geweigerd kan worden naar Europees recht.</w:t>
      </w:r>
    </w:p>
    <w:p w:rsidR="00174971" w:rsidRDefault="00174971" w:rsidP="007C2B29">
      <w:pPr>
        <w:pStyle w:val="Heading2"/>
      </w:pPr>
      <w:bookmarkStart w:id="52" w:name="_Toc265484832"/>
      <w:r>
        <w:t>5.3 Verhouding fraus legis tot het Europese begrip belastingontwijking</w:t>
      </w:r>
      <w:bookmarkEnd w:id="52"/>
    </w:p>
    <w:p w:rsidR="00174971" w:rsidRDefault="00174971" w:rsidP="00D91C70">
      <w:r>
        <w:t>In het eerder aangehaalde Kofoed-arrest</w:t>
      </w:r>
      <w:r>
        <w:rPr>
          <w:rStyle w:val="FootnoteReference"/>
        </w:rPr>
        <w:footnoteReference w:id="139"/>
      </w:r>
      <w:r>
        <w:t xml:space="preserve"> was een aandelenfusie aangegaan met het doel om belasting te besparen. Commerciële redenen voor de fusie waren niet aanwezig en het Hof van Justitie concludeerde dat het hoofddoel of een van de hoofddoelen van de fusie belastingfraude of belastingontwijking was. Om deze reden konden de voordelen die door de fusiefaciliteit waren genoten, teruggenomen worden op grond van de antimisbruikbepaling uit de fusierichtlijn. Echter de Deense wetgever had de antimisbruikbepaling van het huidige artikel 15, lid 1, onderdeel a, Fusierichtlijn</w:t>
      </w:r>
      <w:r>
        <w:rPr>
          <w:rStyle w:val="FootnoteReference"/>
        </w:rPr>
        <w:footnoteReference w:id="140"/>
      </w:r>
      <w:r>
        <w:t xml:space="preserve"> (nog) niet geïmplementeerd in de nationale wet. In beginsel is dit een probleem voor de Deense overheid, aangezien uit jurisprudentie van het Hof van Justitie is gebleken dat lidstaten geen rechtstreeks beroep kunnen doen op richtlijnen</w:t>
      </w:r>
      <w:r>
        <w:rPr>
          <w:rStyle w:val="FootnoteReference"/>
        </w:rPr>
        <w:footnoteReference w:id="141"/>
      </w:r>
      <w:r>
        <w:t>. Ten behoeve van het rechtszekerheidsbeginsel mogen richtlijnen niet verplichtingen aan particulieren opleggen, deze verplichtingen moeten uit de nationale wet volgen. Uit het Kofoed-arrest volgt echter een uitzondering op deze hoofdregel, namelijk indien een lidstaat een antimisbruikbepaling niet heeft geïmplementeerd maar wel een bepaling of een algemeen beginsel kent dat rechtsmisbruik verbiedt. Het gevolg hiervan is dat een lidstaat belastingontwijking door gebruik van de bedrijfsfusiefaciliteit kan voorkomen zonder dat de antimisbruikbepaling uit de fusierichtlijn is omgezet in de nationale wet. In hoofdstuk twee is naar voren gekomen dat Nederland het leerstuk van fraus legis kent om rechtsmisbruik tegen te gaan. In beginsel kan de fiscus dus een beroep doen op fraus legis om gebruik te maken van de antimisbruikbepaling uit de fusierichtlijn. Ik zal in dit hoofdstuk onderzoeken wat de verhouding is tussen fraus legis en het begrip belastingontwijking uit de fusierichtlijn. Daaruit moet blijken of de fiscus het leerstuk van fraus legis kan toepassen ingeval de Europese antimisbruikbepaling in werking treedt.</w:t>
      </w:r>
    </w:p>
    <w:p w:rsidR="00174971" w:rsidRDefault="00174971" w:rsidP="00D91C70">
      <w:r>
        <w:t>Om zekerheid te hebben wat de verhouding is tussen fraus legis en het Europese begrip belastingontwijking, zou het Hof van Justitie zich hierover moeten buigen. Naar aanleiding hiervan had duidelijk kunnen worden of de wetgever een antimisbruikbepaling nodig had om de fusierichtlijn juist te implementeren of dat het leerstuk van fraus legis hiervoor voldoende dekking bood. Dit is echter nooit gebeurd en zoals bekend heeft de Nederlandse wetgever ervoor gekozen om de Europese antimisbruikbepaling in 2001 om te zetten in de Nederlandse wet. Ondanks de wetsaanpassing in 2001 is de discussie of fraus legis volledig gedekt wordt door belastingontwijking nog wel van waarde. Aangezien de fusierichtlijn ook met behulp van ongeschreven leerstukken zoals fraus legis kan worden geïmplementeerd, is het van belang of de fiscus de mogelijkheid heeft om misbruik te bestrijden met fraus legis naast de gecodificeerde antimisbruikbepaling</w:t>
      </w:r>
      <w:r>
        <w:rPr>
          <w:rStyle w:val="FootnoteReference"/>
        </w:rPr>
        <w:footnoteReference w:id="142"/>
      </w:r>
      <w:r>
        <w:t>. Mogelijk kan de fiscus het leerstuk dan gebruiken indien artikel 14, lid 4, Wet VPB 1969 tekortschiet om artikel 15, lid 1, onderdeel a, Fusierichtlijn te dekken. Bovendien kan de fiscus, indien fraus legis volledig gedekt wordt door de fusierichtlijn, het leerstuk inroepen zonder bevreesd te hoeven zijn dat hij in strijd handelt met het communautaire recht.</w:t>
      </w:r>
    </w:p>
    <w:p w:rsidR="00174971" w:rsidRDefault="00174971" w:rsidP="004E4310">
      <w:pPr>
        <w:pStyle w:val="Heading3"/>
      </w:pPr>
      <w:bookmarkStart w:id="53" w:name="_Toc265484833"/>
      <w:r>
        <w:t>5.3.1 Visie van de staatssecretaris van Financiën</w:t>
      </w:r>
      <w:bookmarkEnd w:id="53"/>
    </w:p>
    <w:p w:rsidR="00174971" w:rsidRDefault="00174971" w:rsidP="007C2B29">
      <w:r>
        <w:t>Toen na het Leur-Bloem-arrest duidelijk was geworden dat de Nederlandse wetgeving niet in lijn was met de fusierichtlijn heeft de staatssecretaris in een besluit de volgende noodoplossing naar buiten gebracht:</w:t>
      </w:r>
    </w:p>
    <w:p w:rsidR="00174971" w:rsidRPr="00133A2B" w:rsidRDefault="00174971" w:rsidP="00133A2B">
      <w:pPr>
        <w:pStyle w:val="Subtitle"/>
        <w:rPr>
          <w:lang w:eastAsia="nl-NL"/>
        </w:rPr>
      </w:pPr>
      <w:r>
        <w:t>“</w:t>
      </w:r>
      <w:r w:rsidRPr="00133A2B">
        <w:rPr>
          <w:lang w:eastAsia="nl-NL"/>
        </w:rPr>
        <w:t>Ten behoeve van de voor de praktijk gewenste rechtszekerheid, deel ik, zonder inhoudelijk vooruit te willen lopen op te entameren wetgeving, het volgende mede.</w:t>
      </w:r>
      <w:r>
        <w:rPr>
          <w:lang w:eastAsia="nl-NL"/>
        </w:rPr>
        <w:t xml:space="preserve"> </w:t>
      </w:r>
      <w:r w:rsidRPr="00133A2B">
        <w:rPr>
          <w:lang w:eastAsia="nl-NL"/>
        </w:rPr>
        <w:t>De tekst van artikel 14b, tweede lid, aanhef en onderdelen a en b, van de Wet dient thans als volgt te worden gelezen:</w:t>
      </w:r>
    </w:p>
    <w:p w:rsidR="00174971" w:rsidRPr="00133A2B" w:rsidRDefault="00174971" w:rsidP="00133A2B">
      <w:pPr>
        <w:pStyle w:val="Subtitle"/>
        <w:rPr>
          <w:lang w:eastAsia="nl-NL"/>
        </w:rPr>
      </w:pPr>
      <w:r w:rsidRPr="00133A2B">
        <w:rPr>
          <w:lang w:eastAsia="nl-NL"/>
        </w:rPr>
        <w:t>Een aandelenfusie wordt aanwezig geacht indien:</w:t>
      </w:r>
    </w:p>
    <w:p w:rsidR="00174971" w:rsidRPr="00133A2B" w:rsidRDefault="00174971" w:rsidP="00133A2B">
      <w:pPr>
        <w:pStyle w:val="Subtitle"/>
        <w:rPr>
          <w:lang w:eastAsia="nl-NL"/>
        </w:rPr>
      </w:pPr>
      <w:r w:rsidRPr="00133A2B">
        <w:rPr>
          <w:lang w:eastAsia="nl-NL"/>
        </w:rPr>
        <w:t>a) een in Nederland gevestigde vennootschap tegen uitreiking van eigen aandelen of winstbewijzen, eventueel met een bijbetaling, een zodanig bezit aan aandelen in een andere in Nederland gevestigde vennootschap verwerft dat zij meer dan de helft van de stemrechten in de laatstgenoemde vennootschap kan uitoefenen, tenzij de aandelenruil als hoofddoel of een der hoofddoelen belastingfraude of -ontwijking heeft;</w:t>
      </w:r>
    </w:p>
    <w:p w:rsidR="00174971" w:rsidRPr="00133A2B" w:rsidRDefault="00174971" w:rsidP="00133A2B">
      <w:pPr>
        <w:pStyle w:val="Subtitle"/>
        <w:rPr>
          <w:lang w:eastAsia="nl-NL"/>
        </w:rPr>
      </w:pPr>
      <w:r w:rsidRPr="00133A2B">
        <w:rPr>
          <w:lang w:eastAsia="nl-NL"/>
        </w:rPr>
        <w:t>b) een in een Lid-Staat van de Europese Gemeenschappen gevestigde vennootschap tegen uitreiking van eigen aandelen of winstbewijzen, eventueel met een bijbetaling, een zodanig bezit aan aandelen in een in een andere Lid-Staat van de Europese Gemeenschappen gevestigde vennootschap verwerft dat zij meer dan de helft van de stemrechten in de laatstgenoemde vennootschap kan uitoefenen, tenzij de aandelenruil als hoofddoel of een der hoofddoelen belastingfraude of -ontwijking heeft;</w:t>
      </w:r>
    </w:p>
    <w:p w:rsidR="00174971" w:rsidRPr="00133A2B" w:rsidRDefault="00174971" w:rsidP="0016323D">
      <w:pPr>
        <w:pStyle w:val="Subtitle"/>
        <w:rPr>
          <w:lang w:eastAsia="nl-NL"/>
        </w:rPr>
      </w:pPr>
      <w:r w:rsidRPr="00133A2B">
        <w:rPr>
          <w:lang w:eastAsia="nl-NL"/>
        </w:rPr>
        <w:t>De bepaling van het zevende lid van artikel 14b van de Wet heeft zijn belang verloren.</w:t>
      </w:r>
      <w:r>
        <w:t>”</w:t>
      </w:r>
      <w:r w:rsidRPr="00133A2B">
        <w:rPr>
          <w:rStyle w:val="FootnoteReference"/>
        </w:rPr>
        <w:t xml:space="preserve"> </w:t>
      </w:r>
      <w:r>
        <w:rPr>
          <w:rStyle w:val="FootnoteReference"/>
        </w:rPr>
        <w:footnoteReference w:id="143"/>
      </w:r>
      <w:r>
        <w:t>.</w:t>
      </w:r>
    </w:p>
    <w:p w:rsidR="00174971" w:rsidRDefault="00174971" w:rsidP="007C2B29">
      <w:r>
        <w:t>Hieruit volgde dat voor aandelenfusies de tekst van de fusierichtlijn geldend was tot dat nieuwe wetgeving geïntroduceerd zou worden. Dat betekende dat de aandelenfusiefaciliteit geweigerd moest worden indien het hoofddoel of een van de hoofddoelen van de fusie belastingfraude of belastingontwijking was. Het gevolg hiervan was dat de Europese begrippen belastingfraude en belastingontwijking moesten worden gedefinieerd in Nederlands perspectief, zodat het duidelijk zou worden hoe dit misbruik nationaal moet worden uitgelegd. Deze uitleg zou ook duidelijkheid kunnen geven over de antimisbruikbepaling bij de bedrijfsfusiefaciliteit, aangezien deze veel overeenkomsten bevat. De staatssecretaris heeft in hetzelfde besluit onder andere duidelijk gemaakt dat hij van mening is dat het geheel van belastingfraude en ontwijken van belasting een ruimere strekking heeft dan fraus legis. Dit is geen openbaring aangezien belastingfraude nooit bestreden kan worden met fraus legis, zoals ik in het inleidende gedeelte van dit hoofdstuk al motiveerde. Ter bevordering van de duidelijkheid was het beter geweest als de staatssecretaris zich uit had gelaten of en in welke gevallen de fiscus geen beroep kan doen op fraus legis indien sprake is van belastingontwijking.</w:t>
      </w:r>
    </w:p>
    <w:p w:rsidR="00174971" w:rsidRDefault="00174971" w:rsidP="00132ADB">
      <w:pPr>
        <w:pStyle w:val="Heading3"/>
      </w:pPr>
      <w:bookmarkStart w:id="54" w:name="_Toc265484834"/>
      <w:r>
        <w:t>5.3.2 Toepassing in de jurisprudentie</w:t>
      </w:r>
      <w:bookmarkEnd w:id="54"/>
    </w:p>
    <w:p w:rsidR="00174971" w:rsidRDefault="00174971" w:rsidP="007C2B29">
      <w:r>
        <w:t>Strik en De Vries</w:t>
      </w:r>
      <w:r w:rsidRPr="0076630C">
        <w:t xml:space="preserve"> zijn</w:t>
      </w:r>
      <w:r>
        <w:t xml:space="preserve"> van mening dat fraus legis volledig gedekt wordt door de antimisbruikbepaling uit de fusierichtlijn</w:t>
      </w:r>
      <w:r>
        <w:rPr>
          <w:rStyle w:val="FootnoteReference"/>
        </w:rPr>
        <w:footnoteReference w:id="144"/>
      </w:r>
      <w:r>
        <w:t>. Dit leiden zij af uit BNB 2009/28</w:t>
      </w:r>
      <w:r>
        <w:rPr>
          <w:rStyle w:val="FootnoteReference"/>
        </w:rPr>
        <w:footnoteReference w:id="145"/>
      </w:r>
      <w:r>
        <w:t xml:space="preserve"> waarin een aandelenfusie in 1999 centraal staat. In deze casus had belanghebbende alle aandelen in een dochtervennootschap (D BV) en de helft van de aandelen in een andere vennootschap (A BV). De andere 50 % van de aandelen in A BV waren in handen van D BV. Belanghebbende en D BV waren vervolgens overeengekomen dat de belanghebbende zijn aandelen in A BV zou inbrengen in D BV tegen uitreiking van aandelen D BV. De belanghebbende wilde voor deze transactie een beroep doen op de aandelenfusiefaciliteit. Al twee maanden na deze gefaciliteerde aandelenruil werden aandelen in A BV vervreemd door D BV. De fiscus was van mening dat de faciliteit in deze casus teruggenomen moest worden. De auteurs gaan ervan uit dat de inspecteur zich beroept op het leerstuk van fraus legis, omdat destijds geen antimisbruikbepaling was opgenomen in de nationale wet. Aangezien de Hoge Raad de situatie vervolgens toetst aan de fusierichtlijn, oordelen de auteurs dat de faciliteit kan worden onthouden op grond van fraus legis, dat gedekt wordt door de antimisbruikregeling uit de fusierichtlijn. De inspecteur heeft mijns inziens in het arrest echter niet getracht om het leerstuk van fraus legis toe te passen. Als motivering om de faciliteit terug te nemen, gebruikt de inspecteur namelijk dat</w:t>
      </w:r>
      <w:r w:rsidRPr="004122B3">
        <w:t xml:space="preserve"> belastingfraude of belastingontwijking het hoofddoel dan wel een van de hoofddoelen van die aandelenfusie was.</w:t>
      </w:r>
      <w:r>
        <w:t xml:space="preserve"> De inspecteur doet dus een rechtstreeks beroep op de antimisbruikbepaling uit de fusierichtlijn. Aangezien de Hoge Raad dit punt niet afkeurde, blijkt uit dit arrest dat de fiscus een beroep mocht doen op de rechtstreekse werking van de fusierichtlijn. Dit is opvallend aangezien de staatssecretaris in het verleden heeft gesteld dat alleen belastingplichtigen dit recht hebben:</w:t>
      </w:r>
    </w:p>
    <w:p w:rsidR="00174971" w:rsidRPr="007C2B29" w:rsidRDefault="00174971" w:rsidP="00A01741">
      <w:pPr>
        <w:pStyle w:val="Subtitle"/>
      </w:pPr>
      <w:r>
        <w:t>“Om elk misverstand te vermijden wil ik graag vooropstellen dat alleen de burger zich bij de nationale rechter op eventuele rechtstreekse werking van de richtlijn kan beroepen en nooit de nationale overheid”</w:t>
      </w:r>
      <w:r>
        <w:rPr>
          <w:rStyle w:val="FootnoteReference"/>
        </w:rPr>
        <w:footnoteReference w:id="146"/>
      </w:r>
      <w:r>
        <w:t>.</w:t>
      </w:r>
    </w:p>
    <w:p w:rsidR="00174971" w:rsidRDefault="00174971" w:rsidP="00E01B68">
      <w:r>
        <w:t>Dat de inspecteur zich toch beroept op de fusierichtlijn en niet op fraus legis is het gevolg van het feit dat deze casus zich afspeelt in de tijd tussen het Leur-Bloem-arrest en de herziening van de wet in 2001. Zoals ik eerder heb vermeld had de staatssecretaris in deze tussenperiode de fusierichtlijn als geldend verklaard</w:t>
      </w:r>
      <w:r>
        <w:rPr>
          <w:rStyle w:val="FootnoteReference"/>
        </w:rPr>
        <w:t xml:space="preserve">·. </w:t>
      </w:r>
      <w:r>
        <w:t xml:space="preserve">Sinds 2001 kan de inspecteur zich niet meer rechtstreeks kan beroepen op de fusierichtlijn en daardoor op de termen belastingfraude en belastingontwijking, omdat de nationale bepaling is aangepast en daardoor de door de staatssecretaris geboden noodoplossing niet meer geldend is. Nu het duidelijk is dat ik de motivering van Strik en De Vries niet onderschrijf, blijft nog wel de vraag staan of fraus legis gedekt wordt door de antimisbruikbepaling in de fusierichtlijn. </w:t>
      </w:r>
    </w:p>
    <w:p w:rsidR="00174971" w:rsidRDefault="00174971" w:rsidP="00132ADB">
      <w:pPr>
        <w:pStyle w:val="Heading3"/>
      </w:pPr>
      <w:bookmarkStart w:id="55" w:name="_Toc265484835"/>
      <w:r>
        <w:t>5.3.3 De strekking van belastingontwijking vergeleken met de strekking van fraus legis</w:t>
      </w:r>
      <w:bookmarkEnd w:id="55"/>
    </w:p>
    <w:p w:rsidR="00174971" w:rsidRDefault="00174971" w:rsidP="00E01B68">
      <w:r>
        <w:t xml:space="preserve">Aangezien uit de jurisprudentie of parlementaire behandeling geen duidelijkheid kan worden verschaft over deze kwestie, zal ik beide begrippen ontleden om zodoende een conclusie te kunnen trekken. De toepassing van het leerstuk van fraus legis lijkt in eerste instantie in grote mate overeen te komen met de gevallen dat het hoofddoel of een der hoofddoelen van rechtshandelingen belastingontwijking is. Uit het tweede hoofdstuk is gebleken dat fraus legis ingeroepen kan worden indien belastingbesparing het overwegende motief voor een rechtshandeling is en deze constructie weliswaar in lijn is met de geïnterpreteerde wetgeving maar in strijd met doel en strekking van dezelfde wetgeving is. Uit het vierde hoofdstuk is gebleken dat het Europese begrip belastingontwijking ziet op volstrekt kunstmatige constructies die de bedoeling hebben de belastingwetgeving van een lidstaat te ontwijken. </w:t>
      </w:r>
    </w:p>
    <w:p w:rsidR="00174971" w:rsidRDefault="00174971" w:rsidP="007472C2">
      <w:pPr>
        <w:pStyle w:val="Heading4"/>
      </w:pPr>
      <w:bookmarkStart w:id="56" w:name="_Toc265484836"/>
      <w:r>
        <w:t>5.3.3.1 Motiefvereiste</w:t>
      </w:r>
      <w:bookmarkEnd w:id="56"/>
    </w:p>
    <w:p w:rsidR="00174971" w:rsidRDefault="00174971" w:rsidP="00E01B68">
      <w:r>
        <w:t>Uit de definitie van het Europese begrip belastingontwijking volgt dat om een complex van rechtshandelingen te kwalificeren als belastingontduiking er sprake moet zijn van fiscale motieven. Het is echter niet vereist dat dit het overwegende motief moet zijn. Mijns inziens kan ook sprake zijn van belastingontwijking als het belastingvoordeel een bijkomend motief is voor de rechtshandelingen. Het vereiste dat een constructie volstrekt kunstmatig is, impliceert niet dat het overwegende motief belastingbesparing is. In de fusierichtlijn is als weigeringsgrond opgenomen dat belastingontwijking het hoofddoel of een der hoofddoelen moet zijn. Deze toevoeging brengt de fusierichtlijn dichter bij de strekking van fraus legis, maar een subtiel verschil blijft aanwezig. Het ‘hoofddoel of een der hoofddoelen’ motief is immers een ruimer dan een ‘overwegend mate’ motief, zo is uit paragraaf 4.6 gebleken. Een rechtshandeling kan zodoende eerder bestreden kunnen worden door de antimisbruikbepaling uit de fusierichtlijn dan dat het te bestrijden is met fraus legis. Hieruit blijkt dat het motiefvereiste dat nodig is voor de toepassing van fraus legis dus niet gelijk is aan de antimisbruikbepaling uit de fusierichtlijn.</w:t>
      </w:r>
    </w:p>
    <w:p w:rsidR="00174971" w:rsidRDefault="00174971" w:rsidP="0049508A">
      <w:pPr>
        <w:pStyle w:val="Heading4"/>
      </w:pPr>
      <w:bookmarkStart w:id="57" w:name="_Toc265484837"/>
      <w:r>
        <w:t>5.3.3.2 Normvereiste</w:t>
      </w:r>
      <w:bookmarkEnd w:id="57"/>
    </w:p>
    <w:p w:rsidR="00174971" w:rsidRDefault="00174971" w:rsidP="00E01B68">
      <w:r>
        <w:t>Het normvereiste lijkt in beide gevallen wel gelijk te zijn. Een belastingplichtige tracht bij belastingontwijkende handelingen de beoogde belastingheffing van de wetgever te ontgaan. Daardoor zal het zeer moeilijk, zo niet onmogelijk, zijn om rechtshandelingen te kwalificeren als de Europese term belastingontwijking indien geen sprake is van strijdigheid met doel en strekking van de wet</w:t>
      </w:r>
      <w:r>
        <w:rPr>
          <w:rStyle w:val="FootnoteReference"/>
        </w:rPr>
        <w:footnoteReference w:id="147"/>
      </w:r>
      <w:r>
        <w:t>. In het geval dat in Europese zin sprake is van belastingontwijking zal dus voldaan zijn aan het normvereiste dat noodzakelijk is voor fraus legis. Voorts dient bij belastingontwijking sprake te zijn van een volstrekt kunstmatige constructie, deze voorwaarde wordt niet verlangd voor de toepassing van fraus legis. Door dit vereiste van volstrekte kunstmatigheid kunnen rechtshandelingen minder gemakkelijk onder de Europese noemer belastingontwijking geschaard worden. In de literatuur wordt overigens wel gesteld dat het Hof van Justitie in de praktijk al snel zal aannemen dat de vereiste mate van kunstmatigheid zich voordoet</w:t>
      </w:r>
      <w:r>
        <w:rPr>
          <w:rStyle w:val="FootnoteReference"/>
        </w:rPr>
        <w:footnoteReference w:id="148"/>
      </w:r>
      <w:r>
        <w:t>.</w:t>
      </w:r>
    </w:p>
    <w:p w:rsidR="00174971" w:rsidRPr="0049508A" w:rsidRDefault="00174971" w:rsidP="0049508A">
      <w:pPr>
        <w:pStyle w:val="Heading4"/>
      </w:pPr>
      <w:bookmarkStart w:id="58" w:name="_Toc265484838"/>
      <w:r>
        <w:t>5.3.3.3 Verschil in dekking tussen fraus legis en belastingontwijking</w:t>
      </w:r>
      <w:bookmarkEnd w:id="58"/>
    </w:p>
    <w:p w:rsidR="00174971" w:rsidRDefault="00174971" w:rsidP="00303153">
      <w:r>
        <w:t>Uit deze vergelijking tussen de antimisbruikbepaling en het leerstuk van fraus legis volgt dat niet alle rechtshandelingen die onder de Europese term ‘het hoofddoel of een der hoofddoelen is belastingontwijking’ vallen, bestreden kunnen worden met fraus legis. De oorzaak hiervan is gelegen in het feit dat het motiefvereiste voor de toepassing van fraus legis stringenter is dan voor de fusierichtlijn. Het vereiste dat het hoofddoel of een van de hoofddoelen belastingontwijking moet zijn heeft een ruimere reikwijdte dan het overwegende mate motief uit het leerstuk van fraus legis. Omdat er veel overeenkomsten zijn, zal de fiscus ongewenste constructies in veel gevallen wel kunnen bestrijden met fraus legis. Alleen indien het motief van een rechtshandeling niet overwegend is gericht op belastingbesparing maar wel een van de hoofddoelen van de constructie is, kan de fiscus geen beroep doen op fraus legis. Indien de overheid deze constructies wel ongewenst acht en deze wil bestrijden, dient ze deze risico’s af te dekken met specifieke antimisbruikregelgeving.</w:t>
      </w:r>
    </w:p>
    <w:p w:rsidR="00174971" w:rsidRDefault="00174971" w:rsidP="00E01B68">
      <w:r>
        <w:t>Andersom gesteld, kunnen de rechtshandelingen die bestreden kunnen worden door fraus legis ook niet altijd bestreden worden met behulp van artikel 15, lid 1, onderdeel a, Fusierichtlijn. Dit komt omdat voor de toepassing van fraus legis geen volstrekt kunstmatige constructie is vereist, terwijl dit wel nodig is om onder het begrip belastingontwijking te vallen. Uit deze vergelijking blijkt dat fraus legis niet volledig gedekt wordt door het begrip ‘het hoofddoel of een der hoofddoelen is belastingontwijking’. In bepaalde uitzonderingssituaties zou het kunnen voorkomen dat het toepassen van fraus legis strijdig zou zijn met het begrip belastingontwijking en zodoende ook met fusierichtlijn. Dit kan voorkomen indien het Hof van Justitie een bestreden constructie niet volstrekt kunstmatig acht. De fiscus mag zich in die situaties niet beroepen op het leerstuk van fraus legis.</w:t>
      </w:r>
    </w:p>
    <w:p w:rsidR="00174971" w:rsidRDefault="00174971" w:rsidP="002A0FD5">
      <w:pPr>
        <w:pStyle w:val="Heading2"/>
      </w:pPr>
      <w:bookmarkStart w:id="59" w:name="_Toc265484839"/>
      <w:r>
        <w:t>5.4 Fraus legis naast artikel 14, lid 4, Wet VPB 1969</w:t>
      </w:r>
      <w:bookmarkEnd w:id="59"/>
    </w:p>
    <w:p w:rsidR="00174971" w:rsidRPr="009636CF" w:rsidRDefault="00174971" w:rsidP="009636CF">
      <w:r>
        <w:t>In dit hoofdstuk staat de mogelijkheid voor de fiscus om het leerstuk van fraus legis toe te passen indien een belastingplichtige niet gehinderd wordt door artikel 14, lid 4, Wet VPB 1969 centraal. Aangezien de Nederlandse bepalingen voor de bedrijfsfusiefaciliteit een omzetting zijn van de Europese fusierichtlijn, zal deze richtlijn ook van belang zijn. Het speelt bijvoorbeeld een rol bij de vraag of de Europese antimisbruikbepaling verplicht en in zijn geheel geïmplementeerd moet worden. Ook voor de uitleg van de Nederlandse bedrijfsfusiefaciliteit zal ik de richtlijn gebruiken. De staatssecretaris heeft immers expliciet aangegeven dat hij van mening is dat de Nederlandse regeling in lijn is met de fusierichtlijn</w:t>
      </w:r>
      <w:r>
        <w:rPr>
          <w:rStyle w:val="FootnoteReference"/>
        </w:rPr>
        <w:footnoteReference w:id="149"/>
      </w:r>
      <w:r>
        <w:t>. Doel en strekking van beide regelingen zullen derhalve ook gelijk moeten zijn. Om deze redenen zal ik in dit nationale deel van de beschouwing ook af en toe terugvallen op het Europese recht.</w:t>
      </w:r>
    </w:p>
    <w:p w:rsidR="00174971" w:rsidRDefault="00174971" w:rsidP="003A1644">
      <w:r>
        <w:t xml:space="preserve">De tekst van artikel 15, lid 1, onderdeel a, Fusierichtlijn is zo geformuleerd dat de lidstaten een keuze hebben om de antimisbruikbepaling te hanteren. Het artikel bepaalt immers dat lidstaten de voordelen van de fusierichtlijn </w:t>
      </w:r>
      <w:r w:rsidRPr="00796165">
        <w:rPr>
          <w:i/>
        </w:rPr>
        <w:t>kunnen</w:t>
      </w:r>
      <w:r>
        <w:t xml:space="preserve"> weigeren in een aantal gevallen. Het is zodoende niet verplicht voor de lidstaten om de faciliteit te weigeren indien er sprake is van misbruik, maar het kan gebruikt worden ter bescherming van de belastingclaim van een lidstaat. Daarnaast is uit het Kofoed-arrest duidelijk geworden dat ook indien een lidstaat de antimisbruikbepaling niet heeft overgenomen, misbruik van Europees recht bestreden kan worden op grond van het algemene rechtssysteem van een lidstaat. </w:t>
      </w:r>
    </w:p>
    <w:p w:rsidR="00174971" w:rsidRDefault="00174971" w:rsidP="003A1644">
      <w:r>
        <w:t>Indien Nederland de Europese antimisbruikbepaling niet had overgenomen in de nationale wet had de fiscus in een groot deel van de gevallen van misbruik een beroep kunnen doen op fraus legis, zo is hiervoor gebleken. Echter zoals bekend heeft de wetgever de antimisbruikbepaling geïmplementeerd in artikel 14, lid 4, Wet VPB 1969. Het is daarom de vraag of de fiscus zich ook nu kan beroepen op fraus legis, indien de nationale bepaling niet voldoende is om ongewenst gebruik van de bedrijfsfusiefaciliteit tegen te gaan. Het gaat om situaties die niet bestreden worden door de Nederlandse wettekst, maar wel door de richtlijn en het leerstuk van fraus legis. Om een goed antwoord op deze vraag te kunnen formuleren zal ik eerst bepalen of een dergelijk geval zich in de praktijk kan voordoen. Als het toepassingsbereik van fraus legis minder ruim is dan het ontgaan of uitstellen van belastingheffing, kan de fiscus niet een succesvol beroep doen op fraus legis indien een belastingplichtige de toets uit artikel 14, lid 4, Wet VPB 1969 heeft doorstaan. Ook bij een gelijk toepassingsbereik heeft fraus legis geen waarde voor de fiscus. Wel kan in die situaties de meerwegenleer voor de fiscus mogelijk een reden zijn om fraus legis te kunnen toepassen. Dit zal ik ook in dit hoofdstuk onderzoeken. Vervolgens zal ik bepalen of de fiscus naast de antimisbruikbepaling in de vennootschapsbelasting het leerstuk van fraus legis kan toepassen, of dat dit in strijd is met het rechtszekerheidbeginsel. Uit voorgaande hoofdstukken in deze scriptie is immers gemotiveerd dat een beroep op fraus legis niet altijd mogelijk is.</w:t>
      </w:r>
    </w:p>
    <w:p w:rsidR="00174971" w:rsidRDefault="00174971" w:rsidP="003E365D">
      <w:pPr>
        <w:pStyle w:val="Heading3"/>
      </w:pPr>
      <w:bookmarkStart w:id="60" w:name="_Toc265484840"/>
      <w:r>
        <w:t>5.4.1 In overwegende mate uitstellen of ontgaan van belastingheffing versus fraus legis</w:t>
      </w:r>
      <w:bookmarkEnd w:id="60"/>
    </w:p>
    <w:p w:rsidR="00174971" w:rsidRDefault="00174971" w:rsidP="004440A0">
      <w:r>
        <w:t>De vergelijking tussen het leerstuk van fraus legis en de antimisbruikbepaling uit artikel 14, lid 4, Wet VPB 1969 moet vanuit twee perspectieven worden gezien. Allereerst is er het verschil tussen het motiefvereiste voor de toepassing van fraus legis en de term ‘in overwegende mate’ uit de wet. Daarnaast moet het normvereiste vergeleken worden met het uitstellen of ontgaan van belastingheffing.</w:t>
      </w:r>
    </w:p>
    <w:p w:rsidR="00174971" w:rsidRPr="004440A0" w:rsidRDefault="00174971" w:rsidP="004440A0">
      <w:pPr>
        <w:pStyle w:val="Heading4"/>
      </w:pPr>
      <w:bookmarkStart w:id="61" w:name="_Toc265484841"/>
      <w:r>
        <w:t>5.4.1.1 Motiefvereiste versus overwegende mate</w:t>
      </w:r>
      <w:bookmarkEnd w:id="61"/>
    </w:p>
    <w:p w:rsidR="00174971" w:rsidRDefault="00174971" w:rsidP="003E365D">
      <w:r>
        <w:t>Uit het tweede hoofdstuk van dit onderzoek is naar voren gekomen dat voor de toepassing van fraus legis is vereist dat belastingverijdeling de overwegende beweegreden is voor de omstreden rechtshandeling. Dit vereiste komt overeen met de bepaling uit artikel 14, lid 4, Wet VPB 1969, waarin ook de term in overwegende mate vermeld wordt. Op dit punt heeft het leerstuk van fraus legis dus geen ruimer bereik dan de antimisbruikbepaling.</w:t>
      </w:r>
    </w:p>
    <w:p w:rsidR="00174971" w:rsidRDefault="00174971" w:rsidP="004440A0">
      <w:pPr>
        <w:pStyle w:val="Heading4"/>
      </w:pPr>
      <w:bookmarkStart w:id="62" w:name="_Toc265484842"/>
      <w:r>
        <w:t>5.4.1.2 Normvereiste versus uitstellen of ontgaan van belastingheffing</w:t>
      </w:r>
      <w:bookmarkEnd w:id="62"/>
    </w:p>
    <w:p w:rsidR="00174971" w:rsidRDefault="00174971" w:rsidP="004440A0">
      <w:r>
        <w:t>Het normvereiste voor fraus legis houdt in dat een belastingplichtige heeft gehandeld in strijd met doel en strekking van de wet. Met betrekking tot de bedrijfsfusiefaciliteit betekent dit dat er strijd moet zijn met het idee dat fiscale overwegingen een bedrijfsfusie niet in de weg mogen staan. Deze fiscale overwegingen zien naar mijn mening enkel op de Nederlandse vennootschapsbelasting aangezien de fusierichtlijn beoogt te voorkomen dat nog niet gerealiseerde meerwaarden direct worden belast bij een bedrijfsfusie. De antimisbruikbepaling bepaalt dat de faciliteit niet wordt verleend indien de bedrijfsfusie is gericht op het uitstellen of ontgaan van belastingheffing. Deze bepaling heeft veel raakvlakken met het normvereiste, aangezien fiscale overwegingen vaak het uitstellen of ontgaan van belastingheffing omvatten. Scherper gesteld ben ik van mening dat, enkel de Nederlandse vennootschapsbelasting in ogenschouw nemende, elke fiscale overweging die ten grondslag kan liggen aan een bedrijfsfusie het doel heeft om belastingheffing uit te stellen of te ontgaan. Echter voor een volledig beeld moet verder gekeken worden dan de Nederlandse vennootschapsbelasting. Een sleutelrol is daarbij weggelegd voor de uitleg van het begrip belastingheffing uit artikel 14, lid 4, Wet VPB 1969.</w:t>
      </w:r>
    </w:p>
    <w:p w:rsidR="00174971" w:rsidRDefault="00174971" w:rsidP="003E365D">
      <w:r>
        <w:t>In de letterlijke tekst van het vierde lid wordt geen beperking gegeven voor vormen van belastingheffing, dus in beginsel zou naar mijn mening ontgaan of uitstel van iedere soort belasting de faciliteit geweigerd kunnen worden. Daarentegen is uit hoofdstuk drie gebleken dat antimisbruikbepalingen vaak restrictief moeten worden geïnterpreteerd, dit zou kunnen inhouden dat met het begrip belastingheffing alleen vennootschapsbelasting wordt bedoeld. Om te bepalen of het begrip belastingheffing uit de nationale wet restrictief moet worden uitgelegd, maak ik een uitstapje naar het Europees recht. Uit hoofdstuk vier is gebleken dat uit het Zwijnenburg-arrest duidelijk is geworden dat de antimisbruikbepaling uit de fusierichtlijn eng moet worden uitgelegd. Het zou strijdig zijn met het gemeenschapsrecht indien het begrip belastingheffing uit artikel 14, lid 4, Wet VPB 1969 een ruimere strekking zou hebben. Belastingheffing uit de nationale wet kan in deze optiek dus enkel zien op belastingen die binnen de reikwijdte van de fusierichtlijn vallen, overige belastingen zijn voor de faciliteit niet van belang. In Bijlage I, deel B van de fusierichtlijn zijn de belastingen opgenomen die binnen de werkingssfeer van de richtlijn vallen. Voor Nederland is dit bijvoorbeeld enkel de vennootschapsbelasting. Deze gegevens samenvattend roept de vraag op of de faciliteit geweigerd kan worden indien een bedrijfsfusie in overwegende mate is gericht op het ontgaan of uitstellen van een belasting opgenomen in fusierichtlijn, niet zijnde de Nederlandse vennootschapsbelasting.</w:t>
      </w:r>
    </w:p>
    <w:p w:rsidR="00174971" w:rsidRDefault="00174971" w:rsidP="003E365D">
      <w:r>
        <w:t>Een van de uitgangspunten van de fusierichtlijn is dat een lidstaat de faciliteit moet kunnen weigeren indien de fusie belastingfraude of –ontwijking tot doel heeft</w:t>
      </w:r>
      <w:r>
        <w:rPr>
          <w:rStyle w:val="FootnoteReference"/>
        </w:rPr>
        <w:footnoteReference w:id="150"/>
      </w:r>
      <w:r>
        <w:t>. Hieruit concludeer ik dat een lidstaat met behulp van de antimisbruikbepaling uit de fusierichtlijn zijn eigen belastingclaim kan beschermen. Het Hof van Justitie bepaalt in het Zwijnenburg-arrest dat de fusierichtlijn beoogt te voorkomen dat nog niet gerealiseerde meerwaarden direct worden belast bij een bedrijfsfusie. Aangezien een eventuele buitenlandse belastingheffing niet ziet op deze meerwaarden, ben ik van mening dat het ontwijken hiervan niet binnen de reikwijdte van de fusierichtlijn valt. Hieruit volgt dat de antimisbruikbepaling door lidstaten geïmplementeerd kan worden om de eigen vennootschapsbelastingclaim te beschermen. Daarom zou het niet proportioneel zijn om de faciliteit te weigeren indien het ontwijken van buitenlandse belastingheffing het hoofddoel of een van de hoofddoelen van de bedrijfsfusie is. Dit gaat verder dan nodig is om de financiële belangen van Nederland veilig te stellen. Dit komt overeen met het feit dat het Hof van Justitie heeft overwogen dat het niet proportioneel is om de faciliteit te weigeren indien overdrachtsbelasting wordt ontweken:</w:t>
      </w:r>
    </w:p>
    <w:p w:rsidR="00174971" w:rsidRDefault="00174971" w:rsidP="005128F6">
      <w:pPr>
        <w:pStyle w:val="Subtitle"/>
      </w:pPr>
      <w:r>
        <w:t>“Indien een andere aanpak zou worden gekozen, zou niet alleen afbreuk worden gedaan aan de uniforme en coherente uitlegging van richtlijn 90/434, maar zou dit bovendien verder gaan dan nodig is om de financiële belangen van de betrokken lidstaat veilig te stellen, zoals bepaald in de vierde overweging van de considerans van deze richtlijn”</w:t>
      </w:r>
      <w:r>
        <w:rPr>
          <w:rStyle w:val="FootnoteReference"/>
        </w:rPr>
        <w:footnoteReference w:id="151"/>
      </w:r>
      <w:r>
        <w:t>.</w:t>
      </w:r>
    </w:p>
    <w:p w:rsidR="00174971" w:rsidRDefault="00174971" w:rsidP="003E365D">
      <w:r>
        <w:t>Het belang is dat de lidstaat zijn financiële belangen kan veilig stellen, buitenlandse financiële belangen behoren daar vanzelfsprekend niet toe. Ik concludeer uit deze overwegingen dat het Europese begrip belastingontwijking uit de fusierichtlijn ziet op de belasting die normaal gesproken verschuldigd zou zijn bij een niet-gefaciliteerde bedrijfsfusie. Dit heeft als gevolg dat ook het Nederlandse begrip belastingheffing enkel betrekking kan hebben op Nederlandse vennootschapsbelasting die verschuldigd zou zijn over de stille en fiscale reserves bij ruisende inbreng van (een gedeelte van) een onderneming. Een bredere uitleg van het begrip belastingheffing zou in strijd zijn met de fusierichtlijn. Dit houdt in dat het normvereiste voor de toepassing van fraus legis gelijk is aan het ontgaan of uitstellen van belastingheffing.</w:t>
      </w:r>
    </w:p>
    <w:p w:rsidR="00174971" w:rsidRDefault="00174971" w:rsidP="00B80245">
      <w:pPr>
        <w:pStyle w:val="Heading4"/>
      </w:pPr>
      <w:bookmarkStart w:id="63" w:name="_Toc265484843"/>
      <w:r>
        <w:t>5.4.1.3 Overeenkomstig bereik fraus legis en antimisbruikbepaling</w:t>
      </w:r>
      <w:bookmarkEnd w:id="63"/>
    </w:p>
    <w:p w:rsidR="00174971" w:rsidRPr="00B80245" w:rsidRDefault="00174971" w:rsidP="00B80245">
      <w:r>
        <w:t>Het is gebleken dat het motiefvereiste voor fraus legis en het begrip uit de wettekst ‘in overwegende mate’ gelijk zijn aan elkaar. Tevens heb ik geen situatie kunnen onderscheiden waarin er in strijd met artikel 14 Wet VPB 1969 wordt gehandeld, maar er niet sprake is van het ontgaan of uitstellen van belastingheffing. Concluderend stel ik dat fraus legis geen breder bereik heeft dan de antimisbruikbepaling uit artikel 14, lid 4, Wet VPB 1969.</w:t>
      </w:r>
    </w:p>
    <w:p w:rsidR="00174971" w:rsidRDefault="00174971" w:rsidP="009F1C97">
      <w:pPr>
        <w:pStyle w:val="Heading3"/>
      </w:pPr>
      <w:bookmarkStart w:id="64" w:name="_Toc265484844"/>
      <w:r>
        <w:t>5.4.2 Meerwegenleer</w:t>
      </w:r>
      <w:bookmarkEnd w:id="64"/>
    </w:p>
    <w:p w:rsidR="00174971" w:rsidRDefault="00174971" w:rsidP="003E365D">
      <w:r>
        <w:t>Uit hoofdstuk twee is duidelijk geworden dat voor de toepassing van fraus legis de meerwegenleer een aanvullend wapen voor de fiscus is om wetsontduiking te bestrijden. Dit heeft als gevolg dat de vrijheid voor de belastingplichtige om de fiscaal meest voordelige weg te kiezen wordt ingeperkt. Ik heb eerder gemotiveerd dat de fiscus een beroep kan doen op fraus legis op grond van de meerwegenleer indien belastingclaims willekeurig en definitief worden gefrustreerd door het invoegen van niet-noodzakelijke rechtshandelingen. Ik zal in dit onderdeel onderzoeken of de fiscus door deze leer een additioneel hulpmiddel heeft om eventueel misbruik te bestrijden naast de antimisbruikbepaling. In het al eerder behandelde arrest BNB 2008/245</w:t>
      </w:r>
      <w:r>
        <w:rPr>
          <w:rStyle w:val="FootnoteReference"/>
        </w:rPr>
        <w:footnoteReference w:id="152"/>
      </w:r>
      <w:r>
        <w:t xml:space="preserve"> komen elementen van de meerwegenleer naar voren.</w:t>
      </w:r>
    </w:p>
    <w:p w:rsidR="00174971" w:rsidRDefault="00174971" w:rsidP="003E365D">
      <w:r>
        <w:t xml:space="preserve">In dit arrest, waarin een prejudiciële vraag werd gesteld die later behandeld zou worden in het Zwijnenburg-arrest, wilde belastingplichtige twee panden samenbrengen in een onderneming. Een pand was in handen van X BV en het andere pand was in het bezit van Beheer BV. Een natuurlijk persoon en zijn echtgenote hielden alle aandelen in X BV middels een holding. De ouders van de natuurlijk persoon waren de aandeelhouders van Beheer BV. De wens van beide kanten was om de twee panden samen te voegen en alle voordelen uiteindelijk terecht te laten komen bij de zoon en zijn echtgenoot. Om de panden samen te voegen bracht X BV zijn onderneming in in Beheer BV tegen uitreiking van aandelen. Hierdoor hield X BV een deel van de aandelen in Beheer BV en het andere deel was nog in handen van de ouders. De reorganisatie zou later compleet worden wanneer X BV ook de overige aandelen in Beheer BV zou overnemen. Zodoende werd via een omweg gebruik gemaakt van een bedrijfsfusie, aangezien ook het pand of de aandelen in Beheer BV rechtstreeks overgedragen hadden kunnen worden aan de zoon. Het doel om beide panden samen te brengen berust op zakelijke overwegingen, zo had het </w:t>
      </w:r>
      <w:r w:rsidRPr="00F174D1">
        <w:t xml:space="preserve">Hof </w:t>
      </w:r>
      <w:r>
        <w:t>’</w:t>
      </w:r>
      <w:r w:rsidRPr="00F174D1">
        <w:t>s-Gravenhage</w:t>
      </w:r>
      <w:r>
        <w:t xml:space="preserve"> eerder al bepaald en dit werd in cassatie niet bestreden.</w:t>
      </w:r>
    </w:p>
    <w:p w:rsidR="00174971" w:rsidRDefault="00174971" w:rsidP="00112AEC">
      <w:r>
        <w:t>Het pijnpunt in deze constructie was niet de bedrijfsfusie met het doel om de panden onder te brengen in een lichaam maar het feit dat de ouders hun aandelen na de bedrijfsfusie zouden vervreemden aan de zoon. De Hoge Raad heeft immers overwogen dat indien de latere overdracht van de nog door de ouders gehouden aandelen in Beheer BV niet wordt meegenomen in het oordeel, het niet in de rede lag om de faciliteit niet te verlenen. In deze overweging komt de keuzevrijheid van de belastingplichtige duidelijk naar voren. Andere wegen, rechtstreekse overdracht van het pand of van de aandelen in Beheer BV, leiden immers tot heffing van overdrachtsbelasting en vennootschapsbelasting</w:t>
      </w:r>
      <w:r>
        <w:rPr>
          <w:rStyle w:val="FootnoteReference"/>
        </w:rPr>
        <w:footnoteReference w:id="153"/>
      </w:r>
      <w:r>
        <w:t>.</w:t>
      </w:r>
    </w:p>
    <w:p w:rsidR="00174971" w:rsidRDefault="00174971" w:rsidP="002E6F63">
      <w:pPr>
        <w:pStyle w:val="Heading4"/>
      </w:pPr>
      <w:bookmarkStart w:id="65" w:name="_Toc265484845"/>
      <w:r>
        <w:t>5.4.2.1 Ontwijken van belastingheffing, anders dan Nederlandse vennootschapsbelasting</w:t>
      </w:r>
      <w:bookmarkEnd w:id="65"/>
    </w:p>
    <w:p w:rsidR="00174971" w:rsidRPr="00AF64A2" w:rsidRDefault="00174971" w:rsidP="00112AEC">
      <w:r>
        <w:t xml:space="preserve">Voor de beoordeling of de bedrijfsfusiefaciliteit moet worden verleend, moeten volgens de Hoge Raad alle omstandigheden meegenomen worden en dus ook het ontgaan van overdrachtsbelasting door de constructie. Op grond daarvan wordt in rechtsoverweging 4.3.3. overwogen: </w:t>
      </w:r>
    </w:p>
    <w:p w:rsidR="00174971" w:rsidRPr="00112AEC" w:rsidRDefault="00174971" w:rsidP="00112AEC">
      <w:pPr>
        <w:pStyle w:val="Subtitle"/>
      </w:pPr>
      <w:r>
        <w:t>“In het onderhavige geval is dat mede de omstandigheid dat het (indirecte) belang in de onderneming van belanghebbende mede zou komen te berusten bij de ouders, terwijl het klaarblijkelijk de bedoeling was dat het belang bij die onderneming geheel bij de zoon en diens echtgenote zou (blijven) berusten. Gelet hierop kon het Hof, hoezeer ook de wens de panden a-straat 1 en 2 samen te brengen in één onderneming berustte op zakelijke overwegingen, oordelen dat de voor het realiseren van dit zakelijke doel gekozen omweg van de inbreng van belanghebbendes onderneming in Beheer BV (de bedrijfsfusie) niet door zakelijke overwegingen was ingegeven”.</w:t>
      </w:r>
    </w:p>
    <w:p w:rsidR="00174971" w:rsidRDefault="00174971" w:rsidP="00D327F0">
      <w:r>
        <w:t>De Hoge Raad was dus van mening dat de omweg, die het hoofddoel had om overdrachtsbelasting te ontgaan, moet worden meegenomen bij het bepalen of het hoofddoel of een der hoofddoelen van de bedrijfsfusie belastingontwijking of belastingfraude was. Dit standpunt is gebaseerd op de meerwegenleer, die bepaalt dat verder gekeken moet worden dan naar het zakelijke doel. Echter zoals al eerder naar voren is gekomen, heeft het Hof van Justitie bij beantwoording van de prejudiciële vraag bepaald dat de fusierichtlijn alleen ziet op belastingen die heffen over de meerwaarde in lichamen. Nederland zou in strijd met het Europees recht handelen indien artikel 14, lid 4, Wet VPB 1969 betrekking heeft op alle soorten belastingheffing. Hieruit volgt dat de Nederlandse faciliteit niet geweigerd kan worden, indien via een omweg een andere belasting dan Nederlandse vennootschapsbelasting wordt ontgaan. Het ontwijken van andere belastingen valt niet binnen de werkingssfeer van de fusierichtlijn en kan daardoor ook niet in strijd zijn met doel en strekking van artikel 14 Wet VPB 1969.</w:t>
      </w:r>
    </w:p>
    <w:p w:rsidR="00174971" w:rsidRDefault="00174971" w:rsidP="002E6F63">
      <w:pPr>
        <w:pStyle w:val="Heading4"/>
      </w:pPr>
      <w:bookmarkStart w:id="66" w:name="_Toc265484846"/>
      <w:r>
        <w:t>5.4.2.2 Uitstellen van Nederlandse vennootschapsbelasting</w:t>
      </w:r>
      <w:bookmarkEnd w:id="66"/>
    </w:p>
    <w:p w:rsidR="00174971" w:rsidRDefault="00174971" w:rsidP="00112AEC">
      <w:r>
        <w:t>Het uitstellen van vennootschapsbelasting door te kiezen voor de weg met de bedrijfsfusiefaciliteit, ziet de Hoge Raad niet als een omweg die door de fiscus bestreden kan worden op grond van de meerwegenleer. Dit blijkt uit de volgende rechtsoverweging waarin het uitstellen van vennootschapsbelasting niet wordt genoemd als ongewenste gevolg van de rechtshandelingen:</w:t>
      </w:r>
    </w:p>
    <w:p w:rsidR="00174971" w:rsidRDefault="00174971" w:rsidP="00D327F0">
      <w:pPr>
        <w:pStyle w:val="Subtitle"/>
      </w:pPr>
      <w:r>
        <w:t>“Uit het hiervoor overwogene volgt dat ervan moet worden uitgegaan dat een hoofddoel van de onderhavige bedrijfsfusie was het ontgaan van bepaalde fiscale gevolgen welke zouden zijn opgetreden indien het pand a-straat 1 dan wel de aandelen in Beheer BV zouden zijn overgedragen aan belanghebbende. Die fiscale gevolgen zouden in ieder geval bestaan in de verschuldigdheid van overdrachtsbelasting door belanghebbende ter zake van de verkrijging van het pand a-straat 1, respectievelijk de aandelen in Beheer BV”</w:t>
      </w:r>
      <w:r>
        <w:rPr>
          <w:rStyle w:val="FootnoteReference"/>
        </w:rPr>
        <w:footnoteReference w:id="154"/>
      </w:r>
      <w:r>
        <w:t>.</w:t>
      </w:r>
    </w:p>
    <w:p w:rsidR="00174971" w:rsidRPr="00112AEC" w:rsidRDefault="00174971" w:rsidP="00112AEC">
      <w:r>
        <w:t>Dit ligt in lijn met de eerder gestelde voorwaarde dat een belastingclaim definitief moet worden gefrustreerd om gebruik te kunnen maken van de meerwegenleer om daarmee een beroep te doen op fraus legis. Het volgt ook uit de systematiek van de bedrijfsfusiefaciliteit dat de fiscus nooit een beroep kan doen op meerwegenleer met betrekking tot een vennootschapsbelastingclaim. De bedrijfsfusiefaciliteit wordt immers alleen verleend indien latere heffing over de stille en fiscale reserves is verzekerd</w:t>
      </w:r>
      <w:r>
        <w:rPr>
          <w:rStyle w:val="FootnoteReference"/>
        </w:rPr>
        <w:footnoteReference w:id="155"/>
      </w:r>
      <w:r>
        <w:t>. Dit houdt in dat het definitief verloren laten gaan van een belastingclaim door gebruik te maken van de faciliteit niet mogelijk is naar de letter van de wet. Met betrekking tot de verijdeling van vennootschapsbelasting biedt de meerwegenleer in vergelijking met het antimisbruikartikel geen additionele mogelijkheid voor de fiscus, deze situaties worden door artikel 14 Wet VPB 1969 gedekt.</w:t>
      </w:r>
    </w:p>
    <w:p w:rsidR="00174971" w:rsidRDefault="00174971" w:rsidP="009A11DC">
      <w:r>
        <w:t xml:space="preserve">Uit dit arrest is het derhalve duidelijk geworden dat het voor de fiscus ook niet mogelijk is om de bedrijfsfusie te weigeren op grond van fraus legis met behulp van de meerwegenleer. Het definitief frustreren van een vennootschapsbelastingclaim kan niet naar de letter van de wet en het definitief frustreren van een andere belastingclaim valt niet binnen doel en strekking van artikel 14 Wet VPB 1969. </w:t>
      </w:r>
    </w:p>
    <w:p w:rsidR="00174971" w:rsidRDefault="00174971" w:rsidP="002E6F63">
      <w:pPr>
        <w:pStyle w:val="Heading4"/>
      </w:pPr>
      <w:bookmarkStart w:id="67" w:name="_Toc265484847"/>
      <w:r>
        <w:t>5.4.2.3 Toetsing aan fusierichtlijn door de Hoge Raad</w:t>
      </w:r>
      <w:bookmarkEnd w:id="67"/>
    </w:p>
    <w:p w:rsidR="00174971" w:rsidRDefault="00174971" w:rsidP="00B95999">
      <w:r>
        <w:t>Het is in mijn ogen zeer opvallend dat de Hoge Raad de rechtshandeling toetst aan de antimisbruikbepaling uit de fusierichtlijn, terwijl richtlijnen in beginsel geen verplichtingen aan particulieren mogen opleggen. Hieruit concludeer ik dat de Hoge Raad kennelijk van mening is dat de antimisbruikbepaling uit de Nederlandse wet dergelijk misbruik niet kan bestrijden. De Hoge Raad wil een beroep doen op de rechtstreekse werking van de fusierichtlijn, net zoals in het Kofoed-arrest. Dit volgt ook uit rechtsoverweging 37 van het Zwijnenburg-arrest:</w:t>
      </w:r>
    </w:p>
    <w:p w:rsidR="00174971" w:rsidRDefault="00174971" w:rsidP="00764BE0">
      <w:pPr>
        <w:pStyle w:val="Subtitle"/>
      </w:pPr>
      <w:r>
        <w:t>“Uit het dossier volgt dat bij gebreke van een uitdrukkelijke nationale bepaling die de Nederlandse belastingautoriteiten de mogelijkheid biedt om het voordeel van de vrijstelling van overdrachtsbelasting te weigeren in geval van een bedrijfsfusie waarbij vaststaat dat zij door de belastingplichtige in overwegende mate wordt voorgenomen om de heffing van die belasting te ontwijken, deze autoriteiten artikel 11, lid 1, sub a, van richtlijn 90/434 zodanig willen toepassen dat vennootschapsbelasting wordt geheven ter compensatie van de ontweken overdrachtsbelasting”.</w:t>
      </w:r>
    </w:p>
    <w:p w:rsidR="00174971" w:rsidRDefault="00174971" w:rsidP="00764BE0">
      <w:r>
        <w:t>Hieruit kan de conclusie worden getrokken dat de Hoge Raad van mening was dat de tekst van artikel 14, lid 4, Wet VPB 1969 tekortschiet, maar het verlenen van de faciliteit in strijd zou zijn met doel en strekking van de wet. Kennelijk had de Hoge Raad de intentie om het ontgaan van overdrachtsbelasting op te lossen in de vennootschapsbelasting met behulp van fraus legis, waardoor de faciliteit niet verleend zou worden. Opvallend is dat een beroep op strijdigheid met doel en strekking van artikel 14 Wet VPB 1969 wordt gedaan om het gemis aan overdrachtsbelasting te compenseren.</w:t>
      </w:r>
    </w:p>
    <w:p w:rsidR="00174971" w:rsidRPr="00764BE0" w:rsidRDefault="00174971" w:rsidP="00764BE0">
      <w:r>
        <w:t>Mijns inziens is het op voorhand niet duidelijk of de Hoge Raad wel het leerstuk van fraus legis naast artikel 14 Wet VPB 1969 had mogen toepassen om het doel van de richtlijn te bereiken. Dit zou strijdig kunnen zijn met de rechtszekerheid die het artikel zou moeten geven. In het volgende deel zal ik dit onderzoeken.</w:t>
      </w:r>
    </w:p>
    <w:p w:rsidR="00174971" w:rsidRPr="00967008" w:rsidRDefault="00174971" w:rsidP="00967008">
      <w:pPr>
        <w:pStyle w:val="Heading3"/>
      </w:pPr>
      <w:bookmarkStart w:id="68" w:name="_Toc265484848"/>
      <w:r>
        <w:t>5.4.3 De intentie van de wetgever voor artikel 14, lid 4, Wet VPB 1969</w:t>
      </w:r>
      <w:bookmarkEnd w:id="68"/>
    </w:p>
    <w:p w:rsidR="00174971" w:rsidRDefault="00174971" w:rsidP="003A1644">
      <w:r>
        <w:t>Naar aanleiding van het Kofoed-arrest is het duidelijk geworden dat lidstaten de faciliteit kunnen weigeren met behulp van fraus legis indien het hoofddoel of een van de hoofddoelen van de bedrijfsfusie belastingontwijking of belastingfraude is. De lidstaten kunnen zodoende een rechtstreeks beroep doen op de fusierichtlijn, indien een lidstaat deze niet heeft geïmplementeerd. Maar de vraag is of dit ook mogelijk is indien de wetgever wel een antimisbruikbepaling heeft gecodificeerd, maar deze niet gelijk is aan de bepaling in de fusierichtlijn. Gesteld zou kunnen worden dat dit niet strookt met het rechtszekerheidsbeginsel, aangezien de antimisbruikbepaling in de fusierichtlijn zo opgesteld is dat implementatie niet verplicht is.</w:t>
      </w:r>
    </w:p>
    <w:p w:rsidR="00174971" w:rsidRDefault="00174971" w:rsidP="003A1644">
      <w:pPr>
        <w:rPr>
          <w:b/>
        </w:rPr>
      </w:pPr>
      <w:r>
        <w:t>Doordat de Nederlandse wetgever een bepaling die misbruik van de bedrijfsfusiefaciliteit moet voorkomen heeft gecodificeerd, heeft hij ervoor gekozen om de antimisbruikbepaling uit de fusierichtlijn te implementeren. De Nederlandse overheid heeft derhalve de mogelijkheid die de fusierichtlijn voorzag, aangepakt en haar eigen versie in de wet opgenomen. De bedoeling van de wetgever was een bepaling in de wet op te nemen met dezelfde strekking als de fusierichtlijn. Dit blijkt uit de memorie van toelichting bij de herziening van de faciliteiten:</w:t>
      </w:r>
    </w:p>
    <w:p w:rsidR="00174971" w:rsidRDefault="00174971" w:rsidP="002A1807">
      <w:pPr>
        <w:pStyle w:val="Subtitle"/>
      </w:pPr>
      <w:r>
        <w:t>“In de voorgestelde regeling is de antimisbruik-bepaling geherformuleerd, waarbij de richtlijn is vertaald zodat deze kan worden ingepast in de Nederlandse wetgeving.”</w:t>
      </w:r>
      <w:r>
        <w:rPr>
          <w:rStyle w:val="FootnoteReference"/>
        </w:rPr>
        <w:footnoteReference w:id="156"/>
      </w:r>
      <w:r>
        <w:t>.</w:t>
      </w:r>
    </w:p>
    <w:p w:rsidR="00174971" w:rsidRDefault="00174971" w:rsidP="003A1644">
      <w:r>
        <w:t>Weliswaar ging het in dit citaat van de staatssecretaris om de aandelenfusiefaciliteit, maar de antimisbruikbepaling hierbij is vergelijkbaar met de bepaling uit artikel 14, lid 4, Wet VPB 1969. Uit dit citaat blijkt dat de wetgever getracht heeft niet af te wijken van het doel van de antimisbruikbepaling uit de richtlijn, door gebruik te maken van het woord ‘vertaald’. Het was de bedoeling dat de strekking gelijk zou zijn met die van de fusierichtlijn. Mijns inziens was de enige reden om dit begrip niet op te nemen in artikel 14, lid 4, Wet VPB 1969, dat het begrip belastingontwijking in de ogen van de staatssecretaris niet toepasbaar is in de Nederlandse wetgeving. Hieruit volgt dat het de bedoeling was dat de antimisbruikbepaling uit de nationale wet een gelijke reikwijdte zou hebben als de antimisbruikbepaling uit de fusierichtlijn. Dat de staatssecretaris verklaart dat de term belastingontwijking is vertaald met het ontgaan en uitstellen van belastingheffing</w:t>
      </w:r>
      <w:r>
        <w:rPr>
          <w:rStyle w:val="FootnoteReference"/>
        </w:rPr>
        <w:footnoteReference w:id="157"/>
      </w:r>
      <w:r>
        <w:t xml:space="preserve">, bevestigt dit standpunt. Immers ook in deze situatie maakt hij gebruik van het woord ‘vertaald’. Uit deze parlementaire behandeling concludeer ik dat de wetgever heeft getracht om de Europese antimisbruikbepaling in artikel 14, lid 4, Wet VPB 1969 volledig en uitputtend te implementeren. </w:t>
      </w:r>
    </w:p>
    <w:p w:rsidR="00174971" w:rsidRDefault="00174971" w:rsidP="003A1644">
      <w:r>
        <w:t>Hierdoor rijst de vraag hoe moet worden omgegaan met een eventuele belastingbesparende constructie die wel onder het begrip belastingontwijking, maar niet onder het ontgaan of uitstellen van belastingheffing kan worden geschaard. Een dergelijke situatie had de Hoge Raad voor ogen in het Zwijnenburg-arrest.</w:t>
      </w:r>
    </w:p>
    <w:p w:rsidR="00174971" w:rsidRDefault="00174971" w:rsidP="00B43FCC">
      <w:r>
        <w:t>Mijns inziens kan de fiscus in deze gevallen geen beroep doen op het leerstuk van fraus legis, omdat de staatssecretaris in zijn rol als wetgever heeft getracht om de fusierichtlijn volledig te implementeren. Als achteraf zou blijken dat hij dit niet juist heeft gedaan, zou het niet correct zijn om zijn fout te verbeteren met behulp van fraus legis. Indien een constructie niet bestreden kan worden met artikel 14, lid 4, Wet VPB 1969 maar dit wel zou kunnen met artikel 15 Fusierichtlijn is de wetgever mijns inziens onzorgvuldig geweest bij het vertalen van de richtlijn naar de wet. Het doel was immers om de antimisbruikbepaling uit de richtlijn volledig en uitputtend te implementeren. Hierdoor kan er redelijkerwijs vanuit worden gegaan dat de wetgever bij het vertalen van het Europese begrip belastingontwijking alle mogelijke gevallen die hieronder vallen, heeft willen bestrijden met de Nederlandse bepaling. Op dit punt raakt deze problematiek de in paragraaf 2.4 genoemde situatie dat wetgever voor de hand liggende ontgaansmogelijkheden had moeten uitsluiten, omdat hij het misbruik had moeten voorzien. Weliswaar dat concrete ontgaansmogelijkheden niet voor de hand liggen, maar toch was de wetgever zich bewust van het risico op het moment dat hij het begrip belastingontwijking niet letterlijk heeft geïmplementeerd in de Nederlandse wet.</w:t>
      </w:r>
    </w:p>
    <w:p w:rsidR="00174971" w:rsidRDefault="00174971" w:rsidP="005D3004">
      <w:r>
        <w:t>Concluderend stel ik dat de fiscus in deze gevallen naar mijn mening geen beroep kan doen op het leerstuk van fraus legis, aangezien de wetgever onzorgvuldig is geweest met het implementeren van artikel 15, lid 1, onderdeel a, Fusierichtlijn. Dergelijke rechtshandelingen had de wetgever moeten voorzien, aangezien de richtlijn dit misbruik wel bestrijdt.</w:t>
      </w:r>
    </w:p>
    <w:p w:rsidR="00174971" w:rsidRDefault="00174971" w:rsidP="005D3004">
      <w:pPr>
        <w:pStyle w:val="Heading2"/>
      </w:pPr>
      <w:bookmarkStart w:id="69" w:name="_Toc265484849"/>
      <w:r>
        <w:t>5.5 Conclusie</w:t>
      </w:r>
      <w:bookmarkEnd w:id="69"/>
    </w:p>
    <w:p w:rsidR="00174971" w:rsidRDefault="00174971" w:rsidP="00F744E5">
      <w:r>
        <w:t>In dit hoofdstuk heb ik een analyse gemaakt van de toepasbaarheid van fraus legis naast de antimisbruikbepaling in nationale wet. Bij deze problematiek speelt de antimisbruikbepaling uit de fusierichtlijn een belangrijke rol. Eerst heb ik onderzocht</w:t>
      </w:r>
      <w:r w:rsidRPr="00796165">
        <w:t xml:space="preserve"> </w:t>
      </w:r>
      <w:r>
        <w:t>of misbruik van het communautair recht enkel bestreden kan worden met behulp van antimisbruikwetgeving, of dat er in het EG-recht een vergelijkbaar beginsel bestaat als het Nederlandse fraus legis. Het Hof van Justitie heeft overwogen dat er inderdaad een algemeen beginsel van gemeenschapsrecht bestaat, dat bewerkstelligt dat rechtsmisbruik verboden is. Dit beginsel houdt in dat in zijn algemeenheid geen gebruik kan worden gemaakt van het gemeenschapsrecht in gevallen van fraude en misbruik. In een mededeling heeft de Europese Commissie duidelijk gemaakt dat sprake is van misbruik indien het doel van een regeling niet wordt behaald en het voornemen aanwezig was om een voordeel te krijgen door middel van kunstmatig handelen, ondanks dat het Europese recht formeel wordt nageleefd. Artikel 15, lid 1, onderdeel a, Fusierichtlijn is een weerspiegeling van het verbod tot rechtsmisbruik. Met behulp van het Hof van Justitie kan daardoor vastgesteld worden dat dit de enige mogelijkheid is om de faciliteit uit de fusierichtlijn te weigeren. Hieruit volgt dat indien de faciliteit niet geweigerd kan worden opgrond van dit antimisbruikartikel, het algemene Europese verbod tot rechtsmisbruik geen additioneel middel is om een bedrijfsfusie tegen te gaan.</w:t>
      </w:r>
    </w:p>
    <w:p w:rsidR="00174971" w:rsidRDefault="00174971" w:rsidP="00796165">
      <w:r>
        <w:t>Vervolgens heb ik onderzocht wat de verhouding is tussen het Europese begrip belastingontwijking en het leerstuk van fraus legis. Bewust heb ik daarbij het andere begrip uit de antimisbruikbepaling van de fusierichtlijn, belastingfraude, buiten beschouwing gelaten. Belastingfraude zal immers nooit bestreden kunnen worden met fraus legis. Uit jurisprudentie van het Hof van Justitie is duidelijk geworden dat lidstaten rechtstreeks een beroep kunnen doen op de richtlijn, indien ze een bepaling of een algemeen beginsel kennen dat rechtsmisbruik verbiedt. De verhouding tussen belastingontwijking en de bestrijding van misbruik met fraus legis is van belang omdat dan duidelijk wordt of Nederland zich in gevallen van misbruik met succes kan beroepen op het leerstuk. Na de vergelijking tussen de vereisten om te voldoen aan de kwalificatie belastingontduiking en de vereisten om fraus legis toe te passen, bleek dat er veel overeenkomsten tussen beide zijn en slechts subtiele verschillen. Zo heb ik beargumenteerd dat voor belastingontwijking noodzakelijkerwijs sprake moet zijn van strijdigheid met doel en strekking van de wet. Op dat vlak is dus geen verschil tussen beide te ontdekken. Wel moet in de gevallen van belastingontwijking in Europese zin sprake zijn van een volstrekt kunstmatige constructie. Dit is niet noodzakelijk om een constructie met fraus legis te kunnen bestrijden. Daarentegen is het motiefvereiste voor fraus legis, ‘in overwegende mate’, enigszins stringenter dan ‘hoofddoel of een der hoofddoelen’ uit de fusierichtlijn. Uit de vergelijking kan zodoende niet geconcludeerd worden dat een van beide begrippen een grotere reikwijdte hebben. Het is wel duidelijk geworden dat ze op veel punten gelijkenissen bevatten en slechts in uitzonderingssituaties verschillen.</w:t>
      </w:r>
    </w:p>
    <w:p w:rsidR="00174971" w:rsidRDefault="00174971" w:rsidP="00F744E5">
      <w:r>
        <w:t>Na de vergelijking van fraus legis met de Europese regelgeving, heb ik het leerstuk vergeleken met de Nederlandse antimisbruikbepaling. Zoals al uit hoofdstuk vier is duidelijk geworden, is deze bepaling niet gelijk aan de antimisbruikbepaling uit de fusierichtlijn en zal derhalve onafhankelijk getoetst moeten worden. Uit deze vergelijking is gebleken dat het motiefvereiste voor fraus legis gelijk is aan het in artikel 14, lid 4, Wet VPB 1969 genoemde ‘in overwegende mate’. De vergelijking tussen het normvereiste en het uitstellen of ontgaan van belastingheffing heeft ook veel overeenkomsten. Strijdigheid met doel en strekking van de wet is immers aanwezig indien een bedrijfsfusie is aangegaan op grond van fiscale voordelen en naar mijn mening heeft elk fiscaal voordeel verband met het ontgaan of uitstellen van belastingheffing. Een verschil kan wel gelegen zijn in het soort belasting waar artikel 14 Wet VPB 1969 op ziet en het soort belasting dat bedoeld wordt met het begrip ‘belastingheffing’ in de antimisbruikbepaling. In de antimisbruikbepaling wordt geen onderscheid gemaakt, terwijl naar doel en strekking van het artikel enkel het ontgaan of uitstellen van belastingheffing over de meerwaarden in de lichamen betrokken bij de bedrijfsfusie moet worden voorkomen. In het Zwijnenburg-arrest is het duidelijk geworden dat de fusierichtlijn restrictief moet worden geïnterpreteerd en dat alleen het ontwijken van een belasting die onder de richtlijn valt een rechtvaardigingsgrond is om de bedrijfsfusiefaciliteit te weigeren. Tevens heeft het Hof van Justitie bepaald dat de antimisbruikbepaling bedoeld is en zo opgesteld is dat een lidstaat zijn eigen belastingclaim kan beschermen. Een weigering van de faciliteit om de reden dat een andere belasting wordt ontgaan, zou verder gaan dan nodig is om dit doel te bereiken. Naar aanleiding van dit arrest heb ik geconcludeerd het Nederlandse begrip ‘belastingheffing’ alleen maar betrekking heeft op de Nederlandse vennootschapsbelasting verschuldigd over de stille en fiscale reserves van de lichamen betrokken bij de bedrijfsfusie. Dit heeft als gevolg dat ook het normvereiste voor fraus legis overeenstemt met artikel 14, lid 4, Wet VPB 1969. Fraus legis heeft zodoende geen breder bereik dan het antimisbruikartikel en geeft de fiscus niet een additioneel middel om misbruik tegen te gaan.</w:t>
      </w:r>
    </w:p>
    <w:p w:rsidR="00174971" w:rsidRDefault="00174971" w:rsidP="00F744E5">
      <w:r>
        <w:t>Daarnaast heb ik onderzocht of de fiscus op grond van de meerwegenleer een beroep kan doen op fraus legis. Dit kan indien belastingclaims willekeurig en definitief worden gefrustreerd door het invoegen van rechtshandelingen die geen zakelijke functie hebben. Deze definitie impliceert al dat de fiscus nooit de meerwegenleer kan toepassen bij bedrijfsfusies. Een bedrijfsfusiefaciliteit mag namelijk naar de letter van de wet nooit worden verleend indien een vennootschapsbelastingclaim definitief wordt gefrustreerd. Tevens heb ik al gemotiveerd dat het ontgaan van een andere belasting niet binnen de reikwijdte valt van artikel 14 Wet VPB 1969 en daardoor het verlenen van een faciliteit niet kan frustreren. De fiscus kan het leerstuk van fraus legis niet toepassen op grond van de meerwegenleer.</w:t>
      </w:r>
    </w:p>
    <w:p w:rsidR="00174971" w:rsidRDefault="00174971" w:rsidP="00F744E5">
      <w:r>
        <w:t>Ten slotte heb ik onderzocht of het mogelijk is om fraus legis naast artikel 14, lid 4, Wet VPB 1969 toe te passen, met het oog op het rechtszekerheidbeginsel. Ik ben van mening dat dit niet mogelijk is, omdat de Nederlandse wetgever ervoor heeft gekozen om de antimisbruikbepaling te codificeren. De tekst van de fusierichtlijn is opgesteld op een manier dat dit een keuze voor de lidstaat is en dit impliceert dat bijvoorbeeld een gedeeltelijke implementatie ook mogelijk is. Tevens heeft de staatssecretaris verklaard dat hij de bedoeling had om de antimisbruikbepaling te vertalen in de Nederlandse wet en dus de antimisbruikbepaling uit de fusierichtlijn volledig wilde implementeren. Bij enige verschillen tussen beide bepalingen is de wetgever onzorgvuldig geweest. Mijns inziens mag de fiscus zich niet beroepen op de fusierichtlijn om de fouten van de wetgever te verbeteren. Indien mogelijke situaties kunnen voorkomen is de wetgever niet volledig geweest en had hij deze constructies moeten voorzien, waardoor een beroep op fraus legis niet mogelijk is.</w:t>
      </w:r>
    </w:p>
    <w:p w:rsidR="00174971" w:rsidRDefault="00174971">
      <w:pPr>
        <w:spacing w:line="276" w:lineRule="auto"/>
      </w:pPr>
      <w:r>
        <w:br w:type="page"/>
      </w:r>
    </w:p>
    <w:p w:rsidR="00174971" w:rsidRDefault="00174971" w:rsidP="00577051">
      <w:pPr>
        <w:pStyle w:val="Heading1"/>
      </w:pPr>
      <w:bookmarkStart w:id="70" w:name="_Toc265484850"/>
      <w:r w:rsidRPr="00701FE1">
        <w:t>6</w:t>
      </w:r>
      <w:r>
        <w:t xml:space="preserve"> Samenvatting en conclusie</w:t>
      </w:r>
      <w:bookmarkEnd w:id="70"/>
      <w:r w:rsidRPr="00701FE1">
        <w:t xml:space="preserve"> </w:t>
      </w:r>
    </w:p>
    <w:p w:rsidR="00174971" w:rsidRDefault="00174971" w:rsidP="00577051">
      <w:r>
        <w:t>Om misbruik van de bedrijfsfusiefaciliteit te voorkomen heeft de Nederlandse overheid een antimisbruikbepaling in de wet opgenomen in artikel 14, lid 4, Wet VPB 1969. Dit onderzoek heeft zich toegespitst op de vraag of de fiscus, naast deze wettelijke bepaling, het leerstuk van fraus legis kan toepassen om misbruik van de bedrijfsfusiefaciliteit te voorkomen. Indien dit niet mogelijk is, dan zijn belastingplichtigen zeker van de faciliteit indien ze de toets uit artikel 14, lid 4, Wet VPB 1969 zijn gepasseerd. Centraal in dit onderzoek stond derhalve de vraag:</w:t>
      </w:r>
    </w:p>
    <w:p w:rsidR="00174971" w:rsidRDefault="00174971" w:rsidP="00577051">
      <w:pPr>
        <w:pStyle w:val="Subtitle"/>
      </w:pPr>
      <w:r w:rsidRPr="001E312D">
        <w:t>In hoeverre kan de fiscus, complementair aan de bestaande regels uit artikel 14, lid 4</w:t>
      </w:r>
      <w:r>
        <w:t>,</w:t>
      </w:r>
      <w:r w:rsidRPr="001E312D">
        <w:t xml:space="preserve"> Wet op de vennootschapsbelasting</w:t>
      </w:r>
      <w:r>
        <w:t xml:space="preserve"> 1969,</w:t>
      </w:r>
      <w:r w:rsidRPr="001E312D">
        <w:t xml:space="preserve"> zich beroepen op het leerstuk van fraus legis </w:t>
      </w:r>
      <w:r>
        <w:t>om</w:t>
      </w:r>
      <w:r w:rsidRPr="001E312D">
        <w:t xml:space="preserve"> </w:t>
      </w:r>
      <w:r>
        <w:t xml:space="preserve">fiscaal opgezette </w:t>
      </w:r>
      <w:r w:rsidRPr="001E312D">
        <w:t>constructies</w:t>
      </w:r>
      <w:r w:rsidRPr="00D03217">
        <w:t xml:space="preserve"> </w:t>
      </w:r>
      <w:r>
        <w:t>die</w:t>
      </w:r>
      <w:r w:rsidRPr="001E312D">
        <w:t xml:space="preserve"> </w:t>
      </w:r>
      <w:r>
        <w:t xml:space="preserve">met </w:t>
      </w:r>
      <w:r w:rsidRPr="001E312D">
        <w:t xml:space="preserve">behulp van </w:t>
      </w:r>
      <w:r>
        <w:t xml:space="preserve">de </w:t>
      </w:r>
      <w:r w:rsidRPr="001E312D">
        <w:t>bedrijfsfusie</w:t>
      </w:r>
      <w:r>
        <w:t>faciliteit belastingheffing ontwijken, te bestrijden</w:t>
      </w:r>
      <w:r w:rsidRPr="001E312D">
        <w:t>?</w:t>
      </w:r>
    </w:p>
    <w:p w:rsidR="00174971" w:rsidRDefault="00174971" w:rsidP="00577051">
      <w:r>
        <w:t>Met behulp van deze vraag heb ik willen onderzoeken hoever de overheid kan gaan om misbruik van de bedrijfsfusiefaciliteit te bestrijden. Het is algemeen bekend dat niet alle belastingbesparende constructies bestreden kunnen worden. Het uitgangspunt bij de mogelijkheid tot misbruikbestrijding is de afweging tussen de bedoeling van een wet en de rechtszekerheid die een belastingplichtige uit de wet haalt. Om een gedegen antwoord te kunnen geven op mijn onderzoeksvraag ben ik gestart met het definiëren van het leerstuk van fraus legis. Vervolgens heb ik de toepassing van fraus legis bij andere antimisbruikbepalingen in de Wet VPB 1969 onderzocht. Daarna heb ik de Nederlandse bedrijfsfusiefaciliteit en de daarbij horende antimisbruikbepaling nauwkeurig bekeken. Vanwege de sterke samenhang heb ik hierbij ook de Europese fusierichtlijn uitgebreid beschreven. Ten slotte heb ik de analyse uitgevoerd die tot een beantwoording van mijn onderzoeksvraag moest leiden.</w:t>
      </w:r>
    </w:p>
    <w:p w:rsidR="00174971" w:rsidRDefault="00174971" w:rsidP="00577051">
      <w:r>
        <w:t>Het leerstuk van fraus legis kan toegepast worden om wetsontduiking te bestrijden. De verschillende manieren van interpretatie van de wettekst speelt hierbij een belangrijke rol. Indien een belastingplichtige naar de letter van de wet wel correct, maar naar een teleologische benadering van de wet niet correct handelt, zal de fiscus dergelijke constructies als ongewenst aanmerken. Dergelijk gedrag is immers niet in lijn met doel en strekking van de wet. Aan de andere kant zal de belastingplichtige zich willen beroepen op het legaliteitsbeginsel uit de grondwet, dat vereist dat belastingplichtigen uit de wet moeten kunnen afleiden wat de fiscale verplichtingen zijn waaraan zij moeten voldoen. Al in het eerste deel van de 20</w:t>
      </w:r>
      <w:r w:rsidRPr="007269CC">
        <w:rPr>
          <w:vertAlign w:val="superscript"/>
        </w:rPr>
        <w:t>e</w:t>
      </w:r>
      <w:r>
        <w:t xml:space="preserve"> eeuw heeft de wetgever getracht om dergelijk wetsontduikend gedrag te voorkomen, door het leerstuk ter bevordering van richtige heffing te codificeren. Het leerstuk staat nu nog steeds in hoofdstuk VI van de AWR, maar heeft geen wezenlijke functie meer aangezien het Ministerie van Financiën de wettelijk vereiste machtiging niet meer afgeeft. Dit is het gevolg van het feit dat het leerstuk van richtige heffing is voorbijgestreefd door het leerstuk van fraus legis. De oorzaak hiervan is dat procedure voor het toepassen van richtige heffing ingewikkelder en tijdrovender is dan de procedure voor het inroepen van fraus legis. Tevens kunnen rechtshandelingen door de toepassing van fraus legis worden getransformeerd naar de gewenste situatie, terwijl het leerstuk van richtige heffing een rechtshandeling slechts kan negeren. Hierdoor kunnen onbelaste rechtshandelingen worden omgezet in belaste rechtshandelingen. Het leerstuk van fraus legis kan door de fiscus worden toegepast indien belastingbesparing het overwegende motief voor een constructie is (motiefvereiste) en deze constructie weliswaar in lijn is met de wettekst, maar in strijd is met doel en strekking van dezelfde wetgeving (normvereiste). Er moet dus cumulatief voldaan zijn aan het motiefvereiste en het normvereiste. Een bijzondere rol is hierbij weggelegd voor de door de Hoge Raad ontwikkelde meerwegenleer. Deze leer houdt in dat de fiscus zich ook kan beroepen op fraus legis indien het motief voor een doel zakelijk is, maar dit doel bereikt wordt via een onzakelijke weg. Ik heb geconcludeerd dat deze leer alleen toegepast kan worden indien een belastingclaim willekeurig en definitief wordt gefrustreerd. Belangrijk is daarnaast dat ik een aantal gevallen heb onderscheiden wanneer de fiscus geen fraus legis mag toepassen om ongewenste constructies te bestrijden. Dit kan zijn indien de wetgever op de hoogte was van de mogelijkheid om de wet te ontduiken tijdens de parlementaire behandeling. Ook indien hij een mogelijkheid tot wetsontduiking later opmerkt maar vervolgens geen actie hiertegen onderneemt, kan de fiscus fraus legis niet toepassen. Daarnaast kan fraus legis niet worden ingeroepen indien de wetgever de wetsontduiking redelijkerwijs had moeten voorzien. Ten slotte kan fraus legis geen toepassing vinden indien de mogelijkheid om belasting te ontgaan inherent is aan de systematiek van de desbetreffende wet.</w:t>
      </w:r>
    </w:p>
    <w:p w:rsidR="00174971" w:rsidRDefault="00174971" w:rsidP="00577051">
      <w:r>
        <w:t>In het verleden heeft de fiscus met succes gebruik gemaakt van het leerstuk van fraus legis, toen een belastingplichtige in strijd handelde met doel en strekking van artikel 10a Wet VPB 1969. Dit artikel is te bestempelen als een antimisbruikbepaling. In het algemeen kenmerken deze artikelen zich doordat ze gedetailleerd zijn opgesteld en een uitzondering vormen op een hoofdregel. Deze eigenschappen hebben tot gevolg dat antimisbruikartikelen vaak restrictief uitgelegd moeten worden, waardoor weinig ruimte is voor de toepassing van fraus legis. De fiscus kon in de betreffende casus met succes een beroep doen op fraus legis bij artikel 10a Wet VPB 1969 aangezien de wetgever zich tijdens het wetgevingsproces niet bewust was van de gebruikte mogelijkheid om de wet te ontduiken. Ik heb hieruit geconcludeerd dat fraus legis ook van waarde kan zijn voor de fiscus, ook al bestaat er gedetailleerde wetgeving om misbruik te voorkomen.</w:t>
      </w:r>
    </w:p>
    <w:p w:rsidR="00174971" w:rsidRDefault="00174971" w:rsidP="00577051">
      <w:r>
        <w:t xml:space="preserve">De bedrijfsfusiefaciliteit is in de wet gekomen met als doel een commerciële bedrijfsfusie niet te laten frustreren door fiscale aspecten. Zonder faciliteit zou immers afgerekend moeten worden over de eventuele stille en fiscale reserves bij de overdrager. Dit zou lichamen kunnen beletten om een bedrijfsfusie door te zetten. Het huidige artikel 14 Wet VPB 1969 heeft zijn huidige vorm voor een groot deel te danken aan de Europese fusierichtlijn. Uit het Leur-Bloem-arrest is gebleken dat belastingplichtigen ook bij nationale fusies recht mogen ontlenen aan de richtlijn omdat artikel 14 Wet VPB 1969 gebaseerd is op de fusierichtlijn. De wetgever heeft ervoor gekozen om de fusierichtlijn niet letterlijk te implementeren in de Nederlandse wet. Door deze afwijkingen bestaat er geen consensus omtrent de vraag of de Nederlandse bepaling in lijn is met de fusierichtlijn. Opvallende verschillen tussen beide regelingen betreffen de bepalingen die misbruik van de faciliteit moeten beperken. Zo weigert artikel 14 Wet VPB 1969 de faciliteit indien de bedrijfsfusie </w:t>
      </w:r>
      <w:r w:rsidRPr="00D244DC">
        <w:rPr>
          <w:i/>
        </w:rPr>
        <w:t>in overwegende mate is gericht op het ontgaan of uitstellen van belasting</w:t>
      </w:r>
      <w:r>
        <w:rPr>
          <w:i/>
        </w:rPr>
        <w:t>heffing</w:t>
      </w:r>
      <w:r>
        <w:t xml:space="preserve">. Artikel 15, lid 1, onderdeel a, Fusierichtlijn geeft daarentegen lidstaten de mogelijkheid om de voordelen van de richtlijn terug te nemen indien </w:t>
      </w:r>
      <w:r w:rsidRPr="00D244DC">
        <w:rPr>
          <w:i/>
        </w:rPr>
        <w:t>het hoofddoel of een der hoofddoelen van de bedrijfsfusie belastingfraude of belastingontwijking is</w:t>
      </w:r>
      <w:r>
        <w:t>. Dit verschil veroorzaakt strijdigheid met het communautaire recht indien de Nederlandse antimisbruikbepaling breder bereik heeft dan de Europese bepaling. Helaas zijn nog geen prejudiciële vragen gesteld over mogelijke strijdigheid van de Nederlandse antimisbruikbepaling met de fusierichtlijn. Onlangs is wel duidelijk geworden dat de antimisbruikbepaling uit de richtlijn eng moet worden uitgelegd en dat daardoor enkel belastingen die binnen de werkingssfeer van de fusierichtlijn vallen moeten worden getoetst aan artikel 15, lid 1, onderdeel a, Fusierichtlijn.</w:t>
      </w:r>
    </w:p>
    <w:p w:rsidR="00174971" w:rsidRDefault="00174971" w:rsidP="00577051">
      <w:r>
        <w:t xml:space="preserve">Het Europese recht kent het beginsel van het verbod tot rechtsmisbruik. De doelstelling van dit beginsel is dat in gevallen van misbruik geen voordelen van het communautaire recht mogen worden genoten. Artikel 15, lid 1, onderdeel a, Fusierichtlijn is een weerspiegeling van het verbod tot rechtsmisbruik, aldus het Hof van Justitie. De conclusie die ik hier uit heb getrokken is dat dit in beginsel geen werking heeft naast de bepalingen uit de fusierichtlijn. Een belastingplichtige moet er op grond van rechtszekerheid van uit kunnen gaan dat het antimisbruikbepaling uit de fusierichtlijn in Europees opzicht de enige weigeringsgrond voor het verlenen van de bedrijfsfusie is. Voor een verdere bespreking van misbruikbestrijding bij bedrijfsfusies speelt het Europese verbod tot rechtsmisbruik geen rol. </w:t>
      </w:r>
    </w:p>
    <w:p w:rsidR="00174971" w:rsidRDefault="00174971" w:rsidP="00577051">
      <w:r>
        <w:t>Zowel de antimisbruikbepaling in de nationale wet als die in de fusierichtlijn als het leerstuk van fraus legis hebben als doel om misbruikconstructies te bestrijden. In veel situaties zullen ze elkaar overlappen. In die gevallen zal de wettelijke antimisbruikbepaling van toepassing zijn. De Europese antimisbruikbepaling van artikel 15, lid 1, onderdeel a, Fusierichtlijn heeft een ruimer bereik dan het leerstuk van fraus legis. Dit is niet in de laatste plaats de oorzaak van het feit dat de fusierichtlijn ook toestaat om de faciliteit te weigeren indien sprake is van belastingfraude. Ik heb betoogd dat bij belastingfraude fraus legis geen rol kan spelen, daarom heb ik dit begrip niet meegenomen in mijn analyse. Het Europese begrip belastingontwijking uit de fusierichtlijn heeft een reikwijdte die in grote mate overeenkomt met de reikwijdte van fraus legis, er zijn slechts marginale verschillen te ontdekken. Een daarvan is dat voor de kwalificatie van belastingontwijking sprake moet zijn van een volstrekt kunstmatige constructie, dit is niet noodzakelijk voor de fiscus om een beroep te doen op fraus legis. Daarentegen is het motiefvereiste wat nodig is voor de fiscus om fraus legis in te roepen enigszins stringenter dan het motief dat minimaal nodig is om een fusie te weigeren op grond van de fusierichtlijn. Het gaat hierbij om het verschil tussen ‘in overwegende mate’ versus ‘hoofddoelen of een der hoofddoelen’. Uit deze vergelijking volgt dat de Nederlandse fiscus in beginsel een beroep kan doen op het leerstuk van fraus legis om misbruik van de bedrijfsfusiefaciliteit te voorkomen. Enkel in de gevallen dat een van de hoofddoelen van een constructie het ontwijken van belasting was maar dit niet het overwegende doel van de constructie was, kan fraus legis geen toepassing vinden.</w:t>
      </w:r>
    </w:p>
    <w:p w:rsidR="00174971" w:rsidRDefault="00174971" w:rsidP="00577051">
      <w:r>
        <w:t xml:space="preserve">De verschillen tussen de tekst van artikel 14, lid 4, Wet VPB 1969 en artikel 15, lid 1, onderdeel a, Fusierichtlijn nopen ertoe om ook de nationale antimisbruikbepaling te vergelijken met fraus legis. De term belastingheffing uit artikel 14, lid 4, Wet VPB 1969 speelt een belangrijke rol hierin. Ik heb aan de hand van jurisprudentie van het Hof van Justitie gemotiveerd dat het begrip belastingheffing alleen betrekking kan hebben op de Nederlandse vennootschapsbelasting die zonder toepassing van de faciliteit verschuldigd zou zijn. Dit komt overeen met doel en strekking van de bedrijfsfusiefaciliteit, het idee dat de afrekening over stille en fiscale reserves geen struikelblok mogen vormen voor het aangaan van een bedrijfsfusie. Andere belastingen spelen hierbij geen rol. Het motiefvereiste dat nodig is voor de toepassing van fraus legis is gelijk met de tekst van de antimisbruikbepaling bij de bedrijfsfusiefaciliteit. In beide gevallen wordt immers gesproken van een ‘in overwegende mate’ motief. Uit deze vergelijking kan de conclusie worden getrokken dat fraus legis een overeenkomstig bereik heeft als het antimisbruikartikel uit artikel 14, lid 4, Wet VPB 1969. </w:t>
      </w:r>
    </w:p>
    <w:p w:rsidR="00174971" w:rsidRDefault="00174971" w:rsidP="00577051">
      <w:r>
        <w:t>Om volledig te kunnen zijn met de beoordeling of fraus legis volledig overeenkomt met de antimisbruikbepaling uit de bedrijfsfusiefaciliteit, heb ik ook de door de Hoge Raad ontwikkelde meerwegenleer bestudeerd. Hieruit is gebleken dat bij misbruik van de bedrijfsfusiefaciliteit, fraus legis op grond van de meerwegenleer ook geen toepassing kan vinden. Voorwaarde voor deze leer is immers dat een belastingclaim willekeurig en definitief gefrustreerd wordt en dat het resultaat in strijd met doel en strekking van de wet is. Om de bedrijfsfusiefaciliteit te verkrijgen moet de latere heffing van de vennootschapsbelasting juist verzekerd zijn. Een juiste toepassing van de wet voorkomt dus per definitie het definitief frustreren van vennootschapsbelasting. Daarnaast heb ik betoogd dat het frustreren van een andere soort belasting niet onder de werkingssfeer van de fusierichtlijn valt. Dit impliceert dat het ontgaan van een andere belastingclaim niet binnen doel en strekking van artikel 14 Wet VPB 1969 valt en zodoende niet bestreken kan worden met fraus legis.</w:t>
      </w:r>
    </w:p>
    <w:p w:rsidR="00174971" w:rsidRDefault="00174971" w:rsidP="00577051">
      <w:r>
        <w:t>Naar aanleiding van het Zwijnenburg-arrest is duidelijk geworden dat de Hoge Raad van mening was dat het ontwijken van overdrachtsbelasting niet binnen de reikwijdte van artikel 14, lid 4, Wet VPB 1969 valt. Toch wilde zij de bedrijfsfusiefaciliteit niet verlenen en wilde hiervoor via het leerstuk van fraus legis een beroep doen op de Europese fusierichtlijn. Ik ben van mening dat de fiscus geen beroep had mogen doen op het leerstuk van fraus legis naast het antimisbruikartikel. De Nederlandse wetgever heeft immers de keuze gemaakt om de antimisbruikbepaling uit de fusierichtlijn te vertalen in artikel 14, lid 4, Wet VPB 1969. Het doel van deze vertaling was dat er geen onderscheid zou zijn tussen de Nederlandse wet en de fusierichtlijn op dit gebied. Als mogelijk toch een verschil opdoemt, is dit te wijten aan onzorgvuldig handelen van de overheid. Bij de keuze om de richtlijn niet letterlijk te interpreteren, acht ik dat de wetgever bewust was van eventuele risico’s van afwijking van de fusierichtlijn. Doordat de wetgever dit had moeten voorzien, mag de fiscus deze fouten niet repareren door het leerstuk van fraus legis toe te passen.</w:t>
      </w:r>
    </w:p>
    <w:p w:rsidR="00174971" w:rsidRDefault="00174971" w:rsidP="00577051">
      <w:r>
        <w:t>Concluderend volgt uit dit onderzoek dat artikel 14, lid 4, Wet VPB 1969 de enige mogelijkheid is voor de Nederlandse fiscus om de bedrijfsfusiefaciliteit te weigeren. Dit artikel is zo ruim opgesteld dat het in veel gevallen belastingbesparende constructies zal tegengaan. Door deze ruime definiëring van het antimisbruikartikel heeft het leerstuk van fraus legis geen wezenlijke functie meer in deze gevallen. Fraus legis wordt volledig overlapt door artikel 14, lid 4, Wet VPB 1969. Ook als een constructie wel bestreden wordt door de Europese antimisbruikbepaling maar niet binnen het bereik van de Nederlandse antimisbruikbepaling valt, kan de fiscus fraus legis niet inzetten als laatste redmiddel.</w:t>
      </w:r>
    </w:p>
    <w:p w:rsidR="00174971" w:rsidRDefault="00174971" w:rsidP="00577051">
      <w:r>
        <w:t>Het antwoord op mijn onderzoeksvraag is dat de fiscus in geen enkel geval gebruik kan maken van het leerstuk van fraus legis complementair aan de antimisbruikbepaling uit artikel 14, lid 4, Wet VPB 1969.</w:t>
      </w:r>
    </w:p>
    <w:p w:rsidR="00174971" w:rsidRDefault="00174971">
      <w:pPr>
        <w:spacing w:after="200" w:line="276" w:lineRule="auto"/>
      </w:pPr>
      <w:r>
        <w:br w:type="page"/>
      </w:r>
    </w:p>
    <w:p w:rsidR="00174971" w:rsidRPr="00762B74" w:rsidRDefault="00174971" w:rsidP="0086207C">
      <w:pPr>
        <w:pStyle w:val="Heading1"/>
      </w:pPr>
      <w:bookmarkStart w:id="71" w:name="_Toc265484851"/>
      <w:r w:rsidRPr="00762B74">
        <w:t>Literatuurlijst</w:t>
      </w:r>
      <w:bookmarkEnd w:id="71"/>
    </w:p>
    <w:p w:rsidR="00174971" w:rsidRPr="00762B74" w:rsidRDefault="00174971" w:rsidP="00AD525E">
      <w:pPr>
        <w:spacing w:before="360"/>
        <w:rPr>
          <w:b/>
          <w:i/>
        </w:rPr>
      </w:pPr>
      <w:r w:rsidRPr="00762B74">
        <w:rPr>
          <w:b/>
          <w:i/>
        </w:rPr>
        <w:t>Jurisprudentie Hof van Justitie EG (inclusief conclusies)</w:t>
      </w:r>
    </w:p>
    <w:p w:rsidR="00174971" w:rsidRPr="00762B74" w:rsidRDefault="00174971" w:rsidP="0086207C">
      <w:pPr>
        <w:pStyle w:val="FootnoteText"/>
        <w:numPr>
          <w:ilvl w:val="0"/>
          <w:numId w:val="11"/>
        </w:numPr>
        <w:spacing w:line="360" w:lineRule="auto"/>
        <w:rPr>
          <w:sz w:val="22"/>
          <w:szCs w:val="22"/>
        </w:rPr>
      </w:pPr>
      <w:r w:rsidRPr="00762B74">
        <w:rPr>
          <w:color w:val="000000"/>
          <w:sz w:val="22"/>
          <w:szCs w:val="22"/>
        </w:rPr>
        <w:t xml:space="preserve">HvJ EG 21 september 1983, gevoegde zaken 205/82-215/82 (Deutsche Milchkontor), </w:t>
      </w:r>
      <w:r w:rsidRPr="00762B74">
        <w:rPr>
          <w:i/>
          <w:color w:val="000000"/>
          <w:sz w:val="22"/>
          <w:szCs w:val="22"/>
        </w:rPr>
        <w:t xml:space="preserve">Jur. </w:t>
      </w:r>
      <w:r w:rsidRPr="00250374">
        <w:rPr>
          <w:color w:val="000000"/>
          <w:sz w:val="22"/>
          <w:szCs w:val="22"/>
        </w:rPr>
        <w:t>1983/ 2633</w:t>
      </w:r>
    </w:p>
    <w:p w:rsidR="00174971" w:rsidRPr="0086207C" w:rsidRDefault="00174971" w:rsidP="0086207C">
      <w:pPr>
        <w:pStyle w:val="ListParagraph"/>
        <w:numPr>
          <w:ilvl w:val="0"/>
          <w:numId w:val="11"/>
        </w:numPr>
        <w:spacing w:after="0"/>
        <w:rPr>
          <w:i/>
          <w:iCs/>
          <w:lang w:val="en-US"/>
        </w:rPr>
      </w:pPr>
      <w:r w:rsidRPr="0086207C">
        <w:rPr>
          <w:lang w:val="en-US"/>
        </w:rPr>
        <w:t xml:space="preserve">HvJ EG 13 februari 1985, nr. C-5/84 (Direct Cosmetics-I), </w:t>
      </w:r>
      <w:r w:rsidRPr="0086207C">
        <w:rPr>
          <w:i/>
          <w:lang w:val="en-US"/>
        </w:rPr>
        <w:t xml:space="preserve">Jur. </w:t>
      </w:r>
      <w:r w:rsidRPr="00250374">
        <w:rPr>
          <w:lang w:val="en-US"/>
        </w:rPr>
        <w:t>1985/617</w:t>
      </w:r>
    </w:p>
    <w:p w:rsidR="00174971" w:rsidRPr="00250374" w:rsidRDefault="00174971" w:rsidP="0086207C">
      <w:pPr>
        <w:pStyle w:val="ListParagraph"/>
        <w:numPr>
          <w:ilvl w:val="0"/>
          <w:numId w:val="11"/>
        </w:numPr>
        <w:spacing w:after="0"/>
      </w:pPr>
      <w:r w:rsidRPr="00762B74">
        <w:t xml:space="preserve">HvJ EG 8 oktober 1987, zaak 80/86 (Kolpinghuis Nijmegen), </w:t>
      </w:r>
      <w:r w:rsidRPr="00762B74">
        <w:rPr>
          <w:i/>
        </w:rPr>
        <w:t xml:space="preserve">Jur. </w:t>
      </w:r>
      <w:r w:rsidRPr="00250374">
        <w:t>1987/3969</w:t>
      </w:r>
    </w:p>
    <w:p w:rsidR="00174971" w:rsidRPr="00762B74" w:rsidRDefault="00174971" w:rsidP="0086207C">
      <w:pPr>
        <w:pStyle w:val="ListParagraph"/>
        <w:numPr>
          <w:ilvl w:val="0"/>
          <w:numId w:val="11"/>
        </w:numPr>
        <w:spacing w:after="0"/>
        <w:rPr>
          <w:i/>
        </w:rPr>
      </w:pPr>
      <w:r w:rsidRPr="00762B74">
        <w:t xml:space="preserve">HvJ EG 12 juli 1988, nummers 138 en 139/86 (Direct Cosmetics), </w:t>
      </w:r>
      <w:r w:rsidRPr="00250374">
        <w:rPr>
          <w:i/>
        </w:rPr>
        <w:t>Jur.</w:t>
      </w:r>
      <w:r w:rsidRPr="00762B74">
        <w:t xml:space="preserve"> 1988/3937</w:t>
      </w:r>
    </w:p>
    <w:p w:rsidR="00174971" w:rsidRPr="00762B74" w:rsidRDefault="00174971" w:rsidP="0086207C">
      <w:pPr>
        <w:pStyle w:val="ListParagraph"/>
        <w:numPr>
          <w:ilvl w:val="0"/>
          <w:numId w:val="11"/>
        </w:numPr>
        <w:spacing w:after="0"/>
        <w:rPr>
          <w:i/>
          <w:iCs/>
        </w:rPr>
      </w:pPr>
      <w:r w:rsidRPr="00762B74">
        <w:rPr>
          <w:iCs/>
        </w:rPr>
        <w:t xml:space="preserve">HvJ EG 17 juli 1997, zaak C-28/95 (Leur-Bloem), </w:t>
      </w:r>
      <w:r w:rsidRPr="00762B74">
        <w:rPr>
          <w:i/>
          <w:iCs/>
        </w:rPr>
        <w:t xml:space="preserve">BNB </w:t>
      </w:r>
      <w:r w:rsidRPr="00250374">
        <w:rPr>
          <w:iCs/>
        </w:rPr>
        <w:t>1998/32</w:t>
      </w:r>
    </w:p>
    <w:p w:rsidR="00174971" w:rsidRPr="00250374" w:rsidRDefault="00174971" w:rsidP="0086207C">
      <w:pPr>
        <w:pStyle w:val="ListParagraph"/>
        <w:numPr>
          <w:ilvl w:val="0"/>
          <w:numId w:val="11"/>
        </w:numPr>
        <w:spacing w:after="0"/>
      </w:pPr>
      <w:r w:rsidRPr="00762B74">
        <w:t xml:space="preserve">HvJ EG 16 juli 1998, zaak C-264/96 (ICI), </w:t>
      </w:r>
      <w:r w:rsidRPr="00762B74">
        <w:rPr>
          <w:i/>
        </w:rPr>
        <w:t xml:space="preserve">BNB </w:t>
      </w:r>
      <w:r w:rsidRPr="00250374">
        <w:t>1998/420</w:t>
      </w:r>
    </w:p>
    <w:p w:rsidR="00174971" w:rsidRPr="00762B74" w:rsidRDefault="00174971" w:rsidP="0086207C">
      <w:pPr>
        <w:pStyle w:val="ListParagraph"/>
        <w:numPr>
          <w:ilvl w:val="0"/>
          <w:numId w:val="11"/>
        </w:numPr>
        <w:spacing w:after="0"/>
        <w:rPr>
          <w:i/>
        </w:rPr>
      </w:pPr>
      <w:r w:rsidRPr="00762B74">
        <w:t>HvJ EG 4 december 2000, zaak C-110/99 (</w:t>
      </w:r>
      <w:r w:rsidRPr="00762B74">
        <w:rPr>
          <w:iCs/>
        </w:rPr>
        <w:t xml:space="preserve">Emsland-Stärke), </w:t>
      </w:r>
      <w:r w:rsidRPr="00762B74">
        <w:rPr>
          <w:i/>
          <w:iCs/>
        </w:rPr>
        <w:t>Jur</w:t>
      </w:r>
      <w:r w:rsidRPr="00762B74">
        <w:rPr>
          <w:i/>
        </w:rPr>
        <w:t xml:space="preserve">. </w:t>
      </w:r>
      <w:r w:rsidRPr="00250374">
        <w:t>2000/11 569</w:t>
      </w:r>
    </w:p>
    <w:p w:rsidR="00174971" w:rsidRPr="00250374" w:rsidRDefault="00174971" w:rsidP="0086207C">
      <w:pPr>
        <w:pStyle w:val="ListParagraph"/>
        <w:numPr>
          <w:ilvl w:val="0"/>
          <w:numId w:val="11"/>
        </w:numPr>
        <w:spacing w:after="0"/>
      </w:pPr>
      <w:r w:rsidRPr="00762B74">
        <w:t xml:space="preserve">HvJ EG 11 maart 2004, zaak C-9/02 (Lasteyrie du Saillant), </w:t>
      </w:r>
      <w:r w:rsidRPr="00762B74">
        <w:rPr>
          <w:i/>
        </w:rPr>
        <w:t xml:space="preserve">BNB </w:t>
      </w:r>
      <w:r w:rsidRPr="00250374">
        <w:t>2004/258</w:t>
      </w:r>
    </w:p>
    <w:p w:rsidR="00174971" w:rsidRPr="00762B74" w:rsidRDefault="00174971" w:rsidP="0086207C">
      <w:pPr>
        <w:pStyle w:val="FootnoteText"/>
        <w:numPr>
          <w:ilvl w:val="0"/>
          <w:numId w:val="11"/>
        </w:numPr>
        <w:spacing w:line="360" w:lineRule="auto"/>
        <w:rPr>
          <w:i/>
          <w:sz w:val="22"/>
          <w:szCs w:val="22"/>
        </w:rPr>
      </w:pPr>
      <w:r w:rsidRPr="00762B74">
        <w:rPr>
          <w:sz w:val="22"/>
          <w:szCs w:val="22"/>
        </w:rPr>
        <w:t xml:space="preserve">HvJ 3 mei 2005, gezamenlijke zaken C-387/02, C-391/02 en C-403/02 (Berlusconi en anderen), </w:t>
      </w:r>
      <w:r w:rsidRPr="00762B74">
        <w:rPr>
          <w:i/>
          <w:sz w:val="22"/>
          <w:szCs w:val="22"/>
        </w:rPr>
        <w:t xml:space="preserve">Jur. </w:t>
      </w:r>
      <w:r w:rsidRPr="00250374">
        <w:rPr>
          <w:sz w:val="22"/>
          <w:szCs w:val="22"/>
        </w:rPr>
        <w:t>2005/3565</w:t>
      </w:r>
    </w:p>
    <w:p w:rsidR="00174971" w:rsidRPr="00762B74" w:rsidRDefault="00174971" w:rsidP="0086207C">
      <w:pPr>
        <w:pStyle w:val="ListParagraph"/>
        <w:numPr>
          <w:ilvl w:val="0"/>
          <w:numId w:val="11"/>
        </w:numPr>
        <w:spacing w:after="0"/>
        <w:rPr>
          <w:i/>
          <w:iCs/>
        </w:rPr>
      </w:pPr>
      <w:r w:rsidRPr="00762B74">
        <w:t>HvJ EG 21 februari 2006, zaak C-255/02 (</w:t>
      </w:r>
      <w:r w:rsidRPr="00762B74">
        <w:rPr>
          <w:iCs/>
        </w:rPr>
        <w:t xml:space="preserve">Halifax), </w:t>
      </w:r>
      <w:r w:rsidRPr="00762B74">
        <w:rPr>
          <w:i/>
          <w:iCs/>
        </w:rPr>
        <w:t xml:space="preserve">BNB </w:t>
      </w:r>
      <w:r w:rsidRPr="00250374">
        <w:rPr>
          <w:iCs/>
        </w:rPr>
        <w:t>2006/170</w:t>
      </w:r>
    </w:p>
    <w:p w:rsidR="00174971" w:rsidRPr="00762B74" w:rsidRDefault="00174971" w:rsidP="0086207C">
      <w:pPr>
        <w:pStyle w:val="ListParagraph"/>
        <w:numPr>
          <w:ilvl w:val="0"/>
          <w:numId w:val="11"/>
        </w:numPr>
        <w:spacing w:after="0"/>
        <w:rPr>
          <w:i/>
        </w:rPr>
      </w:pPr>
      <w:r w:rsidRPr="00762B74">
        <w:t xml:space="preserve">HvJ EG 12 september 2006, zaak C-196/04 (Cadbury Schweppes), </w:t>
      </w:r>
      <w:r w:rsidRPr="00762B74">
        <w:rPr>
          <w:i/>
        </w:rPr>
        <w:t xml:space="preserve">BNB </w:t>
      </w:r>
      <w:r w:rsidRPr="00250374">
        <w:t>2007/54</w:t>
      </w:r>
    </w:p>
    <w:p w:rsidR="00174971" w:rsidRPr="00250374" w:rsidRDefault="00174971" w:rsidP="0086207C">
      <w:pPr>
        <w:pStyle w:val="ListParagraph"/>
        <w:numPr>
          <w:ilvl w:val="0"/>
          <w:numId w:val="11"/>
        </w:numPr>
        <w:spacing w:after="0"/>
      </w:pPr>
      <w:r w:rsidRPr="00762B74">
        <w:t xml:space="preserve">HvJ EG 5 juli 2007, zaak C-321/05 (Kofoed), </w:t>
      </w:r>
      <w:r w:rsidRPr="00762B74">
        <w:rPr>
          <w:i/>
        </w:rPr>
        <w:t xml:space="preserve">FED </w:t>
      </w:r>
      <w:r w:rsidRPr="00250374">
        <w:t>2007/71</w:t>
      </w:r>
    </w:p>
    <w:p w:rsidR="00174971" w:rsidRPr="0086207C" w:rsidRDefault="00174971" w:rsidP="0086207C">
      <w:pPr>
        <w:pStyle w:val="ListParagraph"/>
        <w:numPr>
          <w:ilvl w:val="0"/>
          <w:numId w:val="11"/>
        </w:numPr>
        <w:spacing w:after="0"/>
        <w:rPr>
          <w:i/>
          <w:lang w:val="en-US"/>
        </w:rPr>
      </w:pPr>
      <w:r w:rsidRPr="0086207C">
        <w:rPr>
          <w:lang w:val="en-US"/>
        </w:rPr>
        <w:t xml:space="preserve">HvJ EG 21 februari 2008, zaak C-425/06 (Part Service), </w:t>
      </w:r>
      <w:r w:rsidRPr="0086207C">
        <w:rPr>
          <w:i/>
          <w:lang w:val="en-US"/>
        </w:rPr>
        <w:t xml:space="preserve">BNB </w:t>
      </w:r>
      <w:r w:rsidRPr="00250374">
        <w:rPr>
          <w:lang w:val="en-US"/>
        </w:rPr>
        <w:t>2009/1</w:t>
      </w:r>
    </w:p>
    <w:p w:rsidR="00174971" w:rsidRPr="00250374" w:rsidRDefault="00174971" w:rsidP="0086207C">
      <w:pPr>
        <w:pStyle w:val="ListParagraph"/>
        <w:numPr>
          <w:ilvl w:val="0"/>
          <w:numId w:val="11"/>
        </w:numPr>
        <w:spacing w:after="0"/>
      </w:pPr>
      <w:r w:rsidRPr="00762B74">
        <w:t xml:space="preserve">HvJ EG 20 mei 2010, zaak C-352/08 (Zwijnenburg) </w:t>
      </w:r>
      <w:r w:rsidRPr="00762B74">
        <w:rPr>
          <w:i/>
        </w:rPr>
        <w:t xml:space="preserve">V-N </w:t>
      </w:r>
      <w:r w:rsidRPr="00250374">
        <w:t>2009/35.16</w:t>
      </w:r>
    </w:p>
    <w:p w:rsidR="00174971" w:rsidRPr="00762B74" w:rsidRDefault="00174971" w:rsidP="0086207C">
      <w:pPr>
        <w:spacing w:after="0"/>
      </w:pPr>
    </w:p>
    <w:p w:rsidR="00174971" w:rsidRPr="00762B74" w:rsidRDefault="00174971" w:rsidP="0086207C">
      <w:pPr>
        <w:pStyle w:val="FootnoteText"/>
        <w:numPr>
          <w:ilvl w:val="0"/>
          <w:numId w:val="11"/>
        </w:numPr>
        <w:spacing w:line="360" w:lineRule="auto"/>
        <w:rPr>
          <w:i/>
          <w:sz w:val="22"/>
          <w:szCs w:val="22"/>
        </w:rPr>
      </w:pPr>
      <w:r w:rsidRPr="00762B74">
        <w:rPr>
          <w:sz w:val="22"/>
          <w:szCs w:val="22"/>
        </w:rPr>
        <w:t xml:space="preserve">Conclusie A-G HvJ EG Maduro van 21 februari 2006, zaak C-255/02 (Halifax), </w:t>
      </w:r>
      <w:r w:rsidRPr="00762B74">
        <w:rPr>
          <w:i/>
          <w:sz w:val="22"/>
          <w:szCs w:val="22"/>
        </w:rPr>
        <w:t xml:space="preserve">BNB </w:t>
      </w:r>
      <w:r w:rsidRPr="00250374">
        <w:rPr>
          <w:sz w:val="22"/>
          <w:szCs w:val="22"/>
        </w:rPr>
        <w:t>2006/170</w:t>
      </w:r>
    </w:p>
    <w:p w:rsidR="00174971" w:rsidRPr="00762B74" w:rsidRDefault="00174971" w:rsidP="0086207C">
      <w:pPr>
        <w:pStyle w:val="ListParagraph"/>
        <w:numPr>
          <w:ilvl w:val="0"/>
          <w:numId w:val="11"/>
        </w:numPr>
        <w:spacing w:after="0"/>
        <w:rPr>
          <w:i/>
        </w:rPr>
      </w:pPr>
      <w:r w:rsidRPr="00762B74">
        <w:t xml:space="preserve">Conclusie A-G HvJ EG Kokott van 16 juli 2009, zaak C-352/08 (Zwijnenburg), </w:t>
      </w:r>
      <w:r w:rsidRPr="00762B74">
        <w:rPr>
          <w:i/>
        </w:rPr>
        <w:t xml:space="preserve">V-N </w:t>
      </w:r>
      <w:r w:rsidRPr="00250374">
        <w:t>2009/35.16</w:t>
      </w:r>
    </w:p>
    <w:p w:rsidR="00174971" w:rsidRPr="00762B74" w:rsidRDefault="00174971" w:rsidP="00AD525E">
      <w:pPr>
        <w:spacing w:before="360"/>
        <w:rPr>
          <w:b/>
          <w:i/>
        </w:rPr>
      </w:pPr>
      <w:r w:rsidRPr="00762B74">
        <w:rPr>
          <w:b/>
          <w:i/>
        </w:rPr>
        <w:t>Jurisprudentie Nederlandstalige rechtscolleges (inclusief conclusies)</w:t>
      </w:r>
    </w:p>
    <w:p w:rsidR="00174971" w:rsidRPr="00762B74" w:rsidRDefault="00174971" w:rsidP="0086207C">
      <w:pPr>
        <w:pStyle w:val="FootnoteText"/>
        <w:numPr>
          <w:ilvl w:val="0"/>
          <w:numId w:val="12"/>
        </w:numPr>
        <w:spacing w:line="360" w:lineRule="auto"/>
        <w:rPr>
          <w:sz w:val="22"/>
          <w:szCs w:val="22"/>
        </w:rPr>
      </w:pPr>
      <w:r w:rsidRPr="00762B74">
        <w:rPr>
          <w:sz w:val="22"/>
          <w:szCs w:val="22"/>
        </w:rPr>
        <w:t xml:space="preserve">HR 26 mei 1926, </w:t>
      </w:r>
      <w:r w:rsidRPr="0086207C">
        <w:rPr>
          <w:i/>
          <w:sz w:val="22"/>
          <w:szCs w:val="22"/>
        </w:rPr>
        <w:t xml:space="preserve">NJ </w:t>
      </w:r>
      <w:r w:rsidRPr="00250374">
        <w:rPr>
          <w:sz w:val="22"/>
          <w:szCs w:val="22"/>
        </w:rPr>
        <w:t>1226/723-725</w:t>
      </w:r>
    </w:p>
    <w:p w:rsidR="00174971" w:rsidRPr="00762B74" w:rsidRDefault="00174971" w:rsidP="0086207C">
      <w:pPr>
        <w:pStyle w:val="ListParagraph"/>
        <w:numPr>
          <w:ilvl w:val="0"/>
          <w:numId w:val="12"/>
        </w:numPr>
        <w:spacing w:after="0"/>
      </w:pPr>
      <w:r w:rsidRPr="00762B74">
        <w:t xml:space="preserve">HR 8 mei 1957, rolnr. 12 931, </w:t>
      </w:r>
      <w:r w:rsidRPr="00762B74">
        <w:rPr>
          <w:i/>
        </w:rPr>
        <w:t xml:space="preserve">BNB </w:t>
      </w:r>
      <w:r w:rsidRPr="00250374">
        <w:t>1957/208</w:t>
      </w:r>
    </w:p>
    <w:p w:rsidR="00174971" w:rsidRPr="00250374" w:rsidRDefault="00174971" w:rsidP="0086207C">
      <w:pPr>
        <w:pStyle w:val="ListParagraph"/>
        <w:numPr>
          <w:ilvl w:val="0"/>
          <w:numId w:val="12"/>
        </w:numPr>
        <w:spacing w:after="0"/>
      </w:pPr>
      <w:r w:rsidRPr="00762B74">
        <w:t xml:space="preserve">HR 8 maart 1961, rolnr. 14 368, </w:t>
      </w:r>
      <w:r w:rsidRPr="00762B74">
        <w:rPr>
          <w:i/>
        </w:rPr>
        <w:t xml:space="preserve">BNB </w:t>
      </w:r>
      <w:r w:rsidRPr="00250374">
        <w:t>1961/133</w:t>
      </w:r>
    </w:p>
    <w:p w:rsidR="00174971" w:rsidRPr="00762B74" w:rsidRDefault="00174971" w:rsidP="0086207C">
      <w:pPr>
        <w:pStyle w:val="ListParagraph"/>
        <w:numPr>
          <w:ilvl w:val="0"/>
          <w:numId w:val="12"/>
        </w:numPr>
        <w:spacing w:after="0"/>
      </w:pPr>
      <w:r w:rsidRPr="00762B74">
        <w:t xml:space="preserve">HR 24 maart 1965, rolnr. 15 277, </w:t>
      </w:r>
      <w:r w:rsidRPr="00762B74">
        <w:rPr>
          <w:i/>
        </w:rPr>
        <w:t xml:space="preserve">BNB </w:t>
      </w:r>
      <w:r w:rsidRPr="00250374">
        <w:t>1965/186</w:t>
      </w:r>
    </w:p>
    <w:p w:rsidR="00174971" w:rsidRPr="00762B74" w:rsidRDefault="00174971" w:rsidP="0086207C">
      <w:pPr>
        <w:pStyle w:val="ListParagraph"/>
        <w:numPr>
          <w:ilvl w:val="0"/>
          <w:numId w:val="12"/>
        </w:numPr>
        <w:spacing w:after="0"/>
      </w:pPr>
      <w:r w:rsidRPr="00762B74">
        <w:t xml:space="preserve">HR 27 december 1967, rolnr. 15 772, </w:t>
      </w:r>
      <w:r w:rsidRPr="00762B74">
        <w:rPr>
          <w:i/>
        </w:rPr>
        <w:t xml:space="preserve">BNB </w:t>
      </w:r>
      <w:r w:rsidRPr="00250374">
        <w:t>1968/80</w:t>
      </w:r>
    </w:p>
    <w:p w:rsidR="00174971" w:rsidRPr="00762B74" w:rsidRDefault="00174971" w:rsidP="0086207C">
      <w:pPr>
        <w:pStyle w:val="ListParagraph"/>
        <w:numPr>
          <w:ilvl w:val="0"/>
          <w:numId w:val="12"/>
        </w:numPr>
        <w:spacing w:after="0"/>
        <w:rPr>
          <w:i/>
        </w:rPr>
      </w:pPr>
      <w:r w:rsidRPr="00762B74">
        <w:t xml:space="preserve">HR 6 juni 1973, rolnr. 17 106, </w:t>
      </w:r>
      <w:r w:rsidRPr="00762B74">
        <w:rPr>
          <w:i/>
        </w:rPr>
        <w:t xml:space="preserve">BNB </w:t>
      </w:r>
      <w:r w:rsidRPr="00250374">
        <w:t>1973/161</w:t>
      </w:r>
    </w:p>
    <w:p w:rsidR="00174971" w:rsidRPr="00762B74" w:rsidRDefault="00174971" w:rsidP="0086207C">
      <w:pPr>
        <w:pStyle w:val="ListParagraph"/>
        <w:numPr>
          <w:ilvl w:val="0"/>
          <w:numId w:val="12"/>
        </w:numPr>
        <w:spacing w:after="0"/>
      </w:pPr>
      <w:r w:rsidRPr="00762B74">
        <w:t xml:space="preserve">HR 21 juni 1978, rolnr. 18 682, </w:t>
      </w:r>
      <w:r w:rsidRPr="00762B74">
        <w:rPr>
          <w:i/>
        </w:rPr>
        <w:t xml:space="preserve">BNB </w:t>
      </w:r>
      <w:r w:rsidRPr="00250374">
        <w:t>1978/227</w:t>
      </w:r>
    </w:p>
    <w:p w:rsidR="00174971" w:rsidRPr="00762B74" w:rsidRDefault="00174971" w:rsidP="0086207C">
      <w:pPr>
        <w:pStyle w:val="ListParagraph"/>
        <w:numPr>
          <w:ilvl w:val="0"/>
          <w:numId w:val="12"/>
        </w:numPr>
        <w:spacing w:after="0"/>
      </w:pPr>
      <w:r w:rsidRPr="00762B74">
        <w:t xml:space="preserve">HR 22 juli 1982, rolnr. 20 651, </w:t>
      </w:r>
      <w:r w:rsidRPr="00762B74">
        <w:rPr>
          <w:i/>
        </w:rPr>
        <w:t xml:space="preserve">BNB </w:t>
      </w:r>
      <w:r w:rsidRPr="00250374">
        <w:t>1982/243</w:t>
      </w:r>
    </w:p>
    <w:p w:rsidR="00174971" w:rsidRPr="00762B74" w:rsidRDefault="00174971" w:rsidP="0086207C">
      <w:pPr>
        <w:pStyle w:val="ListParagraph"/>
        <w:numPr>
          <w:ilvl w:val="0"/>
          <w:numId w:val="12"/>
        </w:numPr>
        <w:spacing w:after="0"/>
      </w:pPr>
      <w:r w:rsidRPr="00762B74">
        <w:t xml:space="preserve">HR 21 november 1984, rolnr. 22 092, </w:t>
      </w:r>
      <w:r w:rsidRPr="00762B74">
        <w:rPr>
          <w:i/>
        </w:rPr>
        <w:t xml:space="preserve">BNB </w:t>
      </w:r>
      <w:r w:rsidRPr="00250374">
        <w:t>1985/32</w:t>
      </w:r>
    </w:p>
    <w:p w:rsidR="00174971" w:rsidRPr="00762B74" w:rsidRDefault="00174971" w:rsidP="0086207C">
      <w:pPr>
        <w:pStyle w:val="ListParagraph"/>
        <w:numPr>
          <w:ilvl w:val="0"/>
          <w:numId w:val="12"/>
        </w:numPr>
        <w:spacing w:after="0"/>
        <w:rPr>
          <w:i/>
        </w:rPr>
      </w:pPr>
      <w:r w:rsidRPr="00762B74">
        <w:t xml:space="preserve">HR 20 maart 1985, rolnr. 23 003, </w:t>
      </w:r>
      <w:r w:rsidRPr="00762B74">
        <w:rPr>
          <w:i/>
        </w:rPr>
        <w:t xml:space="preserve">BNB </w:t>
      </w:r>
      <w:r w:rsidRPr="00250374">
        <w:t>1985/171</w:t>
      </w:r>
    </w:p>
    <w:p w:rsidR="00174971" w:rsidRPr="00250374" w:rsidRDefault="00174971" w:rsidP="0086207C">
      <w:pPr>
        <w:pStyle w:val="ListParagraph"/>
        <w:numPr>
          <w:ilvl w:val="0"/>
          <w:numId w:val="12"/>
        </w:numPr>
        <w:spacing w:after="0"/>
      </w:pPr>
      <w:r w:rsidRPr="00762B74">
        <w:t xml:space="preserve">HR 11 juni 1986, rolnr. 23 641, </w:t>
      </w:r>
      <w:r w:rsidRPr="00762B74">
        <w:rPr>
          <w:i/>
        </w:rPr>
        <w:t xml:space="preserve">BNB </w:t>
      </w:r>
      <w:r w:rsidRPr="00250374">
        <w:t>1986/283</w:t>
      </w:r>
    </w:p>
    <w:p w:rsidR="00174971" w:rsidRPr="00250374" w:rsidRDefault="00174971" w:rsidP="0086207C">
      <w:pPr>
        <w:pStyle w:val="ListParagraph"/>
        <w:numPr>
          <w:ilvl w:val="0"/>
          <w:numId w:val="12"/>
        </w:numPr>
        <w:spacing w:after="0"/>
      </w:pPr>
      <w:r w:rsidRPr="00762B74">
        <w:t xml:space="preserve">HR 7 juni 1989, rolnr. 24 239, </w:t>
      </w:r>
      <w:r w:rsidRPr="00762B74">
        <w:rPr>
          <w:i/>
        </w:rPr>
        <w:t xml:space="preserve">BNB </w:t>
      </w:r>
      <w:r w:rsidRPr="00250374">
        <w:t>1990/72</w:t>
      </w:r>
    </w:p>
    <w:p w:rsidR="00174971" w:rsidRPr="00250374" w:rsidRDefault="00174971" w:rsidP="0086207C">
      <w:pPr>
        <w:pStyle w:val="ListParagraph"/>
        <w:numPr>
          <w:ilvl w:val="0"/>
          <w:numId w:val="12"/>
        </w:numPr>
        <w:spacing w:after="0"/>
      </w:pPr>
      <w:r w:rsidRPr="00762B74">
        <w:t xml:space="preserve">HR 27 juni 1990, rolnr. 26 758, </w:t>
      </w:r>
      <w:r w:rsidRPr="00762B74">
        <w:rPr>
          <w:i/>
        </w:rPr>
        <w:t xml:space="preserve">BNB </w:t>
      </w:r>
      <w:r w:rsidRPr="00250374">
        <w:t>1990/317</w:t>
      </w:r>
    </w:p>
    <w:p w:rsidR="00174971" w:rsidRPr="00762B74" w:rsidRDefault="00174971" w:rsidP="0086207C">
      <w:pPr>
        <w:pStyle w:val="ListParagraph"/>
        <w:numPr>
          <w:ilvl w:val="0"/>
          <w:numId w:val="12"/>
        </w:numPr>
        <w:spacing w:after="0"/>
        <w:rPr>
          <w:i/>
        </w:rPr>
      </w:pPr>
      <w:r w:rsidRPr="00762B74">
        <w:t xml:space="preserve">HR 11 juli 1990, rolnr. 26 306, </w:t>
      </w:r>
      <w:r w:rsidRPr="00762B74">
        <w:rPr>
          <w:i/>
        </w:rPr>
        <w:t xml:space="preserve">BNB </w:t>
      </w:r>
      <w:r w:rsidRPr="00250374">
        <w:t>1990/293</w:t>
      </w:r>
    </w:p>
    <w:p w:rsidR="00174971" w:rsidRPr="00762B74" w:rsidRDefault="00174971" w:rsidP="0086207C">
      <w:pPr>
        <w:pStyle w:val="ListParagraph"/>
        <w:numPr>
          <w:ilvl w:val="0"/>
          <w:numId w:val="12"/>
        </w:numPr>
        <w:spacing w:after="0"/>
        <w:rPr>
          <w:i/>
        </w:rPr>
      </w:pPr>
      <w:r w:rsidRPr="00762B74">
        <w:t xml:space="preserve">HR 6 november 1991, rolnr. 27 102, </w:t>
      </w:r>
      <w:r w:rsidRPr="00762B74">
        <w:rPr>
          <w:i/>
        </w:rPr>
        <w:t xml:space="preserve">BNB </w:t>
      </w:r>
      <w:r w:rsidRPr="00250374">
        <w:t>1992/97</w:t>
      </w:r>
    </w:p>
    <w:p w:rsidR="00174971" w:rsidRPr="00762B74" w:rsidRDefault="00174971" w:rsidP="0086207C">
      <w:pPr>
        <w:pStyle w:val="ListParagraph"/>
        <w:numPr>
          <w:ilvl w:val="0"/>
          <w:numId w:val="12"/>
        </w:numPr>
        <w:spacing w:after="0"/>
      </w:pPr>
      <w:r w:rsidRPr="00762B74">
        <w:t xml:space="preserve">HR 8 juli 1992, rolnr. 28 211, </w:t>
      </w:r>
      <w:r w:rsidRPr="00762B74">
        <w:rPr>
          <w:i/>
        </w:rPr>
        <w:t xml:space="preserve">BNB </w:t>
      </w:r>
      <w:r w:rsidRPr="00250374">
        <w:t>1992/308</w:t>
      </w:r>
    </w:p>
    <w:p w:rsidR="00174971" w:rsidRPr="00762B74" w:rsidRDefault="00174971" w:rsidP="0086207C">
      <w:pPr>
        <w:pStyle w:val="ListParagraph"/>
        <w:numPr>
          <w:ilvl w:val="0"/>
          <w:numId w:val="12"/>
        </w:numPr>
        <w:spacing w:after="0"/>
      </w:pPr>
      <w:r w:rsidRPr="00762B74">
        <w:t xml:space="preserve">HR 10 maart 1993, nr. 28 484, </w:t>
      </w:r>
      <w:r w:rsidRPr="00762B74">
        <w:rPr>
          <w:i/>
        </w:rPr>
        <w:t xml:space="preserve">BNB </w:t>
      </w:r>
      <w:r w:rsidRPr="00250374">
        <w:t>1993/197</w:t>
      </w:r>
    </w:p>
    <w:p w:rsidR="00174971" w:rsidRPr="00762B74" w:rsidRDefault="00174971" w:rsidP="0086207C">
      <w:pPr>
        <w:pStyle w:val="ListParagraph"/>
        <w:numPr>
          <w:ilvl w:val="0"/>
          <w:numId w:val="12"/>
        </w:numPr>
        <w:spacing w:after="0"/>
      </w:pPr>
      <w:r w:rsidRPr="00762B74">
        <w:rPr>
          <w:lang w:eastAsia="nl-NL"/>
        </w:rPr>
        <w:t xml:space="preserve">HR 2 februari 1994, nr. 29 588, </w:t>
      </w:r>
      <w:hyperlink r:id="rId7" w:history="1">
        <w:r w:rsidRPr="00762B74">
          <w:rPr>
            <w:i/>
            <w:lang w:eastAsia="nl-NL"/>
          </w:rPr>
          <w:t xml:space="preserve">BNB </w:t>
        </w:r>
        <w:r w:rsidRPr="00250374">
          <w:rPr>
            <w:lang w:eastAsia="nl-NL"/>
          </w:rPr>
          <w:t>1994/134</w:t>
        </w:r>
      </w:hyperlink>
    </w:p>
    <w:p w:rsidR="00174971" w:rsidRPr="00762B74" w:rsidRDefault="00174971" w:rsidP="0086207C">
      <w:pPr>
        <w:pStyle w:val="ListParagraph"/>
        <w:numPr>
          <w:ilvl w:val="0"/>
          <w:numId w:val="12"/>
        </w:numPr>
        <w:spacing w:after="0"/>
        <w:rPr>
          <w:i/>
        </w:rPr>
      </w:pPr>
      <w:r w:rsidRPr="00762B74">
        <w:t xml:space="preserve">HR 23 augustus 1995, nr. 29 521, </w:t>
      </w:r>
      <w:r w:rsidRPr="00762B74">
        <w:rPr>
          <w:i/>
        </w:rPr>
        <w:t xml:space="preserve">BNB </w:t>
      </w:r>
      <w:r w:rsidRPr="00250374">
        <w:t>1996/3</w:t>
      </w:r>
    </w:p>
    <w:p w:rsidR="00174971" w:rsidRPr="00762B74" w:rsidRDefault="00174971" w:rsidP="0086207C">
      <w:pPr>
        <w:pStyle w:val="ListParagraph"/>
        <w:numPr>
          <w:ilvl w:val="0"/>
          <w:numId w:val="12"/>
        </w:numPr>
        <w:spacing w:after="0"/>
        <w:rPr>
          <w:i/>
        </w:rPr>
      </w:pPr>
      <w:r w:rsidRPr="00762B74">
        <w:t xml:space="preserve">HR 6 september 1995, nr. 27 927, </w:t>
      </w:r>
      <w:r w:rsidRPr="00762B74">
        <w:rPr>
          <w:i/>
        </w:rPr>
        <w:t xml:space="preserve">BNB </w:t>
      </w:r>
      <w:r w:rsidRPr="00250374">
        <w:t>1996/4</w:t>
      </w:r>
    </w:p>
    <w:p w:rsidR="00174971" w:rsidRPr="00762B74" w:rsidRDefault="00174971" w:rsidP="0086207C">
      <w:pPr>
        <w:pStyle w:val="ListParagraph"/>
        <w:numPr>
          <w:ilvl w:val="0"/>
          <w:numId w:val="12"/>
        </w:numPr>
        <w:spacing w:after="0"/>
        <w:rPr>
          <w:i/>
        </w:rPr>
      </w:pPr>
      <w:r w:rsidRPr="00762B74">
        <w:t xml:space="preserve">HR 20 september 1995, nr. 29 737, </w:t>
      </w:r>
      <w:r w:rsidRPr="00762B74">
        <w:rPr>
          <w:i/>
        </w:rPr>
        <w:t xml:space="preserve">BNB </w:t>
      </w:r>
      <w:r w:rsidRPr="00250374">
        <w:t>1996/5</w:t>
      </w:r>
    </w:p>
    <w:p w:rsidR="00174971" w:rsidRPr="00250374" w:rsidRDefault="00174971" w:rsidP="0086207C">
      <w:pPr>
        <w:pStyle w:val="ListParagraph"/>
        <w:numPr>
          <w:ilvl w:val="0"/>
          <w:numId w:val="12"/>
        </w:numPr>
        <w:spacing w:after="0"/>
      </w:pPr>
      <w:r w:rsidRPr="00762B74">
        <w:t xml:space="preserve">HR 27 september 1995, nr. 30 400, </w:t>
      </w:r>
      <w:r w:rsidRPr="00762B74">
        <w:rPr>
          <w:i/>
        </w:rPr>
        <w:t xml:space="preserve">BNB </w:t>
      </w:r>
      <w:r w:rsidRPr="00250374">
        <w:t>1996/6</w:t>
      </w:r>
    </w:p>
    <w:p w:rsidR="00174971" w:rsidRPr="00762B74" w:rsidRDefault="00174971" w:rsidP="0086207C">
      <w:pPr>
        <w:pStyle w:val="ListParagraph"/>
        <w:numPr>
          <w:ilvl w:val="0"/>
          <w:numId w:val="12"/>
        </w:numPr>
        <w:spacing w:after="0"/>
        <w:rPr>
          <w:i/>
        </w:rPr>
      </w:pPr>
      <w:r w:rsidRPr="00762B74">
        <w:t xml:space="preserve">HR 15 juli 1997, nr. 31 552, </w:t>
      </w:r>
      <w:r w:rsidRPr="00762B74">
        <w:rPr>
          <w:i/>
        </w:rPr>
        <w:t xml:space="preserve">BNB </w:t>
      </w:r>
      <w:r w:rsidRPr="00250374">
        <w:t>1997/296</w:t>
      </w:r>
    </w:p>
    <w:p w:rsidR="00174971" w:rsidRPr="00762B74" w:rsidRDefault="00174971" w:rsidP="0086207C">
      <w:pPr>
        <w:pStyle w:val="ListParagraph"/>
        <w:numPr>
          <w:ilvl w:val="0"/>
          <w:numId w:val="12"/>
        </w:numPr>
        <w:spacing w:after="0"/>
        <w:rPr>
          <w:i/>
        </w:rPr>
      </w:pPr>
      <w:r w:rsidRPr="00762B74">
        <w:t xml:space="preserve">HR 6 oktober 1999, nr. 33 971, </w:t>
      </w:r>
      <w:r w:rsidRPr="00762B74">
        <w:rPr>
          <w:i/>
        </w:rPr>
        <w:t xml:space="preserve">BNB </w:t>
      </w:r>
      <w:r w:rsidRPr="00250374">
        <w:t>2000/19</w:t>
      </w:r>
    </w:p>
    <w:p w:rsidR="00174971" w:rsidRPr="00762B74" w:rsidRDefault="00174971" w:rsidP="0086207C">
      <w:pPr>
        <w:pStyle w:val="ListParagraph"/>
        <w:numPr>
          <w:ilvl w:val="0"/>
          <w:numId w:val="12"/>
        </w:numPr>
        <w:spacing w:after="0"/>
        <w:rPr>
          <w:i/>
        </w:rPr>
      </w:pPr>
      <w:r w:rsidRPr="00762B74">
        <w:t xml:space="preserve">HR 1 december 1999, nr. 34 217, </w:t>
      </w:r>
      <w:r w:rsidRPr="00762B74">
        <w:rPr>
          <w:i/>
        </w:rPr>
        <w:t xml:space="preserve">BNB </w:t>
      </w:r>
      <w:r w:rsidRPr="00250374">
        <w:t>2000/111</w:t>
      </w:r>
    </w:p>
    <w:p w:rsidR="00174971" w:rsidRPr="00250374" w:rsidRDefault="00174971" w:rsidP="0086207C">
      <w:pPr>
        <w:pStyle w:val="ListParagraph"/>
        <w:numPr>
          <w:ilvl w:val="0"/>
          <w:numId w:val="12"/>
        </w:numPr>
        <w:spacing w:after="0"/>
      </w:pPr>
      <w:r w:rsidRPr="00762B74">
        <w:t xml:space="preserve">HR 9 februari 2000, nr. 34 911, </w:t>
      </w:r>
      <w:r w:rsidRPr="00762B74">
        <w:rPr>
          <w:i/>
        </w:rPr>
        <w:t xml:space="preserve">BNB </w:t>
      </w:r>
      <w:r w:rsidRPr="00250374">
        <w:t>2000/236</w:t>
      </w:r>
    </w:p>
    <w:p w:rsidR="00174971" w:rsidRPr="00250374" w:rsidRDefault="00174971" w:rsidP="0086207C">
      <w:pPr>
        <w:pStyle w:val="ListParagraph"/>
        <w:numPr>
          <w:ilvl w:val="0"/>
          <w:numId w:val="12"/>
        </w:numPr>
        <w:spacing w:after="0"/>
      </w:pPr>
      <w:r w:rsidRPr="00762B74">
        <w:t xml:space="preserve">HR 19 april 2000, nr. 33 560, </w:t>
      </w:r>
      <w:r w:rsidRPr="00762B74">
        <w:rPr>
          <w:i/>
        </w:rPr>
        <w:t xml:space="preserve">BNB </w:t>
      </w:r>
      <w:r w:rsidRPr="00250374">
        <w:t>2000/261</w:t>
      </w:r>
    </w:p>
    <w:p w:rsidR="00174971" w:rsidRPr="00762B74" w:rsidRDefault="00174971" w:rsidP="0086207C">
      <w:pPr>
        <w:pStyle w:val="ListParagraph"/>
        <w:numPr>
          <w:ilvl w:val="0"/>
          <w:numId w:val="12"/>
        </w:numPr>
        <w:spacing w:after="0"/>
        <w:rPr>
          <w:i/>
        </w:rPr>
      </w:pPr>
      <w:r w:rsidRPr="00762B74">
        <w:t xml:space="preserve">HR 24 mei 2002, nr. 37 398, </w:t>
      </w:r>
      <w:r w:rsidRPr="00762B74">
        <w:rPr>
          <w:i/>
        </w:rPr>
        <w:t xml:space="preserve">BNB </w:t>
      </w:r>
      <w:r w:rsidRPr="00250374">
        <w:t>2002/236</w:t>
      </w:r>
    </w:p>
    <w:p w:rsidR="00174971" w:rsidRPr="00762B74" w:rsidRDefault="00174971" w:rsidP="0086207C">
      <w:pPr>
        <w:pStyle w:val="FootnoteText"/>
        <w:numPr>
          <w:ilvl w:val="0"/>
          <w:numId w:val="12"/>
        </w:numPr>
        <w:spacing w:line="360" w:lineRule="auto"/>
        <w:rPr>
          <w:i/>
          <w:sz w:val="22"/>
          <w:szCs w:val="22"/>
        </w:rPr>
      </w:pPr>
      <w:r w:rsidRPr="00762B74">
        <w:rPr>
          <w:sz w:val="22"/>
          <w:szCs w:val="22"/>
        </w:rPr>
        <w:t xml:space="preserve">HR 10 oktober 2003, nr. 38 485, </w:t>
      </w:r>
      <w:r w:rsidRPr="00762B74">
        <w:rPr>
          <w:i/>
          <w:sz w:val="22"/>
          <w:szCs w:val="22"/>
        </w:rPr>
        <w:t xml:space="preserve">BNB </w:t>
      </w:r>
      <w:r w:rsidRPr="00250374">
        <w:rPr>
          <w:sz w:val="22"/>
          <w:szCs w:val="22"/>
        </w:rPr>
        <w:t>2004/97</w:t>
      </w:r>
    </w:p>
    <w:p w:rsidR="00174971" w:rsidRPr="00762B74" w:rsidRDefault="00174971" w:rsidP="0086207C">
      <w:pPr>
        <w:pStyle w:val="FootnoteText"/>
        <w:numPr>
          <w:ilvl w:val="0"/>
          <w:numId w:val="12"/>
        </w:numPr>
        <w:spacing w:line="360" w:lineRule="auto"/>
        <w:rPr>
          <w:i/>
          <w:sz w:val="22"/>
          <w:szCs w:val="22"/>
        </w:rPr>
      </w:pPr>
      <w:r w:rsidRPr="00762B74">
        <w:rPr>
          <w:sz w:val="22"/>
          <w:szCs w:val="22"/>
        </w:rPr>
        <w:t xml:space="preserve">HR 17 december 2004, nr. 39 080, </w:t>
      </w:r>
      <w:r w:rsidRPr="00762B74">
        <w:rPr>
          <w:i/>
          <w:sz w:val="22"/>
          <w:szCs w:val="22"/>
        </w:rPr>
        <w:t xml:space="preserve">BNB </w:t>
      </w:r>
      <w:r w:rsidRPr="00250374">
        <w:rPr>
          <w:sz w:val="22"/>
          <w:szCs w:val="22"/>
        </w:rPr>
        <w:t>2005/169</w:t>
      </w:r>
    </w:p>
    <w:p w:rsidR="00174971" w:rsidRPr="00250374" w:rsidRDefault="00174971" w:rsidP="0086207C">
      <w:pPr>
        <w:pStyle w:val="FootnoteText"/>
        <w:numPr>
          <w:ilvl w:val="0"/>
          <w:numId w:val="12"/>
        </w:numPr>
        <w:spacing w:line="360" w:lineRule="auto"/>
        <w:rPr>
          <w:sz w:val="22"/>
          <w:szCs w:val="22"/>
        </w:rPr>
      </w:pPr>
      <w:r w:rsidRPr="00762B74">
        <w:rPr>
          <w:sz w:val="22"/>
          <w:szCs w:val="22"/>
        </w:rPr>
        <w:t xml:space="preserve">HR 11 juli 2008, nr. 43 144, </w:t>
      </w:r>
      <w:r w:rsidRPr="00762B74">
        <w:rPr>
          <w:i/>
          <w:sz w:val="22"/>
          <w:szCs w:val="22"/>
        </w:rPr>
        <w:t xml:space="preserve">BNB </w:t>
      </w:r>
      <w:r w:rsidRPr="00250374">
        <w:rPr>
          <w:sz w:val="22"/>
          <w:szCs w:val="22"/>
        </w:rPr>
        <w:t>2008/245</w:t>
      </w:r>
    </w:p>
    <w:p w:rsidR="00174971" w:rsidRPr="00762B74" w:rsidRDefault="00174971" w:rsidP="0086207C">
      <w:pPr>
        <w:pStyle w:val="ListParagraph"/>
        <w:numPr>
          <w:ilvl w:val="0"/>
          <w:numId w:val="12"/>
        </w:numPr>
        <w:spacing w:after="0"/>
        <w:rPr>
          <w:i/>
        </w:rPr>
      </w:pPr>
      <w:r w:rsidRPr="00762B74">
        <w:t xml:space="preserve">HR 11 juli 2008, nr. 43 376, </w:t>
      </w:r>
      <w:r w:rsidRPr="00762B74">
        <w:rPr>
          <w:i/>
        </w:rPr>
        <w:t xml:space="preserve">BNB </w:t>
      </w:r>
      <w:r w:rsidRPr="00250374">
        <w:t>2008/266</w:t>
      </w:r>
    </w:p>
    <w:p w:rsidR="00174971" w:rsidRPr="00762B74" w:rsidRDefault="00174971" w:rsidP="0086207C">
      <w:pPr>
        <w:pStyle w:val="ListParagraph"/>
        <w:numPr>
          <w:ilvl w:val="0"/>
          <w:numId w:val="12"/>
        </w:numPr>
        <w:spacing w:after="0"/>
        <w:rPr>
          <w:i/>
        </w:rPr>
      </w:pPr>
      <w:r w:rsidRPr="00762B74">
        <w:t xml:space="preserve">HR 10 oktober 2008, nr.43 409, </w:t>
      </w:r>
      <w:r w:rsidRPr="00762B74">
        <w:rPr>
          <w:i/>
        </w:rPr>
        <w:t xml:space="preserve">BNB </w:t>
      </w:r>
      <w:r w:rsidRPr="00250374">
        <w:t>2009/28</w:t>
      </w:r>
    </w:p>
    <w:p w:rsidR="00174971" w:rsidRPr="00762B74" w:rsidRDefault="00174971" w:rsidP="0086207C">
      <w:pPr>
        <w:pStyle w:val="ListParagraph"/>
        <w:numPr>
          <w:ilvl w:val="0"/>
          <w:numId w:val="12"/>
        </w:numPr>
        <w:spacing w:after="0"/>
        <w:rPr>
          <w:i/>
        </w:rPr>
      </w:pPr>
      <w:r w:rsidRPr="00762B74">
        <w:t xml:space="preserve">HR 13 maart 2009, nr. 43 946, </w:t>
      </w:r>
      <w:r w:rsidRPr="00762B74">
        <w:rPr>
          <w:i/>
        </w:rPr>
        <w:t xml:space="preserve">BNB </w:t>
      </w:r>
      <w:r w:rsidRPr="00250374">
        <w:t>2009/123</w:t>
      </w:r>
    </w:p>
    <w:p w:rsidR="00174971" w:rsidRPr="00762B74" w:rsidRDefault="00174971" w:rsidP="0086207C">
      <w:pPr>
        <w:pStyle w:val="ListParagraph"/>
        <w:numPr>
          <w:ilvl w:val="0"/>
          <w:numId w:val="12"/>
        </w:numPr>
        <w:spacing w:after="0"/>
        <w:rPr>
          <w:i/>
        </w:rPr>
      </w:pPr>
      <w:r w:rsidRPr="00762B74">
        <w:t xml:space="preserve">HR 19 maart 2010, nr. 43 376, </w:t>
      </w:r>
      <w:r w:rsidRPr="00762B74">
        <w:rPr>
          <w:i/>
        </w:rPr>
        <w:t xml:space="preserve">V-N </w:t>
      </w:r>
      <w:r w:rsidRPr="00250374">
        <w:t>2010/16.17</w:t>
      </w:r>
    </w:p>
    <w:p w:rsidR="00174971" w:rsidRPr="00762B74" w:rsidRDefault="00174971" w:rsidP="0086207C">
      <w:pPr>
        <w:spacing w:after="0"/>
      </w:pPr>
    </w:p>
    <w:p w:rsidR="00174971" w:rsidRPr="00762B74" w:rsidRDefault="00174971" w:rsidP="0086207C">
      <w:pPr>
        <w:pStyle w:val="ListParagraph"/>
        <w:numPr>
          <w:ilvl w:val="0"/>
          <w:numId w:val="12"/>
        </w:numPr>
        <w:spacing w:after="0"/>
        <w:rPr>
          <w:i/>
        </w:rPr>
      </w:pPr>
      <w:r w:rsidRPr="00762B74">
        <w:t xml:space="preserve">Hof Amsterdam, 26 januari 1996, nr. P93/1504, </w:t>
      </w:r>
      <w:r w:rsidRPr="00762B74">
        <w:rPr>
          <w:i/>
        </w:rPr>
        <w:t xml:space="preserve">FED </w:t>
      </w:r>
      <w:r w:rsidRPr="00250374">
        <w:t>1995/182</w:t>
      </w:r>
    </w:p>
    <w:p w:rsidR="00174971" w:rsidRPr="00762B74" w:rsidRDefault="00174971" w:rsidP="0086207C">
      <w:pPr>
        <w:pStyle w:val="ListParagraph"/>
        <w:numPr>
          <w:ilvl w:val="0"/>
          <w:numId w:val="12"/>
        </w:numPr>
        <w:spacing w:after="0"/>
        <w:rPr>
          <w:i/>
        </w:rPr>
      </w:pPr>
      <w:r w:rsidRPr="00762B74">
        <w:t xml:space="preserve">Hof Amsterdam 21 oktober 1998, nr. 97/1693, </w:t>
      </w:r>
      <w:r w:rsidRPr="00762B74">
        <w:rPr>
          <w:i/>
        </w:rPr>
        <w:t xml:space="preserve">FED </w:t>
      </w:r>
      <w:r w:rsidRPr="00250374">
        <w:t>1999/587</w:t>
      </w:r>
    </w:p>
    <w:p w:rsidR="00174971" w:rsidRPr="00762B74" w:rsidRDefault="00174971" w:rsidP="0086207C">
      <w:pPr>
        <w:pStyle w:val="ListParagraph"/>
        <w:numPr>
          <w:ilvl w:val="0"/>
          <w:numId w:val="12"/>
        </w:numPr>
        <w:spacing w:after="0"/>
        <w:rPr>
          <w:i/>
        </w:rPr>
      </w:pPr>
      <w:r w:rsidRPr="00762B74">
        <w:t xml:space="preserve">Hof Amsterdam, 31 maart 2004, nr. 02/06079, </w:t>
      </w:r>
      <w:r w:rsidRPr="00762B74">
        <w:rPr>
          <w:i/>
        </w:rPr>
        <w:t xml:space="preserve">V-N </w:t>
      </w:r>
      <w:r w:rsidRPr="00250374">
        <w:t>2004/57.9</w:t>
      </w:r>
    </w:p>
    <w:p w:rsidR="00174971" w:rsidRPr="0086207C" w:rsidRDefault="00174971" w:rsidP="0086207C">
      <w:pPr>
        <w:pStyle w:val="ListParagraph"/>
        <w:numPr>
          <w:ilvl w:val="0"/>
          <w:numId w:val="12"/>
        </w:numPr>
        <w:spacing w:after="0"/>
        <w:rPr>
          <w:i/>
          <w:lang w:val="en-US"/>
        </w:rPr>
      </w:pPr>
      <w:r w:rsidRPr="0086207C">
        <w:rPr>
          <w:lang w:val="en-US"/>
        </w:rPr>
        <w:t xml:space="preserve">Hof Arnhem 28 april 2009, nr. 08/00339, </w:t>
      </w:r>
      <w:r w:rsidRPr="0086207C">
        <w:rPr>
          <w:i/>
          <w:lang w:val="en-US"/>
        </w:rPr>
        <w:t xml:space="preserve">NTFR </w:t>
      </w:r>
      <w:r w:rsidRPr="00250374">
        <w:rPr>
          <w:lang w:val="en-US"/>
        </w:rPr>
        <w:t>2009/1364</w:t>
      </w:r>
    </w:p>
    <w:p w:rsidR="00174971" w:rsidRPr="0086207C" w:rsidRDefault="00174971" w:rsidP="0086207C">
      <w:pPr>
        <w:spacing w:after="0"/>
        <w:ind w:left="360"/>
        <w:rPr>
          <w:lang w:val="en-US"/>
        </w:rPr>
      </w:pPr>
    </w:p>
    <w:p w:rsidR="00174971" w:rsidRPr="00762B74" w:rsidRDefault="00174971" w:rsidP="0086207C">
      <w:pPr>
        <w:pStyle w:val="ListParagraph"/>
        <w:numPr>
          <w:ilvl w:val="0"/>
          <w:numId w:val="12"/>
        </w:numPr>
        <w:spacing w:after="0"/>
        <w:rPr>
          <w:i/>
        </w:rPr>
      </w:pPr>
      <w:r w:rsidRPr="00762B74">
        <w:t xml:space="preserve">Conclusie A-G HR Mok van 22 juli 1982, rolnr. 20 651, </w:t>
      </w:r>
      <w:r w:rsidRPr="00762B74">
        <w:rPr>
          <w:i/>
        </w:rPr>
        <w:t xml:space="preserve">BNB </w:t>
      </w:r>
      <w:r w:rsidRPr="00250374">
        <w:t>1982/242</w:t>
      </w:r>
    </w:p>
    <w:p w:rsidR="00174971" w:rsidRPr="00762B74" w:rsidRDefault="00174971" w:rsidP="0086207C">
      <w:pPr>
        <w:pStyle w:val="ListParagraph"/>
        <w:numPr>
          <w:ilvl w:val="0"/>
          <w:numId w:val="12"/>
        </w:numPr>
        <w:spacing w:after="0"/>
        <w:rPr>
          <w:i/>
        </w:rPr>
      </w:pPr>
      <w:r w:rsidRPr="00762B74">
        <w:t xml:space="preserve">Conclusie A-G HR Van Den Berge van 19 april 2000, nr. 33 560, </w:t>
      </w:r>
      <w:r w:rsidRPr="00762B74">
        <w:rPr>
          <w:i/>
        </w:rPr>
        <w:t xml:space="preserve">BNB </w:t>
      </w:r>
      <w:r w:rsidRPr="00250374">
        <w:t>2000/261</w:t>
      </w:r>
    </w:p>
    <w:p w:rsidR="00174971" w:rsidRPr="00762B74" w:rsidRDefault="00174971" w:rsidP="0086207C">
      <w:pPr>
        <w:pStyle w:val="ListParagraph"/>
        <w:numPr>
          <w:ilvl w:val="0"/>
          <w:numId w:val="12"/>
        </w:numPr>
        <w:spacing w:after="0"/>
        <w:rPr>
          <w:i/>
        </w:rPr>
      </w:pPr>
      <w:r w:rsidRPr="00762B74">
        <w:t xml:space="preserve">Conclusie A-G HR Wattel van 22 december 2006, nr. 43 144, </w:t>
      </w:r>
      <w:r w:rsidRPr="00762B74">
        <w:rPr>
          <w:i/>
        </w:rPr>
        <w:t xml:space="preserve">NTFR </w:t>
      </w:r>
      <w:r w:rsidRPr="00250374">
        <w:t>2007-292</w:t>
      </w:r>
    </w:p>
    <w:p w:rsidR="00174971" w:rsidRPr="00762B74" w:rsidRDefault="00174971" w:rsidP="00AD525E">
      <w:pPr>
        <w:spacing w:before="360"/>
        <w:rPr>
          <w:b/>
          <w:i/>
        </w:rPr>
      </w:pPr>
      <w:r w:rsidRPr="00762B74">
        <w:rPr>
          <w:b/>
          <w:i/>
        </w:rPr>
        <w:t>Boeken</w:t>
      </w:r>
    </w:p>
    <w:p w:rsidR="00174971" w:rsidRPr="00762B74" w:rsidRDefault="00174971" w:rsidP="0086207C">
      <w:pPr>
        <w:pStyle w:val="ListParagraph"/>
        <w:numPr>
          <w:ilvl w:val="0"/>
          <w:numId w:val="13"/>
        </w:numPr>
        <w:spacing w:after="0"/>
        <w:rPr>
          <w:color w:val="000000"/>
        </w:rPr>
      </w:pPr>
      <w:r w:rsidRPr="00762B74">
        <w:t xml:space="preserve">Albregtse, D.A., </w:t>
      </w:r>
      <w:r w:rsidRPr="00762B74">
        <w:rPr>
          <w:i/>
        </w:rPr>
        <w:t>De deelnemingsvrijstelling als strijdtoneel</w:t>
      </w:r>
      <w:r w:rsidRPr="00762B74">
        <w:t xml:space="preserve">, </w:t>
      </w:r>
      <w:r w:rsidRPr="00762B74">
        <w:rPr>
          <w:color w:val="000000"/>
        </w:rPr>
        <w:t>in: D.A. Albregtse, E.J.W. Heithuis en J.J.M. Jansen (red.), In de fiscale vuurlinie. Opstellen aangeboden op 23 mei 2002 aan prof. mr. E. Aardema ter gelegenheid van zijn afscheid als hoogleraar aan de Erasmus Universiteit Rotterdam, Kluwer, Deventer, 2003, blz. 139-146</w:t>
      </w:r>
    </w:p>
    <w:p w:rsidR="00174971" w:rsidRPr="00762B74" w:rsidRDefault="00174971" w:rsidP="0086207C">
      <w:pPr>
        <w:pStyle w:val="ListParagraph"/>
        <w:numPr>
          <w:ilvl w:val="0"/>
          <w:numId w:val="13"/>
        </w:numPr>
        <w:spacing w:after="0"/>
      </w:pPr>
      <w:r w:rsidRPr="00762B74">
        <w:t xml:space="preserve">Blieck, L.A. de e.a., </w:t>
      </w:r>
      <w:r w:rsidRPr="00762B74">
        <w:rPr>
          <w:i/>
        </w:rPr>
        <w:t>Algemene wet inzake rijksbelastingen</w:t>
      </w:r>
      <w:r w:rsidRPr="00762B74">
        <w:t>, Kluwer, Deventer, 2009</w:t>
      </w:r>
    </w:p>
    <w:p w:rsidR="00174971" w:rsidRPr="00762B74" w:rsidRDefault="00174971" w:rsidP="0086207C">
      <w:pPr>
        <w:pStyle w:val="ListParagraph"/>
        <w:numPr>
          <w:ilvl w:val="0"/>
          <w:numId w:val="13"/>
        </w:numPr>
        <w:spacing w:after="0"/>
      </w:pPr>
      <w:r w:rsidRPr="00762B74">
        <w:t xml:space="preserve">Bouwman, J.N. en Jong, M.G. de, </w:t>
      </w:r>
      <w:r w:rsidRPr="00762B74">
        <w:rPr>
          <w:i/>
        </w:rPr>
        <w:t>Wegwijs in de vennootschapsbelasting</w:t>
      </w:r>
      <w:r w:rsidRPr="00762B74">
        <w:t>, SDU Uitgevers, Den Haag, 2009</w:t>
      </w:r>
    </w:p>
    <w:p w:rsidR="00174971" w:rsidRPr="00762B74" w:rsidRDefault="00174971" w:rsidP="0086207C">
      <w:pPr>
        <w:pStyle w:val="ListParagraph"/>
        <w:numPr>
          <w:ilvl w:val="0"/>
          <w:numId w:val="13"/>
        </w:numPr>
        <w:spacing w:after="0"/>
      </w:pPr>
      <w:r w:rsidRPr="00762B74">
        <w:t xml:space="preserve">Brande-Boomsluiter, E. van den, </w:t>
      </w:r>
      <w:r w:rsidRPr="00762B74">
        <w:rPr>
          <w:i/>
        </w:rPr>
        <w:t>De bedrijfsfusiefaciliteit in de vennootschapsbelasting</w:t>
      </w:r>
      <w:r w:rsidRPr="00762B74">
        <w:t>, Kluwer, Deventer, 2004</w:t>
      </w:r>
    </w:p>
    <w:p w:rsidR="00174971" w:rsidRPr="00762B74" w:rsidRDefault="00174971" w:rsidP="0086207C">
      <w:pPr>
        <w:pStyle w:val="ListParagraph"/>
        <w:numPr>
          <w:ilvl w:val="0"/>
          <w:numId w:val="13"/>
        </w:numPr>
        <w:spacing w:after="0"/>
      </w:pPr>
      <w:r w:rsidRPr="00762B74">
        <w:t xml:space="preserve">Brandsma, R.P.C.W.M., Braun, K.M., Pancham, S.R. en Weber, D.M., </w:t>
      </w:r>
      <w:r w:rsidRPr="00762B74">
        <w:rPr>
          <w:i/>
        </w:rPr>
        <w:t>Cursus Belastingrecht (Europees Belastingrecht)</w:t>
      </w:r>
      <w:r w:rsidRPr="00762B74">
        <w:t>, Kluwer, Deventer, 2009</w:t>
      </w:r>
    </w:p>
    <w:p w:rsidR="00174971" w:rsidRPr="00762B74" w:rsidRDefault="00174971" w:rsidP="0086207C">
      <w:pPr>
        <w:pStyle w:val="ListParagraph"/>
        <w:numPr>
          <w:ilvl w:val="0"/>
          <w:numId w:val="13"/>
        </w:numPr>
        <w:spacing w:after="0"/>
      </w:pPr>
      <w:r w:rsidRPr="00762B74">
        <w:t xml:space="preserve">Brunschot, F.W.G.M. van, </w:t>
      </w:r>
      <w:r w:rsidRPr="00762B74">
        <w:rPr>
          <w:i/>
        </w:rPr>
        <w:t>Fraus legis in internationale concernverhoudingen</w:t>
      </w:r>
      <w:r w:rsidRPr="00762B74">
        <w:t>, in: Ch. P. A. Geppaart, H.M.N. Schonis, Ch. J. Langereis en A.C. Rijkers (red.), Van Dijck-bundel, Opstellen, aangeboden aan prof. dr. J.E.A.M. van Dijck ter gelegenheid van zijn afscheid als hoogleraar aan de Katholieke Universiteit Brabant, FED, Deventer, 1988, blz. 39-50</w:t>
      </w:r>
    </w:p>
    <w:p w:rsidR="00174971" w:rsidRPr="00762B74" w:rsidRDefault="00174971" w:rsidP="0086207C">
      <w:pPr>
        <w:pStyle w:val="ListParagraph"/>
        <w:numPr>
          <w:ilvl w:val="0"/>
          <w:numId w:val="13"/>
        </w:numPr>
        <w:spacing w:after="0"/>
      </w:pPr>
      <w:r w:rsidRPr="00762B74">
        <w:t xml:space="preserve">Burgers, I.J.J. e.a., </w:t>
      </w:r>
      <w:r w:rsidRPr="00762B74">
        <w:rPr>
          <w:i/>
        </w:rPr>
        <w:t>Wegwijs in het Internationaal en Europees Belastingrecht</w:t>
      </w:r>
      <w:r w:rsidRPr="00762B74">
        <w:t>, SDU Fiscale en Financiële Uitgevers, Amersfoort, 2009</w:t>
      </w:r>
    </w:p>
    <w:p w:rsidR="00174971" w:rsidRPr="00762B74" w:rsidRDefault="00174971" w:rsidP="0086207C">
      <w:pPr>
        <w:pStyle w:val="ListParagraph"/>
        <w:numPr>
          <w:ilvl w:val="0"/>
          <w:numId w:val="13"/>
        </w:numPr>
        <w:spacing w:after="0"/>
      </w:pPr>
      <w:r w:rsidRPr="00762B74">
        <w:t xml:space="preserve">Christiaanse, J.H. en Netze, O., </w:t>
      </w:r>
      <w:r w:rsidRPr="00762B74">
        <w:rPr>
          <w:i/>
        </w:rPr>
        <w:t>Reparatiewetgeving of richtige heffing</w:t>
      </w:r>
      <w:r w:rsidRPr="00762B74">
        <w:t>, Geschriften van de Vereniging voor Belastingwetenschap, nr. 152, Kluwer, Deventer, 1980</w:t>
      </w:r>
    </w:p>
    <w:p w:rsidR="00174971" w:rsidRPr="00762B74" w:rsidRDefault="00174971" w:rsidP="0086207C">
      <w:pPr>
        <w:pStyle w:val="ListParagraph"/>
        <w:numPr>
          <w:ilvl w:val="0"/>
          <w:numId w:val="13"/>
        </w:numPr>
        <w:spacing w:after="0"/>
      </w:pPr>
      <w:r w:rsidRPr="00762B74">
        <w:t xml:space="preserve">Geld, J.A.G. van der, </w:t>
      </w:r>
      <w:r w:rsidRPr="00762B74">
        <w:rPr>
          <w:i/>
        </w:rPr>
        <w:t>Hoofdzaken vennootschapsbelasting</w:t>
      </w:r>
      <w:r w:rsidRPr="00762B74">
        <w:t>, Kluwer, Deventer, 2009</w:t>
      </w:r>
    </w:p>
    <w:p w:rsidR="00174971" w:rsidRPr="00762B74" w:rsidRDefault="00174971" w:rsidP="0086207C">
      <w:pPr>
        <w:pStyle w:val="ListParagraph"/>
        <w:numPr>
          <w:ilvl w:val="0"/>
          <w:numId w:val="13"/>
        </w:numPr>
        <w:spacing w:after="0"/>
      </w:pPr>
      <w:r w:rsidRPr="00762B74">
        <w:t xml:space="preserve">IJzerman, R.L.H., </w:t>
      </w:r>
      <w:r w:rsidRPr="00762B74">
        <w:rPr>
          <w:i/>
        </w:rPr>
        <w:t>Over fraus legis, herkwalificatie en het motiefvereiste</w:t>
      </w:r>
      <w:r w:rsidRPr="00762B74">
        <w:t>, in: S. van Weeghel en Ch. J. Langereis (red.), Van Brunschot-bundel: De grote lijn, opstellen aangeboden aan Frank van Brunschot, naar aanleiding van zijn afscheid bij de Hoge Raad, wegens zijn verdiensten voor het Nederlands belastingrecht, Kluwer, Deventer, 2006, blz. 75-80</w:t>
      </w:r>
    </w:p>
    <w:p w:rsidR="00174971" w:rsidRPr="00762B74" w:rsidRDefault="00174971" w:rsidP="0086207C">
      <w:pPr>
        <w:pStyle w:val="ListParagraph"/>
        <w:numPr>
          <w:ilvl w:val="0"/>
          <w:numId w:val="13"/>
        </w:numPr>
        <w:spacing w:after="0"/>
      </w:pPr>
      <w:r w:rsidRPr="00762B74">
        <w:t xml:space="preserve">Kakebeeke-van der Put, M.A., </w:t>
      </w:r>
      <w:r w:rsidRPr="00762B74">
        <w:rPr>
          <w:i/>
        </w:rPr>
        <w:t>Wetsontduiking</w:t>
      </w:r>
      <w:r w:rsidRPr="00762B74">
        <w:t>, Kluwer, Deventer (dissertatie Rijksuniversiteit Leiden), 1961</w:t>
      </w:r>
    </w:p>
    <w:p w:rsidR="00174971" w:rsidRPr="00762B74" w:rsidRDefault="00174971" w:rsidP="0086207C">
      <w:pPr>
        <w:pStyle w:val="ListParagraph"/>
        <w:numPr>
          <w:ilvl w:val="0"/>
          <w:numId w:val="13"/>
        </w:numPr>
        <w:spacing w:after="0"/>
      </w:pPr>
      <w:r w:rsidRPr="00762B74">
        <w:t xml:space="preserve">Kam, C.A. de e.a., </w:t>
      </w:r>
      <w:r w:rsidRPr="00762B74">
        <w:rPr>
          <w:i/>
        </w:rPr>
        <w:t>Belastingrecht in Hoofdlijnen</w:t>
      </w:r>
      <w:r w:rsidRPr="00762B74">
        <w:t>, Kluwer, Deventer, 2009</w:t>
      </w:r>
    </w:p>
    <w:p w:rsidR="00174971" w:rsidRPr="00762B74" w:rsidRDefault="00174971" w:rsidP="0086207C">
      <w:pPr>
        <w:pStyle w:val="ListParagraph"/>
        <w:numPr>
          <w:ilvl w:val="0"/>
          <w:numId w:val="13"/>
        </w:numPr>
        <w:spacing w:after="0"/>
      </w:pPr>
      <w:r w:rsidRPr="00762B74">
        <w:t xml:space="preserve">Kok, Q.W.J.C.H., </w:t>
      </w:r>
      <w:r w:rsidRPr="00762B74">
        <w:rPr>
          <w:i/>
        </w:rPr>
        <w:t>De fiscale eenheid in de vennootschapsbelasting</w:t>
      </w:r>
      <w:r w:rsidRPr="00762B74">
        <w:t>, SDU Fiscale en Financiële Uitgevers, Amersfoort, 2005</w:t>
      </w:r>
    </w:p>
    <w:p w:rsidR="00174971" w:rsidRPr="00762B74" w:rsidRDefault="00174971" w:rsidP="0086207C">
      <w:pPr>
        <w:pStyle w:val="ListParagraph"/>
        <w:numPr>
          <w:ilvl w:val="0"/>
          <w:numId w:val="13"/>
        </w:numPr>
        <w:spacing w:after="0"/>
      </w:pPr>
      <w:r w:rsidRPr="00762B74">
        <w:t xml:space="preserve">Koninck, C. de, </w:t>
      </w:r>
      <w:r w:rsidRPr="00762B74">
        <w:rPr>
          <w:i/>
        </w:rPr>
        <w:t>Beknopte encyclopedie van het Romeins recht</w:t>
      </w:r>
      <w:r w:rsidRPr="00762B74">
        <w:t>, Maklu, Apeldoorn, 2000</w:t>
      </w:r>
    </w:p>
    <w:p w:rsidR="00174971" w:rsidRPr="00762B74" w:rsidRDefault="00174971" w:rsidP="0086207C">
      <w:pPr>
        <w:pStyle w:val="ListParagraph"/>
        <w:numPr>
          <w:ilvl w:val="0"/>
          <w:numId w:val="13"/>
        </w:numPr>
        <w:spacing w:after="0"/>
      </w:pPr>
      <w:r w:rsidRPr="00762B74">
        <w:t xml:space="preserve">Langereis, Ch.J.C., </w:t>
      </w:r>
      <w:r w:rsidRPr="00762B74">
        <w:rPr>
          <w:i/>
        </w:rPr>
        <w:t>Fiscale werkelijkheid</w:t>
      </w:r>
      <w:r w:rsidRPr="00762B74">
        <w:t>, Kluwer, Deventer, 1988</w:t>
      </w:r>
    </w:p>
    <w:p w:rsidR="00174971" w:rsidRPr="00762B74" w:rsidRDefault="00174971" w:rsidP="0086207C">
      <w:pPr>
        <w:pStyle w:val="ListParagraph"/>
        <w:numPr>
          <w:ilvl w:val="0"/>
          <w:numId w:val="13"/>
        </w:numPr>
        <w:spacing w:after="0"/>
      </w:pPr>
      <w:r w:rsidRPr="00762B74">
        <w:t xml:space="preserve">Marres, O.C.R., </w:t>
      </w:r>
      <w:r w:rsidRPr="00762B74">
        <w:rPr>
          <w:i/>
        </w:rPr>
        <w:t>Winstdrainage door renteaftrek</w:t>
      </w:r>
      <w:r w:rsidRPr="00762B74">
        <w:t>, Kluwer, Deventer, 2008</w:t>
      </w:r>
    </w:p>
    <w:p w:rsidR="00174971" w:rsidRPr="00762B74" w:rsidRDefault="00174971" w:rsidP="0086207C">
      <w:pPr>
        <w:pStyle w:val="ListParagraph"/>
        <w:numPr>
          <w:ilvl w:val="0"/>
          <w:numId w:val="13"/>
        </w:numPr>
        <w:spacing w:after="0"/>
      </w:pPr>
      <w:r w:rsidRPr="00762B74">
        <w:t xml:space="preserve">Niessen, R.E.C.M., </w:t>
      </w:r>
      <w:r w:rsidRPr="00762B74">
        <w:rPr>
          <w:i/>
        </w:rPr>
        <w:t>Richtige heffing en fraus legis</w:t>
      </w:r>
      <w:r w:rsidRPr="00762B74">
        <w:t>, Gouda Quint, Arnhem, 1985</w:t>
      </w:r>
    </w:p>
    <w:p w:rsidR="00174971" w:rsidRPr="00762B74" w:rsidRDefault="00174971" w:rsidP="0086207C">
      <w:pPr>
        <w:pStyle w:val="ListParagraph"/>
        <w:numPr>
          <w:ilvl w:val="0"/>
          <w:numId w:val="13"/>
        </w:numPr>
        <w:spacing w:after="0"/>
      </w:pPr>
      <w:r w:rsidRPr="00762B74">
        <w:t xml:space="preserve">Scheltens, J.P., </w:t>
      </w:r>
      <w:r w:rsidRPr="00762B74">
        <w:rPr>
          <w:i/>
        </w:rPr>
        <w:t>Het bestaansrecht van een fiscaalrechtelijke leer van fraus legis</w:t>
      </w:r>
      <w:r w:rsidRPr="00762B74">
        <w:t>, in: A.K.P. Jongsma en J. Verburg (red.), Cyns en Dyns: opstellen aangeboden aan prof. mr. H.J. Hofstra, Kluwer, Deventer, 1975, blz. 151-168</w:t>
      </w:r>
    </w:p>
    <w:p w:rsidR="00174971" w:rsidRPr="00762B74" w:rsidRDefault="00174971" w:rsidP="0086207C">
      <w:pPr>
        <w:pStyle w:val="ListParagraph"/>
        <w:numPr>
          <w:ilvl w:val="0"/>
          <w:numId w:val="13"/>
        </w:numPr>
        <w:spacing w:after="0"/>
      </w:pPr>
      <w:r w:rsidRPr="00762B74">
        <w:t xml:space="preserve">Schuttevâer, H. en Zwemmer J.W., </w:t>
      </w:r>
      <w:r w:rsidRPr="00762B74">
        <w:rPr>
          <w:i/>
        </w:rPr>
        <w:t>De Nederlandse successiewetgeving</w:t>
      </w:r>
      <w:r w:rsidRPr="00762B74">
        <w:t>, Kluwer, Deventer, 1998</w:t>
      </w:r>
    </w:p>
    <w:p w:rsidR="00174971" w:rsidRPr="00762B74" w:rsidRDefault="00174971" w:rsidP="0086207C">
      <w:pPr>
        <w:pStyle w:val="ListParagraph"/>
        <w:numPr>
          <w:ilvl w:val="0"/>
          <w:numId w:val="13"/>
        </w:numPr>
        <w:spacing w:after="0"/>
      </w:pPr>
      <w:r w:rsidRPr="00762B74">
        <w:t xml:space="preserve">Sprenger van Eijk, J.P. , </w:t>
      </w:r>
      <w:r w:rsidRPr="00762B74">
        <w:rPr>
          <w:i/>
        </w:rPr>
        <w:t>De wetgeving op het recht van successie van overgang en van schenking</w:t>
      </w:r>
      <w:r w:rsidRPr="00762B74">
        <w:t>, Martinus Nijhoff, ’s-Gravenhage, 1930</w:t>
      </w:r>
    </w:p>
    <w:p w:rsidR="00174971" w:rsidRPr="00762B74" w:rsidRDefault="00174971" w:rsidP="0086207C">
      <w:pPr>
        <w:pStyle w:val="ListParagraph"/>
        <w:numPr>
          <w:ilvl w:val="0"/>
          <w:numId w:val="13"/>
        </w:numPr>
        <w:spacing w:after="0"/>
      </w:pPr>
      <w:r w:rsidRPr="00762B74">
        <w:t xml:space="preserve">Strik, S.A.W.J. en de Vries, N.H., </w:t>
      </w:r>
      <w:r w:rsidRPr="00762B74">
        <w:rPr>
          <w:i/>
        </w:rPr>
        <w:t>Cursus Belastingrecht (Vennootschapsbelasting)</w:t>
      </w:r>
      <w:r w:rsidRPr="00762B74">
        <w:t>, Kluwer, Deventer, 2009</w:t>
      </w:r>
    </w:p>
    <w:p w:rsidR="00174971" w:rsidRPr="00762B74" w:rsidRDefault="00174971" w:rsidP="0086207C">
      <w:pPr>
        <w:pStyle w:val="ListParagraph"/>
        <w:numPr>
          <w:ilvl w:val="0"/>
          <w:numId w:val="13"/>
        </w:numPr>
        <w:spacing w:after="0"/>
      </w:pPr>
      <w:r w:rsidRPr="00762B74">
        <w:t xml:space="preserve">Wattel, P.J., </w:t>
      </w:r>
      <w:r w:rsidRPr="00762B74">
        <w:rPr>
          <w:i/>
        </w:rPr>
        <w:t>Misbruik van Europees recht</w:t>
      </w:r>
      <w:r w:rsidRPr="00762B74">
        <w:t>, FED, Deventer/Moret, Ernst &amp; Young, Amsterdam, 1993</w:t>
      </w:r>
    </w:p>
    <w:p w:rsidR="00174971" w:rsidRPr="00762B74" w:rsidRDefault="00174971" w:rsidP="0086207C">
      <w:pPr>
        <w:pStyle w:val="ListParagraph"/>
        <w:numPr>
          <w:ilvl w:val="0"/>
          <w:numId w:val="13"/>
        </w:numPr>
        <w:spacing w:after="0"/>
        <w:rPr>
          <w:color w:val="000000"/>
        </w:rPr>
      </w:pPr>
      <w:r w:rsidRPr="002C2AAA">
        <w:rPr>
          <w:rStyle w:val="Emphasis"/>
          <w:i w:val="0"/>
          <w:color w:val="000000"/>
        </w:rPr>
        <w:t>Wattel</w:t>
      </w:r>
      <w:r w:rsidRPr="00762B74">
        <w:rPr>
          <w:b/>
          <w:color w:val="000000"/>
        </w:rPr>
        <w:t xml:space="preserve">, </w:t>
      </w:r>
      <w:r w:rsidRPr="00762B74">
        <w:rPr>
          <w:color w:val="000000"/>
        </w:rPr>
        <w:t xml:space="preserve">P.J., </w:t>
      </w:r>
      <w:r w:rsidRPr="00762B74">
        <w:rPr>
          <w:i/>
          <w:color w:val="000000"/>
        </w:rPr>
        <w:t>Nothing either good or bad, but thinking makes it so</w:t>
      </w:r>
      <w:r w:rsidRPr="00762B74">
        <w:rPr>
          <w:color w:val="000000"/>
        </w:rPr>
        <w:t>, in: R.P.C. Cornelisse en P.J. Wattel, Dat is</w:t>
      </w:r>
      <w:r w:rsidRPr="00762B74">
        <w:rPr>
          <w:b/>
          <w:color w:val="000000"/>
        </w:rPr>
        <w:t xml:space="preserve"> </w:t>
      </w:r>
      <w:r w:rsidRPr="00762B74">
        <w:rPr>
          <w:rStyle w:val="Emphasis"/>
          <w:color w:val="000000"/>
        </w:rPr>
        <w:t>verder geen probleem</w:t>
      </w:r>
      <w:r w:rsidRPr="0086207C">
        <w:rPr>
          <w:rStyle w:val="Emphasis"/>
          <w:i w:val="0"/>
          <w:color w:val="000000"/>
        </w:rPr>
        <w:t>, Vriendenbundel Jaap Zwemmer aan hem aangeboden bij zijn afscheidscollege als hoogleraar belastingrecht aan de Universiteit van Amsterdam, 17 november 2006, SDU Fiscale &amp; Financiële Uitgevers, Amersfoort,</w:t>
      </w:r>
      <w:r w:rsidRPr="00762B74">
        <w:rPr>
          <w:rStyle w:val="Emphasis"/>
          <w:b/>
          <w:color w:val="000000"/>
        </w:rPr>
        <w:t xml:space="preserve"> </w:t>
      </w:r>
      <w:r w:rsidRPr="00762B74">
        <w:rPr>
          <w:color w:val="000000"/>
        </w:rPr>
        <w:t>2006, blz. 209-221</w:t>
      </w:r>
    </w:p>
    <w:p w:rsidR="00174971" w:rsidRPr="00762B74" w:rsidRDefault="00174971" w:rsidP="00AD525E">
      <w:pPr>
        <w:spacing w:before="360"/>
        <w:rPr>
          <w:b/>
          <w:i/>
        </w:rPr>
      </w:pPr>
      <w:r w:rsidRPr="00762B74">
        <w:rPr>
          <w:b/>
          <w:i/>
        </w:rPr>
        <w:t>Tijdschriften</w:t>
      </w:r>
    </w:p>
    <w:p w:rsidR="00174971" w:rsidRPr="00762B74" w:rsidRDefault="00174971" w:rsidP="0086207C">
      <w:pPr>
        <w:pStyle w:val="ListParagraph"/>
        <w:numPr>
          <w:ilvl w:val="0"/>
          <w:numId w:val="14"/>
        </w:numPr>
        <w:spacing w:after="0"/>
      </w:pPr>
      <w:r w:rsidRPr="00762B74">
        <w:t xml:space="preserve">Aardema, E., ‘De grenzen van het leerstuk van de wetsontduiking’, </w:t>
      </w:r>
      <w:r w:rsidRPr="00762B74">
        <w:rPr>
          <w:i/>
        </w:rPr>
        <w:t>WFR</w:t>
      </w:r>
      <w:r w:rsidRPr="00762B74">
        <w:t xml:space="preserve"> 1978/1129</w:t>
      </w:r>
    </w:p>
    <w:p w:rsidR="00174971" w:rsidRDefault="00174971" w:rsidP="0086207C">
      <w:pPr>
        <w:pStyle w:val="ListParagraph"/>
        <w:numPr>
          <w:ilvl w:val="0"/>
          <w:numId w:val="14"/>
        </w:numPr>
        <w:spacing w:after="0"/>
      </w:pPr>
      <w:r w:rsidRPr="00762B74">
        <w:t xml:space="preserve">Aardema, E., ‘Reparatiewetgeving, alternatieve mogelijkheden’, </w:t>
      </w:r>
      <w:r w:rsidRPr="00762B74">
        <w:rPr>
          <w:i/>
        </w:rPr>
        <w:t>MBB</w:t>
      </w:r>
      <w:r w:rsidRPr="00762B74">
        <w:t xml:space="preserve"> 1980</w:t>
      </w:r>
      <w:r>
        <w:t>/</w:t>
      </w:r>
      <w:r w:rsidRPr="00762B74">
        <w:t>10</w:t>
      </w:r>
    </w:p>
    <w:p w:rsidR="00174971" w:rsidRPr="0006010B" w:rsidRDefault="00174971" w:rsidP="0086207C">
      <w:pPr>
        <w:pStyle w:val="ListParagraph"/>
        <w:numPr>
          <w:ilvl w:val="0"/>
          <w:numId w:val="14"/>
        </w:numPr>
        <w:spacing w:after="0"/>
      </w:pPr>
      <w:r w:rsidRPr="0006010B">
        <w:t>Albert, P.G.H., ‘Wanneer mog</w:t>
      </w:r>
      <w:r>
        <w:t xml:space="preserve">en reorganisatiefaciliteiten geweigerd worden? Van zakelijkheidstoets naar misbruiktoets, </w:t>
      </w:r>
      <w:r>
        <w:rPr>
          <w:i/>
        </w:rPr>
        <w:t>Tribuut</w:t>
      </w:r>
      <w:r>
        <w:t xml:space="preserve"> 2008/02</w:t>
      </w:r>
    </w:p>
    <w:p w:rsidR="00174971" w:rsidRPr="00762B74" w:rsidRDefault="00174971" w:rsidP="0086207C">
      <w:pPr>
        <w:pStyle w:val="ListParagraph"/>
        <w:numPr>
          <w:ilvl w:val="0"/>
          <w:numId w:val="14"/>
        </w:numPr>
        <w:spacing w:after="0"/>
      </w:pPr>
      <w:r w:rsidRPr="00762B74">
        <w:t>Blokland, T., ‘</w:t>
      </w:r>
      <w:r w:rsidRPr="00762B74">
        <w:rPr>
          <w:rStyle w:val="pubkopko"/>
        </w:rPr>
        <w:t xml:space="preserve">Aspecten van het ontgaan van (aanmerkelijkbelang)belasting’, </w:t>
      </w:r>
      <w:r w:rsidRPr="00762B74">
        <w:rPr>
          <w:rStyle w:val="nadrukb"/>
          <w:i w:val="0"/>
        </w:rPr>
        <w:t>WFR</w:t>
      </w:r>
      <w:r w:rsidRPr="00762B74">
        <w:t xml:space="preserve"> 2000/431</w:t>
      </w:r>
    </w:p>
    <w:p w:rsidR="00174971" w:rsidRPr="00762B74" w:rsidRDefault="00174971" w:rsidP="0086207C">
      <w:pPr>
        <w:pStyle w:val="ListParagraph"/>
        <w:numPr>
          <w:ilvl w:val="0"/>
          <w:numId w:val="14"/>
        </w:numPr>
        <w:spacing w:after="0"/>
      </w:pPr>
      <w:r w:rsidRPr="00762B74">
        <w:t xml:space="preserve">Brummer, G.B.A. en Thijssen, J.B., ‘De ontgaanstoets in de fusie- en splitsingsfaciliteiten’, </w:t>
      </w:r>
      <w:r w:rsidRPr="00762B74">
        <w:rPr>
          <w:i/>
        </w:rPr>
        <w:t>WFR</w:t>
      </w:r>
      <w:r w:rsidRPr="00762B74">
        <w:t xml:space="preserve"> 2003/401</w:t>
      </w:r>
    </w:p>
    <w:p w:rsidR="00174971" w:rsidRPr="00762B74" w:rsidRDefault="00174971" w:rsidP="0086207C">
      <w:pPr>
        <w:pStyle w:val="ListParagraph"/>
        <w:numPr>
          <w:ilvl w:val="0"/>
          <w:numId w:val="14"/>
        </w:numPr>
        <w:spacing w:after="0"/>
      </w:pPr>
      <w:r w:rsidRPr="00762B74">
        <w:t xml:space="preserve">Cornelisse, R.P.C., ‘Fraus legis in de vennootschapsbelasting’, </w:t>
      </w:r>
      <w:r w:rsidRPr="00762B74">
        <w:rPr>
          <w:i/>
        </w:rPr>
        <w:t>TFB</w:t>
      </w:r>
      <w:r w:rsidRPr="00762B74">
        <w:t xml:space="preserve"> 2002/11-12</w:t>
      </w:r>
    </w:p>
    <w:p w:rsidR="00174971" w:rsidRDefault="00174971" w:rsidP="0086207C">
      <w:pPr>
        <w:pStyle w:val="ListParagraph"/>
        <w:numPr>
          <w:ilvl w:val="0"/>
          <w:numId w:val="14"/>
        </w:numPr>
        <w:spacing w:after="0"/>
      </w:pPr>
      <w:r w:rsidRPr="00762B74">
        <w:t xml:space="preserve">Dohmen, J., ‘Meer fraude door falend toezicht fiscus’, </w:t>
      </w:r>
      <w:r w:rsidRPr="00762B74">
        <w:rPr>
          <w:i/>
        </w:rPr>
        <w:t>NRC Handelsblad</w:t>
      </w:r>
      <w:r w:rsidRPr="00762B74">
        <w:t>, 27 november 2007</w:t>
      </w:r>
    </w:p>
    <w:p w:rsidR="00174971" w:rsidRPr="0006010B" w:rsidRDefault="00174971" w:rsidP="0086207C">
      <w:pPr>
        <w:pStyle w:val="ListParagraph"/>
        <w:numPr>
          <w:ilvl w:val="0"/>
          <w:numId w:val="14"/>
        </w:numPr>
        <w:spacing w:after="0"/>
      </w:pPr>
      <w:r w:rsidRPr="0006010B">
        <w:t>Dolfin, R.E.J., ‘Het</w:t>
      </w:r>
      <w:r>
        <w:t xml:space="preserve"> faciliëren van een interne reorganisatie in de vennootschapsbelasting’, </w:t>
      </w:r>
      <w:r>
        <w:rPr>
          <w:i/>
        </w:rPr>
        <w:t>TFO</w:t>
      </w:r>
      <w:r>
        <w:t xml:space="preserve"> 2004/115</w:t>
      </w:r>
    </w:p>
    <w:p w:rsidR="00174971" w:rsidRDefault="00174971" w:rsidP="0086207C">
      <w:pPr>
        <w:pStyle w:val="ListParagraph"/>
        <w:numPr>
          <w:ilvl w:val="0"/>
          <w:numId w:val="14"/>
        </w:numPr>
        <w:spacing w:after="0"/>
      </w:pPr>
      <w:r w:rsidRPr="00762B74">
        <w:t xml:space="preserve">Doornebal, J., ‘De aandelenfusie in de knel tussen Nederlands en Europees recht’, </w:t>
      </w:r>
      <w:r w:rsidRPr="00762B74">
        <w:rPr>
          <w:i/>
        </w:rPr>
        <w:t>TFO</w:t>
      </w:r>
      <w:r w:rsidRPr="00762B74">
        <w:t xml:space="preserve"> 1998/113</w:t>
      </w:r>
    </w:p>
    <w:p w:rsidR="00174971" w:rsidRPr="00762B74" w:rsidRDefault="00174971" w:rsidP="0086207C">
      <w:pPr>
        <w:pStyle w:val="ListParagraph"/>
        <w:numPr>
          <w:ilvl w:val="0"/>
          <w:numId w:val="14"/>
        </w:numPr>
        <w:spacing w:after="0"/>
      </w:pPr>
      <w:r>
        <w:t xml:space="preserve">Essers, P.H.J., ‘Winstdrainage en fraus legis’, </w:t>
      </w:r>
      <w:r>
        <w:rPr>
          <w:i/>
        </w:rPr>
        <w:t xml:space="preserve">WFR </w:t>
      </w:r>
      <w:r>
        <w:t>1995/197</w:t>
      </w:r>
    </w:p>
    <w:p w:rsidR="00174971" w:rsidRPr="00762B74" w:rsidRDefault="00174971" w:rsidP="0086207C">
      <w:pPr>
        <w:pStyle w:val="ListParagraph"/>
        <w:numPr>
          <w:ilvl w:val="0"/>
          <w:numId w:val="14"/>
        </w:numPr>
        <w:spacing w:after="0"/>
      </w:pPr>
      <w:r w:rsidRPr="00762B74">
        <w:t xml:space="preserve">Faase, E.F., ‘Misbruik: middel of doel?’, </w:t>
      </w:r>
      <w:r w:rsidRPr="00762B74">
        <w:rPr>
          <w:i/>
        </w:rPr>
        <w:t>NTFR</w:t>
      </w:r>
      <w:r w:rsidRPr="00762B74">
        <w:t xml:space="preserve"> 2004/1445</w:t>
      </w:r>
    </w:p>
    <w:p w:rsidR="00174971" w:rsidRPr="00762B74" w:rsidRDefault="00174971" w:rsidP="0086207C">
      <w:pPr>
        <w:pStyle w:val="ListParagraph"/>
        <w:numPr>
          <w:ilvl w:val="0"/>
          <w:numId w:val="14"/>
        </w:numPr>
        <w:spacing w:after="0"/>
      </w:pPr>
      <w:r w:rsidRPr="00762B74">
        <w:t>Feskens, M.J. en Engelen, F.A., ‘</w:t>
      </w:r>
      <w:r w:rsidRPr="00762B74">
        <w:rPr>
          <w:rStyle w:val="pubkopko"/>
        </w:rPr>
        <w:t xml:space="preserve">Internationale aspecten van de Belastingherziening 2001’, </w:t>
      </w:r>
      <w:r w:rsidRPr="00762B74">
        <w:rPr>
          <w:rStyle w:val="nadrukb"/>
          <w:i w:val="0"/>
        </w:rPr>
        <w:t>WFR</w:t>
      </w:r>
      <w:r w:rsidRPr="00762B74">
        <w:t xml:space="preserve"> 1999/1505</w:t>
      </w:r>
    </w:p>
    <w:p w:rsidR="00174971" w:rsidRDefault="00174971" w:rsidP="0086207C">
      <w:pPr>
        <w:pStyle w:val="ListParagraph"/>
        <w:numPr>
          <w:ilvl w:val="0"/>
          <w:numId w:val="14"/>
        </w:numPr>
        <w:spacing w:after="0"/>
      </w:pPr>
      <w:r w:rsidRPr="00762B74">
        <w:t>Fortuin, P., ‘</w:t>
      </w:r>
      <w:r w:rsidRPr="00762B74">
        <w:rPr>
          <w:rStyle w:val="pubkopko"/>
        </w:rPr>
        <w:t xml:space="preserve">Leur-Bloem-beleid’, </w:t>
      </w:r>
      <w:r w:rsidRPr="00762B74">
        <w:rPr>
          <w:rStyle w:val="nadrukb"/>
        </w:rPr>
        <w:t>WFR</w:t>
      </w:r>
      <w:r w:rsidRPr="00762B74">
        <w:t xml:space="preserve"> 1998/1689</w:t>
      </w:r>
    </w:p>
    <w:p w:rsidR="00174971" w:rsidRPr="00C06EC5" w:rsidRDefault="00174971" w:rsidP="0086207C">
      <w:pPr>
        <w:pStyle w:val="ListParagraph"/>
        <w:numPr>
          <w:ilvl w:val="0"/>
          <w:numId w:val="14"/>
        </w:numPr>
        <w:spacing w:after="0"/>
      </w:pPr>
      <w:r w:rsidRPr="00C06EC5">
        <w:t>Gerrits, P.M., ‘Mag voo</w:t>
      </w:r>
      <w:r>
        <w:t xml:space="preserve">rkoming heffing overdrachtsbelasting de reden zijn voor een fusie?’, </w:t>
      </w:r>
      <w:r>
        <w:rPr>
          <w:i/>
        </w:rPr>
        <w:t>FT</w:t>
      </w:r>
      <w:r w:rsidRPr="00C06EC5">
        <w:rPr>
          <w:i/>
        </w:rPr>
        <w:t>V</w:t>
      </w:r>
      <w:r>
        <w:t xml:space="preserve"> 2010/24</w:t>
      </w:r>
    </w:p>
    <w:p w:rsidR="00174971" w:rsidRPr="00762B74" w:rsidRDefault="00174971" w:rsidP="0086207C">
      <w:pPr>
        <w:pStyle w:val="ListParagraph"/>
        <w:numPr>
          <w:ilvl w:val="0"/>
          <w:numId w:val="14"/>
        </w:numPr>
        <w:spacing w:after="0"/>
      </w:pPr>
      <w:r w:rsidRPr="00762B74">
        <w:t xml:space="preserve">Heithuis, E.J.W., ‘Winstdrainage, externe acquisities en de ‘verschillende wegen’-leer’, </w:t>
      </w:r>
      <w:r w:rsidRPr="00762B74">
        <w:rPr>
          <w:i/>
        </w:rPr>
        <w:t>WFR</w:t>
      </w:r>
      <w:r w:rsidRPr="00762B74">
        <w:t xml:space="preserve"> 1996/573</w:t>
      </w:r>
    </w:p>
    <w:p w:rsidR="00174971" w:rsidRPr="00762B74" w:rsidRDefault="00174971" w:rsidP="0086207C">
      <w:pPr>
        <w:pStyle w:val="ListParagraph"/>
        <w:numPr>
          <w:ilvl w:val="0"/>
          <w:numId w:val="14"/>
        </w:numPr>
        <w:spacing w:after="0"/>
      </w:pPr>
      <w:r w:rsidRPr="00762B74">
        <w:t xml:space="preserve">Heithuis, E.J.W., ‘Herziening regime fiscale eenheid in de vennootschapsbelasting’, </w:t>
      </w:r>
      <w:r w:rsidRPr="00762B74">
        <w:rPr>
          <w:i/>
        </w:rPr>
        <w:t>TFO</w:t>
      </w:r>
      <w:r w:rsidRPr="00762B74">
        <w:t xml:space="preserve"> 2001/287</w:t>
      </w:r>
    </w:p>
    <w:p w:rsidR="00174971" w:rsidRPr="00762B74" w:rsidRDefault="00174971" w:rsidP="0086207C">
      <w:pPr>
        <w:pStyle w:val="ListParagraph"/>
        <w:numPr>
          <w:ilvl w:val="0"/>
          <w:numId w:val="14"/>
        </w:numPr>
        <w:spacing w:after="0"/>
      </w:pPr>
      <w:r w:rsidRPr="00762B74">
        <w:t xml:space="preserve">IJzerman, R.L.H., ‘Over fraus legis’, </w:t>
      </w:r>
      <w:r w:rsidRPr="00762B74">
        <w:rPr>
          <w:i/>
        </w:rPr>
        <w:t>TFB</w:t>
      </w:r>
      <w:r w:rsidRPr="00762B74">
        <w:t xml:space="preserve"> 2002/11-12</w:t>
      </w:r>
    </w:p>
    <w:p w:rsidR="00174971" w:rsidRPr="00762B74" w:rsidRDefault="00174971" w:rsidP="0086207C">
      <w:pPr>
        <w:pStyle w:val="ListParagraph"/>
        <w:numPr>
          <w:ilvl w:val="0"/>
          <w:numId w:val="14"/>
        </w:numPr>
        <w:spacing w:after="0"/>
      </w:pPr>
      <w:r w:rsidRPr="00762B74">
        <w:t xml:space="preserve">Immerseel, S.F. van, ‘Belastingontwijking: uitstel of afstel?’, </w:t>
      </w:r>
      <w:r w:rsidRPr="00762B74">
        <w:rPr>
          <w:i/>
        </w:rPr>
        <w:t>WFR</w:t>
      </w:r>
      <w:r w:rsidRPr="00762B74">
        <w:t xml:space="preserve"> 2002/1102</w:t>
      </w:r>
    </w:p>
    <w:p w:rsidR="00174971" w:rsidRPr="00762B74" w:rsidRDefault="00174971" w:rsidP="0086207C">
      <w:pPr>
        <w:pStyle w:val="ListParagraph"/>
        <w:numPr>
          <w:ilvl w:val="0"/>
          <w:numId w:val="14"/>
        </w:numPr>
        <w:spacing w:after="0"/>
      </w:pPr>
      <w:r w:rsidRPr="00762B74">
        <w:t xml:space="preserve">Juch, D., ‘De belastingadviseur en-de reparatiewetgeving’, </w:t>
      </w:r>
      <w:r w:rsidRPr="00762B74">
        <w:rPr>
          <w:i/>
        </w:rPr>
        <w:t>WFR</w:t>
      </w:r>
      <w:r w:rsidRPr="00762B74">
        <w:t xml:space="preserve"> 1981/1264</w:t>
      </w:r>
    </w:p>
    <w:p w:rsidR="00174971" w:rsidRPr="00762B74" w:rsidRDefault="00174971" w:rsidP="0086207C">
      <w:pPr>
        <w:pStyle w:val="ListParagraph"/>
        <w:numPr>
          <w:ilvl w:val="0"/>
          <w:numId w:val="14"/>
        </w:numPr>
        <w:spacing w:after="0"/>
      </w:pPr>
      <w:r w:rsidRPr="00762B74">
        <w:t xml:space="preserve">Kavelaars, P., ‘Ge- en misbruik van het EU-recht’, </w:t>
      </w:r>
      <w:r w:rsidRPr="00762B74">
        <w:rPr>
          <w:i/>
        </w:rPr>
        <w:t>NTFR-B</w:t>
      </w:r>
      <w:r w:rsidRPr="00762B74">
        <w:t xml:space="preserve"> 2008/11</w:t>
      </w:r>
    </w:p>
    <w:p w:rsidR="00174971" w:rsidRPr="00762B74" w:rsidRDefault="00174971" w:rsidP="0086207C">
      <w:pPr>
        <w:pStyle w:val="ListParagraph"/>
        <w:numPr>
          <w:ilvl w:val="0"/>
          <w:numId w:val="14"/>
        </w:numPr>
        <w:spacing w:after="0"/>
      </w:pPr>
      <w:r w:rsidRPr="00762B74">
        <w:t xml:space="preserve">Kemmeren, E.C.C.M. van, ‘Fraus legis in de vennootschapsbelasting’, </w:t>
      </w:r>
      <w:r w:rsidRPr="00762B74">
        <w:rPr>
          <w:i/>
        </w:rPr>
        <w:t>TFO</w:t>
      </w:r>
      <w:r w:rsidRPr="00762B74">
        <w:t xml:space="preserve"> 1994/21</w:t>
      </w:r>
    </w:p>
    <w:p w:rsidR="00174971" w:rsidRPr="00762B74" w:rsidRDefault="00174971" w:rsidP="0086207C">
      <w:pPr>
        <w:pStyle w:val="ListParagraph"/>
        <w:numPr>
          <w:ilvl w:val="0"/>
          <w:numId w:val="14"/>
        </w:numPr>
        <w:spacing w:after="0"/>
      </w:pPr>
      <w:r w:rsidRPr="00762B74">
        <w:t xml:space="preserve">Kemmeren, E.C.C.M., ‘Winstdrainage: een vergaande mogelijkheid tot winstallocatie’, </w:t>
      </w:r>
      <w:r w:rsidRPr="00762B74">
        <w:rPr>
          <w:i/>
        </w:rPr>
        <w:t>FED</w:t>
      </w:r>
      <w:r w:rsidRPr="00762B74">
        <w:t xml:space="preserve"> 1996/16</w:t>
      </w:r>
    </w:p>
    <w:p w:rsidR="00174971" w:rsidRPr="00762B74" w:rsidRDefault="00174971" w:rsidP="0086207C">
      <w:pPr>
        <w:pStyle w:val="ListParagraph"/>
        <w:numPr>
          <w:ilvl w:val="0"/>
          <w:numId w:val="14"/>
        </w:numPr>
        <w:spacing w:after="0"/>
      </w:pPr>
      <w:r w:rsidRPr="00762B74">
        <w:t xml:space="preserve">Kruiswijk, A., ‘De winstdrainageregelingen en het leerstuk van de wetsontduiking’, </w:t>
      </w:r>
      <w:r w:rsidRPr="00762B74">
        <w:rPr>
          <w:i/>
        </w:rPr>
        <w:t>WFR</w:t>
      </w:r>
      <w:r w:rsidRPr="00762B74">
        <w:t xml:space="preserve"> 2002/1501</w:t>
      </w:r>
    </w:p>
    <w:p w:rsidR="00174971" w:rsidRPr="00762B74" w:rsidRDefault="00174971" w:rsidP="0086207C">
      <w:pPr>
        <w:pStyle w:val="ListParagraph"/>
        <w:numPr>
          <w:ilvl w:val="0"/>
          <w:numId w:val="14"/>
        </w:numPr>
        <w:spacing w:after="0"/>
      </w:pPr>
      <w:r w:rsidRPr="00762B74">
        <w:t xml:space="preserve">Lambooij, M.V. , ‘Weigeringsgronden en fusies’, </w:t>
      </w:r>
      <w:r w:rsidRPr="00762B74">
        <w:rPr>
          <w:i/>
        </w:rPr>
        <w:t>NTFR-B</w:t>
      </w:r>
      <w:r w:rsidRPr="00762B74">
        <w:t xml:space="preserve"> 2008-46</w:t>
      </w:r>
    </w:p>
    <w:p w:rsidR="00174971" w:rsidRPr="00762B74" w:rsidRDefault="00174971" w:rsidP="0086207C">
      <w:pPr>
        <w:pStyle w:val="ListParagraph"/>
        <w:numPr>
          <w:ilvl w:val="0"/>
          <w:numId w:val="14"/>
        </w:numPr>
        <w:spacing w:after="0"/>
      </w:pPr>
      <w:r w:rsidRPr="00762B74">
        <w:t xml:space="preserve">Marres, O.C.R., ‘Fraus legis blijft een krachtig wapen tegen winstdrainage’, </w:t>
      </w:r>
      <w:r w:rsidRPr="00762B74">
        <w:rPr>
          <w:i/>
        </w:rPr>
        <w:t>WFR</w:t>
      </w:r>
      <w:r w:rsidRPr="00762B74">
        <w:t xml:space="preserve"> 2008/1431</w:t>
      </w:r>
    </w:p>
    <w:p w:rsidR="00174971" w:rsidRPr="00762B74" w:rsidRDefault="00174971" w:rsidP="0086207C">
      <w:pPr>
        <w:pStyle w:val="ListParagraph"/>
        <w:numPr>
          <w:ilvl w:val="0"/>
          <w:numId w:val="14"/>
        </w:numPr>
        <w:spacing w:after="0"/>
      </w:pPr>
      <w:r w:rsidRPr="00762B74">
        <w:t xml:space="preserve">Raad, C. van, Rouwers, </w:t>
      </w:r>
      <w:bookmarkStart w:id="72" w:name="VN-N79"/>
      <w:bookmarkEnd w:id="72"/>
      <w:r w:rsidRPr="00762B74">
        <w:t>R.W.G. en Simonis, P.H.M., ‘</w:t>
      </w:r>
      <w:r w:rsidRPr="00762B74">
        <w:rPr>
          <w:rStyle w:val="pubkopko"/>
        </w:rPr>
        <w:t>De verreikende gevolgen van het arrest van HvJ EG in de zaak Leur-Bloem’</w:t>
      </w:r>
      <w:r w:rsidRPr="00762B74">
        <w:t>,</w:t>
      </w:r>
      <w:r w:rsidRPr="00762B74">
        <w:rPr>
          <w:rStyle w:val="nadrukb"/>
          <w:i w:val="0"/>
        </w:rPr>
        <w:t xml:space="preserve"> WFR</w:t>
      </w:r>
      <w:r w:rsidRPr="00762B74">
        <w:t xml:space="preserve"> 1997/1239</w:t>
      </w:r>
    </w:p>
    <w:p w:rsidR="00174971" w:rsidRDefault="00174971" w:rsidP="0086207C">
      <w:pPr>
        <w:pStyle w:val="ListParagraph"/>
        <w:numPr>
          <w:ilvl w:val="0"/>
          <w:numId w:val="14"/>
        </w:numPr>
        <w:spacing w:after="0"/>
      </w:pPr>
      <w:r w:rsidRPr="00762B74">
        <w:t xml:space="preserve">Redactie Vakstudie Nieuws, </w:t>
      </w:r>
      <w:r w:rsidRPr="00762B74">
        <w:rPr>
          <w:i/>
        </w:rPr>
        <w:t>V-N</w:t>
      </w:r>
      <w:r w:rsidRPr="00762B74">
        <w:t xml:space="preserve"> 2008/8.4</w:t>
      </w:r>
    </w:p>
    <w:p w:rsidR="00174971" w:rsidRPr="00762B74" w:rsidRDefault="00174971" w:rsidP="0086207C">
      <w:pPr>
        <w:pStyle w:val="ListParagraph"/>
        <w:numPr>
          <w:ilvl w:val="0"/>
          <w:numId w:val="14"/>
        </w:numPr>
        <w:spacing w:after="0"/>
      </w:pPr>
      <w:r>
        <w:t xml:space="preserve">Ruijschop, M.H.C., ‘De wettelijke voorwaarde van de bedrijfsfusiecapaciteit’, </w:t>
      </w:r>
      <w:r>
        <w:rPr>
          <w:i/>
        </w:rPr>
        <w:t xml:space="preserve">Tribuut </w:t>
      </w:r>
      <w:r>
        <w:t xml:space="preserve"> 2008/01</w:t>
      </w:r>
    </w:p>
    <w:p w:rsidR="00174971" w:rsidRPr="00762B74" w:rsidRDefault="00174971" w:rsidP="0086207C">
      <w:pPr>
        <w:pStyle w:val="ListParagraph"/>
        <w:numPr>
          <w:ilvl w:val="0"/>
          <w:numId w:val="14"/>
        </w:numPr>
        <w:spacing w:after="0"/>
      </w:pPr>
      <w:r w:rsidRPr="00762B74">
        <w:t xml:space="preserve">Slot, G., ‘Noot bij HR 6 november 1991, rolnr. 27 102’, </w:t>
      </w:r>
      <w:r w:rsidRPr="00762B74">
        <w:rPr>
          <w:i/>
        </w:rPr>
        <w:t>BNB</w:t>
      </w:r>
      <w:r w:rsidRPr="00762B74">
        <w:t xml:space="preserve"> 1992/97</w:t>
      </w:r>
    </w:p>
    <w:p w:rsidR="00174971" w:rsidRPr="00762B74" w:rsidRDefault="00174971" w:rsidP="0086207C">
      <w:pPr>
        <w:pStyle w:val="ListParagraph"/>
        <w:numPr>
          <w:ilvl w:val="0"/>
          <w:numId w:val="14"/>
        </w:numPr>
        <w:spacing w:after="0"/>
      </w:pPr>
      <w:r w:rsidRPr="00762B74">
        <w:t>Smits, L.B. ‘</w:t>
      </w:r>
      <w:r w:rsidRPr="00762B74">
        <w:rPr>
          <w:rStyle w:val="pubkopko"/>
        </w:rPr>
        <w:t xml:space="preserve">Europeesrechtelijke fricties inzake art. 14a, zesde lid’, Wet VPB 1969, </w:t>
      </w:r>
      <w:r w:rsidRPr="00762B74">
        <w:rPr>
          <w:rStyle w:val="nadrukb"/>
          <w:i w:val="0"/>
        </w:rPr>
        <w:t>WFR</w:t>
      </w:r>
      <w:r w:rsidRPr="00762B74">
        <w:t xml:space="preserve"> 2007/409</w:t>
      </w:r>
    </w:p>
    <w:p w:rsidR="00174971" w:rsidRPr="00762B74" w:rsidRDefault="00174971" w:rsidP="0086207C">
      <w:pPr>
        <w:pStyle w:val="ListParagraph"/>
        <w:numPr>
          <w:ilvl w:val="0"/>
          <w:numId w:val="14"/>
        </w:numPr>
        <w:spacing w:after="0"/>
      </w:pPr>
      <w:r w:rsidRPr="00762B74">
        <w:t xml:space="preserve">Soeten, G.H. de, ‘Winstdrainage en fraus legis’, </w:t>
      </w:r>
      <w:r w:rsidRPr="00762B74">
        <w:rPr>
          <w:i/>
        </w:rPr>
        <w:t>WFR</w:t>
      </w:r>
      <w:r w:rsidRPr="00762B74">
        <w:t xml:space="preserve"> 2003/256</w:t>
      </w:r>
    </w:p>
    <w:p w:rsidR="00174971" w:rsidRPr="00762B74" w:rsidRDefault="00174971" w:rsidP="0086207C">
      <w:pPr>
        <w:pStyle w:val="ListParagraph"/>
        <w:numPr>
          <w:ilvl w:val="0"/>
          <w:numId w:val="14"/>
        </w:numPr>
        <w:spacing w:after="0"/>
      </w:pPr>
      <w:r w:rsidRPr="00762B74">
        <w:t xml:space="preserve">Stoffer, S., ‘Fiscale kwaliteitszorg’, </w:t>
      </w:r>
      <w:r w:rsidRPr="00762B74">
        <w:rPr>
          <w:i/>
        </w:rPr>
        <w:t>WFR</w:t>
      </w:r>
      <w:r w:rsidRPr="00762B74">
        <w:t xml:space="preserve"> 1993/797</w:t>
      </w:r>
    </w:p>
    <w:p w:rsidR="00174971" w:rsidRPr="00762B74" w:rsidRDefault="00174971" w:rsidP="0086207C">
      <w:pPr>
        <w:pStyle w:val="ListParagraph"/>
        <w:numPr>
          <w:ilvl w:val="0"/>
          <w:numId w:val="14"/>
        </w:numPr>
        <w:spacing w:after="0"/>
      </w:pPr>
      <w:r w:rsidRPr="00762B74">
        <w:t xml:space="preserve">Strik, S.A.W.J., ‘Wetsvoorstel werken aan winst: een aantal resterende aandachtspunten’, </w:t>
      </w:r>
      <w:r w:rsidRPr="00762B74">
        <w:rPr>
          <w:i/>
        </w:rPr>
        <w:t>WFR</w:t>
      </w:r>
      <w:r w:rsidRPr="00762B74">
        <w:t xml:space="preserve"> 2006/1311</w:t>
      </w:r>
    </w:p>
    <w:p w:rsidR="00174971" w:rsidRDefault="00174971" w:rsidP="0086207C">
      <w:pPr>
        <w:pStyle w:val="ListParagraph"/>
        <w:numPr>
          <w:ilvl w:val="0"/>
          <w:numId w:val="14"/>
        </w:numPr>
        <w:spacing w:after="0"/>
      </w:pPr>
      <w:r w:rsidRPr="00762B74">
        <w:t xml:space="preserve">Vegt, P.C van der, ‘Zakelijkheid bij fusies en splitsingen’, </w:t>
      </w:r>
      <w:r w:rsidRPr="00762B74">
        <w:rPr>
          <w:i/>
        </w:rPr>
        <w:t>WFR</w:t>
      </w:r>
      <w:r w:rsidRPr="00762B74">
        <w:t xml:space="preserve"> 2002/1809</w:t>
      </w:r>
    </w:p>
    <w:p w:rsidR="00174971" w:rsidRPr="00762B74" w:rsidRDefault="00174971" w:rsidP="0086207C">
      <w:pPr>
        <w:pStyle w:val="ListParagraph"/>
        <w:numPr>
          <w:ilvl w:val="0"/>
          <w:numId w:val="14"/>
        </w:numPr>
        <w:spacing w:after="0"/>
      </w:pPr>
      <w:r>
        <w:t xml:space="preserve">Veldhuizen, M.W.W., ‘Zakelijke overwegingen in de fusie- en splitsingsfaciliteiten’, </w:t>
      </w:r>
      <w:r>
        <w:rPr>
          <w:i/>
        </w:rPr>
        <w:t>Forfaitair</w:t>
      </w:r>
      <w:r>
        <w:t>, 2005/15</w:t>
      </w:r>
    </w:p>
    <w:p w:rsidR="00174971" w:rsidRPr="00762B74" w:rsidRDefault="00174971" w:rsidP="0086207C">
      <w:pPr>
        <w:pStyle w:val="ListParagraph"/>
        <w:numPr>
          <w:ilvl w:val="0"/>
          <w:numId w:val="14"/>
        </w:numPr>
        <w:spacing w:after="0"/>
      </w:pPr>
      <w:r w:rsidRPr="00762B74">
        <w:t xml:space="preserve">Vries, R.J. de, ‘Kwaliteit van fiscale rechtsvinding en fiscale regelgeving’, </w:t>
      </w:r>
      <w:r w:rsidRPr="00762B74">
        <w:rPr>
          <w:i/>
        </w:rPr>
        <w:t>WFR</w:t>
      </w:r>
      <w:r w:rsidRPr="00762B74">
        <w:t xml:space="preserve"> 2010/114</w:t>
      </w:r>
    </w:p>
    <w:p w:rsidR="00174971" w:rsidRPr="00762B74" w:rsidRDefault="00174971" w:rsidP="0086207C">
      <w:pPr>
        <w:pStyle w:val="ListParagraph"/>
        <w:numPr>
          <w:ilvl w:val="0"/>
          <w:numId w:val="14"/>
        </w:numPr>
        <w:spacing w:after="0"/>
      </w:pPr>
      <w:r w:rsidRPr="00762B74">
        <w:t xml:space="preserve">Weber, D.M., ‘Zwijnenburg; C-352/08. </w:t>
      </w:r>
      <w:r w:rsidRPr="0086207C">
        <w:rPr>
          <w:lang w:val="en-US"/>
        </w:rPr>
        <w:t xml:space="preserve">May the transfer of assets facility in the Merger Directive be refused in the case of avoidance of levy of transfer tax? </w:t>
      </w:r>
      <w:r w:rsidRPr="00762B74">
        <w:t xml:space="preserve">Hoge Raad’, </w:t>
      </w:r>
      <w:r w:rsidRPr="00762B74">
        <w:rPr>
          <w:i/>
          <w:iCs/>
        </w:rPr>
        <w:t>Highlights &amp; insights on European taxation</w:t>
      </w:r>
      <w:r>
        <w:rPr>
          <w:i/>
          <w:iCs/>
        </w:rPr>
        <w:t>,</w:t>
      </w:r>
      <w:r w:rsidRPr="00762B74">
        <w:rPr>
          <w:iCs/>
        </w:rPr>
        <w:t xml:space="preserve"> </w:t>
      </w:r>
      <w:r w:rsidRPr="00762B74">
        <w:t>2008/1.17</w:t>
      </w:r>
    </w:p>
    <w:p w:rsidR="00174971" w:rsidRPr="00762B74" w:rsidRDefault="00174971" w:rsidP="00AD525E">
      <w:pPr>
        <w:pStyle w:val="FootnoteText"/>
        <w:spacing w:before="360" w:after="360" w:line="360" w:lineRule="auto"/>
        <w:rPr>
          <w:b/>
          <w:i/>
          <w:sz w:val="22"/>
          <w:szCs w:val="22"/>
        </w:rPr>
      </w:pPr>
      <w:r w:rsidRPr="00762B74">
        <w:rPr>
          <w:b/>
          <w:i/>
          <w:sz w:val="22"/>
          <w:szCs w:val="22"/>
        </w:rPr>
        <w:t>Kamerstukken en beleidsstukken</w:t>
      </w:r>
    </w:p>
    <w:p w:rsidR="00174971" w:rsidRPr="00762B74" w:rsidRDefault="00174971" w:rsidP="0086207C">
      <w:pPr>
        <w:pStyle w:val="FootnoteText"/>
        <w:numPr>
          <w:ilvl w:val="0"/>
          <w:numId w:val="15"/>
        </w:numPr>
        <w:spacing w:line="360" w:lineRule="auto"/>
        <w:rPr>
          <w:sz w:val="22"/>
          <w:szCs w:val="22"/>
        </w:rPr>
      </w:pPr>
      <w:r w:rsidRPr="00762B74">
        <w:rPr>
          <w:sz w:val="22"/>
          <w:szCs w:val="22"/>
        </w:rPr>
        <w:t>Persbericht Ministerie van Financiën, 29 juli 1987, nr. 87/222</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1991-1992, nr. 22 338, 70-4334</w:t>
      </w:r>
    </w:p>
    <w:p w:rsidR="00174971" w:rsidRPr="00762B74" w:rsidRDefault="00174971" w:rsidP="0086207C">
      <w:pPr>
        <w:pStyle w:val="FootnoteText"/>
        <w:numPr>
          <w:ilvl w:val="0"/>
          <w:numId w:val="15"/>
        </w:numPr>
        <w:spacing w:line="360" w:lineRule="auto"/>
        <w:rPr>
          <w:sz w:val="22"/>
          <w:szCs w:val="22"/>
        </w:rPr>
      </w:pPr>
      <w:r w:rsidRPr="00762B74">
        <w:rPr>
          <w:sz w:val="22"/>
          <w:szCs w:val="22"/>
        </w:rPr>
        <w:t>Verslag van het schriftelijk overleg van 27 november 1991 met de Tweede Kamer, 1991-1992, 22 300 IX B, nr. 20</w:t>
      </w:r>
    </w:p>
    <w:p w:rsidR="00174971" w:rsidRPr="00762B74" w:rsidRDefault="00174971" w:rsidP="0086207C">
      <w:pPr>
        <w:pStyle w:val="FootnoteText"/>
        <w:numPr>
          <w:ilvl w:val="0"/>
          <w:numId w:val="15"/>
        </w:numPr>
        <w:spacing w:line="360" w:lineRule="auto"/>
        <w:rPr>
          <w:sz w:val="22"/>
          <w:szCs w:val="22"/>
        </w:rPr>
      </w:pPr>
      <w:r w:rsidRPr="00762B74">
        <w:rPr>
          <w:sz w:val="22"/>
          <w:szCs w:val="22"/>
        </w:rPr>
        <w:t>Besluit staatssecretaris van Financiën 7 mei 1998, nr. DB98/720</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1998-1999, 26 727, nr. 3</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1998-1999, 26 728, nr. 3</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1999-2000, 26 727, nr. 7</w:t>
      </w:r>
    </w:p>
    <w:p w:rsidR="00174971" w:rsidRPr="00762B74" w:rsidRDefault="00174971" w:rsidP="0086207C">
      <w:pPr>
        <w:pStyle w:val="FootnoteText"/>
        <w:numPr>
          <w:ilvl w:val="0"/>
          <w:numId w:val="15"/>
        </w:numPr>
        <w:spacing w:line="360" w:lineRule="auto"/>
        <w:rPr>
          <w:sz w:val="22"/>
          <w:szCs w:val="22"/>
        </w:rPr>
      </w:pPr>
      <w:r w:rsidRPr="00762B74">
        <w:rPr>
          <w:sz w:val="22"/>
          <w:szCs w:val="22"/>
        </w:rPr>
        <w:t>Besluit van 11 september 2004, Nr. CPP2003/641M</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2005-2006, 30 572, nr. 3</w:t>
      </w:r>
    </w:p>
    <w:p w:rsidR="00174971" w:rsidRPr="00762B74" w:rsidRDefault="00174971" w:rsidP="0086207C">
      <w:pPr>
        <w:pStyle w:val="FootnoteText"/>
        <w:numPr>
          <w:ilvl w:val="0"/>
          <w:numId w:val="15"/>
        </w:numPr>
        <w:spacing w:line="360" w:lineRule="auto"/>
        <w:rPr>
          <w:sz w:val="22"/>
          <w:szCs w:val="22"/>
        </w:rPr>
      </w:pPr>
      <w:r w:rsidRPr="00762B74">
        <w:rPr>
          <w:sz w:val="22"/>
          <w:szCs w:val="22"/>
        </w:rPr>
        <w:t>Kamerstukken II, 2005-2006, 30 572, nr. 8</w:t>
      </w:r>
    </w:p>
    <w:p w:rsidR="00174971" w:rsidRPr="00762B74" w:rsidRDefault="00174971" w:rsidP="0086207C">
      <w:pPr>
        <w:pStyle w:val="FootnoteText"/>
        <w:numPr>
          <w:ilvl w:val="0"/>
          <w:numId w:val="15"/>
        </w:numPr>
        <w:spacing w:line="360" w:lineRule="auto"/>
        <w:rPr>
          <w:sz w:val="22"/>
          <w:szCs w:val="22"/>
        </w:rPr>
      </w:pPr>
      <w:r w:rsidRPr="00762B74">
        <w:rPr>
          <w:sz w:val="22"/>
          <w:szCs w:val="22"/>
        </w:rPr>
        <w:t xml:space="preserve">Europese Commissie, ‘Mededeling van de Commissie aan de raad, het Europees parlement en het Europees economisch en sociaal comité; </w:t>
      </w:r>
      <w:r w:rsidRPr="00762B74">
        <w:rPr>
          <w:bCs/>
          <w:sz w:val="22"/>
          <w:szCs w:val="22"/>
        </w:rPr>
        <w:t>Antimisbruikmaatregelen op het gebied van de directe belastingen – toepassing in de EU en ten aanzien van derde landen’, COM/2007/785 definitief</w:t>
      </w:r>
    </w:p>
    <w:p w:rsidR="00174971" w:rsidRPr="00AF4DAD" w:rsidRDefault="00174971" w:rsidP="0086207C">
      <w:pPr>
        <w:pStyle w:val="FootnoteText"/>
        <w:numPr>
          <w:ilvl w:val="0"/>
          <w:numId w:val="15"/>
        </w:numPr>
        <w:spacing w:line="360" w:lineRule="auto"/>
        <w:rPr>
          <w:i/>
          <w:sz w:val="22"/>
          <w:szCs w:val="22"/>
        </w:rPr>
      </w:pPr>
      <w:r w:rsidRPr="00AF4DAD">
        <w:rPr>
          <w:rStyle w:val="nadrukb"/>
          <w:i w:val="0"/>
          <w:sz w:val="22"/>
          <w:szCs w:val="22"/>
        </w:rPr>
        <w:t>Besluit van 29 september 2008, nr. CPP2008/1008M, Stb. 2008, 196</w:t>
      </w:r>
    </w:p>
    <w:p w:rsidR="00174971" w:rsidRDefault="00174971" w:rsidP="00AD525E">
      <w:pPr>
        <w:spacing w:before="360"/>
        <w:rPr>
          <w:b/>
          <w:i/>
        </w:rPr>
      </w:pPr>
      <w:r>
        <w:rPr>
          <w:b/>
          <w:i/>
        </w:rPr>
        <w:t>Elektronische databanken</w:t>
      </w:r>
    </w:p>
    <w:p w:rsidR="00174971" w:rsidRPr="007F2ED5" w:rsidRDefault="00174971" w:rsidP="007F2ED5">
      <w:pPr>
        <w:pStyle w:val="ListParagraph"/>
        <w:numPr>
          <w:ilvl w:val="0"/>
          <w:numId w:val="16"/>
        </w:numPr>
        <w:spacing w:before="360"/>
      </w:pPr>
      <w:r w:rsidRPr="00F3238D">
        <w:t xml:space="preserve">Fiscale </w:t>
      </w:r>
      <w:r>
        <w:t>e</w:t>
      </w:r>
      <w:r w:rsidRPr="00F3238D">
        <w:t xml:space="preserve">ncyclopedie De Vakstudie, </w:t>
      </w:r>
      <w:r>
        <w:t>Wet op de vennootschapsbelasting 1969</w:t>
      </w:r>
      <w:r w:rsidRPr="00F3238D">
        <w:t>, Artikelsgewijs commentaar</w:t>
      </w:r>
    </w:p>
    <w:p w:rsidR="00174971" w:rsidRPr="007F2ED5" w:rsidRDefault="00174971" w:rsidP="007F2ED5">
      <w:pPr>
        <w:pStyle w:val="ListParagraph"/>
        <w:numPr>
          <w:ilvl w:val="0"/>
          <w:numId w:val="16"/>
        </w:numPr>
        <w:spacing w:before="360"/>
      </w:pPr>
      <w:r w:rsidRPr="00F3238D">
        <w:t xml:space="preserve">Fiscale </w:t>
      </w:r>
      <w:r>
        <w:t>e</w:t>
      </w:r>
      <w:r w:rsidRPr="00F3238D">
        <w:t xml:space="preserve">ncyclopedie De Vakstudie, </w:t>
      </w:r>
      <w:r>
        <w:t>Nederlands Internationaal Belastingrecht</w:t>
      </w:r>
      <w:r w:rsidRPr="00F3238D">
        <w:t>, Artikelsgewijs commentaar</w:t>
      </w:r>
    </w:p>
    <w:p w:rsidR="00174971" w:rsidRPr="007F2ED5" w:rsidRDefault="00174971" w:rsidP="007F2ED5">
      <w:pPr>
        <w:pStyle w:val="ListParagraph"/>
        <w:numPr>
          <w:ilvl w:val="0"/>
          <w:numId w:val="16"/>
        </w:numPr>
        <w:spacing w:before="360"/>
      </w:pPr>
      <w:r w:rsidRPr="00F3238D">
        <w:t xml:space="preserve">NDFR, </w:t>
      </w:r>
      <w:r>
        <w:t>Wet op de vennootschapsbelasting 1969</w:t>
      </w:r>
      <w:r w:rsidRPr="00F3238D">
        <w:t>, Artikelsgewijs commentaar</w:t>
      </w:r>
    </w:p>
    <w:p w:rsidR="00174971" w:rsidRDefault="00174971" w:rsidP="007F2ED5">
      <w:pPr>
        <w:pStyle w:val="ListParagraph"/>
        <w:numPr>
          <w:ilvl w:val="0"/>
          <w:numId w:val="16"/>
        </w:numPr>
        <w:spacing w:before="360"/>
      </w:pPr>
      <w:r w:rsidRPr="00F3238D">
        <w:t xml:space="preserve">NDFR, </w:t>
      </w:r>
      <w:r>
        <w:t>Internationaal belastingrecht</w:t>
      </w:r>
      <w:r w:rsidRPr="00F3238D">
        <w:t>, Artikelsgewijs commentaar</w:t>
      </w:r>
    </w:p>
    <w:p w:rsidR="00174971" w:rsidRDefault="00174971">
      <w:pPr>
        <w:spacing w:after="200" w:line="276" w:lineRule="auto"/>
      </w:pPr>
      <w:r>
        <w:br w:type="page"/>
      </w:r>
    </w:p>
    <w:p w:rsidR="00174971" w:rsidRDefault="00174971" w:rsidP="0026069B">
      <w:pPr>
        <w:pStyle w:val="Heading1"/>
        <w:rPr>
          <w:lang w:eastAsia="nl-NL"/>
        </w:rPr>
      </w:pPr>
      <w:bookmarkStart w:id="73" w:name="_Toc265484852"/>
      <w:r>
        <w:rPr>
          <w:lang w:eastAsia="nl-NL"/>
        </w:rPr>
        <w:t>Bijlage I</w:t>
      </w:r>
      <w:bookmarkEnd w:id="73"/>
    </w:p>
    <w:p w:rsidR="00174971" w:rsidRDefault="00174971" w:rsidP="0026069B">
      <w:pPr>
        <w:shd w:val="clear" w:color="auto" w:fill="FFFFFF"/>
        <w:rPr>
          <w:b/>
          <w:lang w:eastAsia="nl-NL"/>
        </w:rPr>
      </w:pPr>
      <w:r>
        <w:rPr>
          <w:b/>
          <w:lang w:eastAsia="nl-NL"/>
        </w:rPr>
        <w:t>Artikel 14 Wet VPB 1969</w:t>
      </w:r>
    </w:p>
    <w:p w:rsidR="00174971" w:rsidRPr="003C35CD" w:rsidRDefault="00174971" w:rsidP="0026069B">
      <w:pPr>
        <w:shd w:val="clear" w:color="auto" w:fill="FFFFFF"/>
        <w:spacing w:after="0"/>
        <w:rPr>
          <w:lang w:eastAsia="nl-NL"/>
        </w:rPr>
      </w:pPr>
      <w:r w:rsidRPr="003C35CD">
        <w:rPr>
          <w:b/>
          <w:lang w:eastAsia="nl-NL"/>
        </w:rPr>
        <w:t>1.</w:t>
      </w:r>
      <w:r w:rsidRPr="003C35CD">
        <w:rPr>
          <w:lang w:eastAsia="nl-NL"/>
        </w:rPr>
        <w:t> De belastingplichtige die zijn gehele onderneming of een zelfstandig onderdeel van een onderneming overdraagt (overdrager) aan een ander lichaam dat reeds belastingplichtig is of door de overname belastingplichtig wordt (overnemer), tegen uitreiking van aandelen in de overnemer (bedrijfsfusie), behoeft de winst behaald met of bij de overdracht niet in aanmerking te nemen, mits voor het bepalen van de winst bij de overdrager en de overnemer dezelfde bepalingen van toepassing zijn, de overnemer niet op de voet van artikel 20 aanspraak kan maken op voorwaartse verrekening van verliezen, op vermindering ter voorkoming van dubbele belasting ter zake van buitenlandse resultaten, op toepassing van de octrooibox of op toepassing van de deelnemingsverrekening en latere heffing is verzekerd. Indien de winst niet in aanmerking wordt genomen, treedt de overnemer ten aanzien van alle vermogensbestanddelen die in het kader van de bedrijfsfusie zijn verkregen in de plaats van de overdrager.</w:t>
      </w:r>
    </w:p>
    <w:p w:rsidR="00174971" w:rsidRPr="003C35CD" w:rsidRDefault="00174971" w:rsidP="0026069B">
      <w:pPr>
        <w:shd w:val="clear" w:color="auto" w:fill="FFFFFF"/>
        <w:spacing w:after="0"/>
        <w:rPr>
          <w:lang w:eastAsia="nl-NL"/>
        </w:rPr>
      </w:pPr>
      <w:r w:rsidRPr="003C35CD">
        <w:rPr>
          <w:b/>
          <w:lang w:eastAsia="nl-NL"/>
        </w:rPr>
        <w:t>2.</w:t>
      </w:r>
      <w:r w:rsidRPr="003C35CD">
        <w:rPr>
          <w:lang w:eastAsia="nl-NL"/>
        </w:rPr>
        <w:t> Bestaat voor de overnemer aanspraak op voorwaartse verrekening van verliezen, op vermindering ter voorkoming van dubbele belasting ter zake van buitenlandse resultaten, op toepassing van de octrooibox of op toepassing van de deelnemingsverrekening, zijn voor het bepalen van de winst niet dezelfde bepalingen van toepassing of kan de belastingheffing uit anderen hoofde alleen met behulp van nadere voorwaarden worden verzekerd, dan kan Onze Minister op gezamenlijk verzoek van de overdrager en de overnemer onder te stellen nadere voorwaarden, de inspecteur belast met de aanslagregeling van de overdrager toestaan de winst behaald met of bij de overdracht geheel of ten dele buiten aanmerking te laten. Daarbij treedt de overnemer ten aanzien van al hetgeen in het kader van de overdracht is verkregen, voorzover daaraan geen nadere voorwaarden zijn gesteld, in de plaats van de overdrager. Het verzoek wordt voor de overdracht gedaan bij de in de vorige volzin bedoelde inspecteur, die daarop bij voor bezwaar vatbare beschikking beslist.</w:t>
      </w:r>
    </w:p>
    <w:p w:rsidR="00174971" w:rsidRPr="003C35CD" w:rsidRDefault="00174971" w:rsidP="0026069B">
      <w:pPr>
        <w:shd w:val="clear" w:color="auto" w:fill="FFFFFF"/>
        <w:spacing w:after="0"/>
        <w:rPr>
          <w:lang w:eastAsia="nl-NL"/>
        </w:rPr>
      </w:pPr>
      <w:r w:rsidRPr="003C35CD">
        <w:rPr>
          <w:b/>
          <w:lang w:eastAsia="nl-NL"/>
        </w:rPr>
        <w:t>3.</w:t>
      </w:r>
      <w:r w:rsidRPr="003C35CD">
        <w:rPr>
          <w:lang w:eastAsia="nl-NL"/>
        </w:rPr>
        <w:t> Indien de winst op de voet van het eerste of het tweede lid buiten aanmerking blijft en de in het kader van de bedrijfsfusie verkregen aandelen een deelneming vormen, wordt het voor die aandelen opgeofferde bedrag gesteld op de fiscale boekwaarde van het overgedragen vermogen verminderd met de daarin begrepen reserves bedoeld in de artikelen 3.53 en 3.54 van de Wet inkomstenbelasting 2001.</w:t>
      </w:r>
    </w:p>
    <w:p w:rsidR="00174971" w:rsidRPr="003C35CD" w:rsidRDefault="00174971" w:rsidP="0026069B">
      <w:pPr>
        <w:shd w:val="clear" w:color="auto" w:fill="FFFFFF"/>
        <w:spacing w:after="0"/>
        <w:rPr>
          <w:lang w:eastAsia="nl-NL"/>
        </w:rPr>
      </w:pPr>
      <w:r w:rsidRPr="003C35CD">
        <w:rPr>
          <w:b/>
          <w:lang w:eastAsia="nl-NL"/>
        </w:rPr>
        <w:t>4.</w:t>
      </w:r>
      <w:r w:rsidRPr="003C35CD">
        <w:rPr>
          <w:lang w:eastAsia="nl-NL"/>
        </w:rPr>
        <w:t> In afwijking van het eerste en het tweede lid, wordt de winst wel in aanmerking genomen, indien de bedrijfsfusie in overwegende mate is gericht op het ontgaan of uitstellen van belastingheffing. De bedrijfsfusie wordt, tenzij het tegendeel aannemelijk wordt gemaakt, geacht in overwegende mate te zijn gericht op het ontgaan of uitstellen van belastingheffing indien deze niet plaatsvindt op grond van zakelijke overwegingen, zoals herstructurering of rationalisering van de actieve werkzaamheden van de overdrager en de overnemer. Indien aandelen in de overdrager dan wel in de overnemer binnen drie jaar na de overdracht geheel of ten dele, direct of indirect worden vervreemd aan een lichaam dat niet met de overdrager en de overnemer is verbonden, worden zakelijke overwegingen niet aanwezig geacht, tenzij het tegendeel aannemelijk wordt gemaakt.</w:t>
      </w:r>
    </w:p>
    <w:p w:rsidR="00174971" w:rsidRPr="003C35CD" w:rsidRDefault="00174971" w:rsidP="0026069B">
      <w:pPr>
        <w:shd w:val="clear" w:color="auto" w:fill="FFFFFF"/>
        <w:spacing w:after="0"/>
        <w:rPr>
          <w:lang w:eastAsia="nl-NL"/>
        </w:rPr>
      </w:pPr>
      <w:r w:rsidRPr="003C35CD">
        <w:rPr>
          <w:b/>
          <w:lang w:eastAsia="nl-NL"/>
        </w:rPr>
        <w:t>5.</w:t>
      </w:r>
      <w:r w:rsidRPr="003C35CD">
        <w:rPr>
          <w:lang w:eastAsia="nl-NL"/>
        </w:rPr>
        <w:t> Ten aanzien van een fonds voor gemene rekening zijn de voorgaande leden van overeenkomstige toepassing in geval van overgang van bezittingen van dat fonds.</w:t>
      </w:r>
    </w:p>
    <w:p w:rsidR="00174971" w:rsidRPr="003C35CD" w:rsidRDefault="00174971" w:rsidP="0026069B">
      <w:pPr>
        <w:shd w:val="clear" w:color="auto" w:fill="FFFFFF"/>
        <w:spacing w:after="0"/>
        <w:rPr>
          <w:lang w:eastAsia="nl-NL"/>
        </w:rPr>
      </w:pPr>
      <w:r w:rsidRPr="003C35CD">
        <w:rPr>
          <w:b/>
          <w:lang w:eastAsia="nl-NL"/>
        </w:rPr>
        <w:t>6.</w:t>
      </w:r>
      <w:r w:rsidRPr="003C35CD">
        <w:rPr>
          <w:lang w:eastAsia="nl-NL"/>
        </w:rPr>
        <w:t> Voor de toepassing van dit artikel worden met aandelen gelijkgesteld winstbewijzen, bewijzen van deelgerechtigdheid of lidmaatschapsrechten.</w:t>
      </w:r>
    </w:p>
    <w:p w:rsidR="00174971" w:rsidRPr="003C35CD" w:rsidRDefault="00174971" w:rsidP="0026069B">
      <w:pPr>
        <w:shd w:val="clear" w:color="auto" w:fill="FFFFFF"/>
        <w:spacing w:after="0"/>
        <w:rPr>
          <w:lang w:eastAsia="nl-NL"/>
        </w:rPr>
      </w:pPr>
      <w:r w:rsidRPr="003C35CD">
        <w:rPr>
          <w:b/>
          <w:lang w:eastAsia="nl-NL"/>
        </w:rPr>
        <w:t>7.</w:t>
      </w:r>
      <w:r w:rsidRPr="003C35CD">
        <w:rPr>
          <w:lang w:eastAsia="nl-NL"/>
        </w:rPr>
        <w:t> De in het tweede lid bedoelde voorwaarden mogen slechts strekken ter verzekering van de heffing en de invordering van belasting die verschuldigd zou zijn of zou worden indien het tweede of het vijfde lid buiten toepassing zou blijven. Voorts kunnen voorwaarden worden gesteld die betrekking hebben op het bepalen van de in een jaar genoten winst, de toelaatbare reserves, de verrekening van verliezen, de vermindering ter voorkoming van dubbele belasting ter zake van buitenlandse resultaten, de toepassing van de octrooibox of de toepassing van de deelnemingsverrekening en kunnen voorwaarden worden gesteld indien de waarde in het economische verkeer van de overgedragen vermogensbestanddelen op het tijdstip van de bedrijfsfusie lager is dan de boekwaarde van deze vermogensbestanddelen.</w:t>
      </w:r>
    </w:p>
    <w:p w:rsidR="00174971" w:rsidRPr="003C35CD" w:rsidRDefault="00174971" w:rsidP="0026069B">
      <w:pPr>
        <w:shd w:val="clear" w:color="auto" w:fill="FFFFFF"/>
        <w:spacing w:after="0"/>
        <w:rPr>
          <w:lang w:eastAsia="nl-NL"/>
        </w:rPr>
      </w:pPr>
      <w:r w:rsidRPr="003C35CD">
        <w:rPr>
          <w:b/>
          <w:lang w:eastAsia="nl-NL"/>
        </w:rPr>
        <w:t>8.</w:t>
      </w:r>
      <w:r w:rsidRPr="003C35CD">
        <w:rPr>
          <w:lang w:eastAsia="nl-NL"/>
        </w:rPr>
        <w:t> De overdrager die zekerheid wenst omtrent de vraag of de bedrijfsfusie niet wordt geacht in overwegende mate te zijn gericht op het ontgaan of uitstellen van belastingheffing, kan voor de overdracht een verzoek indienen bij de inspecteur, die daarop bij voor bezwaar vatbare beschikking beslist.</w:t>
      </w:r>
    </w:p>
    <w:p w:rsidR="00174971" w:rsidRPr="003C35CD" w:rsidRDefault="00174971" w:rsidP="0026069B">
      <w:pPr>
        <w:shd w:val="clear" w:color="auto" w:fill="FFFFFF"/>
        <w:rPr>
          <w:lang w:eastAsia="nl-NL"/>
        </w:rPr>
      </w:pPr>
      <w:r w:rsidRPr="003C35CD">
        <w:rPr>
          <w:b/>
          <w:lang w:eastAsia="nl-NL"/>
        </w:rPr>
        <w:t>9.</w:t>
      </w:r>
      <w:r w:rsidRPr="003C35CD">
        <w:rPr>
          <w:lang w:eastAsia="nl-NL"/>
        </w:rPr>
        <w:t> De overdrager of de overnemer die voorafgaande aan een voorgenomen vervreemding van aandelen als bedoeld in de laatste volzin van het vierde lid, zekerheid wil hebben omtrent de vraag of, niettegenstaande de vervreemding, aannemelijk is dat de overdracht niet in overwegende mate is gericht op het ontgaan of uitstellen van belastingheffing, kan een verzoek indienen bij de inspecteur, die daarop bij voor bezwaar vatbare beschikking beslist.</w:t>
      </w:r>
    </w:p>
    <w:p w:rsidR="00174971" w:rsidRDefault="00174971" w:rsidP="0026069B">
      <w:pPr>
        <w:shd w:val="clear" w:color="auto" w:fill="FFFFFF"/>
        <w:rPr>
          <w:b/>
          <w:lang w:eastAsia="nl-NL"/>
        </w:rPr>
      </w:pPr>
      <w:r>
        <w:rPr>
          <w:b/>
          <w:lang w:eastAsia="nl-NL"/>
        </w:rPr>
        <w:t>Artikel 15 Fusierichtlijn</w:t>
      </w:r>
    </w:p>
    <w:p w:rsidR="00174971" w:rsidRPr="004B7710" w:rsidRDefault="00174971" w:rsidP="0026069B">
      <w:pPr>
        <w:shd w:val="clear" w:color="auto" w:fill="FFFFFF"/>
        <w:rPr>
          <w:lang w:eastAsia="nl-NL"/>
        </w:rPr>
      </w:pPr>
      <w:r w:rsidRPr="004B7710">
        <w:rPr>
          <w:b/>
          <w:lang w:eastAsia="nl-NL"/>
        </w:rPr>
        <w:t>1.</w:t>
      </w:r>
      <w:r w:rsidRPr="004B7710">
        <w:rPr>
          <w:lang w:eastAsia="nl-NL"/>
        </w:rPr>
        <w:t xml:space="preserve"> De lidstaten kunnen weigeren de bepalingen van de artikelen 4 tot en met 14 geheel of gedeeltelijk toe te passen of het voordeel ervan geheel of gedeeltelijk teniet te doen, indien blijkt dat een van de in artikel 1 bedoelde rechtshandelingen: </w:t>
      </w:r>
    </w:p>
    <w:p w:rsidR="00174971" w:rsidRPr="004B7710" w:rsidRDefault="00174971" w:rsidP="0026069B">
      <w:pPr>
        <w:shd w:val="clear" w:color="auto" w:fill="FFFFFF"/>
        <w:ind w:left="360"/>
        <w:rPr>
          <w:b/>
          <w:bCs/>
          <w:lang w:eastAsia="nl-NL"/>
        </w:rPr>
      </w:pPr>
      <w:r w:rsidRPr="004B7710">
        <w:rPr>
          <w:b/>
          <w:bCs/>
          <w:lang w:eastAsia="nl-NL"/>
        </w:rPr>
        <w:t>a)</w:t>
      </w:r>
      <w:r w:rsidRPr="004B7710">
        <w:rPr>
          <w:lang w:eastAsia="nl-NL"/>
        </w:rPr>
        <w:t>als hoofddoel of een der hoofddoelen belastingfraude of belastingontwijking heeft; wanneer de rechtshandeling niet plaatsvindt op grond van zakelijke overwegingen, zoals herstructurering of rationalisering van de activiteiten van de bij de rechtshandeling betrokken vennootschappen, geldt het vermoeden dat die rechtshandeling als hoofddoel of een van de hoofddoelen belastingfraude of belastingontwijking heeft;</w:t>
      </w:r>
    </w:p>
    <w:p w:rsidR="00174971" w:rsidRPr="004B7710" w:rsidRDefault="00174971" w:rsidP="0026069B">
      <w:pPr>
        <w:shd w:val="clear" w:color="auto" w:fill="FFFFFF"/>
        <w:ind w:left="360"/>
        <w:rPr>
          <w:b/>
          <w:bCs/>
          <w:lang w:eastAsia="nl-NL"/>
        </w:rPr>
      </w:pPr>
      <w:r w:rsidRPr="004B7710">
        <w:rPr>
          <w:b/>
          <w:bCs/>
          <w:lang w:eastAsia="nl-NL"/>
        </w:rPr>
        <w:t>b)</w:t>
      </w:r>
      <w:r w:rsidRPr="004B7710">
        <w:rPr>
          <w:lang w:eastAsia="nl-NL"/>
        </w:rPr>
        <w:t>tot gevolg heeft dat een al dan niet aan de rechtshandeling deelnemende vennootschap niet meer voldoet aan de voorwaarden die vereist zijn voor de werknemersvertegenwoordiging in de vennootschapsorganen volgens de regeling die vóór de betrokken rechtshandeling van toepassing was.</w:t>
      </w:r>
    </w:p>
    <w:p w:rsidR="00174971" w:rsidRPr="004B7710" w:rsidRDefault="00174971" w:rsidP="0026069B">
      <w:pPr>
        <w:shd w:val="clear" w:color="auto" w:fill="FFFFFF"/>
        <w:rPr>
          <w:lang w:eastAsia="nl-NL"/>
        </w:rPr>
      </w:pPr>
      <w:r w:rsidRPr="004B7710">
        <w:rPr>
          <w:b/>
          <w:lang w:eastAsia="nl-NL"/>
        </w:rPr>
        <w:t>2.</w:t>
      </w:r>
      <w:r w:rsidRPr="004B7710">
        <w:rPr>
          <w:lang w:eastAsia="nl-NL"/>
        </w:rPr>
        <w:t> Lid 1, onder b), blijft van toepassing zolang en voor zover geen communautaire regelgeving die gelijkwaardige bepalingen bevat inzake werknemersvertegenwoordiging in de vennootschapsorganen, van toepassing wordt op de vennootschappen die onder de onderhavige richtlijn vallen.</w:t>
      </w:r>
    </w:p>
    <w:p w:rsidR="00174971" w:rsidRPr="0026069B" w:rsidRDefault="00174971" w:rsidP="0026069B">
      <w:pPr>
        <w:spacing w:before="360"/>
      </w:pPr>
    </w:p>
    <w:sectPr w:rsidR="00174971" w:rsidRPr="0026069B" w:rsidSect="00CB5852">
      <w:footerReference w:type="default" r:id="rId8"/>
      <w:pgSz w:w="11906" w:h="16838"/>
      <w:pgMar w:top="1440" w:right="1440" w:bottom="1440" w:left="1440" w:header="708" w:footer="708" w:gutter="0"/>
      <w:pgNumType w:fmt="numberInDash" w:chapStyle="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4971" w:rsidRDefault="00174971" w:rsidP="00150D74">
      <w:pPr>
        <w:spacing w:after="0" w:line="240" w:lineRule="auto"/>
      </w:pPr>
      <w:r>
        <w:separator/>
      </w:r>
    </w:p>
  </w:endnote>
  <w:endnote w:type="continuationSeparator" w:id="1">
    <w:p w:rsidR="00174971" w:rsidRDefault="00174971" w:rsidP="00150D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yriad Roman">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Unicode MS">
    <w:altName w:val="Times New Roman"/>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971" w:rsidRDefault="00174971">
    <w:pPr>
      <w:pStyle w:val="Footer"/>
      <w:jc w:val="center"/>
    </w:pPr>
    <w:fldSimple w:instr=" PAGE   \* MERGEFORMAT ">
      <w:r>
        <w:rPr>
          <w:noProof/>
        </w:rPr>
        <w:t>- 3 -</w:t>
      </w:r>
    </w:fldSimple>
  </w:p>
  <w:p w:rsidR="00174971" w:rsidRDefault="001749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4971" w:rsidRDefault="00174971" w:rsidP="00150D74">
      <w:pPr>
        <w:spacing w:after="0" w:line="240" w:lineRule="auto"/>
      </w:pPr>
      <w:r>
        <w:separator/>
      </w:r>
    </w:p>
  </w:footnote>
  <w:footnote w:type="continuationSeparator" w:id="1">
    <w:p w:rsidR="00174971" w:rsidRDefault="00174971" w:rsidP="00150D74">
      <w:pPr>
        <w:spacing w:after="0" w:line="240" w:lineRule="auto"/>
      </w:pPr>
      <w:r>
        <w:continuationSeparator/>
      </w:r>
    </w:p>
  </w:footnote>
  <w:footnote w:id="2">
    <w:p w:rsidR="00174971" w:rsidRDefault="00174971" w:rsidP="00285660">
      <w:pPr>
        <w:pStyle w:val="FootnoteText"/>
      </w:pPr>
      <w:r>
        <w:rPr>
          <w:rStyle w:val="FootnoteReference"/>
        </w:rPr>
        <w:footnoteRef/>
      </w:r>
      <w:r>
        <w:t xml:space="preserve"> J. Dohmen, ‘Meer fraude door falend toezicht fiscus’, in: NRC Handelsblad, 27 november 2007</w:t>
      </w:r>
    </w:p>
  </w:footnote>
  <w:footnote w:id="3">
    <w:p w:rsidR="00174971" w:rsidRDefault="00174971" w:rsidP="00285660">
      <w:pPr>
        <w:pStyle w:val="FootnoteText"/>
      </w:pPr>
      <w:r>
        <w:rPr>
          <w:rStyle w:val="FootnoteReference"/>
        </w:rPr>
        <w:footnoteRef/>
      </w:r>
      <w:r>
        <w:t xml:space="preserve"> Voor twistpunten met betrekking tot wetsuitleg, zie jurisprudentie in voetnoot 4 t/m 7</w:t>
      </w:r>
    </w:p>
  </w:footnote>
  <w:footnote w:id="4">
    <w:p w:rsidR="00174971" w:rsidRDefault="00174971" w:rsidP="00285660">
      <w:pPr>
        <w:pStyle w:val="FootnoteText"/>
      </w:pPr>
      <w:r>
        <w:rPr>
          <w:rStyle w:val="FootnoteReference"/>
        </w:rPr>
        <w:footnoteRef/>
      </w:r>
      <w:r>
        <w:t>C.A. de Kam e.a., Belastingrecht in Hoofdlijnen, Kluwer, Deventer, 2009 blz. 82 en 83</w:t>
      </w:r>
    </w:p>
  </w:footnote>
  <w:footnote w:id="5">
    <w:p w:rsidR="00174971" w:rsidRDefault="00174971" w:rsidP="00285660">
      <w:pPr>
        <w:pStyle w:val="FootnoteText"/>
      </w:pPr>
      <w:r>
        <w:rPr>
          <w:rStyle w:val="FootnoteReference"/>
        </w:rPr>
        <w:footnoteRef/>
      </w:r>
      <w:r>
        <w:t xml:space="preserve"> Zie bijvoorbeeld HR 24 mei 2002, nr. 37 398, BNB 2002/236</w:t>
      </w:r>
    </w:p>
  </w:footnote>
  <w:footnote w:id="6">
    <w:p w:rsidR="00174971" w:rsidRDefault="00174971" w:rsidP="00285660">
      <w:pPr>
        <w:pStyle w:val="FootnoteText"/>
      </w:pPr>
      <w:r>
        <w:rPr>
          <w:rStyle w:val="FootnoteReference"/>
        </w:rPr>
        <w:footnoteRef/>
      </w:r>
      <w:r>
        <w:t xml:space="preserve"> Zie bijvoorbeeld HR 10 oktober 2003, nr. 38 485, BNB 2004/97</w:t>
      </w:r>
    </w:p>
  </w:footnote>
  <w:footnote w:id="7">
    <w:p w:rsidR="00174971" w:rsidRDefault="00174971" w:rsidP="00285660">
      <w:pPr>
        <w:pStyle w:val="FootnoteText"/>
      </w:pPr>
      <w:r>
        <w:rPr>
          <w:rStyle w:val="FootnoteReference"/>
        </w:rPr>
        <w:footnoteRef/>
      </w:r>
      <w:r>
        <w:t xml:space="preserve"> Zie bijvoorbeeld HR 8 mei 1957, rolnr. 12 931, BNB 1957/208</w:t>
      </w:r>
    </w:p>
  </w:footnote>
  <w:footnote w:id="8">
    <w:p w:rsidR="00174971" w:rsidRDefault="00174971" w:rsidP="00285660">
      <w:pPr>
        <w:pStyle w:val="FootnoteText"/>
      </w:pPr>
      <w:r>
        <w:rPr>
          <w:rStyle w:val="FootnoteReference"/>
        </w:rPr>
        <w:footnoteRef/>
      </w:r>
      <w:r>
        <w:t xml:space="preserve"> Zie bijvoorbeeld HR 6 juni 1973, rolnr. 17 106, BNB 1973/161</w:t>
      </w:r>
    </w:p>
  </w:footnote>
  <w:footnote w:id="9">
    <w:p w:rsidR="00174971" w:rsidRDefault="00174971" w:rsidP="00285660">
      <w:pPr>
        <w:pStyle w:val="FootnoteText"/>
      </w:pPr>
      <w:r>
        <w:rPr>
          <w:rStyle w:val="FootnoteReference"/>
        </w:rPr>
        <w:footnoteRef/>
      </w:r>
      <w:r>
        <w:t xml:space="preserve"> C.A. de Kam e.a., Belastingrecht in Hoofdlijnen, Kluwer, Deventer, 2009, blz. 85</w:t>
      </w:r>
    </w:p>
  </w:footnote>
  <w:footnote w:id="10">
    <w:p w:rsidR="00174971" w:rsidRDefault="00174971" w:rsidP="00285660">
      <w:pPr>
        <w:pStyle w:val="FootnoteText"/>
      </w:pPr>
      <w:r w:rsidRPr="0071682B">
        <w:rPr>
          <w:rStyle w:val="FootnoteReference"/>
        </w:rPr>
        <w:footnoteRef/>
      </w:r>
      <w:r w:rsidRPr="0071682B">
        <w:t xml:space="preserve"> Artikel 32 AWR</w:t>
      </w:r>
    </w:p>
  </w:footnote>
  <w:footnote w:id="11">
    <w:p w:rsidR="00174971" w:rsidRDefault="00174971" w:rsidP="00285660">
      <w:pPr>
        <w:pStyle w:val="FootnoteText"/>
      </w:pPr>
      <w:r w:rsidRPr="0071682B">
        <w:rPr>
          <w:rStyle w:val="FootnoteReference"/>
        </w:rPr>
        <w:footnoteRef/>
      </w:r>
      <w:r w:rsidRPr="0071682B">
        <w:t xml:space="preserve"> H. Schuttevâer en J.W. Zwemmer, De Nederlandse successiewetgeving, Kluwer, Deventer, 1998, blz. 20</w:t>
      </w:r>
    </w:p>
  </w:footnote>
  <w:footnote w:id="12">
    <w:p w:rsidR="00174971" w:rsidRDefault="00174971" w:rsidP="00285660">
      <w:pPr>
        <w:pStyle w:val="FootnoteText"/>
      </w:pPr>
      <w:r w:rsidRPr="0071682B">
        <w:rPr>
          <w:rStyle w:val="FootnoteReference"/>
        </w:rPr>
        <w:footnoteRef/>
      </w:r>
      <w:r w:rsidRPr="0071682B">
        <w:t xml:space="preserve"> D.A. Albregtse, </w:t>
      </w:r>
      <w:r>
        <w:t>‘</w:t>
      </w:r>
      <w:r w:rsidRPr="0071682B">
        <w:t>De deelnemingsvrijstelling als strijdtoneel</w:t>
      </w:r>
      <w:r>
        <w:t>’</w:t>
      </w:r>
      <w:r w:rsidRPr="0071682B">
        <w:t xml:space="preserve">, </w:t>
      </w:r>
      <w:r w:rsidRPr="0071682B">
        <w:rPr>
          <w:color w:val="000000"/>
        </w:rPr>
        <w:t>in: D.A. Albregtse, E.J.W. Heithuis en J.J.M. Jansen (red.), In de fiscale vuurlinie</w:t>
      </w:r>
      <w:r>
        <w:rPr>
          <w:color w:val="000000"/>
        </w:rPr>
        <w:t>.</w:t>
      </w:r>
      <w:r w:rsidRPr="0071682B">
        <w:rPr>
          <w:color w:val="000000"/>
        </w:rPr>
        <w:t xml:space="preserve"> Opstellen aangeboden </w:t>
      </w:r>
      <w:r>
        <w:rPr>
          <w:color w:val="000000"/>
        </w:rPr>
        <w:t xml:space="preserve">op 23 mei 2002 </w:t>
      </w:r>
      <w:r w:rsidRPr="0071682B">
        <w:rPr>
          <w:color w:val="000000"/>
        </w:rPr>
        <w:t xml:space="preserve">aan </w:t>
      </w:r>
      <w:r>
        <w:rPr>
          <w:color w:val="000000"/>
        </w:rPr>
        <w:t xml:space="preserve">prof. mr. </w:t>
      </w:r>
      <w:r w:rsidRPr="0071682B">
        <w:rPr>
          <w:color w:val="000000"/>
        </w:rPr>
        <w:t xml:space="preserve">E. Aardema ter gelegenheid van zijn afscheid als hoogleraar aan de Erasmus Universiteit Rotterdam, Kluwer, Deventer, 2003, </w:t>
      </w:r>
      <w:r>
        <w:rPr>
          <w:color w:val="000000"/>
        </w:rPr>
        <w:t>blz</w:t>
      </w:r>
      <w:r w:rsidRPr="0071682B">
        <w:rPr>
          <w:color w:val="000000"/>
        </w:rPr>
        <w:t>. 139</w:t>
      </w:r>
    </w:p>
  </w:footnote>
  <w:footnote w:id="13">
    <w:p w:rsidR="00174971" w:rsidRDefault="00174971" w:rsidP="00285660">
      <w:pPr>
        <w:pStyle w:val="FootnoteText"/>
      </w:pPr>
      <w:r w:rsidRPr="0071682B">
        <w:rPr>
          <w:rStyle w:val="FootnoteReference"/>
        </w:rPr>
        <w:footnoteRef/>
      </w:r>
      <w:r w:rsidRPr="0071682B">
        <w:t xml:space="preserve"> De artikelen 13 tot en met 13k </w:t>
      </w:r>
      <w:r>
        <w:t>bevatt</w:t>
      </w:r>
      <w:r w:rsidRPr="0071682B">
        <w:t xml:space="preserve">en </w:t>
      </w:r>
      <w:r>
        <w:t>per 1 januari</w:t>
      </w:r>
      <w:r w:rsidRPr="0071682B">
        <w:t xml:space="preserve"> 2010 </w:t>
      </w:r>
      <w:r>
        <w:t xml:space="preserve">immers </w:t>
      </w:r>
      <w:r w:rsidRPr="0071682B">
        <w:t>6791 woorden</w:t>
      </w:r>
    </w:p>
  </w:footnote>
  <w:footnote w:id="14">
    <w:p w:rsidR="00174971" w:rsidRDefault="00174971" w:rsidP="00285660">
      <w:pPr>
        <w:pStyle w:val="FootnoteText"/>
      </w:pPr>
      <w:r w:rsidRPr="0071682B">
        <w:rPr>
          <w:rStyle w:val="FootnoteReference"/>
        </w:rPr>
        <w:footnoteRef/>
      </w:r>
      <w:r w:rsidRPr="0071682B">
        <w:t xml:space="preserve"> </w:t>
      </w:r>
      <w:r>
        <w:t xml:space="preserve">D.A. Albregtse, blz. 139 en 140 </w:t>
      </w:r>
      <w:r w:rsidRPr="0071682B">
        <w:t>waarbij aangetekend dient te worden dat art. 13g is vervallen per 01-01-2007</w:t>
      </w:r>
    </w:p>
  </w:footnote>
  <w:footnote w:id="15">
    <w:p w:rsidR="00174971" w:rsidRDefault="00174971" w:rsidP="00285660">
      <w:pPr>
        <w:pStyle w:val="FootnoteText"/>
      </w:pPr>
      <w:r>
        <w:rPr>
          <w:rStyle w:val="FootnoteReference"/>
        </w:rPr>
        <w:footnoteRef/>
      </w:r>
      <w:r>
        <w:t xml:space="preserve"> Zie bijvoorbeeld: A. Kruiswijk, ‘De winstdrainageregelingen en het leerstuk van de wetsontduiking’, WFR 2002/1501, G.H. de Soeten, ‘Winstdrainage en fraus legis’, WFR 2003/256 en O.C.R. Marres, ‘Fraus legis blijft een krachtig wapen tegen winstdrainage’, WFR 2008/1431</w:t>
      </w:r>
    </w:p>
  </w:footnote>
  <w:footnote w:id="16">
    <w:p w:rsidR="00174971" w:rsidRDefault="00174971" w:rsidP="00285660">
      <w:pPr>
        <w:pStyle w:val="FootnoteText"/>
      </w:pPr>
      <w:r>
        <w:rPr>
          <w:rStyle w:val="FootnoteReference"/>
        </w:rPr>
        <w:footnoteRef/>
      </w:r>
      <w:r>
        <w:t xml:space="preserve"> </w:t>
      </w:r>
      <w:r w:rsidRPr="00C40E29">
        <w:t>HR 11 juli 2008</w:t>
      </w:r>
      <w:r>
        <w:t>, nr. 43 376, BNB 2008/266</w:t>
      </w:r>
    </w:p>
  </w:footnote>
  <w:footnote w:id="17">
    <w:p w:rsidR="00174971" w:rsidRDefault="00174971">
      <w:pPr>
        <w:pStyle w:val="FootnoteText"/>
      </w:pPr>
      <w:r>
        <w:rPr>
          <w:rStyle w:val="FootnoteReference"/>
        </w:rPr>
        <w:footnoteRef/>
      </w:r>
      <w:r>
        <w:t xml:space="preserve"> Ik verwijs voor opvattingen inzake deze problematiek naar: G.B.A. Brummer en </w:t>
      </w:r>
      <w:r w:rsidRPr="00864EFF">
        <w:t>J.B. Thijssen</w:t>
      </w:r>
      <w:r>
        <w:t xml:space="preserve">, </w:t>
      </w:r>
      <w:r w:rsidRPr="00864EFF">
        <w:t>De ontgaanstoets in de fusie- en splitsingsfaciliteiten</w:t>
      </w:r>
      <w:r>
        <w:t>, WFR 2003/401 en</w:t>
      </w:r>
      <w:r w:rsidRPr="00C05352">
        <w:t xml:space="preserve"> L.B. Smits, Europeesrechtelijke fricties inzake art. 14A, zesde lid, Wet Vpb 1969, WFR 2007/409</w:t>
      </w:r>
    </w:p>
  </w:footnote>
  <w:footnote w:id="18">
    <w:p w:rsidR="00174971" w:rsidRDefault="00174971">
      <w:pPr>
        <w:pStyle w:val="FootnoteText"/>
      </w:pPr>
      <w:r>
        <w:rPr>
          <w:rStyle w:val="FootnoteReference"/>
        </w:rPr>
        <w:footnoteRef/>
      </w:r>
      <w:r>
        <w:t>Dit zijn lid 1, onderdeel b en lid 2 van artikel 15, Fusierichtlijn</w:t>
      </w:r>
    </w:p>
  </w:footnote>
  <w:footnote w:id="19">
    <w:p w:rsidR="00174971" w:rsidRDefault="00174971">
      <w:pPr>
        <w:pStyle w:val="FootnoteText"/>
      </w:pPr>
      <w:r>
        <w:rPr>
          <w:rStyle w:val="FootnoteReference"/>
        </w:rPr>
        <w:footnoteRef/>
      </w:r>
      <w:r>
        <w:t xml:space="preserve"> Uit artikel 14b, lid 5, Wet VPB 1969</w:t>
      </w:r>
    </w:p>
  </w:footnote>
  <w:footnote w:id="20">
    <w:p w:rsidR="00174971" w:rsidRDefault="00174971">
      <w:pPr>
        <w:pStyle w:val="FootnoteText"/>
      </w:pPr>
      <w:r>
        <w:rPr>
          <w:rStyle w:val="FootnoteReference"/>
        </w:rPr>
        <w:footnoteRef/>
      </w:r>
      <w:r>
        <w:t xml:space="preserve"> F.W.G.M. van Brunschot, ‘Fraus legis in internationale concernverhoudingen’ in: Ch. P. A. Geppaart, H.M.N. Schonis, Ch. J. Langereis en A.C. Rijkers (red.), Van Dijck-bundel, Opstellen, aangeboden aan prof. dr. J.E.A.M. van Dijck ter gelegenheid van zijn afscheid als hoogleraar aan de Katholieke Universiteit Brabant FED, Deventer, 1988, blz. 40</w:t>
      </w:r>
    </w:p>
  </w:footnote>
  <w:footnote w:id="21">
    <w:p w:rsidR="00174971" w:rsidRDefault="00174971" w:rsidP="009A7D4E">
      <w:pPr>
        <w:pStyle w:val="FootnoteText"/>
      </w:pPr>
      <w:r>
        <w:rPr>
          <w:rStyle w:val="FootnoteReference"/>
        </w:rPr>
        <w:footnoteRef/>
      </w:r>
      <w:r>
        <w:t xml:space="preserve"> M.A. Kakebeeke-van der Put, Wetsontduiking, Kluwer, Deventer (dissertatie Rijksuniversiteit Leiden), 1961, blz. 152</w:t>
      </w:r>
    </w:p>
  </w:footnote>
  <w:footnote w:id="22">
    <w:p w:rsidR="00174971" w:rsidRDefault="00174971" w:rsidP="009A7D4E">
      <w:pPr>
        <w:pStyle w:val="FootnoteText"/>
      </w:pPr>
      <w:r>
        <w:rPr>
          <w:rStyle w:val="FootnoteReference"/>
        </w:rPr>
        <w:footnoteRef/>
      </w:r>
      <w:r>
        <w:t xml:space="preserve"> Ulpianus Diagesta, 1.3.30</w:t>
      </w:r>
    </w:p>
  </w:footnote>
  <w:footnote w:id="23">
    <w:p w:rsidR="00174971" w:rsidRDefault="00174971" w:rsidP="009A7D4E">
      <w:pPr>
        <w:pStyle w:val="FootnoteText"/>
      </w:pPr>
      <w:r>
        <w:rPr>
          <w:rStyle w:val="FootnoteReference"/>
        </w:rPr>
        <w:footnoteRef/>
      </w:r>
      <w:r>
        <w:t xml:space="preserve"> Vertaling: C. de Koninck, Beknopte encyclopedie van het Romeins recht, Maklu, Apeldoorn, 2000, blz. 204</w:t>
      </w:r>
    </w:p>
  </w:footnote>
  <w:footnote w:id="24">
    <w:p w:rsidR="00174971" w:rsidRDefault="00174971" w:rsidP="009A7D4E">
      <w:pPr>
        <w:pStyle w:val="FootnoteText"/>
      </w:pPr>
      <w:r>
        <w:rPr>
          <w:rStyle w:val="FootnoteReference"/>
        </w:rPr>
        <w:footnoteRef/>
      </w:r>
      <w:r>
        <w:t xml:space="preserve"> R.L.H. IJzerman, ‘Over fraus legis, herkwalificatie en het motiefvereiste’, in: S. van Weeghel en Ch. J. Langereis (red.), Van Brunschot-bundel: De grote lijn, opstellen aangeboden aan Frank van Brunschot, naar aanleiding van zijn afscheid bij de Hoge Raad, wegens zijn verdiensten voor het Nederlands belastingrecht, Kluwer, Deventer, 2006, blz. 75</w:t>
      </w:r>
    </w:p>
  </w:footnote>
  <w:footnote w:id="25">
    <w:p w:rsidR="00174971" w:rsidRDefault="00174971" w:rsidP="009A7D4E">
      <w:pPr>
        <w:pStyle w:val="FootnoteText"/>
      </w:pPr>
      <w:r w:rsidRPr="00A33BB2">
        <w:rPr>
          <w:rStyle w:val="FootnoteReference"/>
        </w:rPr>
        <w:footnoteRef/>
      </w:r>
      <w:r w:rsidRPr="00A33BB2">
        <w:t xml:space="preserve"> HR 26 mei 1926, NJ 1226, blz. 723-725</w:t>
      </w:r>
    </w:p>
  </w:footnote>
  <w:footnote w:id="26">
    <w:p w:rsidR="00174971" w:rsidRDefault="00174971" w:rsidP="009A7D4E">
      <w:pPr>
        <w:pStyle w:val="FootnoteText"/>
      </w:pPr>
      <w:r>
        <w:rPr>
          <w:rStyle w:val="FootnoteReference"/>
        </w:rPr>
        <w:footnoteRef/>
      </w:r>
      <w:r>
        <w:t xml:space="preserve"> Bij de wet van 28 december 1926, Stb. 1926, 429</w:t>
      </w:r>
    </w:p>
  </w:footnote>
  <w:footnote w:id="27">
    <w:p w:rsidR="00174971" w:rsidRDefault="00174971" w:rsidP="009A7D4E">
      <w:pPr>
        <w:pStyle w:val="FootnoteText"/>
      </w:pPr>
      <w:r>
        <w:rPr>
          <w:rStyle w:val="FootnoteReference"/>
        </w:rPr>
        <w:footnoteRef/>
      </w:r>
      <w:r>
        <w:t xml:space="preserve"> J.P. Sprenger van Eijk, De wetgeving op het recht van successie van overgang en van schenking, Martinus Nijhoff, ’s-Gravenhage, 1930, blz. 296</w:t>
      </w:r>
    </w:p>
  </w:footnote>
  <w:footnote w:id="28">
    <w:p w:rsidR="00174971" w:rsidRDefault="00174971" w:rsidP="009A7D4E">
      <w:pPr>
        <w:pStyle w:val="FootnoteText"/>
      </w:pPr>
      <w:r>
        <w:rPr>
          <w:rStyle w:val="FootnoteReference"/>
        </w:rPr>
        <w:footnoteRef/>
      </w:r>
      <w:r>
        <w:t xml:space="preserve"> Wet van 29 april 1925, Stb. 1925, 171, tot bevordering van de richtige heffing der directe belastingen</w:t>
      </w:r>
    </w:p>
  </w:footnote>
  <w:footnote w:id="29">
    <w:p w:rsidR="00174971" w:rsidRDefault="00174971" w:rsidP="009A7D4E">
      <w:pPr>
        <w:pStyle w:val="FootnoteText"/>
      </w:pPr>
      <w:r>
        <w:rPr>
          <w:rStyle w:val="FootnoteReference"/>
        </w:rPr>
        <w:footnoteRef/>
      </w:r>
      <w:r>
        <w:t xml:space="preserve"> L.A. de Blieck e.a., Algemene wet inzake rijksbelastingen, Kluwer, Deventer, 2009, blz. 327</w:t>
      </w:r>
    </w:p>
  </w:footnote>
  <w:footnote w:id="30">
    <w:p w:rsidR="00174971" w:rsidRDefault="00174971" w:rsidP="009A7D4E">
      <w:pPr>
        <w:pStyle w:val="FootnoteText"/>
      </w:pPr>
      <w:r>
        <w:rPr>
          <w:rStyle w:val="FootnoteReference"/>
        </w:rPr>
        <w:footnoteRef/>
      </w:r>
      <w:r>
        <w:t xml:space="preserve"> </w:t>
      </w:r>
      <w:r w:rsidRPr="005D7257">
        <w:t xml:space="preserve">Zie bijvoorbeeld HR 8 maart 1961, </w:t>
      </w:r>
      <w:r>
        <w:t>r</w:t>
      </w:r>
      <w:r w:rsidRPr="005D7257">
        <w:t>oln</w:t>
      </w:r>
      <w:r>
        <w:t>r</w:t>
      </w:r>
      <w:r w:rsidRPr="005D7257">
        <w:t xml:space="preserve">. 14 368, BNB 1961/133 en HR 24 maart 1965, </w:t>
      </w:r>
      <w:r>
        <w:t>r</w:t>
      </w:r>
      <w:r w:rsidRPr="005D7257">
        <w:t>oln</w:t>
      </w:r>
      <w:r>
        <w:t>r</w:t>
      </w:r>
      <w:r w:rsidRPr="005D7257">
        <w:t>. 15 277, BNB 1965/186</w:t>
      </w:r>
    </w:p>
  </w:footnote>
  <w:footnote w:id="31">
    <w:p w:rsidR="00174971" w:rsidRDefault="00174971" w:rsidP="009A7D4E">
      <w:pPr>
        <w:pStyle w:val="FootnoteText"/>
      </w:pPr>
      <w:r>
        <w:rPr>
          <w:rStyle w:val="FootnoteReference"/>
        </w:rPr>
        <w:footnoteRef/>
      </w:r>
      <w:r>
        <w:t xml:space="preserve"> HR 27 december 1967, rolnr. 15 772, BNB 1968/80</w:t>
      </w:r>
    </w:p>
  </w:footnote>
  <w:footnote w:id="32">
    <w:p w:rsidR="00174971" w:rsidRDefault="00174971" w:rsidP="009A7D4E">
      <w:pPr>
        <w:pStyle w:val="FootnoteText"/>
      </w:pPr>
      <w:r>
        <w:rPr>
          <w:rStyle w:val="FootnoteReference"/>
        </w:rPr>
        <w:footnoteRef/>
      </w:r>
      <w:r>
        <w:t xml:space="preserve"> Desondanks is overmatig gebruik van de richtige heffing door de fiscus niet gewenst zo stelde A-G Mok in zijn conclusie bij HR 22 juli 1982, rolnr. 20 651, BNB 1982/242, in onderdeel 7: </w:t>
      </w:r>
      <w:r w:rsidRPr="00BC746F">
        <w:rPr>
          <w:i/>
        </w:rPr>
        <w:t>“Van belang is dat het hier gaat om een bijzonder krachtig middel ten behoeve van de fiscus, dat bedoeld is om in uitzonderlijke, althans uitzonderlijk zwaarwegende, gevallen te worden gehanteerd”.</w:t>
      </w:r>
    </w:p>
  </w:footnote>
  <w:footnote w:id="33">
    <w:p w:rsidR="00174971" w:rsidRDefault="00174971" w:rsidP="009A7D4E">
      <w:pPr>
        <w:pStyle w:val="FootnoteText"/>
      </w:pPr>
      <w:r>
        <w:rPr>
          <w:rStyle w:val="FootnoteReference"/>
        </w:rPr>
        <w:footnoteRef/>
      </w:r>
      <w:r>
        <w:t xml:space="preserve"> HR 22 juli 1982, rolnr. 20 651, BNB 1982/243</w:t>
      </w:r>
    </w:p>
  </w:footnote>
  <w:footnote w:id="34">
    <w:p w:rsidR="00174971" w:rsidRDefault="00174971" w:rsidP="009A7D4E">
      <w:pPr>
        <w:pStyle w:val="FootnoteText"/>
      </w:pPr>
      <w:r>
        <w:rPr>
          <w:rStyle w:val="FootnoteReference"/>
        </w:rPr>
        <w:footnoteRef/>
      </w:r>
      <w:r>
        <w:t xml:space="preserve"> J.P. Scheltens, ‘Het bestaansrecht van een fiscaalrechtelijke leer van fraus legis’, in: A.K.P. Jongsma en J. Verburg (red.), Cyns en Dyns: opstellen aangeboden aan H.J. Hofstra, Kluwer, Deventer, 1975, blz. 151</w:t>
      </w:r>
    </w:p>
  </w:footnote>
  <w:footnote w:id="35">
    <w:p w:rsidR="00174971" w:rsidRDefault="00174971" w:rsidP="009A7D4E">
      <w:pPr>
        <w:pStyle w:val="FootnoteText"/>
      </w:pPr>
      <w:r>
        <w:rPr>
          <w:rStyle w:val="FootnoteReference"/>
        </w:rPr>
        <w:footnoteRef/>
      </w:r>
      <w:r>
        <w:t xml:space="preserve"> Zie naast de conclusie van A-G Van Soest bijvoorbeeld: E. Aardema, ‘De grenzen van het leerstuk van de wetsontduiking’, WFR 1978/1129</w:t>
      </w:r>
    </w:p>
  </w:footnote>
  <w:footnote w:id="36">
    <w:p w:rsidR="00174971" w:rsidRDefault="00174971" w:rsidP="009A7D4E">
      <w:pPr>
        <w:pStyle w:val="FootnoteText"/>
      </w:pPr>
      <w:r>
        <w:rPr>
          <w:rStyle w:val="FootnoteReference"/>
        </w:rPr>
        <w:footnoteRef/>
      </w:r>
      <w:r>
        <w:t xml:space="preserve"> HR 21 juni 1978, rolnr. 18 682, BNB 1978/227</w:t>
      </w:r>
    </w:p>
  </w:footnote>
  <w:footnote w:id="37">
    <w:p w:rsidR="00174971" w:rsidRDefault="00174971" w:rsidP="009A7D4E">
      <w:pPr>
        <w:pStyle w:val="FootnoteText"/>
      </w:pPr>
      <w:r>
        <w:rPr>
          <w:rStyle w:val="FootnoteReference"/>
        </w:rPr>
        <w:footnoteRef/>
      </w:r>
      <w:r>
        <w:t xml:space="preserve"> HR 21 november 1984, rolnr. 22 092, BNB 1985/32</w:t>
      </w:r>
    </w:p>
  </w:footnote>
  <w:footnote w:id="38">
    <w:p w:rsidR="00174971" w:rsidRDefault="00174971" w:rsidP="009A7D4E">
      <w:pPr>
        <w:pStyle w:val="FootnoteText"/>
      </w:pPr>
      <w:r>
        <w:rPr>
          <w:rStyle w:val="FootnoteReference"/>
        </w:rPr>
        <w:footnoteRef/>
      </w:r>
      <w:r>
        <w:t xml:space="preserve"> R.E.C.M. Niessen, Richtige heffing en fraus legis, Gouda Quint, Arnhem, 1985, blz. 60 en 61</w:t>
      </w:r>
    </w:p>
  </w:footnote>
  <w:footnote w:id="39">
    <w:p w:rsidR="00174971" w:rsidRDefault="00174971" w:rsidP="009A7D4E">
      <w:pPr>
        <w:pStyle w:val="FootnoteText"/>
      </w:pPr>
      <w:r>
        <w:rPr>
          <w:rStyle w:val="FootnoteReference"/>
        </w:rPr>
        <w:footnoteRef/>
      </w:r>
      <w:r>
        <w:t xml:space="preserve"> Zie bijvoorbeeld HR 20 maart 1985, rolnr. 23 003, BNB 1985/171</w:t>
      </w:r>
    </w:p>
  </w:footnote>
  <w:footnote w:id="40">
    <w:p w:rsidR="00174971" w:rsidRDefault="00174971">
      <w:pPr>
        <w:pStyle w:val="FootnoteText"/>
      </w:pPr>
      <w:r>
        <w:rPr>
          <w:rStyle w:val="FootnoteReference"/>
        </w:rPr>
        <w:footnoteRef/>
      </w:r>
      <w:r>
        <w:t xml:space="preserve"> Per 1 januari 2001 is in artikel 31 AWR na ‘directe belastingen’ de zinsnede ‘en de inkomstenbelasting’ opgenomen omdat in de Wet IB 2001 niet wordt gesproken van een directe belasting. In de Wet IB 1964 werd dit wel in het eerste lid vermeld.</w:t>
      </w:r>
    </w:p>
  </w:footnote>
  <w:footnote w:id="41">
    <w:p w:rsidR="00174971" w:rsidRDefault="00174971" w:rsidP="009A7D4E">
      <w:pPr>
        <w:pStyle w:val="FootnoteText"/>
      </w:pPr>
      <w:r>
        <w:rPr>
          <w:rStyle w:val="FootnoteReference"/>
        </w:rPr>
        <w:footnoteRef/>
      </w:r>
      <w:r>
        <w:t xml:space="preserve"> HR 11 juni 1986, rolnr. 23 641, BNB 1986/283</w:t>
      </w:r>
    </w:p>
  </w:footnote>
  <w:footnote w:id="42">
    <w:p w:rsidR="00174971" w:rsidRDefault="00174971" w:rsidP="009A7D4E">
      <w:pPr>
        <w:pStyle w:val="FootnoteText"/>
      </w:pPr>
      <w:r>
        <w:rPr>
          <w:rStyle w:val="FootnoteReference"/>
        </w:rPr>
        <w:footnoteRef/>
      </w:r>
      <w:r>
        <w:t xml:space="preserve"> Door toepassing van artikel 31, lid 6, Wet op de inkomstenbelasting 1964</w:t>
      </w:r>
    </w:p>
  </w:footnote>
  <w:footnote w:id="43">
    <w:p w:rsidR="00174971" w:rsidRDefault="00174971" w:rsidP="009A7D4E">
      <w:pPr>
        <w:pStyle w:val="FootnoteText"/>
      </w:pPr>
      <w:r>
        <w:rPr>
          <w:rStyle w:val="FootnoteReference"/>
        </w:rPr>
        <w:footnoteRef/>
      </w:r>
      <w:r>
        <w:t xml:space="preserve"> Persbericht Ministerie van Financiën, 29 juli 1987, nr. 87/222</w:t>
      </w:r>
    </w:p>
  </w:footnote>
  <w:footnote w:id="44">
    <w:p w:rsidR="00174971" w:rsidRDefault="00174971" w:rsidP="009A7D4E">
      <w:pPr>
        <w:pStyle w:val="FootnoteText"/>
      </w:pPr>
      <w:r>
        <w:rPr>
          <w:rStyle w:val="FootnoteReference"/>
        </w:rPr>
        <w:footnoteRef/>
      </w:r>
      <w:r w:rsidRPr="00194F69">
        <w:t xml:space="preserve"> R.L.H. IJzerman, </w:t>
      </w:r>
      <w:r>
        <w:t>‘</w:t>
      </w:r>
      <w:r w:rsidRPr="00194F69">
        <w:t>Over fraus legis</w:t>
      </w:r>
      <w:r>
        <w:t>’</w:t>
      </w:r>
      <w:r w:rsidRPr="00194F69">
        <w:t>, TFB 2002/11-12, blz. 5</w:t>
      </w:r>
    </w:p>
  </w:footnote>
  <w:footnote w:id="45">
    <w:p w:rsidR="00174971" w:rsidRDefault="00174971" w:rsidP="009A7D4E">
      <w:pPr>
        <w:pStyle w:val="FootnoteText"/>
      </w:pPr>
      <w:r>
        <w:rPr>
          <w:rStyle w:val="FootnoteReference"/>
        </w:rPr>
        <w:footnoteRef/>
      </w:r>
      <w:r>
        <w:t xml:space="preserve"> HR 10 maart 1993, nr. 28 484, BNB 1993/197</w:t>
      </w:r>
    </w:p>
  </w:footnote>
  <w:footnote w:id="46">
    <w:p w:rsidR="00174971" w:rsidRDefault="00174971" w:rsidP="009A7D4E">
      <w:pPr>
        <w:pStyle w:val="FootnoteText"/>
      </w:pPr>
      <w:r>
        <w:rPr>
          <w:rStyle w:val="FootnoteReference"/>
        </w:rPr>
        <w:footnoteRef/>
      </w:r>
      <w:r>
        <w:t xml:space="preserve"> R.L.H. IJzerman, ‘Over fraus legis’, TFB 2002/11-12, blz. 5</w:t>
      </w:r>
    </w:p>
  </w:footnote>
  <w:footnote w:id="47">
    <w:p w:rsidR="00174971" w:rsidRDefault="00174971" w:rsidP="009A7D4E">
      <w:pPr>
        <w:pStyle w:val="FootnoteText"/>
      </w:pPr>
      <w:r>
        <w:rPr>
          <w:rStyle w:val="FootnoteReference"/>
        </w:rPr>
        <w:footnoteRef/>
      </w:r>
      <w:r>
        <w:t xml:space="preserve"> HR 6 oktober 1999, nr. 33 971, BNB 2000/19</w:t>
      </w:r>
    </w:p>
  </w:footnote>
  <w:footnote w:id="48">
    <w:p w:rsidR="00174971" w:rsidRDefault="00174971" w:rsidP="009A7D4E">
      <w:pPr>
        <w:pStyle w:val="FootnoteText"/>
      </w:pPr>
      <w:r>
        <w:rPr>
          <w:rStyle w:val="FootnoteReference"/>
        </w:rPr>
        <w:footnoteRef/>
      </w:r>
      <w:r>
        <w:t xml:space="preserve"> Op grond van artikel 4 WBR worden aandelen in zogenoemde onroerendezaaklichamen aangemerkt als fictieve onroerende zaken, over de verkrijging van aandelen is in beginsel overdrachtsbelasting verschuldigd</w:t>
      </w:r>
    </w:p>
  </w:footnote>
  <w:footnote w:id="49">
    <w:p w:rsidR="00174971" w:rsidRDefault="00174971" w:rsidP="009A7D4E">
      <w:pPr>
        <w:pStyle w:val="FootnoteText"/>
      </w:pPr>
      <w:r>
        <w:rPr>
          <w:rStyle w:val="FootnoteReference"/>
        </w:rPr>
        <w:footnoteRef/>
      </w:r>
      <w:r>
        <w:t xml:space="preserve"> HR 7 juni 1989, rolnr. 24 239, BNB 1990/72</w:t>
      </w:r>
    </w:p>
  </w:footnote>
  <w:footnote w:id="50">
    <w:p w:rsidR="00174971" w:rsidRDefault="00174971" w:rsidP="009A7D4E">
      <w:pPr>
        <w:pStyle w:val="FootnoteText"/>
      </w:pPr>
      <w:r>
        <w:rPr>
          <w:rStyle w:val="FootnoteReference"/>
        </w:rPr>
        <w:footnoteRef/>
      </w:r>
      <w:r>
        <w:t xml:space="preserve"> Ch.J.C. Langereis, Fiscale werkelijkheid, Kluwer, Deventer, 1988, blz. 23</w:t>
      </w:r>
    </w:p>
  </w:footnote>
  <w:footnote w:id="51">
    <w:p w:rsidR="00174971" w:rsidRDefault="00174971" w:rsidP="009A7D4E">
      <w:pPr>
        <w:pStyle w:val="FootnoteText"/>
      </w:pPr>
      <w:r>
        <w:rPr>
          <w:rStyle w:val="FootnoteReference"/>
        </w:rPr>
        <w:footnoteRef/>
      </w:r>
      <w:r>
        <w:t xml:space="preserve"> In de literatuur worden naast meerwegenleer ook de termen tweewegenleer en verschillende wegenleer gebruikt.</w:t>
      </w:r>
    </w:p>
  </w:footnote>
  <w:footnote w:id="52">
    <w:p w:rsidR="00174971" w:rsidRDefault="00174971" w:rsidP="009A7D4E">
      <w:pPr>
        <w:pStyle w:val="FootnoteText"/>
      </w:pPr>
      <w:r>
        <w:rPr>
          <w:rStyle w:val="FootnoteReference"/>
        </w:rPr>
        <w:footnoteRef/>
      </w:r>
      <w:r>
        <w:t xml:space="preserve"> HR 11 juli 1990, rolnr. 26 306, BNB 1990/293</w:t>
      </w:r>
    </w:p>
  </w:footnote>
  <w:footnote w:id="53">
    <w:p w:rsidR="00174971" w:rsidRDefault="00174971">
      <w:pPr>
        <w:pStyle w:val="FootnoteText"/>
      </w:pPr>
      <w:r>
        <w:rPr>
          <w:rStyle w:val="FootnoteReference"/>
        </w:rPr>
        <w:footnoteRef/>
      </w:r>
      <w:r>
        <w:t xml:space="preserve"> Zie bijvoorbeeld de hierna aangehaalde arresten</w:t>
      </w:r>
    </w:p>
  </w:footnote>
  <w:footnote w:id="54">
    <w:p w:rsidR="00174971" w:rsidRDefault="00174971" w:rsidP="009A7D4E">
      <w:pPr>
        <w:pStyle w:val="FootnoteText"/>
      </w:pPr>
      <w:r>
        <w:rPr>
          <w:rStyle w:val="FootnoteReference"/>
        </w:rPr>
        <w:footnoteRef/>
      </w:r>
      <w:r>
        <w:t xml:space="preserve"> HR 6 september 1995, nr. 27 927, BNB 1996/4</w:t>
      </w:r>
    </w:p>
  </w:footnote>
  <w:footnote w:id="55">
    <w:p w:rsidR="00174971" w:rsidRDefault="00174971" w:rsidP="009A7D4E">
      <w:pPr>
        <w:pStyle w:val="FootnoteText"/>
      </w:pPr>
      <w:r>
        <w:rPr>
          <w:rStyle w:val="FootnoteReference"/>
        </w:rPr>
        <w:footnoteRef/>
      </w:r>
      <w:r>
        <w:t xml:space="preserve"> HR 6 september 1995, nr. 27 927, BNB 1996/4, rechtsoverweging 3.2.4</w:t>
      </w:r>
    </w:p>
  </w:footnote>
  <w:footnote w:id="56">
    <w:p w:rsidR="00174971" w:rsidRDefault="00174971">
      <w:pPr>
        <w:pStyle w:val="FootnoteText"/>
      </w:pPr>
      <w:r>
        <w:rPr>
          <w:rStyle w:val="FootnoteReference"/>
        </w:rPr>
        <w:footnoteRef/>
      </w:r>
      <w:r>
        <w:t xml:space="preserve"> E.C.C.M. Kemmeren, ‘Winstdrainage: een vergaande mogelijkheid tot winstallocatie’, FED 1996/162</w:t>
      </w:r>
    </w:p>
  </w:footnote>
  <w:footnote w:id="57">
    <w:p w:rsidR="00174971" w:rsidRDefault="00174971">
      <w:pPr>
        <w:pStyle w:val="FootnoteText"/>
      </w:pPr>
      <w:r>
        <w:rPr>
          <w:rStyle w:val="FootnoteReference"/>
        </w:rPr>
        <w:footnoteRef/>
      </w:r>
      <w:r>
        <w:t xml:space="preserve"> </w:t>
      </w:r>
      <w:r w:rsidRPr="00803BF7">
        <w:t xml:space="preserve">M.V. Lambooij, </w:t>
      </w:r>
      <w:r>
        <w:t>‘</w:t>
      </w:r>
      <w:r w:rsidRPr="00803BF7">
        <w:t>We</w:t>
      </w:r>
      <w:r>
        <w:t xml:space="preserve">igeringsgronden en fusies’, NTFR-B </w:t>
      </w:r>
      <w:r w:rsidRPr="00803BF7">
        <w:t>2008-46</w:t>
      </w:r>
    </w:p>
  </w:footnote>
  <w:footnote w:id="58">
    <w:p w:rsidR="00174971" w:rsidRDefault="00174971" w:rsidP="009A7D4E">
      <w:pPr>
        <w:spacing w:after="0" w:line="240" w:lineRule="auto"/>
      </w:pPr>
      <w:r>
        <w:rPr>
          <w:rStyle w:val="FootnoteReference"/>
        </w:rPr>
        <w:footnoteRef/>
      </w:r>
      <w:r>
        <w:t xml:space="preserve"> </w:t>
      </w:r>
      <w:r w:rsidRPr="00725FF1">
        <w:rPr>
          <w:sz w:val="20"/>
          <w:szCs w:val="20"/>
        </w:rPr>
        <w:t xml:space="preserve">Zie bijvoorbeeld: </w:t>
      </w:r>
      <w:r w:rsidRPr="00725FF1">
        <w:rPr>
          <w:sz w:val="20"/>
          <w:szCs w:val="20"/>
          <w:lang w:eastAsia="nl-NL"/>
        </w:rPr>
        <w:t xml:space="preserve">HR 2 februari 1994, nr. 29 588, </w:t>
      </w:r>
      <w:hyperlink r:id="rId1" w:history="1">
        <w:r w:rsidRPr="00725FF1">
          <w:rPr>
            <w:sz w:val="20"/>
            <w:szCs w:val="20"/>
            <w:lang w:eastAsia="nl-NL"/>
          </w:rPr>
          <w:t>BNB 1994/134</w:t>
        </w:r>
      </w:hyperlink>
      <w:r w:rsidRPr="00725FF1">
        <w:rPr>
          <w:sz w:val="20"/>
          <w:szCs w:val="20"/>
          <w:lang w:eastAsia="nl-NL"/>
        </w:rPr>
        <w:t xml:space="preserve"> </w:t>
      </w:r>
      <w:r>
        <w:rPr>
          <w:sz w:val="20"/>
          <w:szCs w:val="20"/>
        </w:rPr>
        <w:t xml:space="preserve">en </w:t>
      </w:r>
      <w:r w:rsidRPr="00725FF1">
        <w:rPr>
          <w:sz w:val="20"/>
          <w:szCs w:val="20"/>
        </w:rPr>
        <w:t xml:space="preserve">HR 17 december 2004, nr. 39 080, </w:t>
      </w:r>
      <w:r w:rsidRPr="00573CFC">
        <w:rPr>
          <w:sz w:val="20"/>
          <w:szCs w:val="20"/>
        </w:rPr>
        <w:t>BNB 2005/169</w:t>
      </w:r>
    </w:p>
  </w:footnote>
  <w:footnote w:id="59">
    <w:p w:rsidR="00174971" w:rsidRDefault="00174971" w:rsidP="009A7D4E">
      <w:pPr>
        <w:pStyle w:val="FootnoteText"/>
      </w:pPr>
      <w:r>
        <w:rPr>
          <w:rStyle w:val="FootnoteReference"/>
        </w:rPr>
        <w:footnoteRef/>
      </w:r>
      <w:r>
        <w:t xml:space="preserve"> </w:t>
      </w:r>
      <w:r w:rsidRPr="00725FF1">
        <w:t xml:space="preserve">HR 1 december 1999, nr. 34 217, </w:t>
      </w:r>
      <w:r w:rsidRPr="00573CFC">
        <w:t>BNB 2000/111</w:t>
      </w:r>
    </w:p>
  </w:footnote>
  <w:footnote w:id="60">
    <w:p w:rsidR="00174971" w:rsidRDefault="00174971" w:rsidP="009A7D4E">
      <w:pPr>
        <w:pStyle w:val="FootnoteText"/>
      </w:pPr>
      <w:r>
        <w:rPr>
          <w:rStyle w:val="FootnoteReference"/>
        </w:rPr>
        <w:footnoteRef/>
      </w:r>
      <w:r>
        <w:t xml:space="preserve"> Zoals de Redactie Vakstudie Nieuws stelde in de aantekening bij HR </w:t>
      </w:r>
      <w:r w:rsidRPr="00710576">
        <w:t>17 december 2004, nr. 39 080</w:t>
      </w:r>
      <w:r>
        <w:t>, V-N 2005/2.16</w:t>
      </w:r>
    </w:p>
  </w:footnote>
  <w:footnote w:id="61">
    <w:p w:rsidR="00174971" w:rsidRDefault="00174971" w:rsidP="009A7D4E">
      <w:pPr>
        <w:pStyle w:val="FootnoteText"/>
      </w:pPr>
      <w:r>
        <w:rPr>
          <w:rStyle w:val="FootnoteReference"/>
        </w:rPr>
        <w:footnoteRef/>
      </w:r>
      <w:r>
        <w:t xml:space="preserve"> </w:t>
      </w:r>
      <w:r w:rsidRPr="00FE7368">
        <w:t xml:space="preserve">HR 13 maart 2009, nr. 43 946, </w:t>
      </w:r>
      <w:r w:rsidRPr="00573CFC">
        <w:t>BNB 2009/123</w:t>
      </w:r>
    </w:p>
  </w:footnote>
  <w:footnote w:id="62">
    <w:p w:rsidR="00174971" w:rsidRDefault="00174971" w:rsidP="009A7D4E">
      <w:pPr>
        <w:pStyle w:val="FootnoteText"/>
      </w:pPr>
      <w:r>
        <w:rPr>
          <w:rStyle w:val="FootnoteReference"/>
        </w:rPr>
        <w:footnoteRef/>
      </w:r>
      <w:r>
        <w:t xml:space="preserve"> R.J. de Vries, ‘Kwaliteit van fiscale rechtsvinding en fiscale regelgeving’, WFR 2010/114</w:t>
      </w:r>
    </w:p>
  </w:footnote>
  <w:footnote w:id="63">
    <w:p w:rsidR="00174971" w:rsidRDefault="00174971">
      <w:pPr>
        <w:pStyle w:val="FootnoteText"/>
      </w:pPr>
      <w:r>
        <w:rPr>
          <w:rStyle w:val="FootnoteReference"/>
        </w:rPr>
        <w:footnoteRef/>
      </w:r>
      <w:r>
        <w:t xml:space="preserve"> </w:t>
      </w:r>
      <w:r w:rsidRPr="00FB7E30">
        <w:t>HvJ EG 20 mei 2010, zaak C</w:t>
      </w:r>
      <w:r>
        <w:t>-352/08 (Zwijnenburg)</w:t>
      </w:r>
      <w:r w:rsidRPr="002D284A">
        <w:t xml:space="preserve"> </w:t>
      </w:r>
      <w:r>
        <w:t>V-N 2009/35.16</w:t>
      </w:r>
    </w:p>
  </w:footnote>
  <w:footnote w:id="64">
    <w:p w:rsidR="00174971" w:rsidRDefault="00174971">
      <w:pPr>
        <w:pStyle w:val="FootnoteText"/>
      </w:pPr>
      <w:r>
        <w:rPr>
          <w:rStyle w:val="FootnoteReference"/>
        </w:rPr>
        <w:footnoteRef/>
      </w:r>
      <w:r w:rsidRPr="00F26CCF">
        <w:t xml:space="preserve"> HR 27 juni 1990, </w:t>
      </w:r>
      <w:r>
        <w:t>r</w:t>
      </w:r>
      <w:r w:rsidRPr="00F26CCF">
        <w:t>oln</w:t>
      </w:r>
      <w:r>
        <w:t>r</w:t>
      </w:r>
      <w:r w:rsidRPr="00F26CCF">
        <w:t xml:space="preserve">. 26 758, r.o. </w:t>
      </w:r>
      <w:r>
        <w:t>4.2</w:t>
      </w:r>
      <w:r w:rsidRPr="00F26CCF">
        <w:t>, BNB 1990/317</w:t>
      </w:r>
    </w:p>
  </w:footnote>
  <w:footnote w:id="65">
    <w:p w:rsidR="00174971" w:rsidRDefault="00174971">
      <w:pPr>
        <w:pStyle w:val="FootnoteText"/>
      </w:pPr>
      <w:r>
        <w:rPr>
          <w:rStyle w:val="FootnoteReference"/>
        </w:rPr>
        <w:footnoteRef/>
      </w:r>
      <w:r>
        <w:t xml:space="preserve"> HR 15 juli 1997, nr. 31 552, r.o. 4.2, BNB 1997/296</w:t>
      </w:r>
    </w:p>
  </w:footnote>
  <w:footnote w:id="66">
    <w:p w:rsidR="00174971" w:rsidRDefault="00174971">
      <w:pPr>
        <w:pStyle w:val="FootnoteText"/>
      </w:pPr>
      <w:r>
        <w:rPr>
          <w:rStyle w:val="FootnoteReference"/>
        </w:rPr>
        <w:footnoteRef/>
      </w:r>
      <w:r w:rsidRPr="00A40497">
        <w:t xml:space="preserve"> HR 8 juli 1992, </w:t>
      </w:r>
      <w:r>
        <w:t>r</w:t>
      </w:r>
      <w:r w:rsidRPr="00A40497">
        <w:t>oln</w:t>
      </w:r>
      <w:r>
        <w:t>r. 28 211</w:t>
      </w:r>
      <w:r w:rsidRPr="00A40497">
        <w:t>, r.o. 3.4</w:t>
      </w:r>
      <w:r>
        <w:t xml:space="preserve">, </w:t>
      </w:r>
      <w:r w:rsidRPr="00A40497">
        <w:t>BNB 1992/308</w:t>
      </w:r>
    </w:p>
  </w:footnote>
  <w:footnote w:id="67">
    <w:p w:rsidR="00174971" w:rsidRDefault="00174971" w:rsidP="002C4107">
      <w:pPr>
        <w:pStyle w:val="FootnoteText"/>
      </w:pPr>
      <w:r>
        <w:rPr>
          <w:rStyle w:val="FootnoteReference"/>
        </w:rPr>
        <w:footnoteRef/>
      </w:r>
      <w:r w:rsidRPr="00433547">
        <w:t xml:space="preserve"> HR 19 april 2000, nr. 33 560, BNB 2000/261 </w:t>
      </w:r>
    </w:p>
  </w:footnote>
  <w:footnote w:id="68">
    <w:p w:rsidR="00174971" w:rsidRDefault="00174971">
      <w:pPr>
        <w:pStyle w:val="FootnoteText"/>
      </w:pPr>
      <w:r>
        <w:rPr>
          <w:rStyle w:val="FootnoteReference"/>
        </w:rPr>
        <w:footnoteRef/>
      </w:r>
      <w:r>
        <w:t xml:space="preserve"> A-G Van Den Berge in zijn conclusie bij </w:t>
      </w:r>
      <w:r w:rsidRPr="00F3384B">
        <w:t>HR 19 april 2000, nr. 33 560, BNB 2000/261</w:t>
      </w:r>
    </w:p>
  </w:footnote>
  <w:footnote w:id="69">
    <w:p w:rsidR="00174971" w:rsidRDefault="00174971" w:rsidP="004E4A1A">
      <w:pPr>
        <w:pStyle w:val="FootnoteText"/>
      </w:pPr>
      <w:r>
        <w:rPr>
          <w:rStyle w:val="FootnoteReference"/>
        </w:rPr>
        <w:footnoteRef/>
      </w:r>
      <w:r>
        <w:t xml:space="preserve"> O.C.R. Marres, Winstdrainage door renteaftrek, Kluwer, Deventer, 2008, blz. 64</w:t>
      </w:r>
    </w:p>
  </w:footnote>
  <w:footnote w:id="70">
    <w:p w:rsidR="00174971" w:rsidRDefault="00174971" w:rsidP="004E4A1A">
      <w:pPr>
        <w:pStyle w:val="FootnoteText"/>
      </w:pPr>
      <w:r>
        <w:rPr>
          <w:rStyle w:val="FootnoteReference"/>
        </w:rPr>
        <w:footnoteRef/>
      </w:r>
      <w:r>
        <w:t xml:space="preserve"> D. Juch, ‘De belastingadviseur en-de reparatiewetgeving’, WFR 1981/1264</w:t>
      </w:r>
    </w:p>
  </w:footnote>
  <w:footnote w:id="71">
    <w:p w:rsidR="00174971" w:rsidRDefault="00174971" w:rsidP="004E4A1A">
      <w:pPr>
        <w:pStyle w:val="FootnoteText"/>
      </w:pPr>
      <w:r>
        <w:rPr>
          <w:rStyle w:val="FootnoteReference"/>
        </w:rPr>
        <w:footnoteRef/>
      </w:r>
      <w:r>
        <w:t xml:space="preserve"> Zie voor een niet-limitatieve opsomming van kritiek op reparatiewetgeving: </w:t>
      </w:r>
      <w:r w:rsidRPr="0071682B">
        <w:t xml:space="preserve">D.A. Albregtse, </w:t>
      </w:r>
      <w:r>
        <w:t>‘</w:t>
      </w:r>
      <w:r w:rsidRPr="0071682B">
        <w:t>De deelnemingsvrijstelling als strijdtoneel</w:t>
      </w:r>
      <w:r>
        <w:t>’</w:t>
      </w:r>
      <w:r w:rsidRPr="0071682B">
        <w:t xml:space="preserve">, </w:t>
      </w:r>
      <w:r w:rsidRPr="0071682B">
        <w:rPr>
          <w:color w:val="000000"/>
        </w:rPr>
        <w:t>in: D.A. Albregtse, E.J.W. Heithuis en J.J.M. Jansen (red.), In de fiscale vuurlinie</w:t>
      </w:r>
      <w:r>
        <w:rPr>
          <w:color w:val="000000"/>
        </w:rPr>
        <w:t>.</w:t>
      </w:r>
      <w:r w:rsidRPr="0071682B">
        <w:rPr>
          <w:color w:val="000000"/>
        </w:rPr>
        <w:t xml:space="preserve"> Opstellen aangeboden</w:t>
      </w:r>
      <w:r>
        <w:rPr>
          <w:color w:val="000000"/>
        </w:rPr>
        <w:t xml:space="preserve"> op 23 mei 2002</w:t>
      </w:r>
      <w:r w:rsidRPr="0071682B">
        <w:rPr>
          <w:color w:val="000000"/>
        </w:rPr>
        <w:t xml:space="preserve"> aan </w:t>
      </w:r>
      <w:r>
        <w:rPr>
          <w:color w:val="000000"/>
        </w:rPr>
        <w:t xml:space="preserve">prof. mr. </w:t>
      </w:r>
      <w:r w:rsidRPr="0071682B">
        <w:rPr>
          <w:color w:val="000000"/>
        </w:rPr>
        <w:t xml:space="preserve">E. Aardema ter gelegenheid van zijn afscheid als hoogleraar aan de Erasmus Universiteit Rotterdam, Kluwer, Deventer, 2003, </w:t>
      </w:r>
      <w:r>
        <w:rPr>
          <w:color w:val="000000"/>
        </w:rPr>
        <w:t>blz</w:t>
      </w:r>
      <w:r w:rsidRPr="0071682B">
        <w:rPr>
          <w:color w:val="000000"/>
        </w:rPr>
        <w:t>. 1</w:t>
      </w:r>
      <w:r>
        <w:rPr>
          <w:color w:val="000000"/>
        </w:rPr>
        <w:t>43</w:t>
      </w:r>
    </w:p>
  </w:footnote>
  <w:footnote w:id="72">
    <w:p w:rsidR="00174971" w:rsidRDefault="00174971" w:rsidP="004E4A1A">
      <w:pPr>
        <w:pStyle w:val="FootnoteText"/>
      </w:pPr>
      <w:r>
        <w:rPr>
          <w:rStyle w:val="FootnoteReference"/>
        </w:rPr>
        <w:footnoteRef/>
      </w:r>
      <w:r>
        <w:t xml:space="preserve"> J.H. Christiaanse en O. Netze, ‘Reparatiewetgeving of richtige heffing’, Geschriften van de Vereniging voor Belastingwetenschap, nr. 152, Kluwer, Deventer, 1980, blz. 10</w:t>
      </w:r>
    </w:p>
  </w:footnote>
  <w:footnote w:id="73">
    <w:p w:rsidR="00174971" w:rsidRDefault="00174971" w:rsidP="004E4A1A">
      <w:pPr>
        <w:pStyle w:val="FootnoteText"/>
      </w:pPr>
      <w:r>
        <w:rPr>
          <w:rStyle w:val="FootnoteReference"/>
        </w:rPr>
        <w:footnoteRef/>
      </w:r>
      <w:r>
        <w:t xml:space="preserve"> E. Aardema, ‘Reparatiewetgeving, alternatieve mogelijkheden’, MBB 1980/10, blz. 251</w:t>
      </w:r>
    </w:p>
  </w:footnote>
  <w:footnote w:id="74">
    <w:p w:rsidR="00174971" w:rsidRDefault="00174971" w:rsidP="004E4A1A">
      <w:pPr>
        <w:pStyle w:val="FootnoteText"/>
      </w:pPr>
      <w:r>
        <w:rPr>
          <w:rStyle w:val="FootnoteReference"/>
        </w:rPr>
        <w:footnoteRef/>
      </w:r>
      <w:r>
        <w:t xml:space="preserve"> O.C.R. Marres, ‘Fraus legis blijft een krachtig wapen tegen winstdrainage’, WFR 2008/1431</w:t>
      </w:r>
    </w:p>
  </w:footnote>
  <w:footnote w:id="75">
    <w:p w:rsidR="00174971" w:rsidRDefault="00174971" w:rsidP="004E4A1A">
      <w:pPr>
        <w:pStyle w:val="FootnoteText"/>
      </w:pPr>
      <w:r>
        <w:rPr>
          <w:rStyle w:val="FootnoteReference"/>
        </w:rPr>
        <w:footnoteRef/>
      </w:r>
      <w:r>
        <w:t xml:space="preserve"> Hof Amsterdam 21 oktober 1998, nr. 97/1693, r.o. 5.1.9, kenbaar uit HR 9 </w:t>
      </w:r>
      <w:r w:rsidRPr="004A50E1">
        <w:t>februari 2000, nr. 34 911</w:t>
      </w:r>
      <w:r>
        <w:t>,</w:t>
      </w:r>
      <w:r w:rsidRPr="004A50E1">
        <w:t xml:space="preserve"> BNB 2000/236</w:t>
      </w:r>
    </w:p>
  </w:footnote>
  <w:footnote w:id="76">
    <w:p w:rsidR="00174971" w:rsidRDefault="00174971" w:rsidP="004E4A1A">
      <w:pPr>
        <w:pStyle w:val="FootnoteText"/>
      </w:pPr>
      <w:r>
        <w:rPr>
          <w:rStyle w:val="FootnoteReference"/>
        </w:rPr>
        <w:footnoteRef/>
      </w:r>
      <w:r>
        <w:t xml:space="preserve"> S. Stoffer, ‘Fiscale kwaliteitszorg’, WFR 1993/797</w:t>
      </w:r>
    </w:p>
  </w:footnote>
  <w:footnote w:id="77">
    <w:p w:rsidR="00174971" w:rsidRDefault="00174971" w:rsidP="004E4A1A">
      <w:pPr>
        <w:pStyle w:val="FootnoteText"/>
      </w:pPr>
      <w:r>
        <w:rPr>
          <w:rStyle w:val="FootnoteReference"/>
        </w:rPr>
        <w:footnoteRef/>
      </w:r>
      <w:r>
        <w:t xml:space="preserve"> </w:t>
      </w:r>
      <w:r w:rsidRPr="000E077B">
        <w:t>HR 23 augustus 1995, nr. 29 521</w:t>
      </w:r>
      <w:r>
        <w:t>, BNB 1996/3;</w:t>
      </w:r>
      <w:r w:rsidRPr="0024466E">
        <w:t xml:space="preserve"> </w:t>
      </w:r>
      <w:r w:rsidRPr="00573CFC">
        <w:t>HR 6 september 1995, nr. 27 927</w:t>
      </w:r>
      <w:r w:rsidRPr="0024466E">
        <w:t>, BNB 1996/4</w:t>
      </w:r>
      <w:r>
        <w:t>; HR 20 september 1995</w:t>
      </w:r>
      <w:r w:rsidRPr="0024466E">
        <w:t>,</w:t>
      </w:r>
      <w:r>
        <w:t xml:space="preserve"> nr. 29 737,</w:t>
      </w:r>
      <w:r w:rsidRPr="0024466E">
        <w:t xml:space="preserve"> BNB 1996/5 en </w:t>
      </w:r>
      <w:r w:rsidRPr="00573CFC">
        <w:t>HR 27 september 1995, nr. 30 400</w:t>
      </w:r>
      <w:r w:rsidRPr="0024466E">
        <w:t>, BNB 1996/6</w:t>
      </w:r>
    </w:p>
  </w:footnote>
  <w:footnote w:id="78">
    <w:p w:rsidR="00174971" w:rsidRDefault="00174971" w:rsidP="004E4A1A">
      <w:pPr>
        <w:pStyle w:val="FootnoteText"/>
      </w:pPr>
      <w:r>
        <w:rPr>
          <w:rStyle w:val="FootnoteReference"/>
        </w:rPr>
        <w:footnoteRef/>
      </w:r>
      <w:r>
        <w:t xml:space="preserve"> Wet van 13 december 1996 tot wijziging van de Wet op de vennootschapsbelasting 1969 met het oog op het tegengaan van uitholling van de belastinggrondslag en het versterken van de fiscale infrastructuur, Stb. 1996, 651</w:t>
      </w:r>
    </w:p>
  </w:footnote>
  <w:footnote w:id="79">
    <w:p w:rsidR="00174971" w:rsidRDefault="00174971" w:rsidP="004E4A1A">
      <w:pPr>
        <w:pStyle w:val="FootnoteText"/>
      </w:pPr>
      <w:r>
        <w:rPr>
          <w:rStyle w:val="FootnoteReference"/>
        </w:rPr>
        <w:footnoteRef/>
      </w:r>
      <w:r>
        <w:t xml:space="preserve"> Wet van 30 november 2006, houdende wijziging van belastingwetten ter realisering van de doelstelling uit de nota ‘Werken aan winst’, Stb. 2006, 631</w:t>
      </w:r>
    </w:p>
  </w:footnote>
  <w:footnote w:id="80">
    <w:p w:rsidR="00174971" w:rsidRDefault="00174971" w:rsidP="004E4A1A">
      <w:pPr>
        <w:pStyle w:val="FootnoteText"/>
      </w:pPr>
      <w:r>
        <w:rPr>
          <w:rStyle w:val="FootnoteReference"/>
        </w:rPr>
        <w:footnoteRef/>
      </w:r>
      <w:r>
        <w:t xml:space="preserve"> O.C.R. Marres, ‘Fraus legis blijft een krachtig wapen tegen winstdrainage’, WFR 2008/1431</w:t>
      </w:r>
    </w:p>
  </w:footnote>
  <w:footnote w:id="81">
    <w:p w:rsidR="00174971" w:rsidRDefault="00174971" w:rsidP="004E4A1A">
      <w:pPr>
        <w:pStyle w:val="FootnoteText"/>
      </w:pPr>
      <w:r>
        <w:rPr>
          <w:rStyle w:val="FootnoteReference"/>
        </w:rPr>
        <w:footnoteRef/>
      </w:r>
      <w:r>
        <w:t xml:space="preserve"> Kamerstukken II, 2005-2006, 30 572, nr. 3, blz. 19</w:t>
      </w:r>
    </w:p>
  </w:footnote>
  <w:footnote w:id="82">
    <w:p w:rsidR="00174971" w:rsidRDefault="00174971" w:rsidP="004E4A1A">
      <w:pPr>
        <w:pStyle w:val="FootnoteText"/>
      </w:pPr>
      <w:r>
        <w:rPr>
          <w:rStyle w:val="FootnoteReference"/>
        </w:rPr>
        <w:footnoteRef/>
      </w:r>
      <w:r>
        <w:t xml:space="preserve"> Kamerstukken II, 2005-2006, 30 572, nr. 8, blz. 45</w:t>
      </w:r>
    </w:p>
  </w:footnote>
  <w:footnote w:id="83">
    <w:p w:rsidR="00174971" w:rsidRDefault="00174971" w:rsidP="004E4A1A">
      <w:pPr>
        <w:pStyle w:val="FootnoteText"/>
      </w:pPr>
      <w:r>
        <w:rPr>
          <w:rStyle w:val="FootnoteReference"/>
        </w:rPr>
        <w:footnoteRef/>
      </w:r>
      <w:r w:rsidRPr="002509DB">
        <w:rPr>
          <w:lang w:val="en-US"/>
        </w:rPr>
        <w:t xml:space="preserve"> </w:t>
      </w:r>
      <w:r>
        <w:rPr>
          <w:lang w:val="en-US"/>
        </w:rPr>
        <w:t>HR 11</w:t>
      </w:r>
      <w:r w:rsidRPr="004A50E1">
        <w:rPr>
          <w:lang w:val="en-US"/>
        </w:rPr>
        <w:t xml:space="preserve"> juli</w:t>
      </w:r>
      <w:r>
        <w:rPr>
          <w:lang w:val="en-US"/>
        </w:rPr>
        <w:t xml:space="preserve"> 2008, nr. 43 </w:t>
      </w:r>
      <w:r w:rsidRPr="002509DB">
        <w:rPr>
          <w:lang w:val="en-US"/>
        </w:rPr>
        <w:t>376, BNB 2008/266</w:t>
      </w:r>
    </w:p>
  </w:footnote>
  <w:footnote w:id="84">
    <w:p w:rsidR="00174971" w:rsidRDefault="00174971" w:rsidP="004E4A1A">
      <w:pPr>
        <w:pStyle w:val="FootnoteText"/>
      </w:pPr>
      <w:r>
        <w:rPr>
          <w:rStyle w:val="FootnoteReference"/>
        </w:rPr>
        <w:footnoteRef/>
      </w:r>
      <w:r w:rsidRPr="00661145">
        <w:rPr>
          <w:lang w:val="en-US"/>
        </w:rPr>
        <w:t xml:space="preserve"> </w:t>
      </w:r>
      <w:r w:rsidRPr="004A50E1">
        <w:rPr>
          <w:lang w:val="en-US"/>
        </w:rPr>
        <w:t xml:space="preserve">Hof Arnhem 28 april 2009, nr. </w:t>
      </w:r>
      <w:r w:rsidRPr="00661145">
        <w:rPr>
          <w:lang w:val="en-US"/>
        </w:rPr>
        <w:t>08/00339, NTFR 2009/1364</w:t>
      </w:r>
    </w:p>
  </w:footnote>
  <w:footnote w:id="85">
    <w:p w:rsidR="00174971" w:rsidRDefault="00174971" w:rsidP="004E4A1A">
      <w:pPr>
        <w:pStyle w:val="FootnoteText"/>
      </w:pPr>
      <w:r>
        <w:rPr>
          <w:rStyle w:val="FootnoteReference"/>
        </w:rPr>
        <w:footnoteRef/>
      </w:r>
      <w:r>
        <w:t xml:space="preserve"> HR 19 maart 2010, nr. 43 376, V-N 2010/16.17</w:t>
      </w:r>
    </w:p>
  </w:footnote>
  <w:footnote w:id="86">
    <w:p w:rsidR="00174971" w:rsidRDefault="00174971" w:rsidP="004E4A1A">
      <w:pPr>
        <w:pStyle w:val="FootnoteText"/>
      </w:pPr>
      <w:r>
        <w:rPr>
          <w:rStyle w:val="FootnoteReference"/>
        </w:rPr>
        <w:footnoteRef/>
      </w:r>
      <w:r>
        <w:t xml:space="preserve"> Dit volgt uit paragraaf 2.4</w:t>
      </w:r>
    </w:p>
  </w:footnote>
  <w:footnote w:id="87">
    <w:p w:rsidR="00174971" w:rsidRDefault="00174971" w:rsidP="004E4A1A">
      <w:pPr>
        <w:pStyle w:val="FootnoteText"/>
      </w:pPr>
      <w:r>
        <w:rPr>
          <w:rStyle w:val="FootnoteReference"/>
        </w:rPr>
        <w:footnoteRef/>
      </w:r>
      <w:r>
        <w:t xml:space="preserve"> HR 17 december 2004, nr. 39 080, BNB 2005/169</w:t>
      </w:r>
    </w:p>
  </w:footnote>
  <w:footnote w:id="88">
    <w:p w:rsidR="00174971" w:rsidRDefault="00174971" w:rsidP="004E4A1A">
      <w:pPr>
        <w:pStyle w:val="FootnoteText"/>
      </w:pPr>
      <w:r>
        <w:rPr>
          <w:rStyle w:val="FootnoteReference"/>
        </w:rPr>
        <w:footnoteRef/>
      </w:r>
      <w:r>
        <w:t xml:space="preserve"> In het kasstelsel worden alle vorderingen en schulden immers verwaarloosd</w:t>
      </w:r>
    </w:p>
  </w:footnote>
  <w:footnote w:id="89">
    <w:p w:rsidR="00174971" w:rsidRDefault="00174971" w:rsidP="00944196">
      <w:pPr>
        <w:pStyle w:val="FootnoteText"/>
      </w:pPr>
      <w:r>
        <w:rPr>
          <w:rStyle w:val="FootnoteReference"/>
        </w:rPr>
        <w:footnoteRef/>
      </w:r>
      <w:r>
        <w:t xml:space="preserve"> Zie overeenkomstig: S.A.W.J. Strik, ‘Wetsvoorstel werken aan winst: een aantal resterende aandachtspunten’, WFR 2006/1311</w:t>
      </w:r>
    </w:p>
  </w:footnote>
  <w:footnote w:id="90">
    <w:p w:rsidR="00174971" w:rsidRDefault="00174971" w:rsidP="004E4A1A">
      <w:pPr>
        <w:pStyle w:val="FootnoteText"/>
      </w:pPr>
      <w:r>
        <w:rPr>
          <w:rStyle w:val="FootnoteReference"/>
        </w:rPr>
        <w:footnoteRef/>
      </w:r>
      <w:r>
        <w:t xml:space="preserve"> E.J.W. Heithuis, ‘Herziening regime fiscale eenheid in de vennootschapsbelasting’, TFO 2001/287</w:t>
      </w:r>
    </w:p>
  </w:footnote>
  <w:footnote w:id="91">
    <w:p w:rsidR="00174971" w:rsidRDefault="00174971" w:rsidP="004E4A1A">
      <w:pPr>
        <w:pStyle w:val="FootnoteText"/>
      </w:pPr>
      <w:r>
        <w:rPr>
          <w:rStyle w:val="FootnoteReference"/>
        </w:rPr>
        <w:footnoteRef/>
      </w:r>
      <w:r>
        <w:t xml:space="preserve"> HR 6 november 1991, rolnr. 27 102, BNB 1992/97</w:t>
      </w:r>
    </w:p>
  </w:footnote>
  <w:footnote w:id="92">
    <w:p w:rsidR="00174971" w:rsidRDefault="00174971" w:rsidP="004E4A1A">
      <w:pPr>
        <w:pStyle w:val="FootnoteText"/>
      </w:pPr>
      <w:r>
        <w:rPr>
          <w:rStyle w:val="FootnoteReference"/>
        </w:rPr>
        <w:footnoteRef/>
      </w:r>
      <w:r>
        <w:t xml:space="preserve"> HR 6 november 1991, rolnr. 27 102, r.o. 3.3., BNB 1992/97</w:t>
      </w:r>
    </w:p>
  </w:footnote>
  <w:footnote w:id="93">
    <w:p w:rsidR="00174971" w:rsidRDefault="00174971" w:rsidP="004E4A1A">
      <w:pPr>
        <w:pStyle w:val="FootnoteText"/>
      </w:pPr>
      <w:r>
        <w:rPr>
          <w:rStyle w:val="FootnoteReference"/>
        </w:rPr>
        <w:footnoteRef/>
      </w:r>
      <w:r>
        <w:t xml:space="preserve"> G. Slot, noot bij HR 6 november 1991, rolnr. 27 102, BNB 1992/97</w:t>
      </w:r>
    </w:p>
  </w:footnote>
  <w:footnote w:id="94">
    <w:p w:rsidR="00174971" w:rsidRDefault="00174971" w:rsidP="004E4A1A">
      <w:pPr>
        <w:pStyle w:val="FootnoteText"/>
      </w:pPr>
      <w:r>
        <w:rPr>
          <w:rStyle w:val="FootnoteReference"/>
        </w:rPr>
        <w:footnoteRef/>
      </w:r>
      <w:r>
        <w:t xml:space="preserve"> E.C.C.M. van Kemmeren, ‘Fraus legis in de vennootschapsbelasting’, TFO 1994/21</w:t>
      </w:r>
    </w:p>
  </w:footnote>
  <w:footnote w:id="95">
    <w:p w:rsidR="00174971" w:rsidRDefault="00174971" w:rsidP="004E4A1A">
      <w:pPr>
        <w:pStyle w:val="FootnoteText"/>
      </w:pPr>
      <w:r>
        <w:rPr>
          <w:rStyle w:val="FootnoteReference"/>
        </w:rPr>
        <w:footnoteRef/>
      </w:r>
      <w:r>
        <w:t xml:space="preserve"> Zie ook: Q.W.J.C.H. Kok, De fiscale eenheid in de vennootschapsbelasting, SDU Fiscale en Financiële Uitgevers, Amersfoort, 2005, blz. 405</w:t>
      </w:r>
    </w:p>
  </w:footnote>
  <w:footnote w:id="96">
    <w:p w:rsidR="00174971" w:rsidRDefault="00174971" w:rsidP="004E4A1A">
      <w:pPr>
        <w:pStyle w:val="FootnoteText"/>
      </w:pPr>
      <w:r>
        <w:rPr>
          <w:rStyle w:val="FootnoteReference"/>
        </w:rPr>
        <w:footnoteRef/>
      </w:r>
      <w:r>
        <w:t xml:space="preserve"> Verslag van het</w:t>
      </w:r>
      <w:r w:rsidRPr="00914AC3">
        <w:t xml:space="preserve"> schriftelijk overleg</w:t>
      </w:r>
      <w:r>
        <w:t xml:space="preserve"> van 27 november 1991</w:t>
      </w:r>
      <w:r w:rsidRPr="00914AC3">
        <w:t xml:space="preserve"> met de Tweede Kamer, </w:t>
      </w:r>
      <w:r>
        <w:t xml:space="preserve">1991-1992, </w:t>
      </w:r>
      <w:r w:rsidRPr="00914AC3">
        <w:t>22 300 IX B, nr. 20</w:t>
      </w:r>
      <w:r>
        <w:t>, punt 3.5.</w:t>
      </w:r>
    </w:p>
  </w:footnote>
  <w:footnote w:id="97">
    <w:p w:rsidR="00174971" w:rsidRDefault="00174971" w:rsidP="00285F0E">
      <w:pPr>
        <w:autoSpaceDE w:val="0"/>
        <w:autoSpaceDN w:val="0"/>
        <w:adjustRightInd w:val="0"/>
        <w:spacing w:after="0" w:line="240" w:lineRule="auto"/>
      </w:pPr>
      <w:r>
        <w:rPr>
          <w:rStyle w:val="FootnoteReference"/>
        </w:rPr>
        <w:footnoteRef/>
      </w:r>
      <w:r>
        <w:t xml:space="preserve"> </w:t>
      </w:r>
      <w:r>
        <w:rPr>
          <w:sz w:val="20"/>
          <w:szCs w:val="20"/>
        </w:rPr>
        <w:t>Er zijn sindsdien een aantal wijzigingen doorgevoerd, op dit moment geldt</w:t>
      </w:r>
      <w:r w:rsidRPr="00C32008">
        <w:rPr>
          <w:sz w:val="20"/>
          <w:szCs w:val="20"/>
        </w:rPr>
        <w:t xml:space="preserve">: Richtlijn 2009/133/EG </w:t>
      </w:r>
      <w:r>
        <w:rPr>
          <w:sz w:val="20"/>
          <w:szCs w:val="20"/>
        </w:rPr>
        <w:t xml:space="preserve">van de Raad van 19 oktober 2009 </w:t>
      </w:r>
      <w:r w:rsidRPr="00C32008">
        <w:rPr>
          <w:sz w:val="20"/>
          <w:szCs w:val="20"/>
        </w:rPr>
        <w:t>betreffende de gemeenschappelijke fiscale regeling voor fusies, splitsingen, gedeeltelijke splitsingen, inbreng van activa en aandelenruil met betrekking tot vennootschappen uit verschillende lidstaten en voor de verplaatsing van de statutaire zetel van een SE of een SCE van een lidstaat naar een andere lidstaat</w:t>
      </w:r>
    </w:p>
  </w:footnote>
  <w:footnote w:id="98">
    <w:p w:rsidR="00174971" w:rsidRDefault="00174971" w:rsidP="00285F0E">
      <w:pPr>
        <w:pStyle w:val="FootnoteText"/>
      </w:pPr>
      <w:r>
        <w:rPr>
          <w:rStyle w:val="FootnoteReference"/>
        </w:rPr>
        <w:footnoteRef/>
      </w:r>
      <w:r>
        <w:t xml:space="preserve"> Preambule van de Richtlijn tot wijziging van 2005, paragraaf 2</w:t>
      </w:r>
    </w:p>
  </w:footnote>
  <w:footnote w:id="99">
    <w:p w:rsidR="00174971" w:rsidRDefault="00174971" w:rsidP="00285F0E">
      <w:pPr>
        <w:pStyle w:val="FootnoteText"/>
      </w:pPr>
      <w:r>
        <w:rPr>
          <w:rStyle w:val="FootnoteReference"/>
        </w:rPr>
        <w:footnoteRef/>
      </w:r>
      <w:r>
        <w:t xml:space="preserve"> Kamerstukken II, 1998-1999, 26 728, nr. 3, blz. 52</w:t>
      </w:r>
    </w:p>
  </w:footnote>
  <w:footnote w:id="100">
    <w:p w:rsidR="00174971" w:rsidRDefault="00174971" w:rsidP="00285F0E">
      <w:pPr>
        <w:pStyle w:val="FootnoteText"/>
      </w:pPr>
      <w:r>
        <w:rPr>
          <w:rStyle w:val="FootnoteReference"/>
        </w:rPr>
        <w:footnoteRef/>
      </w:r>
      <w:r>
        <w:t xml:space="preserve"> Zie bijvoorbeeld: G.B.A. Brummer en </w:t>
      </w:r>
      <w:r w:rsidRPr="00864EFF">
        <w:t>J.B. Thijssen</w:t>
      </w:r>
      <w:r>
        <w:t>, ‘</w:t>
      </w:r>
      <w:r w:rsidRPr="00864EFF">
        <w:t>De ontgaanstoets in de fusie- en splitsingsfaciliteiten</w:t>
      </w:r>
      <w:r>
        <w:t>’, WFR 2003/401, P.C van der Vegt, ‘Zakelijkheid bij fusies en splitsingen’, WFR 2002/1809 en A-G Wattel in zijn conclusie bij 22 december 2006, nr. 43 144, NTFR 2007-292</w:t>
      </w:r>
    </w:p>
  </w:footnote>
  <w:footnote w:id="101">
    <w:p w:rsidR="00174971" w:rsidRDefault="00174971" w:rsidP="00285F0E">
      <w:pPr>
        <w:pStyle w:val="FootnoteText"/>
      </w:pPr>
      <w:r>
        <w:rPr>
          <w:rStyle w:val="FootnoteReference"/>
        </w:rPr>
        <w:footnoteRef/>
      </w:r>
      <w:r>
        <w:t xml:space="preserve"> </w:t>
      </w:r>
      <w:r w:rsidRPr="00E7516C">
        <w:rPr>
          <w:iCs/>
        </w:rPr>
        <w:t>HvJ EG 17 juli 1997, zaak C-28/95</w:t>
      </w:r>
      <w:r>
        <w:rPr>
          <w:iCs/>
        </w:rPr>
        <w:t xml:space="preserve"> (Leur-Bloem)</w:t>
      </w:r>
      <w:r w:rsidRPr="00E7516C">
        <w:rPr>
          <w:iCs/>
        </w:rPr>
        <w:t>, BNB 1998/32</w:t>
      </w:r>
    </w:p>
  </w:footnote>
  <w:footnote w:id="102">
    <w:p w:rsidR="00174971" w:rsidRDefault="00174971" w:rsidP="00285F0E">
      <w:pPr>
        <w:pStyle w:val="FootnoteText"/>
      </w:pPr>
      <w:r>
        <w:rPr>
          <w:rStyle w:val="FootnoteReference"/>
        </w:rPr>
        <w:footnoteRef/>
      </w:r>
      <w:r>
        <w:t xml:space="preserve"> Hof Amsterdam, 26 januari 1996, </w:t>
      </w:r>
      <w:r w:rsidRPr="00C92D3E">
        <w:t>nr. P93/1504</w:t>
      </w:r>
      <w:r>
        <w:t>, FED 1995/182</w:t>
      </w:r>
    </w:p>
  </w:footnote>
  <w:footnote w:id="103">
    <w:p w:rsidR="00174971" w:rsidRDefault="00174971" w:rsidP="00EF7BFF">
      <w:pPr>
        <w:spacing w:after="0" w:line="240" w:lineRule="auto"/>
      </w:pPr>
      <w:r w:rsidRPr="0060512B">
        <w:rPr>
          <w:rStyle w:val="FootnoteReference"/>
          <w:sz w:val="20"/>
          <w:szCs w:val="20"/>
        </w:rPr>
        <w:footnoteRef/>
      </w:r>
      <w:r w:rsidRPr="0060512B">
        <w:rPr>
          <w:sz w:val="20"/>
          <w:szCs w:val="20"/>
        </w:rPr>
        <w:t xml:space="preserve"> </w:t>
      </w:r>
      <w:r w:rsidRPr="00865070">
        <w:rPr>
          <w:iCs/>
          <w:sz w:val="20"/>
          <w:szCs w:val="20"/>
        </w:rPr>
        <w:t>HvJ EG 17 juli 1997, zaak C-28/95</w:t>
      </w:r>
      <w:r>
        <w:rPr>
          <w:iCs/>
          <w:sz w:val="20"/>
          <w:szCs w:val="20"/>
        </w:rPr>
        <w:t xml:space="preserve"> (Leur-Bloem), r.o. 34, </w:t>
      </w:r>
      <w:r w:rsidRPr="00865070">
        <w:rPr>
          <w:iCs/>
          <w:sz w:val="20"/>
          <w:szCs w:val="20"/>
        </w:rPr>
        <w:t>BNB 1998/32</w:t>
      </w:r>
    </w:p>
  </w:footnote>
  <w:footnote w:id="104">
    <w:p w:rsidR="00174971" w:rsidRDefault="00174971" w:rsidP="00285F0E">
      <w:pPr>
        <w:pStyle w:val="FootnoteText"/>
      </w:pPr>
      <w:r>
        <w:rPr>
          <w:rStyle w:val="FootnoteReference"/>
        </w:rPr>
        <w:footnoteRef/>
      </w:r>
      <w:r>
        <w:t xml:space="preserve"> Uit artikel 14, lid 6, Wet VPB 1969 volgt dat voor de bedrijfsfusiefaciliteit winstbewijzen, bewijzen van deelgerechtigheid of lidmaatschapsrechten gelijk worden gesteld met aandelen. Derhalve mag de overdracht ook tegen uitreiking hiervan geschieden</w:t>
      </w:r>
    </w:p>
  </w:footnote>
  <w:footnote w:id="105">
    <w:p w:rsidR="00174971" w:rsidRDefault="00174971" w:rsidP="00285F0E">
      <w:pPr>
        <w:pStyle w:val="FootnoteText"/>
      </w:pPr>
      <w:r>
        <w:rPr>
          <w:rStyle w:val="FootnoteReference"/>
        </w:rPr>
        <w:footnoteRef/>
      </w:r>
      <w:r>
        <w:t xml:space="preserve"> </w:t>
      </w:r>
      <w:r w:rsidRPr="00A4590F">
        <w:rPr>
          <w:rStyle w:val="nadrukb"/>
          <w:i w:val="0"/>
        </w:rPr>
        <w:t xml:space="preserve">Besluit van 29 september 2008, nr. CPP2008/1008M, Stb. 2008, 196, </w:t>
      </w:r>
      <w:r w:rsidRPr="00573CFC">
        <w:t>BNB 2009/10</w:t>
      </w:r>
    </w:p>
  </w:footnote>
  <w:footnote w:id="106">
    <w:p w:rsidR="00174971" w:rsidRDefault="00174971" w:rsidP="00285F0E">
      <w:pPr>
        <w:pStyle w:val="FootnoteText"/>
      </w:pPr>
      <w:r>
        <w:rPr>
          <w:rStyle w:val="FootnoteReference"/>
        </w:rPr>
        <w:footnoteRef/>
      </w:r>
      <w:r>
        <w:t xml:space="preserve"> Kamerstukken II, 1998-1999, 26 727, nr. 3, blz. 115</w:t>
      </w:r>
    </w:p>
  </w:footnote>
  <w:footnote w:id="107">
    <w:p w:rsidR="00174971" w:rsidRDefault="00174971" w:rsidP="00285F0E">
      <w:pPr>
        <w:pStyle w:val="FootnoteText"/>
      </w:pPr>
      <w:r>
        <w:rPr>
          <w:rStyle w:val="FootnoteReference"/>
        </w:rPr>
        <w:footnoteRef/>
      </w:r>
      <w:r>
        <w:t xml:space="preserve"> In het Besluit van 11 september 2004,</w:t>
      </w:r>
      <w:r w:rsidRPr="000E7135">
        <w:t xml:space="preserve"> Nr. CPP2003/641M</w:t>
      </w:r>
      <w:r>
        <w:t>, BNB 2004/191 heeft de staatssecretaris aangegeven dat met overwegend wordt bedoeld: grotendeels, voor meer dan 50%</w:t>
      </w:r>
    </w:p>
  </w:footnote>
  <w:footnote w:id="108">
    <w:p w:rsidR="00174971" w:rsidRDefault="00174971" w:rsidP="00285F0E">
      <w:pPr>
        <w:pStyle w:val="FootnoteText"/>
      </w:pPr>
      <w:r>
        <w:rPr>
          <w:rStyle w:val="FootnoteReference"/>
        </w:rPr>
        <w:footnoteRef/>
      </w:r>
      <w:r>
        <w:t xml:space="preserve"> J.N. Bouwman en M.G. de Jong, Wegwijs in de vennootschapsbelasting, SDU Uitgevers, Den Haag, 2009, blz. 478</w:t>
      </w:r>
    </w:p>
  </w:footnote>
  <w:footnote w:id="109">
    <w:p w:rsidR="00174971" w:rsidRDefault="00174971" w:rsidP="00285F0E">
      <w:pPr>
        <w:pStyle w:val="FootnoteText"/>
      </w:pPr>
      <w:r>
        <w:rPr>
          <w:rStyle w:val="FootnoteReference"/>
        </w:rPr>
        <w:footnoteRef/>
      </w:r>
      <w:r>
        <w:t xml:space="preserve"> Kamerstukken II, 1999-2000, 26 727, nr. 7, blz. 151</w:t>
      </w:r>
    </w:p>
  </w:footnote>
  <w:footnote w:id="110">
    <w:p w:rsidR="00174971" w:rsidRDefault="00174971" w:rsidP="00285F0E">
      <w:pPr>
        <w:pStyle w:val="FootnoteText"/>
      </w:pPr>
      <w:r>
        <w:rPr>
          <w:rStyle w:val="FootnoteReference"/>
        </w:rPr>
        <w:footnoteRef/>
      </w:r>
      <w:r>
        <w:t xml:space="preserve"> Zie hiervoor bijvoorbeeld het eerder genoemde Leur-Bloem-arrest, </w:t>
      </w:r>
      <w:r w:rsidRPr="00E7516C">
        <w:rPr>
          <w:iCs/>
        </w:rPr>
        <w:t>HvJ EG 17 juli 1997, zaak C-28/95</w:t>
      </w:r>
      <w:r>
        <w:rPr>
          <w:iCs/>
        </w:rPr>
        <w:t xml:space="preserve"> (Leur-Bloem)</w:t>
      </w:r>
      <w:r w:rsidRPr="00E7516C">
        <w:rPr>
          <w:iCs/>
        </w:rPr>
        <w:t>, BNB 1998/32</w:t>
      </w:r>
    </w:p>
  </w:footnote>
  <w:footnote w:id="111">
    <w:p w:rsidR="00174971" w:rsidRDefault="00174971" w:rsidP="00285F0E">
      <w:pPr>
        <w:pStyle w:val="FootnoteText"/>
      </w:pPr>
      <w:r>
        <w:rPr>
          <w:rStyle w:val="FootnoteReference"/>
        </w:rPr>
        <w:footnoteRef/>
      </w:r>
      <w:r>
        <w:t xml:space="preserve"> Preambule van de Richtlijn van 1990, 90/434 EEG, 23 juli 1990, onder punt 1</w:t>
      </w:r>
    </w:p>
  </w:footnote>
  <w:footnote w:id="112">
    <w:p w:rsidR="00174971" w:rsidRDefault="00174971" w:rsidP="00285F0E">
      <w:pPr>
        <w:pStyle w:val="FootnoteText"/>
      </w:pPr>
      <w:r>
        <w:rPr>
          <w:rStyle w:val="FootnoteReference"/>
        </w:rPr>
        <w:footnoteRef/>
      </w:r>
      <w:r>
        <w:t xml:space="preserve"> E. van den Brande-Boomsluiter, De bedrijfsfusiefaciliteit in de vennootschapsbelasting, Kluwer, Deventer, 2004, blz. 70 en 71</w:t>
      </w:r>
    </w:p>
  </w:footnote>
  <w:footnote w:id="113">
    <w:p w:rsidR="00174971" w:rsidRDefault="00174971" w:rsidP="00285F0E">
      <w:pPr>
        <w:pStyle w:val="FootnoteText"/>
      </w:pPr>
      <w:r>
        <w:rPr>
          <w:rStyle w:val="FootnoteReference"/>
        </w:rPr>
        <w:footnoteRef/>
      </w:r>
      <w:r>
        <w:t xml:space="preserve"> Zie bijvoorbeeld: HvJ EG 16 juli 1998, zaak C-264/96 (ICI), r.o. 26, BNB 1998/420; HvJ EG 11 maart 2004, zaak C-9/02 (Lasteyrie du Saillant), r.o. 50, BNB 2004/258 en HvJ EG 12 september 2006, zaak C-196/04 (Cadbury Schweppes), r.o. 64, BNB 2007/54</w:t>
      </w:r>
    </w:p>
  </w:footnote>
  <w:footnote w:id="114">
    <w:p w:rsidR="00174971" w:rsidRDefault="00174971" w:rsidP="00285F0E">
      <w:pPr>
        <w:pStyle w:val="FootnoteText"/>
      </w:pPr>
      <w:r>
        <w:rPr>
          <w:rStyle w:val="FootnoteReference"/>
        </w:rPr>
        <w:footnoteRef/>
      </w:r>
      <w:r w:rsidRPr="002D0A17">
        <w:t xml:space="preserve"> HvJ EG 12 september 2006, zaak C-196/04(Cadbury Schweppes)</w:t>
      </w:r>
      <w:r>
        <w:t>,</w:t>
      </w:r>
      <w:r w:rsidRPr="002D0A17">
        <w:t xml:space="preserve"> r.o. 64</w:t>
      </w:r>
      <w:r>
        <w:t>, BNB 2007/54</w:t>
      </w:r>
    </w:p>
  </w:footnote>
  <w:footnote w:id="115">
    <w:p w:rsidR="00174971" w:rsidRDefault="00174971" w:rsidP="00285F0E">
      <w:pPr>
        <w:pStyle w:val="FootnoteText"/>
      </w:pPr>
      <w:r>
        <w:rPr>
          <w:rStyle w:val="FootnoteReference"/>
        </w:rPr>
        <w:footnoteRef/>
      </w:r>
      <w:r>
        <w:t xml:space="preserve"> Kamerstukken II, 1998-1999, nr. 26 727, nr. 3, blz. 115</w:t>
      </w:r>
    </w:p>
  </w:footnote>
  <w:footnote w:id="116">
    <w:p w:rsidR="00174971" w:rsidRDefault="00174971" w:rsidP="00285F0E">
      <w:pPr>
        <w:pStyle w:val="FootnoteText"/>
      </w:pPr>
      <w:r>
        <w:rPr>
          <w:rStyle w:val="FootnoteReference"/>
        </w:rPr>
        <w:footnoteRef/>
      </w:r>
      <w:r w:rsidRPr="00710FE0">
        <w:t xml:space="preserve"> HvJ EG 13 februari 1985, nr. C-5/84 (Direct Cosmetics-I), Jur. 19</w:t>
      </w:r>
      <w:r>
        <w:t>85/617</w:t>
      </w:r>
      <w:r w:rsidRPr="00710FE0">
        <w:t xml:space="preserve"> </w:t>
      </w:r>
      <w:r>
        <w:t>en de gevoegde vervolguitspraken HvJ EG 12 juli 1988, nummers 138 en 139/86 (Direct Cosmetics), Jur. 1988/3937</w:t>
      </w:r>
    </w:p>
  </w:footnote>
  <w:footnote w:id="117">
    <w:p w:rsidR="00174971" w:rsidRDefault="00174971" w:rsidP="002D284A">
      <w:pPr>
        <w:spacing w:after="0" w:line="240" w:lineRule="auto"/>
      </w:pPr>
      <w:r>
        <w:rPr>
          <w:rStyle w:val="FootnoteReference"/>
        </w:rPr>
        <w:footnoteRef/>
      </w:r>
      <w:r>
        <w:t xml:space="preserve"> </w:t>
      </w:r>
      <w:r w:rsidRPr="007F2A2C">
        <w:rPr>
          <w:color w:val="000000"/>
          <w:sz w:val="20"/>
          <w:szCs w:val="20"/>
          <w:lang w:eastAsia="nl-NL"/>
        </w:rPr>
        <w:t>Kamerstukken II</w:t>
      </w:r>
      <w:r>
        <w:rPr>
          <w:color w:val="000000"/>
          <w:sz w:val="20"/>
          <w:szCs w:val="20"/>
          <w:lang w:eastAsia="nl-NL"/>
        </w:rPr>
        <w:t>,</w:t>
      </w:r>
      <w:r w:rsidRPr="007F2A2C">
        <w:rPr>
          <w:color w:val="000000"/>
          <w:sz w:val="20"/>
          <w:szCs w:val="20"/>
          <w:lang w:eastAsia="nl-NL"/>
        </w:rPr>
        <w:t xml:space="preserve"> 199</w:t>
      </w:r>
      <w:r>
        <w:rPr>
          <w:color w:val="000000"/>
          <w:sz w:val="20"/>
          <w:szCs w:val="20"/>
          <w:lang w:eastAsia="nl-NL"/>
        </w:rPr>
        <w:t>9-2000, nr. 26 727, nr. 7, blz. 149</w:t>
      </w:r>
    </w:p>
  </w:footnote>
  <w:footnote w:id="118">
    <w:p w:rsidR="00174971" w:rsidRDefault="00174971" w:rsidP="002D284A">
      <w:pPr>
        <w:pStyle w:val="FootnoteText"/>
      </w:pPr>
      <w:r>
        <w:rPr>
          <w:rStyle w:val="FootnoteReference"/>
        </w:rPr>
        <w:footnoteRef/>
      </w:r>
      <w:r>
        <w:t xml:space="preserve"> Hof Amsterdam, 31 maart 2004, nr. 02/06079, V-N 2004/57.9</w:t>
      </w:r>
    </w:p>
  </w:footnote>
  <w:footnote w:id="119">
    <w:p w:rsidR="00174971" w:rsidRDefault="00174971" w:rsidP="002D284A">
      <w:pPr>
        <w:pStyle w:val="FootnoteText"/>
      </w:pPr>
      <w:r>
        <w:rPr>
          <w:rStyle w:val="FootnoteReference"/>
        </w:rPr>
        <w:footnoteRef/>
      </w:r>
      <w:r>
        <w:t xml:space="preserve"> Zie overeenkomstig: E. van den Brande-Boomsluiter, De bedrijfsfusiefaciliteit in de vennootschapsbelasting, Kluwer, Deventer, 2004, blz. 235 en 236</w:t>
      </w:r>
    </w:p>
  </w:footnote>
  <w:footnote w:id="120">
    <w:p w:rsidR="00174971" w:rsidRDefault="00174971" w:rsidP="00285F0E">
      <w:pPr>
        <w:pStyle w:val="FootnoteText"/>
      </w:pPr>
      <w:r>
        <w:rPr>
          <w:rStyle w:val="FootnoteReference"/>
        </w:rPr>
        <w:footnoteRef/>
      </w:r>
      <w:r>
        <w:t xml:space="preserve"> A-G Wattel, conclusie bij 22 december 2006, nr. 43 144, BNB 2008/245</w:t>
      </w:r>
    </w:p>
  </w:footnote>
  <w:footnote w:id="121">
    <w:p w:rsidR="00174971" w:rsidRDefault="00174971">
      <w:pPr>
        <w:pStyle w:val="FootnoteText"/>
      </w:pPr>
      <w:r>
        <w:rPr>
          <w:rStyle w:val="FootnoteReference"/>
        </w:rPr>
        <w:footnoteRef/>
      </w:r>
      <w:r>
        <w:t xml:space="preserve"> De fusievrijstelling in de overdrachtsbelasting is geregeld in artikel 15, lid 1, onderdeel h Wet BRV juncto artikel 5a Uitvoeringsbesluit Wet BRV</w:t>
      </w:r>
    </w:p>
  </w:footnote>
  <w:footnote w:id="122">
    <w:p w:rsidR="00174971" w:rsidRDefault="00174971" w:rsidP="00285F0E">
      <w:pPr>
        <w:pStyle w:val="FootnoteText"/>
      </w:pPr>
      <w:r>
        <w:rPr>
          <w:rStyle w:val="FootnoteReference"/>
        </w:rPr>
        <w:footnoteRef/>
      </w:r>
      <w:r>
        <w:t xml:space="preserve"> HR 11 juli 2008, nr. 43 144, BNB 2008/245</w:t>
      </w:r>
    </w:p>
  </w:footnote>
  <w:footnote w:id="123">
    <w:p w:rsidR="00174971" w:rsidRDefault="00174971" w:rsidP="00285F0E">
      <w:pPr>
        <w:pStyle w:val="FootnoteText"/>
      </w:pPr>
      <w:r>
        <w:rPr>
          <w:rStyle w:val="FootnoteReference"/>
        </w:rPr>
        <w:footnoteRef/>
      </w:r>
      <w:r>
        <w:t xml:space="preserve"> A-G Kokott, conclusie 16 juli 2009, zaak C-352/08 (Zwijnenburg), V-N 2009/35.16</w:t>
      </w:r>
    </w:p>
  </w:footnote>
  <w:footnote w:id="124">
    <w:p w:rsidR="00174971" w:rsidRDefault="00174971" w:rsidP="00285F0E">
      <w:pPr>
        <w:pStyle w:val="FootnoteText"/>
      </w:pPr>
      <w:r>
        <w:rPr>
          <w:rStyle w:val="FootnoteReference"/>
        </w:rPr>
        <w:footnoteRef/>
      </w:r>
      <w:r w:rsidRPr="00FB7E30">
        <w:t xml:space="preserve"> HvJ EG 20 mei 2010, zaak C</w:t>
      </w:r>
      <w:r>
        <w:t>-352/08 (Zwijnenburg),</w:t>
      </w:r>
      <w:r w:rsidRPr="002D284A">
        <w:t xml:space="preserve"> </w:t>
      </w:r>
      <w:r>
        <w:t>V-N 2009/35.16</w:t>
      </w:r>
    </w:p>
  </w:footnote>
  <w:footnote w:id="125">
    <w:p w:rsidR="00174971" w:rsidRDefault="00174971" w:rsidP="00285F0E">
      <w:pPr>
        <w:pStyle w:val="FootnoteText"/>
      </w:pPr>
      <w:r>
        <w:rPr>
          <w:rStyle w:val="FootnoteReference"/>
        </w:rPr>
        <w:footnoteRef/>
      </w:r>
      <w:r w:rsidRPr="004036F7">
        <w:rPr>
          <w:lang w:val="en-US"/>
        </w:rPr>
        <w:t xml:space="preserve"> HvJ </w:t>
      </w:r>
      <w:r>
        <w:rPr>
          <w:lang w:val="en-US"/>
        </w:rPr>
        <w:t xml:space="preserve">EG </w:t>
      </w:r>
      <w:r w:rsidRPr="004036F7">
        <w:rPr>
          <w:lang w:val="en-US"/>
        </w:rPr>
        <w:t>21</w:t>
      </w:r>
      <w:r w:rsidRPr="004A50E1">
        <w:rPr>
          <w:lang w:val="en-US"/>
        </w:rPr>
        <w:t xml:space="preserve"> februari</w:t>
      </w:r>
      <w:r w:rsidRPr="004036F7">
        <w:rPr>
          <w:lang w:val="en-US"/>
        </w:rPr>
        <w:t xml:space="preserve"> 2008,</w:t>
      </w:r>
      <w:r w:rsidRPr="004A50E1">
        <w:rPr>
          <w:lang w:val="en-US"/>
        </w:rPr>
        <w:t xml:space="preserve"> zaak</w:t>
      </w:r>
      <w:r w:rsidRPr="004036F7">
        <w:rPr>
          <w:lang w:val="en-US"/>
        </w:rPr>
        <w:t xml:space="preserve"> C-425/06 (Part Service), </w:t>
      </w:r>
      <w:r>
        <w:rPr>
          <w:lang w:val="en-US"/>
        </w:rPr>
        <w:t>BNB 2009/1</w:t>
      </w:r>
    </w:p>
  </w:footnote>
  <w:footnote w:id="126">
    <w:p w:rsidR="00174971" w:rsidRDefault="00174971" w:rsidP="004E4310">
      <w:pPr>
        <w:pStyle w:val="FootnoteText"/>
      </w:pPr>
      <w:r>
        <w:rPr>
          <w:rStyle w:val="FootnoteReference"/>
        </w:rPr>
        <w:footnoteRef/>
      </w:r>
      <w:r>
        <w:t xml:space="preserve"> Zie ook, P.J. Wattel, Misbruik van Europees recht, FED, Deventer/Moret, Ernst &amp; Young, Amsterdam, 1993, blz. 35.</w:t>
      </w:r>
    </w:p>
  </w:footnote>
  <w:footnote w:id="127">
    <w:p w:rsidR="00174971" w:rsidRDefault="00174971" w:rsidP="00AF35AF">
      <w:pPr>
        <w:pStyle w:val="FootnoteText"/>
      </w:pPr>
      <w:r w:rsidRPr="0060512B">
        <w:rPr>
          <w:rStyle w:val="FootnoteReference"/>
        </w:rPr>
        <w:footnoteRef/>
      </w:r>
      <w:r w:rsidRPr="0060512B">
        <w:t xml:space="preserve"> HvJ EG 5 juli 2007, zaak C-321/05 (Kofoed), r.o. 38, FED 2007/71</w:t>
      </w:r>
    </w:p>
  </w:footnote>
  <w:footnote w:id="128">
    <w:p w:rsidR="00174971" w:rsidRDefault="00174971">
      <w:pPr>
        <w:pStyle w:val="FootnoteText"/>
      </w:pPr>
      <w:r w:rsidRPr="0060512B">
        <w:rPr>
          <w:rStyle w:val="FootnoteReference"/>
        </w:rPr>
        <w:footnoteRef/>
      </w:r>
      <w:r w:rsidRPr="0060512B">
        <w:t xml:space="preserve"> HvJ EG 4 december 2000, zaak C-110/99 (</w:t>
      </w:r>
      <w:r w:rsidRPr="0060512B">
        <w:rPr>
          <w:iCs/>
        </w:rPr>
        <w:t>Emsland-Stärke), Jur</w:t>
      </w:r>
      <w:r w:rsidRPr="0060512B">
        <w:t>. 2000/11 569</w:t>
      </w:r>
    </w:p>
  </w:footnote>
  <w:footnote w:id="129">
    <w:p w:rsidR="00174971" w:rsidRDefault="00174971">
      <w:pPr>
        <w:pStyle w:val="FootnoteText"/>
      </w:pPr>
      <w:r w:rsidRPr="0060512B">
        <w:rPr>
          <w:rStyle w:val="FootnoteReference"/>
        </w:rPr>
        <w:footnoteRef/>
      </w:r>
      <w:r w:rsidRPr="0060512B">
        <w:t xml:space="preserve"> HvJ EG 21 februari 2006, zaak C-255/02 (</w:t>
      </w:r>
      <w:r w:rsidRPr="0060512B">
        <w:rPr>
          <w:iCs/>
        </w:rPr>
        <w:t>Halifax), BNB 2006/170</w:t>
      </w:r>
    </w:p>
  </w:footnote>
  <w:footnote w:id="130">
    <w:p w:rsidR="00174971" w:rsidRDefault="00174971" w:rsidP="00AF35AF">
      <w:pPr>
        <w:pStyle w:val="FootnoteText"/>
      </w:pPr>
      <w:r w:rsidRPr="0060512B">
        <w:rPr>
          <w:rStyle w:val="FootnoteReference"/>
        </w:rPr>
        <w:footnoteRef/>
      </w:r>
      <w:r w:rsidRPr="0060512B">
        <w:rPr>
          <w:lang w:val="en-US"/>
        </w:rPr>
        <w:t xml:space="preserve"> A-G</w:t>
      </w:r>
      <w:r w:rsidRPr="004A50E1">
        <w:rPr>
          <w:lang w:val="en-US"/>
        </w:rPr>
        <w:t xml:space="preserve"> Maduro</w:t>
      </w:r>
      <w:r w:rsidRPr="0060512B">
        <w:rPr>
          <w:lang w:val="en-US"/>
        </w:rPr>
        <w:t>,</w:t>
      </w:r>
      <w:r w:rsidRPr="004A50E1">
        <w:rPr>
          <w:lang w:val="en-US"/>
        </w:rPr>
        <w:t xml:space="preserve"> Conclusie bij</w:t>
      </w:r>
      <w:r w:rsidRPr="0060512B">
        <w:rPr>
          <w:lang w:val="en-US"/>
        </w:rPr>
        <w:t xml:space="preserve"> HvJ EG 21</w:t>
      </w:r>
      <w:r w:rsidRPr="004A50E1">
        <w:rPr>
          <w:lang w:val="en-US"/>
        </w:rPr>
        <w:t xml:space="preserve"> februari</w:t>
      </w:r>
      <w:r w:rsidRPr="0060512B">
        <w:rPr>
          <w:lang w:val="en-US"/>
        </w:rPr>
        <w:t xml:space="preserve"> 2006,</w:t>
      </w:r>
      <w:r w:rsidRPr="004A50E1">
        <w:rPr>
          <w:lang w:val="en-US"/>
        </w:rPr>
        <w:t xml:space="preserve"> zaak</w:t>
      </w:r>
      <w:r w:rsidRPr="0060512B">
        <w:rPr>
          <w:lang w:val="en-US"/>
        </w:rPr>
        <w:t xml:space="preserve"> C-255/02 (Halifax), </w:t>
      </w:r>
      <w:r>
        <w:rPr>
          <w:lang w:val="en-US"/>
        </w:rPr>
        <w:t>r.o.</w:t>
      </w:r>
      <w:r w:rsidRPr="0060512B">
        <w:rPr>
          <w:lang w:val="en-US"/>
        </w:rPr>
        <w:t xml:space="preserve"> 69,</w:t>
      </w:r>
      <w:r w:rsidRPr="004A50E1">
        <w:rPr>
          <w:lang w:val="en-US"/>
        </w:rPr>
        <w:t xml:space="preserve"> Engelse tekst</w:t>
      </w:r>
      <w:r w:rsidRPr="0060512B">
        <w:rPr>
          <w:lang w:val="en-US"/>
        </w:rPr>
        <w:t>: ‘a principle governing the interpretation of Community law’, BNB 2006/170</w:t>
      </w:r>
    </w:p>
  </w:footnote>
  <w:footnote w:id="131">
    <w:p w:rsidR="00174971" w:rsidRDefault="00174971" w:rsidP="00AF35AF">
      <w:pPr>
        <w:pStyle w:val="FootnoteText"/>
      </w:pPr>
      <w:r w:rsidRPr="0060512B">
        <w:rPr>
          <w:rStyle w:val="FootnoteReference"/>
        </w:rPr>
        <w:footnoteRef/>
      </w:r>
      <w:r w:rsidRPr="0060512B">
        <w:t xml:space="preserve"> Naast de genoemde arresten </w:t>
      </w:r>
      <w:r w:rsidRPr="0060512B">
        <w:rPr>
          <w:iCs/>
        </w:rPr>
        <w:t xml:space="preserve">Emsland-Stärke en Halifax wordt ook HvJ EG </w:t>
      </w:r>
      <w:r w:rsidRPr="0060512B">
        <w:t>12 september 2006, zaak C-196/04 (Cadbury Schweppes) als een belangrijk misbruikarrest gezien.</w:t>
      </w:r>
    </w:p>
  </w:footnote>
  <w:footnote w:id="132">
    <w:p w:rsidR="00174971" w:rsidRDefault="00174971" w:rsidP="00AF35AF">
      <w:pPr>
        <w:pStyle w:val="FootnoteText"/>
      </w:pPr>
      <w:r w:rsidRPr="0060512B">
        <w:rPr>
          <w:rStyle w:val="FootnoteReference"/>
        </w:rPr>
        <w:footnoteRef/>
      </w:r>
      <w:r w:rsidRPr="0060512B">
        <w:t xml:space="preserve"> Een mededeling van de EC heeft geen formele status, maar wordt gebruikt om het standpunt van de commissie in een bepaalde kwestie uit te drukken. Mocht de wetgeving van een lidstaat niet in lijn zijn met de mededeling, verzoekt de EC de lidstaat om aanpassingen aan te brengen. Als dit niet gebeurt, kan er vervolgens een infractieprocedure worden gestart.</w:t>
      </w:r>
    </w:p>
  </w:footnote>
  <w:footnote w:id="133">
    <w:p w:rsidR="00174971" w:rsidRDefault="00174971" w:rsidP="00AF35AF">
      <w:pPr>
        <w:autoSpaceDE w:val="0"/>
        <w:autoSpaceDN w:val="0"/>
        <w:adjustRightInd w:val="0"/>
        <w:spacing w:after="0" w:line="240" w:lineRule="auto"/>
      </w:pPr>
      <w:r w:rsidRPr="0060512B">
        <w:rPr>
          <w:rStyle w:val="FootnoteReference"/>
          <w:sz w:val="20"/>
          <w:szCs w:val="20"/>
        </w:rPr>
        <w:footnoteRef/>
      </w:r>
      <w:r w:rsidRPr="0060512B">
        <w:rPr>
          <w:sz w:val="20"/>
          <w:szCs w:val="20"/>
        </w:rPr>
        <w:t xml:space="preserve"> Europese Commissie, ‘Mededeling van de Commissie aan de raad, het Europees parlement en het Europees economisch en sociaal comité; </w:t>
      </w:r>
      <w:r w:rsidRPr="0060512B">
        <w:rPr>
          <w:bCs/>
          <w:sz w:val="20"/>
          <w:szCs w:val="20"/>
        </w:rPr>
        <w:t>Antimisbruikmaatregelen op het gebied van de directe belastingen – toepassing in de EU en ten aanzien van derde landen’, COM/2007/785 definitief</w:t>
      </w:r>
    </w:p>
  </w:footnote>
  <w:footnote w:id="134">
    <w:p w:rsidR="00174971" w:rsidRDefault="00174971" w:rsidP="00AF35AF">
      <w:pPr>
        <w:pStyle w:val="FootnoteText"/>
      </w:pPr>
      <w:r w:rsidRPr="0060512B">
        <w:rPr>
          <w:rStyle w:val="FootnoteReference"/>
        </w:rPr>
        <w:footnoteRef/>
      </w:r>
      <w:r w:rsidRPr="0060512B">
        <w:t xml:space="preserve"> P. Kavelaars, ‘Ge- en misbruik van het EU-recht’, NTFR-B 2008/11</w:t>
      </w:r>
    </w:p>
  </w:footnote>
  <w:footnote w:id="135">
    <w:p w:rsidR="00174971" w:rsidRDefault="00174971" w:rsidP="00AF35AF">
      <w:pPr>
        <w:pStyle w:val="FootnoteText"/>
      </w:pPr>
      <w:r w:rsidRPr="0060512B">
        <w:rPr>
          <w:rStyle w:val="FootnoteReference"/>
        </w:rPr>
        <w:footnoteRef/>
      </w:r>
      <w:r w:rsidRPr="0060512B">
        <w:t xml:space="preserve"> Europese Commissie, ‘Mededeling van de Commissie aan de raad, het Europees parlement en het Europees economisch en sociaal comité; </w:t>
      </w:r>
      <w:r w:rsidRPr="0060512B">
        <w:rPr>
          <w:bCs/>
        </w:rPr>
        <w:t>Antimisbruikmaatregelen op het gebied van de directe belastingen – toepassing in de EU en ten aanzien van derde landen’, COM/2007/785 definitief, b</w:t>
      </w:r>
      <w:r w:rsidRPr="0060512B">
        <w:t>lz. 3</w:t>
      </w:r>
    </w:p>
  </w:footnote>
  <w:footnote w:id="136">
    <w:p w:rsidR="00174971" w:rsidRDefault="00174971" w:rsidP="00AF35AF">
      <w:pPr>
        <w:pStyle w:val="FootnoteText"/>
      </w:pPr>
      <w:r>
        <w:rPr>
          <w:rStyle w:val="FootnoteReference"/>
        </w:rPr>
        <w:footnoteRef/>
      </w:r>
      <w:r>
        <w:t xml:space="preserve"> A-G Kokott, conclusie bij 16 juli 2009, Zaak C-352/08 (Zwijnenburg), onderdeel V.B.2.c., V-N 2009/35.16</w:t>
      </w:r>
    </w:p>
  </w:footnote>
  <w:footnote w:id="137">
    <w:p w:rsidR="00174971" w:rsidRDefault="00174971" w:rsidP="00AF35AF">
      <w:pPr>
        <w:pStyle w:val="FootnoteText"/>
      </w:pPr>
      <w:r>
        <w:rPr>
          <w:rStyle w:val="FootnoteReference"/>
        </w:rPr>
        <w:footnoteRef/>
      </w:r>
      <w:r>
        <w:t xml:space="preserve"> Volgt uit: </w:t>
      </w:r>
      <w:r w:rsidRPr="0045335C">
        <w:rPr>
          <w:color w:val="000000"/>
        </w:rPr>
        <w:t>HvJ EG 21 september 1983, gevoegde zaken 205/82</w:t>
      </w:r>
      <w:r>
        <w:rPr>
          <w:color w:val="000000"/>
        </w:rPr>
        <w:t>-215/82 (Deutsche Milchkontor),</w:t>
      </w:r>
      <w:r w:rsidRPr="0045335C">
        <w:rPr>
          <w:color w:val="000000"/>
        </w:rPr>
        <w:t xml:space="preserve"> r.o. 30</w:t>
      </w:r>
      <w:r>
        <w:rPr>
          <w:color w:val="000000"/>
        </w:rPr>
        <w:t xml:space="preserve">, </w:t>
      </w:r>
      <w:r w:rsidRPr="0045335C">
        <w:rPr>
          <w:color w:val="000000"/>
        </w:rPr>
        <w:t>Jur. 1983</w:t>
      </w:r>
      <w:r>
        <w:rPr>
          <w:color w:val="000000"/>
        </w:rPr>
        <w:t>/</w:t>
      </w:r>
      <w:r w:rsidRPr="0045335C">
        <w:rPr>
          <w:color w:val="000000"/>
        </w:rPr>
        <w:t xml:space="preserve"> 2633</w:t>
      </w:r>
    </w:p>
  </w:footnote>
  <w:footnote w:id="138">
    <w:p w:rsidR="00174971" w:rsidRDefault="00174971" w:rsidP="00AF35AF">
      <w:pPr>
        <w:pStyle w:val="FootnoteText"/>
      </w:pPr>
      <w:r>
        <w:rPr>
          <w:rStyle w:val="FootnoteReference"/>
        </w:rPr>
        <w:footnoteRef/>
      </w:r>
      <w:r>
        <w:t xml:space="preserve"> A-G Kokott, conclusie 16 juli 2009, Zaak C-352/08 (Zwijnenburg), V-N 2009/35.16</w:t>
      </w:r>
    </w:p>
  </w:footnote>
  <w:footnote w:id="139">
    <w:p w:rsidR="00174971" w:rsidRDefault="00174971">
      <w:pPr>
        <w:pStyle w:val="FootnoteText"/>
      </w:pPr>
      <w:r>
        <w:rPr>
          <w:rStyle w:val="FootnoteReference"/>
        </w:rPr>
        <w:footnoteRef/>
      </w:r>
      <w:r>
        <w:t xml:space="preserve"> HvJ EG 5 juli 2007, zaak </w:t>
      </w:r>
      <w:r w:rsidRPr="00C800F9">
        <w:t>C-321/05 (Kofoed)</w:t>
      </w:r>
      <w:r>
        <w:t>, FED 2007/71</w:t>
      </w:r>
    </w:p>
  </w:footnote>
  <w:footnote w:id="140">
    <w:p w:rsidR="00174971" w:rsidRDefault="00174971" w:rsidP="00D91C70">
      <w:pPr>
        <w:pStyle w:val="FootnoteText"/>
      </w:pPr>
      <w:r>
        <w:rPr>
          <w:rStyle w:val="FootnoteReference"/>
        </w:rPr>
        <w:footnoteRef/>
      </w:r>
      <w:r>
        <w:t xml:space="preserve"> Destijds stond de antimisbruikbepaling nog in artikel 11, lid 1, onderdeel a, Fusierichtlijn</w:t>
      </w:r>
    </w:p>
  </w:footnote>
  <w:footnote w:id="141">
    <w:p w:rsidR="00174971" w:rsidRDefault="00174971" w:rsidP="00D91C70">
      <w:pPr>
        <w:pStyle w:val="FootnoteText"/>
      </w:pPr>
      <w:r>
        <w:rPr>
          <w:rStyle w:val="FootnoteReference"/>
        </w:rPr>
        <w:footnoteRef/>
      </w:r>
      <w:r>
        <w:t xml:space="preserve"> Zie bijvoorbeeld HvJ EG 8 oktober 1987, zaak 80/86 (Kolpinghuis Nijmegen), r.o. 9, Jur. 1987/3969 en HvJ EG 3 mei 2005, gezamenlijke zaken C-387/02, C-391/02 en C-403/02 (Berlusconi en anderen), r.o. 73, Jur. 2005/3565</w:t>
      </w:r>
    </w:p>
  </w:footnote>
  <w:footnote w:id="142">
    <w:p w:rsidR="00174971" w:rsidRDefault="00174971" w:rsidP="0012531C">
      <w:pPr>
        <w:pStyle w:val="FootnoteText"/>
      </w:pPr>
      <w:r>
        <w:rPr>
          <w:rStyle w:val="FootnoteReference"/>
        </w:rPr>
        <w:footnoteRef/>
      </w:r>
      <w:r>
        <w:t xml:space="preserve"> De vraag of de fiscus zich mag beroepen op fraus legis naast artikel 14, lid 4, Wet VPB 1969 zal later worden beantwoord.</w:t>
      </w:r>
    </w:p>
  </w:footnote>
  <w:footnote w:id="143">
    <w:p w:rsidR="00174971" w:rsidRDefault="00174971" w:rsidP="00133A2B">
      <w:pPr>
        <w:pStyle w:val="FootnoteText"/>
      </w:pPr>
      <w:r>
        <w:rPr>
          <w:rStyle w:val="FootnoteReference"/>
        </w:rPr>
        <w:footnoteRef/>
      </w:r>
      <w:r>
        <w:t xml:space="preserve"> Besluit staatssecretaris van Financiën 7 mei 1998, nr. DB98/720, V-N 1998/26.6.</w:t>
      </w:r>
    </w:p>
  </w:footnote>
  <w:footnote w:id="144">
    <w:p w:rsidR="00174971" w:rsidRDefault="00174971">
      <w:pPr>
        <w:pStyle w:val="FootnoteText"/>
      </w:pPr>
      <w:r>
        <w:rPr>
          <w:rStyle w:val="FootnoteReference"/>
        </w:rPr>
        <w:footnoteRef/>
      </w:r>
      <w:r>
        <w:t xml:space="preserve"> </w:t>
      </w:r>
      <w:r w:rsidRPr="00D03F98">
        <w:t>S.A.W.J. Strik en N.H. de Vries, Cursus Belastingrecht (Vennootschapsbelasting)</w:t>
      </w:r>
      <w:r>
        <w:t>, Kluwer, Deventer, 2009, 2.5.1.j2</w:t>
      </w:r>
    </w:p>
  </w:footnote>
  <w:footnote w:id="145">
    <w:p w:rsidR="00174971" w:rsidRDefault="00174971">
      <w:pPr>
        <w:pStyle w:val="FootnoteText"/>
      </w:pPr>
      <w:r>
        <w:rPr>
          <w:rStyle w:val="FootnoteReference"/>
        </w:rPr>
        <w:footnoteRef/>
      </w:r>
      <w:r>
        <w:t xml:space="preserve"> HR 10 oktober 2008, nr.43 409, BNB 2009/28 </w:t>
      </w:r>
    </w:p>
  </w:footnote>
  <w:footnote w:id="146">
    <w:p w:rsidR="00174971" w:rsidRDefault="00174971" w:rsidP="00A01741">
      <w:pPr>
        <w:pStyle w:val="FootnoteText"/>
      </w:pPr>
      <w:r>
        <w:rPr>
          <w:rStyle w:val="FootnoteReference"/>
        </w:rPr>
        <w:footnoteRef/>
      </w:r>
      <w:r>
        <w:t xml:space="preserve"> Kamerstukken II, 1991-1992, nr. 22 338, 70-4334</w:t>
      </w:r>
    </w:p>
  </w:footnote>
  <w:footnote w:id="147">
    <w:p w:rsidR="00174971" w:rsidRDefault="00174971" w:rsidP="0049508A">
      <w:pPr>
        <w:spacing w:after="0" w:line="240" w:lineRule="auto"/>
      </w:pPr>
      <w:r w:rsidRPr="0060512B">
        <w:rPr>
          <w:rStyle w:val="FootnoteReference"/>
          <w:sz w:val="20"/>
          <w:szCs w:val="20"/>
        </w:rPr>
        <w:footnoteRef/>
      </w:r>
      <w:r>
        <w:t xml:space="preserve"> </w:t>
      </w:r>
      <w:r w:rsidRPr="0049508A">
        <w:rPr>
          <w:sz w:val="20"/>
          <w:szCs w:val="20"/>
        </w:rPr>
        <w:t xml:space="preserve">Zie ook: J. Doornebal, </w:t>
      </w:r>
      <w:r>
        <w:rPr>
          <w:sz w:val="20"/>
          <w:szCs w:val="20"/>
        </w:rPr>
        <w:t>‘</w:t>
      </w:r>
      <w:r w:rsidRPr="0049508A">
        <w:rPr>
          <w:sz w:val="20"/>
          <w:szCs w:val="20"/>
        </w:rPr>
        <w:t>De aandelenfusie in de knel tussen Nederlands en Europees recht</w:t>
      </w:r>
      <w:r>
        <w:rPr>
          <w:sz w:val="20"/>
          <w:szCs w:val="20"/>
        </w:rPr>
        <w:t>’</w:t>
      </w:r>
      <w:r w:rsidRPr="0049508A">
        <w:rPr>
          <w:sz w:val="20"/>
          <w:szCs w:val="20"/>
        </w:rPr>
        <w:t>, TFO 1998/113</w:t>
      </w:r>
    </w:p>
  </w:footnote>
  <w:footnote w:id="148">
    <w:p w:rsidR="00174971" w:rsidRDefault="00174971" w:rsidP="0049508A">
      <w:pPr>
        <w:pStyle w:val="FootnoteText"/>
      </w:pPr>
      <w:r>
        <w:rPr>
          <w:rStyle w:val="FootnoteReference"/>
        </w:rPr>
        <w:footnoteRef/>
      </w:r>
      <w:r>
        <w:t xml:space="preserve"> E.F. Faase, ‘Misbruik: middel of doel?’, NTFR 2004/1445</w:t>
      </w:r>
    </w:p>
  </w:footnote>
  <w:footnote w:id="149">
    <w:p w:rsidR="00174971" w:rsidRDefault="00174971">
      <w:pPr>
        <w:pStyle w:val="FootnoteText"/>
      </w:pPr>
      <w:r>
        <w:rPr>
          <w:rStyle w:val="FootnoteReference"/>
        </w:rPr>
        <w:footnoteRef/>
      </w:r>
      <w:r>
        <w:t xml:space="preserve"> Zie voor een uitgebreidere uiteenzetting hoofdstuk 4.1</w:t>
      </w:r>
    </w:p>
  </w:footnote>
  <w:footnote w:id="150">
    <w:p w:rsidR="00174971" w:rsidRDefault="00174971">
      <w:pPr>
        <w:pStyle w:val="FootnoteText"/>
      </w:pPr>
      <w:r>
        <w:rPr>
          <w:rStyle w:val="FootnoteReference"/>
        </w:rPr>
        <w:footnoteRef/>
      </w:r>
      <w:r w:rsidRPr="00B97B40">
        <w:t xml:space="preserve"> </w:t>
      </w:r>
      <w:r>
        <w:t>Preambule van de Richtlijn van 1990, 90/434 EEG, 23 juli 1990, onder punt 9</w:t>
      </w:r>
    </w:p>
  </w:footnote>
  <w:footnote w:id="151">
    <w:p w:rsidR="00174971" w:rsidRDefault="00174971">
      <w:pPr>
        <w:pStyle w:val="FootnoteText"/>
      </w:pPr>
      <w:r>
        <w:rPr>
          <w:rStyle w:val="FootnoteReference"/>
        </w:rPr>
        <w:footnoteRef/>
      </w:r>
      <w:r w:rsidRPr="00C24954">
        <w:t xml:space="preserve"> </w:t>
      </w:r>
      <w:r>
        <w:t>HvJ EG 20 mei 2010, zaak C-352/08 (Zwijnenburg), r</w:t>
      </w:r>
      <w:r w:rsidRPr="00C24954">
        <w:t>.o. 55</w:t>
      </w:r>
      <w:r>
        <w:t>, V-N 2009/35.16</w:t>
      </w:r>
    </w:p>
  </w:footnote>
  <w:footnote w:id="152">
    <w:p w:rsidR="00174971" w:rsidRDefault="00174971">
      <w:pPr>
        <w:pStyle w:val="FootnoteText"/>
      </w:pPr>
      <w:r>
        <w:rPr>
          <w:rStyle w:val="FootnoteReference"/>
        </w:rPr>
        <w:footnoteRef/>
      </w:r>
      <w:r>
        <w:t xml:space="preserve"> HR 11 juli 2008, nr. 43 144, BNB 2008/245</w:t>
      </w:r>
    </w:p>
  </w:footnote>
  <w:footnote w:id="153">
    <w:p w:rsidR="00174971" w:rsidRDefault="00174971">
      <w:pPr>
        <w:pStyle w:val="FootnoteText"/>
      </w:pPr>
      <w:r>
        <w:rPr>
          <w:rStyle w:val="FootnoteReference"/>
        </w:rPr>
        <w:footnoteRef/>
      </w:r>
      <w:r w:rsidRPr="00112AEC">
        <w:t xml:space="preserve"> Al</w:t>
      </w:r>
      <w:r>
        <w:t>leen bij rechtstreekse overdracht van het pand</w:t>
      </w:r>
    </w:p>
  </w:footnote>
  <w:footnote w:id="154">
    <w:p w:rsidR="00174971" w:rsidRDefault="00174971">
      <w:pPr>
        <w:pStyle w:val="FootnoteText"/>
      </w:pPr>
      <w:r>
        <w:rPr>
          <w:rStyle w:val="FootnoteReference"/>
        </w:rPr>
        <w:footnoteRef/>
      </w:r>
      <w:r>
        <w:t xml:space="preserve"> HR 11 juli 2008, nr. 43 144, r.o. 4.6.1., BNB 2008/245</w:t>
      </w:r>
    </w:p>
  </w:footnote>
  <w:footnote w:id="155">
    <w:p w:rsidR="00174971" w:rsidRDefault="00174971">
      <w:pPr>
        <w:pStyle w:val="FootnoteText"/>
      </w:pPr>
      <w:r>
        <w:rPr>
          <w:rStyle w:val="FootnoteReference"/>
        </w:rPr>
        <w:footnoteRef/>
      </w:r>
      <w:r>
        <w:t xml:space="preserve"> Deze voorwaarde is in hoofdstuk vier verder uitgewerkt</w:t>
      </w:r>
    </w:p>
  </w:footnote>
  <w:footnote w:id="156">
    <w:p w:rsidR="00174971" w:rsidRDefault="00174971">
      <w:pPr>
        <w:pStyle w:val="FootnoteText"/>
      </w:pPr>
      <w:r>
        <w:rPr>
          <w:rStyle w:val="FootnoteReference"/>
        </w:rPr>
        <w:footnoteRef/>
      </w:r>
      <w:r>
        <w:t xml:space="preserve"> Kamerstukken II, 1998-1999, 26 727, nr. 3, blz. 115</w:t>
      </w:r>
    </w:p>
  </w:footnote>
  <w:footnote w:id="157">
    <w:p w:rsidR="00174971" w:rsidRDefault="00174971">
      <w:pPr>
        <w:pStyle w:val="FootnoteText"/>
      </w:pPr>
      <w:r>
        <w:rPr>
          <w:rStyle w:val="FootnoteReference"/>
        </w:rPr>
        <w:footnoteRef/>
      </w:r>
      <w:r>
        <w:t xml:space="preserve"> Kamerstukken II, 1998-1999, 26 727, nr. 3, blz. 115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72903"/>
    <w:multiLevelType w:val="hybridMultilevel"/>
    <w:tmpl w:val="2DA0AA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5CB5D63"/>
    <w:multiLevelType w:val="multilevel"/>
    <w:tmpl w:val="3A844CA8"/>
    <w:lvl w:ilvl="0">
      <w:start w:val="1"/>
      <w:numFmt w:val="decimal"/>
      <w:lvlText w:val="%1."/>
      <w:lvlJc w:val="left"/>
      <w:pPr>
        <w:ind w:left="765" w:hanging="360"/>
      </w:pPr>
      <w:rPr>
        <w:rFonts w:cs="Times New Roman"/>
      </w:rPr>
    </w:lvl>
    <w:lvl w:ilvl="1">
      <w:start w:val="2"/>
      <w:numFmt w:val="decimal"/>
      <w:isLgl/>
      <w:lvlText w:val="%1.%2"/>
      <w:lvlJc w:val="left"/>
      <w:pPr>
        <w:ind w:left="765" w:hanging="360"/>
      </w:pPr>
      <w:rPr>
        <w:rFonts w:cs="Times New Roman" w:hint="default"/>
      </w:rPr>
    </w:lvl>
    <w:lvl w:ilvl="2">
      <w:start w:val="1"/>
      <w:numFmt w:val="decimal"/>
      <w:isLgl/>
      <w:lvlText w:val="%1.%2.%3"/>
      <w:lvlJc w:val="left"/>
      <w:pPr>
        <w:ind w:left="1125" w:hanging="720"/>
      </w:pPr>
      <w:rPr>
        <w:rFonts w:cs="Times New Roman" w:hint="default"/>
      </w:rPr>
    </w:lvl>
    <w:lvl w:ilvl="3">
      <w:start w:val="1"/>
      <w:numFmt w:val="decimal"/>
      <w:isLgl/>
      <w:lvlText w:val="%1.%2.%3.%4"/>
      <w:lvlJc w:val="left"/>
      <w:pPr>
        <w:ind w:left="1125" w:hanging="720"/>
      </w:pPr>
      <w:rPr>
        <w:rFonts w:cs="Times New Roman" w:hint="default"/>
      </w:rPr>
    </w:lvl>
    <w:lvl w:ilvl="4">
      <w:start w:val="1"/>
      <w:numFmt w:val="decimal"/>
      <w:isLgl/>
      <w:lvlText w:val="%1.%2.%3.%4.%5"/>
      <w:lvlJc w:val="left"/>
      <w:pPr>
        <w:ind w:left="1485" w:hanging="1080"/>
      </w:pPr>
      <w:rPr>
        <w:rFonts w:cs="Times New Roman" w:hint="default"/>
      </w:rPr>
    </w:lvl>
    <w:lvl w:ilvl="5">
      <w:start w:val="1"/>
      <w:numFmt w:val="decimal"/>
      <w:isLgl/>
      <w:lvlText w:val="%1.%2.%3.%4.%5.%6"/>
      <w:lvlJc w:val="left"/>
      <w:pPr>
        <w:ind w:left="1485" w:hanging="1080"/>
      </w:pPr>
      <w:rPr>
        <w:rFonts w:cs="Times New Roman" w:hint="default"/>
      </w:rPr>
    </w:lvl>
    <w:lvl w:ilvl="6">
      <w:start w:val="1"/>
      <w:numFmt w:val="decimal"/>
      <w:isLgl/>
      <w:lvlText w:val="%1.%2.%3.%4.%5.%6.%7"/>
      <w:lvlJc w:val="left"/>
      <w:pPr>
        <w:ind w:left="1845" w:hanging="1440"/>
      </w:pPr>
      <w:rPr>
        <w:rFonts w:cs="Times New Roman" w:hint="default"/>
      </w:rPr>
    </w:lvl>
    <w:lvl w:ilvl="7">
      <w:start w:val="1"/>
      <w:numFmt w:val="decimal"/>
      <w:isLgl/>
      <w:lvlText w:val="%1.%2.%3.%4.%5.%6.%7.%8"/>
      <w:lvlJc w:val="left"/>
      <w:pPr>
        <w:ind w:left="1845" w:hanging="1440"/>
      </w:pPr>
      <w:rPr>
        <w:rFonts w:cs="Times New Roman" w:hint="default"/>
      </w:rPr>
    </w:lvl>
    <w:lvl w:ilvl="8">
      <w:start w:val="1"/>
      <w:numFmt w:val="decimal"/>
      <w:isLgl/>
      <w:lvlText w:val="%1.%2.%3.%4.%5.%6.%7.%8.%9"/>
      <w:lvlJc w:val="left"/>
      <w:pPr>
        <w:ind w:left="1845" w:hanging="1440"/>
      </w:pPr>
      <w:rPr>
        <w:rFonts w:cs="Times New Roman" w:hint="default"/>
      </w:rPr>
    </w:lvl>
  </w:abstractNum>
  <w:abstractNum w:abstractNumId="2">
    <w:nsid w:val="18146ED9"/>
    <w:multiLevelType w:val="hybridMultilevel"/>
    <w:tmpl w:val="BBA89490"/>
    <w:lvl w:ilvl="0" w:tplc="0413000F">
      <w:start w:val="1"/>
      <w:numFmt w:val="decimal"/>
      <w:lvlText w:val="%1."/>
      <w:lvlJc w:val="left"/>
      <w:pPr>
        <w:ind w:left="765" w:hanging="360"/>
      </w:pPr>
      <w:rPr>
        <w:rFonts w:cs="Times New Roman"/>
      </w:rPr>
    </w:lvl>
    <w:lvl w:ilvl="1" w:tplc="04130019" w:tentative="1">
      <w:start w:val="1"/>
      <w:numFmt w:val="lowerLetter"/>
      <w:lvlText w:val="%2."/>
      <w:lvlJc w:val="left"/>
      <w:pPr>
        <w:ind w:left="1485" w:hanging="360"/>
      </w:pPr>
      <w:rPr>
        <w:rFonts w:cs="Times New Roman"/>
      </w:rPr>
    </w:lvl>
    <w:lvl w:ilvl="2" w:tplc="0413001B" w:tentative="1">
      <w:start w:val="1"/>
      <w:numFmt w:val="lowerRoman"/>
      <w:lvlText w:val="%3."/>
      <w:lvlJc w:val="right"/>
      <w:pPr>
        <w:ind w:left="2205" w:hanging="180"/>
      </w:pPr>
      <w:rPr>
        <w:rFonts w:cs="Times New Roman"/>
      </w:rPr>
    </w:lvl>
    <w:lvl w:ilvl="3" w:tplc="0413000F" w:tentative="1">
      <w:start w:val="1"/>
      <w:numFmt w:val="decimal"/>
      <w:lvlText w:val="%4."/>
      <w:lvlJc w:val="left"/>
      <w:pPr>
        <w:ind w:left="2925" w:hanging="360"/>
      </w:pPr>
      <w:rPr>
        <w:rFonts w:cs="Times New Roman"/>
      </w:rPr>
    </w:lvl>
    <w:lvl w:ilvl="4" w:tplc="04130019" w:tentative="1">
      <w:start w:val="1"/>
      <w:numFmt w:val="lowerLetter"/>
      <w:lvlText w:val="%5."/>
      <w:lvlJc w:val="left"/>
      <w:pPr>
        <w:ind w:left="3645" w:hanging="360"/>
      </w:pPr>
      <w:rPr>
        <w:rFonts w:cs="Times New Roman"/>
      </w:rPr>
    </w:lvl>
    <w:lvl w:ilvl="5" w:tplc="0413001B" w:tentative="1">
      <w:start w:val="1"/>
      <w:numFmt w:val="lowerRoman"/>
      <w:lvlText w:val="%6."/>
      <w:lvlJc w:val="right"/>
      <w:pPr>
        <w:ind w:left="4365" w:hanging="180"/>
      </w:pPr>
      <w:rPr>
        <w:rFonts w:cs="Times New Roman"/>
      </w:rPr>
    </w:lvl>
    <w:lvl w:ilvl="6" w:tplc="0413000F" w:tentative="1">
      <w:start w:val="1"/>
      <w:numFmt w:val="decimal"/>
      <w:lvlText w:val="%7."/>
      <w:lvlJc w:val="left"/>
      <w:pPr>
        <w:ind w:left="5085" w:hanging="360"/>
      </w:pPr>
      <w:rPr>
        <w:rFonts w:cs="Times New Roman"/>
      </w:rPr>
    </w:lvl>
    <w:lvl w:ilvl="7" w:tplc="04130019" w:tentative="1">
      <w:start w:val="1"/>
      <w:numFmt w:val="lowerLetter"/>
      <w:lvlText w:val="%8."/>
      <w:lvlJc w:val="left"/>
      <w:pPr>
        <w:ind w:left="5805" w:hanging="360"/>
      </w:pPr>
      <w:rPr>
        <w:rFonts w:cs="Times New Roman"/>
      </w:rPr>
    </w:lvl>
    <w:lvl w:ilvl="8" w:tplc="0413001B" w:tentative="1">
      <w:start w:val="1"/>
      <w:numFmt w:val="lowerRoman"/>
      <w:lvlText w:val="%9."/>
      <w:lvlJc w:val="right"/>
      <w:pPr>
        <w:ind w:left="6525" w:hanging="180"/>
      </w:pPr>
      <w:rPr>
        <w:rFonts w:cs="Times New Roman"/>
      </w:rPr>
    </w:lvl>
  </w:abstractNum>
  <w:abstractNum w:abstractNumId="3">
    <w:nsid w:val="186F0266"/>
    <w:multiLevelType w:val="hybridMultilevel"/>
    <w:tmpl w:val="7174DA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33613B2"/>
    <w:multiLevelType w:val="hybridMultilevel"/>
    <w:tmpl w:val="755A74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9CD4C43"/>
    <w:multiLevelType w:val="hybridMultilevel"/>
    <w:tmpl w:val="F0B2A7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A4549EB"/>
    <w:multiLevelType w:val="hybridMultilevel"/>
    <w:tmpl w:val="5B7E894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39762FA8"/>
    <w:multiLevelType w:val="hybridMultilevel"/>
    <w:tmpl w:val="0B7AA9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DC57401"/>
    <w:multiLevelType w:val="hybridMultilevel"/>
    <w:tmpl w:val="DEA4DB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9BD2BEF"/>
    <w:multiLevelType w:val="multilevel"/>
    <w:tmpl w:val="3A844CA8"/>
    <w:lvl w:ilvl="0">
      <w:start w:val="1"/>
      <w:numFmt w:val="decimal"/>
      <w:lvlText w:val="%1."/>
      <w:lvlJc w:val="left"/>
      <w:pPr>
        <w:ind w:left="765" w:hanging="360"/>
      </w:pPr>
      <w:rPr>
        <w:rFonts w:cs="Times New Roman"/>
      </w:rPr>
    </w:lvl>
    <w:lvl w:ilvl="1">
      <w:start w:val="2"/>
      <w:numFmt w:val="decimal"/>
      <w:isLgl/>
      <w:lvlText w:val="%1.%2"/>
      <w:lvlJc w:val="left"/>
      <w:pPr>
        <w:ind w:left="765" w:hanging="360"/>
      </w:pPr>
      <w:rPr>
        <w:rFonts w:cs="Times New Roman" w:hint="default"/>
      </w:rPr>
    </w:lvl>
    <w:lvl w:ilvl="2">
      <w:start w:val="1"/>
      <w:numFmt w:val="decimal"/>
      <w:isLgl/>
      <w:lvlText w:val="%1.%2.%3"/>
      <w:lvlJc w:val="left"/>
      <w:pPr>
        <w:ind w:left="1125" w:hanging="720"/>
      </w:pPr>
      <w:rPr>
        <w:rFonts w:cs="Times New Roman" w:hint="default"/>
      </w:rPr>
    </w:lvl>
    <w:lvl w:ilvl="3">
      <w:start w:val="1"/>
      <w:numFmt w:val="decimal"/>
      <w:isLgl/>
      <w:lvlText w:val="%1.%2.%3.%4"/>
      <w:lvlJc w:val="left"/>
      <w:pPr>
        <w:ind w:left="1125" w:hanging="720"/>
      </w:pPr>
      <w:rPr>
        <w:rFonts w:cs="Times New Roman" w:hint="default"/>
      </w:rPr>
    </w:lvl>
    <w:lvl w:ilvl="4">
      <w:start w:val="1"/>
      <w:numFmt w:val="decimal"/>
      <w:isLgl/>
      <w:lvlText w:val="%1.%2.%3.%4.%5"/>
      <w:lvlJc w:val="left"/>
      <w:pPr>
        <w:ind w:left="1485" w:hanging="1080"/>
      </w:pPr>
      <w:rPr>
        <w:rFonts w:cs="Times New Roman" w:hint="default"/>
      </w:rPr>
    </w:lvl>
    <w:lvl w:ilvl="5">
      <w:start w:val="1"/>
      <w:numFmt w:val="decimal"/>
      <w:isLgl/>
      <w:lvlText w:val="%1.%2.%3.%4.%5.%6"/>
      <w:lvlJc w:val="left"/>
      <w:pPr>
        <w:ind w:left="1485" w:hanging="1080"/>
      </w:pPr>
      <w:rPr>
        <w:rFonts w:cs="Times New Roman" w:hint="default"/>
      </w:rPr>
    </w:lvl>
    <w:lvl w:ilvl="6">
      <w:start w:val="1"/>
      <w:numFmt w:val="decimal"/>
      <w:isLgl/>
      <w:lvlText w:val="%1.%2.%3.%4.%5.%6.%7"/>
      <w:lvlJc w:val="left"/>
      <w:pPr>
        <w:ind w:left="1845" w:hanging="1440"/>
      </w:pPr>
      <w:rPr>
        <w:rFonts w:cs="Times New Roman" w:hint="default"/>
      </w:rPr>
    </w:lvl>
    <w:lvl w:ilvl="7">
      <w:start w:val="1"/>
      <w:numFmt w:val="decimal"/>
      <w:isLgl/>
      <w:lvlText w:val="%1.%2.%3.%4.%5.%6.%7.%8"/>
      <w:lvlJc w:val="left"/>
      <w:pPr>
        <w:ind w:left="1845" w:hanging="1440"/>
      </w:pPr>
      <w:rPr>
        <w:rFonts w:cs="Times New Roman" w:hint="default"/>
      </w:rPr>
    </w:lvl>
    <w:lvl w:ilvl="8">
      <w:start w:val="1"/>
      <w:numFmt w:val="decimal"/>
      <w:isLgl/>
      <w:lvlText w:val="%1.%2.%3.%4.%5.%6.%7.%8.%9"/>
      <w:lvlJc w:val="left"/>
      <w:pPr>
        <w:ind w:left="1845" w:hanging="1440"/>
      </w:pPr>
      <w:rPr>
        <w:rFonts w:cs="Times New Roman" w:hint="default"/>
      </w:rPr>
    </w:lvl>
  </w:abstractNum>
  <w:abstractNum w:abstractNumId="10">
    <w:nsid w:val="4CBA5034"/>
    <w:multiLevelType w:val="multilevel"/>
    <w:tmpl w:val="8458C1C4"/>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4EF71753"/>
    <w:multiLevelType w:val="multilevel"/>
    <w:tmpl w:val="7EE804A0"/>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2">
    <w:nsid w:val="59304BB1"/>
    <w:multiLevelType w:val="hybridMultilevel"/>
    <w:tmpl w:val="F0D49E5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6B2F3097"/>
    <w:multiLevelType w:val="multilevel"/>
    <w:tmpl w:val="79784BC8"/>
    <w:lvl w:ilvl="0">
      <w:start w:val="1"/>
      <w:numFmt w:val="decimal"/>
      <w:lvlText w:val="%1."/>
      <w:lvlJc w:val="left"/>
      <w:pPr>
        <w:ind w:left="720" w:hanging="360"/>
      </w:pPr>
      <w:rPr>
        <w:rFonts w:cs="Times New Roman"/>
      </w:rPr>
    </w:lvl>
    <w:lvl w:ilvl="1">
      <w:start w:val="3"/>
      <w:numFmt w:val="decimal"/>
      <w:isLgl/>
      <w:lvlText w:val="%1.%2."/>
      <w:lvlJc w:val="left"/>
      <w:pPr>
        <w:ind w:left="900" w:hanging="54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4">
    <w:nsid w:val="6BE57E7C"/>
    <w:multiLevelType w:val="hybridMultilevel"/>
    <w:tmpl w:val="5B16E8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702E7164"/>
    <w:multiLevelType w:val="hybridMultilevel"/>
    <w:tmpl w:val="A2D436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6"/>
  </w:num>
  <w:num w:numId="4">
    <w:abstractNumId w:val="10"/>
  </w:num>
  <w:num w:numId="5">
    <w:abstractNumId w:val="7"/>
  </w:num>
  <w:num w:numId="6">
    <w:abstractNumId w:val="9"/>
  </w:num>
  <w:num w:numId="7">
    <w:abstractNumId w:val="2"/>
  </w:num>
  <w:num w:numId="8">
    <w:abstractNumId w:val="3"/>
  </w:num>
  <w:num w:numId="9">
    <w:abstractNumId w:val="1"/>
  </w:num>
  <w:num w:numId="10">
    <w:abstractNumId w:val="12"/>
  </w:num>
  <w:num w:numId="11">
    <w:abstractNumId w:val="8"/>
  </w:num>
  <w:num w:numId="12">
    <w:abstractNumId w:val="0"/>
  </w:num>
  <w:num w:numId="13">
    <w:abstractNumId w:val="4"/>
  </w:num>
  <w:num w:numId="14">
    <w:abstractNumId w:val="14"/>
  </w:num>
  <w:num w:numId="15">
    <w:abstractNumId w:val="5"/>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E1B77"/>
    <w:rsid w:val="00001781"/>
    <w:rsid w:val="00006007"/>
    <w:rsid w:val="00010276"/>
    <w:rsid w:val="00011723"/>
    <w:rsid w:val="000119DD"/>
    <w:rsid w:val="000129F6"/>
    <w:rsid w:val="000131DC"/>
    <w:rsid w:val="00013685"/>
    <w:rsid w:val="00014A90"/>
    <w:rsid w:val="00015099"/>
    <w:rsid w:val="00020317"/>
    <w:rsid w:val="00020965"/>
    <w:rsid w:val="00021E95"/>
    <w:rsid w:val="00027B15"/>
    <w:rsid w:val="00030B97"/>
    <w:rsid w:val="0003165B"/>
    <w:rsid w:val="0003312C"/>
    <w:rsid w:val="00035E96"/>
    <w:rsid w:val="00040FC5"/>
    <w:rsid w:val="00041D9E"/>
    <w:rsid w:val="0004275B"/>
    <w:rsid w:val="000458DF"/>
    <w:rsid w:val="00045F84"/>
    <w:rsid w:val="00046928"/>
    <w:rsid w:val="00046D7B"/>
    <w:rsid w:val="00051548"/>
    <w:rsid w:val="0005250F"/>
    <w:rsid w:val="00054001"/>
    <w:rsid w:val="00054AA4"/>
    <w:rsid w:val="0005556A"/>
    <w:rsid w:val="0006010B"/>
    <w:rsid w:val="000607CC"/>
    <w:rsid w:val="00061572"/>
    <w:rsid w:val="0006468C"/>
    <w:rsid w:val="000654CA"/>
    <w:rsid w:val="00065AF5"/>
    <w:rsid w:val="000677EA"/>
    <w:rsid w:val="00071624"/>
    <w:rsid w:val="00073CC4"/>
    <w:rsid w:val="00074A39"/>
    <w:rsid w:val="00076145"/>
    <w:rsid w:val="0008115F"/>
    <w:rsid w:val="00082601"/>
    <w:rsid w:val="0008456E"/>
    <w:rsid w:val="00085A99"/>
    <w:rsid w:val="00093D7D"/>
    <w:rsid w:val="00094A7C"/>
    <w:rsid w:val="000963F8"/>
    <w:rsid w:val="00096D56"/>
    <w:rsid w:val="00097A5D"/>
    <w:rsid w:val="000A1575"/>
    <w:rsid w:val="000A208F"/>
    <w:rsid w:val="000A2F54"/>
    <w:rsid w:val="000A318A"/>
    <w:rsid w:val="000A596B"/>
    <w:rsid w:val="000A648B"/>
    <w:rsid w:val="000A7A53"/>
    <w:rsid w:val="000B2147"/>
    <w:rsid w:val="000B4F5A"/>
    <w:rsid w:val="000B4F9D"/>
    <w:rsid w:val="000B7DE2"/>
    <w:rsid w:val="000C11F6"/>
    <w:rsid w:val="000C46EA"/>
    <w:rsid w:val="000C606D"/>
    <w:rsid w:val="000C7014"/>
    <w:rsid w:val="000D1759"/>
    <w:rsid w:val="000E077B"/>
    <w:rsid w:val="000E16C8"/>
    <w:rsid w:val="000E1758"/>
    <w:rsid w:val="000E1AF2"/>
    <w:rsid w:val="000E4272"/>
    <w:rsid w:val="000E4EDF"/>
    <w:rsid w:val="000E6672"/>
    <w:rsid w:val="000E66E8"/>
    <w:rsid w:val="000E69C1"/>
    <w:rsid w:val="000E7084"/>
    <w:rsid w:val="000E7135"/>
    <w:rsid w:val="000F371B"/>
    <w:rsid w:val="000F38CB"/>
    <w:rsid w:val="000F4561"/>
    <w:rsid w:val="000F600E"/>
    <w:rsid w:val="000F68AD"/>
    <w:rsid w:val="000F6D22"/>
    <w:rsid w:val="00101E99"/>
    <w:rsid w:val="001023E2"/>
    <w:rsid w:val="00102850"/>
    <w:rsid w:val="00105296"/>
    <w:rsid w:val="00106F27"/>
    <w:rsid w:val="0011078D"/>
    <w:rsid w:val="0011142F"/>
    <w:rsid w:val="00111F08"/>
    <w:rsid w:val="00112AEC"/>
    <w:rsid w:val="001155FE"/>
    <w:rsid w:val="00116A56"/>
    <w:rsid w:val="0011741D"/>
    <w:rsid w:val="001212D6"/>
    <w:rsid w:val="001234C7"/>
    <w:rsid w:val="0012531C"/>
    <w:rsid w:val="00125ED7"/>
    <w:rsid w:val="00126318"/>
    <w:rsid w:val="0012635A"/>
    <w:rsid w:val="00127534"/>
    <w:rsid w:val="00131640"/>
    <w:rsid w:val="001319A2"/>
    <w:rsid w:val="001323DE"/>
    <w:rsid w:val="00132ADB"/>
    <w:rsid w:val="0013309D"/>
    <w:rsid w:val="00133A2B"/>
    <w:rsid w:val="0013489A"/>
    <w:rsid w:val="00136826"/>
    <w:rsid w:val="001415ED"/>
    <w:rsid w:val="00141838"/>
    <w:rsid w:val="00146FBE"/>
    <w:rsid w:val="0014740F"/>
    <w:rsid w:val="00150669"/>
    <w:rsid w:val="00150A68"/>
    <w:rsid w:val="00150D16"/>
    <w:rsid w:val="00150D74"/>
    <w:rsid w:val="00153EE2"/>
    <w:rsid w:val="001547D7"/>
    <w:rsid w:val="0016323D"/>
    <w:rsid w:val="00172161"/>
    <w:rsid w:val="00174971"/>
    <w:rsid w:val="00176527"/>
    <w:rsid w:val="00177765"/>
    <w:rsid w:val="001805B1"/>
    <w:rsid w:val="00184539"/>
    <w:rsid w:val="00184A7B"/>
    <w:rsid w:val="00191322"/>
    <w:rsid w:val="0019334F"/>
    <w:rsid w:val="001935D1"/>
    <w:rsid w:val="00193B2C"/>
    <w:rsid w:val="00194761"/>
    <w:rsid w:val="00194F69"/>
    <w:rsid w:val="001A03A2"/>
    <w:rsid w:val="001A0609"/>
    <w:rsid w:val="001A1AFF"/>
    <w:rsid w:val="001A2956"/>
    <w:rsid w:val="001A42DB"/>
    <w:rsid w:val="001B36DF"/>
    <w:rsid w:val="001C14FA"/>
    <w:rsid w:val="001C3D2A"/>
    <w:rsid w:val="001C3D31"/>
    <w:rsid w:val="001C65D9"/>
    <w:rsid w:val="001D077D"/>
    <w:rsid w:val="001D117D"/>
    <w:rsid w:val="001D1DBA"/>
    <w:rsid w:val="001D39FC"/>
    <w:rsid w:val="001D40D7"/>
    <w:rsid w:val="001D74DD"/>
    <w:rsid w:val="001D7616"/>
    <w:rsid w:val="001E192A"/>
    <w:rsid w:val="001E2520"/>
    <w:rsid w:val="001E312D"/>
    <w:rsid w:val="001E42F5"/>
    <w:rsid w:val="001E6E45"/>
    <w:rsid w:val="001F125E"/>
    <w:rsid w:val="001F7700"/>
    <w:rsid w:val="00200B7A"/>
    <w:rsid w:val="0020170A"/>
    <w:rsid w:val="00202F8F"/>
    <w:rsid w:val="00203B4C"/>
    <w:rsid w:val="002051B0"/>
    <w:rsid w:val="002070E8"/>
    <w:rsid w:val="00210049"/>
    <w:rsid w:val="002100C7"/>
    <w:rsid w:val="0021355A"/>
    <w:rsid w:val="002161C8"/>
    <w:rsid w:val="0022069B"/>
    <w:rsid w:val="00221EAF"/>
    <w:rsid w:val="00225D03"/>
    <w:rsid w:val="00225DE8"/>
    <w:rsid w:val="00230B53"/>
    <w:rsid w:val="002316C1"/>
    <w:rsid w:val="002327A4"/>
    <w:rsid w:val="00232A19"/>
    <w:rsid w:val="00233D85"/>
    <w:rsid w:val="002342A5"/>
    <w:rsid w:val="0023510C"/>
    <w:rsid w:val="00235BAF"/>
    <w:rsid w:val="002360FC"/>
    <w:rsid w:val="0024044F"/>
    <w:rsid w:val="0024466A"/>
    <w:rsid w:val="0024466E"/>
    <w:rsid w:val="00250374"/>
    <w:rsid w:val="002509DB"/>
    <w:rsid w:val="00251F54"/>
    <w:rsid w:val="00252B65"/>
    <w:rsid w:val="0025511F"/>
    <w:rsid w:val="00256CF5"/>
    <w:rsid w:val="002577A2"/>
    <w:rsid w:val="0026069B"/>
    <w:rsid w:val="00262BA5"/>
    <w:rsid w:val="0026329D"/>
    <w:rsid w:val="00266B40"/>
    <w:rsid w:val="00270E59"/>
    <w:rsid w:val="00273A2B"/>
    <w:rsid w:val="002742A1"/>
    <w:rsid w:val="00275B17"/>
    <w:rsid w:val="0028461B"/>
    <w:rsid w:val="00285660"/>
    <w:rsid w:val="00285F0E"/>
    <w:rsid w:val="0028695B"/>
    <w:rsid w:val="00286BC4"/>
    <w:rsid w:val="00287923"/>
    <w:rsid w:val="00290D23"/>
    <w:rsid w:val="002934DB"/>
    <w:rsid w:val="00295B5C"/>
    <w:rsid w:val="00297CCF"/>
    <w:rsid w:val="002A0FD5"/>
    <w:rsid w:val="002A12E9"/>
    <w:rsid w:val="002A1807"/>
    <w:rsid w:val="002A29ED"/>
    <w:rsid w:val="002A3D7C"/>
    <w:rsid w:val="002A4818"/>
    <w:rsid w:val="002B0999"/>
    <w:rsid w:val="002B314E"/>
    <w:rsid w:val="002B51C6"/>
    <w:rsid w:val="002B61D8"/>
    <w:rsid w:val="002C118C"/>
    <w:rsid w:val="002C1411"/>
    <w:rsid w:val="002C177A"/>
    <w:rsid w:val="002C2AAA"/>
    <w:rsid w:val="002C4107"/>
    <w:rsid w:val="002D01E6"/>
    <w:rsid w:val="002D0A17"/>
    <w:rsid w:val="002D105C"/>
    <w:rsid w:val="002D284A"/>
    <w:rsid w:val="002D3493"/>
    <w:rsid w:val="002D4F87"/>
    <w:rsid w:val="002D599B"/>
    <w:rsid w:val="002D5B4B"/>
    <w:rsid w:val="002E1368"/>
    <w:rsid w:val="002E1A6B"/>
    <w:rsid w:val="002E27E6"/>
    <w:rsid w:val="002E335B"/>
    <w:rsid w:val="002E57F7"/>
    <w:rsid w:val="002E60D7"/>
    <w:rsid w:val="002E6F63"/>
    <w:rsid w:val="002F1FCD"/>
    <w:rsid w:val="002F23E5"/>
    <w:rsid w:val="002F293F"/>
    <w:rsid w:val="002F36DA"/>
    <w:rsid w:val="002F7337"/>
    <w:rsid w:val="002F7F77"/>
    <w:rsid w:val="00302524"/>
    <w:rsid w:val="00303153"/>
    <w:rsid w:val="00307D48"/>
    <w:rsid w:val="0031167E"/>
    <w:rsid w:val="00315D99"/>
    <w:rsid w:val="003222E8"/>
    <w:rsid w:val="00323F91"/>
    <w:rsid w:val="00324352"/>
    <w:rsid w:val="00325153"/>
    <w:rsid w:val="0032771B"/>
    <w:rsid w:val="0033214F"/>
    <w:rsid w:val="00332AAB"/>
    <w:rsid w:val="00333089"/>
    <w:rsid w:val="0033328B"/>
    <w:rsid w:val="00335D6E"/>
    <w:rsid w:val="00335E31"/>
    <w:rsid w:val="00336274"/>
    <w:rsid w:val="0033627E"/>
    <w:rsid w:val="003368F4"/>
    <w:rsid w:val="0033764D"/>
    <w:rsid w:val="003450B9"/>
    <w:rsid w:val="0034740F"/>
    <w:rsid w:val="003474DB"/>
    <w:rsid w:val="0035210A"/>
    <w:rsid w:val="0035360E"/>
    <w:rsid w:val="0035379E"/>
    <w:rsid w:val="00353A96"/>
    <w:rsid w:val="00353BFD"/>
    <w:rsid w:val="00353CEC"/>
    <w:rsid w:val="00353D01"/>
    <w:rsid w:val="003650E8"/>
    <w:rsid w:val="00367B95"/>
    <w:rsid w:val="00380078"/>
    <w:rsid w:val="0038107B"/>
    <w:rsid w:val="00384EEE"/>
    <w:rsid w:val="00386529"/>
    <w:rsid w:val="003876F2"/>
    <w:rsid w:val="00392AF1"/>
    <w:rsid w:val="00392B83"/>
    <w:rsid w:val="00393142"/>
    <w:rsid w:val="00395AFC"/>
    <w:rsid w:val="00396B4B"/>
    <w:rsid w:val="00397A5B"/>
    <w:rsid w:val="003A074B"/>
    <w:rsid w:val="003A0851"/>
    <w:rsid w:val="003A0927"/>
    <w:rsid w:val="003A1644"/>
    <w:rsid w:val="003A2576"/>
    <w:rsid w:val="003A2704"/>
    <w:rsid w:val="003A385A"/>
    <w:rsid w:val="003A4FB8"/>
    <w:rsid w:val="003A6D7A"/>
    <w:rsid w:val="003B084E"/>
    <w:rsid w:val="003B0B3A"/>
    <w:rsid w:val="003B5F60"/>
    <w:rsid w:val="003C2ECC"/>
    <w:rsid w:val="003C35CD"/>
    <w:rsid w:val="003C416A"/>
    <w:rsid w:val="003C453B"/>
    <w:rsid w:val="003C6E08"/>
    <w:rsid w:val="003D06E4"/>
    <w:rsid w:val="003D0BCF"/>
    <w:rsid w:val="003D49C9"/>
    <w:rsid w:val="003D4B10"/>
    <w:rsid w:val="003D725B"/>
    <w:rsid w:val="003E2BD7"/>
    <w:rsid w:val="003E365D"/>
    <w:rsid w:val="003E5C41"/>
    <w:rsid w:val="003E7D88"/>
    <w:rsid w:val="003F16FB"/>
    <w:rsid w:val="003F33B4"/>
    <w:rsid w:val="003F3899"/>
    <w:rsid w:val="003F6963"/>
    <w:rsid w:val="003F6D10"/>
    <w:rsid w:val="0040047B"/>
    <w:rsid w:val="00402139"/>
    <w:rsid w:val="004036F7"/>
    <w:rsid w:val="00404C75"/>
    <w:rsid w:val="00404FF1"/>
    <w:rsid w:val="0040588A"/>
    <w:rsid w:val="0041139C"/>
    <w:rsid w:val="004122B3"/>
    <w:rsid w:val="00413A8D"/>
    <w:rsid w:val="004176F5"/>
    <w:rsid w:val="00420FA4"/>
    <w:rsid w:val="004215E5"/>
    <w:rsid w:val="0042345D"/>
    <w:rsid w:val="00424B98"/>
    <w:rsid w:val="00425F5B"/>
    <w:rsid w:val="00426A77"/>
    <w:rsid w:val="0043034E"/>
    <w:rsid w:val="004304CC"/>
    <w:rsid w:val="004308D9"/>
    <w:rsid w:val="004330F7"/>
    <w:rsid w:val="00433547"/>
    <w:rsid w:val="00433D69"/>
    <w:rsid w:val="00440994"/>
    <w:rsid w:val="0044130D"/>
    <w:rsid w:val="00441D2B"/>
    <w:rsid w:val="00443B2D"/>
    <w:rsid w:val="00443EDA"/>
    <w:rsid w:val="004440A0"/>
    <w:rsid w:val="00444B88"/>
    <w:rsid w:val="00444E74"/>
    <w:rsid w:val="00444F88"/>
    <w:rsid w:val="0045335C"/>
    <w:rsid w:val="00453A55"/>
    <w:rsid w:val="00453C67"/>
    <w:rsid w:val="00455E27"/>
    <w:rsid w:val="00457297"/>
    <w:rsid w:val="004608FF"/>
    <w:rsid w:val="00461221"/>
    <w:rsid w:val="00463C4C"/>
    <w:rsid w:val="00465A48"/>
    <w:rsid w:val="0046678B"/>
    <w:rsid w:val="00466F14"/>
    <w:rsid w:val="00467AD1"/>
    <w:rsid w:val="00472D0B"/>
    <w:rsid w:val="00474C51"/>
    <w:rsid w:val="00475B33"/>
    <w:rsid w:val="004776C7"/>
    <w:rsid w:val="00481B27"/>
    <w:rsid w:val="00483CF6"/>
    <w:rsid w:val="00487A69"/>
    <w:rsid w:val="00492A41"/>
    <w:rsid w:val="00493192"/>
    <w:rsid w:val="0049508A"/>
    <w:rsid w:val="004A0462"/>
    <w:rsid w:val="004A50E1"/>
    <w:rsid w:val="004A6C90"/>
    <w:rsid w:val="004B2E55"/>
    <w:rsid w:val="004B477E"/>
    <w:rsid w:val="004B4964"/>
    <w:rsid w:val="004B7710"/>
    <w:rsid w:val="004C2D22"/>
    <w:rsid w:val="004C6BFD"/>
    <w:rsid w:val="004C700C"/>
    <w:rsid w:val="004C756E"/>
    <w:rsid w:val="004D2763"/>
    <w:rsid w:val="004D3912"/>
    <w:rsid w:val="004D4A74"/>
    <w:rsid w:val="004D5656"/>
    <w:rsid w:val="004D6BED"/>
    <w:rsid w:val="004D7619"/>
    <w:rsid w:val="004E0311"/>
    <w:rsid w:val="004E0BAE"/>
    <w:rsid w:val="004E3B41"/>
    <w:rsid w:val="004E4310"/>
    <w:rsid w:val="004E4A1A"/>
    <w:rsid w:val="004E4FE1"/>
    <w:rsid w:val="004E5FF9"/>
    <w:rsid w:val="004E7361"/>
    <w:rsid w:val="004F46B1"/>
    <w:rsid w:val="004F57F0"/>
    <w:rsid w:val="0050129F"/>
    <w:rsid w:val="005018EF"/>
    <w:rsid w:val="00502CA8"/>
    <w:rsid w:val="00503A05"/>
    <w:rsid w:val="0050714F"/>
    <w:rsid w:val="005114BF"/>
    <w:rsid w:val="0051271D"/>
    <w:rsid w:val="005128F6"/>
    <w:rsid w:val="005140E7"/>
    <w:rsid w:val="005153A5"/>
    <w:rsid w:val="00517E05"/>
    <w:rsid w:val="0052146F"/>
    <w:rsid w:val="00521BB8"/>
    <w:rsid w:val="00523441"/>
    <w:rsid w:val="005242FF"/>
    <w:rsid w:val="00526EBB"/>
    <w:rsid w:val="00527840"/>
    <w:rsid w:val="00527C3B"/>
    <w:rsid w:val="00527ED9"/>
    <w:rsid w:val="005324D4"/>
    <w:rsid w:val="00533538"/>
    <w:rsid w:val="00533AE4"/>
    <w:rsid w:val="00537738"/>
    <w:rsid w:val="0054434B"/>
    <w:rsid w:val="00546187"/>
    <w:rsid w:val="00554C60"/>
    <w:rsid w:val="0055659A"/>
    <w:rsid w:val="005628EA"/>
    <w:rsid w:val="005703C4"/>
    <w:rsid w:val="005708E1"/>
    <w:rsid w:val="00572E69"/>
    <w:rsid w:val="00573CFC"/>
    <w:rsid w:val="00573FBC"/>
    <w:rsid w:val="0057546A"/>
    <w:rsid w:val="00576982"/>
    <w:rsid w:val="00577051"/>
    <w:rsid w:val="005772EB"/>
    <w:rsid w:val="00580776"/>
    <w:rsid w:val="005860B1"/>
    <w:rsid w:val="00586E5E"/>
    <w:rsid w:val="00587690"/>
    <w:rsid w:val="00590306"/>
    <w:rsid w:val="00593830"/>
    <w:rsid w:val="005949EC"/>
    <w:rsid w:val="00596933"/>
    <w:rsid w:val="00597655"/>
    <w:rsid w:val="00597D83"/>
    <w:rsid w:val="005A1F85"/>
    <w:rsid w:val="005A7A9C"/>
    <w:rsid w:val="005B5917"/>
    <w:rsid w:val="005B6087"/>
    <w:rsid w:val="005B7B60"/>
    <w:rsid w:val="005C220F"/>
    <w:rsid w:val="005C3736"/>
    <w:rsid w:val="005C4AAA"/>
    <w:rsid w:val="005C59EA"/>
    <w:rsid w:val="005C5E7F"/>
    <w:rsid w:val="005C69C1"/>
    <w:rsid w:val="005C7148"/>
    <w:rsid w:val="005D05CE"/>
    <w:rsid w:val="005D0D0F"/>
    <w:rsid w:val="005D2654"/>
    <w:rsid w:val="005D3004"/>
    <w:rsid w:val="005D4837"/>
    <w:rsid w:val="005D4EEC"/>
    <w:rsid w:val="005D5D3C"/>
    <w:rsid w:val="005D61D4"/>
    <w:rsid w:val="005D629B"/>
    <w:rsid w:val="005D6555"/>
    <w:rsid w:val="005D7257"/>
    <w:rsid w:val="005E265A"/>
    <w:rsid w:val="005E62C3"/>
    <w:rsid w:val="005E6D4A"/>
    <w:rsid w:val="005E7525"/>
    <w:rsid w:val="005F0FC8"/>
    <w:rsid w:val="005F16AC"/>
    <w:rsid w:val="005F1D1D"/>
    <w:rsid w:val="005F2BB7"/>
    <w:rsid w:val="005F74CC"/>
    <w:rsid w:val="0060512B"/>
    <w:rsid w:val="0060568E"/>
    <w:rsid w:val="00611217"/>
    <w:rsid w:val="00612C4D"/>
    <w:rsid w:val="006133F3"/>
    <w:rsid w:val="006143E7"/>
    <w:rsid w:val="00620F21"/>
    <w:rsid w:val="00622F68"/>
    <w:rsid w:val="00624698"/>
    <w:rsid w:val="006267BF"/>
    <w:rsid w:val="0063146D"/>
    <w:rsid w:val="00633AFD"/>
    <w:rsid w:val="00635C81"/>
    <w:rsid w:val="00637649"/>
    <w:rsid w:val="00637E8F"/>
    <w:rsid w:val="006409B9"/>
    <w:rsid w:val="00640DDB"/>
    <w:rsid w:val="00644C49"/>
    <w:rsid w:val="0064705C"/>
    <w:rsid w:val="00650035"/>
    <w:rsid w:val="0065025F"/>
    <w:rsid w:val="00654551"/>
    <w:rsid w:val="00656474"/>
    <w:rsid w:val="00656E21"/>
    <w:rsid w:val="00657581"/>
    <w:rsid w:val="00660853"/>
    <w:rsid w:val="00661145"/>
    <w:rsid w:val="00674D47"/>
    <w:rsid w:val="00674E20"/>
    <w:rsid w:val="0067543A"/>
    <w:rsid w:val="0067693F"/>
    <w:rsid w:val="006800DF"/>
    <w:rsid w:val="006807B1"/>
    <w:rsid w:val="0068112A"/>
    <w:rsid w:val="00686E6E"/>
    <w:rsid w:val="00690C70"/>
    <w:rsid w:val="006921D3"/>
    <w:rsid w:val="00692257"/>
    <w:rsid w:val="006941DB"/>
    <w:rsid w:val="006974AA"/>
    <w:rsid w:val="006A0DF6"/>
    <w:rsid w:val="006A26F8"/>
    <w:rsid w:val="006A2B5B"/>
    <w:rsid w:val="006A2C32"/>
    <w:rsid w:val="006A32E5"/>
    <w:rsid w:val="006A4968"/>
    <w:rsid w:val="006A4AEC"/>
    <w:rsid w:val="006A58D2"/>
    <w:rsid w:val="006B0F07"/>
    <w:rsid w:val="006B3051"/>
    <w:rsid w:val="006B3ADC"/>
    <w:rsid w:val="006B43C7"/>
    <w:rsid w:val="006B64AC"/>
    <w:rsid w:val="006B76E3"/>
    <w:rsid w:val="006C1C06"/>
    <w:rsid w:val="006C4BE3"/>
    <w:rsid w:val="006C4D49"/>
    <w:rsid w:val="006C61DE"/>
    <w:rsid w:val="006C6CEC"/>
    <w:rsid w:val="006D6DFC"/>
    <w:rsid w:val="006E1B77"/>
    <w:rsid w:val="006E23C4"/>
    <w:rsid w:val="006E2B35"/>
    <w:rsid w:val="006E35F9"/>
    <w:rsid w:val="006E3830"/>
    <w:rsid w:val="006E4A06"/>
    <w:rsid w:val="006E54BD"/>
    <w:rsid w:val="006E7497"/>
    <w:rsid w:val="006F018D"/>
    <w:rsid w:val="006F01BA"/>
    <w:rsid w:val="006F0343"/>
    <w:rsid w:val="006F0719"/>
    <w:rsid w:val="006F1727"/>
    <w:rsid w:val="006F7673"/>
    <w:rsid w:val="007017E6"/>
    <w:rsid w:val="00701FE1"/>
    <w:rsid w:val="00702D46"/>
    <w:rsid w:val="007077BC"/>
    <w:rsid w:val="00707B0B"/>
    <w:rsid w:val="00710576"/>
    <w:rsid w:val="00710FE0"/>
    <w:rsid w:val="0071179C"/>
    <w:rsid w:val="00712809"/>
    <w:rsid w:val="00714419"/>
    <w:rsid w:val="00715E38"/>
    <w:rsid w:val="0071682B"/>
    <w:rsid w:val="00717766"/>
    <w:rsid w:val="00717EED"/>
    <w:rsid w:val="00720867"/>
    <w:rsid w:val="00725BB0"/>
    <w:rsid w:val="00725FF1"/>
    <w:rsid w:val="007269CC"/>
    <w:rsid w:val="007328A0"/>
    <w:rsid w:val="00737954"/>
    <w:rsid w:val="007419F9"/>
    <w:rsid w:val="00741D92"/>
    <w:rsid w:val="00742EC9"/>
    <w:rsid w:val="00745250"/>
    <w:rsid w:val="00746C4B"/>
    <w:rsid w:val="007472C2"/>
    <w:rsid w:val="007612CD"/>
    <w:rsid w:val="00761367"/>
    <w:rsid w:val="00762B74"/>
    <w:rsid w:val="00764BE0"/>
    <w:rsid w:val="00764FFB"/>
    <w:rsid w:val="0076630C"/>
    <w:rsid w:val="00766BF9"/>
    <w:rsid w:val="00766DB4"/>
    <w:rsid w:val="00771711"/>
    <w:rsid w:val="007726D4"/>
    <w:rsid w:val="00772F50"/>
    <w:rsid w:val="00773845"/>
    <w:rsid w:val="00776CAF"/>
    <w:rsid w:val="00780F9F"/>
    <w:rsid w:val="00781FD7"/>
    <w:rsid w:val="00784B5C"/>
    <w:rsid w:val="00786F84"/>
    <w:rsid w:val="00787EC3"/>
    <w:rsid w:val="00790D4D"/>
    <w:rsid w:val="00792776"/>
    <w:rsid w:val="00793807"/>
    <w:rsid w:val="00793FDF"/>
    <w:rsid w:val="0079542E"/>
    <w:rsid w:val="00795F19"/>
    <w:rsid w:val="00796165"/>
    <w:rsid w:val="007A0FBD"/>
    <w:rsid w:val="007A1DBA"/>
    <w:rsid w:val="007A3A06"/>
    <w:rsid w:val="007A536F"/>
    <w:rsid w:val="007A5BB1"/>
    <w:rsid w:val="007A787F"/>
    <w:rsid w:val="007B0105"/>
    <w:rsid w:val="007B0981"/>
    <w:rsid w:val="007B341C"/>
    <w:rsid w:val="007B54E8"/>
    <w:rsid w:val="007B7955"/>
    <w:rsid w:val="007B7B9D"/>
    <w:rsid w:val="007C1DC4"/>
    <w:rsid w:val="007C2066"/>
    <w:rsid w:val="007C2B29"/>
    <w:rsid w:val="007C7872"/>
    <w:rsid w:val="007D0A13"/>
    <w:rsid w:val="007D16D9"/>
    <w:rsid w:val="007D2646"/>
    <w:rsid w:val="007D3F28"/>
    <w:rsid w:val="007D4FEE"/>
    <w:rsid w:val="007D6DAB"/>
    <w:rsid w:val="007E0C31"/>
    <w:rsid w:val="007E4033"/>
    <w:rsid w:val="007E40D6"/>
    <w:rsid w:val="007E4A20"/>
    <w:rsid w:val="007E4FBA"/>
    <w:rsid w:val="007E6D74"/>
    <w:rsid w:val="007E7362"/>
    <w:rsid w:val="007F0ABE"/>
    <w:rsid w:val="007F2A2C"/>
    <w:rsid w:val="007F2ED5"/>
    <w:rsid w:val="007F3487"/>
    <w:rsid w:val="008001A6"/>
    <w:rsid w:val="00800254"/>
    <w:rsid w:val="00801C98"/>
    <w:rsid w:val="00801E1E"/>
    <w:rsid w:val="00803BF7"/>
    <w:rsid w:val="00804E8E"/>
    <w:rsid w:val="00805399"/>
    <w:rsid w:val="0081102B"/>
    <w:rsid w:val="00815EB0"/>
    <w:rsid w:val="00816752"/>
    <w:rsid w:val="00820991"/>
    <w:rsid w:val="008210F4"/>
    <w:rsid w:val="00821F2E"/>
    <w:rsid w:val="00822106"/>
    <w:rsid w:val="00824640"/>
    <w:rsid w:val="00824A73"/>
    <w:rsid w:val="0082504B"/>
    <w:rsid w:val="00825D3A"/>
    <w:rsid w:val="008272CE"/>
    <w:rsid w:val="0083022D"/>
    <w:rsid w:val="00831667"/>
    <w:rsid w:val="00831F61"/>
    <w:rsid w:val="00832326"/>
    <w:rsid w:val="00833198"/>
    <w:rsid w:val="00833728"/>
    <w:rsid w:val="0083409D"/>
    <w:rsid w:val="00837AF1"/>
    <w:rsid w:val="008429DA"/>
    <w:rsid w:val="00844EB1"/>
    <w:rsid w:val="00850938"/>
    <w:rsid w:val="0085562D"/>
    <w:rsid w:val="00856112"/>
    <w:rsid w:val="00860E0C"/>
    <w:rsid w:val="00861671"/>
    <w:rsid w:val="0086207C"/>
    <w:rsid w:val="00862874"/>
    <w:rsid w:val="00863D48"/>
    <w:rsid w:val="00864C59"/>
    <w:rsid w:val="00864EFF"/>
    <w:rsid w:val="00865070"/>
    <w:rsid w:val="00867192"/>
    <w:rsid w:val="00867402"/>
    <w:rsid w:val="00871439"/>
    <w:rsid w:val="00874267"/>
    <w:rsid w:val="00875C4E"/>
    <w:rsid w:val="00875D64"/>
    <w:rsid w:val="008765A1"/>
    <w:rsid w:val="00877749"/>
    <w:rsid w:val="008779C3"/>
    <w:rsid w:val="00877B60"/>
    <w:rsid w:val="008829F3"/>
    <w:rsid w:val="00883475"/>
    <w:rsid w:val="00884996"/>
    <w:rsid w:val="00886690"/>
    <w:rsid w:val="00890DFD"/>
    <w:rsid w:val="00890ED7"/>
    <w:rsid w:val="00894653"/>
    <w:rsid w:val="008A2876"/>
    <w:rsid w:val="008A4B2B"/>
    <w:rsid w:val="008A6662"/>
    <w:rsid w:val="008A67A8"/>
    <w:rsid w:val="008A69B6"/>
    <w:rsid w:val="008A6CBD"/>
    <w:rsid w:val="008B064C"/>
    <w:rsid w:val="008B0E5E"/>
    <w:rsid w:val="008B2F5D"/>
    <w:rsid w:val="008B3783"/>
    <w:rsid w:val="008B43F1"/>
    <w:rsid w:val="008B48B2"/>
    <w:rsid w:val="008B5638"/>
    <w:rsid w:val="008B6083"/>
    <w:rsid w:val="008B679A"/>
    <w:rsid w:val="008B7892"/>
    <w:rsid w:val="008C0FD1"/>
    <w:rsid w:val="008C6F15"/>
    <w:rsid w:val="008C75EA"/>
    <w:rsid w:val="008D03E1"/>
    <w:rsid w:val="008D6FF9"/>
    <w:rsid w:val="008D776B"/>
    <w:rsid w:val="008E265A"/>
    <w:rsid w:val="008E2A8A"/>
    <w:rsid w:val="008E3709"/>
    <w:rsid w:val="008E45E9"/>
    <w:rsid w:val="008E51A3"/>
    <w:rsid w:val="008E7046"/>
    <w:rsid w:val="008E7264"/>
    <w:rsid w:val="008E748E"/>
    <w:rsid w:val="008F4434"/>
    <w:rsid w:val="008F4D60"/>
    <w:rsid w:val="009010E9"/>
    <w:rsid w:val="00901E57"/>
    <w:rsid w:val="009056BA"/>
    <w:rsid w:val="00905CF4"/>
    <w:rsid w:val="009124B0"/>
    <w:rsid w:val="00914AC3"/>
    <w:rsid w:val="0091721A"/>
    <w:rsid w:val="00917B45"/>
    <w:rsid w:val="0092224E"/>
    <w:rsid w:val="0092271C"/>
    <w:rsid w:val="00922827"/>
    <w:rsid w:val="00927B13"/>
    <w:rsid w:val="009301CF"/>
    <w:rsid w:val="009309F7"/>
    <w:rsid w:val="00930C3E"/>
    <w:rsid w:val="00934218"/>
    <w:rsid w:val="00934F2C"/>
    <w:rsid w:val="00936141"/>
    <w:rsid w:val="009403FB"/>
    <w:rsid w:val="009408F9"/>
    <w:rsid w:val="00944196"/>
    <w:rsid w:val="00945870"/>
    <w:rsid w:val="00950D64"/>
    <w:rsid w:val="00953259"/>
    <w:rsid w:val="00954C50"/>
    <w:rsid w:val="00954F8C"/>
    <w:rsid w:val="00955740"/>
    <w:rsid w:val="00961BDE"/>
    <w:rsid w:val="009636CF"/>
    <w:rsid w:val="00965E6D"/>
    <w:rsid w:val="00967008"/>
    <w:rsid w:val="00972944"/>
    <w:rsid w:val="00973BDF"/>
    <w:rsid w:val="0097433A"/>
    <w:rsid w:val="00975F6A"/>
    <w:rsid w:val="0097687B"/>
    <w:rsid w:val="00976BD3"/>
    <w:rsid w:val="00980252"/>
    <w:rsid w:val="00981647"/>
    <w:rsid w:val="00983B74"/>
    <w:rsid w:val="0098669D"/>
    <w:rsid w:val="00986821"/>
    <w:rsid w:val="0098733B"/>
    <w:rsid w:val="00987405"/>
    <w:rsid w:val="00987E2E"/>
    <w:rsid w:val="0099172B"/>
    <w:rsid w:val="0099488A"/>
    <w:rsid w:val="0099503B"/>
    <w:rsid w:val="00996FF3"/>
    <w:rsid w:val="0099714D"/>
    <w:rsid w:val="00997449"/>
    <w:rsid w:val="0099750B"/>
    <w:rsid w:val="00997E32"/>
    <w:rsid w:val="009A0863"/>
    <w:rsid w:val="009A092C"/>
    <w:rsid w:val="009A11DC"/>
    <w:rsid w:val="009A261E"/>
    <w:rsid w:val="009A387E"/>
    <w:rsid w:val="009A5048"/>
    <w:rsid w:val="009A5B7F"/>
    <w:rsid w:val="009A7CE6"/>
    <w:rsid w:val="009A7D4E"/>
    <w:rsid w:val="009B2053"/>
    <w:rsid w:val="009B2179"/>
    <w:rsid w:val="009B3963"/>
    <w:rsid w:val="009B5CC9"/>
    <w:rsid w:val="009C2485"/>
    <w:rsid w:val="009C2B22"/>
    <w:rsid w:val="009C4804"/>
    <w:rsid w:val="009C480F"/>
    <w:rsid w:val="009C54D8"/>
    <w:rsid w:val="009C6524"/>
    <w:rsid w:val="009D0658"/>
    <w:rsid w:val="009D17B4"/>
    <w:rsid w:val="009D20BE"/>
    <w:rsid w:val="009D2BA9"/>
    <w:rsid w:val="009D3450"/>
    <w:rsid w:val="009D4109"/>
    <w:rsid w:val="009D58D9"/>
    <w:rsid w:val="009D69C2"/>
    <w:rsid w:val="009D7935"/>
    <w:rsid w:val="009E3333"/>
    <w:rsid w:val="009E3384"/>
    <w:rsid w:val="009E6028"/>
    <w:rsid w:val="009F1C97"/>
    <w:rsid w:val="009F24D9"/>
    <w:rsid w:val="009F3FE3"/>
    <w:rsid w:val="009F59EE"/>
    <w:rsid w:val="009F5CFC"/>
    <w:rsid w:val="009F5F4F"/>
    <w:rsid w:val="009F7A26"/>
    <w:rsid w:val="00A00C9C"/>
    <w:rsid w:val="00A00D78"/>
    <w:rsid w:val="00A01741"/>
    <w:rsid w:val="00A03442"/>
    <w:rsid w:val="00A051EA"/>
    <w:rsid w:val="00A05966"/>
    <w:rsid w:val="00A05FD1"/>
    <w:rsid w:val="00A06AE7"/>
    <w:rsid w:val="00A06D9E"/>
    <w:rsid w:val="00A07814"/>
    <w:rsid w:val="00A07907"/>
    <w:rsid w:val="00A11C11"/>
    <w:rsid w:val="00A1261F"/>
    <w:rsid w:val="00A14887"/>
    <w:rsid w:val="00A1645F"/>
    <w:rsid w:val="00A1757A"/>
    <w:rsid w:val="00A219F0"/>
    <w:rsid w:val="00A21C80"/>
    <w:rsid w:val="00A233CD"/>
    <w:rsid w:val="00A23E33"/>
    <w:rsid w:val="00A2668B"/>
    <w:rsid w:val="00A27CB3"/>
    <w:rsid w:val="00A27DD3"/>
    <w:rsid w:val="00A302A9"/>
    <w:rsid w:val="00A30D99"/>
    <w:rsid w:val="00A312C8"/>
    <w:rsid w:val="00A33BB2"/>
    <w:rsid w:val="00A34FB6"/>
    <w:rsid w:val="00A40497"/>
    <w:rsid w:val="00A4274B"/>
    <w:rsid w:val="00A4590F"/>
    <w:rsid w:val="00A45BF6"/>
    <w:rsid w:val="00A45E67"/>
    <w:rsid w:val="00A46562"/>
    <w:rsid w:val="00A46670"/>
    <w:rsid w:val="00A47020"/>
    <w:rsid w:val="00A47632"/>
    <w:rsid w:val="00A50716"/>
    <w:rsid w:val="00A57D5A"/>
    <w:rsid w:val="00A60CA3"/>
    <w:rsid w:val="00A613B7"/>
    <w:rsid w:val="00A618DC"/>
    <w:rsid w:val="00A621CF"/>
    <w:rsid w:val="00A622DD"/>
    <w:rsid w:val="00A7078C"/>
    <w:rsid w:val="00A72CF7"/>
    <w:rsid w:val="00A73861"/>
    <w:rsid w:val="00A75DF4"/>
    <w:rsid w:val="00A7622A"/>
    <w:rsid w:val="00A80CB4"/>
    <w:rsid w:val="00A82058"/>
    <w:rsid w:val="00A8574F"/>
    <w:rsid w:val="00A87183"/>
    <w:rsid w:val="00A872B7"/>
    <w:rsid w:val="00A9036E"/>
    <w:rsid w:val="00A90AD4"/>
    <w:rsid w:val="00A91613"/>
    <w:rsid w:val="00A91D93"/>
    <w:rsid w:val="00A92FA4"/>
    <w:rsid w:val="00A940D8"/>
    <w:rsid w:val="00A9475C"/>
    <w:rsid w:val="00A9508B"/>
    <w:rsid w:val="00A95264"/>
    <w:rsid w:val="00A95322"/>
    <w:rsid w:val="00A954AB"/>
    <w:rsid w:val="00A95C0B"/>
    <w:rsid w:val="00A95CE3"/>
    <w:rsid w:val="00AA0864"/>
    <w:rsid w:val="00AA3D95"/>
    <w:rsid w:val="00AA3FB3"/>
    <w:rsid w:val="00AA6BB0"/>
    <w:rsid w:val="00AB3CA1"/>
    <w:rsid w:val="00AB5148"/>
    <w:rsid w:val="00AB69AD"/>
    <w:rsid w:val="00AC0899"/>
    <w:rsid w:val="00AC3E7A"/>
    <w:rsid w:val="00AC6391"/>
    <w:rsid w:val="00AC7FC8"/>
    <w:rsid w:val="00AD1780"/>
    <w:rsid w:val="00AD47F2"/>
    <w:rsid w:val="00AD525E"/>
    <w:rsid w:val="00AD53B5"/>
    <w:rsid w:val="00AD5C99"/>
    <w:rsid w:val="00AD6E80"/>
    <w:rsid w:val="00AE1C3A"/>
    <w:rsid w:val="00AF35AF"/>
    <w:rsid w:val="00AF36B8"/>
    <w:rsid w:val="00AF4CE3"/>
    <w:rsid w:val="00AF4DAD"/>
    <w:rsid w:val="00AF64A2"/>
    <w:rsid w:val="00AF6549"/>
    <w:rsid w:val="00AF6848"/>
    <w:rsid w:val="00AF6858"/>
    <w:rsid w:val="00AF79E9"/>
    <w:rsid w:val="00B00F03"/>
    <w:rsid w:val="00B01135"/>
    <w:rsid w:val="00B02055"/>
    <w:rsid w:val="00B03046"/>
    <w:rsid w:val="00B04058"/>
    <w:rsid w:val="00B0410D"/>
    <w:rsid w:val="00B069D5"/>
    <w:rsid w:val="00B0705A"/>
    <w:rsid w:val="00B07B9C"/>
    <w:rsid w:val="00B1100E"/>
    <w:rsid w:val="00B114D9"/>
    <w:rsid w:val="00B139F8"/>
    <w:rsid w:val="00B14337"/>
    <w:rsid w:val="00B1553B"/>
    <w:rsid w:val="00B1641D"/>
    <w:rsid w:val="00B169A1"/>
    <w:rsid w:val="00B16F83"/>
    <w:rsid w:val="00B16F9D"/>
    <w:rsid w:val="00B21748"/>
    <w:rsid w:val="00B22ABA"/>
    <w:rsid w:val="00B22D89"/>
    <w:rsid w:val="00B23AAF"/>
    <w:rsid w:val="00B248B2"/>
    <w:rsid w:val="00B24F33"/>
    <w:rsid w:val="00B25703"/>
    <w:rsid w:val="00B30487"/>
    <w:rsid w:val="00B30752"/>
    <w:rsid w:val="00B33417"/>
    <w:rsid w:val="00B33B6E"/>
    <w:rsid w:val="00B33B91"/>
    <w:rsid w:val="00B364E3"/>
    <w:rsid w:val="00B43F04"/>
    <w:rsid w:val="00B43FCC"/>
    <w:rsid w:val="00B45F51"/>
    <w:rsid w:val="00B46535"/>
    <w:rsid w:val="00B465C4"/>
    <w:rsid w:val="00B50D10"/>
    <w:rsid w:val="00B51AB1"/>
    <w:rsid w:val="00B52E7E"/>
    <w:rsid w:val="00B550B3"/>
    <w:rsid w:val="00B62850"/>
    <w:rsid w:val="00B70722"/>
    <w:rsid w:val="00B70A4B"/>
    <w:rsid w:val="00B70CC7"/>
    <w:rsid w:val="00B71342"/>
    <w:rsid w:val="00B719CE"/>
    <w:rsid w:val="00B77766"/>
    <w:rsid w:val="00B77CC8"/>
    <w:rsid w:val="00B80245"/>
    <w:rsid w:val="00B81519"/>
    <w:rsid w:val="00B82234"/>
    <w:rsid w:val="00B82472"/>
    <w:rsid w:val="00B83ED8"/>
    <w:rsid w:val="00B8683D"/>
    <w:rsid w:val="00B87075"/>
    <w:rsid w:val="00B874BB"/>
    <w:rsid w:val="00B92E32"/>
    <w:rsid w:val="00B95999"/>
    <w:rsid w:val="00B96A3D"/>
    <w:rsid w:val="00B9794A"/>
    <w:rsid w:val="00B97A02"/>
    <w:rsid w:val="00B97B40"/>
    <w:rsid w:val="00BA0C9C"/>
    <w:rsid w:val="00BA2491"/>
    <w:rsid w:val="00BA4324"/>
    <w:rsid w:val="00BA617D"/>
    <w:rsid w:val="00BA6251"/>
    <w:rsid w:val="00BA6796"/>
    <w:rsid w:val="00BB6EC3"/>
    <w:rsid w:val="00BC5A17"/>
    <w:rsid w:val="00BC746F"/>
    <w:rsid w:val="00BD282D"/>
    <w:rsid w:val="00BD4C60"/>
    <w:rsid w:val="00BD591C"/>
    <w:rsid w:val="00BD662A"/>
    <w:rsid w:val="00BE23E4"/>
    <w:rsid w:val="00BE2401"/>
    <w:rsid w:val="00BE3E3E"/>
    <w:rsid w:val="00BE75DB"/>
    <w:rsid w:val="00BE75DC"/>
    <w:rsid w:val="00BF0762"/>
    <w:rsid w:val="00BF1EAB"/>
    <w:rsid w:val="00BF3184"/>
    <w:rsid w:val="00BF4389"/>
    <w:rsid w:val="00C00A50"/>
    <w:rsid w:val="00C00FC1"/>
    <w:rsid w:val="00C029AB"/>
    <w:rsid w:val="00C05352"/>
    <w:rsid w:val="00C06938"/>
    <w:rsid w:val="00C06EC5"/>
    <w:rsid w:val="00C075D3"/>
    <w:rsid w:val="00C07A07"/>
    <w:rsid w:val="00C10977"/>
    <w:rsid w:val="00C10B41"/>
    <w:rsid w:val="00C1215B"/>
    <w:rsid w:val="00C14400"/>
    <w:rsid w:val="00C15F38"/>
    <w:rsid w:val="00C2001A"/>
    <w:rsid w:val="00C21200"/>
    <w:rsid w:val="00C21DCE"/>
    <w:rsid w:val="00C21F8D"/>
    <w:rsid w:val="00C22BE3"/>
    <w:rsid w:val="00C23FDB"/>
    <w:rsid w:val="00C24954"/>
    <w:rsid w:val="00C25376"/>
    <w:rsid w:val="00C264B0"/>
    <w:rsid w:val="00C32008"/>
    <w:rsid w:val="00C35BE6"/>
    <w:rsid w:val="00C3790E"/>
    <w:rsid w:val="00C37BAD"/>
    <w:rsid w:val="00C37CE7"/>
    <w:rsid w:val="00C4036F"/>
    <w:rsid w:val="00C40E29"/>
    <w:rsid w:val="00C4232B"/>
    <w:rsid w:val="00C45071"/>
    <w:rsid w:val="00C45656"/>
    <w:rsid w:val="00C462C0"/>
    <w:rsid w:val="00C50E4E"/>
    <w:rsid w:val="00C534BF"/>
    <w:rsid w:val="00C545B3"/>
    <w:rsid w:val="00C54973"/>
    <w:rsid w:val="00C66264"/>
    <w:rsid w:val="00C66E8F"/>
    <w:rsid w:val="00C703FA"/>
    <w:rsid w:val="00C73D37"/>
    <w:rsid w:val="00C748E0"/>
    <w:rsid w:val="00C7583A"/>
    <w:rsid w:val="00C800F9"/>
    <w:rsid w:val="00C84A24"/>
    <w:rsid w:val="00C8656D"/>
    <w:rsid w:val="00C86D65"/>
    <w:rsid w:val="00C86F04"/>
    <w:rsid w:val="00C873DB"/>
    <w:rsid w:val="00C8778F"/>
    <w:rsid w:val="00C878B8"/>
    <w:rsid w:val="00C92D3E"/>
    <w:rsid w:val="00C9386C"/>
    <w:rsid w:val="00CA07B8"/>
    <w:rsid w:val="00CA0FA3"/>
    <w:rsid w:val="00CA1C12"/>
    <w:rsid w:val="00CA2998"/>
    <w:rsid w:val="00CA615F"/>
    <w:rsid w:val="00CB0768"/>
    <w:rsid w:val="00CB12E9"/>
    <w:rsid w:val="00CB2C3C"/>
    <w:rsid w:val="00CB5852"/>
    <w:rsid w:val="00CB592E"/>
    <w:rsid w:val="00CB65F1"/>
    <w:rsid w:val="00CC22AF"/>
    <w:rsid w:val="00CC394E"/>
    <w:rsid w:val="00CC4CEE"/>
    <w:rsid w:val="00CC63BE"/>
    <w:rsid w:val="00CC6FED"/>
    <w:rsid w:val="00CC7110"/>
    <w:rsid w:val="00CC7EC3"/>
    <w:rsid w:val="00CD23E6"/>
    <w:rsid w:val="00CD3910"/>
    <w:rsid w:val="00CD59E3"/>
    <w:rsid w:val="00CD5B2E"/>
    <w:rsid w:val="00CD5FB9"/>
    <w:rsid w:val="00CD6F4A"/>
    <w:rsid w:val="00CE2DF5"/>
    <w:rsid w:val="00CF2B60"/>
    <w:rsid w:val="00CF31B8"/>
    <w:rsid w:val="00CF4EE6"/>
    <w:rsid w:val="00CF7081"/>
    <w:rsid w:val="00D02F1A"/>
    <w:rsid w:val="00D03217"/>
    <w:rsid w:val="00D03F98"/>
    <w:rsid w:val="00D05499"/>
    <w:rsid w:val="00D0650E"/>
    <w:rsid w:val="00D122E8"/>
    <w:rsid w:val="00D146F7"/>
    <w:rsid w:val="00D152D8"/>
    <w:rsid w:val="00D17268"/>
    <w:rsid w:val="00D207BF"/>
    <w:rsid w:val="00D244DC"/>
    <w:rsid w:val="00D27558"/>
    <w:rsid w:val="00D304E2"/>
    <w:rsid w:val="00D327F0"/>
    <w:rsid w:val="00D33991"/>
    <w:rsid w:val="00D3718B"/>
    <w:rsid w:val="00D439EB"/>
    <w:rsid w:val="00D444B3"/>
    <w:rsid w:val="00D462A6"/>
    <w:rsid w:val="00D46BEF"/>
    <w:rsid w:val="00D476BE"/>
    <w:rsid w:val="00D50ED1"/>
    <w:rsid w:val="00D54193"/>
    <w:rsid w:val="00D574C3"/>
    <w:rsid w:val="00D57840"/>
    <w:rsid w:val="00D6082E"/>
    <w:rsid w:val="00D65744"/>
    <w:rsid w:val="00D67CCB"/>
    <w:rsid w:val="00D712D3"/>
    <w:rsid w:val="00D77A9D"/>
    <w:rsid w:val="00D837F8"/>
    <w:rsid w:val="00D8538D"/>
    <w:rsid w:val="00D85D64"/>
    <w:rsid w:val="00D91C70"/>
    <w:rsid w:val="00D92B6D"/>
    <w:rsid w:val="00D969A4"/>
    <w:rsid w:val="00DA0448"/>
    <w:rsid w:val="00DA11A3"/>
    <w:rsid w:val="00DA282C"/>
    <w:rsid w:val="00DA3038"/>
    <w:rsid w:val="00DA3BDE"/>
    <w:rsid w:val="00DA65BF"/>
    <w:rsid w:val="00DA76A2"/>
    <w:rsid w:val="00DB4B4B"/>
    <w:rsid w:val="00DB50BC"/>
    <w:rsid w:val="00DB56CE"/>
    <w:rsid w:val="00DB5707"/>
    <w:rsid w:val="00DB5F29"/>
    <w:rsid w:val="00DB7011"/>
    <w:rsid w:val="00DB768C"/>
    <w:rsid w:val="00DC1747"/>
    <w:rsid w:val="00DC2886"/>
    <w:rsid w:val="00DC3E05"/>
    <w:rsid w:val="00DC648A"/>
    <w:rsid w:val="00DC6BCA"/>
    <w:rsid w:val="00DC7FCC"/>
    <w:rsid w:val="00DD0123"/>
    <w:rsid w:val="00DD17F0"/>
    <w:rsid w:val="00DD2FF6"/>
    <w:rsid w:val="00DD3FD8"/>
    <w:rsid w:val="00DD6250"/>
    <w:rsid w:val="00DE3D4B"/>
    <w:rsid w:val="00DE5004"/>
    <w:rsid w:val="00DF59E0"/>
    <w:rsid w:val="00DF5CF0"/>
    <w:rsid w:val="00E00AA6"/>
    <w:rsid w:val="00E01B68"/>
    <w:rsid w:val="00E01E73"/>
    <w:rsid w:val="00E03890"/>
    <w:rsid w:val="00E03EDB"/>
    <w:rsid w:val="00E04682"/>
    <w:rsid w:val="00E05C93"/>
    <w:rsid w:val="00E101FE"/>
    <w:rsid w:val="00E10AE5"/>
    <w:rsid w:val="00E14B5B"/>
    <w:rsid w:val="00E15081"/>
    <w:rsid w:val="00E16ED8"/>
    <w:rsid w:val="00E20022"/>
    <w:rsid w:val="00E21134"/>
    <w:rsid w:val="00E22298"/>
    <w:rsid w:val="00E24350"/>
    <w:rsid w:val="00E2437A"/>
    <w:rsid w:val="00E31F9B"/>
    <w:rsid w:val="00E328D1"/>
    <w:rsid w:val="00E336AF"/>
    <w:rsid w:val="00E40451"/>
    <w:rsid w:val="00E4072C"/>
    <w:rsid w:val="00E4076A"/>
    <w:rsid w:val="00E40B4D"/>
    <w:rsid w:val="00E420CB"/>
    <w:rsid w:val="00E44F82"/>
    <w:rsid w:val="00E52644"/>
    <w:rsid w:val="00E536B1"/>
    <w:rsid w:val="00E55D52"/>
    <w:rsid w:val="00E61020"/>
    <w:rsid w:val="00E62E6F"/>
    <w:rsid w:val="00E70C27"/>
    <w:rsid w:val="00E719CB"/>
    <w:rsid w:val="00E723C2"/>
    <w:rsid w:val="00E72C00"/>
    <w:rsid w:val="00E7516C"/>
    <w:rsid w:val="00E76C83"/>
    <w:rsid w:val="00E76EE4"/>
    <w:rsid w:val="00E8158E"/>
    <w:rsid w:val="00E82A82"/>
    <w:rsid w:val="00E85925"/>
    <w:rsid w:val="00E860CD"/>
    <w:rsid w:val="00E95510"/>
    <w:rsid w:val="00EA44E4"/>
    <w:rsid w:val="00EA55A3"/>
    <w:rsid w:val="00EA6184"/>
    <w:rsid w:val="00EA68D4"/>
    <w:rsid w:val="00EB26D8"/>
    <w:rsid w:val="00EB5368"/>
    <w:rsid w:val="00EB5812"/>
    <w:rsid w:val="00EB5B33"/>
    <w:rsid w:val="00EB676D"/>
    <w:rsid w:val="00EB7527"/>
    <w:rsid w:val="00EC316F"/>
    <w:rsid w:val="00EC64D1"/>
    <w:rsid w:val="00EC6F23"/>
    <w:rsid w:val="00EC75EF"/>
    <w:rsid w:val="00ED2A46"/>
    <w:rsid w:val="00ED49F1"/>
    <w:rsid w:val="00ED6188"/>
    <w:rsid w:val="00EE0864"/>
    <w:rsid w:val="00EE0EFC"/>
    <w:rsid w:val="00EE14E3"/>
    <w:rsid w:val="00EE470E"/>
    <w:rsid w:val="00EF0CDD"/>
    <w:rsid w:val="00EF4771"/>
    <w:rsid w:val="00EF495C"/>
    <w:rsid w:val="00EF6268"/>
    <w:rsid w:val="00EF7BFF"/>
    <w:rsid w:val="00F02A6B"/>
    <w:rsid w:val="00F06635"/>
    <w:rsid w:val="00F15692"/>
    <w:rsid w:val="00F174D1"/>
    <w:rsid w:val="00F1764D"/>
    <w:rsid w:val="00F17B08"/>
    <w:rsid w:val="00F214EE"/>
    <w:rsid w:val="00F23AF8"/>
    <w:rsid w:val="00F247D8"/>
    <w:rsid w:val="00F24A86"/>
    <w:rsid w:val="00F24F0D"/>
    <w:rsid w:val="00F24FD1"/>
    <w:rsid w:val="00F26CCF"/>
    <w:rsid w:val="00F315E8"/>
    <w:rsid w:val="00F3238D"/>
    <w:rsid w:val="00F3384B"/>
    <w:rsid w:val="00F33FAC"/>
    <w:rsid w:val="00F37F0B"/>
    <w:rsid w:val="00F420A1"/>
    <w:rsid w:val="00F437FD"/>
    <w:rsid w:val="00F454F5"/>
    <w:rsid w:val="00F53619"/>
    <w:rsid w:val="00F53737"/>
    <w:rsid w:val="00F570B2"/>
    <w:rsid w:val="00F572EE"/>
    <w:rsid w:val="00F57EEE"/>
    <w:rsid w:val="00F606CC"/>
    <w:rsid w:val="00F61101"/>
    <w:rsid w:val="00F61DFE"/>
    <w:rsid w:val="00F64A34"/>
    <w:rsid w:val="00F65153"/>
    <w:rsid w:val="00F65CCC"/>
    <w:rsid w:val="00F70FE3"/>
    <w:rsid w:val="00F744E5"/>
    <w:rsid w:val="00F74A47"/>
    <w:rsid w:val="00F75D02"/>
    <w:rsid w:val="00F80111"/>
    <w:rsid w:val="00F80D91"/>
    <w:rsid w:val="00F81D65"/>
    <w:rsid w:val="00F8626C"/>
    <w:rsid w:val="00F86781"/>
    <w:rsid w:val="00F874F2"/>
    <w:rsid w:val="00F91A16"/>
    <w:rsid w:val="00F92DBF"/>
    <w:rsid w:val="00FA4148"/>
    <w:rsid w:val="00FA676F"/>
    <w:rsid w:val="00FB1198"/>
    <w:rsid w:val="00FB3799"/>
    <w:rsid w:val="00FB493C"/>
    <w:rsid w:val="00FB7E30"/>
    <w:rsid w:val="00FC0242"/>
    <w:rsid w:val="00FC2597"/>
    <w:rsid w:val="00FC2A1A"/>
    <w:rsid w:val="00FC5316"/>
    <w:rsid w:val="00FC5B5D"/>
    <w:rsid w:val="00FC6291"/>
    <w:rsid w:val="00FD74D7"/>
    <w:rsid w:val="00FE0372"/>
    <w:rsid w:val="00FE0F82"/>
    <w:rsid w:val="00FE2310"/>
    <w:rsid w:val="00FE2568"/>
    <w:rsid w:val="00FE2D22"/>
    <w:rsid w:val="00FE3450"/>
    <w:rsid w:val="00FE46C8"/>
    <w:rsid w:val="00FE4A0A"/>
    <w:rsid w:val="00FE533A"/>
    <w:rsid w:val="00FE585D"/>
    <w:rsid w:val="00FE7368"/>
    <w:rsid w:val="00FF0A26"/>
    <w:rsid w:val="00FF1FEC"/>
    <w:rsid w:val="00FF3214"/>
    <w:rsid w:val="00FF462D"/>
    <w:rsid w:val="00FF4C91"/>
    <w:rsid w:val="00FF7DA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472D0B"/>
    <w:pPr>
      <w:spacing w:after="360" w:line="360" w:lineRule="auto"/>
    </w:pPr>
    <w:rPr>
      <w:rFonts w:ascii="Times New Roman" w:hAnsi="Times New Roman"/>
      <w:lang w:val="nl-NL"/>
    </w:rPr>
  </w:style>
  <w:style w:type="paragraph" w:styleId="Heading1">
    <w:name w:val="heading 1"/>
    <w:basedOn w:val="Normal"/>
    <w:next w:val="Normal"/>
    <w:link w:val="Heading1Char"/>
    <w:uiPriority w:val="99"/>
    <w:qFormat/>
    <w:rsid w:val="0035360E"/>
    <w:pPr>
      <w:keepNext/>
      <w:keepLines/>
      <w:spacing w:before="560"/>
      <w:outlineLvl w:val="0"/>
    </w:pPr>
    <w:rPr>
      <w:rFonts w:eastAsia="Times New Roman"/>
      <w:b/>
      <w:bCs/>
      <w:sz w:val="28"/>
      <w:szCs w:val="28"/>
    </w:rPr>
  </w:style>
  <w:style w:type="paragraph" w:styleId="Heading2">
    <w:name w:val="heading 2"/>
    <w:basedOn w:val="Normal"/>
    <w:next w:val="Normal"/>
    <w:link w:val="Heading2Char"/>
    <w:uiPriority w:val="99"/>
    <w:qFormat/>
    <w:rsid w:val="00472D0B"/>
    <w:pPr>
      <w:keepNext/>
      <w:keepLines/>
      <w:outlineLvl w:val="1"/>
    </w:pPr>
    <w:rPr>
      <w:rFonts w:eastAsia="Times New Roman"/>
      <w:b/>
      <w:bCs/>
      <w:sz w:val="24"/>
      <w:szCs w:val="26"/>
    </w:rPr>
  </w:style>
  <w:style w:type="paragraph" w:styleId="Heading3">
    <w:name w:val="heading 3"/>
    <w:basedOn w:val="Normal"/>
    <w:next w:val="Normal"/>
    <w:link w:val="Heading3Char"/>
    <w:uiPriority w:val="99"/>
    <w:qFormat/>
    <w:rsid w:val="00472D0B"/>
    <w:pPr>
      <w:keepNext/>
      <w:keepLines/>
      <w:outlineLvl w:val="2"/>
    </w:pPr>
    <w:rPr>
      <w:rFonts w:eastAsia="Times New Roman"/>
      <w:b/>
      <w:bCs/>
    </w:rPr>
  </w:style>
  <w:style w:type="paragraph" w:styleId="Heading4">
    <w:name w:val="heading 4"/>
    <w:basedOn w:val="Normal"/>
    <w:next w:val="Normal"/>
    <w:link w:val="Heading4Char"/>
    <w:uiPriority w:val="99"/>
    <w:qFormat/>
    <w:rsid w:val="00472D0B"/>
    <w:pPr>
      <w:keepNext/>
      <w:keepLines/>
      <w:outlineLvl w:val="3"/>
    </w:pPr>
    <w:rPr>
      <w:rFonts w:eastAsia="Times New Roman"/>
      <w:b/>
      <w:bCs/>
      <w:i/>
      <w:i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5360E"/>
    <w:rPr>
      <w:rFonts w:ascii="Times New Roman" w:hAnsi="Times New Roman" w:cs="Times New Roman"/>
      <w:b/>
      <w:bCs/>
      <w:sz w:val="28"/>
      <w:szCs w:val="28"/>
    </w:rPr>
  </w:style>
  <w:style w:type="character" w:customStyle="1" w:styleId="Heading2Char">
    <w:name w:val="Heading 2 Char"/>
    <w:basedOn w:val="DefaultParagraphFont"/>
    <w:link w:val="Heading2"/>
    <w:uiPriority w:val="99"/>
    <w:locked/>
    <w:rsid w:val="00472D0B"/>
    <w:rPr>
      <w:rFonts w:ascii="Times New Roman" w:hAnsi="Times New Roman" w:cs="Times New Roman"/>
      <w:b/>
      <w:bCs/>
      <w:sz w:val="26"/>
      <w:szCs w:val="26"/>
    </w:rPr>
  </w:style>
  <w:style w:type="character" w:customStyle="1" w:styleId="Heading3Char">
    <w:name w:val="Heading 3 Char"/>
    <w:basedOn w:val="DefaultParagraphFont"/>
    <w:link w:val="Heading3"/>
    <w:uiPriority w:val="99"/>
    <w:locked/>
    <w:rsid w:val="00472D0B"/>
    <w:rPr>
      <w:rFonts w:ascii="Times New Roman" w:hAnsi="Times New Roman" w:cs="Times New Roman"/>
      <w:b/>
      <w:bCs/>
    </w:rPr>
  </w:style>
  <w:style w:type="character" w:customStyle="1" w:styleId="Heading4Char">
    <w:name w:val="Heading 4 Char"/>
    <w:basedOn w:val="DefaultParagraphFont"/>
    <w:link w:val="Heading4"/>
    <w:uiPriority w:val="99"/>
    <w:locked/>
    <w:rsid w:val="00472D0B"/>
    <w:rPr>
      <w:rFonts w:ascii="Times New Roman" w:hAnsi="Times New Roman" w:cs="Times New Roman"/>
      <w:b/>
      <w:bCs/>
      <w:i/>
      <w:iCs/>
    </w:rPr>
  </w:style>
  <w:style w:type="paragraph" w:styleId="FootnoteText">
    <w:name w:val="footnote text"/>
    <w:basedOn w:val="Normal"/>
    <w:link w:val="FootnoteTextChar"/>
    <w:uiPriority w:val="99"/>
    <w:rsid w:val="00150D74"/>
    <w:pPr>
      <w:spacing w:after="0" w:line="240" w:lineRule="auto"/>
    </w:pPr>
    <w:rPr>
      <w:sz w:val="20"/>
      <w:szCs w:val="20"/>
    </w:rPr>
  </w:style>
  <w:style w:type="character" w:customStyle="1" w:styleId="FootnoteTextChar">
    <w:name w:val="Footnote Text Char"/>
    <w:basedOn w:val="DefaultParagraphFont"/>
    <w:link w:val="FootnoteText"/>
    <w:uiPriority w:val="99"/>
    <w:locked/>
    <w:rsid w:val="00150D74"/>
    <w:rPr>
      <w:rFonts w:cs="Times New Roman"/>
      <w:sz w:val="20"/>
      <w:szCs w:val="20"/>
    </w:rPr>
  </w:style>
  <w:style w:type="character" w:styleId="FootnoteReference">
    <w:name w:val="footnote reference"/>
    <w:basedOn w:val="DefaultParagraphFont"/>
    <w:uiPriority w:val="99"/>
    <w:semiHidden/>
    <w:rsid w:val="00150D74"/>
    <w:rPr>
      <w:rFonts w:cs="Times New Roman"/>
      <w:vertAlign w:val="superscript"/>
    </w:rPr>
  </w:style>
  <w:style w:type="paragraph" w:styleId="ListParagraph">
    <w:name w:val="List Paragraph"/>
    <w:basedOn w:val="Normal"/>
    <w:uiPriority w:val="99"/>
    <w:qFormat/>
    <w:rsid w:val="006A4968"/>
    <w:pPr>
      <w:ind w:left="720"/>
      <w:contextualSpacing/>
    </w:pPr>
  </w:style>
  <w:style w:type="character" w:styleId="Strong">
    <w:name w:val="Strong"/>
    <w:basedOn w:val="DefaultParagraphFont"/>
    <w:uiPriority w:val="99"/>
    <w:qFormat/>
    <w:rsid w:val="00ED2A46"/>
    <w:rPr>
      <w:rFonts w:cs="Times New Roman"/>
      <w:b/>
      <w:bCs/>
    </w:rPr>
  </w:style>
  <w:style w:type="character" w:styleId="Emphasis">
    <w:name w:val="Emphasis"/>
    <w:basedOn w:val="DefaultParagraphFont"/>
    <w:uiPriority w:val="99"/>
    <w:qFormat/>
    <w:rsid w:val="00ED2A46"/>
    <w:rPr>
      <w:rFonts w:cs="Times New Roman"/>
      <w:i/>
      <w:iCs/>
    </w:rPr>
  </w:style>
  <w:style w:type="paragraph" w:styleId="Subtitle">
    <w:name w:val="Subtitle"/>
    <w:aliases w:val="Quote1,Citaat"/>
    <w:basedOn w:val="Normal"/>
    <w:next w:val="Normal"/>
    <w:link w:val="SubtitleChar"/>
    <w:uiPriority w:val="99"/>
    <w:qFormat/>
    <w:rsid w:val="00472D0B"/>
    <w:pPr>
      <w:numPr>
        <w:ilvl w:val="1"/>
      </w:numPr>
    </w:pPr>
    <w:rPr>
      <w:rFonts w:eastAsia="Times New Roman"/>
      <w:i/>
      <w:iCs/>
      <w:szCs w:val="24"/>
    </w:rPr>
  </w:style>
  <w:style w:type="character" w:customStyle="1" w:styleId="SubtitleChar">
    <w:name w:val="Subtitle Char"/>
    <w:aliases w:val="Quote1 Char,Citaat Char"/>
    <w:basedOn w:val="DefaultParagraphFont"/>
    <w:link w:val="Subtitle"/>
    <w:uiPriority w:val="99"/>
    <w:locked/>
    <w:rsid w:val="00472D0B"/>
    <w:rPr>
      <w:rFonts w:ascii="Times New Roman" w:hAnsi="Times New Roman" w:cs="Times New Roman"/>
      <w:i/>
      <w:iCs/>
      <w:sz w:val="24"/>
      <w:szCs w:val="24"/>
    </w:rPr>
  </w:style>
  <w:style w:type="character" w:customStyle="1" w:styleId="hit">
    <w:name w:val="hit"/>
    <w:basedOn w:val="DefaultParagraphFont"/>
    <w:uiPriority w:val="99"/>
    <w:rsid w:val="00844EB1"/>
    <w:rPr>
      <w:rFonts w:cs="Times New Roman"/>
    </w:rPr>
  </w:style>
  <w:style w:type="character" w:styleId="SubtleEmphasis">
    <w:name w:val="Subtle Emphasis"/>
    <w:basedOn w:val="DefaultParagraphFont"/>
    <w:uiPriority w:val="99"/>
    <w:qFormat/>
    <w:rsid w:val="009F3FE3"/>
    <w:rPr>
      <w:rFonts w:cs="Times New Roman"/>
      <w:i/>
      <w:iCs/>
      <w:color w:val="808080"/>
    </w:rPr>
  </w:style>
  <w:style w:type="character" w:styleId="Hyperlink">
    <w:name w:val="Hyperlink"/>
    <w:basedOn w:val="DefaultParagraphFont"/>
    <w:uiPriority w:val="99"/>
    <w:rsid w:val="00725FF1"/>
    <w:rPr>
      <w:rFonts w:cs="Times New Roman"/>
      <w:color w:val="183470"/>
      <w:u w:val="single"/>
    </w:rPr>
  </w:style>
  <w:style w:type="character" w:customStyle="1" w:styleId="nadrukb">
    <w:name w:val="nadrukb"/>
    <w:basedOn w:val="DefaultParagraphFont"/>
    <w:uiPriority w:val="99"/>
    <w:rsid w:val="002D599B"/>
    <w:rPr>
      <w:rFonts w:cs="Times New Roman"/>
      <w:i/>
      <w:iCs/>
    </w:rPr>
  </w:style>
  <w:style w:type="character" w:customStyle="1" w:styleId="highlight1">
    <w:name w:val="highlight1"/>
    <w:basedOn w:val="DefaultParagraphFont"/>
    <w:uiPriority w:val="99"/>
    <w:rsid w:val="002D599B"/>
    <w:rPr>
      <w:rFonts w:cs="Times New Roman"/>
    </w:rPr>
  </w:style>
  <w:style w:type="character" w:customStyle="1" w:styleId="pubkopko">
    <w:name w:val="pubkop_ko"/>
    <w:basedOn w:val="DefaultParagraphFont"/>
    <w:uiPriority w:val="99"/>
    <w:rsid w:val="00C878B8"/>
    <w:rPr>
      <w:rFonts w:cs="Times New Roman"/>
    </w:rPr>
  </w:style>
  <w:style w:type="character" w:customStyle="1" w:styleId="voetnootnr">
    <w:name w:val="voetnootnr"/>
    <w:basedOn w:val="DefaultParagraphFont"/>
    <w:uiPriority w:val="99"/>
    <w:rsid w:val="00B8683D"/>
    <w:rPr>
      <w:rFonts w:cs="Times New Roman"/>
    </w:rPr>
  </w:style>
  <w:style w:type="paragraph" w:styleId="Header">
    <w:name w:val="header"/>
    <w:basedOn w:val="Normal"/>
    <w:link w:val="HeaderChar"/>
    <w:uiPriority w:val="99"/>
    <w:semiHidden/>
    <w:rsid w:val="00BE75D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BE75DC"/>
    <w:rPr>
      <w:rFonts w:ascii="Times New Roman" w:hAnsi="Times New Roman" w:cs="Times New Roman"/>
    </w:rPr>
  </w:style>
  <w:style w:type="paragraph" w:styleId="Footer">
    <w:name w:val="footer"/>
    <w:basedOn w:val="Normal"/>
    <w:link w:val="FooterChar"/>
    <w:uiPriority w:val="99"/>
    <w:rsid w:val="00BE75DC"/>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BE75DC"/>
    <w:rPr>
      <w:rFonts w:ascii="Times New Roman" w:hAnsi="Times New Roman" w:cs="Times New Roman"/>
    </w:rPr>
  </w:style>
  <w:style w:type="paragraph" w:styleId="BalloonText">
    <w:name w:val="Balloon Text"/>
    <w:basedOn w:val="Normal"/>
    <w:link w:val="BalloonTextChar"/>
    <w:uiPriority w:val="99"/>
    <w:semiHidden/>
    <w:rsid w:val="00B43F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3FCC"/>
    <w:rPr>
      <w:rFonts w:ascii="Tahoma" w:hAnsi="Tahoma" w:cs="Tahoma"/>
      <w:sz w:val="16"/>
      <w:szCs w:val="16"/>
    </w:rPr>
  </w:style>
  <w:style w:type="paragraph" w:customStyle="1" w:styleId="zPrintAdres">
    <w:name w:val="z_PrintAdres"/>
    <w:basedOn w:val="Normal"/>
    <w:uiPriority w:val="99"/>
    <w:rsid w:val="001323DE"/>
    <w:pPr>
      <w:framePr w:hSpace="181" w:vSpace="181" w:wrap="around" w:vAnchor="page" w:hAnchor="page" w:x="1419" w:y="455"/>
      <w:tabs>
        <w:tab w:val="left" w:pos="4820"/>
      </w:tabs>
      <w:spacing w:after="0" w:line="160" w:lineRule="atLeast"/>
    </w:pPr>
    <w:rPr>
      <w:rFonts w:ascii="Myriad Roman" w:eastAsia="Times New Roman" w:hAnsi="Myriad Roman"/>
      <w:noProof/>
      <w:sz w:val="15"/>
      <w:szCs w:val="20"/>
    </w:rPr>
  </w:style>
  <w:style w:type="paragraph" w:customStyle="1" w:styleId="zPrintHeader">
    <w:name w:val="z_PrintHeader"/>
    <w:basedOn w:val="Normal"/>
    <w:uiPriority w:val="99"/>
    <w:rsid w:val="001323DE"/>
    <w:pPr>
      <w:spacing w:after="0" w:line="240" w:lineRule="auto"/>
    </w:pPr>
    <w:rPr>
      <w:rFonts w:eastAsia="Times New Roman"/>
      <w:b/>
      <w:noProof/>
      <w:sz w:val="28"/>
      <w:szCs w:val="28"/>
    </w:rPr>
  </w:style>
  <w:style w:type="paragraph" w:styleId="TOCHeading">
    <w:name w:val="TOC Heading"/>
    <w:basedOn w:val="Heading1"/>
    <w:next w:val="Normal"/>
    <w:uiPriority w:val="99"/>
    <w:qFormat/>
    <w:rsid w:val="00010276"/>
    <w:pPr>
      <w:spacing w:before="480" w:after="0" w:line="276" w:lineRule="auto"/>
      <w:outlineLvl w:val="9"/>
    </w:pPr>
    <w:rPr>
      <w:rFonts w:ascii="Cambria" w:hAnsi="Cambria"/>
      <w:color w:val="365F91"/>
      <w:lang w:val="en-US"/>
    </w:rPr>
  </w:style>
  <w:style w:type="paragraph" w:styleId="TOC2">
    <w:name w:val="toc 2"/>
    <w:basedOn w:val="Normal"/>
    <w:next w:val="Normal"/>
    <w:autoRedefine/>
    <w:uiPriority w:val="99"/>
    <w:rsid w:val="00C7583A"/>
    <w:pPr>
      <w:tabs>
        <w:tab w:val="right" w:leader="dot" w:pos="9016"/>
      </w:tabs>
      <w:spacing w:before="360" w:line="276" w:lineRule="auto"/>
      <w:ind w:left="221"/>
    </w:pPr>
    <w:rPr>
      <w:rFonts w:eastAsia="Times New Roman"/>
      <w:sz w:val="24"/>
      <w:lang w:val="en-US"/>
    </w:rPr>
  </w:style>
  <w:style w:type="paragraph" w:styleId="TOC1">
    <w:name w:val="toc 1"/>
    <w:basedOn w:val="Normal"/>
    <w:next w:val="Normal"/>
    <w:autoRedefine/>
    <w:uiPriority w:val="99"/>
    <w:rsid w:val="00CB5852"/>
    <w:pPr>
      <w:tabs>
        <w:tab w:val="right" w:leader="dot" w:pos="9016"/>
      </w:tabs>
      <w:spacing w:before="720" w:after="720"/>
    </w:pPr>
    <w:rPr>
      <w:rFonts w:eastAsia="Times New Roman"/>
      <w:b/>
      <w:noProof/>
      <w:sz w:val="28"/>
    </w:rPr>
  </w:style>
  <w:style w:type="paragraph" w:styleId="TOC3">
    <w:name w:val="toc 3"/>
    <w:basedOn w:val="Normal"/>
    <w:next w:val="Normal"/>
    <w:autoRedefine/>
    <w:uiPriority w:val="99"/>
    <w:rsid w:val="0005250F"/>
    <w:pPr>
      <w:tabs>
        <w:tab w:val="right" w:leader="dot" w:pos="9016"/>
      </w:tabs>
      <w:ind w:left="442"/>
    </w:pPr>
    <w:rPr>
      <w:rFonts w:eastAsia="Times New Roman"/>
      <w:lang w:val="en-US"/>
    </w:rPr>
  </w:style>
  <w:style w:type="paragraph" w:styleId="TOC4">
    <w:name w:val="toc 4"/>
    <w:basedOn w:val="Normal"/>
    <w:next w:val="Normal"/>
    <w:autoRedefine/>
    <w:uiPriority w:val="99"/>
    <w:rsid w:val="00010276"/>
    <w:pPr>
      <w:spacing w:after="100"/>
      <w:ind w:left="660"/>
    </w:pPr>
  </w:style>
</w:styles>
</file>

<file path=word/webSettings.xml><?xml version="1.0" encoding="utf-8"?>
<w:webSettings xmlns:r="http://schemas.openxmlformats.org/officeDocument/2006/relationships" xmlns:w="http://schemas.openxmlformats.org/wordprocessingml/2006/main">
  <w:divs>
    <w:div w:id="1781071928">
      <w:marLeft w:val="0"/>
      <w:marRight w:val="0"/>
      <w:marTop w:val="0"/>
      <w:marBottom w:val="0"/>
      <w:divBdr>
        <w:top w:val="none" w:sz="0" w:space="0" w:color="auto"/>
        <w:left w:val="none" w:sz="0" w:space="0" w:color="auto"/>
        <w:bottom w:val="none" w:sz="0" w:space="0" w:color="auto"/>
        <w:right w:val="none" w:sz="0" w:space="0" w:color="auto"/>
      </w:divBdr>
      <w:divsChild>
        <w:div w:id="1781071951">
          <w:marLeft w:val="0"/>
          <w:marRight w:val="0"/>
          <w:marTop w:val="0"/>
          <w:marBottom w:val="0"/>
          <w:divBdr>
            <w:top w:val="none" w:sz="0" w:space="0" w:color="auto"/>
            <w:left w:val="none" w:sz="0" w:space="0" w:color="auto"/>
            <w:bottom w:val="none" w:sz="0" w:space="0" w:color="auto"/>
            <w:right w:val="none" w:sz="0" w:space="0" w:color="auto"/>
          </w:divBdr>
          <w:divsChild>
            <w:div w:id="1781071924">
              <w:marLeft w:val="0"/>
              <w:marRight w:val="0"/>
              <w:marTop w:val="0"/>
              <w:marBottom w:val="0"/>
              <w:divBdr>
                <w:top w:val="none" w:sz="0" w:space="0" w:color="auto"/>
                <w:left w:val="none" w:sz="0" w:space="0" w:color="auto"/>
                <w:bottom w:val="none" w:sz="0" w:space="0" w:color="auto"/>
                <w:right w:val="none" w:sz="0" w:space="0" w:color="auto"/>
              </w:divBdr>
            </w:div>
            <w:div w:id="1781071952">
              <w:marLeft w:val="0"/>
              <w:marRight w:val="0"/>
              <w:marTop w:val="0"/>
              <w:marBottom w:val="0"/>
              <w:divBdr>
                <w:top w:val="none" w:sz="0" w:space="0" w:color="auto"/>
                <w:left w:val="none" w:sz="0" w:space="0" w:color="auto"/>
                <w:bottom w:val="none" w:sz="0" w:space="0" w:color="auto"/>
                <w:right w:val="none" w:sz="0" w:space="0" w:color="auto"/>
              </w:divBdr>
            </w:div>
            <w:div w:id="17810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1931">
      <w:marLeft w:val="0"/>
      <w:marRight w:val="0"/>
      <w:marTop w:val="0"/>
      <w:marBottom w:val="0"/>
      <w:divBdr>
        <w:top w:val="none" w:sz="0" w:space="0" w:color="auto"/>
        <w:left w:val="none" w:sz="0" w:space="0" w:color="auto"/>
        <w:bottom w:val="none" w:sz="0" w:space="0" w:color="auto"/>
        <w:right w:val="none" w:sz="0" w:space="0" w:color="auto"/>
      </w:divBdr>
      <w:divsChild>
        <w:div w:id="1781071929">
          <w:marLeft w:val="0"/>
          <w:marRight w:val="0"/>
          <w:marTop w:val="0"/>
          <w:marBottom w:val="0"/>
          <w:divBdr>
            <w:top w:val="none" w:sz="0" w:space="0" w:color="auto"/>
            <w:left w:val="none" w:sz="0" w:space="0" w:color="auto"/>
            <w:bottom w:val="none" w:sz="0" w:space="0" w:color="auto"/>
            <w:right w:val="none" w:sz="0" w:space="0" w:color="auto"/>
          </w:divBdr>
          <w:divsChild>
            <w:div w:id="1781071927">
              <w:marLeft w:val="0"/>
              <w:marRight w:val="0"/>
              <w:marTop w:val="0"/>
              <w:marBottom w:val="0"/>
              <w:divBdr>
                <w:top w:val="none" w:sz="0" w:space="0" w:color="auto"/>
                <w:left w:val="none" w:sz="0" w:space="0" w:color="auto"/>
                <w:bottom w:val="none" w:sz="0" w:space="0" w:color="auto"/>
                <w:right w:val="none" w:sz="0" w:space="0" w:color="auto"/>
              </w:divBdr>
            </w:div>
            <w:div w:id="1781071936">
              <w:marLeft w:val="0"/>
              <w:marRight w:val="0"/>
              <w:marTop w:val="0"/>
              <w:marBottom w:val="0"/>
              <w:divBdr>
                <w:top w:val="none" w:sz="0" w:space="0" w:color="auto"/>
                <w:left w:val="none" w:sz="0" w:space="0" w:color="auto"/>
                <w:bottom w:val="none" w:sz="0" w:space="0" w:color="auto"/>
                <w:right w:val="none" w:sz="0" w:space="0" w:color="auto"/>
              </w:divBdr>
            </w:div>
            <w:div w:id="1781071938">
              <w:marLeft w:val="0"/>
              <w:marRight w:val="0"/>
              <w:marTop w:val="0"/>
              <w:marBottom w:val="0"/>
              <w:divBdr>
                <w:top w:val="none" w:sz="0" w:space="0" w:color="auto"/>
                <w:left w:val="none" w:sz="0" w:space="0" w:color="auto"/>
                <w:bottom w:val="none" w:sz="0" w:space="0" w:color="auto"/>
                <w:right w:val="none" w:sz="0" w:space="0" w:color="auto"/>
              </w:divBdr>
            </w:div>
            <w:div w:id="1781071941">
              <w:marLeft w:val="0"/>
              <w:marRight w:val="0"/>
              <w:marTop w:val="0"/>
              <w:marBottom w:val="0"/>
              <w:divBdr>
                <w:top w:val="none" w:sz="0" w:space="0" w:color="auto"/>
                <w:left w:val="none" w:sz="0" w:space="0" w:color="auto"/>
                <w:bottom w:val="none" w:sz="0" w:space="0" w:color="auto"/>
                <w:right w:val="none" w:sz="0" w:space="0" w:color="auto"/>
              </w:divBdr>
            </w:div>
            <w:div w:id="1781071943">
              <w:marLeft w:val="0"/>
              <w:marRight w:val="0"/>
              <w:marTop w:val="0"/>
              <w:marBottom w:val="0"/>
              <w:divBdr>
                <w:top w:val="none" w:sz="0" w:space="0" w:color="auto"/>
                <w:left w:val="none" w:sz="0" w:space="0" w:color="auto"/>
                <w:bottom w:val="none" w:sz="0" w:space="0" w:color="auto"/>
                <w:right w:val="none" w:sz="0" w:space="0" w:color="auto"/>
              </w:divBdr>
            </w:div>
            <w:div w:id="178107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1937">
      <w:marLeft w:val="0"/>
      <w:marRight w:val="0"/>
      <w:marTop w:val="0"/>
      <w:marBottom w:val="0"/>
      <w:divBdr>
        <w:top w:val="none" w:sz="0" w:space="0" w:color="auto"/>
        <w:left w:val="none" w:sz="0" w:space="0" w:color="auto"/>
        <w:bottom w:val="none" w:sz="0" w:space="0" w:color="auto"/>
        <w:right w:val="none" w:sz="0" w:space="0" w:color="auto"/>
      </w:divBdr>
      <w:divsChild>
        <w:div w:id="1781071948">
          <w:marLeft w:val="0"/>
          <w:marRight w:val="0"/>
          <w:marTop w:val="0"/>
          <w:marBottom w:val="0"/>
          <w:divBdr>
            <w:top w:val="none" w:sz="0" w:space="0" w:color="auto"/>
            <w:left w:val="none" w:sz="0" w:space="0" w:color="auto"/>
            <w:bottom w:val="none" w:sz="0" w:space="0" w:color="auto"/>
            <w:right w:val="none" w:sz="0" w:space="0" w:color="auto"/>
          </w:divBdr>
        </w:div>
      </w:divsChild>
    </w:div>
    <w:div w:id="1781071945">
      <w:marLeft w:val="0"/>
      <w:marRight w:val="0"/>
      <w:marTop w:val="0"/>
      <w:marBottom w:val="0"/>
      <w:divBdr>
        <w:top w:val="none" w:sz="0" w:space="0" w:color="auto"/>
        <w:left w:val="none" w:sz="0" w:space="0" w:color="auto"/>
        <w:bottom w:val="none" w:sz="0" w:space="0" w:color="auto"/>
        <w:right w:val="none" w:sz="0" w:space="0" w:color="auto"/>
      </w:divBdr>
      <w:divsChild>
        <w:div w:id="1781071930">
          <w:marLeft w:val="0"/>
          <w:marRight w:val="0"/>
          <w:marTop w:val="0"/>
          <w:marBottom w:val="0"/>
          <w:divBdr>
            <w:top w:val="none" w:sz="0" w:space="0" w:color="auto"/>
            <w:left w:val="none" w:sz="0" w:space="0" w:color="auto"/>
            <w:bottom w:val="none" w:sz="0" w:space="0" w:color="auto"/>
            <w:right w:val="none" w:sz="0" w:space="0" w:color="auto"/>
          </w:divBdr>
        </w:div>
      </w:divsChild>
    </w:div>
    <w:div w:id="1781071949">
      <w:marLeft w:val="0"/>
      <w:marRight w:val="0"/>
      <w:marTop w:val="0"/>
      <w:marBottom w:val="0"/>
      <w:divBdr>
        <w:top w:val="none" w:sz="0" w:space="0" w:color="auto"/>
        <w:left w:val="none" w:sz="0" w:space="0" w:color="auto"/>
        <w:bottom w:val="none" w:sz="0" w:space="0" w:color="auto"/>
        <w:right w:val="none" w:sz="0" w:space="0" w:color="auto"/>
      </w:divBdr>
      <w:divsChild>
        <w:div w:id="1781071935">
          <w:marLeft w:val="0"/>
          <w:marRight w:val="0"/>
          <w:marTop w:val="0"/>
          <w:marBottom w:val="0"/>
          <w:divBdr>
            <w:top w:val="none" w:sz="0" w:space="0" w:color="auto"/>
            <w:left w:val="none" w:sz="0" w:space="0" w:color="auto"/>
            <w:bottom w:val="none" w:sz="0" w:space="0" w:color="auto"/>
            <w:right w:val="none" w:sz="0" w:space="0" w:color="auto"/>
          </w:divBdr>
          <w:divsChild>
            <w:div w:id="1781071955">
              <w:marLeft w:val="0"/>
              <w:marRight w:val="0"/>
              <w:marTop w:val="0"/>
              <w:marBottom w:val="0"/>
              <w:divBdr>
                <w:top w:val="none" w:sz="0" w:space="0" w:color="auto"/>
                <w:left w:val="none" w:sz="0" w:space="0" w:color="auto"/>
                <w:bottom w:val="none" w:sz="0" w:space="0" w:color="auto"/>
                <w:right w:val="none" w:sz="0" w:space="0" w:color="auto"/>
              </w:divBdr>
              <w:divsChild>
                <w:div w:id="1781071932">
                  <w:marLeft w:val="0"/>
                  <w:marRight w:val="0"/>
                  <w:marTop w:val="0"/>
                  <w:marBottom w:val="0"/>
                  <w:divBdr>
                    <w:top w:val="none" w:sz="0" w:space="0" w:color="auto"/>
                    <w:left w:val="none" w:sz="0" w:space="0" w:color="auto"/>
                    <w:bottom w:val="none" w:sz="0" w:space="0" w:color="auto"/>
                    <w:right w:val="none" w:sz="0" w:space="0" w:color="auto"/>
                  </w:divBdr>
                  <w:divsChild>
                    <w:div w:id="1781071961">
                      <w:marLeft w:val="0"/>
                      <w:marRight w:val="0"/>
                      <w:marTop w:val="0"/>
                      <w:marBottom w:val="0"/>
                      <w:divBdr>
                        <w:top w:val="none" w:sz="0" w:space="0" w:color="auto"/>
                        <w:left w:val="none" w:sz="0" w:space="0" w:color="auto"/>
                        <w:bottom w:val="none" w:sz="0" w:space="0" w:color="auto"/>
                        <w:right w:val="none" w:sz="0" w:space="0" w:color="auto"/>
                      </w:divBdr>
                      <w:divsChild>
                        <w:div w:id="1781071960">
                          <w:marLeft w:val="0"/>
                          <w:marRight w:val="0"/>
                          <w:marTop w:val="0"/>
                          <w:marBottom w:val="0"/>
                          <w:divBdr>
                            <w:top w:val="none" w:sz="0" w:space="0" w:color="auto"/>
                            <w:left w:val="none" w:sz="0" w:space="0" w:color="auto"/>
                            <w:bottom w:val="none" w:sz="0" w:space="0" w:color="auto"/>
                            <w:right w:val="none" w:sz="0" w:space="0" w:color="auto"/>
                          </w:divBdr>
                          <w:divsChild>
                            <w:div w:id="1781071939">
                              <w:marLeft w:val="0"/>
                              <w:marRight w:val="0"/>
                              <w:marTop w:val="0"/>
                              <w:marBottom w:val="0"/>
                              <w:divBdr>
                                <w:top w:val="none" w:sz="0" w:space="0" w:color="auto"/>
                                <w:left w:val="none" w:sz="0" w:space="0" w:color="auto"/>
                                <w:bottom w:val="none" w:sz="0" w:space="0" w:color="auto"/>
                                <w:right w:val="none" w:sz="0" w:space="0" w:color="auto"/>
                              </w:divBdr>
                              <w:divsChild>
                                <w:div w:id="178107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071950">
      <w:marLeft w:val="0"/>
      <w:marRight w:val="0"/>
      <w:marTop w:val="0"/>
      <w:marBottom w:val="0"/>
      <w:divBdr>
        <w:top w:val="none" w:sz="0" w:space="0" w:color="auto"/>
        <w:left w:val="none" w:sz="0" w:space="0" w:color="auto"/>
        <w:bottom w:val="none" w:sz="0" w:space="0" w:color="auto"/>
        <w:right w:val="none" w:sz="0" w:space="0" w:color="auto"/>
      </w:divBdr>
      <w:divsChild>
        <w:div w:id="1781071946">
          <w:marLeft w:val="0"/>
          <w:marRight w:val="0"/>
          <w:marTop w:val="0"/>
          <w:marBottom w:val="0"/>
          <w:divBdr>
            <w:top w:val="none" w:sz="0" w:space="0" w:color="auto"/>
            <w:left w:val="none" w:sz="0" w:space="0" w:color="auto"/>
            <w:bottom w:val="none" w:sz="0" w:space="0" w:color="auto"/>
            <w:right w:val="none" w:sz="0" w:space="0" w:color="auto"/>
          </w:divBdr>
        </w:div>
      </w:divsChild>
    </w:div>
    <w:div w:id="1781071956">
      <w:marLeft w:val="0"/>
      <w:marRight w:val="0"/>
      <w:marTop w:val="0"/>
      <w:marBottom w:val="0"/>
      <w:divBdr>
        <w:top w:val="none" w:sz="0" w:space="0" w:color="auto"/>
        <w:left w:val="none" w:sz="0" w:space="0" w:color="auto"/>
        <w:bottom w:val="none" w:sz="0" w:space="0" w:color="auto"/>
        <w:right w:val="none" w:sz="0" w:space="0" w:color="auto"/>
      </w:divBdr>
      <w:divsChild>
        <w:div w:id="1781071947">
          <w:marLeft w:val="0"/>
          <w:marRight w:val="0"/>
          <w:marTop w:val="0"/>
          <w:marBottom w:val="0"/>
          <w:divBdr>
            <w:top w:val="none" w:sz="0" w:space="0" w:color="auto"/>
            <w:left w:val="none" w:sz="0" w:space="0" w:color="auto"/>
            <w:bottom w:val="none" w:sz="0" w:space="0" w:color="auto"/>
            <w:right w:val="none" w:sz="0" w:space="0" w:color="auto"/>
          </w:divBdr>
          <w:divsChild>
            <w:div w:id="1781071942">
              <w:marLeft w:val="0"/>
              <w:marRight w:val="0"/>
              <w:marTop w:val="0"/>
              <w:marBottom w:val="0"/>
              <w:divBdr>
                <w:top w:val="none" w:sz="0" w:space="0" w:color="auto"/>
                <w:left w:val="none" w:sz="0" w:space="0" w:color="auto"/>
                <w:bottom w:val="none" w:sz="0" w:space="0" w:color="auto"/>
                <w:right w:val="none" w:sz="0" w:space="0" w:color="auto"/>
              </w:divBdr>
              <w:divsChild>
                <w:div w:id="1781071963">
                  <w:marLeft w:val="0"/>
                  <w:marRight w:val="0"/>
                  <w:marTop w:val="0"/>
                  <w:marBottom w:val="0"/>
                  <w:divBdr>
                    <w:top w:val="none" w:sz="0" w:space="0" w:color="auto"/>
                    <w:left w:val="none" w:sz="0" w:space="0" w:color="auto"/>
                    <w:bottom w:val="none" w:sz="0" w:space="0" w:color="auto"/>
                    <w:right w:val="none" w:sz="0" w:space="0" w:color="auto"/>
                  </w:divBdr>
                  <w:divsChild>
                    <w:div w:id="1781071925">
                      <w:marLeft w:val="0"/>
                      <w:marRight w:val="0"/>
                      <w:marTop w:val="0"/>
                      <w:marBottom w:val="0"/>
                      <w:divBdr>
                        <w:top w:val="none" w:sz="0" w:space="0" w:color="auto"/>
                        <w:left w:val="none" w:sz="0" w:space="0" w:color="auto"/>
                        <w:bottom w:val="none" w:sz="0" w:space="0" w:color="auto"/>
                        <w:right w:val="none" w:sz="0" w:space="0" w:color="auto"/>
                      </w:divBdr>
                    </w:div>
                    <w:div w:id="17810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071962">
      <w:marLeft w:val="0"/>
      <w:marRight w:val="0"/>
      <w:marTop w:val="0"/>
      <w:marBottom w:val="0"/>
      <w:divBdr>
        <w:top w:val="none" w:sz="0" w:space="0" w:color="auto"/>
        <w:left w:val="none" w:sz="0" w:space="0" w:color="auto"/>
        <w:bottom w:val="none" w:sz="0" w:space="0" w:color="auto"/>
        <w:right w:val="none" w:sz="0" w:space="0" w:color="auto"/>
      </w:divBdr>
      <w:divsChild>
        <w:div w:id="1781071944">
          <w:marLeft w:val="0"/>
          <w:marRight w:val="0"/>
          <w:marTop w:val="0"/>
          <w:marBottom w:val="0"/>
          <w:divBdr>
            <w:top w:val="none" w:sz="0" w:space="0" w:color="auto"/>
            <w:left w:val="none" w:sz="0" w:space="0" w:color="auto"/>
            <w:bottom w:val="none" w:sz="0" w:space="0" w:color="auto"/>
            <w:right w:val="none" w:sz="0" w:space="0" w:color="auto"/>
          </w:divBdr>
          <w:divsChild>
            <w:div w:id="1781071923">
              <w:marLeft w:val="0"/>
              <w:marRight w:val="0"/>
              <w:marTop w:val="0"/>
              <w:marBottom w:val="0"/>
              <w:divBdr>
                <w:top w:val="none" w:sz="0" w:space="0" w:color="auto"/>
                <w:left w:val="none" w:sz="0" w:space="0" w:color="auto"/>
                <w:bottom w:val="none" w:sz="0" w:space="0" w:color="auto"/>
                <w:right w:val="none" w:sz="0" w:space="0" w:color="auto"/>
              </w:divBdr>
              <w:divsChild>
                <w:div w:id="1781071959">
                  <w:marLeft w:val="0"/>
                  <w:marRight w:val="0"/>
                  <w:marTop w:val="0"/>
                  <w:marBottom w:val="0"/>
                  <w:divBdr>
                    <w:top w:val="none" w:sz="0" w:space="0" w:color="auto"/>
                    <w:left w:val="none" w:sz="0" w:space="0" w:color="auto"/>
                    <w:bottom w:val="none" w:sz="0" w:space="0" w:color="auto"/>
                    <w:right w:val="none" w:sz="0" w:space="0" w:color="auto"/>
                  </w:divBdr>
                  <w:divsChild>
                    <w:div w:id="1781071940">
                      <w:marLeft w:val="0"/>
                      <w:marRight w:val="0"/>
                      <w:marTop w:val="0"/>
                      <w:marBottom w:val="0"/>
                      <w:divBdr>
                        <w:top w:val="none" w:sz="0" w:space="0" w:color="auto"/>
                        <w:left w:val="none" w:sz="0" w:space="0" w:color="auto"/>
                        <w:bottom w:val="none" w:sz="0" w:space="0" w:color="auto"/>
                        <w:right w:val="none" w:sz="0" w:space="0" w:color="auto"/>
                      </w:divBdr>
                      <w:divsChild>
                        <w:div w:id="1781071957">
                          <w:marLeft w:val="0"/>
                          <w:marRight w:val="0"/>
                          <w:marTop w:val="0"/>
                          <w:marBottom w:val="0"/>
                          <w:divBdr>
                            <w:top w:val="none" w:sz="0" w:space="0" w:color="auto"/>
                            <w:left w:val="none" w:sz="0" w:space="0" w:color="auto"/>
                            <w:bottom w:val="none" w:sz="0" w:space="0" w:color="auto"/>
                            <w:right w:val="none" w:sz="0" w:space="0" w:color="auto"/>
                          </w:divBdr>
                          <w:divsChild>
                            <w:div w:id="1781071953">
                              <w:marLeft w:val="0"/>
                              <w:marRight w:val="0"/>
                              <w:marTop w:val="0"/>
                              <w:marBottom w:val="0"/>
                              <w:divBdr>
                                <w:top w:val="none" w:sz="0" w:space="0" w:color="auto"/>
                                <w:left w:val="none" w:sz="0" w:space="0" w:color="auto"/>
                                <w:bottom w:val="none" w:sz="0" w:space="0" w:color="auto"/>
                                <w:right w:val="none" w:sz="0" w:space="0" w:color="auto"/>
                              </w:divBdr>
                              <w:divsChild>
                                <w:div w:id="178107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kluwer.nl/cl2/sf7_rss_doc.jsp?&amp;listSLOT.offset=0&amp;gc=WKNL-KL-PNP-96062709&amp;scenario=zoeken_SF7&amp;resultSessionName=SF7_resultSession_WKNL-KL-PNP-96062709_cl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kluwer.nl/cl2/sf7_rss_doc.jsp?&amp;listSLOT.offset=0&amp;gc=WKNL-KL-PNP-96062709&amp;scenario=zoeken_SF7&amp;resultSessionName=SF7_resultSession_WKNL-KL-PNP-96062709_cl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131</TotalTime>
  <Pages>91</Pages>
  <Words>-32766</Words>
  <Characters>-32766</Characters>
  <Application>Microsoft Office Outlook</Application>
  <DocSecurity>0</DocSecurity>
  <Lines>0</Lines>
  <Paragraphs>0</Paragraphs>
  <ScaleCrop>false</ScaleCrop>
  <Company>Deloitte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HRiemens</dc:creator>
  <cp:keywords/>
  <dc:description/>
  <cp:lastModifiedBy>Ruud C. de Smit</cp:lastModifiedBy>
  <cp:revision>6</cp:revision>
  <cp:lastPrinted>2010-06-17T07:09:00Z</cp:lastPrinted>
  <dcterms:created xsi:type="dcterms:W3CDTF">2010-06-28T08:47:00Z</dcterms:created>
  <dcterms:modified xsi:type="dcterms:W3CDTF">2010-07-30T11:47:00Z</dcterms:modified>
</cp:coreProperties>
</file>