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A9E" w:rsidRPr="00DA0DCD" w:rsidRDefault="00ED7A9E" w:rsidP="00ED7A9E">
      <w:pPr>
        <w:jc w:val="center"/>
        <w:rPr>
          <w:rFonts w:asciiTheme="majorHAnsi" w:eastAsiaTheme="majorEastAsia" w:hAnsiTheme="majorHAnsi" w:cstheme="majorBidi"/>
          <w:b/>
          <w:bCs/>
          <w:color w:val="365F91" w:themeColor="accent1" w:themeShade="BF"/>
          <w:sz w:val="36"/>
          <w:szCs w:val="36"/>
          <w:lang w:val="en-US"/>
        </w:rPr>
      </w:pPr>
    </w:p>
    <w:p w:rsidR="00ED7A9E" w:rsidRPr="00DA0DCD" w:rsidRDefault="00ED7A9E" w:rsidP="00ED7A9E">
      <w:pPr>
        <w:jc w:val="center"/>
        <w:rPr>
          <w:rFonts w:asciiTheme="majorHAnsi" w:eastAsiaTheme="majorEastAsia" w:hAnsiTheme="majorHAnsi" w:cstheme="majorBidi"/>
          <w:b/>
          <w:bCs/>
          <w:color w:val="365F91" w:themeColor="accent1" w:themeShade="BF"/>
          <w:sz w:val="36"/>
          <w:szCs w:val="36"/>
          <w:lang w:val="en-US"/>
        </w:rPr>
      </w:pPr>
    </w:p>
    <w:p w:rsidR="00ED7A9E" w:rsidRPr="00DA0DCD" w:rsidRDefault="00ED7A9E" w:rsidP="00ED7A9E">
      <w:pPr>
        <w:jc w:val="center"/>
        <w:rPr>
          <w:rFonts w:asciiTheme="majorHAnsi" w:eastAsiaTheme="majorEastAsia" w:hAnsiTheme="majorHAnsi" w:cstheme="majorBidi"/>
          <w:b/>
          <w:bCs/>
          <w:color w:val="365F91" w:themeColor="accent1" w:themeShade="BF"/>
          <w:sz w:val="36"/>
          <w:szCs w:val="36"/>
          <w:lang w:val="en-US"/>
        </w:rPr>
      </w:pPr>
    </w:p>
    <w:p w:rsidR="00ED7A9E" w:rsidRPr="00DA0DCD" w:rsidRDefault="00ED7A9E" w:rsidP="00ED7A9E">
      <w:pPr>
        <w:jc w:val="center"/>
        <w:rPr>
          <w:rFonts w:asciiTheme="majorHAnsi" w:eastAsiaTheme="majorEastAsia" w:hAnsiTheme="majorHAnsi" w:cstheme="majorBidi"/>
          <w:b/>
          <w:bCs/>
          <w:color w:val="365F91" w:themeColor="accent1" w:themeShade="BF"/>
          <w:sz w:val="36"/>
          <w:szCs w:val="36"/>
          <w:lang w:val="en-US"/>
        </w:rPr>
      </w:pPr>
    </w:p>
    <w:p w:rsidR="00ED7A9E" w:rsidRPr="00DA0DCD" w:rsidRDefault="00C82869" w:rsidP="00ED7A9E">
      <w:pPr>
        <w:jc w:val="center"/>
        <w:rPr>
          <w:rFonts w:asciiTheme="majorHAnsi" w:eastAsiaTheme="majorEastAsia" w:hAnsiTheme="majorHAnsi" w:cstheme="majorBidi"/>
          <w:b/>
          <w:bCs/>
          <w:color w:val="365F91" w:themeColor="accent1" w:themeShade="BF"/>
          <w:sz w:val="40"/>
          <w:szCs w:val="40"/>
          <w:lang w:val="en-US"/>
        </w:rPr>
      </w:pPr>
      <w:r w:rsidRPr="00DA0DCD">
        <w:rPr>
          <w:rFonts w:asciiTheme="majorHAnsi" w:eastAsiaTheme="majorEastAsia" w:hAnsiTheme="majorHAnsi" w:cstheme="majorBidi"/>
          <w:b/>
          <w:bCs/>
          <w:color w:val="365F91" w:themeColor="accent1" w:themeShade="BF"/>
          <w:sz w:val="40"/>
          <w:szCs w:val="40"/>
          <w:lang w:val="en-US"/>
        </w:rPr>
        <w:t>S</w:t>
      </w:r>
      <w:r w:rsidR="00ED7A9E" w:rsidRPr="00DA0DCD">
        <w:rPr>
          <w:rFonts w:asciiTheme="majorHAnsi" w:eastAsiaTheme="majorEastAsia" w:hAnsiTheme="majorHAnsi" w:cstheme="majorBidi"/>
          <w:b/>
          <w:bCs/>
          <w:color w:val="365F91" w:themeColor="accent1" w:themeShade="BF"/>
          <w:sz w:val="40"/>
          <w:szCs w:val="40"/>
          <w:lang w:val="en-US"/>
        </w:rPr>
        <w:t xml:space="preserve">tock </w:t>
      </w:r>
      <w:r w:rsidRPr="00DA0DCD">
        <w:rPr>
          <w:rFonts w:asciiTheme="majorHAnsi" w:eastAsiaTheme="majorEastAsia" w:hAnsiTheme="majorHAnsi" w:cstheme="majorBidi"/>
          <w:b/>
          <w:bCs/>
          <w:color w:val="365F91" w:themeColor="accent1" w:themeShade="BF"/>
          <w:sz w:val="40"/>
          <w:szCs w:val="40"/>
          <w:lang w:val="en-US"/>
        </w:rPr>
        <w:t>p</w:t>
      </w:r>
      <w:r w:rsidR="00ED7A9E" w:rsidRPr="00DA0DCD">
        <w:rPr>
          <w:rFonts w:asciiTheme="majorHAnsi" w:eastAsiaTheme="majorEastAsia" w:hAnsiTheme="majorHAnsi" w:cstheme="majorBidi"/>
          <w:b/>
          <w:bCs/>
          <w:color w:val="365F91" w:themeColor="accent1" w:themeShade="BF"/>
          <w:sz w:val="40"/>
          <w:szCs w:val="40"/>
          <w:lang w:val="en-US"/>
        </w:rPr>
        <w:t>rice reaction</w:t>
      </w:r>
      <w:r w:rsidR="00122901" w:rsidRPr="00DA0DCD">
        <w:rPr>
          <w:rFonts w:asciiTheme="majorHAnsi" w:eastAsiaTheme="majorEastAsia" w:hAnsiTheme="majorHAnsi" w:cstheme="majorBidi"/>
          <w:b/>
          <w:bCs/>
          <w:color w:val="365F91" w:themeColor="accent1" w:themeShade="BF"/>
          <w:sz w:val="40"/>
          <w:szCs w:val="40"/>
          <w:lang w:val="en-US"/>
        </w:rPr>
        <w:t xml:space="preserve"> </w:t>
      </w:r>
      <w:r w:rsidR="00ED7A9E" w:rsidRPr="00DA0DCD">
        <w:rPr>
          <w:rFonts w:asciiTheme="majorHAnsi" w:eastAsiaTheme="majorEastAsia" w:hAnsiTheme="majorHAnsi" w:cstheme="majorBidi"/>
          <w:b/>
          <w:bCs/>
          <w:color w:val="365F91" w:themeColor="accent1" w:themeShade="BF"/>
          <w:sz w:val="40"/>
          <w:szCs w:val="40"/>
          <w:lang w:val="en-US"/>
        </w:rPr>
        <w:t xml:space="preserve">of </w:t>
      </w:r>
      <w:r w:rsidRPr="00DA0DCD">
        <w:rPr>
          <w:rFonts w:asciiTheme="majorHAnsi" w:eastAsiaTheme="majorEastAsia" w:hAnsiTheme="majorHAnsi" w:cstheme="majorBidi"/>
          <w:b/>
          <w:bCs/>
          <w:color w:val="365F91" w:themeColor="accent1" w:themeShade="BF"/>
          <w:sz w:val="40"/>
          <w:szCs w:val="40"/>
          <w:lang w:val="en-US"/>
        </w:rPr>
        <w:t xml:space="preserve">European </w:t>
      </w:r>
      <w:r w:rsidR="00ED7A9E" w:rsidRPr="00DA0DCD">
        <w:rPr>
          <w:rFonts w:asciiTheme="majorHAnsi" w:eastAsiaTheme="majorEastAsia" w:hAnsiTheme="majorHAnsi" w:cstheme="majorBidi"/>
          <w:b/>
          <w:bCs/>
          <w:color w:val="365F91" w:themeColor="accent1" w:themeShade="BF"/>
          <w:sz w:val="40"/>
          <w:szCs w:val="40"/>
          <w:lang w:val="en-US"/>
        </w:rPr>
        <w:t xml:space="preserve">financial institutions to </w:t>
      </w:r>
      <w:r w:rsidR="00732403">
        <w:rPr>
          <w:rFonts w:asciiTheme="majorHAnsi" w:eastAsiaTheme="majorEastAsia" w:hAnsiTheme="majorHAnsi" w:cstheme="majorBidi"/>
          <w:b/>
          <w:bCs/>
          <w:color w:val="365F91" w:themeColor="accent1" w:themeShade="BF"/>
          <w:sz w:val="40"/>
          <w:szCs w:val="40"/>
          <w:lang w:val="en-US"/>
        </w:rPr>
        <w:t>announcements</w:t>
      </w:r>
      <w:r w:rsidR="00ED7A9E" w:rsidRPr="00DA0DCD">
        <w:rPr>
          <w:rFonts w:asciiTheme="majorHAnsi" w:eastAsiaTheme="majorEastAsia" w:hAnsiTheme="majorHAnsi" w:cstheme="majorBidi"/>
          <w:b/>
          <w:bCs/>
          <w:color w:val="365F91" w:themeColor="accent1" w:themeShade="BF"/>
          <w:sz w:val="40"/>
          <w:szCs w:val="40"/>
          <w:lang w:val="en-US"/>
        </w:rPr>
        <w:t xml:space="preserve"> of a possible reclassification option in IAS 39</w:t>
      </w:r>
    </w:p>
    <w:p w:rsidR="00C82869" w:rsidRPr="00DA0DCD" w:rsidRDefault="00C82869" w:rsidP="00C82869">
      <w:pPr>
        <w:jc w:val="center"/>
        <w:rPr>
          <w:sz w:val="24"/>
          <w:szCs w:val="24"/>
          <w:lang w:val="en-US"/>
        </w:rPr>
      </w:pPr>
      <w:r w:rsidRPr="00DA0DCD">
        <w:rPr>
          <w:sz w:val="24"/>
          <w:szCs w:val="24"/>
          <w:u w:val="single"/>
          <w:lang w:val="en-US"/>
        </w:rPr>
        <w:t>Master Thesis</w:t>
      </w:r>
      <w:r w:rsidRPr="00DA0DCD">
        <w:rPr>
          <w:sz w:val="24"/>
          <w:szCs w:val="24"/>
          <w:lang w:val="en-US"/>
        </w:rPr>
        <w:br/>
        <w:t>Augusts</w:t>
      </w:r>
      <w:r w:rsidR="00122901" w:rsidRPr="00DA0DCD">
        <w:rPr>
          <w:sz w:val="24"/>
          <w:szCs w:val="24"/>
          <w:lang w:val="en-US"/>
        </w:rPr>
        <w:t>,</w:t>
      </w:r>
      <w:r w:rsidRPr="00DA0DCD">
        <w:rPr>
          <w:sz w:val="24"/>
          <w:szCs w:val="24"/>
          <w:lang w:val="en-US"/>
        </w:rPr>
        <w:t xml:space="preserve"> 2010</w:t>
      </w:r>
    </w:p>
    <w:p w:rsidR="00C82869" w:rsidRPr="00DA0DCD" w:rsidRDefault="00C82869" w:rsidP="00C82869">
      <w:pPr>
        <w:jc w:val="center"/>
        <w:rPr>
          <w:lang w:val="en-US"/>
        </w:rPr>
      </w:pPr>
    </w:p>
    <w:p w:rsidR="00C82869" w:rsidRPr="00DA0DCD" w:rsidRDefault="00C82869" w:rsidP="00C82869">
      <w:pPr>
        <w:rPr>
          <w:lang w:val="en-US"/>
        </w:rPr>
      </w:pPr>
    </w:p>
    <w:p w:rsidR="00C82869" w:rsidRPr="00DA0DCD" w:rsidRDefault="00C82869" w:rsidP="00C82869">
      <w:pPr>
        <w:rPr>
          <w:lang w:val="en-US"/>
        </w:rPr>
      </w:pPr>
    </w:p>
    <w:p w:rsidR="00C82869" w:rsidRPr="00DA0DCD" w:rsidRDefault="00C82869" w:rsidP="00C82869">
      <w:pPr>
        <w:rPr>
          <w:lang w:val="en-US"/>
        </w:rPr>
      </w:pPr>
    </w:p>
    <w:p w:rsidR="00C82869" w:rsidRPr="00DA0DCD" w:rsidRDefault="00C82869" w:rsidP="00C82869">
      <w:pPr>
        <w:rPr>
          <w:lang w:val="en-US"/>
        </w:rPr>
      </w:pPr>
    </w:p>
    <w:p w:rsidR="00C82869" w:rsidRPr="00DA0DCD" w:rsidRDefault="00C82869" w:rsidP="00C82869">
      <w:pPr>
        <w:rPr>
          <w:lang w:val="en-US"/>
        </w:rPr>
      </w:pPr>
    </w:p>
    <w:p w:rsidR="00122901" w:rsidRPr="00DA0DCD" w:rsidRDefault="00122901" w:rsidP="00C82869">
      <w:pPr>
        <w:rPr>
          <w:lang w:val="en-US"/>
        </w:rPr>
      </w:pPr>
    </w:p>
    <w:p w:rsidR="00122901" w:rsidRPr="00DA0DCD" w:rsidRDefault="00122901" w:rsidP="00C82869">
      <w:pPr>
        <w:rPr>
          <w:lang w:val="en-US"/>
        </w:rPr>
      </w:pPr>
    </w:p>
    <w:p w:rsidR="00122901" w:rsidRPr="00DA0DCD" w:rsidRDefault="00122901" w:rsidP="00C82869">
      <w:pPr>
        <w:rPr>
          <w:lang w:val="en-US"/>
        </w:rPr>
      </w:pPr>
    </w:p>
    <w:p w:rsidR="00122901" w:rsidRPr="00DA0DCD" w:rsidRDefault="00122901" w:rsidP="00C82869">
      <w:pPr>
        <w:rPr>
          <w:lang w:val="en-US"/>
        </w:rPr>
      </w:pPr>
    </w:p>
    <w:p w:rsidR="00122901" w:rsidRPr="00DA0DCD" w:rsidRDefault="00122901" w:rsidP="00C82869">
      <w:pPr>
        <w:rPr>
          <w:lang w:val="en-US"/>
        </w:rPr>
      </w:pPr>
    </w:p>
    <w:p w:rsidR="00122901" w:rsidRPr="00DA0DCD" w:rsidRDefault="00122901" w:rsidP="00C82869">
      <w:pPr>
        <w:rPr>
          <w:lang w:val="en-US"/>
        </w:rPr>
      </w:pPr>
    </w:p>
    <w:p w:rsidR="00122901" w:rsidRPr="00DA0DCD" w:rsidRDefault="00122901" w:rsidP="00C82869">
      <w:pPr>
        <w:rPr>
          <w:lang w:val="en-US"/>
        </w:rPr>
      </w:pPr>
    </w:p>
    <w:p w:rsidR="00ED7A9E" w:rsidRPr="00DA0DCD" w:rsidRDefault="00C82869" w:rsidP="00C82869">
      <w:pPr>
        <w:rPr>
          <w:lang w:val="en-US"/>
        </w:rPr>
      </w:pPr>
      <w:r w:rsidRPr="00DA0DCD">
        <w:rPr>
          <w:lang w:val="en-US"/>
        </w:rPr>
        <w:t>Erasmus University Rotterdam</w:t>
      </w:r>
      <w:r w:rsidRPr="00DA0DCD">
        <w:rPr>
          <w:lang w:val="en-US"/>
        </w:rPr>
        <w:br/>
        <w:t xml:space="preserve">Faculty: </w:t>
      </w:r>
      <w:r w:rsidRPr="00DA0DCD">
        <w:rPr>
          <w:lang w:val="en-US"/>
        </w:rPr>
        <w:tab/>
        <w:t>Economics and Businesses</w:t>
      </w:r>
      <w:r w:rsidRPr="00DA0DCD">
        <w:rPr>
          <w:lang w:val="en-US"/>
        </w:rPr>
        <w:br/>
        <w:t xml:space="preserve">Master: </w:t>
      </w:r>
      <w:r w:rsidRPr="00DA0DCD">
        <w:rPr>
          <w:lang w:val="en-US"/>
        </w:rPr>
        <w:tab/>
        <w:t>Accounting, Auditing and Control</w:t>
      </w:r>
      <w:r w:rsidRPr="00DA0DCD">
        <w:rPr>
          <w:lang w:val="en-US"/>
        </w:rPr>
        <w:br/>
        <w:t xml:space="preserve">Supervisor: </w:t>
      </w:r>
      <w:r w:rsidRPr="00DA0DCD">
        <w:rPr>
          <w:lang w:val="en-US"/>
        </w:rPr>
        <w:tab/>
        <w:t>Dr. Sc. Ind. A.H. van der Boom</w:t>
      </w:r>
      <w:r w:rsidRPr="00DA0DCD">
        <w:rPr>
          <w:lang w:val="en-US"/>
        </w:rPr>
        <w:br/>
      </w:r>
      <w:r w:rsidR="00AA40D8" w:rsidRPr="00DA0DCD">
        <w:rPr>
          <w:lang w:val="en-US"/>
        </w:rPr>
        <w:t>Student</w:t>
      </w:r>
      <w:r w:rsidR="00122901" w:rsidRPr="00DA0DCD">
        <w:rPr>
          <w:lang w:val="en-US"/>
        </w:rPr>
        <w:t>:</w:t>
      </w:r>
      <w:r w:rsidR="00122901" w:rsidRPr="00DA0DCD">
        <w:rPr>
          <w:lang w:val="en-US"/>
        </w:rPr>
        <w:tab/>
        <w:t>Thijs Graafland (332474)</w:t>
      </w:r>
      <w:r w:rsidRPr="00DA0DCD">
        <w:rPr>
          <w:lang w:val="en-US"/>
        </w:rPr>
        <w:br/>
      </w:r>
      <w:r w:rsidR="00ED7A9E" w:rsidRPr="00DA0DCD">
        <w:rPr>
          <w:sz w:val="36"/>
          <w:szCs w:val="36"/>
          <w:lang w:val="en-US"/>
        </w:rPr>
        <w:br w:type="page"/>
      </w:r>
    </w:p>
    <w:p w:rsidR="00122901" w:rsidRPr="00DA0DCD" w:rsidRDefault="00ED7A9E">
      <w:pPr>
        <w:rPr>
          <w:rFonts w:asciiTheme="majorHAnsi" w:eastAsiaTheme="majorEastAsia" w:hAnsiTheme="majorHAnsi" w:cstheme="majorBidi"/>
          <w:b/>
          <w:bCs/>
          <w:color w:val="365F91" w:themeColor="accent1" w:themeShade="BF"/>
          <w:sz w:val="28"/>
          <w:szCs w:val="28"/>
          <w:lang w:val="en-US"/>
        </w:rPr>
      </w:pPr>
      <w:r w:rsidRPr="00DA0DCD">
        <w:rPr>
          <w:rFonts w:asciiTheme="majorHAnsi" w:eastAsiaTheme="majorEastAsia" w:hAnsiTheme="majorHAnsi" w:cstheme="majorBidi"/>
          <w:b/>
          <w:bCs/>
          <w:color w:val="365F91" w:themeColor="accent1" w:themeShade="BF"/>
          <w:sz w:val="28"/>
          <w:szCs w:val="28"/>
          <w:lang w:val="en-US"/>
        </w:rPr>
        <w:lastRenderedPageBreak/>
        <w:t>Preface</w:t>
      </w:r>
    </w:p>
    <w:p w:rsidR="00122901" w:rsidRPr="00DA0DCD" w:rsidRDefault="00122901" w:rsidP="00122901">
      <w:pPr>
        <w:rPr>
          <w:sz w:val="24"/>
          <w:szCs w:val="24"/>
          <w:lang w:val="en-US"/>
        </w:rPr>
      </w:pPr>
      <w:r w:rsidRPr="00DA0DCD">
        <w:rPr>
          <w:sz w:val="24"/>
          <w:szCs w:val="24"/>
          <w:lang w:val="en-US"/>
        </w:rPr>
        <w:t>This master thesis is the final course of the master Accountin</w:t>
      </w:r>
      <w:r w:rsidR="00154E35" w:rsidRPr="00DA0DCD">
        <w:rPr>
          <w:sz w:val="24"/>
          <w:szCs w:val="24"/>
          <w:lang w:val="en-US"/>
        </w:rPr>
        <w:t>g</w:t>
      </w:r>
      <w:r w:rsidRPr="00DA0DCD">
        <w:rPr>
          <w:sz w:val="24"/>
          <w:szCs w:val="24"/>
          <w:lang w:val="en-US"/>
        </w:rPr>
        <w:t xml:space="preserve">, Auditing and Control. </w:t>
      </w:r>
      <w:r w:rsidR="00154E35" w:rsidRPr="00DA0DCD">
        <w:rPr>
          <w:sz w:val="24"/>
          <w:szCs w:val="24"/>
          <w:lang w:val="en-US"/>
        </w:rPr>
        <w:t xml:space="preserve">Writing this thesis was not always easy, but by the support and advice of other people resulted in this product. In this </w:t>
      </w:r>
      <w:r w:rsidR="00461329" w:rsidRPr="00DA0DCD">
        <w:rPr>
          <w:sz w:val="24"/>
          <w:szCs w:val="24"/>
          <w:lang w:val="en-US"/>
        </w:rPr>
        <w:t>preface,</w:t>
      </w:r>
      <w:r w:rsidR="00154E35" w:rsidRPr="00DA0DCD">
        <w:rPr>
          <w:sz w:val="24"/>
          <w:szCs w:val="24"/>
          <w:lang w:val="en-US"/>
        </w:rPr>
        <w:t xml:space="preserve"> I want to thanks the people for the</w:t>
      </w:r>
      <w:r w:rsidR="00461329" w:rsidRPr="00DA0DCD">
        <w:rPr>
          <w:sz w:val="24"/>
          <w:szCs w:val="24"/>
          <w:lang w:val="en-US"/>
        </w:rPr>
        <w:t>ir contribution.</w:t>
      </w:r>
    </w:p>
    <w:p w:rsidR="00461329" w:rsidRPr="00DA0DCD" w:rsidRDefault="00461329" w:rsidP="00122901">
      <w:pPr>
        <w:rPr>
          <w:sz w:val="24"/>
          <w:szCs w:val="24"/>
          <w:lang w:val="en-US"/>
        </w:rPr>
      </w:pPr>
      <w:r w:rsidRPr="00DA0DCD">
        <w:rPr>
          <w:sz w:val="24"/>
          <w:szCs w:val="24"/>
          <w:lang w:val="en-US"/>
        </w:rPr>
        <w:t xml:space="preserve">First of all I want to thank my thesis supervisor Dr. Sc. Ind. A.H. van der Boom of the Erasmus University for his </w:t>
      </w:r>
      <w:r w:rsidR="00B327D2" w:rsidRPr="00DA0DCD">
        <w:rPr>
          <w:sz w:val="24"/>
          <w:szCs w:val="24"/>
          <w:lang w:val="en-US"/>
        </w:rPr>
        <w:t xml:space="preserve">clear </w:t>
      </w:r>
      <w:r w:rsidRPr="00DA0DCD">
        <w:rPr>
          <w:sz w:val="24"/>
          <w:szCs w:val="24"/>
          <w:lang w:val="en-US"/>
        </w:rPr>
        <w:t xml:space="preserve">advice, feedback and guidance during the process of writing my thesis. Furthermore, I </w:t>
      </w:r>
      <w:r w:rsidR="00B327D2" w:rsidRPr="00DA0DCD">
        <w:rPr>
          <w:sz w:val="24"/>
          <w:szCs w:val="24"/>
          <w:lang w:val="en-US"/>
        </w:rPr>
        <w:t>want to thank</w:t>
      </w:r>
      <w:r w:rsidRPr="00DA0DCD">
        <w:rPr>
          <w:sz w:val="24"/>
          <w:szCs w:val="24"/>
          <w:lang w:val="en-US"/>
        </w:rPr>
        <w:t xml:space="preserve"> Ernst &amp; Young The Hague for the</w:t>
      </w:r>
      <w:r w:rsidR="00B327D2" w:rsidRPr="00DA0DCD">
        <w:rPr>
          <w:sz w:val="24"/>
          <w:szCs w:val="24"/>
          <w:lang w:val="en-US"/>
        </w:rPr>
        <w:t xml:space="preserve"> offered</w:t>
      </w:r>
      <w:r w:rsidRPr="00DA0DCD">
        <w:rPr>
          <w:sz w:val="24"/>
          <w:szCs w:val="24"/>
          <w:lang w:val="en-US"/>
        </w:rPr>
        <w:t xml:space="preserve"> facili</w:t>
      </w:r>
      <w:r w:rsidR="008E436F">
        <w:rPr>
          <w:sz w:val="24"/>
          <w:szCs w:val="24"/>
          <w:lang w:val="en-US"/>
        </w:rPr>
        <w:t>ties to write my master theses.</w:t>
      </w:r>
      <w:r w:rsidRPr="00DA0DCD">
        <w:rPr>
          <w:sz w:val="24"/>
          <w:szCs w:val="24"/>
          <w:lang w:val="en-US"/>
        </w:rPr>
        <w:t xml:space="preserve"> At Ernst &amp; Young I want to thank</w:t>
      </w:r>
      <w:r w:rsidR="00B327D2" w:rsidRPr="00DA0DCD">
        <w:rPr>
          <w:sz w:val="24"/>
          <w:szCs w:val="24"/>
          <w:lang w:val="en-US"/>
        </w:rPr>
        <w:t xml:space="preserve"> especially</w:t>
      </w:r>
      <w:r w:rsidRPr="00DA0DCD">
        <w:rPr>
          <w:sz w:val="24"/>
          <w:szCs w:val="24"/>
          <w:lang w:val="en-US"/>
        </w:rPr>
        <w:t xml:space="preserve"> my coach Andrew Halim for sharing his knowledge of </w:t>
      </w:r>
      <w:r w:rsidR="00B327D2" w:rsidRPr="00DA0DCD">
        <w:rPr>
          <w:sz w:val="24"/>
          <w:szCs w:val="24"/>
          <w:lang w:val="en-US"/>
        </w:rPr>
        <w:t xml:space="preserve">accounting standard IAS 39, his advice and guidance. </w:t>
      </w:r>
    </w:p>
    <w:p w:rsidR="00122901" w:rsidRPr="00DA0DCD" w:rsidRDefault="00B327D2" w:rsidP="00122901">
      <w:pPr>
        <w:rPr>
          <w:sz w:val="24"/>
          <w:szCs w:val="24"/>
          <w:lang w:val="en-US"/>
        </w:rPr>
      </w:pPr>
      <w:r w:rsidRPr="00DA0DCD">
        <w:rPr>
          <w:sz w:val="24"/>
          <w:szCs w:val="24"/>
          <w:lang w:val="en-US"/>
        </w:rPr>
        <w:t xml:space="preserve">At last, I want to thank my girlfriend, family and friends for their </w:t>
      </w:r>
      <w:r w:rsidR="002A1FEE" w:rsidRPr="00DA0DCD">
        <w:rPr>
          <w:sz w:val="24"/>
          <w:szCs w:val="24"/>
          <w:lang w:val="en-US"/>
        </w:rPr>
        <w:t xml:space="preserve">confidence, </w:t>
      </w:r>
      <w:r w:rsidRPr="00DA0DCD">
        <w:rPr>
          <w:sz w:val="24"/>
          <w:szCs w:val="24"/>
          <w:lang w:val="en-US"/>
        </w:rPr>
        <w:t>support and encouragements throughout the years of studying.</w:t>
      </w:r>
    </w:p>
    <w:p w:rsidR="00B327D2" w:rsidRPr="00DA0DCD" w:rsidRDefault="00B327D2" w:rsidP="00122901">
      <w:pPr>
        <w:rPr>
          <w:sz w:val="24"/>
          <w:szCs w:val="24"/>
          <w:lang w:val="en-US"/>
        </w:rPr>
      </w:pPr>
    </w:p>
    <w:p w:rsidR="00ED7A9E" w:rsidRPr="00DA0DCD" w:rsidRDefault="00122901" w:rsidP="00122901">
      <w:pPr>
        <w:rPr>
          <w:sz w:val="24"/>
          <w:szCs w:val="24"/>
          <w:lang w:val="en-US"/>
        </w:rPr>
      </w:pPr>
      <w:r w:rsidRPr="00DA0DCD">
        <w:rPr>
          <w:sz w:val="24"/>
          <w:szCs w:val="24"/>
          <w:lang w:val="en-US"/>
        </w:rPr>
        <w:t>Rijswijk</w:t>
      </w:r>
      <w:r w:rsidR="00E91F24">
        <w:rPr>
          <w:sz w:val="24"/>
          <w:szCs w:val="24"/>
          <w:lang w:val="en-US"/>
        </w:rPr>
        <w:t xml:space="preserve"> (ZH)</w:t>
      </w:r>
      <w:r w:rsidRPr="00DA0DCD">
        <w:rPr>
          <w:sz w:val="24"/>
          <w:szCs w:val="24"/>
          <w:lang w:val="en-US"/>
        </w:rPr>
        <w:t>, August 2010</w:t>
      </w:r>
      <w:r w:rsidR="00ED7A9E" w:rsidRPr="00DA0DCD">
        <w:rPr>
          <w:sz w:val="24"/>
          <w:szCs w:val="24"/>
          <w:lang w:val="en-US"/>
        </w:rPr>
        <w:br w:type="page"/>
      </w:r>
    </w:p>
    <w:p w:rsidR="00ED7A9E" w:rsidRPr="00DA0DCD" w:rsidRDefault="00E47310">
      <w:pPr>
        <w:rPr>
          <w:rFonts w:asciiTheme="majorHAnsi" w:eastAsiaTheme="majorEastAsia" w:hAnsiTheme="majorHAnsi" w:cstheme="majorBidi"/>
          <w:b/>
          <w:bCs/>
          <w:color w:val="365F91" w:themeColor="accent1" w:themeShade="BF"/>
          <w:sz w:val="28"/>
          <w:szCs w:val="28"/>
          <w:lang w:val="en-US"/>
        </w:rPr>
      </w:pPr>
      <w:r w:rsidRPr="00DA0DCD">
        <w:rPr>
          <w:rFonts w:asciiTheme="majorHAnsi" w:eastAsiaTheme="majorEastAsia" w:hAnsiTheme="majorHAnsi" w:cstheme="majorBidi"/>
          <w:b/>
          <w:bCs/>
          <w:color w:val="365F91" w:themeColor="accent1" w:themeShade="BF"/>
          <w:sz w:val="28"/>
          <w:szCs w:val="28"/>
          <w:lang w:val="en-US"/>
        </w:rPr>
        <w:lastRenderedPageBreak/>
        <w:t>Table of contents</w:t>
      </w:r>
    </w:p>
    <w:sdt>
      <w:sdtPr>
        <w:id w:val="23331940"/>
        <w:docPartObj>
          <w:docPartGallery w:val="Table of Contents"/>
          <w:docPartUnique/>
        </w:docPartObj>
      </w:sdtPr>
      <w:sdtContent>
        <w:p w:rsidR="00245F5C" w:rsidRPr="00245F5C" w:rsidRDefault="00245F5C" w:rsidP="00BC7F72">
          <w:pPr>
            <w:pStyle w:val="Geenafstand"/>
            <w:contextualSpacing/>
            <w:rPr>
              <w:sz w:val="16"/>
              <w:szCs w:val="16"/>
            </w:rPr>
          </w:pPr>
        </w:p>
        <w:p w:rsidR="00BC7F72" w:rsidRDefault="00E77D2A" w:rsidP="00BC7F72">
          <w:pPr>
            <w:pStyle w:val="Inhopg1"/>
            <w:tabs>
              <w:tab w:val="left" w:pos="442"/>
              <w:tab w:val="right" w:leader="dot" w:pos="9062"/>
            </w:tabs>
            <w:contextualSpacing/>
            <w:rPr>
              <w:rFonts w:eastAsiaTheme="minorEastAsia"/>
              <w:noProof/>
              <w:lang w:eastAsia="nl-NL"/>
            </w:rPr>
          </w:pPr>
          <w:r w:rsidRPr="00245F5C">
            <w:fldChar w:fldCharType="begin"/>
          </w:r>
          <w:r w:rsidR="00245F5C" w:rsidRPr="00245F5C">
            <w:instrText xml:space="preserve"> TOC \o "1-3" \h \z \u </w:instrText>
          </w:r>
          <w:r w:rsidRPr="00245F5C">
            <w:fldChar w:fldCharType="separate"/>
          </w:r>
          <w:hyperlink w:anchor="_Toc270770545" w:history="1">
            <w:r w:rsidR="00BC7F72" w:rsidRPr="00517E8D">
              <w:rPr>
                <w:rStyle w:val="Hyperlink"/>
                <w:noProof/>
                <w:lang w:val="en-US"/>
              </w:rPr>
              <w:t>1.</w:t>
            </w:r>
            <w:r w:rsidR="00BC7F72">
              <w:rPr>
                <w:rFonts w:eastAsiaTheme="minorEastAsia"/>
                <w:noProof/>
                <w:lang w:eastAsia="nl-NL"/>
              </w:rPr>
              <w:tab/>
            </w:r>
            <w:r w:rsidR="00BC7F72" w:rsidRPr="00517E8D">
              <w:rPr>
                <w:rStyle w:val="Hyperlink"/>
                <w:noProof/>
                <w:lang w:val="en-US"/>
              </w:rPr>
              <w:t>Introduction</w:t>
            </w:r>
            <w:r w:rsidR="00BC7F72">
              <w:rPr>
                <w:noProof/>
                <w:webHidden/>
              </w:rPr>
              <w:tab/>
            </w:r>
            <w:r>
              <w:rPr>
                <w:noProof/>
                <w:webHidden/>
              </w:rPr>
              <w:fldChar w:fldCharType="begin"/>
            </w:r>
            <w:r w:rsidR="00BC7F72">
              <w:rPr>
                <w:noProof/>
                <w:webHidden/>
              </w:rPr>
              <w:instrText xml:space="preserve"> PAGEREF _Toc270770545 \h </w:instrText>
            </w:r>
            <w:r>
              <w:rPr>
                <w:noProof/>
                <w:webHidden/>
              </w:rPr>
            </w:r>
            <w:r>
              <w:rPr>
                <w:noProof/>
                <w:webHidden/>
              </w:rPr>
              <w:fldChar w:fldCharType="separate"/>
            </w:r>
            <w:r w:rsidR="00BC7F72">
              <w:rPr>
                <w:noProof/>
                <w:webHidden/>
              </w:rPr>
              <w:t>6</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46" w:history="1">
            <w:r w:rsidR="00BC7F72" w:rsidRPr="00517E8D">
              <w:rPr>
                <w:rStyle w:val="Hyperlink"/>
                <w:noProof/>
                <w:lang w:val="en-US"/>
              </w:rPr>
              <w:t>1.1.</w:t>
            </w:r>
            <w:r w:rsidR="00BC7F72">
              <w:rPr>
                <w:rFonts w:eastAsiaTheme="minorEastAsia"/>
                <w:noProof/>
                <w:lang w:eastAsia="nl-NL"/>
              </w:rPr>
              <w:tab/>
            </w:r>
            <w:r w:rsidR="00BC7F72" w:rsidRPr="00517E8D">
              <w:rPr>
                <w:rStyle w:val="Hyperlink"/>
                <w:noProof/>
                <w:lang w:val="en-US"/>
              </w:rPr>
              <w:t>Introduction</w:t>
            </w:r>
            <w:r w:rsidR="00BC7F72">
              <w:rPr>
                <w:noProof/>
                <w:webHidden/>
              </w:rPr>
              <w:tab/>
            </w:r>
            <w:r>
              <w:rPr>
                <w:noProof/>
                <w:webHidden/>
              </w:rPr>
              <w:fldChar w:fldCharType="begin"/>
            </w:r>
            <w:r w:rsidR="00BC7F72">
              <w:rPr>
                <w:noProof/>
                <w:webHidden/>
              </w:rPr>
              <w:instrText xml:space="preserve"> PAGEREF _Toc270770546 \h </w:instrText>
            </w:r>
            <w:r>
              <w:rPr>
                <w:noProof/>
                <w:webHidden/>
              </w:rPr>
            </w:r>
            <w:r>
              <w:rPr>
                <w:noProof/>
                <w:webHidden/>
              </w:rPr>
              <w:fldChar w:fldCharType="separate"/>
            </w:r>
            <w:r w:rsidR="00BC7F72">
              <w:rPr>
                <w:noProof/>
                <w:webHidden/>
              </w:rPr>
              <w:t>6</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47" w:history="1">
            <w:r w:rsidR="00BC7F72" w:rsidRPr="00517E8D">
              <w:rPr>
                <w:rStyle w:val="Hyperlink"/>
                <w:noProof/>
                <w:lang w:val="en-US"/>
              </w:rPr>
              <w:t>1.2.</w:t>
            </w:r>
            <w:r w:rsidR="00BC7F72">
              <w:rPr>
                <w:rFonts w:eastAsiaTheme="minorEastAsia"/>
                <w:noProof/>
                <w:lang w:eastAsia="nl-NL"/>
              </w:rPr>
              <w:tab/>
            </w:r>
            <w:r w:rsidR="00BC7F72" w:rsidRPr="00517E8D">
              <w:rPr>
                <w:rStyle w:val="Hyperlink"/>
                <w:noProof/>
                <w:lang w:val="en-US"/>
              </w:rPr>
              <w:t>Reclassification option</w:t>
            </w:r>
            <w:r w:rsidR="00BC7F72">
              <w:rPr>
                <w:noProof/>
                <w:webHidden/>
              </w:rPr>
              <w:tab/>
            </w:r>
            <w:r>
              <w:rPr>
                <w:noProof/>
                <w:webHidden/>
              </w:rPr>
              <w:fldChar w:fldCharType="begin"/>
            </w:r>
            <w:r w:rsidR="00BC7F72">
              <w:rPr>
                <w:noProof/>
                <w:webHidden/>
              </w:rPr>
              <w:instrText xml:space="preserve"> PAGEREF _Toc270770547 \h </w:instrText>
            </w:r>
            <w:r>
              <w:rPr>
                <w:noProof/>
                <w:webHidden/>
              </w:rPr>
            </w:r>
            <w:r>
              <w:rPr>
                <w:noProof/>
                <w:webHidden/>
              </w:rPr>
              <w:fldChar w:fldCharType="separate"/>
            </w:r>
            <w:r w:rsidR="00BC7F72">
              <w:rPr>
                <w:noProof/>
                <w:webHidden/>
              </w:rPr>
              <w:t>8</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48" w:history="1">
            <w:r w:rsidR="00BC7F72" w:rsidRPr="00517E8D">
              <w:rPr>
                <w:rStyle w:val="Hyperlink"/>
                <w:noProof/>
                <w:lang w:val="en-US"/>
              </w:rPr>
              <w:t>1.3.</w:t>
            </w:r>
            <w:r w:rsidR="00BC7F72">
              <w:rPr>
                <w:rFonts w:eastAsiaTheme="minorEastAsia"/>
                <w:noProof/>
                <w:lang w:eastAsia="nl-NL"/>
              </w:rPr>
              <w:tab/>
            </w:r>
            <w:r w:rsidR="00BC7F72" w:rsidRPr="00517E8D">
              <w:rPr>
                <w:rStyle w:val="Hyperlink"/>
                <w:noProof/>
                <w:lang w:val="en-US"/>
              </w:rPr>
              <w:t>Research question</w:t>
            </w:r>
            <w:r w:rsidR="00BC7F72">
              <w:rPr>
                <w:noProof/>
                <w:webHidden/>
              </w:rPr>
              <w:tab/>
            </w:r>
            <w:r>
              <w:rPr>
                <w:noProof/>
                <w:webHidden/>
              </w:rPr>
              <w:fldChar w:fldCharType="begin"/>
            </w:r>
            <w:r w:rsidR="00BC7F72">
              <w:rPr>
                <w:noProof/>
                <w:webHidden/>
              </w:rPr>
              <w:instrText xml:space="preserve"> PAGEREF _Toc270770548 \h </w:instrText>
            </w:r>
            <w:r>
              <w:rPr>
                <w:noProof/>
                <w:webHidden/>
              </w:rPr>
            </w:r>
            <w:r>
              <w:rPr>
                <w:noProof/>
                <w:webHidden/>
              </w:rPr>
              <w:fldChar w:fldCharType="separate"/>
            </w:r>
            <w:r w:rsidR="00BC7F72">
              <w:rPr>
                <w:noProof/>
                <w:webHidden/>
              </w:rPr>
              <w:t>9</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49" w:history="1">
            <w:r w:rsidR="00BC7F72" w:rsidRPr="00517E8D">
              <w:rPr>
                <w:rStyle w:val="Hyperlink"/>
                <w:noProof/>
                <w:lang w:val="en-US"/>
              </w:rPr>
              <w:t>1.4.</w:t>
            </w:r>
            <w:r w:rsidR="00BC7F72">
              <w:rPr>
                <w:rFonts w:eastAsiaTheme="minorEastAsia"/>
                <w:noProof/>
                <w:lang w:eastAsia="nl-NL"/>
              </w:rPr>
              <w:tab/>
            </w:r>
            <w:r w:rsidR="00BC7F72" w:rsidRPr="00517E8D">
              <w:rPr>
                <w:rStyle w:val="Hyperlink"/>
                <w:noProof/>
                <w:lang w:val="en-US"/>
              </w:rPr>
              <w:t>Expectations</w:t>
            </w:r>
            <w:r w:rsidR="00BC7F72">
              <w:rPr>
                <w:noProof/>
                <w:webHidden/>
              </w:rPr>
              <w:tab/>
            </w:r>
            <w:r>
              <w:rPr>
                <w:noProof/>
                <w:webHidden/>
              </w:rPr>
              <w:fldChar w:fldCharType="begin"/>
            </w:r>
            <w:r w:rsidR="00BC7F72">
              <w:rPr>
                <w:noProof/>
                <w:webHidden/>
              </w:rPr>
              <w:instrText xml:space="preserve"> PAGEREF _Toc270770549 \h </w:instrText>
            </w:r>
            <w:r>
              <w:rPr>
                <w:noProof/>
                <w:webHidden/>
              </w:rPr>
            </w:r>
            <w:r>
              <w:rPr>
                <w:noProof/>
                <w:webHidden/>
              </w:rPr>
              <w:fldChar w:fldCharType="separate"/>
            </w:r>
            <w:r w:rsidR="00BC7F72">
              <w:rPr>
                <w:noProof/>
                <w:webHidden/>
              </w:rPr>
              <w:t>9</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50" w:history="1">
            <w:r w:rsidR="00BC7F72" w:rsidRPr="00517E8D">
              <w:rPr>
                <w:rStyle w:val="Hyperlink"/>
                <w:noProof/>
                <w:lang w:val="en-US"/>
              </w:rPr>
              <w:t>1.5.</w:t>
            </w:r>
            <w:r w:rsidR="00BC7F72">
              <w:rPr>
                <w:rFonts w:eastAsiaTheme="minorEastAsia"/>
                <w:noProof/>
                <w:lang w:eastAsia="nl-NL"/>
              </w:rPr>
              <w:tab/>
            </w:r>
            <w:r w:rsidR="00BC7F72" w:rsidRPr="00517E8D">
              <w:rPr>
                <w:rStyle w:val="Hyperlink"/>
                <w:noProof/>
                <w:lang w:val="en-US"/>
              </w:rPr>
              <w:t>Relevance</w:t>
            </w:r>
            <w:r w:rsidR="00BC7F72">
              <w:rPr>
                <w:noProof/>
                <w:webHidden/>
              </w:rPr>
              <w:tab/>
            </w:r>
            <w:r>
              <w:rPr>
                <w:noProof/>
                <w:webHidden/>
              </w:rPr>
              <w:fldChar w:fldCharType="begin"/>
            </w:r>
            <w:r w:rsidR="00BC7F72">
              <w:rPr>
                <w:noProof/>
                <w:webHidden/>
              </w:rPr>
              <w:instrText xml:space="preserve"> PAGEREF _Toc270770550 \h </w:instrText>
            </w:r>
            <w:r>
              <w:rPr>
                <w:noProof/>
                <w:webHidden/>
              </w:rPr>
            </w:r>
            <w:r>
              <w:rPr>
                <w:noProof/>
                <w:webHidden/>
              </w:rPr>
              <w:fldChar w:fldCharType="separate"/>
            </w:r>
            <w:r w:rsidR="00BC7F72">
              <w:rPr>
                <w:noProof/>
                <w:webHidden/>
              </w:rPr>
              <w:t>10</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51" w:history="1">
            <w:r w:rsidR="00BC7F72" w:rsidRPr="00517E8D">
              <w:rPr>
                <w:rStyle w:val="Hyperlink"/>
                <w:noProof/>
                <w:lang w:val="en-US"/>
              </w:rPr>
              <w:t>1.6.</w:t>
            </w:r>
            <w:r w:rsidR="00BC7F72">
              <w:rPr>
                <w:rFonts w:eastAsiaTheme="minorEastAsia"/>
                <w:noProof/>
                <w:lang w:eastAsia="nl-NL"/>
              </w:rPr>
              <w:tab/>
            </w:r>
            <w:r w:rsidR="00BC7F72" w:rsidRPr="00517E8D">
              <w:rPr>
                <w:rStyle w:val="Hyperlink"/>
                <w:noProof/>
                <w:lang w:val="en-US"/>
              </w:rPr>
              <w:t>Structure</w:t>
            </w:r>
            <w:r w:rsidR="00BC7F72">
              <w:rPr>
                <w:noProof/>
                <w:webHidden/>
              </w:rPr>
              <w:tab/>
            </w:r>
            <w:r>
              <w:rPr>
                <w:noProof/>
                <w:webHidden/>
              </w:rPr>
              <w:fldChar w:fldCharType="begin"/>
            </w:r>
            <w:r w:rsidR="00BC7F72">
              <w:rPr>
                <w:noProof/>
                <w:webHidden/>
              </w:rPr>
              <w:instrText xml:space="preserve"> PAGEREF _Toc270770551 \h </w:instrText>
            </w:r>
            <w:r>
              <w:rPr>
                <w:noProof/>
                <w:webHidden/>
              </w:rPr>
            </w:r>
            <w:r>
              <w:rPr>
                <w:noProof/>
                <w:webHidden/>
              </w:rPr>
              <w:fldChar w:fldCharType="separate"/>
            </w:r>
            <w:r w:rsidR="00BC7F72">
              <w:rPr>
                <w:noProof/>
                <w:webHidden/>
              </w:rPr>
              <w:t>10</w:t>
            </w:r>
            <w:r>
              <w:rPr>
                <w:noProof/>
                <w:webHidden/>
              </w:rPr>
              <w:fldChar w:fldCharType="end"/>
            </w:r>
          </w:hyperlink>
        </w:p>
        <w:p w:rsidR="00BC7F72" w:rsidRDefault="00E77D2A" w:rsidP="00BC7F72">
          <w:pPr>
            <w:pStyle w:val="Inhopg1"/>
            <w:tabs>
              <w:tab w:val="left" w:pos="442"/>
              <w:tab w:val="right" w:leader="dot" w:pos="9062"/>
            </w:tabs>
            <w:contextualSpacing/>
            <w:rPr>
              <w:rFonts w:eastAsiaTheme="minorEastAsia"/>
              <w:noProof/>
              <w:lang w:eastAsia="nl-NL"/>
            </w:rPr>
          </w:pPr>
          <w:hyperlink w:anchor="_Toc270770552" w:history="1">
            <w:r w:rsidR="00BC7F72" w:rsidRPr="00517E8D">
              <w:rPr>
                <w:rStyle w:val="Hyperlink"/>
                <w:noProof/>
                <w:lang w:val="en-US"/>
              </w:rPr>
              <w:t>2.</w:t>
            </w:r>
            <w:r w:rsidR="00BC7F72">
              <w:rPr>
                <w:rFonts w:eastAsiaTheme="minorEastAsia"/>
                <w:noProof/>
                <w:lang w:eastAsia="nl-NL"/>
              </w:rPr>
              <w:tab/>
            </w:r>
            <w:r w:rsidR="00BC7F72" w:rsidRPr="00517E8D">
              <w:rPr>
                <w:rStyle w:val="Hyperlink"/>
                <w:noProof/>
                <w:lang w:val="en-US"/>
              </w:rPr>
              <w:t>The accounting standard on financial instruments and other relevant regulation</w:t>
            </w:r>
            <w:r w:rsidR="00BC7F72">
              <w:rPr>
                <w:noProof/>
                <w:webHidden/>
              </w:rPr>
              <w:tab/>
            </w:r>
            <w:r>
              <w:rPr>
                <w:noProof/>
                <w:webHidden/>
              </w:rPr>
              <w:fldChar w:fldCharType="begin"/>
            </w:r>
            <w:r w:rsidR="00BC7F72">
              <w:rPr>
                <w:noProof/>
                <w:webHidden/>
              </w:rPr>
              <w:instrText xml:space="preserve"> PAGEREF _Toc270770552 \h </w:instrText>
            </w:r>
            <w:r>
              <w:rPr>
                <w:noProof/>
                <w:webHidden/>
              </w:rPr>
            </w:r>
            <w:r>
              <w:rPr>
                <w:noProof/>
                <w:webHidden/>
              </w:rPr>
              <w:fldChar w:fldCharType="separate"/>
            </w:r>
            <w:r w:rsidR="00BC7F72">
              <w:rPr>
                <w:noProof/>
                <w:webHidden/>
              </w:rPr>
              <w:t>11</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53" w:history="1">
            <w:r w:rsidR="00BC7F72" w:rsidRPr="00517E8D">
              <w:rPr>
                <w:rStyle w:val="Hyperlink"/>
                <w:noProof/>
                <w:lang w:val="en-US"/>
              </w:rPr>
              <w:t>2.1.</w:t>
            </w:r>
            <w:r w:rsidR="00BC7F72">
              <w:rPr>
                <w:rFonts w:eastAsiaTheme="minorEastAsia"/>
                <w:noProof/>
                <w:lang w:eastAsia="nl-NL"/>
              </w:rPr>
              <w:tab/>
            </w:r>
            <w:r w:rsidR="00BC7F72" w:rsidRPr="00517E8D">
              <w:rPr>
                <w:rStyle w:val="Hyperlink"/>
                <w:noProof/>
                <w:lang w:val="en-US"/>
              </w:rPr>
              <w:t>Introduction</w:t>
            </w:r>
            <w:r w:rsidR="00BC7F72">
              <w:rPr>
                <w:noProof/>
                <w:webHidden/>
              </w:rPr>
              <w:tab/>
            </w:r>
            <w:r>
              <w:rPr>
                <w:noProof/>
                <w:webHidden/>
              </w:rPr>
              <w:fldChar w:fldCharType="begin"/>
            </w:r>
            <w:r w:rsidR="00BC7F72">
              <w:rPr>
                <w:noProof/>
                <w:webHidden/>
              </w:rPr>
              <w:instrText xml:space="preserve"> PAGEREF _Toc270770553 \h </w:instrText>
            </w:r>
            <w:r>
              <w:rPr>
                <w:noProof/>
                <w:webHidden/>
              </w:rPr>
            </w:r>
            <w:r>
              <w:rPr>
                <w:noProof/>
                <w:webHidden/>
              </w:rPr>
              <w:fldChar w:fldCharType="separate"/>
            </w:r>
            <w:r w:rsidR="00BC7F72">
              <w:rPr>
                <w:noProof/>
                <w:webHidden/>
              </w:rPr>
              <w:t>11</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54" w:history="1">
            <w:r w:rsidR="00BC7F72" w:rsidRPr="00517E8D">
              <w:rPr>
                <w:rStyle w:val="Hyperlink"/>
                <w:noProof/>
                <w:lang w:val="en-US"/>
              </w:rPr>
              <w:t>2.2.</w:t>
            </w:r>
            <w:r w:rsidR="00BC7F72">
              <w:rPr>
                <w:rFonts w:eastAsiaTheme="minorEastAsia"/>
                <w:noProof/>
                <w:lang w:eastAsia="nl-NL"/>
              </w:rPr>
              <w:tab/>
            </w:r>
            <w:r w:rsidR="00BC7F72" w:rsidRPr="00517E8D">
              <w:rPr>
                <w:rStyle w:val="Hyperlink"/>
                <w:noProof/>
                <w:lang w:val="en-US"/>
              </w:rPr>
              <w:t>Definitions</w:t>
            </w:r>
            <w:r w:rsidR="00BC7F72">
              <w:rPr>
                <w:noProof/>
                <w:webHidden/>
              </w:rPr>
              <w:tab/>
            </w:r>
            <w:r>
              <w:rPr>
                <w:noProof/>
                <w:webHidden/>
              </w:rPr>
              <w:fldChar w:fldCharType="begin"/>
            </w:r>
            <w:r w:rsidR="00BC7F72">
              <w:rPr>
                <w:noProof/>
                <w:webHidden/>
              </w:rPr>
              <w:instrText xml:space="preserve"> PAGEREF _Toc270770554 \h </w:instrText>
            </w:r>
            <w:r>
              <w:rPr>
                <w:noProof/>
                <w:webHidden/>
              </w:rPr>
            </w:r>
            <w:r>
              <w:rPr>
                <w:noProof/>
                <w:webHidden/>
              </w:rPr>
              <w:fldChar w:fldCharType="separate"/>
            </w:r>
            <w:r w:rsidR="00BC7F72">
              <w:rPr>
                <w:noProof/>
                <w:webHidden/>
              </w:rPr>
              <w:t>11</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55" w:history="1">
            <w:r w:rsidR="00BC7F72" w:rsidRPr="00517E8D">
              <w:rPr>
                <w:rStyle w:val="Hyperlink"/>
                <w:noProof/>
                <w:lang w:val="en-US"/>
              </w:rPr>
              <w:t>2.3.</w:t>
            </w:r>
            <w:r w:rsidR="00BC7F72">
              <w:rPr>
                <w:rFonts w:eastAsiaTheme="minorEastAsia"/>
                <w:noProof/>
                <w:lang w:eastAsia="nl-NL"/>
              </w:rPr>
              <w:tab/>
            </w:r>
            <w:r w:rsidR="00BC7F72" w:rsidRPr="00517E8D">
              <w:rPr>
                <w:rStyle w:val="Hyperlink"/>
                <w:noProof/>
                <w:lang w:val="en-US"/>
              </w:rPr>
              <w:t>Categories</w:t>
            </w:r>
            <w:r w:rsidR="00BC7F72">
              <w:rPr>
                <w:noProof/>
                <w:webHidden/>
              </w:rPr>
              <w:tab/>
            </w:r>
            <w:r>
              <w:rPr>
                <w:noProof/>
                <w:webHidden/>
              </w:rPr>
              <w:fldChar w:fldCharType="begin"/>
            </w:r>
            <w:r w:rsidR="00BC7F72">
              <w:rPr>
                <w:noProof/>
                <w:webHidden/>
              </w:rPr>
              <w:instrText xml:space="preserve"> PAGEREF _Toc270770555 \h </w:instrText>
            </w:r>
            <w:r>
              <w:rPr>
                <w:noProof/>
                <w:webHidden/>
              </w:rPr>
            </w:r>
            <w:r>
              <w:rPr>
                <w:noProof/>
                <w:webHidden/>
              </w:rPr>
              <w:fldChar w:fldCharType="separate"/>
            </w:r>
            <w:r w:rsidR="00BC7F72">
              <w:rPr>
                <w:noProof/>
                <w:webHidden/>
              </w:rPr>
              <w:t>12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56" w:history="1">
            <w:r w:rsidR="00BC7F72" w:rsidRPr="00517E8D">
              <w:rPr>
                <w:rStyle w:val="Hyperlink"/>
                <w:noProof/>
                <w:lang w:val="en-US"/>
              </w:rPr>
              <w:t>2.4.</w:t>
            </w:r>
            <w:r w:rsidR="00BC7F72">
              <w:rPr>
                <w:rFonts w:eastAsiaTheme="minorEastAsia"/>
                <w:noProof/>
                <w:lang w:eastAsia="nl-NL"/>
              </w:rPr>
              <w:tab/>
            </w:r>
            <w:r w:rsidR="00BC7F72" w:rsidRPr="00517E8D">
              <w:rPr>
                <w:rStyle w:val="Hyperlink"/>
                <w:noProof/>
                <w:lang w:val="en-US"/>
              </w:rPr>
              <w:t>Measurement and recognition</w:t>
            </w:r>
            <w:r w:rsidR="00BC7F72">
              <w:rPr>
                <w:noProof/>
                <w:webHidden/>
              </w:rPr>
              <w:tab/>
            </w:r>
            <w:r>
              <w:rPr>
                <w:noProof/>
                <w:webHidden/>
              </w:rPr>
              <w:fldChar w:fldCharType="begin"/>
            </w:r>
            <w:r w:rsidR="00BC7F72">
              <w:rPr>
                <w:noProof/>
                <w:webHidden/>
              </w:rPr>
              <w:instrText xml:space="preserve"> PAGEREF _Toc270770556 \h </w:instrText>
            </w:r>
            <w:r>
              <w:rPr>
                <w:noProof/>
                <w:webHidden/>
              </w:rPr>
            </w:r>
            <w:r>
              <w:rPr>
                <w:noProof/>
                <w:webHidden/>
              </w:rPr>
              <w:fldChar w:fldCharType="separate"/>
            </w:r>
            <w:r w:rsidR="00BC7F72">
              <w:rPr>
                <w:noProof/>
                <w:webHidden/>
              </w:rPr>
              <w:t>12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57" w:history="1">
            <w:r w:rsidR="00BC7F72" w:rsidRPr="00517E8D">
              <w:rPr>
                <w:rStyle w:val="Hyperlink"/>
                <w:noProof/>
                <w:lang w:val="en-US"/>
              </w:rPr>
              <w:t>2.5.</w:t>
            </w:r>
            <w:r w:rsidR="00BC7F72">
              <w:rPr>
                <w:rFonts w:eastAsiaTheme="minorEastAsia"/>
                <w:noProof/>
                <w:lang w:eastAsia="nl-NL"/>
              </w:rPr>
              <w:tab/>
            </w:r>
            <w:r w:rsidR="00BC7F72" w:rsidRPr="00517E8D">
              <w:rPr>
                <w:rStyle w:val="Hyperlink"/>
                <w:noProof/>
                <w:lang w:val="en-US"/>
              </w:rPr>
              <w:t>Impairment</w:t>
            </w:r>
            <w:r w:rsidR="00BC7F72">
              <w:rPr>
                <w:noProof/>
                <w:webHidden/>
              </w:rPr>
              <w:tab/>
            </w:r>
            <w:r>
              <w:rPr>
                <w:noProof/>
                <w:webHidden/>
              </w:rPr>
              <w:fldChar w:fldCharType="begin"/>
            </w:r>
            <w:r w:rsidR="00BC7F72">
              <w:rPr>
                <w:noProof/>
                <w:webHidden/>
              </w:rPr>
              <w:instrText xml:space="preserve"> PAGEREF _Toc270770557 \h </w:instrText>
            </w:r>
            <w:r>
              <w:rPr>
                <w:noProof/>
                <w:webHidden/>
              </w:rPr>
            </w:r>
            <w:r>
              <w:rPr>
                <w:noProof/>
                <w:webHidden/>
              </w:rPr>
              <w:fldChar w:fldCharType="separate"/>
            </w:r>
            <w:r w:rsidR="00BC7F72">
              <w:rPr>
                <w:noProof/>
                <w:webHidden/>
              </w:rPr>
              <w:t>14</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58" w:history="1">
            <w:r w:rsidR="00BC7F72" w:rsidRPr="00517E8D">
              <w:rPr>
                <w:rStyle w:val="Hyperlink"/>
                <w:noProof/>
                <w:lang w:val="en-US"/>
              </w:rPr>
              <w:t>2.6.</w:t>
            </w:r>
            <w:r w:rsidR="00BC7F72">
              <w:rPr>
                <w:rFonts w:eastAsiaTheme="minorEastAsia"/>
                <w:noProof/>
                <w:lang w:eastAsia="nl-NL"/>
              </w:rPr>
              <w:tab/>
            </w:r>
            <w:r w:rsidR="00BC7F72" w:rsidRPr="00517E8D">
              <w:rPr>
                <w:rStyle w:val="Hyperlink"/>
                <w:noProof/>
                <w:lang w:val="en-US"/>
              </w:rPr>
              <w:t>Reclassification option amendment</w:t>
            </w:r>
            <w:r w:rsidR="00BC7F72">
              <w:rPr>
                <w:noProof/>
                <w:webHidden/>
              </w:rPr>
              <w:tab/>
            </w:r>
            <w:r>
              <w:rPr>
                <w:noProof/>
                <w:webHidden/>
              </w:rPr>
              <w:fldChar w:fldCharType="begin"/>
            </w:r>
            <w:r w:rsidR="00BC7F72">
              <w:rPr>
                <w:noProof/>
                <w:webHidden/>
              </w:rPr>
              <w:instrText xml:space="preserve"> PAGEREF _Toc270770558 \h </w:instrText>
            </w:r>
            <w:r>
              <w:rPr>
                <w:noProof/>
                <w:webHidden/>
              </w:rPr>
            </w:r>
            <w:r>
              <w:rPr>
                <w:noProof/>
                <w:webHidden/>
              </w:rPr>
              <w:fldChar w:fldCharType="separate"/>
            </w:r>
            <w:r w:rsidR="00BC7F72">
              <w:rPr>
                <w:noProof/>
                <w:webHidden/>
              </w:rPr>
              <w:t>15</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59" w:history="1">
            <w:r w:rsidR="00BC7F72" w:rsidRPr="00517E8D">
              <w:rPr>
                <w:rStyle w:val="Hyperlink"/>
                <w:rFonts w:eastAsia="Calibri"/>
                <w:noProof/>
                <w:lang w:val="en-US"/>
              </w:rPr>
              <w:t>2.7.</w:t>
            </w:r>
            <w:r w:rsidR="00BC7F72">
              <w:rPr>
                <w:rFonts w:eastAsiaTheme="minorEastAsia"/>
                <w:noProof/>
                <w:lang w:eastAsia="nl-NL"/>
              </w:rPr>
              <w:tab/>
            </w:r>
            <w:r w:rsidR="00BC7F72" w:rsidRPr="00517E8D">
              <w:rPr>
                <w:rStyle w:val="Hyperlink"/>
                <w:rFonts w:eastAsia="Calibri"/>
                <w:noProof/>
                <w:lang w:val="en-US"/>
              </w:rPr>
              <w:t>US counterpart and relaxation</w:t>
            </w:r>
            <w:r w:rsidR="00BC7F72">
              <w:rPr>
                <w:noProof/>
                <w:webHidden/>
              </w:rPr>
              <w:tab/>
            </w:r>
            <w:r>
              <w:rPr>
                <w:noProof/>
                <w:webHidden/>
              </w:rPr>
              <w:fldChar w:fldCharType="begin"/>
            </w:r>
            <w:r w:rsidR="00BC7F72">
              <w:rPr>
                <w:noProof/>
                <w:webHidden/>
              </w:rPr>
              <w:instrText xml:space="preserve"> PAGEREF _Toc270770559 \h </w:instrText>
            </w:r>
            <w:r>
              <w:rPr>
                <w:noProof/>
                <w:webHidden/>
              </w:rPr>
            </w:r>
            <w:r>
              <w:rPr>
                <w:noProof/>
                <w:webHidden/>
              </w:rPr>
              <w:fldChar w:fldCharType="separate"/>
            </w:r>
            <w:r w:rsidR="00BC7F72">
              <w:rPr>
                <w:noProof/>
                <w:webHidden/>
              </w:rPr>
              <w:t>16</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60" w:history="1">
            <w:r w:rsidR="00BC7F72" w:rsidRPr="00517E8D">
              <w:rPr>
                <w:rStyle w:val="Hyperlink"/>
                <w:noProof/>
                <w:lang w:val="en-US"/>
              </w:rPr>
              <w:t>2.8.</w:t>
            </w:r>
            <w:r w:rsidR="00BC7F72">
              <w:rPr>
                <w:rFonts w:eastAsiaTheme="minorEastAsia"/>
                <w:noProof/>
                <w:lang w:eastAsia="nl-NL"/>
              </w:rPr>
              <w:tab/>
            </w:r>
            <w:r w:rsidR="00BC7F72" w:rsidRPr="00517E8D">
              <w:rPr>
                <w:rStyle w:val="Hyperlink"/>
                <w:noProof/>
                <w:lang w:val="en-US"/>
              </w:rPr>
              <w:t>Rules and regulations on financial institutions</w:t>
            </w:r>
            <w:r w:rsidR="00BC7F72">
              <w:rPr>
                <w:noProof/>
                <w:webHidden/>
              </w:rPr>
              <w:tab/>
            </w:r>
            <w:r>
              <w:rPr>
                <w:noProof/>
                <w:webHidden/>
              </w:rPr>
              <w:fldChar w:fldCharType="begin"/>
            </w:r>
            <w:r w:rsidR="00BC7F72">
              <w:rPr>
                <w:noProof/>
                <w:webHidden/>
              </w:rPr>
              <w:instrText xml:space="preserve"> PAGEREF _Toc270770560 \h </w:instrText>
            </w:r>
            <w:r>
              <w:rPr>
                <w:noProof/>
                <w:webHidden/>
              </w:rPr>
            </w:r>
            <w:r>
              <w:rPr>
                <w:noProof/>
                <w:webHidden/>
              </w:rPr>
              <w:fldChar w:fldCharType="separate"/>
            </w:r>
            <w:r w:rsidR="00BC7F72">
              <w:rPr>
                <w:noProof/>
                <w:webHidden/>
              </w:rPr>
              <w:t>18</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561" w:history="1">
            <w:r w:rsidR="00BC7F72" w:rsidRPr="00517E8D">
              <w:rPr>
                <w:rStyle w:val="Hyperlink"/>
                <w:noProof/>
                <w:lang w:val="en-US"/>
              </w:rPr>
              <w:t>2.8.1.</w:t>
            </w:r>
            <w:r w:rsidR="00BC7F72">
              <w:rPr>
                <w:rFonts w:eastAsiaTheme="minorEastAsia"/>
                <w:noProof/>
                <w:lang w:eastAsia="nl-NL"/>
              </w:rPr>
              <w:tab/>
            </w:r>
            <w:r w:rsidR="00BC7F72" w:rsidRPr="00517E8D">
              <w:rPr>
                <w:rStyle w:val="Hyperlink"/>
                <w:noProof/>
                <w:lang w:val="en-US"/>
              </w:rPr>
              <w:t>Basel agreement</w:t>
            </w:r>
            <w:r w:rsidR="00BC7F72">
              <w:rPr>
                <w:noProof/>
                <w:webHidden/>
              </w:rPr>
              <w:tab/>
            </w:r>
            <w:r>
              <w:rPr>
                <w:noProof/>
                <w:webHidden/>
              </w:rPr>
              <w:fldChar w:fldCharType="begin"/>
            </w:r>
            <w:r w:rsidR="00BC7F72">
              <w:rPr>
                <w:noProof/>
                <w:webHidden/>
              </w:rPr>
              <w:instrText xml:space="preserve"> PAGEREF _Toc270770561 \h </w:instrText>
            </w:r>
            <w:r>
              <w:rPr>
                <w:noProof/>
                <w:webHidden/>
              </w:rPr>
            </w:r>
            <w:r>
              <w:rPr>
                <w:noProof/>
                <w:webHidden/>
              </w:rPr>
              <w:fldChar w:fldCharType="separate"/>
            </w:r>
            <w:r w:rsidR="00BC7F72">
              <w:rPr>
                <w:noProof/>
                <w:webHidden/>
              </w:rPr>
              <w:t>18</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562" w:history="1">
            <w:r w:rsidR="00BC7F72" w:rsidRPr="00517E8D">
              <w:rPr>
                <w:rStyle w:val="Hyperlink"/>
                <w:noProof/>
                <w:lang w:val="en-US"/>
              </w:rPr>
              <w:t>2.8.2.</w:t>
            </w:r>
            <w:r w:rsidR="00BC7F72">
              <w:rPr>
                <w:rFonts w:eastAsiaTheme="minorEastAsia"/>
                <w:noProof/>
                <w:lang w:eastAsia="nl-NL"/>
              </w:rPr>
              <w:tab/>
            </w:r>
            <w:r w:rsidR="00BC7F72" w:rsidRPr="00517E8D">
              <w:rPr>
                <w:rStyle w:val="Hyperlink"/>
                <w:noProof/>
                <w:lang w:val="en-US"/>
              </w:rPr>
              <w:t>Solvency requirements</w:t>
            </w:r>
            <w:r w:rsidR="00BC7F72">
              <w:rPr>
                <w:noProof/>
                <w:webHidden/>
              </w:rPr>
              <w:tab/>
            </w:r>
            <w:r>
              <w:rPr>
                <w:noProof/>
                <w:webHidden/>
              </w:rPr>
              <w:fldChar w:fldCharType="begin"/>
            </w:r>
            <w:r w:rsidR="00BC7F72">
              <w:rPr>
                <w:noProof/>
                <w:webHidden/>
              </w:rPr>
              <w:instrText xml:space="preserve"> PAGEREF _Toc270770562 \h </w:instrText>
            </w:r>
            <w:r>
              <w:rPr>
                <w:noProof/>
                <w:webHidden/>
              </w:rPr>
            </w:r>
            <w:r>
              <w:rPr>
                <w:noProof/>
                <w:webHidden/>
              </w:rPr>
              <w:fldChar w:fldCharType="separate"/>
            </w:r>
            <w:r w:rsidR="00BC7F72">
              <w:rPr>
                <w:noProof/>
                <w:webHidden/>
              </w:rPr>
              <w:t>19</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63" w:history="1">
            <w:r w:rsidR="00BC7F72" w:rsidRPr="00517E8D">
              <w:rPr>
                <w:rStyle w:val="Hyperlink"/>
                <w:noProof/>
                <w:lang w:val="en-US"/>
              </w:rPr>
              <w:t>2.9.</w:t>
            </w:r>
            <w:r w:rsidR="00BC7F72">
              <w:rPr>
                <w:rFonts w:eastAsiaTheme="minorEastAsia"/>
                <w:noProof/>
                <w:lang w:eastAsia="nl-NL"/>
              </w:rPr>
              <w:tab/>
            </w:r>
            <w:r w:rsidR="00BC7F72" w:rsidRPr="00517E8D">
              <w:rPr>
                <w:rStyle w:val="Hyperlink"/>
                <w:noProof/>
                <w:lang w:val="en-US"/>
              </w:rPr>
              <w:t>Corporate governance regulation</w:t>
            </w:r>
            <w:r w:rsidR="00BC7F72">
              <w:rPr>
                <w:noProof/>
                <w:webHidden/>
              </w:rPr>
              <w:tab/>
            </w:r>
            <w:r>
              <w:rPr>
                <w:noProof/>
                <w:webHidden/>
              </w:rPr>
              <w:fldChar w:fldCharType="begin"/>
            </w:r>
            <w:r w:rsidR="00BC7F72">
              <w:rPr>
                <w:noProof/>
                <w:webHidden/>
              </w:rPr>
              <w:instrText xml:space="preserve"> PAGEREF _Toc270770563 \h </w:instrText>
            </w:r>
            <w:r>
              <w:rPr>
                <w:noProof/>
                <w:webHidden/>
              </w:rPr>
            </w:r>
            <w:r>
              <w:rPr>
                <w:noProof/>
                <w:webHidden/>
              </w:rPr>
              <w:fldChar w:fldCharType="separate"/>
            </w:r>
            <w:r w:rsidR="00BC7F72">
              <w:rPr>
                <w:noProof/>
                <w:webHidden/>
              </w:rPr>
              <w:t>19</w:t>
            </w:r>
            <w:r>
              <w:rPr>
                <w:noProof/>
                <w:webHidden/>
              </w:rPr>
              <w:fldChar w:fldCharType="end"/>
            </w:r>
          </w:hyperlink>
        </w:p>
        <w:p w:rsidR="00BC7F72" w:rsidRDefault="00E77D2A" w:rsidP="00BC7F72">
          <w:pPr>
            <w:pStyle w:val="Inhopg2"/>
            <w:tabs>
              <w:tab w:val="left" w:pos="1100"/>
              <w:tab w:val="right" w:leader="dot" w:pos="9062"/>
            </w:tabs>
            <w:contextualSpacing/>
            <w:rPr>
              <w:rFonts w:eastAsiaTheme="minorEastAsia"/>
              <w:noProof/>
              <w:lang w:eastAsia="nl-NL"/>
            </w:rPr>
          </w:pPr>
          <w:hyperlink w:anchor="_Toc270770564" w:history="1">
            <w:r w:rsidR="00BC7F72" w:rsidRPr="00517E8D">
              <w:rPr>
                <w:rStyle w:val="Hyperlink"/>
                <w:noProof/>
                <w:lang w:val="en-US"/>
              </w:rPr>
              <w:t>2.10.</w:t>
            </w:r>
            <w:r w:rsidR="00BC7F72">
              <w:rPr>
                <w:rFonts w:eastAsiaTheme="minorEastAsia"/>
                <w:noProof/>
                <w:lang w:eastAsia="nl-NL"/>
              </w:rPr>
              <w:tab/>
            </w:r>
            <w:r w:rsidR="00BC7F72" w:rsidRPr="00517E8D">
              <w:rPr>
                <w:rStyle w:val="Hyperlink"/>
                <w:noProof/>
                <w:lang w:val="en-US"/>
              </w:rPr>
              <w:t>Conclusion</w:t>
            </w:r>
            <w:r w:rsidR="00BC7F72">
              <w:rPr>
                <w:noProof/>
                <w:webHidden/>
              </w:rPr>
              <w:tab/>
            </w:r>
            <w:r>
              <w:rPr>
                <w:noProof/>
                <w:webHidden/>
              </w:rPr>
              <w:fldChar w:fldCharType="begin"/>
            </w:r>
            <w:r w:rsidR="00BC7F72">
              <w:rPr>
                <w:noProof/>
                <w:webHidden/>
              </w:rPr>
              <w:instrText xml:space="preserve"> PAGEREF _Toc270770564 \h </w:instrText>
            </w:r>
            <w:r>
              <w:rPr>
                <w:noProof/>
                <w:webHidden/>
              </w:rPr>
            </w:r>
            <w:r>
              <w:rPr>
                <w:noProof/>
                <w:webHidden/>
              </w:rPr>
              <w:fldChar w:fldCharType="separate"/>
            </w:r>
            <w:r w:rsidR="00BC7F72">
              <w:rPr>
                <w:noProof/>
                <w:webHidden/>
              </w:rPr>
              <w:t>21</w:t>
            </w:r>
            <w:r>
              <w:rPr>
                <w:noProof/>
                <w:webHidden/>
              </w:rPr>
              <w:fldChar w:fldCharType="end"/>
            </w:r>
          </w:hyperlink>
        </w:p>
        <w:p w:rsidR="00BC7F72" w:rsidRDefault="00E77D2A" w:rsidP="00BC7F72">
          <w:pPr>
            <w:pStyle w:val="Inhopg1"/>
            <w:tabs>
              <w:tab w:val="left" w:pos="442"/>
              <w:tab w:val="right" w:leader="dot" w:pos="9062"/>
            </w:tabs>
            <w:contextualSpacing/>
            <w:rPr>
              <w:rFonts w:eastAsiaTheme="minorEastAsia"/>
              <w:noProof/>
              <w:lang w:eastAsia="nl-NL"/>
            </w:rPr>
          </w:pPr>
          <w:hyperlink w:anchor="_Toc270770565" w:history="1">
            <w:r w:rsidR="00BC7F72" w:rsidRPr="00517E8D">
              <w:rPr>
                <w:rStyle w:val="Hyperlink"/>
                <w:noProof/>
                <w:lang w:val="en-US"/>
              </w:rPr>
              <w:t>3.</w:t>
            </w:r>
            <w:r w:rsidR="00BC7F72">
              <w:rPr>
                <w:rFonts w:eastAsiaTheme="minorEastAsia"/>
                <w:noProof/>
                <w:lang w:eastAsia="nl-NL"/>
              </w:rPr>
              <w:tab/>
            </w:r>
            <w:r w:rsidR="00BC7F72" w:rsidRPr="00517E8D">
              <w:rPr>
                <w:rStyle w:val="Hyperlink"/>
                <w:noProof/>
                <w:lang w:val="en-US"/>
              </w:rPr>
              <w:t>Research approach</w:t>
            </w:r>
            <w:r w:rsidR="00BC7F72">
              <w:rPr>
                <w:noProof/>
                <w:webHidden/>
              </w:rPr>
              <w:tab/>
            </w:r>
            <w:r>
              <w:rPr>
                <w:noProof/>
                <w:webHidden/>
              </w:rPr>
              <w:fldChar w:fldCharType="begin"/>
            </w:r>
            <w:r w:rsidR="00BC7F72">
              <w:rPr>
                <w:noProof/>
                <w:webHidden/>
              </w:rPr>
              <w:instrText xml:space="preserve"> PAGEREF _Toc270770565 \h </w:instrText>
            </w:r>
            <w:r>
              <w:rPr>
                <w:noProof/>
                <w:webHidden/>
              </w:rPr>
            </w:r>
            <w:r>
              <w:rPr>
                <w:noProof/>
                <w:webHidden/>
              </w:rPr>
              <w:fldChar w:fldCharType="separate"/>
            </w:r>
            <w:r w:rsidR="00BC7F72">
              <w:rPr>
                <w:noProof/>
                <w:webHidden/>
              </w:rPr>
              <w:t>22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66" w:history="1">
            <w:r w:rsidR="00BC7F72" w:rsidRPr="00517E8D">
              <w:rPr>
                <w:rStyle w:val="Hyperlink"/>
                <w:noProof/>
                <w:lang w:val="en-US"/>
              </w:rPr>
              <w:t>3.1.</w:t>
            </w:r>
            <w:r w:rsidR="00BC7F72">
              <w:rPr>
                <w:rFonts w:eastAsiaTheme="minorEastAsia"/>
                <w:noProof/>
                <w:lang w:eastAsia="nl-NL"/>
              </w:rPr>
              <w:tab/>
            </w:r>
            <w:r w:rsidR="00BC7F72" w:rsidRPr="00517E8D">
              <w:rPr>
                <w:rStyle w:val="Hyperlink"/>
                <w:noProof/>
                <w:lang w:val="en-US"/>
              </w:rPr>
              <w:t>Introduction</w:t>
            </w:r>
            <w:r w:rsidR="00BC7F72">
              <w:rPr>
                <w:noProof/>
                <w:webHidden/>
              </w:rPr>
              <w:tab/>
            </w:r>
            <w:r>
              <w:rPr>
                <w:noProof/>
                <w:webHidden/>
              </w:rPr>
              <w:fldChar w:fldCharType="begin"/>
            </w:r>
            <w:r w:rsidR="00BC7F72">
              <w:rPr>
                <w:noProof/>
                <w:webHidden/>
              </w:rPr>
              <w:instrText xml:space="preserve"> PAGEREF _Toc270770566 \h </w:instrText>
            </w:r>
            <w:r>
              <w:rPr>
                <w:noProof/>
                <w:webHidden/>
              </w:rPr>
            </w:r>
            <w:r>
              <w:rPr>
                <w:noProof/>
                <w:webHidden/>
              </w:rPr>
              <w:fldChar w:fldCharType="separate"/>
            </w:r>
            <w:r w:rsidR="00BC7F72">
              <w:rPr>
                <w:noProof/>
                <w:webHidden/>
              </w:rPr>
              <w:t>22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67" w:history="1">
            <w:r w:rsidR="00BC7F72" w:rsidRPr="00517E8D">
              <w:rPr>
                <w:rStyle w:val="Hyperlink"/>
                <w:noProof/>
                <w:lang w:val="en-US"/>
              </w:rPr>
              <w:t>3.2.</w:t>
            </w:r>
            <w:r w:rsidR="00BC7F72">
              <w:rPr>
                <w:rFonts w:eastAsiaTheme="minorEastAsia"/>
                <w:noProof/>
                <w:lang w:eastAsia="nl-NL"/>
              </w:rPr>
              <w:tab/>
            </w:r>
            <w:r w:rsidR="00BC7F72" w:rsidRPr="00517E8D">
              <w:rPr>
                <w:rStyle w:val="Hyperlink"/>
                <w:noProof/>
                <w:lang w:val="en-US"/>
              </w:rPr>
              <w:t>The research approach</w:t>
            </w:r>
            <w:r w:rsidR="00BC7F72">
              <w:rPr>
                <w:noProof/>
                <w:webHidden/>
              </w:rPr>
              <w:tab/>
            </w:r>
            <w:r>
              <w:rPr>
                <w:noProof/>
                <w:webHidden/>
              </w:rPr>
              <w:fldChar w:fldCharType="begin"/>
            </w:r>
            <w:r w:rsidR="00BC7F72">
              <w:rPr>
                <w:noProof/>
                <w:webHidden/>
              </w:rPr>
              <w:instrText xml:space="preserve"> PAGEREF _Toc270770567 \h </w:instrText>
            </w:r>
            <w:r>
              <w:rPr>
                <w:noProof/>
                <w:webHidden/>
              </w:rPr>
            </w:r>
            <w:r>
              <w:rPr>
                <w:noProof/>
                <w:webHidden/>
              </w:rPr>
              <w:fldChar w:fldCharType="separate"/>
            </w:r>
            <w:r w:rsidR="00BC7F72">
              <w:rPr>
                <w:noProof/>
                <w:webHidden/>
              </w:rPr>
              <w:t>22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68" w:history="1">
            <w:r w:rsidR="00BC7F72" w:rsidRPr="00517E8D">
              <w:rPr>
                <w:rStyle w:val="Hyperlink"/>
                <w:noProof/>
                <w:lang w:val="en-US"/>
              </w:rPr>
              <w:t>3.3.</w:t>
            </w:r>
            <w:r w:rsidR="00BC7F72">
              <w:rPr>
                <w:rFonts w:eastAsiaTheme="minorEastAsia"/>
                <w:noProof/>
                <w:lang w:eastAsia="nl-NL"/>
              </w:rPr>
              <w:tab/>
            </w:r>
            <w:r w:rsidR="00BC7F72" w:rsidRPr="00517E8D">
              <w:rPr>
                <w:rStyle w:val="Hyperlink"/>
                <w:noProof/>
                <w:lang w:val="en-US"/>
              </w:rPr>
              <w:t>Event study</w:t>
            </w:r>
            <w:r w:rsidR="00BC7F72">
              <w:rPr>
                <w:noProof/>
                <w:webHidden/>
              </w:rPr>
              <w:tab/>
            </w:r>
            <w:r>
              <w:rPr>
                <w:noProof/>
                <w:webHidden/>
              </w:rPr>
              <w:fldChar w:fldCharType="begin"/>
            </w:r>
            <w:r w:rsidR="00BC7F72">
              <w:rPr>
                <w:noProof/>
                <w:webHidden/>
              </w:rPr>
              <w:instrText xml:space="preserve"> PAGEREF _Toc270770568 \h </w:instrText>
            </w:r>
            <w:r>
              <w:rPr>
                <w:noProof/>
                <w:webHidden/>
              </w:rPr>
            </w:r>
            <w:r>
              <w:rPr>
                <w:noProof/>
                <w:webHidden/>
              </w:rPr>
              <w:fldChar w:fldCharType="separate"/>
            </w:r>
            <w:r w:rsidR="00BC7F72">
              <w:rPr>
                <w:noProof/>
                <w:webHidden/>
              </w:rPr>
              <w:t>23</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569" w:history="1">
            <w:r w:rsidR="00BC7F72" w:rsidRPr="00517E8D">
              <w:rPr>
                <w:rStyle w:val="Hyperlink"/>
                <w:noProof/>
                <w:lang w:val="en-US"/>
              </w:rPr>
              <w:t>3.3.1.</w:t>
            </w:r>
            <w:r w:rsidR="00BC7F72">
              <w:rPr>
                <w:rFonts w:eastAsiaTheme="minorEastAsia"/>
                <w:noProof/>
                <w:lang w:eastAsia="nl-NL"/>
              </w:rPr>
              <w:tab/>
            </w:r>
            <w:r w:rsidR="00BC7F72" w:rsidRPr="00517E8D">
              <w:rPr>
                <w:rStyle w:val="Hyperlink"/>
                <w:noProof/>
                <w:lang w:val="en-US"/>
              </w:rPr>
              <w:t>Conducting an event study according to MacKinlay (1997)</w:t>
            </w:r>
            <w:r w:rsidR="00BC7F72">
              <w:rPr>
                <w:noProof/>
                <w:webHidden/>
              </w:rPr>
              <w:tab/>
            </w:r>
            <w:r>
              <w:rPr>
                <w:noProof/>
                <w:webHidden/>
              </w:rPr>
              <w:fldChar w:fldCharType="begin"/>
            </w:r>
            <w:r w:rsidR="00BC7F72">
              <w:rPr>
                <w:noProof/>
                <w:webHidden/>
              </w:rPr>
              <w:instrText xml:space="preserve"> PAGEREF _Toc270770569 \h </w:instrText>
            </w:r>
            <w:r>
              <w:rPr>
                <w:noProof/>
                <w:webHidden/>
              </w:rPr>
            </w:r>
            <w:r>
              <w:rPr>
                <w:noProof/>
                <w:webHidden/>
              </w:rPr>
              <w:fldChar w:fldCharType="separate"/>
            </w:r>
            <w:r w:rsidR="00BC7F72">
              <w:rPr>
                <w:noProof/>
                <w:webHidden/>
              </w:rPr>
              <w:t>23</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570" w:history="1">
            <w:r w:rsidR="00BC7F72" w:rsidRPr="00517E8D">
              <w:rPr>
                <w:rStyle w:val="Hyperlink"/>
                <w:noProof/>
                <w:lang w:val="en-US"/>
              </w:rPr>
              <w:t>3.3.2.</w:t>
            </w:r>
            <w:r w:rsidR="00BC7F72">
              <w:rPr>
                <w:rFonts w:eastAsiaTheme="minorEastAsia"/>
                <w:noProof/>
                <w:lang w:eastAsia="nl-NL"/>
              </w:rPr>
              <w:tab/>
            </w:r>
            <w:r w:rsidR="00BC7F72" w:rsidRPr="00517E8D">
              <w:rPr>
                <w:rStyle w:val="Hyperlink"/>
                <w:noProof/>
                <w:lang w:val="en-US"/>
              </w:rPr>
              <w:t>Common used multi- factor model for measuring market reaction of a change in accounting standard</w:t>
            </w:r>
            <w:r w:rsidR="00BC7F72">
              <w:rPr>
                <w:noProof/>
                <w:webHidden/>
              </w:rPr>
              <w:tab/>
            </w:r>
            <w:r>
              <w:rPr>
                <w:noProof/>
                <w:webHidden/>
              </w:rPr>
              <w:fldChar w:fldCharType="begin"/>
            </w:r>
            <w:r w:rsidR="00BC7F72">
              <w:rPr>
                <w:noProof/>
                <w:webHidden/>
              </w:rPr>
              <w:instrText xml:space="preserve"> PAGEREF _Toc270770570 \h </w:instrText>
            </w:r>
            <w:r>
              <w:rPr>
                <w:noProof/>
                <w:webHidden/>
              </w:rPr>
            </w:r>
            <w:r>
              <w:rPr>
                <w:noProof/>
                <w:webHidden/>
              </w:rPr>
              <w:fldChar w:fldCharType="separate"/>
            </w:r>
            <w:r w:rsidR="00BC7F72">
              <w:rPr>
                <w:noProof/>
                <w:webHidden/>
              </w:rPr>
              <w:t>25</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571" w:history="1">
            <w:r w:rsidR="00BC7F72" w:rsidRPr="00517E8D">
              <w:rPr>
                <w:rStyle w:val="Hyperlink"/>
                <w:noProof/>
                <w:lang w:val="en-US"/>
              </w:rPr>
              <w:t>3.3.3.</w:t>
            </w:r>
            <w:r w:rsidR="00BC7F72">
              <w:rPr>
                <w:rFonts w:eastAsiaTheme="minorEastAsia"/>
                <w:noProof/>
                <w:lang w:eastAsia="nl-NL"/>
              </w:rPr>
              <w:tab/>
            </w:r>
            <w:r w:rsidR="00BC7F72" w:rsidRPr="00517E8D">
              <w:rPr>
                <w:rStyle w:val="Hyperlink"/>
                <w:noProof/>
                <w:lang w:val="en-US"/>
              </w:rPr>
              <w:t>Motivation for using model(s)</w:t>
            </w:r>
            <w:r w:rsidR="00BC7F72">
              <w:rPr>
                <w:noProof/>
                <w:webHidden/>
              </w:rPr>
              <w:tab/>
            </w:r>
            <w:r>
              <w:rPr>
                <w:noProof/>
                <w:webHidden/>
              </w:rPr>
              <w:fldChar w:fldCharType="begin"/>
            </w:r>
            <w:r w:rsidR="00BC7F72">
              <w:rPr>
                <w:noProof/>
                <w:webHidden/>
              </w:rPr>
              <w:instrText xml:space="preserve"> PAGEREF _Toc270770571 \h </w:instrText>
            </w:r>
            <w:r>
              <w:rPr>
                <w:noProof/>
                <w:webHidden/>
              </w:rPr>
            </w:r>
            <w:r>
              <w:rPr>
                <w:noProof/>
                <w:webHidden/>
              </w:rPr>
              <w:fldChar w:fldCharType="separate"/>
            </w:r>
            <w:r w:rsidR="00BC7F72">
              <w:rPr>
                <w:noProof/>
                <w:webHidden/>
              </w:rPr>
              <w:t>26</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572" w:history="1">
            <w:r w:rsidR="00BC7F72" w:rsidRPr="00517E8D">
              <w:rPr>
                <w:rStyle w:val="Hyperlink"/>
                <w:noProof/>
                <w:lang w:val="en-US"/>
              </w:rPr>
              <w:t>3.3.4.</w:t>
            </w:r>
            <w:r w:rsidR="00BC7F72">
              <w:rPr>
                <w:rFonts w:eastAsiaTheme="minorEastAsia"/>
                <w:noProof/>
                <w:lang w:eastAsia="nl-NL"/>
              </w:rPr>
              <w:tab/>
            </w:r>
            <w:r w:rsidR="00BC7F72" w:rsidRPr="00517E8D">
              <w:rPr>
                <w:rStyle w:val="Hyperlink"/>
                <w:noProof/>
                <w:lang w:val="en-US"/>
              </w:rPr>
              <w:t>Event windows</w:t>
            </w:r>
            <w:r w:rsidR="00BC7F72">
              <w:rPr>
                <w:noProof/>
                <w:webHidden/>
              </w:rPr>
              <w:tab/>
            </w:r>
            <w:r>
              <w:rPr>
                <w:noProof/>
                <w:webHidden/>
              </w:rPr>
              <w:fldChar w:fldCharType="begin"/>
            </w:r>
            <w:r w:rsidR="00BC7F72">
              <w:rPr>
                <w:noProof/>
                <w:webHidden/>
              </w:rPr>
              <w:instrText xml:space="preserve"> PAGEREF _Toc270770572 \h </w:instrText>
            </w:r>
            <w:r>
              <w:rPr>
                <w:noProof/>
                <w:webHidden/>
              </w:rPr>
            </w:r>
            <w:r>
              <w:rPr>
                <w:noProof/>
                <w:webHidden/>
              </w:rPr>
              <w:fldChar w:fldCharType="separate"/>
            </w:r>
            <w:r w:rsidR="00BC7F72">
              <w:rPr>
                <w:noProof/>
                <w:webHidden/>
              </w:rPr>
              <w:t>26</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73" w:history="1">
            <w:r w:rsidR="00BC7F72" w:rsidRPr="00517E8D">
              <w:rPr>
                <w:rStyle w:val="Hyperlink"/>
                <w:noProof/>
                <w:lang w:val="en-US"/>
              </w:rPr>
              <w:t>3.4.</w:t>
            </w:r>
            <w:r w:rsidR="00BC7F72">
              <w:rPr>
                <w:rFonts w:eastAsiaTheme="minorEastAsia"/>
                <w:noProof/>
                <w:lang w:eastAsia="nl-NL"/>
              </w:rPr>
              <w:tab/>
            </w:r>
            <w:r w:rsidR="00BC7F72" w:rsidRPr="00517E8D">
              <w:rPr>
                <w:rStyle w:val="Hyperlink"/>
                <w:noProof/>
                <w:lang w:val="en-US"/>
              </w:rPr>
              <w:t>Conclusion</w:t>
            </w:r>
            <w:r w:rsidR="00BC7F72">
              <w:rPr>
                <w:noProof/>
                <w:webHidden/>
              </w:rPr>
              <w:tab/>
            </w:r>
            <w:r>
              <w:rPr>
                <w:noProof/>
                <w:webHidden/>
              </w:rPr>
              <w:fldChar w:fldCharType="begin"/>
            </w:r>
            <w:r w:rsidR="00BC7F72">
              <w:rPr>
                <w:noProof/>
                <w:webHidden/>
              </w:rPr>
              <w:instrText xml:space="preserve"> PAGEREF _Toc270770573 \h </w:instrText>
            </w:r>
            <w:r>
              <w:rPr>
                <w:noProof/>
                <w:webHidden/>
              </w:rPr>
            </w:r>
            <w:r>
              <w:rPr>
                <w:noProof/>
                <w:webHidden/>
              </w:rPr>
              <w:fldChar w:fldCharType="separate"/>
            </w:r>
            <w:r w:rsidR="00BC7F72">
              <w:rPr>
                <w:noProof/>
                <w:webHidden/>
              </w:rPr>
              <w:t>27</w:t>
            </w:r>
            <w:r>
              <w:rPr>
                <w:noProof/>
                <w:webHidden/>
              </w:rPr>
              <w:fldChar w:fldCharType="end"/>
            </w:r>
          </w:hyperlink>
        </w:p>
        <w:p w:rsidR="00BC7F72" w:rsidRDefault="00E77D2A" w:rsidP="00BC7F72">
          <w:pPr>
            <w:pStyle w:val="Inhopg1"/>
            <w:tabs>
              <w:tab w:val="left" w:pos="442"/>
              <w:tab w:val="right" w:leader="dot" w:pos="9062"/>
            </w:tabs>
            <w:contextualSpacing/>
            <w:rPr>
              <w:rFonts w:eastAsiaTheme="minorEastAsia"/>
              <w:noProof/>
              <w:lang w:eastAsia="nl-NL"/>
            </w:rPr>
          </w:pPr>
          <w:hyperlink w:anchor="_Toc270770574" w:history="1">
            <w:r w:rsidR="00BC7F72" w:rsidRPr="00517E8D">
              <w:rPr>
                <w:rStyle w:val="Hyperlink"/>
                <w:noProof/>
                <w:lang w:val="en-US"/>
              </w:rPr>
              <w:t>4.</w:t>
            </w:r>
            <w:r w:rsidR="00BC7F72">
              <w:rPr>
                <w:rFonts w:eastAsiaTheme="minorEastAsia"/>
                <w:noProof/>
                <w:lang w:eastAsia="nl-NL"/>
              </w:rPr>
              <w:tab/>
            </w:r>
            <w:r w:rsidR="00BC7F72" w:rsidRPr="00517E8D">
              <w:rPr>
                <w:rStyle w:val="Hyperlink"/>
                <w:noProof/>
                <w:lang w:val="en-US"/>
              </w:rPr>
              <w:t>Prior research on economic consequences</w:t>
            </w:r>
            <w:r w:rsidR="00BC7F72">
              <w:rPr>
                <w:noProof/>
                <w:webHidden/>
              </w:rPr>
              <w:tab/>
            </w:r>
            <w:r>
              <w:rPr>
                <w:noProof/>
                <w:webHidden/>
              </w:rPr>
              <w:fldChar w:fldCharType="begin"/>
            </w:r>
            <w:r w:rsidR="00BC7F72">
              <w:rPr>
                <w:noProof/>
                <w:webHidden/>
              </w:rPr>
              <w:instrText xml:space="preserve"> PAGEREF _Toc270770574 \h </w:instrText>
            </w:r>
            <w:r>
              <w:rPr>
                <w:noProof/>
                <w:webHidden/>
              </w:rPr>
            </w:r>
            <w:r>
              <w:rPr>
                <w:noProof/>
                <w:webHidden/>
              </w:rPr>
              <w:fldChar w:fldCharType="separate"/>
            </w:r>
            <w:r w:rsidR="00BC7F72">
              <w:rPr>
                <w:noProof/>
                <w:webHidden/>
              </w:rPr>
              <w:t>28</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75" w:history="1">
            <w:r w:rsidR="00BC7F72" w:rsidRPr="00517E8D">
              <w:rPr>
                <w:rStyle w:val="Hyperlink"/>
                <w:noProof/>
                <w:lang w:val="en-US"/>
              </w:rPr>
              <w:t>4.1.</w:t>
            </w:r>
            <w:r w:rsidR="00BC7F72">
              <w:rPr>
                <w:rFonts w:eastAsiaTheme="minorEastAsia"/>
                <w:noProof/>
                <w:lang w:eastAsia="nl-NL"/>
              </w:rPr>
              <w:tab/>
            </w:r>
            <w:r w:rsidR="00BC7F72" w:rsidRPr="00517E8D">
              <w:rPr>
                <w:rStyle w:val="Hyperlink"/>
                <w:noProof/>
                <w:lang w:val="en-US"/>
              </w:rPr>
              <w:t>Introduction</w:t>
            </w:r>
            <w:r w:rsidR="00BC7F72">
              <w:rPr>
                <w:noProof/>
                <w:webHidden/>
              </w:rPr>
              <w:tab/>
            </w:r>
            <w:r>
              <w:rPr>
                <w:noProof/>
                <w:webHidden/>
              </w:rPr>
              <w:fldChar w:fldCharType="begin"/>
            </w:r>
            <w:r w:rsidR="00BC7F72">
              <w:rPr>
                <w:noProof/>
                <w:webHidden/>
              </w:rPr>
              <w:instrText xml:space="preserve"> PAGEREF _Toc270770575 \h </w:instrText>
            </w:r>
            <w:r>
              <w:rPr>
                <w:noProof/>
                <w:webHidden/>
              </w:rPr>
            </w:r>
            <w:r>
              <w:rPr>
                <w:noProof/>
                <w:webHidden/>
              </w:rPr>
              <w:fldChar w:fldCharType="separate"/>
            </w:r>
            <w:r w:rsidR="00BC7F72">
              <w:rPr>
                <w:noProof/>
                <w:webHidden/>
              </w:rPr>
              <w:t>28</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76" w:history="1">
            <w:r w:rsidR="00BC7F72" w:rsidRPr="00517E8D">
              <w:rPr>
                <w:rStyle w:val="Hyperlink"/>
                <w:noProof/>
                <w:lang w:val="en-US"/>
              </w:rPr>
              <w:t>4.2.</w:t>
            </w:r>
            <w:r w:rsidR="00BC7F72">
              <w:rPr>
                <w:rFonts w:eastAsiaTheme="minorEastAsia"/>
                <w:noProof/>
                <w:lang w:eastAsia="nl-NL"/>
              </w:rPr>
              <w:tab/>
            </w:r>
            <w:r w:rsidR="00BC7F72" w:rsidRPr="00517E8D">
              <w:rPr>
                <w:rStyle w:val="Hyperlink"/>
                <w:noProof/>
                <w:lang w:val="en-US"/>
              </w:rPr>
              <w:t>Capital market reaction</w:t>
            </w:r>
            <w:r w:rsidR="00BC7F72">
              <w:rPr>
                <w:noProof/>
                <w:webHidden/>
              </w:rPr>
              <w:tab/>
            </w:r>
            <w:r>
              <w:rPr>
                <w:noProof/>
                <w:webHidden/>
              </w:rPr>
              <w:fldChar w:fldCharType="begin"/>
            </w:r>
            <w:r w:rsidR="00BC7F72">
              <w:rPr>
                <w:noProof/>
                <w:webHidden/>
              </w:rPr>
              <w:instrText xml:space="preserve"> PAGEREF _Toc270770576 \h </w:instrText>
            </w:r>
            <w:r>
              <w:rPr>
                <w:noProof/>
                <w:webHidden/>
              </w:rPr>
            </w:r>
            <w:r>
              <w:rPr>
                <w:noProof/>
                <w:webHidden/>
              </w:rPr>
              <w:fldChar w:fldCharType="separate"/>
            </w:r>
            <w:r w:rsidR="00BC7F72">
              <w:rPr>
                <w:noProof/>
                <w:webHidden/>
              </w:rPr>
              <w:t>28</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77" w:history="1">
            <w:r w:rsidR="00BC7F72" w:rsidRPr="00517E8D">
              <w:rPr>
                <w:rStyle w:val="Hyperlink"/>
                <w:noProof/>
                <w:lang w:val="en-US"/>
              </w:rPr>
              <w:t>4.3.</w:t>
            </w:r>
            <w:r w:rsidR="00BC7F72">
              <w:rPr>
                <w:rFonts w:eastAsiaTheme="minorEastAsia"/>
                <w:noProof/>
                <w:lang w:eastAsia="nl-NL"/>
              </w:rPr>
              <w:tab/>
            </w:r>
            <w:r w:rsidR="00BC7F72" w:rsidRPr="00517E8D">
              <w:rPr>
                <w:rStyle w:val="Hyperlink"/>
                <w:noProof/>
                <w:lang w:val="en-US"/>
              </w:rPr>
              <w:t>Background</w:t>
            </w:r>
            <w:r w:rsidR="00BC7F72">
              <w:rPr>
                <w:noProof/>
                <w:webHidden/>
              </w:rPr>
              <w:tab/>
            </w:r>
            <w:r>
              <w:rPr>
                <w:noProof/>
                <w:webHidden/>
              </w:rPr>
              <w:fldChar w:fldCharType="begin"/>
            </w:r>
            <w:r w:rsidR="00BC7F72">
              <w:rPr>
                <w:noProof/>
                <w:webHidden/>
              </w:rPr>
              <w:instrText xml:space="preserve"> PAGEREF _Toc270770577 \h </w:instrText>
            </w:r>
            <w:r>
              <w:rPr>
                <w:noProof/>
                <w:webHidden/>
              </w:rPr>
            </w:r>
            <w:r>
              <w:rPr>
                <w:noProof/>
                <w:webHidden/>
              </w:rPr>
              <w:fldChar w:fldCharType="separate"/>
            </w:r>
            <w:r w:rsidR="00BC7F72">
              <w:rPr>
                <w:noProof/>
                <w:webHidden/>
              </w:rPr>
              <w:t>29</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78" w:history="1">
            <w:r w:rsidR="00BC7F72" w:rsidRPr="00517E8D">
              <w:rPr>
                <w:rStyle w:val="Hyperlink"/>
                <w:noProof/>
                <w:lang w:val="en-US"/>
              </w:rPr>
              <w:t>4.4.</w:t>
            </w:r>
            <w:r w:rsidR="00BC7F72">
              <w:rPr>
                <w:rFonts w:eastAsiaTheme="minorEastAsia"/>
                <w:noProof/>
                <w:lang w:eastAsia="nl-NL"/>
              </w:rPr>
              <w:tab/>
            </w:r>
            <w:r w:rsidR="00BC7F72" w:rsidRPr="00517E8D">
              <w:rPr>
                <w:rStyle w:val="Hyperlink"/>
                <w:noProof/>
                <w:lang w:val="en-US"/>
              </w:rPr>
              <w:t>Economic consequences of the adoption of IAS 39 in Europe</w:t>
            </w:r>
            <w:r w:rsidR="00BC7F72">
              <w:rPr>
                <w:noProof/>
                <w:webHidden/>
              </w:rPr>
              <w:tab/>
            </w:r>
            <w:r>
              <w:rPr>
                <w:noProof/>
                <w:webHidden/>
              </w:rPr>
              <w:fldChar w:fldCharType="begin"/>
            </w:r>
            <w:r w:rsidR="00BC7F72">
              <w:rPr>
                <w:noProof/>
                <w:webHidden/>
              </w:rPr>
              <w:instrText xml:space="preserve"> PAGEREF _Toc270770578 \h </w:instrText>
            </w:r>
            <w:r>
              <w:rPr>
                <w:noProof/>
                <w:webHidden/>
              </w:rPr>
            </w:r>
            <w:r>
              <w:rPr>
                <w:noProof/>
                <w:webHidden/>
              </w:rPr>
              <w:fldChar w:fldCharType="separate"/>
            </w:r>
            <w:r w:rsidR="00BC7F72">
              <w:rPr>
                <w:noProof/>
                <w:webHidden/>
              </w:rPr>
              <w:t>31</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79" w:history="1">
            <w:r w:rsidR="00BC7F72" w:rsidRPr="00517E8D">
              <w:rPr>
                <w:rStyle w:val="Hyperlink"/>
                <w:noProof/>
                <w:lang w:val="en-US"/>
              </w:rPr>
              <w:t>4.5.</w:t>
            </w:r>
            <w:r w:rsidR="00BC7F72">
              <w:rPr>
                <w:rFonts w:eastAsiaTheme="minorEastAsia"/>
                <w:noProof/>
                <w:lang w:eastAsia="nl-NL"/>
              </w:rPr>
              <w:tab/>
            </w:r>
            <w:r w:rsidR="00BC7F72" w:rsidRPr="00517E8D">
              <w:rPr>
                <w:rStyle w:val="Hyperlink"/>
                <w:noProof/>
                <w:lang w:val="en-US"/>
              </w:rPr>
              <w:t>Pro-cyclical process and FVA</w:t>
            </w:r>
            <w:r w:rsidR="00BC7F72">
              <w:rPr>
                <w:noProof/>
                <w:webHidden/>
              </w:rPr>
              <w:tab/>
            </w:r>
            <w:r>
              <w:rPr>
                <w:noProof/>
                <w:webHidden/>
              </w:rPr>
              <w:fldChar w:fldCharType="begin"/>
            </w:r>
            <w:r w:rsidR="00BC7F72">
              <w:rPr>
                <w:noProof/>
                <w:webHidden/>
              </w:rPr>
              <w:instrText xml:space="preserve"> PAGEREF _Toc270770579 \h </w:instrText>
            </w:r>
            <w:r>
              <w:rPr>
                <w:noProof/>
                <w:webHidden/>
              </w:rPr>
            </w:r>
            <w:r>
              <w:rPr>
                <w:noProof/>
                <w:webHidden/>
              </w:rPr>
              <w:fldChar w:fldCharType="separate"/>
            </w:r>
            <w:r w:rsidR="00BC7F72">
              <w:rPr>
                <w:noProof/>
                <w:webHidden/>
              </w:rPr>
              <w:t>33</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80" w:history="1">
            <w:r w:rsidR="00BC7F72" w:rsidRPr="00517E8D">
              <w:rPr>
                <w:rStyle w:val="Hyperlink"/>
                <w:noProof/>
                <w:lang w:val="en-US"/>
              </w:rPr>
              <w:t>4.6.</w:t>
            </w:r>
            <w:r w:rsidR="00BC7F72">
              <w:rPr>
                <w:rFonts w:eastAsiaTheme="minorEastAsia"/>
                <w:noProof/>
                <w:lang w:eastAsia="nl-NL"/>
              </w:rPr>
              <w:tab/>
            </w:r>
            <w:r w:rsidR="00BC7F72" w:rsidRPr="00517E8D">
              <w:rPr>
                <w:rStyle w:val="Hyperlink"/>
                <w:noProof/>
                <w:lang w:val="en-US"/>
              </w:rPr>
              <w:t>Pro-cyclicality and capital requirements</w:t>
            </w:r>
            <w:r w:rsidR="00BC7F72">
              <w:rPr>
                <w:noProof/>
                <w:webHidden/>
              </w:rPr>
              <w:tab/>
            </w:r>
            <w:r>
              <w:rPr>
                <w:noProof/>
                <w:webHidden/>
              </w:rPr>
              <w:fldChar w:fldCharType="begin"/>
            </w:r>
            <w:r w:rsidR="00BC7F72">
              <w:rPr>
                <w:noProof/>
                <w:webHidden/>
              </w:rPr>
              <w:instrText xml:space="preserve"> PAGEREF _Toc270770580 \h </w:instrText>
            </w:r>
            <w:r>
              <w:rPr>
                <w:noProof/>
                <w:webHidden/>
              </w:rPr>
            </w:r>
            <w:r>
              <w:rPr>
                <w:noProof/>
                <w:webHidden/>
              </w:rPr>
              <w:fldChar w:fldCharType="separate"/>
            </w:r>
            <w:r w:rsidR="00BC7F72">
              <w:rPr>
                <w:noProof/>
                <w:webHidden/>
              </w:rPr>
              <w:t>35</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81" w:history="1">
            <w:r w:rsidR="00BC7F72" w:rsidRPr="00517E8D">
              <w:rPr>
                <w:rStyle w:val="Hyperlink"/>
                <w:noProof/>
                <w:lang w:val="en-US"/>
              </w:rPr>
              <w:t>4.7.</w:t>
            </w:r>
            <w:r w:rsidR="00BC7F72">
              <w:rPr>
                <w:rFonts w:eastAsiaTheme="minorEastAsia"/>
                <w:noProof/>
                <w:lang w:eastAsia="nl-NL"/>
              </w:rPr>
              <w:tab/>
            </w:r>
            <w:r w:rsidR="00BC7F72" w:rsidRPr="00517E8D">
              <w:rPr>
                <w:rStyle w:val="Hyperlink"/>
                <w:noProof/>
                <w:lang w:val="en-US"/>
              </w:rPr>
              <w:t>Economic consequences of reclassification option (Europe) and relaxation (US)</w:t>
            </w:r>
            <w:r w:rsidR="00BC7F72">
              <w:rPr>
                <w:noProof/>
                <w:webHidden/>
              </w:rPr>
              <w:tab/>
            </w:r>
            <w:r>
              <w:rPr>
                <w:noProof/>
                <w:webHidden/>
              </w:rPr>
              <w:fldChar w:fldCharType="begin"/>
            </w:r>
            <w:r w:rsidR="00BC7F72">
              <w:rPr>
                <w:noProof/>
                <w:webHidden/>
              </w:rPr>
              <w:instrText xml:space="preserve"> PAGEREF _Toc270770581 \h </w:instrText>
            </w:r>
            <w:r>
              <w:rPr>
                <w:noProof/>
                <w:webHidden/>
              </w:rPr>
            </w:r>
            <w:r>
              <w:rPr>
                <w:noProof/>
                <w:webHidden/>
              </w:rPr>
              <w:fldChar w:fldCharType="separate"/>
            </w:r>
            <w:r w:rsidR="00BC7F72">
              <w:rPr>
                <w:noProof/>
                <w:webHidden/>
              </w:rPr>
              <w:t>36</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82" w:history="1">
            <w:r w:rsidR="00BC7F72" w:rsidRPr="00517E8D">
              <w:rPr>
                <w:rStyle w:val="Hyperlink"/>
                <w:noProof/>
                <w:lang w:val="en-US"/>
              </w:rPr>
              <w:t>4.8.</w:t>
            </w:r>
            <w:r w:rsidR="00BC7F72">
              <w:rPr>
                <w:rFonts w:eastAsiaTheme="minorEastAsia"/>
                <w:noProof/>
                <w:lang w:eastAsia="nl-NL"/>
              </w:rPr>
              <w:tab/>
            </w:r>
            <w:r w:rsidR="00BC7F72" w:rsidRPr="00517E8D">
              <w:rPr>
                <w:rStyle w:val="Hyperlink"/>
                <w:noProof/>
                <w:lang w:val="en-US"/>
              </w:rPr>
              <w:t>Criticism on the relaxing of FVA</w:t>
            </w:r>
            <w:r w:rsidR="00BC7F72">
              <w:rPr>
                <w:noProof/>
                <w:webHidden/>
              </w:rPr>
              <w:tab/>
            </w:r>
            <w:r>
              <w:rPr>
                <w:noProof/>
                <w:webHidden/>
              </w:rPr>
              <w:fldChar w:fldCharType="begin"/>
            </w:r>
            <w:r w:rsidR="00BC7F72">
              <w:rPr>
                <w:noProof/>
                <w:webHidden/>
              </w:rPr>
              <w:instrText xml:space="preserve"> PAGEREF _Toc270770582 \h </w:instrText>
            </w:r>
            <w:r>
              <w:rPr>
                <w:noProof/>
                <w:webHidden/>
              </w:rPr>
            </w:r>
            <w:r>
              <w:rPr>
                <w:noProof/>
                <w:webHidden/>
              </w:rPr>
              <w:fldChar w:fldCharType="separate"/>
            </w:r>
            <w:r w:rsidR="00BC7F72">
              <w:rPr>
                <w:noProof/>
                <w:webHidden/>
              </w:rPr>
              <w:t>38</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83" w:history="1">
            <w:r w:rsidR="00BC7F72" w:rsidRPr="00517E8D">
              <w:rPr>
                <w:rStyle w:val="Hyperlink"/>
                <w:rFonts w:eastAsia="Calibri"/>
                <w:noProof/>
                <w:lang w:val="en-US"/>
              </w:rPr>
              <w:t>4.9.</w:t>
            </w:r>
            <w:r w:rsidR="00BC7F72">
              <w:rPr>
                <w:rFonts w:eastAsiaTheme="minorEastAsia"/>
                <w:noProof/>
                <w:lang w:eastAsia="nl-NL"/>
              </w:rPr>
              <w:tab/>
            </w:r>
            <w:r w:rsidR="00BC7F72" w:rsidRPr="00517E8D">
              <w:rPr>
                <w:rStyle w:val="Hyperlink"/>
                <w:rFonts w:eastAsia="Calibri"/>
                <w:noProof/>
                <w:lang w:val="en-US"/>
              </w:rPr>
              <w:t>Conclusion</w:t>
            </w:r>
            <w:r w:rsidR="00BC7F72">
              <w:rPr>
                <w:noProof/>
                <w:webHidden/>
              </w:rPr>
              <w:tab/>
            </w:r>
            <w:r>
              <w:rPr>
                <w:noProof/>
                <w:webHidden/>
              </w:rPr>
              <w:fldChar w:fldCharType="begin"/>
            </w:r>
            <w:r w:rsidR="00BC7F72">
              <w:rPr>
                <w:noProof/>
                <w:webHidden/>
              </w:rPr>
              <w:instrText xml:space="preserve"> PAGEREF _Toc270770583 \h </w:instrText>
            </w:r>
            <w:r>
              <w:rPr>
                <w:noProof/>
                <w:webHidden/>
              </w:rPr>
            </w:r>
            <w:r>
              <w:rPr>
                <w:noProof/>
                <w:webHidden/>
              </w:rPr>
              <w:fldChar w:fldCharType="separate"/>
            </w:r>
            <w:r w:rsidR="00BC7F72">
              <w:rPr>
                <w:noProof/>
                <w:webHidden/>
              </w:rPr>
              <w:t>38</w:t>
            </w:r>
            <w:r>
              <w:rPr>
                <w:noProof/>
                <w:webHidden/>
              </w:rPr>
              <w:fldChar w:fldCharType="end"/>
            </w:r>
          </w:hyperlink>
        </w:p>
        <w:p w:rsidR="00BC7F72" w:rsidRDefault="00E77D2A" w:rsidP="00BC7F72">
          <w:pPr>
            <w:pStyle w:val="Inhopg1"/>
            <w:tabs>
              <w:tab w:val="left" w:pos="442"/>
              <w:tab w:val="right" w:leader="dot" w:pos="9062"/>
            </w:tabs>
            <w:contextualSpacing/>
            <w:rPr>
              <w:rFonts w:eastAsiaTheme="minorEastAsia"/>
              <w:noProof/>
              <w:lang w:eastAsia="nl-NL"/>
            </w:rPr>
          </w:pPr>
          <w:hyperlink w:anchor="_Toc270770584" w:history="1">
            <w:r w:rsidR="00BC7F72" w:rsidRPr="00517E8D">
              <w:rPr>
                <w:rStyle w:val="Hyperlink"/>
                <w:noProof/>
                <w:lang w:val="en-US"/>
              </w:rPr>
              <w:t>5.</w:t>
            </w:r>
            <w:r w:rsidR="00BC7F72">
              <w:rPr>
                <w:rFonts w:eastAsiaTheme="minorEastAsia"/>
                <w:noProof/>
                <w:lang w:eastAsia="nl-NL"/>
              </w:rPr>
              <w:tab/>
            </w:r>
            <w:r w:rsidR="00BC7F72" w:rsidRPr="00517E8D">
              <w:rPr>
                <w:rStyle w:val="Hyperlink"/>
                <w:noProof/>
                <w:lang w:val="en-US"/>
              </w:rPr>
              <w:t>Expectations and hypotheses</w:t>
            </w:r>
            <w:r w:rsidR="00BC7F72">
              <w:rPr>
                <w:noProof/>
                <w:webHidden/>
              </w:rPr>
              <w:tab/>
            </w:r>
            <w:r>
              <w:rPr>
                <w:noProof/>
                <w:webHidden/>
              </w:rPr>
              <w:fldChar w:fldCharType="begin"/>
            </w:r>
            <w:r w:rsidR="00BC7F72">
              <w:rPr>
                <w:noProof/>
                <w:webHidden/>
              </w:rPr>
              <w:instrText xml:space="preserve"> PAGEREF _Toc270770584 \h </w:instrText>
            </w:r>
            <w:r>
              <w:rPr>
                <w:noProof/>
                <w:webHidden/>
              </w:rPr>
            </w:r>
            <w:r>
              <w:rPr>
                <w:noProof/>
                <w:webHidden/>
              </w:rPr>
              <w:fldChar w:fldCharType="separate"/>
            </w:r>
            <w:r w:rsidR="00BC7F72">
              <w:rPr>
                <w:noProof/>
                <w:webHidden/>
              </w:rPr>
              <w:t>40</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85" w:history="1">
            <w:r w:rsidR="00BC7F72" w:rsidRPr="00517E8D">
              <w:rPr>
                <w:rStyle w:val="Hyperlink"/>
                <w:noProof/>
                <w:lang w:val="en-US"/>
              </w:rPr>
              <w:t>5.1.</w:t>
            </w:r>
            <w:r w:rsidR="00BC7F72">
              <w:rPr>
                <w:rFonts w:eastAsiaTheme="minorEastAsia"/>
                <w:noProof/>
                <w:lang w:eastAsia="nl-NL"/>
              </w:rPr>
              <w:tab/>
            </w:r>
            <w:r w:rsidR="00BC7F72" w:rsidRPr="00517E8D">
              <w:rPr>
                <w:rStyle w:val="Hyperlink"/>
                <w:noProof/>
                <w:lang w:val="en-US"/>
              </w:rPr>
              <w:t>Introduction</w:t>
            </w:r>
            <w:r w:rsidR="00BC7F72">
              <w:rPr>
                <w:noProof/>
                <w:webHidden/>
              </w:rPr>
              <w:tab/>
            </w:r>
            <w:r>
              <w:rPr>
                <w:noProof/>
                <w:webHidden/>
              </w:rPr>
              <w:fldChar w:fldCharType="begin"/>
            </w:r>
            <w:r w:rsidR="00BC7F72">
              <w:rPr>
                <w:noProof/>
                <w:webHidden/>
              </w:rPr>
              <w:instrText xml:space="preserve"> PAGEREF _Toc270770585 \h </w:instrText>
            </w:r>
            <w:r>
              <w:rPr>
                <w:noProof/>
                <w:webHidden/>
              </w:rPr>
            </w:r>
            <w:r>
              <w:rPr>
                <w:noProof/>
                <w:webHidden/>
              </w:rPr>
              <w:fldChar w:fldCharType="separate"/>
            </w:r>
            <w:r w:rsidR="00BC7F72">
              <w:rPr>
                <w:noProof/>
                <w:webHidden/>
              </w:rPr>
              <w:t>40</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86" w:history="1">
            <w:r w:rsidR="00BC7F72" w:rsidRPr="00517E8D">
              <w:rPr>
                <w:rStyle w:val="Hyperlink"/>
                <w:noProof/>
                <w:lang w:val="en-US"/>
              </w:rPr>
              <w:t>5.2.</w:t>
            </w:r>
            <w:r w:rsidR="00BC7F72">
              <w:rPr>
                <w:rFonts w:eastAsiaTheme="minorEastAsia"/>
                <w:noProof/>
                <w:lang w:eastAsia="nl-NL"/>
              </w:rPr>
              <w:tab/>
            </w:r>
            <w:r w:rsidR="00BC7F72" w:rsidRPr="00517E8D">
              <w:rPr>
                <w:rStyle w:val="Hyperlink"/>
                <w:noProof/>
                <w:lang w:val="en-US"/>
              </w:rPr>
              <w:t>First Hypothesis</w:t>
            </w:r>
            <w:r w:rsidR="00BC7F72">
              <w:rPr>
                <w:noProof/>
                <w:webHidden/>
              </w:rPr>
              <w:tab/>
            </w:r>
            <w:r>
              <w:rPr>
                <w:noProof/>
                <w:webHidden/>
              </w:rPr>
              <w:fldChar w:fldCharType="begin"/>
            </w:r>
            <w:r w:rsidR="00BC7F72">
              <w:rPr>
                <w:noProof/>
                <w:webHidden/>
              </w:rPr>
              <w:instrText xml:space="preserve"> PAGEREF _Toc270770586 \h </w:instrText>
            </w:r>
            <w:r>
              <w:rPr>
                <w:noProof/>
                <w:webHidden/>
              </w:rPr>
            </w:r>
            <w:r>
              <w:rPr>
                <w:noProof/>
                <w:webHidden/>
              </w:rPr>
              <w:fldChar w:fldCharType="separate"/>
            </w:r>
            <w:r w:rsidR="00BC7F72">
              <w:rPr>
                <w:noProof/>
                <w:webHidden/>
              </w:rPr>
              <w:t>40</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87" w:history="1">
            <w:r w:rsidR="00BC7F72" w:rsidRPr="00517E8D">
              <w:rPr>
                <w:rStyle w:val="Hyperlink"/>
                <w:noProof/>
                <w:lang w:val="en-US"/>
              </w:rPr>
              <w:t>5.3.</w:t>
            </w:r>
            <w:r w:rsidR="00BC7F72">
              <w:rPr>
                <w:rFonts w:eastAsiaTheme="minorEastAsia"/>
                <w:noProof/>
                <w:lang w:eastAsia="nl-NL"/>
              </w:rPr>
              <w:tab/>
            </w:r>
            <w:r w:rsidR="00BC7F72" w:rsidRPr="00517E8D">
              <w:rPr>
                <w:rStyle w:val="Hyperlink"/>
                <w:noProof/>
                <w:lang w:val="en-US"/>
              </w:rPr>
              <w:t>Second hypothesis</w:t>
            </w:r>
            <w:r w:rsidR="00BC7F72">
              <w:rPr>
                <w:noProof/>
                <w:webHidden/>
              </w:rPr>
              <w:tab/>
            </w:r>
            <w:r>
              <w:rPr>
                <w:noProof/>
                <w:webHidden/>
              </w:rPr>
              <w:fldChar w:fldCharType="begin"/>
            </w:r>
            <w:r w:rsidR="00BC7F72">
              <w:rPr>
                <w:noProof/>
                <w:webHidden/>
              </w:rPr>
              <w:instrText xml:space="preserve"> PAGEREF _Toc270770587 \h </w:instrText>
            </w:r>
            <w:r>
              <w:rPr>
                <w:noProof/>
                <w:webHidden/>
              </w:rPr>
            </w:r>
            <w:r>
              <w:rPr>
                <w:noProof/>
                <w:webHidden/>
              </w:rPr>
              <w:fldChar w:fldCharType="separate"/>
            </w:r>
            <w:r w:rsidR="00BC7F72">
              <w:rPr>
                <w:noProof/>
                <w:webHidden/>
              </w:rPr>
              <w:t>41</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88" w:history="1">
            <w:r w:rsidR="00BC7F72" w:rsidRPr="00517E8D">
              <w:rPr>
                <w:rStyle w:val="Hyperlink"/>
                <w:noProof/>
                <w:lang w:val="en-US"/>
              </w:rPr>
              <w:t>5.4.</w:t>
            </w:r>
            <w:r w:rsidR="00BC7F72">
              <w:rPr>
                <w:rFonts w:eastAsiaTheme="minorEastAsia"/>
                <w:noProof/>
                <w:lang w:eastAsia="nl-NL"/>
              </w:rPr>
              <w:tab/>
            </w:r>
            <w:r w:rsidR="00BC7F72" w:rsidRPr="00517E8D">
              <w:rPr>
                <w:rStyle w:val="Hyperlink"/>
                <w:noProof/>
                <w:shd w:val="clear" w:color="auto" w:fill="FFFFFF"/>
                <w:lang w:val="en-US"/>
              </w:rPr>
              <w:t>Third hypothesis</w:t>
            </w:r>
            <w:r w:rsidR="00BC7F72">
              <w:rPr>
                <w:noProof/>
                <w:webHidden/>
              </w:rPr>
              <w:tab/>
            </w:r>
            <w:r>
              <w:rPr>
                <w:noProof/>
                <w:webHidden/>
              </w:rPr>
              <w:fldChar w:fldCharType="begin"/>
            </w:r>
            <w:r w:rsidR="00BC7F72">
              <w:rPr>
                <w:noProof/>
                <w:webHidden/>
              </w:rPr>
              <w:instrText xml:space="preserve"> PAGEREF _Toc270770588 \h </w:instrText>
            </w:r>
            <w:r>
              <w:rPr>
                <w:noProof/>
                <w:webHidden/>
              </w:rPr>
            </w:r>
            <w:r>
              <w:rPr>
                <w:noProof/>
                <w:webHidden/>
              </w:rPr>
              <w:fldChar w:fldCharType="separate"/>
            </w:r>
            <w:r w:rsidR="00BC7F72">
              <w:rPr>
                <w:noProof/>
                <w:webHidden/>
              </w:rPr>
              <w:t>41</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89" w:history="1">
            <w:r w:rsidR="00BC7F72" w:rsidRPr="00517E8D">
              <w:rPr>
                <w:rStyle w:val="Hyperlink"/>
                <w:noProof/>
                <w:lang w:val="en-US"/>
              </w:rPr>
              <w:t>5.5.</w:t>
            </w:r>
            <w:r w:rsidR="00BC7F72">
              <w:rPr>
                <w:rFonts w:eastAsiaTheme="minorEastAsia"/>
                <w:noProof/>
                <w:lang w:eastAsia="nl-NL"/>
              </w:rPr>
              <w:tab/>
            </w:r>
            <w:r w:rsidR="00BC7F72" w:rsidRPr="00517E8D">
              <w:rPr>
                <w:rStyle w:val="Hyperlink"/>
                <w:noProof/>
                <w:lang w:val="en-US"/>
              </w:rPr>
              <w:t>Fourth hypothesis</w:t>
            </w:r>
            <w:r w:rsidR="00BC7F72">
              <w:rPr>
                <w:noProof/>
                <w:webHidden/>
              </w:rPr>
              <w:tab/>
            </w:r>
            <w:r>
              <w:rPr>
                <w:noProof/>
                <w:webHidden/>
              </w:rPr>
              <w:fldChar w:fldCharType="begin"/>
            </w:r>
            <w:r w:rsidR="00BC7F72">
              <w:rPr>
                <w:noProof/>
                <w:webHidden/>
              </w:rPr>
              <w:instrText xml:space="preserve"> PAGEREF _Toc270770589 \h </w:instrText>
            </w:r>
            <w:r>
              <w:rPr>
                <w:noProof/>
                <w:webHidden/>
              </w:rPr>
            </w:r>
            <w:r>
              <w:rPr>
                <w:noProof/>
                <w:webHidden/>
              </w:rPr>
              <w:fldChar w:fldCharType="separate"/>
            </w:r>
            <w:r w:rsidR="00BC7F72">
              <w:rPr>
                <w:noProof/>
                <w:webHidden/>
              </w:rPr>
              <w:t>42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90" w:history="1">
            <w:r w:rsidR="00BC7F72" w:rsidRPr="00517E8D">
              <w:rPr>
                <w:rStyle w:val="Hyperlink"/>
                <w:noProof/>
                <w:lang w:val="en-US"/>
              </w:rPr>
              <w:t>5.6.</w:t>
            </w:r>
            <w:r w:rsidR="00BC7F72">
              <w:rPr>
                <w:rFonts w:eastAsiaTheme="minorEastAsia"/>
                <w:noProof/>
                <w:lang w:eastAsia="nl-NL"/>
              </w:rPr>
              <w:tab/>
            </w:r>
            <w:r w:rsidR="00BC7F72" w:rsidRPr="00517E8D">
              <w:rPr>
                <w:rStyle w:val="Hyperlink"/>
                <w:noProof/>
                <w:lang w:val="en-US"/>
              </w:rPr>
              <w:t>Conclusion</w:t>
            </w:r>
            <w:r w:rsidR="00BC7F72">
              <w:rPr>
                <w:noProof/>
                <w:webHidden/>
              </w:rPr>
              <w:tab/>
            </w:r>
            <w:r>
              <w:rPr>
                <w:noProof/>
                <w:webHidden/>
              </w:rPr>
              <w:fldChar w:fldCharType="begin"/>
            </w:r>
            <w:r w:rsidR="00BC7F72">
              <w:rPr>
                <w:noProof/>
                <w:webHidden/>
              </w:rPr>
              <w:instrText xml:space="preserve"> PAGEREF _Toc270770590 \h </w:instrText>
            </w:r>
            <w:r>
              <w:rPr>
                <w:noProof/>
                <w:webHidden/>
              </w:rPr>
            </w:r>
            <w:r>
              <w:rPr>
                <w:noProof/>
                <w:webHidden/>
              </w:rPr>
              <w:fldChar w:fldCharType="separate"/>
            </w:r>
            <w:r w:rsidR="00BC7F72">
              <w:rPr>
                <w:noProof/>
                <w:webHidden/>
              </w:rPr>
              <w:t>43</w:t>
            </w:r>
            <w:r>
              <w:rPr>
                <w:noProof/>
                <w:webHidden/>
              </w:rPr>
              <w:fldChar w:fldCharType="end"/>
            </w:r>
          </w:hyperlink>
        </w:p>
        <w:p w:rsidR="00BC7F72" w:rsidRDefault="00E77D2A" w:rsidP="00BC7F72">
          <w:pPr>
            <w:pStyle w:val="Inhopg1"/>
            <w:tabs>
              <w:tab w:val="left" w:pos="442"/>
              <w:tab w:val="right" w:leader="dot" w:pos="9062"/>
            </w:tabs>
            <w:contextualSpacing/>
            <w:rPr>
              <w:rFonts w:eastAsiaTheme="minorEastAsia"/>
              <w:noProof/>
              <w:lang w:eastAsia="nl-NL"/>
            </w:rPr>
          </w:pPr>
          <w:hyperlink w:anchor="_Toc270770591" w:history="1">
            <w:r w:rsidR="00BC7F72" w:rsidRPr="00517E8D">
              <w:rPr>
                <w:rStyle w:val="Hyperlink"/>
                <w:noProof/>
                <w:lang w:val="en-US"/>
              </w:rPr>
              <w:t>6.</w:t>
            </w:r>
            <w:r w:rsidR="00BC7F72">
              <w:rPr>
                <w:rFonts w:eastAsiaTheme="minorEastAsia"/>
                <w:noProof/>
                <w:lang w:eastAsia="nl-NL"/>
              </w:rPr>
              <w:tab/>
            </w:r>
            <w:r w:rsidR="00BC7F72" w:rsidRPr="00517E8D">
              <w:rPr>
                <w:rStyle w:val="Hyperlink"/>
                <w:noProof/>
                <w:lang w:val="en-US"/>
              </w:rPr>
              <w:t>Events and research design</w:t>
            </w:r>
            <w:r w:rsidR="00BC7F72">
              <w:rPr>
                <w:noProof/>
                <w:webHidden/>
              </w:rPr>
              <w:tab/>
            </w:r>
            <w:r>
              <w:rPr>
                <w:noProof/>
                <w:webHidden/>
              </w:rPr>
              <w:fldChar w:fldCharType="begin"/>
            </w:r>
            <w:r w:rsidR="00BC7F72">
              <w:rPr>
                <w:noProof/>
                <w:webHidden/>
              </w:rPr>
              <w:instrText xml:space="preserve"> PAGEREF _Toc270770591 \h </w:instrText>
            </w:r>
            <w:r>
              <w:rPr>
                <w:noProof/>
                <w:webHidden/>
              </w:rPr>
            </w:r>
            <w:r>
              <w:rPr>
                <w:noProof/>
                <w:webHidden/>
              </w:rPr>
              <w:fldChar w:fldCharType="separate"/>
            </w:r>
            <w:r w:rsidR="00BC7F72">
              <w:rPr>
                <w:noProof/>
                <w:webHidden/>
              </w:rPr>
              <w:t>44</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92" w:history="1">
            <w:r w:rsidR="00BC7F72" w:rsidRPr="00517E8D">
              <w:rPr>
                <w:rStyle w:val="Hyperlink"/>
                <w:noProof/>
                <w:lang w:val="en-US"/>
              </w:rPr>
              <w:t>6.1.</w:t>
            </w:r>
            <w:r w:rsidR="00BC7F72">
              <w:rPr>
                <w:rFonts w:eastAsiaTheme="minorEastAsia"/>
                <w:noProof/>
                <w:lang w:eastAsia="nl-NL"/>
              </w:rPr>
              <w:tab/>
            </w:r>
            <w:r w:rsidR="00BC7F72" w:rsidRPr="00517E8D">
              <w:rPr>
                <w:rStyle w:val="Hyperlink"/>
                <w:noProof/>
                <w:lang w:val="en-US"/>
              </w:rPr>
              <w:t>Introduction</w:t>
            </w:r>
            <w:r w:rsidR="00BC7F72">
              <w:rPr>
                <w:noProof/>
                <w:webHidden/>
              </w:rPr>
              <w:tab/>
            </w:r>
            <w:r>
              <w:rPr>
                <w:noProof/>
                <w:webHidden/>
              </w:rPr>
              <w:fldChar w:fldCharType="begin"/>
            </w:r>
            <w:r w:rsidR="00BC7F72">
              <w:rPr>
                <w:noProof/>
                <w:webHidden/>
              </w:rPr>
              <w:instrText xml:space="preserve"> PAGEREF _Toc270770592 \h </w:instrText>
            </w:r>
            <w:r>
              <w:rPr>
                <w:noProof/>
                <w:webHidden/>
              </w:rPr>
            </w:r>
            <w:r>
              <w:rPr>
                <w:noProof/>
                <w:webHidden/>
              </w:rPr>
              <w:fldChar w:fldCharType="separate"/>
            </w:r>
            <w:r w:rsidR="00BC7F72">
              <w:rPr>
                <w:noProof/>
                <w:webHidden/>
              </w:rPr>
              <w:t>44</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93" w:history="1">
            <w:r w:rsidR="00BC7F72" w:rsidRPr="00517E8D">
              <w:rPr>
                <w:rStyle w:val="Hyperlink"/>
                <w:noProof/>
                <w:lang w:val="en-US"/>
              </w:rPr>
              <w:t>6.2.</w:t>
            </w:r>
            <w:r w:rsidR="00BC7F72">
              <w:rPr>
                <w:rFonts w:eastAsiaTheme="minorEastAsia"/>
                <w:noProof/>
                <w:lang w:eastAsia="nl-NL"/>
              </w:rPr>
              <w:tab/>
            </w:r>
            <w:r w:rsidR="00BC7F72" w:rsidRPr="00517E8D">
              <w:rPr>
                <w:rStyle w:val="Hyperlink"/>
                <w:noProof/>
                <w:lang w:val="en-US"/>
              </w:rPr>
              <w:t>Criteria distinguishing events</w:t>
            </w:r>
            <w:r w:rsidR="00BC7F72">
              <w:rPr>
                <w:noProof/>
                <w:webHidden/>
              </w:rPr>
              <w:tab/>
            </w:r>
            <w:r>
              <w:rPr>
                <w:noProof/>
                <w:webHidden/>
              </w:rPr>
              <w:fldChar w:fldCharType="begin"/>
            </w:r>
            <w:r w:rsidR="00BC7F72">
              <w:rPr>
                <w:noProof/>
                <w:webHidden/>
              </w:rPr>
              <w:instrText xml:space="preserve"> PAGEREF _Toc270770593 \h </w:instrText>
            </w:r>
            <w:r>
              <w:rPr>
                <w:noProof/>
                <w:webHidden/>
              </w:rPr>
            </w:r>
            <w:r>
              <w:rPr>
                <w:noProof/>
                <w:webHidden/>
              </w:rPr>
              <w:fldChar w:fldCharType="separate"/>
            </w:r>
            <w:r w:rsidR="00BC7F72">
              <w:rPr>
                <w:noProof/>
                <w:webHidden/>
              </w:rPr>
              <w:t>44</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94" w:history="1">
            <w:r w:rsidR="00BC7F72" w:rsidRPr="00517E8D">
              <w:rPr>
                <w:rStyle w:val="Hyperlink"/>
                <w:noProof/>
                <w:lang w:val="en-US"/>
              </w:rPr>
              <w:t>6.3.</w:t>
            </w:r>
            <w:r w:rsidR="00BC7F72">
              <w:rPr>
                <w:rFonts w:eastAsiaTheme="minorEastAsia"/>
                <w:noProof/>
                <w:lang w:eastAsia="nl-NL"/>
              </w:rPr>
              <w:tab/>
            </w:r>
            <w:r w:rsidR="00BC7F72" w:rsidRPr="00517E8D">
              <w:rPr>
                <w:rStyle w:val="Hyperlink"/>
                <w:noProof/>
                <w:lang w:val="en-US"/>
              </w:rPr>
              <w:t>Events that may have had an effect on the probability of introducing the reclassification option (relaxation)</w:t>
            </w:r>
            <w:r w:rsidR="00BC7F72">
              <w:rPr>
                <w:noProof/>
                <w:webHidden/>
              </w:rPr>
              <w:tab/>
            </w:r>
            <w:r>
              <w:rPr>
                <w:noProof/>
                <w:webHidden/>
              </w:rPr>
              <w:fldChar w:fldCharType="begin"/>
            </w:r>
            <w:r w:rsidR="00BC7F72">
              <w:rPr>
                <w:noProof/>
                <w:webHidden/>
              </w:rPr>
              <w:instrText xml:space="preserve"> PAGEREF _Toc270770594 \h </w:instrText>
            </w:r>
            <w:r>
              <w:rPr>
                <w:noProof/>
                <w:webHidden/>
              </w:rPr>
            </w:r>
            <w:r>
              <w:rPr>
                <w:noProof/>
                <w:webHidden/>
              </w:rPr>
              <w:fldChar w:fldCharType="separate"/>
            </w:r>
            <w:r w:rsidR="00BC7F72">
              <w:rPr>
                <w:noProof/>
                <w:webHidden/>
              </w:rPr>
              <w:t>44</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95" w:history="1">
            <w:r w:rsidR="00BC7F72" w:rsidRPr="00517E8D">
              <w:rPr>
                <w:rStyle w:val="Hyperlink"/>
                <w:noProof/>
                <w:lang w:val="en-US"/>
              </w:rPr>
              <w:t>6.4.</w:t>
            </w:r>
            <w:r w:rsidR="00BC7F72">
              <w:rPr>
                <w:rFonts w:eastAsiaTheme="minorEastAsia"/>
                <w:noProof/>
                <w:lang w:eastAsia="nl-NL"/>
              </w:rPr>
              <w:tab/>
            </w:r>
            <w:r w:rsidR="00BC7F72" w:rsidRPr="00517E8D">
              <w:rPr>
                <w:rStyle w:val="Hyperlink"/>
                <w:noProof/>
                <w:lang w:val="en-US"/>
              </w:rPr>
              <w:t>Sample</w:t>
            </w:r>
            <w:r w:rsidR="00BC7F72">
              <w:rPr>
                <w:noProof/>
                <w:webHidden/>
              </w:rPr>
              <w:tab/>
            </w:r>
            <w:r>
              <w:rPr>
                <w:noProof/>
                <w:webHidden/>
              </w:rPr>
              <w:fldChar w:fldCharType="begin"/>
            </w:r>
            <w:r w:rsidR="00BC7F72">
              <w:rPr>
                <w:noProof/>
                <w:webHidden/>
              </w:rPr>
              <w:instrText xml:space="preserve"> PAGEREF _Toc270770595 \h </w:instrText>
            </w:r>
            <w:r>
              <w:rPr>
                <w:noProof/>
                <w:webHidden/>
              </w:rPr>
            </w:r>
            <w:r>
              <w:rPr>
                <w:noProof/>
                <w:webHidden/>
              </w:rPr>
              <w:fldChar w:fldCharType="separate"/>
            </w:r>
            <w:r w:rsidR="00BC7F72">
              <w:rPr>
                <w:noProof/>
                <w:webHidden/>
              </w:rPr>
              <w:t>46</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596" w:history="1">
            <w:r w:rsidR="00BC7F72" w:rsidRPr="00517E8D">
              <w:rPr>
                <w:rStyle w:val="Hyperlink"/>
                <w:noProof/>
                <w:lang w:val="en-US"/>
              </w:rPr>
              <w:t>6.5.</w:t>
            </w:r>
            <w:r w:rsidR="00BC7F72">
              <w:rPr>
                <w:rFonts w:eastAsiaTheme="minorEastAsia"/>
                <w:noProof/>
                <w:lang w:eastAsia="nl-NL"/>
              </w:rPr>
              <w:tab/>
            </w:r>
            <w:r w:rsidR="00BC7F72" w:rsidRPr="00517E8D">
              <w:rPr>
                <w:rStyle w:val="Hyperlink"/>
                <w:noProof/>
                <w:lang w:val="en-US"/>
              </w:rPr>
              <w:t>Model selection and methodology</w:t>
            </w:r>
            <w:r w:rsidR="00BC7F72">
              <w:rPr>
                <w:noProof/>
                <w:webHidden/>
              </w:rPr>
              <w:tab/>
            </w:r>
            <w:r>
              <w:rPr>
                <w:noProof/>
                <w:webHidden/>
              </w:rPr>
              <w:fldChar w:fldCharType="begin"/>
            </w:r>
            <w:r w:rsidR="00BC7F72">
              <w:rPr>
                <w:noProof/>
                <w:webHidden/>
              </w:rPr>
              <w:instrText xml:space="preserve"> PAGEREF _Toc270770596 \h </w:instrText>
            </w:r>
            <w:r>
              <w:rPr>
                <w:noProof/>
                <w:webHidden/>
              </w:rPr>
            </w:r>
            <w:r>
              <w:rPr>
                <w:noProof/>
                <w:webHidden/>
              </w:rPr>
              <w:fldChar w:fldCharType="separate"/>
            </w:r>
            <w:r w:rsidR="00BC7F72">
              <w:rPr>
                <w:noProof/>
                <w:webHidden/>
              </w:rPr>
              <w:t>46</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597" w:history="1">
            <w:r w:rsidR="00BC7F72" w:rsidRPr="00517E8D">
              <w:rPr>
                <w:rStyle w:val="Hyperlink"/>
                <w:noProof/>
                <w:lang w:val="en-US" w:eastAsia="nl-NL"/>
              </w:rPr>
              <w:t>6.5.1.</w:t>
            </w:r>
            <w:r w:rsidR="00BC7F72">
              <w:rPr>
                <w:rFonts w:eastAsiaTheme="minorEastAsia"/>
                <w:noProof/>
                <w:lang w:eastAsia="nl-NL"/>
              </w:rPr>
              <w:tab/>
            </w:r>
            <w:r w:rsidR="00BC7F72" w:rsidRPr="00517E8D">
              <w:rPr>
                <w:rStyle w:val="Hyperlink"/>
                <w:noProof/>
                <w:lang w:val="en-US" w:eastAsia="nl-NL"/>
              </w:rPr>
              <w:t>Measuring the first hypothesis</w:t>
            </w:r>
            <w:r w:rsidR="00BC7F72">
              <w:rPr>
                <w:noProof/>
                <w:webHidden/>
              </w:rPr>
              <w:tab/>
            </w:r>
            <w:r>
              <w:rPr>
                <w:noProof/>
                <w:webHidden/>
              </w:rPr>
              <w:fldChar w:fldCharType="begin"/>
            </w:r>
            <w:r w:rsidR="00BC7F72">
              <w:rPr>
                <w:noProof/>
                <w:webHidden/>
              </w:rPr>
              <w:instrText xml:space="preserve"> PAGEREF _Toc270770597 \h </w:instrText>
            </w:r>
            <w:r>
              <w:rPr>
                <w:noProof/>
                <w:webHidden/>
              </w:rPr>
            </w:r>
            <w:r>
              <w:rPr>
                <w:noProof/>
                <w:webHidden/>
              </w:rPr>
              <w:fldChar w:fldCharType="separate"/>
            </w:r>
            <w:r w:rsidR="00BC7F72">
              <w:rPr>
                <w:noProof/>
                <w:webHidden/>
              </w:rPr>
              <w:t>48</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598" w:history="1">
            <w:r w:rsidR="00BC7F72" w:rsidRPr="00517E8D">
              <w:rPr>
                <w:rStyle w:val="Hyperlink"/>
                <w:noProof/>
                <w:lang w:val="en-US" w:eastAsia="nl-NL"/>
              </w:rPr>
              <w:t>6.5.2.</w:t>
            </w:r>
            <w:r w:rsidR="00BC7F72">
              <w:rPr>
                <w:rFonts w:eastAsiaTheme="minorEastAsia"/>
                <w:noProof/>
                <w:lang w:eastAsia="nl-NL"/>
              </w:rPr>
              <w:tab/>
            </w:r>
            <w:r w:rsidR="00BC7F72" w:rsidRPr="00517E8D">
              <w:rPr>
                <w:rStyle w:val="Hyperlink"/>
                <w:noProof/>
                <w:lang w:val="en-US" w:eastAsia="nl-NL"/>
              </w:rPr>
              <w:t>Measuring the second hypothesis</w:t>
            </w:r>
            <w:r w:rsidR="00BC7F72">
              <w:rPr>
                <w:noProof/>
                <w:webHidden/>
              </w:rPr>
              <w:tab/>
            </w:r>
            <w:r>
              <w:rPr>
                <w:noProof/>
                <w:webHidden/>
              </w:rPr>
              <w:fldChar w:fldCharType="begin"/>
            </w:r>
            <w:r w:rsidR="00BC7F72">
              <w:rPr>
                <w:noProof/>
                <w:webHidden/>
              </w:rPr>
              <w:instrText xml:space="preserve"> PAGEREF _Toc270770598 \h </w:instrText>
            </w:r>
            <w:r>
              <w:rPr>
                <w:noProof/>
                <w:webHidden/>
              </w:rPr>
            </w:r>
            <w:r>
              <w:rPr>
                <w:noProof/>
                <w:webHidden/>
              </w:rPr>
              <w:fldChar w:fldCharType="separate"/>
            </w:r>
            <w:r w:rsidR="00BC7F72">
              <w:rPr>
                <w:noProof/>
                <w:webHidden/>
              </w:rPr>
              <w:t>49</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599" w:history="1">
            <w:r w:rsidR="00BC7F72" w:rsidRPr="00517E8D">
              <w:rPr>
                <w:rStyle w:val="Hyperlink"/>
                <w:noProof/>
                <w:lang w:val="en-US" w:eastAsia="nl-NL"/>
              </w:rPr>
              <w:t>6.5.3.</w:t>
            </w:r>
            <w:r w:rsidR="00BC7F72">
              <w:rPr>
                <w:rFonts w:eastAsiaTheme="minorEastAsia"/>
                <w:noProof/>
                <w:lang w:eastAsia="nl-NL"/>
              </w:rPr>
              <w:tab/>
            </w:r>
            <w:r w:rsidR="00BC7F72" w:rsidRPr="00517E8D">
              <w:rPr>
                <w:rStyle w:val="Hyperlink"/>
                <w:noProof/>
                <w:lang w:val="en-US" w:eastAsia="nl-NL"/>
              </w:rPr>
              <w:t>Measuring the third hypothesis</w:t>
            </w:r>
            <w:r w:rsidR="00BC7F72">
              <w:rPr>
                <w:noProof/>
                <w:webHidden/>
              </w:rPr>
              <w:tab/>
            </w:r>
            <w:r>
              <w:rPr>
                <w:noProof/>
                <w:webHidden/>
              </w:rPr>
              <w:fldChar w:fldCharType="begin"/>
            </w:r>
            <w:r w:rsidR="00BC7F72">
              <w:rPr>
                <w:noProof/>
                <w:webHidden/>
              </w:rPr>
              <w:instrText xml:space="preserve"> PAGEREF _Toc270770599 \h </w:instrText>
            </w:r>
            <w:r>
              <w:rPr>
                <w:noProof/>
                <w:webHidden/>
              </w:rPr>
            </w:r>
            <w:r>
              <w:rPr>
                <w:noProof/>
                <w:webHidden/>
              </w:rPr>
              <w:fldChar w:fldCharType="separate"/>
            </w:r>
            <w:r w:rsidR="00BC7F72">
              <w:rPr>
                <w:noProof/>
                <w:webHidden/>
              </w:rPr>
              <w:t>49</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600" w:history="1">
            <w:r w:rsidR="00BC7F72" w:rsidRPr="00517E8D">
              <w:rPr>
                <w:rStyle w:val="Hyperlink"/>
                <w:noProof/>
                <w:lang w:val="en-US" w:eastAsia="nl-NL"/>
              </w:rPr>
              <w:t>6.5.4.</w:t>
            </w:r>
            <w:r w:rsidR="00BC7F72">
              <w:rPr>
                <w:rFonts w:eastAsiaTheme="minorEastAsia"/>
                <w:noProof/>
                <w:lang w:eastAsia="nl-NL"/>
              </w:rPr>
              <w:tab/>
            </w:r>
            <w:r w:rsidR="00BC7F72" w:rsidRPr="00517E8D">
              <w:rPr>
                <w:rStyle w:val="Hyperlink"/>
                <w:noProof/>
                <w:lang w:val="en-US" w:eastAsia="nl-NL"/>
              </w:rPr>
              <w:t>Measuring the fourth hypothesis</w:t>
            </w:r>
            <w:r w:rsidR="00BC7F72">
              <w:rPr>
                <w:noProof/>
                <w:webHidden/>
              </w:rPr>
              <w:tab/>
            </w:r>
            <w:r>
              <w:rPr>
                <w:noProof/>
                <w:webHidden/>
              </w:rPr>
              <w:fldChar w:fldCharType="begin"/>
            </w:r>
            <w:r w:rsidR="00BC7F72">
              <w:rPr>
                <w:noProof/>
                <w:webHidden/>
              </w:rPr>
              <w:instrText xml:space="preserve"> PAGEREF _Toc270770600 \h </w:instrText>
            </w:r>
            <w:r>
              <w:rPr>
                <w:noProof/>
                <w:webHidden/>
              </w:rPr>
            </w:r>
            <w:r>
              <w:rPr>
                <w:noProof/>
                <w:webHidden/>
              </w:rPr>
              <w:fldChar w:fldCharType="separate"/>
            </w:r>
            <w:r w:rsidR="00BC7F72">
              <w:rPr>
                <w:noProof/>
                <w:webHidden/>
              </w:rPr>
              <w:t>49</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01" w:history="1">
            <w:r w:rsidR="00BC7F72" w:rsidRPr="00517E8D">
              <w:rPr>
                <w:rStyle w:val="Hyperlink"/>
                <w:noProof/>
                <w:lang w:val="en-US"/>
              </w:rPr>
              <w:t>6.6.</w:t>
            </w:r>
            <w:r w:rsidR="00BC7F72">
              <w:rPr>
                <w:rFonts w:eastAsiaTheme="minorEastAsia"/>
                <w:noProof/>
                <w:lang w:eastAsia="nl-NL"/>
              </w:rPr>
              <w:tab/>
            </w:r>
            <w:r w:rsidR="00BC7F72" w:rsidRPr="00517E8D">
              <w:rPr>
                <w:rStyle w:val="Hyperlink"/>
                <w:noProof/>
                <w:lang w:val="en-US"/>
              </w:rPr>
              <w:t>Limitations</w:t>
            </w:r>
            <w:r w:rsidR="00BC7F72">
              <w:rPr>
                <w:noProof/>
                <w:webHidden/>
              </w:rPr>
              <w:tab/>
            </w:r>
            <w:r>
              <w:rPr>
                <w:noProof/>
                <w:webHidden/>
              </w:rPr>
              <w:fldChar w:fldCharType="begin"/>
            </w:r>
            <w:r w:rsidR="00BC7F72">
              <w:rPr>
                <w:noProof/>
                <w:webHidden/>
              </w:rPr>
              <w:instrText xml:space="preserve"> PAGEREF _Toc270770601 \h </w:instrText>
            </w:r>
            <w:r>
              <w:rPr>
                <w:noProof/>
                <w:webHidden/>
              </w:rPr>
            </w:r>
            <w:r>
              <w:rPr>
                <w:noProof/>
                <w:webHidden/>
              </w:rPr>
              <w:fldChar w:fldCharType="separate"/>
            </w:r>
            <w:r w:rsidR="00BC7F72">
              <w:rPr>
                <w:noProof/>
                <w:webHidden/>
              </w:rPr>
              <w:t>50</w:t>
            </w:r>
            <w:r>
              <w:rPr>
                <w:noProof/>
                <w:webHidden/>
              </w:rPr>
              <w:fldChar w:fldCharType="end"/>
            </w:r>
          </w:hyperlink>
        </w:p>
        <w:p w:rsidR="00BC7F72" w:rsidRDefault="00E77D2A" w:rsidP="00BC7F72">
          <w:pPr>
            <w:pStyle w:val="Inhopg1"/>
            <w:tabs>
              <w:tab w:val="left" w:pos="442"/>
              <w:tab w:val="right" w:leader="dot" w:pos="9062"/>
            </w:tabs>
            <w:contextualSpacing/>
            <w:rPr>
              <w:rFonts w:eastAsiaTheme="minorEastAsia"/>
              <w:noProof/>
              <w:lang w:eastAsia="nl-NL"/>
            </w:rPr>
          </w:pPr>
          <w:hyperlink w:anchor="_Toc270770602" w:history="1">
            <w:r w:rsidR="00BC7F72" w:rsidRPr="00517E8D">
              <w:rPr>
                <w:rStyle w:val="Hyperlink"/>
                <w:noProof/>
                <w:lang w:val="en-US"/>
              </w:rPr>
              <w:t>7.</w:t>
            </w:r>
            <w:r w:rsidR="00BC7F72">
              <w:rPr>
                <w:rFonts w:eastAsiaTheme="minorEastAsia"/>
                <w:noProof/>
                <w:lang w:eastAsia="nl-NL"/>
              </w:rPr>
              <w:tab/>
            </w:r>
            <w:r w:rsidR="00BC7F72" w:rsidRPr="00517E8D">
              <w:rPr>
                <w:rStyle w:val="Hyperlink"/>
                <w:noProof/>
                <w:lang w:val="en-US"/>
              </w:rPr>
              <w:t>Statistical results</w:t>
            </w:r>
            <w:r w:rsidR="00BC7F72">
              <w:rPr>
                <w:noProof/>
                <w:webHidden/>
              </w:rPr>
              <w:tab/>
            </w:r>
            <w:r>
              <w:rPr>
                <w:noProof/>
                <w:webHidden/>
              </w:rPr>
              <w:fldChar w:fldCharType="begin"/>
            </w:r>
            <w:r w:rsidR="00BC7F72">
              <w:rPr>
                <w:noProof/>
                <w:webHidden/>
              </w:rPr>
              <w:instrText xml:space="preserve"> PAGEREF _Toc270770602 \h </w:instrText>
            </w:r>
            <w:r>
              <w:rPr>
                <w:noProof/>
                <w:webHidden/>
              </w:rPr>
            </w:r>
            <w:r>
              <w:rPr>
                <w:noProof/>
                <w:webHidden/>
              </w:rPr>
              <w:fldChar w:fldCharType="separate"/>
            </w:r>
            <w:r w:rsidR="00BC7F72">
              <w:rPr>
                <w:noProof/>
                <w:webHidden/>
              </w:rPr>
              <w:t>51</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03" w:history="1">
            <w:r w:rsidR="00BC7F72" w:rsidRPr="00517E8D">
              <w:rPr>
                <w:rStyle w:val="Hyperlink"/>
                <w:noProof/>
                <w:lang w:val="en-US"/>
              </w:rPr>
              <w:t>7.1.</w:t>
            </w:r>
            <w:r w:rsidR="00BC7F72">
              <w:rPr>
                <w:rFonts w:eastAsiaTheme="minorEastAsia"/>
                <w:noProof/>
                <w:lang w:eastAsia="nl-NL"/>
              </w:rPr>
              <w:tab/>
            </w:r>
            <w:r w:rsidR="00BC7F72" w:rsidRPr="00517E8D">
              <w:rPr>
                <w:rStyle w:val="Hyperlink"/>
                <w:noProof/>
                <w:lang w:val="en-US"/>
              </w:rPr>
              <w:t>Introduction</w:t>
            </w:r>
            <w:r w:rsidR="00BC7F72">
              <w:rPr>
                <w:noProof/>
                <w:webHidden/>
              </w:rPr>
              <w:tab/>
            </w:r>
            <w:r>
              <w:rPr>
                <w:noProof/>
                <w:webHidden/>
              </w:rPr>
              <w:fldChar w:fldCharType="begin"/>
            </w:r>
            <w:r w:rsidR="00BC7F72">
              <w:rPr>
                <w:noProof/>
                <w:webHidden/>
              </w:rPr>
              <w:instrText xml:space="preserve"> PAGEREF _Toc270770603 \h </w:instrText>
            </w:r>
            <w:r>
              <w:rPr>
                <w:noProof/>
                <w:webHidden/>
              </w:rPr>
            </w:r>
            <w:r>
              <w:rPr>
                <w:noProof/>
                <w:webHidden/>
              </w:rPr>
              <w:fldChar w:fldCharType="separate"/>
            </w:r>
            <w:r w:rsidR="00BC7F72">
              <w:rPr>
                <w:noProof/>
                <w:webHidden/>
              </w:rPr>
              <w:t>51</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04" w:history="1">
            <w:r w:rsidR="00BC7F72" w:rsidRPr="00517E8D">
              <w:rPr>
                <w:rStyle w:val="Hyperlink"/>
                <w:noProof/>
                <w:lang w:val="en-US"/>
              </w:rPr>
              <w:t>7.2.</w:t>
            </w:r>
            <w:r w:rsidR="00BC7F72">
              <w:rPr>
                <w:rFonts w:eastAsiaTheme="minorEastAsia"/>
                <w:noProof/>
                <w:lang w:eastAsia="nl-NL"/>
              </w:rPr>
              <w:tab/>
            </w:r>
            <w:r w:rsidR="00BC7F72" w:rsidRPr="00517E8D">
              <w:rPr>
                <w:rStyle w:val="Hyperlink"/>
                <w:noProof/>
                <w:lang w:val="en-US"/>
              </w:rPr>
              <w:t>Evaluating the regression model</w:t>
            </w:r>
            <w:r w:rsidR="00BC7F72">
              <w:rPr>
                <w:noProof/>
                <w:webHidden/>
              </w:rPr>
              <w:tab/>
            </w:r>
            <w:r>
              <w:rPr>
                <w:noProof/>
                <w:webHidden/>
              </w:rPr>
              <w:fldChar w:fldCharType="begin"/>
            </w:r>
            <w:r w:rsidR="00BC7F72">
              <w:rPr>
                <w:noProof/>
                <w:webHidden/>
              </w:rPr>
              <w:instrText xml:space="preserve"> PAGEREF _Toc270770604 \h </w:instrText>
            </w:r>
            <w:r>
              <w:rPr>
                <w:noProof/>
                <w:webHidden/>
              </w:rPr>
            </w:r>
            <w:r>
              <w:rPr>
                <w:noProof/>
                <w:webHidden/>
              </w:rPr>
              <w:fldChar w:fldCharType="separate"/>
            </w:r>
            <w:r w:rsidR="00BC7F72">
              <w:rPr>
                <w:noProof/>
                <w:webHidden/>
              </w:rPr>
              <w:t>51</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605" w:history="1">
            <w:r w:rsidR="00BC7F72" w:rsidRPr="00517E8D">
              <w:rPr>
                <w:rStyle w:val="Hyperlink"/>
                <w:noProof/>
                <w:lang w:val="en-US"/>
              </w:rPr>
              <w:t>7.2.1.</w:t>
            </w:r>
            <w:r w:rsidR="00BC7F72">
              <w:rPr>
                <w:rFonts w:eastAsiaTheme="minorEastAsia"/>
                <w:noProof/>
                <w:lang w:eastAsia="nl-NL"/>
              </w:rPr>
              <w:tab/>
            </w:r>
            <w:r w:rsidR="00BC7F72" w:rsidRPr="00517E8D">
              <w:rPr>
                <w:rStyle w:val="Hyperlink"/>
                <w:noProof/>
                <w:lang w:val="en-US"/>
              </w:rPr>
              <w:t>Homo-/heterocedasticity, linearity and outliers</w:t>
            </w:r>
            <w:r w:rsidR="00BC7F72">
              <w:rPr>
                <w:noProof/>
                <w:webHidden/>
              </w:rPr>
              <w:tab/>
            </w:r>
            <w:r>
              <w:rPr>
                <w:noProof/>
                <w:webHidden/>
              </w:rPr>
              <w:fldChar w:fldCharType="begin"/>
            </w:r>
            <w:r w:rsidR="00BC7F72">
              <w:rPr>
                <w:noProof/>
                <w:webHidden/>
              </w:rPr>
              <w:instrText xml:space="preserve"> PAGEREF _Toc270770605 \h </w:instrText>
            </w:r>
            <w:r>
              <w:rPr>
                <w:noProof/>
                <w:webHidden/>
              </w:rPr>
            </w:r>
            <w:r>
              <w:rPr>
                <w:noProof/>
                <w:webHidden/>
              </w:rPr>
              <w:fldChar w:fldCharType="separate"/>
            </w:r>
            <w:r w:rsidR="00BC7F72">
              <w:rPr>
                <w:noProof/>
                <w:webHidden/>
              </w:rPr>
              <w:t>51</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606" w:history="1">
            <w:r w:rsidR="00BC7F72" w:rsidRPr="00517E8D">
              <w:rPr>
                <w:rStyle w:val="Hyperlink"/>
                <w:noProof/>
                <w:lang w:val="en-US"/>
              </w:rPr>
              <w:t>7.2.2.</w:t>
            </w:r>
            <w:r w:rsidR="00BC7F72">
              <w:rPr>
                <w:rFonts w:eastAsiaTheme="minorEastAsia"/>
                <w:noProof/>
                <w:lang w:eastAsia="nl-NL"/>
              </w:rPr>
              <w:tab/>
            </w:r>
            <w:r w:rsidR="00BC7F72" w:rsidRPr="00517E8D">
              <w:rPr>
                <w:rStyle w:val="Hyperlink"/>
                <w:noProof/>
                <w:lang w:val="en-US"/>
              </w:rPr>
              <w:t>Normality</w:t>
            </w:r>
            <w:r w:rsidR="00BC7F72">
              <w:rPr>
                <w:noProof/>
                <w:webHidden/>
              </w:rPr>
              <w:tab/>
            </w:r>
            <w:r>
              <w:rPr>
                <w:noProof/>
                <w:webHidden/>
              </w:rPr>
              <w:fldChar w:fldCharType="begin"/>
            </w:r>
            <w:r w:rsidR="00BC7F72">
              <w:rPr>
                <w:noProof/>
                <w:webHidden/>
              </w:rPr>
              <w:instrText xml:space="preserve"> PAGEREF _Toc270770606 \h </w:instrText>
            </w:r>
            <w:r>
              <w:rPr>
                <w:noProof/>
                <w:webHidden/>
              </w:rPr>
            </w:r>
            <w:r>
              <w:rPr>
                <w:noProof/>
                <w:webHidden/>
              </w:rPr>
              <w:fldChar w:fldCharType="separate"/>
            </w:r>
            <w:r w:rsidR="00BC7F72">
              <w:rPr>
                <w:noProof/>
                <w:webHidden/>
              </w:rPr>
              <w:t>52</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607" w:history="1">
            <w:r w:rsidR="00BC7F72" w:rsidRPr="00517E8D">
              <w:rPr>
                <w:rStyle w:val="Hyperlink"/>
                <w:noProof/>
                <w:lang w:val="en-US"/>
              </w:rPr>
              <w:t>7.2.3.</w:t>
            </w:r>
            <w:r w:rsidR="00BC7F72">
              <w:rPr>
                <w:rFonts w:eastAsiaTheme="minorEastAsia"/>
                <w:noProof/>
                <w:lang w:eastAsia="nl-NL"/>
              </w:rPr>
              <w:tab/>
            </w:r>
            <w:r w:rsidR="00BC7F72" w:rsidRPr="00517E8D">
              <w:rPr>
                <w:rStyle w:val="Hyperlink"/>
                <w:noProof/>
                <w:lang w:val="en-US"/>
              </w:rPr>
              <w:t>Multicollinearity</w:t>
            </w:r>
            <w:r w:rsidR="00BC7F72">
              <w:rPr>
                <w:noProof/>
                <w:webHidden/>
              </w:rPr>
              <w:tab/>
            </w:r>
            <w:r>
              <w:rPr>
                <w:noProof/>
                <w:webHidden/>
              </w:rPr>
              <w:fldChar w:fldCharType="begin"/>
            </w:r>
            <w:r w:rsidR="00BC7F72">
              <w:rPr>
                <w:noProof/>
                <w:webHidden/>
              </w:rPr>
              <w:instrText xml:space="preserve"> PAGEREF _Toc270770607 \h </w:instrText>
            </w:r>
            <w:r>
              <w:rPr>
                <w:noProof/>
                <w:webHidden/>
              </w:rPr>
            </w:r>
            <w:r>
              <w:rPr>
                <w:noProof/>
                <w:webHidden/>
              </w:rPr>
              <w:fldChar w:fldCharType="separate"/>
            </w:r>
            <w:r w:rsidR="00BC7F72">
              <w:rPr>
                <w:noProof/>
                <w:webHidden/>
              </w:rPr>
              <w:t>52</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608" w:history="1">
            <w:r w:rsidR="00BC7F72" w:rsidRPr="00517E8D">
              <w:rPr>
                <w:rStyle w:val="Hyperlink"/>
                <w:noProof/>
                <w:lang w:val="en-US"/>
              </w:rPr>
              <w:t>7.2.4.</w:t>
            </w:r>
            <w:r w:rsidR="00BC7F72">
              <w:rPr>
                <w:rFonts w:eastAsiaTheme="minorEastAsia"/>
                <w:noProof/>
                <w:lang w:eastAsia="nl-NL"/>
              </w:rPr>
              <w:tab/>
            </w:r>
            <w:r w:rsidR="00BC7F72" w:rsidRPr="00517E8D">
              <w:rPr>
                <w:rStyle w:val="Hyperlink"/>
                <w:noProof/>
                <w:lang w:val="en-US"/>
              </w:rPr>
              <w:t>Evaluating the model (R-square and ANOVA)</w:t>
            </w:r>
            <w:r w:rsidR="00BC7F72">
              <w:rPr>
                <w:noProof/>
                <w:webHidden/>
              </w:rPr>
              <w:tab/>
            </w:r>
            <w:r>
              <w:rPr>
                <w:noProof/>
                <w:webHidden/>
              </w:rPr>
              <w:fldChar w:fldCharType="begin"/>
            </w:r>
            <w:r w:rsidR="00BC7F72">
              <w:rPr>
                <w:noProof/>
                <w:webHidden/>
              </w:rPr>
              <w:instrText xml:space="preserve"> PAGEREF _Toc270770608 \h </w:instrText>
            </w:r>
            <w:r>
              <w:rPr>
                <w:noProof/>
                <w:webHidden/>
              </w:rPr>
            </w:r>
            <w:r>
              <w:rPr>
                <w:noProof/>
                <w:webHidden/>
              </w:rPr>
              <w:fldChar w:fldCharType="separate"/>
            </w:r>
            <w:r w:rsidR="00BC7F72">
              <w:rPr>
                <w:noProof/>
                <w:webHidden/>
              </w:rPr>
              <w:t>52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09" w:history="1">
            <w:r w:rsidR="00BC7F72" w:rsidRPr="00517E8D">
              <w:rPr>
                <w:rStyle w:val="Hyperlink"/>
                <w:noProof/>
                <w:lang w:val="en-US"/>
              </w:rPr>
              <w:t>7.3.</w:t>
            </w:r>
            <w:r w:rsidR="00BC7F72">
              <w:rPr>
                <w:rFonts w:eastAsiaTheme="minorEastAsia"/>
                <w:noProof/>
                <w:lang w:eastAsia="nl-NL"/>
              </w:rPr>
              <w:tab/>
            </w:r>
            <w:r w:rsidR="00BC7F72" w:rsidRPr="00517E8D">
              <w:rPr>
                <w:rStyle w:val="Hyperlink"/>
                <w:noProof/>
                <w:lang w:val="en-US"/>
              </w:rPr>
              <w:t>The results using the multi-factor model (multiple regression)</w:t>
            </w:r>
            <w:r w:rsidR="00BC7F72">
              <w:rPr>
                <w:noProof/>
                <w:webHidden/>
              </w:rPr>
              <w:tab/>
            </w:r>
            <w:r>
              <w:rPr>
                <w:noProof/>
                <w:webHidden/>
              </w:rPr>
              <w:fldChar w:fldCharType="begin"/>
            </w:r>
            <w:r w:rsidR="00BC7F72">
              <w:rPr>
                <w:noProof/>
                <w:webHidden/>
              </w:rPr>
              <w:instrText xml:space="preserve"> PAGEREF _Toc270770609 \h </w:instrText>
            </w:r>
            <w:r>
              <w:rPr>
                <w:noProof/>
                <w:webHidden/>
              </w:rPr>
            </w:r>
            <w:r>
              <w:rPr>
                <w:noProof/>
                <w:webHidden/>
              </w:rPr>
              <w:fldChar w:fldCharType="separate"/>
            </w:r>
            <w:r w:rsidR="00BC7F72">
              <w:rPr>
                <w:noProof/>
                <w:webHidden/>
              </w:rPr>
              <w:t>54</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610" w:history="1">
            <w:r w:rsidR="00BC7F72" w:rsidRPr="00517E8D">
              <w:rPr>
                <w:rStyle w:val="Hyperlink"/>
                <w:noProof/>
                <w:lang w:val="en-US"/>
              </w:rPr>
              <w:t>7.3.1.</w:t>
            </w:r>
            <w:r w:rsidR="00BC7F72">
              <w:rPr>
                <w:rFonts w:eastAsiaTheme="minorEastAsia"/>
                <w:noProof/>
                <w:lang w:eastAsia="nl-NL"/>
              </w:rPr>
              <w:tab/>
            </w:r>
            <w:r w:rsidR="00BC7F72" w:rsidRPr="00517E8D">
              <w:rPr>
                <w:rStyle w:val="Hyperlink"/>
                <w:noProof/>
                <w:lang w:val="en-US"/>
              </w:rPr>
              <w:t>Results of the first hypothesis</w:t>
            </w:r>
            <w:r w:rsidR="00BC7F72">
              <w:rPr>
                <w:noProof/>
                <w:webHidden/>
              </w:rPr>
              <w:tab/>
            </w:r>
            <w:r>
              <w:rPr>
                <w:noProof/>
                <w:webHidden/>
              </w:rPr>
              <w:fldChar w:fldCharType="begin"/>
            </w:r>
            <w:r w:rsidR="00BC7F72">
              <w:rPr>
                <w:noProof/>
                <w:webHidden/>
              </w:rPr>
              <w:instrText xml:space="preserve"> PAGEREF _Toc270770610 \h </w:instrText>
            </w:r>
            <w:r>
              <w:rPr>
                <w:noProof/>
                <w:webHidden/>
              </w:rPr>
            </w:r>
            <w:r>
              <w:rPr>
                <w:noProof/>
                <w:webHidden/>
              </w:rPr>
              <w:fldChar w:fldCharType="separate"/>
            </w:r>
            <w:r w:rsidR="00BC7F72">
              <w:rPr>
                <w:noProof/>
                <w:webHidden/>
              </w:rPr>
              <w:t>54</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611" w:history="1">
            <w:r w:rsidR="00BC7F72" w:rsidRPr="00517E8D">
              <w:rPr>
                <w:rStyle w:val="Hyperlink"/>
                <w:noProof/>
                <w:lang w:val="en-US"/>
              </w:rPr>
              <w:t>7.3.2.</w:t>
            </w:r>
            <w:r w:rsidR="00BC7F72">
              <w:rPr>
                <w:rFonts w:eastAsiaTheme="minorEastAsia"/>
                <w:noProof/>
                <w:lang w:eastAsia="nl-NL"/>
              </w:rPr>
              <w:tab/>
            </w:r>
            <w:r w:rsidR="00BC7F72" w:rsidRPr="00517E8D">
              <w:rPr>
                <w:rStyle w:val="Hyperlink"/>
                <w:noProof/>
                <w:lang w:val="en-US"/>
              </w:rPr>
              <w:t>Results of the second hypothesis</w:t>
            </w:r>
            <w:r w:rsidR="00BC7F72">
              <w:rPr>
                <w:noProof/>
                <w:webHidden/>
              </w:rPr>
              <w:tab/>
            </w:r>
            <w:r>
              <w:rPr>
                <w:noProof/>
                <w:webHidden/>
              </w:rPr>
              <w:fldChar w:fldCharType="begin"/>
            </w:r>
            <w:r w:rsidR="00BC7F72">
              <w:rPr>
                <w:noProof/>
                <w:webHidden/>
              </w:rPr>
              <w:instrText xml:space="preserve"> PAGEREF _Toc270770611 \h </w:instrText>
            </w:r>
            <w:r>
              <w:rPr>
                <w:noProof/>
                <w:webHidden/>
              </w:rPr>
            </w:r>
            <w:r>
              <w:rPr>
                <w:noProof/>
                <w:webHidden/>
              </w:rPr>
              <w:fldChar w:fldCharType="separate"/>
            </w:r>
            <w:r w:rsidR="00BC7F72">
              <w:rPr>
                <w:noProof/>
                <w:webHidden/>
              </w:rPr>
              <w:t>55</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612" w:history="1">
            <w:r w:rsidR="00BC7F72" w:rsidRPr="00517E8D">
              <w:rPr>
                <w:rStyle w:val="Hyperlink"/>
                <w:noProof/>
                <w:lang w:val="en-US"/>
              </w:rPr>
              <w:t>7.3.3.</w:t>
            </w:r>
            <w:r w:rsidR="00BC7F72">
              <w:rPr>
                <w:rFonts w:eastAsiaTheme="minorEastAsia"/>
                <w:noProof/>
                <w:lang w:eastAsia="nl-NL"/>
              </w:rPr>
              <w:tab/>
            </w:r>
            <w:r w:rsidR="00BC7F72" w:rsidRPr="00517E8D">
              <w:rPr>
                <w:rStyle w:val="Hyperlink"/>
                <w:noProof/>
                <w:lang w:val="en-US"/>
              </w:rPr>
              <w:t>Results of the third hypothesis</w:t>
            </w:r>
            <w:r w:rsidR="00BC7F72">
              <w:rPr>
                <w:noProof/>
                <w:webHidden/>
              </w:rPr>
              <w:tab/>
            </w:r>
            <w:r>
              <w:rPr>
                <w:noProof/>
                <w:webHidden/>
              </w:rPr>
              <w:fldChar w:fldCharType="begin"/>
            </w:r>
            <w:r w:rsidR="00BC7F72">
              <w:rPr>
                <w:noProof/>
                <w:webHidden/>
              </w:rPr>
              <w:instrText xml:space="preserve"> PAGEREF _Toc270770612 \h </w:instrText>
            </w:r>
            <w:r>
              <w:rPr>
                <w:noProof/>
                <w:webHidden/>
              </w:rPr>
            </w:r>
            <w:r>
              <w:rPr>
                <w:noProof/>
                <w:webHidden/>
              </w:rPr>
              <w:fldChar w:fldCharType="separate"/>
            </w:r>
            <w:r w:rsidR="00BC7F72">
              <w:rPr>
                <w:noProof/>
                <w:webHidden/>
              </w:rPr>
              <w:t>56</w:t>
            </w:r>
            <w:r>
              <w:rPr>
                <w:noProof/>
                <w:webHidden/>
              </w:rPr>
              <w:fldChar w:fldCharType="end"/>
            </w:r>
          </w:hyperlink>
        </w:p>
        <w:p w:rsidR="00BC7F72" w:rsidRDefault="00E77D2A" w:rsidP="00BC7F72">
          <w:pPr>
            <w:pStyle w:val="Inhopg3"/>
            <w:contextualSpacing/>
            <w:rPr>
              <w:rFonts w:eastAsiaTheme="minorEastAsia"/>
              <w:noProof/>
              <w:lang w:eastAsia="nl-NL"/>
            </w:rPr>
          </w:pPr>
          <w:hyperlink w:anchor="_Toc270770613" w:history="1">
            <w:r w:rsidR="00BC7F72" w:rsidRPr="00517E8D">
              <w:rPr>
                <w:rStyle w:val="Hyperlink"/>
                <w:noProof/>
                <w:lang w:val="en-US"/>
              </w:rPr>
              <w:t>7.3.4.</w:t>
            </w:r>
            <w:r w:rsidR="00BC7F72">
              <w:rPr>
                <w:rFonts w:eastAsiaTheme="minorEastAsia"/>
                <w:noProof/>
                <w:lang w:eastAsia="nl-NL"/>
              </w:rPr>
              <w:tab/>
            </w:r>
            <w:r w:rsidR="00BC7F72" w:rsidRPr="00517E8D">
              <w:rPr>
                <w:rStyle w:val="Hyperlink"/>
                <w:noProof/>
                <w:lang w:val="en-US"/>
              </w:rPr>
              <w:t>Results of the fourth hypothesis</w:t>
            </w:r>
            <w:r w:rsidR="00BC7F72">
              <w:rPr>
                <w:noProof/>
                <w:webHidden/>
              </w:rPr>
              <w:tab/>
            </w:r>
            <w:r>
              <w:rPr>
                <w:noProof/>
                <w:webHidden/>
              </w:rPr>
              <w:fldChar w:fldCharType="begin"/>
            </w:r>
            <w:r w:rsidR="00BC7F72">
              <w:rPr>
                <w:noProof/>
                <w:webHidden/>
              </w:rPr>
              <w:instrText xml:space="preserve"> PAGEREF _Toc270770613 \h </w:instrText>
            </w:r>
            <w:r>
              <w:rPr>
                <w:noProof/>
                <w:webHidden/>
              </w:rPr>
            </w:r>
            <w:r>
              <w:rPr>
                <w:noProof/>
                <w:webHidden/>
              </w:rPr>
              <w:fldChar w:fldCharType="separate"/>
            </w:r>
            <w:r w:rsidR="00BC7F72">
              <w:rPr>
                <w:noProof/>
                <w:webHidden/>
              </w:rPr>
              <w:t>59</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14" w:history="1">
            <w:r w:rsidR="00BC7F72" w:rsidRPr="00517E8D">
              <w:rPr>
                <w:rStyle w:val="Hyperlink"/>
                <w:noProof/>
                <w:lang w:val="en-US"/>
              </w:rPr>
              <w:t>7.4.</w:t>
            </w:r>
            <w:r w:rsidR="00BC7F72">
              <w:rPr>
                <w:rFonts w:eastAsiaTheme="minorEastAsia"/>
                <w:noProof/>
                <w:lang w:eastAsia="nl-NL"/>
              </w:rPr>
              <w:tab/>
            </w:r>
            <w:r w:rsidR="00BC7F72" w:rsidRPr="00517E8D">
              <w:rPr>
                <w:rStyle w:val="Hyperlink"/>
                <w:noProof/>
                <w:lang w:val="en-US"/>
              </w:rPr>
              <w:t>Conclusion</w:t>
            </w:r>
            <w:r w:rsidR="00BC7F72">
              <w:rPr>
                <w:noProof/>
                <w:webHidden/>
              </w:rPr>
              <w:tab/>
            </w:r>
            <w:r>
              <w:rPr>
                <w:noProof/>
                <w:webHidden/>
              </w:rPr>
              <w:fldChar w:fldCharType="begin"/>
            </w:r>
            <w:r w:rsidR="00BC7F72">
              <w:rPr>
                <w:noProof/>
                <w:webHidden/>
              </w:rPr>
              <w:instrText xml:space="preserve"> PAGEREF _Toc270770614 \h </w:instrText>
            </w:r>
            <w:r>
              <w:rPr>
                <w:noProof/>
                <w:webHidden/>
              </w:rPr>
            </w:r>
            <w:r>
              <w:rPr>
                <w:noProof/>
                <w:webHidden/>
              </w:rPr>
              <w:fldChar w:fldCharType="separate"/>
            </w:r>
            <w:r w:rsidR="00BC7F72">
              <w:rPr>
                <w:noProof/>
                <w:webHidden/>
              </w:rPr>
              <w:t>60</w:t>
            </w:r>
            <w:r>
              <w:rPr>
                <w:noProof/>
                <w:webHidden/>
              </w:rPr>
              <w:fldChar w:fldCharType="end"/>
            </w:r>
          </w:hyperlink>
        </w:p>
        <w:p w:rsidR="00BC7F72" w:rsidRDefault="00E77D2A" w:rsidP="00BC7F72">
          <w:pPr>
            <w:pStyle w:val="Inhopg1"/>
            <w:tabs>
              <w:tab w:val="left" w:pos="442"/>
              <w:tab w:val="right" w:leader="dot" w:pos="9062"/>
            </w:tabs>
            <w:contextualSpacing/>
            <w:rPr>
              <w:rFonts w:eastAsiaTheme="minorEastAsia"/>
              <w:noProof/>
              <w:lang w:eastAsia="nl-NL"/>
            </w:rPr>
          </w:pPr>
          <w:hyperlink w:anchor="_Toc270770615" w:history="1">
            <w:r w:rsidR="00BC7F72" w:rsidRPr="00517E8D">
              <w:rPr>
                <w:rStyle w:val="Hyperlink"/>
                <w:noProof/>
                <w:lang w:val="en-US"/>
              </w:rPr>
              <w:t>8.</w:t>
            </w:r>
            <w:r w:rsidR="00BC7F72">
              <w:rPr>
                <w:rFonts w:eastAsiaTheme="minorEastAsia"/>
                <w:noProof/>
                <w:lang w:eastAsia="nl-NL"/>
              </w:rPr>
              <w:tab/>
            </w:r>
            <w:r w:rsidR="00BC7F72" w:rsidRPr="00517E8D">
              <w:rPr>
                <w:rStyle w:val="Hyperlink"/>
                <w:noProof/>
                <w:lang w:val="en-US"/>
              </w:rPr>
              <w:t>Analyses</w:t>
            </w:r>
            <w:r w:rsidR="00BC7F72">
              <w:rPr>
                <w:noProof/>
                <w:webHidden/>
              </w:rPr>
              <w:tab/>
            </w:r>
            <w:r>
              <w:rPr>
                <w:noProof/>
                <w:webHidden/>
              </w:rPr>
              <w:fldChar w:fldCharType="begin"/>
            </w:r>
            <w:r w:rsidR="00BC7F72">
              <w:rPr>
                <w:noProof/>
                <w:webHidden/>
              </w:rPr>
              <w:instrText xml:space="preserve"> PAGEREF _Toc270770615 \h </w:instrText>
            </w:r>
            <w:r>
              <w:rPr>
                <w:noProof/>
                <w:webHidden/>
              </w:rPr>
            </w:r>
            <w:r>
              <w:rPr>
                <w:noProof/>
                <w:webHidden/>
              </w:rPr>
              <w:fldChar w:fldCharType="separate"/>
            </w:r>
            <w:r w:rsidR="00BC7F72">
              <w:rPr>
                <w:noProof/>
                <w:webHidden/>
              </w:rPr>
              <w:t>62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16" w:history="1">
            <w:r w:rsidR="00BC7F72" w:rsidRPr="00517E8D">
              <w:rPr>
                <w:rStyle w:val="Hyperlink"/>
                <w:noProof/>
                <w:lang w:val="en-US"/>
              </w:rPr>
              <w:t>8.1.</w:t>
            </w:r>
            <w:r w:rsidR="00BC7F72">
              <w:rPr>
                <w:rFonts w:eastAsiaTheme="minorEastAsia"/>
                <w:noProof/>
                <w:lang w:eastAsia="nl-NL"/>
              </w:rPr>
              <w:tab/>
            </w:r>
            <w:r w:rsidR="00BC7F72" w:rsidRPr="00517E8D">
              <w:rPr>
                <w:rStyle w:val="Hyperlink"/>
                <w:noProof/>
                <w:lang w:val="en-US"/>
              </w:rPr>
              <w:t>Analysis hypothesis one</w:t>
            </w:r>
            <w:r w:rsidR="00BC7F72">
              <w:rPr>
                <w:noProof/>
                <w:webHidden/>
              </w:rPr>
              <w:tab/>
            </w:r>
            <w:r>
              <w:rPr>
                <w:noProof/>
                <w:webHidden/>
              </w:rPr>
              <w:fldChar w:fldCharType="begin"/>
            </w:r>
            <w:r w:rsidR="00BC7F72">
              <w:rPr>
                <w:noProof/>
                <w:webHidden/>
              </w:rPr>
              <w:instrText xml:space="preserve"> PAGEREF _Toc270770616 \h </w:instrText>
            </w:r>
            <w:r>
              <w:rPr>
                <w:noProof/>
                <w:webHidden/>
              </w:rPr>
            </w:r>
            <w:r>
              <w:rPr>
                <w:noProof/>
                <w:webHidden/>
              </w:rPr>
              <w:fldChar w:fldCharType="separate"/>
            </w:r>
            <w:r w:rsidR="00BC7F72">
              <w:rPr>
                <w:noProof/>
                <w:webHidden/>
              </w:rPr>
              <w:t>62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17" w:history="1">
            <w:r w:rsidR="00BC7F72" w:rsidRPr="00517E8D">
              <w:rPr>
                <w:rStyle w:val="Hyperlink"/>
                <w:noProof/>
                <w:lang w:val="en-US"/>
              </w:rPr>
              <w:t>8.2.</w:t>
            </w:r>
            <w:r w:rsidR="00BC7F72">
              <w:rPr>
                <w:rFonts w:eastAsiaTheme="minorEastAsia"/>
                <w:noProof/>
                <w:lang w:eastAsia="nl-NL"/>
              </w:rPr>
              <w:tab/>
            </w:r>
            <w:r w:rsidR="00BC7F72" w:rsidRPr="00517E8D">
              <w:rPr>
                <w:rStyle w:val="Hyperlink"/>
                <w:noProof/>
                <w:lang w:val="en-US"/>
              </w:rPr>
              <w:t>Analysis hypothesis two</w:t>
            </w:r>
            <w:r w:rsidR="00BC7F72">
              <w:rPr>
                <w:noProof/>
                <w:webHidden/>
              </w:rPr>
              <w:tab/>
            </w:r>
            <w:r>
              <w:rPr>
                <w:noProof/>
                <w:webHidden/>
              </w:rPr>
              <w:fldChar w:fldCharType="begin"/>
            </w:r>
            <w:r w:rsidR="00BC7F72">
              <w:rPr>
                <w:noProof/>
                <w:webHidden/>
              </w:rPr>
              <w:instrText xml:space="preserve"> PAGEREF _Toc270770617 \h </w:instrText>
            </w:r>
            <w:r>
              <w:rPr>
                <w:noProof/>
                <w:webHidden/>
              </w:rPr>
            </w:r>
            <w:r>
              <w:rPr>
                <w:noProof/>
                <w:webHidden/>
              </w:rPr>
              <w:fldChar w:fldCharType="separate"/>
            </w:r>
            <w:r w:rsidR="00BC7F72">
              <w:rPr>
                <w:noProof/>
                <w:webHidden/>
              </w:rPr>
              <w:t>64</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18" w:history="1">
            <w:r w:rsidR="00BC7F72" w:rsidRPr="00517E8D">
              <w:rPr>
                <w:rStyle w:val="Hyperlink"/>
                <w:noProof/>
                <w:lang w:val="en-US"/>
              </w:rPr>
              <w:t>8.3.</w:t>
            </w:r>
            <w:r w:rsidR="00BC7F72">
              <w:rPr>
                <w:rFonts w:eastAsiaTheme="minorEastAsia"/>
                <w:noProof/>
                <w:lang w:eastAsia="nl-NL"/>
              </w:rPr>
              <w:tab/>
            </w:r>
            <w:r w:rsidR="00BC7F72" w:rsidRPr="00517E8D">
              <w:rPr>
                <w:rStyle w:val="Hyperlink"/>
                <w:noProof/>
                <w:lang w:val="en-US"/>
              </w:rPr>
              <w:t>Analysis hypothesis three</w:t>
            </w:r>
            <w:r w:rsidR="00BC7F72">
              <w:rPr>
                <w:noProof/>
                <w:webHidden/>
              </w:rPr>
              <w:tab/>
            </w:r>
            <w:r>
              <w:rPr>
                <w:noProof/>
                <w:webHidden/>
              </w:rPr>
              <w:fldChar w:fldCharType="begin"/>
            </w:r>
            <w:r w:rsidR="00BC7F72">
              <w:rPr>
                <w:noProof/>
                <w:webHidden/>
              </w:rPr>
              <w:instrText xml:space="preserve"> PAGEREF _Toc270770618 \h </w:instrText>
            </w:r>
            <w:r>
              <w:rPr>
                <w:noProof/>
                <w:webHidden/>
              </w:rPr>
            </w:r>
            <w:r>
              <w:rPr>
                <w:noProof/>
                <w:webHidden/>
              </w:rPr>
              <w:fldChar w:fldCharType="separate"/>
            </w:r>
            <w:r w:rsidR="00BC7F72">
              <w:rPr>
                <w:noProof/>
                <w:webHidden/>
              </w:rPr>
              <w:t>65</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19" w:history="1">
            <w:r w:rsidR="00BC7F72" w:rsidRPr="00517E8D">
              <w:rPr>
                <w:rStyle w:val="Hyperlink"/>
                <w:noProof/>
                <w:lang w:val="en-US"/>
              </w:rPr>
              <w:t>8.4.</w:t>
            </w:r>
            <w:r w:rsidR="00BC7F72">
              <w:rPr>
                <w:rFonts w:eastAsiaTheme="minorEastAsia"/>
                <w:noProof/>
                <w:lang w:eastAsia="nl-NL"/>
              </w:rPr>
              <w:tab/>
            </w:r>
            <w:r w:rsidR="00BC7F72" w:rsidRPr="00517E8D">
              <w:rPr>
                <w:rStyle w:val="Hyperlink"/>
                <w:noProof/>
                <w:lang w:val="en-US"/>
              </w:rPr>
              <w:t>Analysis hypothesis four</w:t>
            </w:r>
            <w:r w:rsidR="00BC7F72">
              <w:rPr>
                <w:noProof/>
                <w:webHidden/>
              </w:rPr>
              <w:tab/>
            </w:r>
            <w:r>
              <w:rPr>
                <w:noProof/>
                <w:webHidden/>
              </w:rPr>
              <w:fldChar w:fldCharType="begin"/>
            </w:r>
            <w:r w:rsidR="00BC7F72">
              <w:rPr>
                <w:noProof/>
                <w:webHidden/>
              </w:rPr>
              <w:instrText xml:space="preserve"> PAGEREF _Toc270770619 \h </w:instrText>
            </w:r>
            <w:r>
              <w:rPr>
                <w:noProof/>
                <w:webHidden/>
              </w:rPr>
            </w:r>
            <w:r>
              <w:rPr>
                <w:noProof/>
                <w:webHidden/>
              </w:rPr>
              <w:fldChar w:fldCharType="separate"/>
            </w:r>
            <w:r w:rsidR="00BC7F72">
              <w:rPr>
                <w:noProof/>
                <w:webHidden/>
              </w:rPr>
              <w:t>67</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20" w:history="1">
            <w:r w:rsidR="00BC7F72" w:rsidRPr="00517E8D">
              <w:rPr>
                <w:rStyle w:val="Hyperlink"/>
                <w:noProof/>
                <w:lang w:val="en-US"/>
              </w:rPr>
              <w:t>8.5.</w:t>
            </w:r>
            <w:r w:rsidR="00BC7F72">
              <w:rPr>
                <w:rFonts w:eastAsiaTheme="minorEastAsia"/>
                <w:noProof/>
                <w:lang w:eastAsia="nl-NL"/>
              </w:rPr>
              <w:tab/>
            </w:r>
            <w:r w:rsidR="00BC7F72" w:rsidRPr="00517E8D">
              <w:rPr>
                <w:rStyle w:val="Hyperlink"/>
                <w:noProof/>
                <w:lang w:val="en-US"/>
              </w:rPr>
              <w:t>Hypothetical situation event one through four</w:t>
            </w:r>
            <w:r w:rsidR="00BC7F72">
              <w:rPr>
                <w:noProof/>
                <w:webHidden/>
              </w:rPr>
              <w:tab/>
            </w:r>
            <w:r>
              <w:rPr>
                <w:noProof/>
                <w:webHidden/>
              </w:rPr>
              <w:fldChar w:fldCharType="begin"/>
            </w:r>
            <w:r w:rsidR="00BC7F72">
              <w:rPr>
                <w:noProof/>
                <w:webHidden/>
              </w:rPr>
              <w:instrText xml:space="preserve"> PAGEREF _Toc270770620 \h </w:instrText>
            </w:r>
            <w:r>
              <w:rPr>
                <w:noProof/>
                <w:webHidden/>
              </w:rPr>
            </w:r>
            <w:r>
              <w:rPr>
                <w:noProof/>
                <w:webHidden/>
              </w:rPr>
              <w:fldChar w:fldCharType="separate"/>
            </w:r>
            <w:r w:rsidR="00BC7F72">
              <w:rPr>
                <w:noProof/>
                <w:webHidden/>
              </w:rPr>
              <w:t>68</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21" w:history="1">
            <w:r w:rsidR="00BC7F72" w:rsidRPr="00517E8D">
              <w:rPr>
                <w:rStyle w:val="Hyperlink"/>
                <w:noProof/>
                <w:lang w:val="en-US"/>
              </w:rPr>
              <w:t>8.6.</w:t>
            </w:r>
            <w:r w:rsidR="00BC7F72">
              <w:rPr>
                <w:rFonts w:eastAsiaTheme="minorEastAsia"/>
                <w:noProof/>
                <w:lang w:eastAsia="nl-NL"/>
              </w:rPr>
              <w:tab/>
            </w:r>
            <w:r w:rsidR="00BC7F72" w:rsidRPr="00517E8D">
              <w:rPr>
                <w:rStyle w:val="Hyperlink"/>
                <w:noProof/>
                <w:lang w:val="en-US"/>
              </w:rPr>
              <w:t>Conclusion</w:t>
            </w:r>
            <w:r w:rsidR="00BC7F72">
              <w:rPr>
                <w:noProof/>
                <w:webHidden/>
              </w:rPr>
              <w:tab/>
            </w:r>
            <w:r>
              <w:rPr>
                <w:noProof/>
                <w:webHidden/>
              </w:rPr>
              <w:fldChar w:fldCharType="begin"/>
            </w:r>
            <w:r w:rsidR="00BC7F72">
              <w:rPr>
                <w:noProof/>
                <w:webHidden/>
              </w:rPr>
              <w:instrText xml:space="preserve"> PAGEREF _Toc270770621 \h </w:instrText>
            </w:r>
            <w:r>
              <w:rPr>
                <w:noProof/>
                <w:webHidden/>
              </w:rPr>
            </w:r>
            <w:r>
              <w:rPr>
                <w:noProof/>
                <w:webHidden/>
              </w:rPr>
              <w:fldChar w:fldCharType="separate"/>
            </w:r>
            <w:r w:rsidR="00BC7F72">
              <w:rPr>
                <w:noProof/>
                <w:webHidden/>
              </w:rPr>
              <w:t>70</w:t>
            </w:r>
            <w:r>
              <w:rPr>
                <w:noProof/>
                <w:webHidden/>
              </w:rPr>
              <w:fldChar w:fldCharType="end"/>
            </w:r>
          </w:hyperlink>
        </w:p>
        <w:p w:rsidR="00BC7F72" w:rsidRDefault="00E77D2A" w:rsidP="00BC7F72">
          <w:pPr>
            <w:pStyle w:val="Inhopg1"/>
            <w:tabs>
              <w:tab w:val="left" w:pos="442"/>
              <w:tab w:val="right" w:leader="dot" w:pos="9062"/>
            </w:tabs>
            <w:contextualSpacing/>
            <w:rPr>
              <w:rFonts w:eastAsiaTheme="minorEastAsia"/>
              <w:noProof/>
              <w:lang w:eastAsia="nl-NL"/>
            </w:rPr>
          </w:pPr>
          <w:hyperlink w:anchor="_Toc270770622" w:history="1">
            <w:r w:rsidR="00BC7F72" w:rsidRPr="00517E8D">
              <w:rPr>
                <w:rStyle w:val="Hyperlink"/>
                <w:noProof/>
                <w:lang w:val="en-US"/>
              </w:rPr>
              <w:t>9.</w:t>
            </w:r>
            <w:r w:rsidR="00BC7F72">
              <w:rPr>
                <w:rFonts w:eastAsiaTheme="minorEastAsia"/>
                <w:noProof/>
                <w:lang w:eastAsia="nl-NL"/>
              </w:rPr>
              <w:tab/>
            </w:r>
            <w:r w:rsidR="00BC7F72" w:rsidRPr="00517E8D">
              <w:rPr>
                <w:rStyle w:val="Hyperlink"/>
                <w:noProof/>
                <w:lang w:val="en-US"/>
              </w:rPr>
              <w:t>Summary and Conclusion</w:t>
            </w:r>
            <w:r w:rsidR="00BC7F72">
              <w:rPr>
                <w:noProof/>
                <w:webHidden/>
              </w:rPr>
              <w:tab/>
            </w:r>
            <w:r>
              <w:rPr>
                <w:noProof/>
                <w:webHidden/>
              </w:rPr>
              <w:fldChar w:fldCharType="begin"/>
            </w:r>
            <w:r w:rsidR="00BC7F72">
              <w:rPr>
                <w:noProof/>
                <w:webHidden/>
              </w:rPr>
              <w:instrText xml:space="preserve"> PAGEREF _Toc270770622 \h </w:instrText>
            </w:r>
            <w:r>
              <w:rPr>
                <w:noProof/>
                <w:webHidden/>
              </w:rPr>
            </w:r>
            <w:r>
              <w:rPr>
                <w:noProof/>
                <w:webHidden/>
              </w:rPr>
              <w:fldChar w:fldCharType="separate"/>
            </w:r>
            <w:r w:rsidR="00BC7F72">
              <w:rPr>
                <w:noProof/>
                <w:webHidden/>
              </w:rPr>
              <w:t>72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23" w:history="1">
            <w:r w:rsidR="00BC7F72" w:rsidRPr="00517E8D">
              <w:rPr>
                <w:rStyle w:val="Hyperlink"/>
                <w:noProof/>
                <w:lang w:val="en-US"/>
              </w:rPr>
              <w:t>9.1.</w:t>
            </w:r>
            <w:r w:rsidR="00BC7F72">
              <w:rPr>
                <w:rFonts w:eastAsiaTheme="minorEastAsia"/>
                <w:noProof/>
                <w:lang w:eastAsia="nl-NL"/>
              </w:rPr>
              <w:tab/>
            </w:r>
            <w:r w:rsidR="00BC7F72" w:rsidRPr="00517E8D">
              <w:rPr>
                <w:rStyle w:val="Hyperlink"/>
                <w:noProof/>
                <w:lang w:val="en-US"/>
              </w:rPr>
              <w:t>Summary</w:t>
            </w:r>
            <w:r w:rsidR="00BC7F72">
              <w:rPr>
                <w:noProof/>
                <w:webHidden/>
              </w:rPr>
              <w:tab/>
            </w:r>
            <w:r>
              <w:rPr>
                <w:noProof/>
                <w:webHidden/>
              </w:rPr>
              <w:fldChar w:fldCharType="begin"/>
            </w:r>
            <w:r w:rsidR="00BC7F72">
              <w:rPr>
                <w:noProof/>
                <w:webHidden/>
              </w:rPr>
              <w:instrText xml:space="preserve"> PAGEREF _Toc270770623 \h </w:instrText>
            </w:r>
            <w:r>
              <w:rPr>
                <w:noProof/>
                <w:webHidden/>
              </w:rPr>
            </w:r>
            <w:r>
              <w:rPr>
                <w:noProof/>
                <w:webHidden/>
              </w:rPr>
              <w:fldChar w:fldCharType="separate"/>
            </w:r>
            <w:r w:rsidR="00BC7F72">
              <w:rPr>
                <w:noProof/>
                <w:webHidden/>
              </w:rPr>
              <w:t>72</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24" w:history="1">
            <w:r w:rsidR="00BC7F72" w:rsidRPr="00517E8D">
              <w:rPr>
                <w:rStyle w:val="Hyperlink"/>
                <w:noProof/>
                <w:lang w:val="en-US"/>
              </w:rPr>
              <w:t>9.2.</w:t>
            </w:r>
            <w:r w:rsidR="00BC7F72">
              <w:rPr>
                <w:rFonts w:eastAsiaTheme="minorEastAsia"/>
                <w:noProof/>
                <w:lang w:eastAsia="nl-NL"/>
              </w:rPr>
              <w:tab/>
            </w:r>
            <w:r w:rsidR="00BC7F72" w:rsidRPr="00517E8D">
              <w:rPr>
                <w:rStyle w:val="Hyperlink"/>
                <w:noProof/>
                <w:lang w:val="en-US"/>
              </w:rPr>
              <w:t>Results and conclusions</w:t>
            </w:r>
            <w:r w:rsidR="00BC7F72">
              <w:rPr>
                <w:noProof/>
                <w:webHidden/>
              </w:rPr>
              <w:tab/>
            </w:r>
            <w:r>
              <w:rPr>
                <w:noProof/>
                <w:webHidden/>
              </w:rPr>
              <w:fldChar w:fldCharType="begin"/>
            </w:r>
            <w:r w:rsidR="00BC7F72">
              <w:rPr>
                <w:noProof/>
                <w:webHidden/>
              </w:rPr>
              <w:instrText xml:space="preserve"> PAGEREF _Toc270770624 \h </w:instrText>
            </w:r>
            <w:r>
              <w:rPr>
                <w:noProof/>
                <w:webHidden/>
              </w:rPr>
            </w:r>
            <w:r>
              <w:rPr>
                <w:noProof/>
                <w:webHidden/>
              </w:rPr>
              <w:fldChar w:fldCharType="separate"/>
            </w:r>
            <w:r w:rsidR="00BC7F72">
              <w:rPr>
                <w:noProof/>
                <w:webHidden/>
              </w:rPr>
              <w:t>74</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25" w:history="1">
            <w:r w:rsidR="00BC7F72" w:rsidRPr="00517E8D">
              <w:rPr>
                <w:rStyle w:val="Hyperlink"/>
                <w:noProof/>
                <w:lang w:val="en-US"/>
              </w:rPr>
              <w:t>9.3.</w:t>
            </w:r>
            <w:r w:rsidR="00BC7F72">
              <w:rPr>
                <w:rFonts w:eastAsiaTheme="minorEastAsia"/>
                <w:noProof/>
                <w:lang w:eastAsia="nl-NL"/>
              </w:rPr>
              <w:tab/>
            </w:r>
            <w:r w:rsidR="00BC7F72" w:rsidRPr="00517E8D">
              <w:rPr>
                <w:rStyle w:val="Hyperlink"/>
                <w:noProof/>
                <w:lang w:val="en-US"/>
              </w:rPr>
              <w:t>Limitations</w:t>
            </w:r>
            <w:r w:rsidR="00BC7F72">
              <w:rPr>
                <w:noProof/>
                <w:webHidden/>
              </w:rPr>
              <w:tab/>
            </w:r>
            <w:r>
              <w:rPr>
                <w:noProof/>
                <w:webHidden/>
              </w:rPr>
              <w:fldChar w:fldCharType="begin"/>
            </w:r>
            <w:r w:rsidR="00BC7F72">
              <w:rPr>
                <w:noProof/>
                <w:webHidden/>
              </w:rPr>
              <w:instrText xml:space="preserve"> PAGEREF _Toc270770625 \h </w:instrText>
            </w:r>
            <w:r>
              <w:rPr>
                <w:noProof/>
                <w:webHidden/>
              </w:rPr>
            </w:r>
            <w:r>
              <w:rPr>
                <w:noProof/>
                <w:webHidden/>
              </w:rPr>
              <w:fldChar w:fldCharType="separate"/>
            </w:r>
            <w:r w:rsidR="00BC7F72">
              <w:rPr>
                <w:noProof/>
                <w:webHidden/>
              </w:rPr>
              <w:t>77</w:t>
            </w:r>
            <w:r>
              <w:rPr>
                <w:noProof/>
                <w:webHidden/>
              </w:rPr>
              <w:fldChar w:fldCharType="end"/>
            </w:r>
          </w:hyperlink>
        </w:p>
        <w:p w:rsidR="00BC7F72" w:rsidRDefault="00E77D2A" w:rsidP="00BC7F72">
          <w:pPr>
            <w:pStyle w:val="Inhopg2"/>
            <w:tabs>
              <w:tab w:val="left" w:pos="880"/>
              <w:tab w:val="right" w:leader="dot" w:pos="9062"/>
            </w:tabs>
            <w:contextualSpacing/>
            <w:rPr>
              <w:rFonts w:eastAsiaTheme="minorEastAsia"/>
              <w:noProof/>
              <w:lang w:eastAsia="nl-NL"/>
            </w:rPr>
          </w:pPr>
          <w:hyperlink w:anchor="_Toc270770626" w:history="1">
            <w:r w:rsidR="00BC7F72" w:rsidRPr="00517E8D">
              <w:rPr>
                <w:rStyle w:val="Hyperlink"/>
                <w:noProof/>
                <w:lang w:val="en-US"/>
              </w:rPr>
              <w:t>9.4.</w:t>
            </w:r>
            <w:r w:rsidR="00BC7F72">
              <w:rPr>
                <w:rFonts w:eastAsiaTheme="minorEastAsia"/>
                <w:noProof/>
                <w:lang w:eastAsia="nl-NL"/>
              </w:rPr>
              <w:tab/>
            </w:r>
            <w:r w:rsidR="00BC7F72" w:rsidRPr="00517E8D">
              <w:rPr>
                <w:rStyle w:val="Hyperlink"/>
                <w:noProof/>
                <w:lang w:val="en-US"/>
              </w:rPr>
              <w:t>Further research</w:t>
            </w:r>
            <w:r w:rsidR="00BC7F72">
              <w:rPr>
                <w:noProof/>
                <w:webHidden/>
              </w:rPr>
              <w:tab/>
            </w:r>
            <w:r>
              <w:rPr>
                <w:noProof/>
                <w:webHidden/>
              </w:rPr>
              <w:fldChar w:fldCharType="begin"/>
            </w:r>
            <w:r w:rsidR="00BC7F72">
              <w:rPr>
                <w:noProof/>
                <w:webHidden/>
              </w:rPr>
              <w:instrText xml:space="preserve"> PAGEREF _Toc270770626 \h </w:instrText>
            </w:r>
            <w:r>
              <w:rPr>
                <w:noProof/>
                <w:webHidden/>
              </w:rPr>
            </w:r>
            <w:r>
              <w:rPr>
                <w:noProof/>
                <w:webHidden/>
              </w:rPr>
              <w:fldChar w:fldCharType="separate"/>
            </w:r>
            <w:r w:rsidR="00BC7F72">
              <w:rPr>
                <w:noProof/>
                <w:webHidden/>
              </w:rPr>
              <w:t>78</w:t>
            </w:r>
            <w:r>
              <w:rPr>
                <w:noProof/>
                <w:webHidden/>
              </w:rPr>
              <w:fldChar w:fldCharType="end"/>
            </w:r>
          </w:hyperlink>
        </w:p>
        <w:p w:rsidR="00BC7F72" w:rsidRDefault="00E77D2A" w:rsidP="00BC7F72">
          <w:pPr>
            <w:pStyle w:val="Inhopg1"/>
            <w:tabs>
              <w:tab w:val="right" w:leader="dot" w:pos="9062"/>
            </w:tabs>
            <w:contextualSpacing/>
            <w:rPr>
              <w:rFonts w:eastAsiaTheme="minorEastAsia"/>
              <w:noProof/>
              <w:lang w:eastAsia="nl-NL"/>
            </w:rPr>
          </w:pPr>
          <w:hyperlink w:anchor="_Toc270770627" w:history="1">
            <w:r w:rsidR="00BC7F72" w:rsidRPr="00517E8D">
              <w:rPr>
                <w:rStyle w:val="Hyperlink"/>
                <w:noProof/>
                <w:lang w:val="en-US"/>
              </w:rPr>
              <w:t>References</w:t>
            </w:r>
            <w:r w:rsidR="00BC7F72">
              <w:rPr>
                <w:noProof/>
                <w:webHidden/>
              </w:rPr>
              <w:tab/>
            </w:r>
            <w:r>
              <w:rPr>
                <w:noProof/>
                <w:webHidden/>
              </w:rPr>
              <w:fldChar w:fldCharType="begin"/>
            </w:r>
            <w:r w:rsidR="00BC7F72">
              <w:rPr>
                <w:noProof/>
                <w:webHidden/>
              </w:rPr>
              <w:instrText xml:space="preserve"> PAGEREF _Toc270770627 \h </w:instrText>
            </w:r>
            <w:r>
              <w:rPr>
                <w:noProof/>
                <w:webHidden/>
              </w:rPr>
            </w:r>
            <w:r>
              <w:rPr>
                <w:noProof/>
                <w:webHidden/>
              </w:rPr>
              <w:fldChar w:fldCharType="separate"/>
            </w:r>
            <w:r w:rsidR="00BC7F72">
              <w:rPr>
                <w:noProof/>
                <w:webHidden/>
              </w:rPr>
              <w:t>79</w:t>
            </w:r>
            <w:r>
              <w:rPr>
                <w:noProof/>
                <w:webHidden/>
              </w:rPr>
              <w:fldChar w:fldCharType="end"/>
            </w:r>
          </w:hyperlink>
        </w:p>
        <w:p w:rsidR="00BC7F72" w:rsidRDefault="00E77D2A" w:rsidP="00BC7F72">
          <w:pPr>
            <w:pStyle w:val="Inhopg1"/>
            <w:tabs>
              <w:tab w:val="right" w:leader="dot" w:pos="9062"/>
            </w:tabs>
            <w:contextualSpacing/>
            <w:rPr>
              <w:rFonts w:eastAsiaTheme="minorEastAsia"/>
              <w:noProof/>
              <w:lang w:eastAsia="nl-NL"/>
            </w:rPr>
          </w:pPr>
          <w:hyperlink w:anchor="_Toc270770628" w:history="1">
            <w:r w:rsidR="00BC7F72" w:rsidRPr="00517E8D">
              <w:rPr>
                <w:rStyle w:val="Hyperlink"/>
                <w:noProof/>
                <w:lang w:val="en-US"/>
              </w:rPr>
              <w:t>Appendix A: list prior research</w:t>
            </w:r>
            <w:r w:rsidR="00BC7F72">
              <w:rPr>
                <w:noProof/>
                <w:webHidden/>
              </w:rPr>
              <w:tab/>
            </w:r>
            <w:r>
              <w:rPr>
                <w:noProof/>
                <w:webHidden/>
              </w:rPr>
              <w:fldChar w:fldCharType="begin"/>
            </w:r>
            <w:r w:rsidR="00BC7F72">
              <w:rPr>
                <w:noProof/>
                <w:webHidden/>
              </w:rPr>
              <w:instrText xml:space="preserve"> PAGEREF _Toc270770628 \h </w:instrText>
            </w:r>
            <w:r>
              <w:rPr>
                <w:noProof/>
                <w:webHidden/>
              </w:rPr>
            </w:r>
            <w:r>
              <w:rPr>
                <w:noProof/>
                <w:webHidden/>
              </w:rPr>
              <w:fldChar w:fldCharType="separate"/>
            </w:r>
            <w:r w:rsidR="00BC7F72">
              <w:rPr>
                <w:noProof/>
                <w:webHidden/>
              </w:rPr>
              <w:t>83</w:t>
            </w:r>
            <w:r>
              <w:rPr>
                <w:noProof/>
                <w:webHidden/>
              </w:rPr>
              <w:fldChar w:fldCharType="end"/>
            </w:r>
          </w:hyperlink>
        </w:p>
        <w:p w:rsidR="00BC7F72" w:rsidRDefault="00E77D2A" w:rsidP="00BC7F72">
          <w:pPr>
            <w:pStyle w:val="Inhopg1"/>
            <w:tabs>
              <w:tab w:val="right" w:leader="dot" w:pos="9062"/>
            </w:tabs>
            <w:contextualSpacing/>
            <w:rPr>
              <w:rFonts w:eastAsiaTheme="minorEastAsia"/>
              <w:noProof/>
              <w:lang w:eastAsia="nl-NL"/>
            </w:rPr>
          </w:pPr>
          <w:hyperlink w:anchor="_Toc270770629" w:history="1">
            <w:r w:rsidR="00BC7F72" w:rsidRPr="00517E8D">
              <w:rPr>
                <w:rStyle w:val="Hyperlink"/>
                <w:noProof/>
                <w:lang w:val="en-US"/>
              </w:rPr>
              <w:t>Appendix B: Events and sample data</w:t>
            </w:r>
            <w:r w:rsidR="00BC7F72">
              <w:rPr>
                <w:noProof/>
                <w:webHidden/>
              </w:rPr>
              <w:tab/>
            </w:r>
            <w:r>
              <w:rPr>
                <w:noProof/>
                <w:webHidden/>
              </w:rPr>
              <w:fldChar w:fldCharType="begin"/>
            </w:r>
            <w:r w:rsidR="00BC7F72">
              <w:rPr>
                <w:noProof/>
                <w:webHidden/>
              </w:rPr>
              <w:instrText xml:space="preserve"> PAGEREF _Toc270770629 \h </w:instrText>
            </w:r>
            <w:r>
              <w:rPr>
                <w:noProof/>
                <w:webHidden/>
              </w:rPr>
            </w:r>
            <w:r>
              <w:rPr>
                <w:noProof/>
                <w:webHidden/>
              </w:rPr>
              <w:fldChar w:fldCharType="separate"/>
            </w:r>
            <w:r w:rsidR="00BC7F72">
              <w:rPr>
                <w:noProof/>
                <w:webHidden/>
              </w:rPr>
              <w:t>88</w:t>
            </w:r>
            <w:r>
              <w:rPr>
                <w:noProof/>
                <w:webHidden/>
              </w:rPr>
              <w:fldChar w:fldCharType="end"/>
            </w:r>
          </w:hyperlink>
        </w:p>
        <w:p w:rsidR="00BC7F72" w:rsidRDefault="00E77D2A" w:rsidP="00BC7F72">
          <w:pPr>
            <w:pStyle w:val="Inhopg1"/>
            <w:tabs>
              <w:tab w:val="right" w:leader="dot" w:pos="9062"/>
            </w:tabs>
            <w:contextualSpacing/>
            <w:rPr>
              <w:rFonts w:eastAsiaTheme="minorEastAsia"/>
              <w:noProof/>
              <w:lang w:eastAsia="nl-NL"/>
            </w:rPr>
          </w:pPr>
          <w:hyperlink w:anchor="_Toc270770630" w:history="1">
            <w:r w:rsidR="00BC7F72" w:rsidRPr="00517E8D">
              <w:rPr>
                <w:rStyle w:val="Hyperlink"/>
                <w:noProof/>
                <w:lang w:val="en-US"/>
              </w:rPr>
              <w:t>Appendix C: Evaluation of the regression models</w:t>
            </w:r>
            <w:r w:rsidR="00BC7F72">
              <w:rPr>
                <w:noProof/>
                <w:webHidden/>
              </w:rPr>
              <w:tab/>
            </w:r>
            <w:r>
              <w:rPr>
                <w:noProof/>
                <w:webHidden/>
              </w:rPr>
              <w:fldChar w:fldCharType="begin"/>
            </w:r>
            <w:r w:rsidR="00BC7F72">
              <w:rPr>
                <w:noProof/>
                <w:webHidden/>
              </w:rPr>
              <w:instrText xml:space="preserve"> PAGEREF _Toc270770630 \h </w:instrText>
            </w:r>
            <w:r>
              <w:rPr>
                <w:noProof/>
                <w:webHidden/>
              </w:rPr>
            </w:r>
            <w:r>
              <w:rPr>
                <w:noProof/>
                <w:webHidden/>
              </w:rPr>
              <w:fldChar w:fldCharType="separate"/>
            </w:r>
            <w:r w:rsidR="00BC7F72">
              <w:rPr>
                <w:noProof/>
                <w:webHidden/>
              </w:rPr>
              <w:t>92</w:t>
            </w:r>
            <w:r>
              <w:rPr>
                <w:noProof/>
                <w:webHidden/>
              </w:rPr>
              <w:fldChar w:fldCharType="end"/>
            </w:r>
          </w:hyperlink>
        </w:p>
        <w:p w:rsidR="00BC7F72" w:rsidRDefault="00E77D2A" w:rsidP="00BC7F72">
          <w:pPr>
            <w:pStyle w:val="Inhopg1"/>
            <w:tabs>
              <w:tab w:val="right" w:leader="dot" w:pos="9062"/>
            </w:tabs>
            <w:contextualSpacing/>
            <w:rPr>
              <w:rFonts w:eastAsiaTheme="minorEastAsia"/>
              <w:noProof/>
              <w:lang w:eastAsia="nl-NL"/>
            </w:rPr>
          </w:pPr>
          <w:hyperlink w:anchor="_Toc270770631" w:history="1">
            <w:r w:rsidR="00BC7F72" w:rsidRPr="00517E8D">
              <w:rPr>
                <w:rStyle w:val="Hyperlink"/>
                <w:noProof/>
                <w:lang w:val="en-US"/>
              </w:rPr>
              <w:t>Appendix D: SPSS outcome per group</w:t>
            </w:r>
            <w:r w:rsidR="00BC7F72">
              <w:rPr>
                <w:noProof/>
                <w:webHidden/>
              </w:rPr>
              <w:tab/>
            </w:r>
            <w:r>
              <w:rPr>
                <w:noProof/>
                <w:webHidden/>
              </w:rPr>
              <w:fldChar w:fldCharType="begin"/>
            </w:r>
            <w:r w:rsidR="00BC7F72">
              <w:rPr>
                <w:noProof/>
                <w:webHidden/>
              </w:rPr>
              <w:instrText xml:space="preserve"> PAGEREF _Toc270770631 \h </w:instrText>
            </w:r>
            <w:r>
              <w:rPr>
                <w:noProof/>
                <w:webHidden/>
              </w:rPr>
            </w:r>
            <w:r>
              <w:rPr>
                <w:noProof/>
                <w:webHidden/>
              </w:rPr>
              <w:fldChar w:fldCharType="separate"/>
            </w:r>
            <w:r w:rsidR="00BC7F72">
              <w:rPr>
                <w:noProof/>
                <w:webHidden/>
              </w:rPr>
              <w:t>94</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32" w:history="1">
            <w:r w:rsidR="00BC7F72" w:rsidRPr="00517E8D">
              <w:rPr>
                <w:rStyle w:val="Hyperlink"/>
                <w:noProof/>
                <w:lang w:val="en-US"/>
              </w:rPr>
              <w:t>Total sample outcome</w:t>
            </w:r>
            <w:r w:rsidR="00BC7F72">
              <w:rPr>
                <w:noProof/>
                <w:webHidden/>
              </w:rPr>
              <w:tab/>
            </w:r>
            <w:r>
              <w:rPr>
                <w:noProof/>
                <w:webHidden/>
              </w:rPr>
              <w:fldChar w:fldCharType="begin"/>
            </w:r>
            <w:r w:rsidR="00BC7F72">
              <w:rPr>
                <w:noProof/>
                <w:webHidden/>
              </w:rPr>
              <w:instrText xml:space="preserve"> PAGEREF _Toc270770632 \h </w:instrText>
            </w:r>
            <w:r>
              <w:rPr>
                <w:noProof/>
                <w:webHidden/>
              </w:rPr>
            </w:r>
            <w:r>
              <w:rPr>
                <w:noProof/>
                <w:webHidden/>
              </w:rPr>
              <w:fldChar w:fldCharType="separate"/>
            </w:r>
            <w:r w:rsidR="00BC7F72">
              <w:rPr>
                <w:noProof/>
                <w:webHidden/>
              </w:rPr>
              <w:t>94</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33" w:history="1">
            <w:r w:rsidR="00BC7F72" w:rsidRPr="00517E8D">
              <w:rPr>
                <w:rStyle w:val="Hyperlink"/>
                <w:noProof/>
                <w:lang w:val="en-US"/>
              </w:rPr>
              <w:t>Banks and Insurance companies sample outcome</w:t>
            </w:r>
            <w:r w:rsidR="00BC7F72">
              <w:rPr>
                <w:noProof/>
                <w:webHidden/>
              </w:rPr>
              <w:tab/>
            </w:r>
            <w:r>
              <w:rPr>
                <w:noProof/>
                <w:webHidden/>
              </w:rPr>
              <w:fldChar w:fldCharType="begin"/>
            </w:r>
            <w:r w:rsidR="00BC7F72">
              <w:rPr>
                <w:noProof/>
                <w:webHidden/>
              </w:rPr>
              <w:instrText xml:space="preserve"> PAGEREF _Toc270770633 \h </w:instrText>
            </w:r>
            <w:r>
              <w:rPr>
                <w:noProof/>
                <w:webHidden/>
              </w:rPr>
            </w:r>
            <w:r>
              <w:rPr>
                <w:noProof/>
                <w:webHidden/>
              </w:rPr>
              <w:fldChar w:fldCharType="separate"/>
            </w:r>
            <w:r w:rsidR="00BC7F72">
              <w:rPr>
                <w:noProof/>
                <w:webHidden/>
              </w:rPr>
              <w:t>96</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34" w:history="1">
            <w:r w:rsidR="00BC7F72" w:rsidRPr="00517E8D">
              <w:rPr>
                <w:rStyle w:val="Hyperlink"/>
                <w:noProof/>
                <w:lang w:val="en-US"/>
              </w:rPr>
              <w:t>Banks sample outcome</w:t>
            </w:r>
            <w:r w:rsidR="00BC7F72">
              <w:rPr>
                <w:noProof/>
                <w:webHidden/>
              </w:rPr>
              <w:tab/>
            </w:r>
            <w:r>
              <w:rPr>
                <w:noProof/>
                <w:webHidden/>
              </w:rPr>
              <w:fldChar w:fldCharType="begin"/>
            </w:r>
            <w:r w:rsidR="00BC7F72">
              <w:rPr>
                <w:noProof/>
                <w:webHidden/>
              </w:rPr>
              <w:instrText xml:space="preserve"> PAGEREF _Toc270770634 \h </w:instrText>
            </w:r>
            <w:r>
              <w:rPr>
                <w:noProof/>
                <w:webHidden/>
              </w:rPr>
            </w:r>
            <w:r>
              <w:rPr>
                <w:noProof/>
                <w:webHidden/>
              </w:rPr>
              <w:fldChar w:fldCharType="separate"/>
            </w:r>
            <w:r w:rsidR="00BC7F72">
              <w:rPr>
                <w:noProof/>
                <w:webHidden/>
              </w:rPr>
              <w:t>98</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35" w:history="1">
            <w:r w:rsidR="00BC7F72" w:rsidRPr="00517E8D">
              <w:rPr>
                <w:rStyle w:val="Hyperlink"/>
                <w:noProof/>
                <w:lang w:val="en-US"/>
              </w:rPr>
              <w:t>Insurance companies sample outcome</w:t>
            </w:r>
            <w:r w:rsidR="00BC7F72">
              <w:rPr>
                <w:noProof/>
                <w:webHidden/>
              </w:rPr>
              <w:tab/>
            </w:r>
            <w:r>
              <w:rPr>
                <w:noProof/>
                <w:webHidden/>
              </w:rPr>
              <w:fldChar w:fldCharType="begin"/>
            </w:r>
            <w:r w:rsidR="00BC7F72">
              <w:rPr>
                <w:noProof/>
                <w:webHidden/>
              </w:rPr>
              <w:instrText xml:space="preserve"> PAGEREF _Toc270770635 \h </w:instrText>
            </w:r>
            <w:r>
              <w:rPr>
                <w:noProof/>
                <w:webHidden/>
              </w:rPr>
            </w:r>
            <w:r>
              <w:rPr>
                <w:noProof/>
                <w:webHidden/>
              </w:rPr>
              <w:fldChar w:fldCharType="separate"/>
            </w:r>
            <w:r w:rsidR="00BC7F72">
              <w:rPr>
                <w:noProof/>
                <w:webHidden/>
              </w:rPr>
              <w:t>100</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36" w:history="1">
            <w:r w:rsidR="00BC7F72" w:rsidRPr="00517E8D">
              <w:rPr>
                <w:rStyle w:val="Hyperlink"/>
                <w:noProof/>
                <w:lang w:val="en-US"/>
              </w:rPr>
              <w:t>‘Other’ financial institutions sample outcome</w:t>
            </w:r>
            <w:r w:rsidR="00BC7F72">
              <w:rPr>
                <w:noProof/>
                <w:webHidden/>
              </w:rPr>
              <w:tab/>
            </w:r>
            <w:r>
              <w:rPr>
                <w:noProof/>
                <w:webHidden/>
              </w:rPr>
              <w:fldChar w:fldCharType="begin"/>
            </w:r>
            <w:r w:rsidR="00BC7F72">
              <w:rPr>
                <w:noProof/>
                <w:webHidden/>
              </w:rPr>
              <w:instrText xml:space="preserve"> PAGEREF _Toc270770636 \h </w:instrText>
            </w:r>
            <w:r>
              <w:rPr>
                <w:noProof/>
                <w:webHidden/>
              </w:rPr>
            </w:r>
            <w:r>
              <w:rPr>
                <w:noProof/>
                <w:webHidden/>
              </w:rPr>
              <w:fldChar w:fldCharType="separate"/>
            </w:r>
            <w:r w:rsidR="00BC7F72">
              <w:rPr>
                <w:noProof/>
                <w:webHidden/>
              </w:rPr>
              <w:t>102</w:t>
            </w:r>
            <w:r>
              <w:rPr>
                <w:noProof/>
                <w:webHidden/>
              </w:rPr>
              <w:fldChar w:fldCharType="end"/>
            </w:r>
          </w:hyperlink>
        </w:p>
        <w:p w:rsidR="00BC7F72" w:rsidRDefault="00E77D2A" w:rsidP="00BC7F72">
          <w:pPr>
            <w:pStyle w:val="Inhopg1"/>
            <w:tabs>
              <w:tab w:val="right" w:leader="dot" w:pos="9062"/>
            </w:tabs>
            <w:contextualSpacing/>
            <w:rPr>
              <w:rFonts w:eastAsiaTheme="minorEastAsia"/>
              <w:noProof/>
              <w:lang w:eastAsia="nl-NL"/>
            </w:rPr>
          </w:pPr>
          <w:hyperlink w:anchor="_Toc270770637" w:history="1">
            <w:r w:rsidR="00BC7F72" w:rsidRPr="00517E8D">
              <w:rPr>
                <w:rStyle w:val="Hyperlink"/>
                <w:noProof/>
                <w:lang w:val="en-US"/>
              </w:rPr>
              <w:t>Appendix E: Hypothesis two</w:t>
            </w:r>
            <w:r w:rsidR="00BC7F72">
              <w:rPr>
                <w:noProof/>
                <w:webHidden/>
              </w:rPr>
              <w:tab/>
            </w:r>
            <w:r>
              <w:rPr>
                <w:noProof/>
                <w:webHidden/>
              </w:rPr>
              <w:fldChar w:fldCharType="begin"/>
            </w:r>
            <w:r w:rsidR="00BC7F72">
              <w:rPr>
                <w:noProof/>
                <w:webHidden/>
              </w:rPr>
              <w:instrText xml:space="preserve"> PAGEREF _Toc270770637 \h </w:instrText>
            </w:r>
            <w:r>
              <w:rPr>
                <w:noProof/>
                <w:webHidden/>
              </w:rPr>
            </w:r>
            <w:r>
              <w:rPr>
                <w:noProof/>
                <w:webHidden/>
              </w:rPr>
              <w:fldChar w:fldCharType="separate"/>
            </w:r>
            <w:r w:rsidR="00BC7F72">
              <w:rPr>
                <w:noProof/>
                <w:webHidden/>
              </w:rPr>
              <w:t>104</w:t>
            </w:r>
            <w:r>
              <w:rPr>
                <w:noProof/>
                <w:webHidden/>
              </w:rPr>
              <w:fldChar w:fldCharType="end"/>
            </w:r>
          </w:hyperlink>
        </w:p>
        <w:p w:rsidR="00BC7F72" w:rsidRDefault="00E77D2A" w:rsidP="00BC7F72">
          <w:pPr>
            <w:pStyle w:val="Inhopg1"/>
            <w:tabs>
              <w:tab w:val="right" w:leader="dot" w:pos="9062"/>
            </w:tabs>
            <w:contextualSpacing/>
            <w:rPr>
              <w:rFonts w:eastAsiaTheme="minorEastAsia"/>
              <w:noProof/>
              <w:lang w:eastAsia="nl-NL"/>
            </w:rPr>
          </w:pPr>
          <w:hyperlink w:anchor="_Toc270770638" w:history="1">
            <w:r w:rsidR="00BC7F72" w:rsidRPr="00517E8D">
              <w:rPr>
                <w:rStyle w:val="Hyperlink"/>
                <w:noProof/>
                <w:lang w:val="en-US"/>
              </w:rPr>
              <w:t>Appendix F: SPSS outcome per country</w:t>
            </w:r>
            <w:r w:rsidR="00BC7F72">
              <w:rPr>
                <w:noProof/>
                <w:webHidden/>
              </w:rPr>
              <w:tab/>
            </w:r>
            <w:r>
              <w:rPr>
                <w:noProof/>
                <w:webHidden/>
              </w:rPr>
              <w:fldChar w:fldCharType="begin"/>
            </w:r>
            <w:r w:rsidR="00BC7F72">
              <w:rPr>
                <w:noProof/>
                <w:webHidden/>
              </w:rPr>
              <w:instrText xml:space="preserve"> PAGEREF _Toc270770638 \h </w:instrText>
            </w:r>
            <w:r>
              <w:rPr>
                <w:noProof/>
                <w:webHidden/>
              </w:rPr>
            </w:r>
            <w:r>
              <w:rPr>
                <w:noProof/>
                <w:webHidden/>
              </w:rPr>
              <w:fldChar w:fldCharType="separate"/>
            </w:r>
            <w:r w:rsidR="00BC7F72">
              <w:rPr>
                <w:noProof/>
                <w:webHidden/>
              </w:rPr>
              <w:t>106</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39" w:history="1">
            <w:r w:rsidR="00BC7F72" w:rsidRPr="00517E8D">
              <w:rPr>
                <w:rStyle w:val="Hyperlink"/>
                <w:noProof/>
                <w:lang w:val="en-US"/>
              </w:rPr>
              <w:t>Belgium</w:t>
            </w:r>
            <w:r w:rsidR="00BC7F72">
              <w:rPr>
                <w:noProof/>
                <w:webHidden/>
              </w:rPr>
              <w:tab/>
            </w:r>
            <w:r>
              <w:rPr>
                <w:noProof/>
                <w:webHidden/>
              </w:rPr>
              <w:fldChar w:fldCharType="begin"/>
            </w:r>
            <w:r w:rsidR="00BC7F72">
              <w:rPr>
                <w:noProof/>
                <w:webHidden/>
              </w:rPr>
              <w:instrText xml:space="preserve"> PAGEREF _Toc270770639 \h </w:instrText>
            </w:r>
            <w:r>
              <w:rPr>
                <w:noProof/>
                <w:webHidden/>
              </w:rPr>
            </w:r>
            <w:r>
              <w:rPr>
                <w:noProof/>
                <w:webHidden/>
              </w:rPr>
              <w:fldChar w:fldCharType="separate"/>
            </w:r>
            <w:r w:rsidR="00BC7F72">
              <w:rPr>
                <w:noProof/>
                <w:webHidden/>
              </w:rPr>
              <w:t>106</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40" w:history="1">
            <w:r w:rsidR="00BC7F72" w:rsidRPr="00517E8D">
              <w:rPr>
                <w:rStyle w:val="Hyperlink"/>
                <w:noProof/>
                <w:lang w:val="en-US"/>
              </w:rPr>
              <w:t>Denmark</w:t>
            </w:r>
            <w:r w:rsidR="00BC7F72">
              <w:rPr>
                <w:noProof/>
                <w:webHidden/>
              </w:rPr>
              <w:tab/>
            </w:r>
            <w:r>
              <w:rPr>
                <w:noProof/>
                <w:webHidden/>
              </w:rPr>
              <w:fldChar w:fldCharType="begin"/>
            </w:r>
            <w:r w:rsidR="00BC7F72">
              <w:rPr>
                <w:noProof/>
                <w:webHidden/>
              </w:rPr>
              <w:instrText xml:space="preserve"> PAGEREF _Toc270770640 \h </w:instrText>
            </w:r>
            <w:r>
              <w:rPr>
                <w:noProof/>
                <w:webHidden/>
              </w:rPr>
            </w:r>
            <w:r>
              <w:rPr>
                <w:noProof/>
                <w:webHidden/>
              </w:rPr>
              <w:fldChar w:fldCharType="separate"/>
            </w:r>
            <w:r w:rsidR="00BC7F72">
              <w:rPr>
                <w:noProof/>
                <w:webHidden/>
              </w:rPr>
              <w:t>107</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41" w:history="1">
            <w:r w:rsidR="00BC7F72" w:rsidRPr="00517E8D">
              <w:rPr>
                <w:rStyle w:val="Hyperlink"/>
                <w:noProof/>
                <w:lang w:val="en-US"/>
              </w:rPr>
              <w:t>Germany</w:t>
            </w:r>
            <w:r w:rsidR="00BC7F72">
              <w:rPr>
                <w:noProof/>
                <w:webHidden/>
              </w:rPr>
              <w:tab/>
            </w:r>
            <w:r>
              <w:rPr>
                <w:noProof/>
                <w:webHidden/>
              </w:rPr>
              <w:fldChar w:fldCharType="begin"/>
            </w:r>
            <w:r w:rsidR="00BC7F72">
              <w:rPr>
                <w:noProof/>
                <w:webHidden/>
              </w:rPr>
              <w:instrText xml:space="preserve"> PAGEREF _Toc270770641 \h </w:instrText>
            </w:r>
            <w:r>
              <w:rPr>
                <w:noProof/>
                <w:webHidden/>
              </w:rPr>
            </w:r>
            <w:r>
              <w:rPr>
                <w:noProof/>
                <w:webHidden/>
              </w:rPr>
              <w:fldChar w:fldCharType="separate"/>
            </w:r>
            <w:r w:rsidR="00BC7F72">
              <w:rPr>
                <w:noProof/>
                <w:webHidden/>
              </w:rPr>
              <w:t>108</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42" w:history="1">
            <w:r w:rsidR="00BC7F72" w:rsidRPr="00517E8D">
              <w:rPr>
                <w:rStyle w:val="Hyperlink"/>
                <w:noProof/>
                <w:lang w:val="en-US"/>
              </w:rPr>
              <w:t>Finland</w:t>
            </w:r>
            <w:r w:rsidR="00BC7F72">
              <w:rPr>
                <w:noProof/>
                <w:webHidden/>
              </w:rPr>
              <w:tab/>
            </w:r>
            <w:r>
              <w:rPr>
                <w:noProof/>
                <w:webHidden/>
              </w:rPr>
              <w:fldChar w:fldCharType="begin"/>
            </w:r>
            <w:r w:rsidR="00BC7F72">
              <w:rPr>
                <w:noProof/>
                <w:webHidden/>
              </w:rPr>
              <w:instrText xml:space="preserve"> PAGEREF _Toc270770642 \h </w:instrText>
            </w:r>
            <w:r>
              <w:rPr>
                <w:noProof/>
                <w:webHidden/>
              </w:rPr>
            </w:r>
            <w:r>
              <w:rPr>
                <w:noProof/>
                <w:webHidden/>
              </w:rPr>
              <w:fldChar w:fldCharType="separate"/>
            </w:r>
            <w:r w:rsidR="00BC7F72">
              <w:rPr>
                <w:noProof/>
                <w:webHidden/>
              </w:rPr>
              <w:t>109</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43" w:history="1">
            <w:r w:rsidR="00BC7F72" w:rsidRPr="00517E8D">
              <w:rPr>
                <w:rStyle w:val="Hyperlink"/>
                <w:noProof/>
                <w:lang w:val="en-US"/>
              </w:rPr>
              <w:t>France</w:t>
            </w:r>
            <w:r w:rsidR="00BC7F72">
              <w:rPr>
                <w:noProof/>
                <w:webHidden/>
              </w:rPr>
              <w:tab/>
            </w:r>
            <w:r>
              <w:rPr>
                <w:noProof/>
                <w:webHidden/>
              </w:rPr>
              <w:fldChar w:fldCharType="begin"/>
            </w:r>
            <w:r w:rsidR="00BC7F72">
              <w:rPr>
                <w:noProof/>
                <w:webHidden/>
              </w:rPr>
              <w:instrText xml:space="preserve"> PAGEREF _Toc270770643 \h </w:instrText>
            </w:r>
            <w:r>
              <w:rPr>
                <w:noProof/>
                <w:webHidden/>
              </w:rPr>
            </w:r>
            <w:r>
              <w:rPr>
                <w:noProof/>
                <w:webHidden/>
              </w:rPr>
              <w:fldChar w:fldCharType="separate"/>
            </w:r>
            <w:r w:rsidR="00BC7F72">
              <w:rPr>
                <w:noProof/>
                <w:webHidden/>
              </w:rPr>
              <w:t>110</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44" w:history="1">
            <w:r w:rsidR="00BC7F72" w:rsidRPr="00517E8D">
              <w:rPr>
                <w:rStyle w:val="Hyperlink"/>
                <w:noProof/>
                <w:lang w:val="en-US"/>
              </w:rPr>
              <w:t>Ireland</w:t>
            </w:r>
            <w:r w:rsidR="00BC7F72">
              <w:rPr>
                <w:noProof/>
                <w:webHidden/>
              </w:rPr>
              <w:tab/>
            </w:r>
            <w:r>
              <w:rPr>
                <w:noProof/>
                <w:webHidden/>
              </w:rPr>
              <w:fldChar w:fldCharType="begin"/>
            </w:r>
            <w:r w:rsidR="00BC7F72">
              <w:rPr>
                <w:noProof/>
                <w:webHidden/>
              </w:rPr>
              <w:instrText xml:space="preserve"> PAGEREF _Toc270770644 \h </w:instrText>
            </w:r>
            <w:r>
              <w:rPr>
                <w:noProof/>
                <w:webHidden/>
              </w:rPr>
            </w:r>
            <w:r>
              <w:rPr>
                <w:noProof/>
                <w:webHidden/>
              </w:rPr>
              <w:fldChar w:fldCharType="separate"/>
            </w:r>
            <w:r w:rsidR="00BC7F72">
              <w:rPr>
                <w:noProof/>
                <w:webHidden/>
              </w:rPr>
              <w:t>111</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45" w:history="1">
            <w:r w:rsidR="00BC7F72" w:rsidRPr="00517E8D">
              <w:rPr>
                <w:rStyle w:val="Hyperlink"/>
                <w:noProof/>
                <w:lang w:val="en-US"/>
              </w:rPr>
              <w:t>Italy</w:t>
            </w:r>
            <w:r w:rsidR="00BC7F72">
              <w:rPr>
                <w:noProof/>
                <w:webHidden/>
              </w:rPr>
              <w:tab/>
            </w:r>
            <w:r>
              <w:rPr>
                <w:noProof/>
                <w:webHidden/>
              </w:rPr>
              <w:fldChar w:fldCharType="begin"/>
            </w:r>
            <w:r w:rsidR="00BC7F72">
              <w:rPr>
                <w:noProof/>
                <w:webHidden/>
              </w:rPr>
              <w:instrText xml:space="preserve"> PAGEREF _Toc270770645 \h </w:instrText>
            </w:r>
            <w:r>
              <w:rPr>
                <w:noProof/>
                <w:webHidden/>
              </w:rPr>
            </w:r>
            <w:r>
              <w:rPr>
                <w:noProof/>
                <w:webHidden/>
              </w:rPr>
              <w:fldChar w:fldCharType="separate"/>
            </w:r>
            <w:r w:rsidR="00BC7F72">
              <w:rPr>
                <w:noProof/>
                <w:webHidden/>
              </w:rPr>
              <w:t>112</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46" w:history="1">
            <w:r w:rsidR="00BC7F72" w:rsidRPr="00517E8D">
              <w:rPr>
                <w:rStyle w:val="Hyperlink"/>
                <w:noProof/>
                <w:lang w:val="en-US"/>
              </w:rPr>
              <w:t>Luxembourg</w:t>
            </w:r>
            <w:r w:rsidR="00BC7F72">
              <w:rPr>
                <w:noProof/>
                <w:webHidden/>
              </w:rPr>
              <w:tab/>
            </w:r>
            <w:r>
              <w:rPr>
                <w:noProof/>
                <w:webHidden/>
              </w:rPr>
              <w:fldChar w:fldCharType="begin"/>
            </w:r>
            <w:r w:rsidR="00BC7F72">
              <w:rPr>
                <w:noProof/>
                <w:webHidden/>
              </w:rPr>
              <w:instrText xml:space="preserve"> PAGEREF _Toc270770646 \h </w:instrText>
            </w:r>
            <w:r>
              <w:rPr>
                <w:noProof/>
                <w:webHidden/>
              </w:rPr>
            </w:r>
            <w:r>
              <w:rPr>
                <w:noProof/>
                <w:webHidden/>
              </w:rPr>
              <w:fldChar w:fldCharType="separate"/>
            </w:r>
            <w:r w:rsidR="00BC7F72">
              <w:rPr>
                <w:noProof/>
                <w:webHidden/>
              </w:rPr>
              <w:t>113</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47" w:history="1">
            <w:r w:rsidR="00BC7F72" w:rsidRPr="00517E8D">
              <w:rPr>
                <w:rStyle w:val="Hyperlink"/>
                <w:noProof/>
                <w:lang w:val="en-US"/>
              </w:rPr>
              <w:t>Netherlands</w:t>
            </w:r>
            <w:r w:rsidR="00BC7F72">
              <w:rPr>
                <w:noProof/>
                <w:webHidden/>
              </w:rPr>
              <w:tab/>
            </w:r>
            <w:r>
              <w:rPr>
                <w:noProof/>
                <w:webHidden/>
              </w:rPr>
              <w:fldChar w:fldCharType="begin"/>
            </w:r>
            <w:r w:rsidR="00BC7F72">
              <w:rPr>
                <w:noProof/>
                <w:webHidden/>
              </w:rPr>
              <w:instrText xml:space="preserve"> PAGEREF _Toc270770647 \h </w:instrText>
            </w:r>
            <w:r>
              <w:rPr>
                <w:noProof/>
                <w:webHidden/>
              </w:rPr>
            </w:r>
            <w:r>
              <w:rPr>
                <w:noProof/>
                <w:webHidden/>
              </w:rPr>
              <w:fldChar w:fldCharType="separate"/>
            </w:r>
            <w:r w:rsidR="00BC7F72">
              <w:rPr>
                <w:noProof/>
                <w:webHidden/>
              </w:rPr>
              <w:t>114</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48" w:history="1">
            <w:r w:rsidR="00BC7F72" w:rsidRPr="00517E8D">
              <w:rPr>
                <w:rStyle w:val="Hyperlink"/>
                <w:noProof/>
                <w:lang w:val="en-US"/>
              </w:rPr>
              <w:t>Austria</w:t>
            </w:r>
            <w:r w:rsidR="00BC7F72">
              <w:rPr>
                <w:noProof/>
                <w:webHidden/>
              </w:rPr>
              <w:tab/>
            </w:r>
            <w:r>
              <w:rPr>
                <w:noProof/>
                <w:webHidden/>
              </w:rPr>
              <w:fldChar w:fldCharType="begin"/>
            </w:r>
            <w:r w:rsidR="00BC7F72">
              <w:rPr>
                <w:noProof/>
                <w:webHidden/>
              </w:rPr>
              <w:instrText xml:space="preserve"> PAGEREF _Toc270770648 \h </w:instrText>
            </w:r>
            <w:r>
              <w:rPr>
                <w:noProof/>
                <w:webHidden/>
              </w:rPr>
            </w:r>
            <w:r>
              <w:rPr>
                <w:noProof/>
                <w:webHidden/>
              </w:rPr>
              <w:fldChar w:fldCharType="separate"/>
            </w:r>
            <w:r w:rsidR="00BC7F72">
              <w:rPr>
                <w:noProof/>
                <w:webHidden/>
              </w:rPr>
              <w:t>115</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49" w:history="1">
            <w:r w:rsidR="00BC7F72" w:rsidRPr="00517E8D">
              <w:rPr>
                <w:rStyle w:val="Hyperlink"/>
                <w:noProof/>
                <w:lang w:val="en-US"/>
              </w:rPr>
              <w:t>Portugal</w:t>
            </w:r>
            <w:r w:rsidR="00BC7F72">
              <w:rPr>
                <w:noProof/>
                <w:webHidden/>
              </w:rPr>
              <w:tab/>
            </w:r>
            <w:r>
              <w:rPr>
                <w:noProof/>
                <w:webHidden/>
              </w:rPr>
              <w:fldChar w:fldCharType="begin"/>
            </w:r>
            <w:r w:rsidR="00BC7F72">
              <w:rPr>
                <w:noProof/>
                <w:webHidden/>
              </w:rPr>
              <w:instrText xml:space="preserve"> PAGEREF _Toc270770649 \h </w:instrText>
            </w:r>
            <w:r>
              <w:rPr>
                <w:noProof/>
                <w:webHidden/>
              </w:rPr>
            </w:r>
            <w:r>
              <w:rPr>
                <w:noProof/>
                <w:webHidden/>
              </w:rPr>
              <w:fldChar w:fldCharType="separate"/>
            </w:r>
            <w:r w:rsidR="00BC7F72">
              <w:rPr>
                <w:noProof/>
                <w:webHidden/>
              </w:rPr>
              <w:t>116</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50" w:history="1">
            <w:r w:rsidR="00BC7F72" w:rsidRPr="00517E8D">
              <w:rPr>
                <w:rStyle w:val="Hyperlink"/>
                <w:noProof/>
                <w:lang w:val="en-US"/>
              </w:rPr>
              <w:t>Spain</w:t>
            </w:r>
            <w:r w:rsidR="00BC7F72">
              <w:rPr>
                <w:noProof/>
                <w:webHidden/>
              </w:rPr>
              <w:tab/>
            </w:r>
            <w:r>
              <w:rPr>
                <w:noProof/>
                <w:webHidden/>
              </w:rPr>
              <w:fldChar w:fldCharType="begin"/>
            </w:r>
            <w:r w:rsidR="00BC7F72">
              <w:rPr>
                <w:noProof/>
                <w:webHidden/>
              </w:rPr>
              <w:instrText xml:space="preserve"> PAGEREF _Toc270770650 \h </w:instrText>
            </w:r>
            <w:r>
              <w:rPr>
                <w:noProof/>
                <w:webHidden/>
              </w:rPr>
            </w:r>
            <w:r>
              <w:rPr>
                <w:noProof/>
                <w:webHidden/>
              </w:rPr>
              <w:fldChar w:fldCharType="separate"/>
            </w:r>
            <w:r w:rsidR="00BC7F72">
              <w:rPr>
                <w:noProof/>
                <w:webHidden/>
              </w:rPr>
              <w:t>117</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51" w:history="1">
            <w:r w:rsidR="00BC7F72" w:rsidRPr="00517E8D">
              <w:rPr>
                <w:rStyle w:val="Hyperlink"/>
                <w:noProof/>
                <w:lang w:val="en-US"/>
              </w:rPr>
              <w:t>United Kingdom</w:t>
            </w:r>
            <w:r w:rsidR="00BC7F72">
              <w:rPr>
                <w:noProof/>
                <w:webHidden/>
              </w:rPr>
              <w:tab/>
            </w:r>
            <w:r>
              <w:rPr>
                <w:noProof/>
                <w:webHidden/>
              </w:rPr>
              <w:fldChar w:fldCharType="begin"/>
            </w:r>
            <w:r w:rsidR="00BC7F72">
              <w:rPr>
                <w:noProof/>
                <w:webHidden/>
              </w:rPr>
              <w:instrText xml:space="preserve"> PAGEREF _Toc270770651 \h </w:instrText>
            </w:r>
            <w:r>
              <w:rPr>
                <w:noProof/>
                <w:webHidden/>
              </w:rPr>
            </w:r>
            <w:r>
              <w:rPr>
                <w:noProof/>
                <w:webHidden/>
              </w:rPr>
              <w:fldChar w:fldCharType="separate"/>
            </w:r>
            <w:r w:rsidR="00BC7F72">
              <w:rPr>
                <w:noProof/>
                <w:webHidden/>
              </w:rPr>
              <w:t>118</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52" w:history="1">
            <w:r w:rsidR="00BC7F72" w:rsidRPr="00517E8D">
              <w:rPr>
                <w:rStyle w:val="Hyperlink"/>
                <w:noProof/>
                <w:lang w:val="en-US"/>
              </w:rPr>
              <w:t>Sweden</w:t>
            </w:r>
            <w:r w:rsidR="00BC7F72">
              <w:rPr>
                <w:noProof/>
                <w:webHidden/>
              </w:rPr>
              <w:tab/>
            </w:r>
            <w:r>
              <w:rPr>
                <w:noProof/>
                <w:webHidden/>
              </w:rPr>
              <w:fldChar w:fldCharType="begin"/>
            </w:r>
            <w:r w:rsidR="00BC7F72">
              <w:rPr>
                <w:noProof/>
                <w:webHidden/>
              </w:rPr>
              <w:instrText xml:space="preserve"> PAGEREF _Toc270770652 \h </w:instrText>
            </w:r>
            <w:r>
              <w:rPr>
                <w:noProof/>
                <w:webHidden/>
              </w:rPr>
            </w:r>
            <w:r>
              <w:rPr>
                <w:noProof/>
                <w:webHidden/>
              </w:rPr>
              <w:fldChar w:fldCharType="separate"/>
            </w:r>
            <w:r w:rsidR="00BC7F72">
              <w:rPr>
                <w:noProof/>
                <w:webHidden/>
              </w:rPr>
              <w:t>119</w:t>
            </w:r>
            <w:r>
              <w:rPr>
                <w:noProof/>
                <w:webHidden/>
              </w:rPr>
              <w:fldChar w:fldCharType="end"/>
            </w:r>
          </w:hyperlink>
        </w:p>
        <w:p w:rsidR="00BC7F72" w:rsidRDefault="00E77D2A" w:rsidP="00BC7F72">
          <w:pPr>
            <w:pStyle w:val="Inhopg1"/>
            <w:tabs>
              <w:tab w:val="right" w:leader="dot" w:pos="9062"/>
            </w:tabs>
            <w:contextualSpacing/>
            <w:rPr>
              <w:rFonts w:eastAsiaTheme="minorEastAsia"/>
              <w:noProof/>
              <w:lang w:eastAsia="nl-NL"/>
            </w:rPr>
          </w:pPr>
          <w:hyperlink w:anchor="_Toc270770653" w:history="1">
            <w:r w:rsidR="00BC7F72" w:rsidRPr="00517E8D">
              <w:rPr>
                <w:rStyle w:val="Hyperlink"/>
                <w:noProof/>
                <w:lang w:val="en-US"/>
              </w:rPr>
              <w:t>Appendix G: SPSS outcome after changing predicted direction</w:t>
            </w:r>
            <w:r w:rsidR="00BC7F72">
              <w:rPr>
                <w:noProof/>
                <w:webHidden/>
              </w:rPr>
              <w:tab/>
            </w:r>
            <w:r>
              <w:rPr>
                <w:noProof/>
                <w:webHidden/>
              </w:rPr>
              <w:fldChar w:fldCharType="begin"/>
            </w:r>
            <w:r w:rsidR="00BC7F72">
              <w:rPr>
                <w:noProof/>
                <w:webHidden/>
              </w:rPr>
              <w:instrText xml:space="preserve"> PAGEREF _Toc270770653 \h </w:instrText>
            </w:r>
            <w:r>
              <w:rPr>
                <w:noProof/>
                <w:webHidden/>
              </w:rPr>
            </w:r>
            <w:r>
              <w:rPr>
                <w:noProof/>
                <w:webHidden/>
              </w:rPr>
              <w:fldChar w:fldCharType="separate"/>
            </w:r>
            <w:r w:rsidR="00BC7F72">
              <w:rPr>
                <w:noProof/>
                <w:webHidden/>
              </w:rPr>
              <w:t>120</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54" w:history="1">
            <w:r w:rsidR="00BC7F72" w:rsidRPr="00517E8D">
              <w:rPr>
                <w:rStyle w:val="Hyperlink"/>
                <w:noProof/>
                <w:lang w:val="en-US"/>
              </w:rPr>
              <w:t>Regression model event windows combined</w:t>
            </w:r>
            <w:r w:rsidR="00BC7F72">
              <w:rPr>
                <w:noProof/>
                <w:webHidden/>
              </w:rPr>
              <w:tab/>
            </w:r>
            <w:r>
              <w:rPr>
                <w:noProof/>
                <w:webHidden/>
              </w:rPr>
              <w:fldChar w:fldCharType="begin"/>
            </w:r>
            <w:r w:rsidR="00BC7F72">
              <w:rPr>
                <w:noProof/>
                <w:webHidden/>
              </w:rPr>
              <w:instrText xml:space="preserve"> PAGEREF _Toc270770654 \h </w:instrText>
            </w:r>
            <w:r>
              <w:rPr>
                <w:noProof/>
                <w:webHidden/>
              </w:rPr>
            </w:r>
            <w:r>
              <w:rPr>
                <w:noProof/>
                <w:webHidden/>
              </w:rPr>
              <w:fldChar w:fldCharType="separate"/>
            </w:r>
            <w:r w:rsidR="00BC7F72">
              <w:rPr>
                <w:noProof/>
                <w:webHidden/>
              </w:rPr>
              <w:t>120</w:t>
            </w:r>
            <w:r>
              <w:rPr>
                <w:noProof/>
                <w:webHidden/>
              </w:rPr>
              <w:fldChar w:fldCharType="end"/>
            </w:r>
          </w:hyperlink>
        </w:p>
        <w:p w:rsidR="00BC7F72" w:rsidRDefault="00E77D2A" w:rsidP="00BC7F72">
          <w:pPr>
            <w:pStyle w:val="Inhopg2"/>
            <w:tabs>
              <w:tab w:val="right" w:leader="dot" w:pos="9062"/>
            </w:tabs>
            <w:contextualSpacing/>
            <w:rPr>
              <w:rFonts w:eastAsiaTheme="minorEastAsia"/>
              <w:noProof/>
              <w:lang w:eastAsia="nl-NL"/>
            </w:rPr>
          </w:pPr>
          <w:hyperlink w:anchor="_Toc270770655" w:history="1">
            <w:r w:rsidR="00BC7F72" w:rsidRPr="00517E8D">
              <w:rPr>
                <w:rStyle w:val="Hyperlink"/>
                <w:noProof/>
                <w:lang w:val="en-US"/>
              </w:rPr>
              <w:t>SPSS outcome</w:t>
            </w:r>
            <w:r w:rsidR="00BC7F72">
              <w:rPr>
                <w:noProof/>
                <w:webHidden/>
              </w:rPr>
              <w:tab/>
            </w:r>
            <w:r>
              <w:rPr>
                <w:noProof/>
                <w:webHidden/>
              </w:rPr>
              <w:fldChar w:fldCharType="begin"/>
            </w:r>
            <w:r w:rsidR="00BC7F72">
              <w:rPr>
                <w:noProof/>
                <w:webHidden/>
              </w:rPr>
              <w:instrText xml:space="preserve"> PAGEREF _Toc270770655 \h </w:instrText>
            </w:r>
            <w:r>
              <w:rPr>
                <w:noProof/>
                <w:webHidden/>
              </w:rPr>
            </w:r>
            <w:r>
              <w:rPr>
                <w:noProof/>
                <w:webHidden/>
              </w:rPr>
              <w:fldChar w:fldCharType="separate"/>
            </w:r>
            <w:r w:rsidR="00BC7F72">
              <w:rPr>
                <w:noProof/>
                <w:webHidden/>
              </w:rPr>
              <w:t>120</w:t>
            </w:r>
            <w:r>
              <w:rPr>
                <w:noProof/>
                <w:webHidden/>
              </w:rPr>
              <w:fldChar w:fldCharType="end"/>
            </w:r>
          </w:hyperlink>
        </w:p>
        <w:p w:rsidR="00245F5C" w:rsidRDefault="00E77D2A" w:rsidP="00BC7F72">
          <w:pPr>
            <w:spacing w:after="0" w:line="240" w:lineRule="auto"/>
            <w:contextualSpacing/>
          </w:pPr>
          <w:r w:rsidRPr="00245F5C">
            <w:fldChar w:fldCharType="end"/>
          </w:r>
        </w:p>
      </w:sdtContent>
    </w:sdt>
    <w:p w:rsidR="00ED7A9E" w:rsidRPr="00245F5C" w:rsidRDefault="00ED7A9E">
      <w:pPr>
        <w:rPr>
          <w:rFonts w:asciiTheme="majorHAnsi" w:eastAsiaTheme="majorEastAsia" w:hAnsiTheme="majorHAnsi" w:cstheme="majorBidi"/>
          <w:b/>
          <w:bCs/>
          <w:color w:val="365F91" w:themeColor="accent1" w:themeShade="BF"/>
          <w:sz w:val="28"/>
          <w:szCs w:val="28"/>
        </w:rPr>
      </w:pPr>
    </w:p>
    <w:p w:rsidR="00ED7A9E" w:rsidRPr="00245F5C" w:rsidRDefault="00ED7A9E">
      <w:pPr>
        <w:rPr>
          <w:rFonts w:asciiTheme="majorHAnsi" w:eastAsiaTheme="majorEastAsia" w:hAnsiTheme="majorHAnsi" w:cstheme="majorBidi"/>
          <w:b/>
          <w:bCs/>
          <w:color w:val="365F91" w:themeColor="accent1" w:themeShade="BF"/>
          <w:sz w:val="28"/>
          <w:szCs w:val="28"/>
        </w:rPr>
      </w:pPr>
      <w:r w:rsidRPr="00245F5C">
        <w:rPr>
          <w:rFonts w:asciiTheme="majorHAnsi" w:eastAsiaTheme="majorEastAsia" w:hAnsiTheme="majorHAnsi" w:cstheme="majorBidi"/>
          <w:b/>
          <w:bCs/>
          <w:color w:val="365F91" w:themeColor="accent1" w:themeShade="BF"/>
          <w:sz w:val="28"/>
          <w:szCs w:val="28"/>
        </w:rPr>
        <w:br w:type="page"/>
      </w:r>
    </w:p>
    <w:p w:rsidR="0077301A" w:rsidRPr="00DA0DCD" w:rsidRDefault="0077301A" w:rsidP="00D26049">
      <w:pPr>
        <w:pStyle w:val="Kop1"/>
        <w:numPr>
          <w:ilvl w:val="0"/>
          <w:numId w:val="11"/>
        </w:numPr>
        <w:spacing w:before="0" w:line="360" w:lineRule="auto"/>
        <w:rPr>
          <w:lang w:val="en-US"/>
        </w:rPr>
      </w:pPr>
      <w:bookmarkStart w:id="0" w:name="_Toc270770545"/>
      <w:r w:rsidRPr="00DA0DCD">
        <w:rPr>
          <w:lang w:val="en-US"/>
        </w:rPr>
        <w:lastRenderedPageBreak/>
        <w:t>Introduction</w:t>
      </w:r>
      <w:bookmarkEnd w:id="0"/>
    </w:p>
    <w:p w:rsidR="00D26049" w:rsidRPr="00DA0DCD" w:rsidRDefault="00D26049" w:rsidP="00D26049">
      <w:pPr>
        <w:pStyle w:val="Kop2"/>
        <w:numPr>
          <w:ilvl w:val="1"/>
          <w:numId w:val="14"/>
        </w:numPr>
        <w:rPr>
          <w:lang w:val="en-US"/>
        </w:rPr>
      </w:pPr>
      <w:r w:rsidRPr="00DA0DCD">
        <w:rPr>
          <w:lang w:val="en-US"/>
        </w:rPr>
        <w:t xml:space="preserve"> </w:t>
      </w:r>
      <w:bookmarkStart w:id="1" w:name="_Toc270770546"/>
      <w:r w:rsidRPr="00DA0DCD">
        <w:rPr>
          <w:lang w:val="en-US"/>
        </w:rPr>
        <w:t>Introduction</w:t>
      </w:r>
      <w:bookmarkEnd w:id="1"/>
    </w:p>
    <w:p w:rsidR="00DF2393" w:rsidRPr="00DA0DCD" w:rsidRDefault="004B4C34" w:rsidP="003B558B">
      <w:pPr>
        <w:rPr>
          <w:lang w:val="en-US"/>
        </w:rPr>
      </w:pPr>
      <w:r w:rsidRPr="00DA0DCD">
        <w:rPr>
          <w:lang w:val="en-US"/>
        </w:rPr>
        <w:t>In</w:t>
      </w:r>
      <w:r w:rsidR="00BD54E4" w:rsidRPr="00DA0DCD">
        <w:rPr>
          <w:lang w:val="en-US"/>
        </w:rPr>
        <w:t xml:space="preserve"> 2001 the European Union adopted</w:t>
      </w:r>
      <w:r w:rsidR="00AC4778" w:rsidRPr="00DA0DCD">
        <w:rPr>
          <w:lang w:val="en-US"/>
        </w:rPr>
        <w:t xml:space="preserve"> a directive to modernize the accounting </w:t>
      </w:r>
      <w:r w:rsidR="00183BA1" w:rsidRPr="00DA0DCD">
        <w:rPr>
          <w:lang w:val="en-US"/>
        </w:rPr>
        <w:t>standards</w:t>
      </w:r>
      <w:r w:rsidR="00AC4778" w:rsidRPr="00DA0DCD">
        <w:rPr>
          <w:lang w:val="en-US"/>
        </w:rPr>
        <w:t xml:space="preserve"> </w:t>
      </w:r>
      <w:r w:rsidR="00183BA1" w:rsidRPr="00DA0DCD">
        <w:rPr>
          <w:lang w:val="en-US"/>
        </w:rPr>
        <w:t xml:space="preserve">in the EU </w:t>
      </w:r>
      <w:r w:rsidR="00AC4778" w:rsidRPr="00DA0DCD">
        <w:rPr>
          <w:lang w:val="en-US"/>
        </w:rPr>
        <w:t>by</w:t>
      </w:r>
      <w:r w:rsidR="00BD54E4" w:rsidRPr="00DA0DCD">
        <w:rPr>
          <w:lang w:val="en-US"/>
        </w:rPr>
        <w:t xml:space="preserve"> the</w:t>
      </w:r>
      <w:r w:rsidR="00AC4778" w:rsidRPr="00DA0DCD">
        <w:rPr>
          <w:lang w:val="en-US"/>
        </w:rPr>
        <w:t xml:space="preserve"> introduction of the</w:t>
      </w:r>
      <w:r w:rsidR="00BD54E4" w:rsidRPr="00DA0DCD">
        <w:rPr>
          <w:lang w:val="en-US"/>
        </w:rPr>
        <w:t xml:space="preserve"> Fair Value Accounting (FVA)</w:t>
      </w:r>
      <w:r w:rsidR="00AC4778" w:rsidRPr="00DA0DCD">
        <w:rPr>
          <w:lang w:val="en-US"/>
        </w:rPr>
        <w:t xml:space="preserve"> method</w:t>
      </w:r>
      <w:r w:rsidR="00546771" w:rsidRPr="00DA0DCD">
        <w:rPr>
          <w:lang w:val="en-US"/>
        </w:rPr>
        <w:t xml:space="preserve"> (</w:t>
      </w:r>
      <w:r w:rsidR="00183BA1" w:rsidRPr="00DA0DCD">
        <w:rPr>
          <w:lang w:val="en-US"/>
        </w:rPr>
        <w:t xml:space="preserve">valuation at </w:t>
      </w:r>
      <w:r w:rsidR="00546771" w:rsidRPr="00DA0DCD">
        <w:rPr>
          <w:lang w:val="en-US"/>
        </w:rPr>
        <w:t>market value).</w:t>
      </w:r>
      <w:r w:rsidR="00BD54E4" w:rsidRPr="00DA0DCD">
        <w:rPr>
          <w:lang w:val="en-US"/>
        </w:rPr>
        <w:t xml:space="preserve"> </w:t>
      </w:r>
      <w:r w:rsidR="00C149BE" w:rsidRPr="00DA0DCD">
        <w:rPr>
          <w:lang w:val="en-US"/>
        </w:rPr>
        <w:t>The Internal Market Commissioner at that moment, Frits Bo</w:t>
      </w:r>
      <w:r w:rsidR="007A6277" w:rsidRPr="00DA0DCD">
        <w:rPr>
          <w:lang w:val="en-US"/>
        </w:rPr>
        <w:t>l</w:t>
      </w:r>
      <w:r w:rsidR="00C149BE" w:rsidRPr="00DA0DCD">
        <w:rPr>
          <w:lang w:val="en-US"/>
        </w:rPr>
        <w:t>kestein, said that the adoption of FVA would help European Companies to prepare financial statements that are accepted and understood around the world. Furthermore he said that it would help European Companies to compete with non-European competitors on equal terms in international capital markets. The main objective of th</w:t>
      </w:r>
      <w:r w:rsidR="00AC4778" w:rsidRPr="00DA0DCD">
        <w:rPr>
          <w:lang w:val="en-US"/>
        </w:rPr>
        <w:t>is</w:t>
      </w:r>
      <w:r w:rsidR="00C149BE" w:rsidRPr="00DA0DCD">
        <w:rPr>
          <w:lang w:val="en-US"/>
        </w:rPr>
        <w:t xml:space="preserve"> </w:t>
      </w:r>
      <w:r w:rsidR="00AC4778" w:rsidRPr="00DA0DCD">
        <w:rPr>
          <w:lang w:val="en-US"/>
        </w:rPr>
        <w:t xml:space="preserve">directive </w:t>
      </w:r>
      <w:r w:rsidR="00263573" w:rsidRPr="00DA0DCD">
        <w:rPr>
          <w:lang w:val="en-US"/>
        </w:rPr>
        <w:t>was to enable the application of the International Accounting Standards (IAS</w:t>
      </w:r>
      <w:r w:rsidR="00BC1D1D" w:rsidRPr="00DA0DCD">
        <w:rPr>
          <w:lang w:val="en-US"/>
        </w:rPr>
        <w:t>/IFRS</w:t>
      </w:r>
      <w:r w:rsidR="00263573" w:rsidRPr="00DA0DCD">
        <w:rPr>
          <w:lang w:val="en-US"/>
        </w:rPr>
        <w:t xml:space="preserve">) fully for companies. </w:t>
      </w:r>
      <w:r w:rsidR="007D24D6" w:rsidRPr="00DA0DCD">
        <w:rPr>
          <w:lang w:val="en-US"/>
        </w:rPr>
        <w:t>This includes</w:t>
      </w:r>
      <w:r w:rsidR="00263573" w:rsidRPr="00DA0DCD">
        <w:rPr>
          <w:lang w:val="en-US"/>
        </w:rPr>
        <w:t xml:space="preserve"> the application of IAS 39, the standard </w:t>
      </w:r>
      <w:r w:rsidR="008E436F">
        <w:rPr>
          <w:lang w:val="en-US"/>
        </w:rPr>
        <w:t>for</w:t>
      </w:r>
      <w:r w:rsidR="00263573" w:rsidRPr="00DA0DCD">
        <w:rPr>
          <w:lang w:val="en-US"/>
        </w:rPr>
        <w:t xml:space="preserve"> measurement and recognition of financial instruments.</w:t>
      </w:r>
      <w:r w:rsidR="000B3802" w:rsidRPr="00DA0DCD">
        <w:rPr>
          <w:rStyle w:val="Voetnootmarkering"/>
          <w:lang w:val="en-US"/>
        </w:rPr>
        <w:footnoteReference w:id="1"/>
      </w:r>
      <w:r w:rsidR="00263573" w:rsidRPr="00DA0DCD">
        <w:rPr>
          <w:lang w:val="en-US"/>
        </w:rPr>
        <w:t xml:space="preserve"> </w:t>
      </w:r>
      <w:r w:rsidR="00BC1D1D" w:rsidRPr="00DA0DCD">
        <w:rPr>
          <w:lang w:val="en-US"/>
        </w:rPr>
        <w:t xml:space="preserve">IAS 39 is based on a mixed model of measurement and recognition at fair value and amortized costs. </w:t>
      </w:r>
      <w:r w:rsidR="00714FAC" w:rsidRPr="00DA0DCD">
        <w:rPr>
          <w:lang w:val="en-US"/>
        </w:rPr>
        <w:t>In 2003 the European commission adopted certain IAS, later i</w:t>
      </w:r>
      <w:r w:rsidR="00AC4778" w:rsidRPr="00DA0DCD">
        <w:rPr>
          <w:lang w:val="en-US"/>
        </w:rPr>
        <w:t>n 2004 the Eur</w:t>
      </w:r>
      <w:r w:rsidR="00570A2F" w:rsidRPr="00DA0DCD">
        <w:rPr>
          <w:lang w:val="en-US"/>
        </w:rPr>
        <w:t>opean Commi</w:t>
      </w:r>
      <w:r w:rsidR="00617446" w:rsidRPr="00DA0DCD">
        <w:rPr>
          <w:lang w:val="en-US"/>
        </w:rPr>
        <w:t>ssion</w:t>
      </w:r>
      <w:r w:rsidR="008708DE" w:rsidRPr="00DA0DCD">
        <w:rPr>
          <w:lang w:val="en-US"/>
        </w:rPr>
        <w:t xml:space="preserve"> (EC)</w:t>
      </w:r>
      <w:r w:rsidR="00617446" w:rsidRPr="00DA0DCD">
        <w:rPr>
          <w:lang w:val="en-US"/>
        </w:rPr>
        <w:t xml:space="preserve"> </w:t>
      </w:r>
      <w:r w:rsidR="00BC1D1D" w:rsidRPr="00DA0DCD">
        <w:rPr>
          <w:lang w:val="en-US"/>
        </w:rPr>
        <w:t>endorsed</w:t>
      </w:r>
      <w:r w:rsidR="00617446" w:rsidRPr="00DA0DCD">
        <w:rPr>
          <w:lang w:val="en-US"/>
        </w:rPr>
        <w:t xml:space="preserve"> IAS 39.</w:t>
      </w:r>
      <w:r w:rsidR="008708DE" w:rsidRPr="00DA0DCD">
        <w:rPr>
          <w:lang w:val="en-US"/>
        </w:rPr>
        <w:t xml:space="preserve"> At that time there were two carve outs,</w:t>
      </w:r>
      <w:r w:rsidR="00987867" w:rsidRPr="00DA0DCD">
        <w:rPr>
          <w:lang w:val="en-US"/>
        </w:rPr>
        <w:t xml:space="preserve"> concerning</w:t>
      </w:r>
      <w:r w:rsidR="008708DE" w:rsidRPr="00DA0DCD">
        <w:rPr>
          <w:lang w:val="en-US"/>
        </w:rPr>
        <w:t xml:space="preserve"> the fair value option and hedge accounting. In the year 2005 the carve outs were resolved by the EC and </w:t>
      </w:r>
      <w:r w:rsidR="00987867" w:rsidRPr="00DA0DCD">
        <w:rPr>
          <w:lang w:val="en-US"/>
        </w:rPr>
        <w:t>therefore adopted in the EU.</w:t>
      </w:r>
      <w:r w:rsidR="00987867" w:rsidRPr="00DA0DCD">
        <w:rPr>
          <w:rStyle w:val="Voetnootmarkering"/>
          <w:lang w:val="en-US"/>
        </w:rPr>
        <w:footnoteReference w:id="2"/>
      </w:r>
      <w:r w:rsidR="008708DE" w:rsidRPr="00DA0DCD">
        <w:rPr>
          <w:lang w:val="en-US"/>
        </w:rPr>
        <w:t xml:space="preserve"> </w:t>
      </w:r>
      <w:r w:rsidR="00D426FE" w:rsidRPr="00DA0DCD">
        <w:rPr>
          <w:lang w:val="en-US"/>
        </w:rPr>
        <w:t>Also the IFRS standards were adopted.</w:t>
      </w:r>
      <w:r w:rsidR="00617446" w:rsidRPr="00DA0DCD">
        <w:rPr>
          <w:lang w:val="en-US"/>
        </w:rPr>
        <w:t xml:space="preserve"> This mean</w:t>
      </w:r>
      <w:r w:rsidR="00D426FE" w:rsidRPr="00DA0DCD">
        <w:rPr>
          <w:lang w:val="en-US"/>
        </w:rPr>
        <w:t>s</w:t>
      </w:r>
      <w:r w:rsidR="00570A2F" w:rsidRPr="00DA0DCD">
        <w:rPr>
          <w:lang w:val="en-US"/>
        </w:rPr>
        <w:t xml:space="preserve"> that listed companies in the European </w:t>
      </w:r>
      <w:r w:rsidR="00277772" w:rsidRPr="00DA0DCD">
        <w:rPr>
          <w:lang w:val="en-US"/>
        </w:rPr>
        <w:t>Union</w:t>
      </w:r>
      <w:r w:rsidR="00570A2F" w:rsidRPr="00DA0DCD">
        <w:rPr>
          <w:lang w:val="en-US"/>
        </w:rPr>
        <w:t xml:space="preserve"> are required to report their consolidated accounts in conformity</w:t>
      </w:r>
      <w:r w:rsidR="00617446" w:rsidRPr="00DA0DCD">
        <w:rPr>
          <w:lang w:val="en-US"/>
        </w:rPr>
        <w:t xml:space="preserve"> with the adopted international accounting standards</w:t>
      </w:r>
      <w:r w:rsidR="00277772" w:rsidRPr="00DA0DCD">
        <w:rPr>
          <w:lang w:val="en-US"/>
        </w:rPr>
        <w:t xml:space="preserve"> (IAS and IFRS</w:t>
      </w:r>
      <w:r w:rsidR="008E436F">
        <w:rPr>
          <w:lang w:val="en-US"/>
        </w:rPr>
        <w:t>)</w:t>
      </w:r>
      <w:r w:rsidR="008E436F" w:rsidRPr="008E436F">
        <w:rPr>
          <w:lang w:val="en-US"/>
        </w:rPr>
        <w:t xml:space="preserve"> </w:t>
      </w:r>
      <w:r w:rsidR="008E436F" w:rsidRPr="00DA0DCD">
        <w:rPr>
          <w:lang w:val="en-US"/>
        </w:rPr>
        <w:t>since 2005</w:t>
      </w:r>
      <w:r w:rsidR="00617446" w:rsidRPr="00DA0DCD">
        <w:rPr>
          <w:lang w:val="en-US"/>
        </w:rPr>
        <w:t>.</w:t>
      </w:r>
      <w:r w:rsidR="005A79C1" w:rsidRPr="00DA0DCD">
        <w:rPr>
          <w:rStyle w:val="Voetnootmarkering"/>
          <w:lang w:val="en-US"/>
        </w:rPr>
        <w:footnoteReference w:id="3"/>
      </w:r>
      <w:r w:rsidR="00546771" w:rsidRPr="00DA0DCD">
        <w:rPr>
          <w:lang w:val="en-US"/>
        </w:rPr>
        <w:t xml:space="preserve"> </w:t>
      </w:r>
    </w:p>
    <w:p w:rsidR="00E60445" w:rsidRPr="00DA0DCD" w:rsidRDefault="000B3802" w:rsidP="003B558B">
      <w:pPr>
        <w:rPr>
          <w:lang w:val="en-US"/>
        </w:rPr>
      </w:pPr>
      <w:r w:rsidRPr="00DA0DCD">
        <w:rPr>
          <w:lang w:val="en-US"/>
        </w:rPr>
        <w:t xml:space="preserve">The IAS </w:t>
      </w:r>
      <w:r w:rsidR="00DF2393" w:rsidRPr="00DA0DCD">
        <w:rPr>
          <w:lang w:val="en-US"/>
        </w:rPr>
        <w:t xml:space="preserve">standards </w:t>
      </w:r>
      <w:r w:rsidRPr="00DA0DCD">
        <w:rPr>
          <w:lang w:val="en-US"/>
        </w:rPr>
        <w:t xml:space="preserve">are developed by the International Accounting Standards Committee (IASC), the predecessor of the International Accounting Standards Board (IASB). </w:t>
      </w:r>
      <w:r w:rsidR="00277772" w:rsidRPr="00DA0DCD">
        <w:rPr>
          <w:lang w:val="en-US"/>
        </w:rPr>
        <w:t xml:space="preserve">The IASB </w:t>
      </w:r>
      <w:r w:rsidR="00183BA1" w:rsidRPr="00DA0DCD">
        <w:rPr>
          <w:lang w:val="en-US"/>
        </w:rPr>
        <w:t>went on with</w:t>
      </w:r>
      <w:r w:rsidR="00277772" w:rsidRPr="00DA0DCD">
        <w:rPr>
          <w:lang w:val="en-US"/>
        </w:rPr>
        <w:t xml:space="preserve"> the IAS rules and developed the International Financial Reporting Standards (IFRS). </w:t>
      </w:r>
      <w:r w:rsidR="00AC5F0A" w:rsidRPr="00DA0DCD">
        <w:rPr>
          <w:lang w:val="en-US"/>
        </w:rPr>
        <w:t>A number of IFRS standards include valuation at fair value, like for instance a part of IAS 39.</w:t>
      </w:r>
      <w:r w:rsidR="00DF2393" w:rsidRPr="00DA0DCD">
        <w:rPr>
          <w:lang w:val="en-US"/>
        </w:rPr>
        <w:t xml:space="preserve"> </w:t>
      </w:r>
      <w:r w:rsidR="00277772" w:rsidRPr="00DA0DCD">
        <w:rPr>
          <w:lang w:val="en-US"/>
        </w:rPr>
        <w:t>F</w:t>
      </w:r>
      <w:r w:rsidR="00DF2393" w:rsidRPr="00DA0DCD">
        <w:rPr>
          <w:lang w:val="en-US"/>
        </w:rPr>
        <w:t>VA</w:t>
      </w:r>
      <w:r w:rsidR="00277772" w:rsidRPr="00DA0DCD">
        <w:rPr>
          <w:lang w:val="en-US"/>
        </w:rPr>
        <w:t xml:space="preserve"> has been stimulated because of the broad consensus that it will lead to more informative and timely disclosure compared to other accounting methods like historical cost accounting. </w:t>
      </w:r>
      <w:r w:rsidR="00456C1B" w:rsidRPr="00DA0DCD">
        <w:rPr>
          <w:lang w:val="en-US"/>
        </w:rPr>
        <w:t xml:space="preserve">Barth et al (2001) </w:t>
      </w:r>
      <w:r w:rsidR="00DA69BA" w:rsidRPr="00DA0DCD">
        <w:rPr>
          <w:lang w:val="en-US"/>
        </w:rPr>
        <w:t xml:space="preserve">show in a review on this topic that studies on value relevance of FVA consistently find that investors </w:t>
      </w:r>
      <w:r w:rsidR="00D80A08" w:rsidRPr="00DA0DCD">
        <w:rPr>
          <w:lang w:val="en-US"/>
        </w:rPr>
        <w:t>perceive</w:t>
      </w:r>
      <w:r w:rsidR="00DA69BA" w:rsidRPr="00DA0DCD">
        <w:rPr>
          <w:lang w:val="en-US"/>
        </w:rPr>
        <w:t xml:space="preserve"> </w:t>
      </w:r>
      <w:r w:rsidR="00D80A08" w:rsidRPr="00DA0DCD">
        <w:rPr>
          <w:lang w:val="en-US"/>
        </w:rPr>
        <w:t xml:space="preserve">FVA </w:t>
      </w:r>
      <w:r w:rsidR="00DA69BA" w:rsidRPr="00DA0DCD">
        <w:rPr>
          <w:lang w:val="en-US"/>
        </w:rPr>
        <w:t xml:space="preserve">of securities more relevant than historical costs </w:t>
      </w:r>
      <w:r w:rsidR="00D80A08" w:rsidRPr="00DA0DCD">
        <w:rPr>
          <w:lang w:val="en-US"/>
        </w:rPr>
        <w:t>accounting</w:t>
      </w:r>
      <w:r w:rsidR="00DA69BA" w:rsidRPr="00DA0DCD">
        <w:rPr>
          <w:lang w:val="en-US"/>
        </w:rPr>
        <w:t>.</w:t>
      </w:r>
      <w:r w:rsidR="00D80A08" w:rsidRPr="00DA0DCD">
        <w:rPr>
          <w:lang w:val="en-US"/>
        </w:rPr>
        <w:t xml:space="preserve"> </w:t>
      </w:r>
      <w:r w:rsidR="0095439C" w:rsidRPr="00DA0DCD">
        <w:rPr>
          <w:lang w:val="en-US"/>
        </w:rPr>
        <w:t>However, the fair values of</w:t>
      </w:r>
      <w:r w:rsidR="00175EFF" w:rsidRPr="00DA0DCD">
        <w:rPr>
          <w:lang w:val="en-US"/>
        </w:rPr>
        <w:t xml:space="preserve"> financial instruments</w:t>
      </w:r>
      <w:r w:rsidR="0095439C" w:rsidRPr="00DA0DCD">
        <w:rPr>
          <w:lang w:val="en-US"/>
        </w:rPr>
        <w:t xml:space="preserve"> fluctuate and therefore</w:t>
      </w:r>
      <w:r w:rsidR="00175EFF" w:rsidRPr="00DA0DCD">
        <w:rPr>
          <w:lang w:val="en-US"/>
        </w:rPr>
        <w:t xml:space="preserve"> </w:t>
      </w:r>
      <w:r w:rsidR="00D80A08" w:rsidRPr="00DA0DCD">
        <w:rPr>
          <w:lang w:val="en-US"/>
        </w:rPr>
        <w:t xml:space="preserve">the </w:t>
      </w:r>
      <w:r w:rsidR="0095439C" w:rsidRPr="00DA0DCD">
        <w:rPr>
          <w:lang w:val="en-US"/>
        </w:rPr>
        <w:t xml:space="preserve">equity and </w:t>
      </w:r>
      <w:r w:rsidR="00175EFF" w:rsidRPr="00DA0DCD">
        <w:rPr>
          <w:lang w:val="en-US"/>
        </w:rPr>
        <w:t>results of a firm</w:t>
      </w:r>
      <w:r w:rsidR="0095439C" w:rsidRPr="00DA0DCD">
        <w:rPr>
          <w:lang w:val="en-US"/>
        </w:rPr>
        <w:t xml:space="preserve"> may fluctuate more</w:t>
      </w:r>
      <w:r w:rsidR="000B7BD6" w:rsidRPr="00DA0DCD">
        <w:rPr>
          <w:lang w:val="en-US"/>
        </w:rPr>
        <w:t xml:space="preserve"> than accounting at </w:t>
      </w:r>
      <w:r w:rsidR="004B4C34" w:rsidRPr="00DA0DCD">
        <w:rPr>
          <w:lang w:val="en-US"/>
        </w:rPr>
        <w:t>historical costs</w:t>
      </w:r>
      <w:r w:rsidR="0095439C" w:rsidRPr="00DA0DCD">
        <w:rPr>
          <w:lang w:val="en-US"/>
        </w:rPr>
        <w:t>.</w:t>
      </w:r>
    </w:p>
    <w:p w:rsidR="004B4C34" w:rsidRPr="00DA0DCD" w:rsidRDefault="009E5A1B" w:rsidP="004B4C34">
      <w:pPr>
        <w:rPr>
          <w:lang w:val="en-US"/>
        </w:rPr>
      </w:pPr>
      <w:r w:rsidRPr="00DA0DCD">
        <w:rPr>
          <w:lang w:val="en-US"/>
        </w:rPr>
        <w:t>During the financial crisis in 2008 and 2009 markets</w:t>
      </w:r>
      <w:r w:rsidR="00175EFF" w:rsidRPr="00DA0DCD">
        <w:rPr>
          <w:lang w:val="en-US"/>
        </w:rPr>
        <w:t xml:space="preserve"> </w:t>
      </w:r>
      <w:r w:rsidR="00AC5F0A" w:rsidRPr="00DA0DCD">
        <w:rPr>
          <w:lang w:val="en-US"/>
        </w:rPr>
        <w:t>of financial instruments</w:t>
      </w:r>
      <w:r w:rsidRPr="00DA0DCD">
        <w:rPr>
          <w:lang w:val="en-US"/>
        </w:rPr>
        <w:t xml:space="preserve"> became</w:t>
      </w:r>
      <w:r w:rsidR="00AC5F0A" w:rsidRPr="00DA0DCD">
        <w:rPr>
          <w:lang w:val="en-US"/>
        </w:rPr>
        <w:t xml:space="preserve"> </w:t>
      </w:r>
      <w:r w:rsidRPr="00DA0DCD">
        <w:rPr>
          <w:lang w:val="en-US"/>
        </w:rPr>
        <w:t xml:space="preserve">illiquid. </w:t>
      </w:r>
      <w:r w:rsidR="00A32ED0" w:rsidRPr="00DA0DCD">
        <w:rPr>
          <w:lang w:val="en-US"/>
        </w:rPr>
        <w:t>At</w:t>
      </w:r>
      <w:r w:rsidRPr="00DA0DCD">
        <w:rPr>
          <w:lang w:val="en-US"/>
        </w:rPr>
        <w:t xml:space="preserve"> that </w:t>
      </w:r>
      <w:r w:rsidR="00A32ED0" w:rsidRPr="00DA0DCD">
        <w:rPr>
          <w:lang w:val="en-US"/>
        </w:rPr>
        <w:t>time</w:t>
      </w:r>
      <w:r w:rsidRPr="00DA0DCD">
        <w:rPr>
          <w:lang w:val="en-US"/>
        </w:rPr>
        <w:t xml:space="preserve">, especially from </w:t>
      </w:r>
      <w:r w:rsidR="00AC5F0A" w:rsidRPr="00DA0DCD">
        <w:rPr>
          <w:lang w:val="en-US"/>
        </w:rPr>
        <w:t>banks</w:t>
      </w:r>
      <w:r w:rsidRPr="00DA0DCD">
        <w:rPr>
          <w:lang w:val="en-US"/>
        </w:rPr>
        <w:t xml:space="preserve">, there </w:t>
      </w:r>
      <w:r w:rsidR="00352AB2" w:rsidRPr="00DA0DCD">
        <w:rPr>
          <w:lang w:val="en-US"/>
        </w:rPr>
        <w:t>came</w:t>
      </w:r>
      <w:r w:rsidRPr="00DA0DCD">
        <w:rPr>
          <w:lang w:val="en-US"/>
        </w:rPr>
        <w:t xml:space="preserve"> more criticism on FVA. </w:t>
      </w:r>
      <w:r w:rsidR="00E22747" w:rsidRPr="00DA0DCD">
        <w:rPr>
          <w:lang w:val="en-US"/>
        </w:rPr>
        <w:t>Due to the fact that markets become illiquid, by almost no supply or demand, FVA based on market prices did not give a fair presentation of the underlying assets and liabilities. This arose also in the market of financial instrum</w:t>
      </w:r>
      <w:r w:rsidR="00BD3264" w:rsidRPr="00DA0DCD">
        <w:rPr>
          <w:lang w:val="en-US"/>
        </w:rPr>
        <w:t>ents. Due to forced</w:t>
      </w:r>
      <w:r w:rsidR="00456C1B" w:rsidRPr="00DA0DCD">
        <w:rPr>
          <w:lang w:val="en-US"/>
        </w:rPr>
        <w:t xml:space="preserve"> sales</w:t>
      </w:r>
      <w:r w:rsidR="00BD3264" w:rsidRPr="00DA0DCD">
        <w:rPr>
          <w:lang w:val="en-US"/>
        </w:rPr>
        <w:t xml:space="preserve"> (fire-sales) of </w:t>
      </w:r>
      <w:r w:rsidR="00456C1B" w:rsidRPr="00DA0DCD">
        <w:rPr>
          <w:lang w:val="en-US"/>
        </w:rPr>
        <w:t>financial institutions</w:t>
      </w:r>
      <w:r w:rsidR="00BD3264" w:rsidRPr="00DA0DCD">
        <w:rPr>
          <w:lang w:val="en-US"/>
        </w:rPr>
        <w:t>, market prices</w:t>
      </w:r>
      <w:r w:rsidR="00456C1B" w:rsidRPr="00DA0DCD">
        <w:rPr>
          <w:lang w:val="en-US"/>
        </w:rPr>
        <w:t xml:space="preserve"> decreased</w:t>
      </w:r>
      <w:r w:rsidR="00BD3264" w:rsidRPr="00DA0DCD">
        <w:rPr>
          <w:lang w:val="en-US"/>
        </w:rPr>
        <w:t>.</w:t>
      </w:r>
      <w:r w:rsidR="00456C1B" w:rsidRPr="00DA0DCD">
        <w:rPr>
          <w:lang w:val="en-US"/>
        </w:rPr>
        <w:t xml:space="preserve"> As a reaction financial institutions had to mark down their financial instruments. </w:t>
      </w:r>
      <w:r w:rsidR="0095439C" w:rsidRPr="00DA0DCD">
        <w:rPr>
          <w:lang w:val="en-US"/>
        </w:rPr>
        <w:t xml:space="preserve">The mark down </w:t>
      </w:r>
      <w:r w:rsidR="00974C00" w:rsidRPr="00DA0DCD">
        <w:rPr>
          <w:lang w:val="en-US"/>
        </w:rPr>
        <w:t xml:space="preserve">also </w:t>
      </w:r>
      <w:r w:rsidR="00C779CE" w:rsidRPr="00DA0DCD">
        <w:rPr>
          <w:lang w:val="en-US"/>
        </w:rPr>
        <w:t>arises from the impairment rules</w:t>
      </w:r>
      <w:r w:rsidR="00974C00" w:rsidRPr="00DA0DCD">
        <w:rPr>
          <w:lang w:val="en-US"/>
        </w:rPr>
        <w:t xml:space="preserve"> on financial instruments</w:t>
      </w:r>
      <w:r w:rsidR="00C779CE" w:rsidRPr="00DA0DCD">
        <w:rPr>
          <w:lang w:val="en-US"/>
        </w:rPr>
        <w:t xml:space="preserve">. This impairment has an effect on the equity and </w:t>
      </w:r>
      <w:r w:rsidR="00352AB2" w:rsidRPr="00DA0DCD">
        <w:rPr>
          <w:lang w:val="en-US"/>
        </w:rPr>
        <w:t>income</w:t>
      </w:r>
      <w:r w:rsidR="00C779CE" w:rsidRPr="00DA0DCD">
        <w:rPr>
          <w:lang w:val="en-US"/>
        </w:rPr>
        <w:t xml:space="preserve"> of an entity. Therefore, the impairment rules </w:t>
      </w:r>
      <w:r w:rsidR="00352AB2" w:rsidRPr="00DA0DCD">
        <w:rPr>
          <w:lang w:val="en-US"/>
        </w:rPr>
        <w:t>became</w:t>
      </w:r>
      <w:r w:rsidR="00C779CE" w:rsidRPr="00DA0DCD">
        <w:rPr>
          <w:lang w:val="en-US"/>
        </w:rPr>
        <w:t xml:space="preserve"> </w:t>
      </w:r>
      <w:r w:rsidR="007A6277" w:rsidRPr="00DA0DCD">
        <w:rPr>
          <w:lang w:val="en-US"/>
        </w:rPr>
        <w:t xml:space="preserve">also </w:t>
      </w:r>
      <w:r w:rsidR="00C779CE" w:rsidRPr="00DA0DCD">
        <w:rPr>
          <w:lang w:val="en-US"/>
        </w:rPr>
        <w:t>problematic during the financial crisis. This mark down</w:t>
      </w:r>
      <w:r w:rsidR="00974C00" w:rsidRPr="00DA0DCD">
        <w:rPr>
          <w:lang w:val="en-US"/>
        </w:rPr>
        <w:t xml:space="preserve"> </w:t>
      </w:r>
      <w:r w:rsidR="00456C1B" w:rsidRPr="00DA0DCD">
        <w:rPr>
          <w:lang w:val="en-US"/>
        </w:rPr>
        <w:t xml:space="preserve">finally resulted in a negative spiral, </w:t>
      </w:r>
      <w:r w:rsidR="0054352D" w:rsidRPr="00DA0DCD">
        <w:rPr>
          <w:lang w:val="en-US"/>
        </w:rPr>
        <w:t xml:space="preserve">also </w:t>
      </w:r>
      <w:r w:rsidR="00456C1B" w:rsidRPr="00DA0DCD">
        <w:rPr>
          <w:lang w:val="en-US"/>
        </w:rPr>
        <w:t xml:space="preserve">called by Bowen et al. (2010), </w:t>
      </w:r>
      <w:r w:rsidR="0054352D" w:rsidRPr="00DA0DCD">
        <w:rPr>
          <w:lang w:val="en-US"/>
        </w:rPr>
        <w:t>Boyer (200</w:t>
      </w:r>
      <w:r w:rsidR="00044634" w:rsidRPr="00DA0DCD">
        <w:rPr>
          <w:lang w:val="en-US"/>
        </w:rPr>
        <w:t>7</w:t>
      </w:r>
      <w:r w:rsidR="0054352D" w:rsidRPr="00DA0DCD">
        <w:rPr>
          <w:lang w:val="en-US"/>
        </w:rPr>
        <w:t>) and Khan (2009)</w:t>
      </w:r>
      <w:r w:rsidR="00456C1B" w:rsidRPr="00DA0DCD">
        <w:rPr>
          <w:lang w:val="en-US"/>
        </w:rPr>
        <w:t xml:space="preserve"> the</w:t>
      </w:r>
      <w:r w:rsidR="0077301A" w:rsidRPr="00DA0DCD">
        <w:rPr>
          <w:lang w:val="en-US"/>
        </w:rPr>
        <w:t xml:space="preserve"> </w:t>
      </w:r>
      <w:r w:rsidR="00456C1B" w:rsidRPr="00DA0DCD">
        <w:rPr>
          <w:lang w:val="en-US"/>
        </w:rPr>
        <w:t>pro-cyclical effect</w:t>
      </w:r>
      <w:r w:rsidR="0054352D" w:rsidRPr="00DA0DCD">
        <w:rPr>
          <w:lang w:val="en-US"/>
        </w:rPr>
        <w:t xml:space="preserve"> </w:t>
      </w:r>
      <w:r w:rsidR="0077301A" w:rsidRPr="00DA0DCD">
        <w:rPr>
          <w:lang w:val="en-US"/>
        </w:rPr>
        <w:t xml:space="preserve">(contagion) </w:t>
      </w:r>
      <w:r w:rsidR="0054352D" w:rsidRPr="00DA0DCD">
        <w:rPr>
          <w:lang w:val="en-US"/>
        </w:rPr>
        <w:t>of FVA</w:t>
      </w:r>
      <w:r w:rsidR="00456C1B" w:rsidRPr="00DA0DCD">
        <w:rPr>
          <w:lang w:val="en-US"/>
        </w:rPr>
        <w:t>.</w:t>
      </w:r>
    </w:p>
    <w:p w:rsidR="008B6D4F" w:rsidRPr="00DA0DCD" w:rsidRDefault="0054352D" w:rsidP="004B4C34">
      <w:pPr>
        <w:spacing w:after="0"/>
        <w:rPr>
          <w:lang w:val="en-US"/>
        </w:rPr>
      </w:pPr>
      <w:r w:rsidRPr="00DA0DCD">
        <w:rPr>
          <w:lang w:val="en-US"/>
        </w:rPr>
        <w:lastRenderedPageBreak/>
        <w:t xml:space="preserve">Because of the pro-cyclical </w:t>
      </w:r>
      <w:r w:rsidR="0077301A" w:rsidRPr="00DA0DCD">
        <w:rPr>
          <w:lang w:val="en-US"/>
        </w:rPr>
        <w:t>contagion</w:t>
      </w:r>
      <w:r w:rsidR="00175EFF" w:rsidRPr="00DA0DCD">
        <w:rPr>
          <w:lang w:val="en-US"/>
        </w:rPr>
        <w:t>, the</w:t>
      </w:r>
      <w:r w:rsidRPr="00DA0DCD">
        <w:rPr>
          <w:lang w:val="en-US"/>
        </w:rPr>
        <w:t xml:space="preserve"> bankers and politicians start</w:t>
      </w:r>
      <w:r w:rsidR="00332273" w:rsidRPr="00DA0DCD">
        <w:rPr>
          <w:lang w:val="en-US"/>
        </w:rPr>
        <w:t>ed</w:t>
      </w:r>
      <w:r w:rsidRPr="00DA0DCD">
        <w:rPr>
          <w:lang w:val="en-US"/>
        </w:rPr>
        <w:t xml:space="preserve"> in the years 2008 and 2009 a lobby for the relaxation of FVA of financial instrument. </w:t>
      </w:r>
      <w:r w:rsidR="00BD3264" w:rsidRPr="00DA0DCD">
        <w:rPr>
          <w:lang w:val="en-US"/>
        </w:rPr>
        <w:t>Measurement and recognition of financial instruments is established in IAS 39, where a part of the financial instruments mu</w:t>
      </w:r>
      <w:r w:rsidR="00F97673" w:rsidRPr="00DA0DCD">
        <w:rPr>
          <w:lang w:val="en-US"/>
        </w:rPr>
        <w:t>st be valued at f</w:t>
      </w:r>
      <w:r w:rsidR="00BD3264" w:rsidRPr="00DA0DCD">
        <w:rPr>
          <w:lang w:val="en-US"/>
        </w:rPr>
        <w:t xml:space="preserve">air </w:t>
      </w:r>
      <w:r w:rsidR="00F97673" w:rsidRPr="00DA0DCD">
        <w:rPr>
          <w:lang w:val="en-US"/>
        </w:rPr>
        <w:t>v</w:t>
      </w:r>
      <w:r w:rsidR="00BD3264" w:rsidRPr="00DA0DCD">
        <w:rPr>
          <w:lang w:val="en-US"/>
        </w:rPr>
        <w:t>alue</w:t>
      </w:r>
      <w:r w:rsidR="009043C9" w:rsidRPr="00DA0DCD">
        <w:rPr>
          <w:lang w:val="en-US"/>
        </w:rPr>
        <w:t xml:space="preserve"> and another part at amortized cost, see chapter 2</w:t>
      </w:r>
      <w:r w:rsidR="00BD3264" w:rsidRPr="00DA0DCD">
        <w:rPr>
          <w:lang w:val="en-US"/>
        </w:rPr>
        <w:t>.</w:t>
      </w:r>
      <w:r w:rsidRPr="00DA0DCD">
        <w:rPr>
          <w:lang w:val="en-US"/>
        </w:rPr>
        <w:t xml:space="preserve"> </w:t>
      </w:r>
      <w:r w:rsidR="00332273" w:rsidRPr="00DA0DCD">
        <w:rPr>
          <w:lang w:val="en-US"/>
        </w:rPr>
        <w:t>There had been argued in the news (according to</w:t>
      </w:r>
      <w:r w:rsidR="003C6E9A" w:rsidRPr="00DA0DCD">
        <w:rPr>
          <w:lang w:val="en-US"/>
        </w:rPr>
        <w:t xml:space="preserve"> for instance</w:t>
      </w:r>
      <w:r w:rsidR="00332273" w:rsidRPr="00DA0DCD">
        <w:rPr>
          <w:lang w:val="en-US"/>
        </w:rPr>
        <w:t xml:space="preserve"> Hughes and Tett, 2008) by bankers and politicians that FVA has contributed to the main cause of the financial crisis.</w:t>
      </w:r>
      <w:r w:rsidR="009043C9" w:rsidRPr="00DA0DCD">
        <w:rPr>
          <w:lang w:val="en-US"/>
        </w:rPr>
        <w:t xml:space="preserve"> </w:t>
      </w:r>
      <w:r w:rsidR="00987867" w:rsidRPr="00DA0DCD">
        <w:rPr>
          <w:lang w:val="en-US"/>
        </w:rPr>
        <w:t xml:space="preserve">The main problem of the financial crisis is in according to Ryan (2008) described as: </w:t>
      </w:r>
    </w:p>
    <w:p w:rsidR="008B6D4F" w:rsidRPr="00DA0DCD" w:rsidRDefault="00987867" w:rsidP="004B4C34">
      <w:pPr>
        <w:spacing w:after="0"/>
        <w:ind w:left="709"/>
        <w:rPr>
          <w:i/>
          <w:lang w:val="en-US"/>
        </w:rPr>
      </w:pPr>
      <w:r w:rsidRPr="00DA0DCD">
        <w:rPr>
          <w:i/>
          <w:lang w:val="en-US"/>
        </w:rPr>
        <w:t>“</w:t>
      </w:r>
      <w:r w:rsidR="006C71E9" w:rsidRPr="00DA0DCD">
        <w:rPr>
          <w:i/>
          <w:lang w:val="en-US"/>
        </w:rPr>
        <w:t>The entire economic ecosystem failed to appreciate the risks of the rapid growth in risk-layered subprime mortgages, the inevitable end of house price appreciation, and unprecedented global market liquidity. These factors combined to enable all-too-human undisciplined behaviors in lenders, borrowers, and investors, all of whom were unquestioningly optimistic for as long as the sun shined upon home equity. Economic policy, bank regulation, corporate governance, financial reporting, common sense, fear of debt and bankruptcy, and all of our other protective mechanisms were insuff</w:t>
      </w:r>
      <w:r w:rsidR="008B6D4F" w:rsidRPr="00DA0DCD">
        <w:rPr>
          <w:i/>
          <w:lang w:val="en-US"/>
        </w:rPr>
        <w:t xml:space="preserve">icient to curb these behaviors.“ </w:t>
      </w:r>
    </w:p>
    <w:p w:rsidR="00A93AEC" w:rsidRPr="00DA0DCD" w:rsidRDefault="009043C9" w:rsidP="003B558B">
      <w:pPr>
        <w:rPr>
          <w:color w:val="FF0000"/>
          <w:lang w:val="en-US"/>
        </w:rPr>
      </w:pPr>
      <w:r w:rsidRPr="00DA0DCD">
        <w:rPr>
          <w:lang w:val="en-US"/>
        </w:rPr>
        <w:t>Also financial leaders such as the CEO’s of AXA and AIG related wide use of FVA as a major factor to the crisis.</w:t>
      </w:r>
      <w:r w:rsidR="00332273" w:rsidRPr="00DA0DCD">
        <w:rPr>
          <w:lang w:val="en-US"/>
        </w:rPr>
        <w:t xml:space="preserve"> </w:t>
      </w:r>
      <w:r w:rsidR="00843111" w:rsidRPr="00DA0DCD">
        <w:rPr>
          <w:lang w:val="en-US"/>
        </w:rPr>
        <w:t xml:space="preserve">They find FVA during a financial crisis a big problem, because of the </w:t>
      </w:r>
      <w:r w:rsidRPr="00DA0DCD">
        <w:rPr>
          <w:lang w:val="en-US"/>
        </w:rPr>
        <w:t xml:space="preserve">illiquidity and the </w:t>
      </w:r>
      <w:r w:rsidR="00843111" w:rsidRPr="00DA0DCD">
        <w:rPr>
          <w:lang w:val="en-US"/>
        </w:rPr>
        <w:t xml:space="preserve">pro-cyclical effect. </w:t>
      </w:r>
      <w:r w:rsidR="00F25175" w:rsidRPr="00DA0DCD">
        <w:rPr>
          <w:lang w:val="en-US"/>
        </w:rPr>
        <w:t>Those</w:t>
      </w:r>
      <w:r w:rsidR="000A2254" w:rsidRPr="00DA0DCD">
        <w:rPr>
          <w:lang w:val="en-US"/>
        </w:rPr>
        <w:t xml:space="preserve"> two aspects are most often part of criticism on FVA. </w:t>
      </w:r>
      <w:r w:rsidR="006B6CDD" w:rsidRPr="00DA0DCD">
        <w:rPr>
          <w:lang w:val="en-US"/>
        </w:rPr>
        <w:t>The criticism</w:t>
      </w:r>
      <w:r w:rsidR="00352AB2" w:rsidRPr="00DA0DCD">
        <w:rPr>
          <w:lang w:val="en-US"/>
        </w:rPr>
        <w:t xml:space="preserve"> on</w:t>
      </w:r>
      <w:r w:rsidR="006B6CDD" w:rsidRPr="00DA0DCD">
        <w:rPr>
          <w:lang w:val="en-US"/>
        </w:rPr>
        <w:t xml:space="preserve"> </w:t>
      </w:r>
      <w:r w:rsidR="00352AB2" w:rsidRPr="00DA0DCD">
        <w:rPr>
          <w:lang w:val="en-US"/>
        </w:rPr>
        <w:t xml:space="preserve">illiquidity </w:t>
      </w:r>
      <w:r w:rsidR="006B6CDD" w:rsidRPr="00DA0DCD">
        <w:rPr>
          <w:lang w:val="en-US"/>
        </w:rPr>
        <w:t>is</w:t>
      </w:r>
      <w:r w:rsidR="00CC2C48" w:rsidRPr="00DA0DCD">
        <w:rPr>
          <w:lang w:val="en-US"/>
        </w:rPr>
        <w:t xml:space="preserve"> in according to Veron (2008)</w:t>
      </w:r>
      <w:r w:rsidR="006B6CDD" w:rsidRPr="00DA0DCD">
        <w:rPr>
          <w:lang w:val="en-US"/>
        </w:rPr>
        <w:t xml:space="preserve"> about the market conditions of </w:t>
      </w:r>
      <w:r w:rsidR="00F25175" w:rsidRPr="00DA0DCD">
        <w:rPr>
          <w:lang w:val="en-US"/>
        </w:rPr>
        <w:t xml:space="preserve">complex financial instruments which are marked by an imbalance between demand and supply. </w:t>
      </w:r>
      <w:r w:rsidR="00BC3F12" w:rsidRPr="00DA0DCD">
        <w:rPr>
          <w:lang w:val="en-US"/>
        </w:rPr>
        <w:t>Due to t</w:t>
      </w:r>
      <w:r w:rsidR="00F25175" w:rsidRPr="00DA0DCD">
        <w:rPr>
          <w:lang w:val="en-US"/>
        </w:rPr>
        <w:t>his i</w:t>
      </w:r>
      <w:r w:rsidR="00BC3F12" w:rsidRPr="00DA0DCD">
        <w:rPr>
          <w:lang w:val="en-US"/>
        </w:rPr>
        <w:t xml:space="preserve">mbalance market prices </w:t>
      </w:r>
      <w:r w:rsidR="001D4600" w:rsidRPr="00DA0DCD">
        <w:rPr>
          <w:lang w:val="en-US"/>
        </w:rPr>
        <w:t>melted</w:t>
      </w:r>
      <w:r w:rsidR="00BC3F12" w:rsidRPr="00DA0DCD">
        <w:rPr>
          <w:lang w:val="en-US"/>
        </w:rPr>
        <w:t xml:space="preserve"> abnormal by the evaporation of liquidity</w:t>
      </w:r>
      <w:r w:rsidR="00CC2C48" w:rsidRPr="00DA0DCD">
        <w:rPr>
          <w:lang w:val="en-US"/>
        </w:rPr>
        <w:t xml:space="preserve">. </w:t>
      </w:r>
      <w:r w:rsidR="00BC3F12" w:rsidRPr="00DA0DCD">
        <w:rPr>
          <w:lang w:val="en-US"/>
        </w:rPr>
        <w:t xml:space="preserve">As </w:t>
      </w:r>
      <w:r w:rsidR="00B34495" w:rsidRPr="00DA0DCD">
        <w:rPr>
          <w:lang w:val="en-US"/>
        </w:rPr>
        <w:t xml:space="preserve">a </w:t>
      </w:r>
      <w:r w:rsidR="00BC3F12" w:rsidRPr="00DA0DCD">
        <w:rPr>
          <w:lang w:val="en-US"/>
        </w:rPr>
        <w:t xml:space="preserve">result there </w:t>
      </w:r>
      <w:r w:rsidR="00CC2C48" w:rsidRPr="00DA0DCD">
        <w:rPr>
          <w:lang w:val="en-US"/>
        </w:rPr>
        <w:t xml:space="preserve">was </w:t>
      </w:r>
      <w:r w:rsidR="00BC3F12" w:rsidRPr="00DA0DCD">
        <w:rPr>
          <w:lang w:val="en-US"/>
        </w:rPr>
        <w:t>no</w:t>
      </w:r>
      <w:r w:rsidR="00CC2C48" w:rsidRPr="00DA0DCD">
        <w:rPr>
          <w:lang w:val="en-US"/>
        </w:rPr>
        <w:t xml:space="preserve"> </w:t>
      </w:r>
      <w:r w:rsidR="00BC3F12" w:rsidRPr="00DA0DCD">
        <w:rPr>
          <w:lang w:val="en-US"/>
        </w:rPr>
        <w:t>relation</w:t>
      </w:r>
      <w:r w:rsidR="00CC2C48" w:rsidRPr="00DA0DCD">
        <w:rPr>
          <w:lang w:val="en-US"/>
        </w:rPr>
        <w:t xml:space="preserve"> anymore between the valuation at fair value and the </w:t>
      </w:r>
      <w:r w:rsidR="00111873" w:rsidRPr="00DA0DCD">
        <w:rPr>
          <w:lang w:val="en-US"/>
        </w:rPr>
        <w:t>underlying value</w:t>
      </w:r>
      <w:r w:rsidR="00CC2C48" w:rsidRPr="00DA0DCD">
        <w:rPr>
          <w:lang w:val="en-US"/>
        </w:rPr>
        <w:t xml:space="preserve"> of a financial instrument</w:t>
      </w:r>
      <w:r w:rsidR="00111873" w:rsidRPr="00DA0DCD">
        <w:rPr>
          <w:lang w:val="en-US"/>
        </w:rPr>
        <w:t xml:space="preserve"> </w:t>
      </w:r>
      <w:r w:rsidR="00CC2C48" w:rsidRPr="00DA0DCD">
        <w:rPr>
          <w:lang w:val="en-US"/>
        </w:rPr>
        <w:t xml:space="preserve">represented by the </w:t>
      </w:r>
      <w:r w:rsidR="00111873" w:rsidRPr="00DA0DCD">
        <w:rPr>
          <w:lang w:val="en-US"/>
        </w:rPr>
        <w:t>potential to generate cash flows</w:t>
      </w:r>
      <w:r w:rsidR="00CC2C48" w:rsidRPr="00DA0DCD">
        <w:rPr>
          <w:lang w:val="en-US"/>
        </w:rPr>
        <w:t xml:space="preserve"> in the future</w:t>
      </w:r>
      <w:r w:rsidR="00111873" w:rsidRPr="00DA0DCD">
        <w:rPr>
          <w:lang w:val="en-US"/>
        </w:rPr>
        <w:t xml:space="preserve">. </w:t>
      </w:r>
      <w:r w:rsidR="006C71E9" w:rsidRPr="00DA0DCD">
        <w:rPr>
          <w:lang w:val="en-US"/>
        </w:rPr>
        <w:t>C</w:t>
      </w:r>
      <w:r w:rsidR="00111873" w:rsidRPr="00DA0DCD">
        <w:rPr>
          <w:lang w:val="en-US"/>
        </w:rPr>
        <w:t>r</w:t>
      </w:r>
      <w:r w:rsidR="006C71E9" w:rsidRPr="00DA0DCD">
        <w:rPr>
          <w:lang w:val="en-US"/>
        </w:rPr>
        <w:t>iticism on the</w:t>
      </w:r>
      <w:r w:rsidR="00111873" w:rsidRPr="00DA0DCD">
        <w:rPr>
          <w:lang w:val="en-US"/>
        </w:rPr>
        <w:t xml:space="preserve"> </w:t>
      </w:r>
      <w:r w:rsidR="006C71E9" w:rsidRPr="00DA0DCD">
        <w:rPr>
          <w:lang w:val="en-US"/>
        </w:rPr>
        <w:t xml:space="preserve">pro-cyclicality </w:t>
      </w:r>
      <w:r w:rsidR="00111873" w:rsidRPr="00DA0DCD">
        <w:rPr>
          <w:lang w:val="en-US"/>
        </w:rPr>
        <w:t>frequently refers</w:t>
      </w:r>
      <w:r w:rsidR="00626E0B" w:rsidRPr="00DA0DCD">
        <w:rPr>
          <w:lang w:val="en-US"/>
        </w:rPr>
        <w:t xml:space="preserve"> in accordance with Veron (2008)</w:t>
      </w:r>
      <w:r w:rsidR="000A2254" w:rsidRPr="00DA0DCD">
        <w:rPr>
          <w:lang w:val="en-US"/>
        </w:rPr>
        <w:t xml:space="preserve"> to economic research</w:t>
      </w:r>
      <w:r w:rsidR="00111873" w:rsidRPr="00DA0DCD">
        <w:rPr>
          <w:lang w:val="en-US"/>
        </w:rPr>
        <w:t xml:space="preserve"> that have shown that capital markets are not fully efficient,</w:t>
      </w:r>
      <w:r w:rsidR="00A3543F" w:rsidRPr="00DA0DCD">
        <w:rPr>
          <w:lang w:val="en-US"/>
        </w:rPr>
        <w:t xml:space="preserve"> especially in times of speculative bubbles</w:t>
      </w:r>
      <w:r w:rsidR="00626E0B" w:rsidRPr="00DA0DCD">
        <w:rPr>
          <w:lang w:val="en-US"/>
        </w:rPr>
        <w:t xml:space="preserve"> and collective panic,</w:t>
      </w:r>
      <w:r w:rsidR="00A3543F" w:rsidRPr="00DA0DCD">
        <w:rPr>
          <w:lang w:val="en-US"/>
        </w:rPr>
        <w:t xml:space="preserve"> beca</w:t>
      </w:r>
      <w:r w:rsidR="00B56789" w:rsidRPr="00DA0DCD">
        <w:rPr>
          <w:lang w:val="en-US"/>
        </w:rPr>
        <w:t>use of the information asymmetries</w:t>
      </w:r>
      <w:r w:rsidR="00A3543F" w:rsidRPr="00DA0DCD">
        <w:rPr>
          <w:lang w:val="en-US"/>
        </w:rPr>
        <w:t xml:space="preserve"> and differences in market behavior</w:t>
      </w:r>
      <w:r w:rsidR="00626E0B" w:rsidRPr="00DA0DCD">
        <w:rPr>
          <w:lang w:val="en-US"/>
        </w:rPr>
        <w:t xml:space="preserve"> and beliefs</w:t>
      </w:r>
      <w:r w:rsidR="00A3543F" w:rsidRPr="00DA0DCD">
        <w:rPr>
          <w:lang w:val="en-US"/>
        </w:rPr>
        <w:t xml:space="preserve"> of </w:t>
      </w:r>
      <w:r w:rsidR="00626E0B" w:rsidRPr="00DA0DCD">
        <w:rPr>
          <w:lang w:val="en-US"/>
        </w:rPr>
        <w:t>market participants</w:t>
      </w:r>
      <w:r w:rsidR="00B56789" w:rsidRPr="00DA0DCD">
        <w:rPr>
          <w:lang w:val="en-US"/>
        </w:rPr>
        <w:t xml:space="preserve">. </w:t>
      </w:r>
      <w:r w:rsidR="00D83C07" w:rsidRPr="00DA0DCD">
        <w:rPr>
          <w:lang w:val="en-US"/>
        </w:rPr>
        <w:t>Veron (2008) stated: “By granting</w:t>
      </w:r>
      <w:r w:rsidR="00E76628" w:rsidRPr="00DA0DCD">
        <w:rPr>
          <w:lang w:val="en-US"/>
        </w:rPr>
        <w:t xml:space="preserve"> to </w:t>
      </w:r>
      <w:r w:rsidR="00D83C07" w:rsidRPr="00DA0DCD">
        <w:rPr>
          <w:lang w:val="en-US"/>
        </w:rPr>
        <w:t xml:space="preserve">much relevance to </w:t>
      </w:r>
      <w:r w:rsidR="00E76628" w:rsidRPr="00DA0DCD">
        <w:rPr>
          <w:lang w:val="en-US"/>
        </w:rPr>
        <w:t>market</w:t>
      </w:r>
      <w:r w:rsidR="00D83C07" w:rsidRPr="00DA0DCD">
        <w:rPr>
          <w:lang w:val="en-US"/>
        </w:rPr>
        <w:t>s</w:t>
      </w:r>
      <w:r w:rsidR="00E76628" w:rsidRPr="00DA0DCD">
        <w:rPr>
          <w:lang w:val="en-US"/>
        </w:rPr>
        <w:t xml:space="preserve">, </w:t>
      </w:r>
      <w:r w:rsidR="00626E0B" w:rsidRPr="00DA0DCD">
        <w:rPr>
          <w:lang w:val="en-US"/>
        </w:rPr>
        <w:t xml:space="preserve">accounting standards </w:t>
      </w:r>
      <w:r w:rsidR="00D83C07" w:rsidRPr="00DA0DCD">
        <w:rPr>
          <w:lang w:val="en-US"/>
        </w:rPr>
        <w:t>would thus</w:t>
      </w:r>
      <w:r w:rsidR="00E76628" w:rsidRPr="00DA0DCD">
        <w:rPr>
          <w:lang w:val="en-US"/>
        </w:rPr>
        <w:t xml:space="preserve"> be </w:t>
      </w:r>
      <w:r w:rsidR="00626E0B" w:rsidRPr="00DA0DCD">
        <w:rPr>
          <w:lang w:val="en-US"/>
        </w:rPr>
        <w:t>culprits of accentuating both booms and busts.</w:t>
      </w:r>
      <w:r w:rsidR="00D83C07" w:rsidRPr="00DA0DCD">
        <w:rPr>
          <w:lang w:val="en-US"/>
        </w:rPr>
        <w:t>”</w:t>
      </w:r>
      <w:r w:rsidR="00471353" w:rsidRPr="00DA0DCD">
        <w:rPr>
          <w:lang w:val="en-US"/>
        </w:rPr>
        <w:t xml:space="preserve"> Al in al, liquidity and pro-cyclicality </w:t>
      </w:r>
      <w:r w:rsidR="00374A09" w:rsidRPr="00DA0DCD">
        <w:rPr>
          <w:lang w:val="en-US"/>
        </w:rPr>
        <w:t xml:space="preserve">are </w:t>
      </w:r>
      <w:r w:rsidR="00471353" w:rsidRPr="00DA0DCD">
        <w:rPr>
          <w:lang w:val="en-US"/>
        </w:rPr>
        <w:t xml:space="preserve">both linked to each </w:t>
      </w:r>
      <w:r w:rsidR="00471353" w:rsidRPr="00260AD3">
        <w:rPr>
          <w:lang w:val="en-US"/>
        </w:rPr>
        <w:t>other and therefore, they cannot be seen as separate parts</w:t>
      </w:r>
      <w:r w:rsidR="00115075" w:rsidRPr="00260AD3">
        <w:rPr>
          <w:lang w:val="en-US"/>
        </w:rPr>
        <w:t xml:space="preserve">. </w:t>
      </w:r>
      <w:r w:rsidR="00332273" w:rsidRPr="00260AD3">
        <w:rPr>
          <w:lang w:val="en-US"/>
        </w:rPr>
        <w:t xml:space="preserve">Furthermore, </w:t>
      </w:r>
      <w:r w:rsidR="00AC07DD" w:rsidRPr="00260AD3">
        <w:rPr>
          <w:lang w:val="en-US"/>
        </w:rPr>
        <w:t>the Securities and exchange commission (SEC) and the Financial Accounting Standards Board (FASB) responded to the above problem by issuing on</w:t>
      </w:r>
      <w:r w:rsidR="006D251C">
        <w:rPr>
          <w:lang w:val="en-US"/>
        </w:rPr>
        <w:t xml:space="preserve"> the</w:t>
      </w:r>
      <w:r w:rsidR="00AC07DD" w:rsidRPr="00260AD3">
        <w:rPr>
          <w:lang w:val="en-US"/>
        </w:rPr>
        <w:t xml:space="preserve"> </w:t>
      </w:r>
      <w:r w:rsidR="006D251C" w:rsidRPr="00260AD3">
        <w:rPr>
          <w:lang w:val="en-US"/>
        </w:rPr>
        <w:t>30</w:t>
      </w:r>
      <w:r w:rsidR="006D251C" w:rsidRPr="00260AD3">
        <w:rPr>
          <w:vertAlign w:val="superscript"/>
          <w:lang w:val="en-US"/>
        </w:rPr>
        <w:t>th</w:t>
      </w:r>
      <w:r w:rsidR="006D251C">
        <w:rPr>
          <w:lang w:val="en-US"/>
        </w:rPr>
        <w:t xml:space="preserve"> of</w:t>
      </w:r>
      <w:r w:rsidR="006D251C" w:rsidRPr="00260AD3">
        <w:rPr>
          <w:lang w:val="en-US"/>
        </w:rPr>
        <w:t xml:space="preserve"> </w:t>
      </w:r>
      <w:r w:rsidR="00AC07DD" w:rsidRPr="00260AD3">
        <w:rPr>
          <w:lang w:val="en-US"/>
        </w:rPr>
        <w:t xml:space="preserve">September 2008 a clarification on how to implement the accounting standard on FVA (FASB Press Release 2008-234). This clarification </w:t>
      </w:r>
      <w:r w:rsidR="00BD6BE3" w:rsidRPr="00260AD3">
        <w:rPr>
          <w:lang w:val="en-US"/>
        </w:rPr>
        <w:t>ease</w:t>
      </w:r>
      <w:r w:rsidR="00AC07DD" w:rsidRPr="00260AD3">
        <w:rPr>
          <w:lang w:val="en-US"/>
        </w:rPr>
        <w:t xml:space="preserve">s the requirements of valuating financial instruments at fair values if markets are </w:t>
      </w:r>
      <w:r w:rsidR="008E436F" w:rsidRPr="00260AD3">
        <w:rPr>
          <w:lang w:val="en-US"/>
        </w:rPr>
        <w:t>inactive</w:t>
      </w:r>
      <w:r w:rsidR="00AC07DD" w:rsidRPr="00260AD3">
        <w:rPr>
          <w:lang w:val="en-US"/>
        </w:rPr>
        <w:t xml:space="preserve"> (Renders, 2009). At that moment </w:t>
      </w:r>
      <w:r w:rsidR="00332273" w:rsidRPr="00260AD3">
        <w:rPr>
          <w:lang w:val="en-US"/>
        </w:rPr>
        <w:t>rules</w:t>
      </w:r>
      <w:r w:rsidR="00E76628" w:rsidRPr="00260AD3">
        <w:rPr>
          <w:lang w:val="en-US"/>
        </w:rPr>
        <w:t xml:space="preserve"> on recognition and measurement of financial instruments</w:t>
      </w:r>
      <w:r w:rsidR="00332273" w:rsidRPr="00260AD3">
        <w:rPr>
          <w:lang w:val="en-US"/>
        </w:rPr>
        <w:t xml:space="preserve"> in the US were less stringent compared to Europe, there</w:t>
      </w:r>
      <w:r w:rsidR="00CC24B1" w:rsidRPr="00260AD3">
        <w:rPr>
          <w:lang w:val="en-US"/>
        </w:rPr>
        <w:t>fore</w:t>
      </w:r>
      <w:r w:rsidR="00332273" w:rsidRPr="00260AD3">
        <w:rPr>
          <w:lang w:val="en-US"/>
        </w:rPr>
        <w:t xml:space="preserve"> was also argued that </w:t>
      </w:r>
      <w:r w:rsidR="00843111" w:rsidRPr="00260AD3">
        <w:rPr>
          <w:lang w:val="en-US"/>
        </w:rPr>
        <w:t>there was a distortion of competition.</w:t>
      </w:r>
      <w:r w:rsidR="00EF4C38" w:rsidRPr="00260AD3">
        <w:rPr>
          <w:lang w:val="en-US"/>
        </w:rPr>
        <w:t xml:space="preserve"> </w:t>
      </w:r>
      <w:r w:rsidR="003C6E9A" w:rsidRPr="00260AD3">
        <w:rPr>
          <w:lang w:val="en-US"/>
        </w:rPr>
        <w:t>At that</w:t>
      </w:r>
      <w:r w:rsidR="003C6E9A" w:rsidRPr="00DA0DCD">
        <w:rPr>
          <w:lang w:val="en-US"/>
        </w:rPr>
        <w:t xml:space="preserve"> moment, politicians and bankers started with lobbying for reclassifying of financial instruments at FVA. This also reached the G-20</w:t>
      </w:r>
      <w:r w:rsidR="00F34ECB" w:rsidRPr="00DA0DCD">
        <w:rPr>
          <w:vertAlign w:val="superscript"/>
          <w:lang w:val="en-US"/>
        </w:rPr>
        <w:footnoteReference w:id="4"/>
      </w:r>
      <w:r w:rsidR="0016408A" w:rsidRPr="00DA0DCD">
        <w:rPr>
          <w:vertAlign w:val="superscript"/>
          <w:lang w:val="en-US"/>
        </w:rPr>
        <w:t xml:space="preserve"> </w:t>
      </w:r>
      <w:r w:rsidR="003C6E9A" w:rsidRPr="00DA0DCD">
        <w:rPr>
          <w:lang w:val="en-US"/>
        </w:rPr>
        <w:t xml:space="preserve">and </w:t>
      </w:r>
      <w:r w:rsidR="0016408A" w:rsidRPr="00DA0DCD">
        <w:rPr>
          <w:lang w:val="en-US"/>
        </w:rPr>
        <w:t>the European commission.</w:t>
      </w:r>
      <w:r w:rsidR="000D6847" w:rsidRPr="00DA0DCD">
        <w:rPr>
          <w:lang w:val="en-US"/>
        </w:rPr>
        <w:t xml:space="preserve"> </w:t>
      </w:r>
      <w:r w:rsidR="00D81C37" w:rsidRPr="00DA0DCD">
        <w:rPr>
          <w:lang w:val="en-US"/>
        </w:rPr>
        <w:t>The</w:t>
      </w:r>
      <w:r w:rsidR="00482D16" w:rsidRPr="00DA0DCD">
        <w:rPr>
          <w:lang w:val="en-US"/>
        </w:rPr>
        <w:t xml:space="preserve"> European Commissioner Charlie McCreevy</w:t>
      </w:r>
      <w:r w:rsidR="006B6CDD" w:rsidRPr="00DA0DCD">
        <w:rPr>
          <w:lang w:val="en-US"/>
        </w:rPr>
        <w:t xml:space="preserve"> of Internal markets and Services</w:t>
      </w:r>
      <w:r w:rsidR="00482D16" w:rsidRPr="00DA0DCD">
        <w:rPr>
          <w:lang w:val="en-US"/>
        </w:rPr>
        <w:t xml:space="preserve"> expressed on </w:t>
      </w:r>
      <w:r w:rsidR="00260AD3">
        <w:rPr>
          <w:lang w:val="en-US"/>
        </w:rPr>
        <w:t xml:space="preserve">the </w:t>
      </w:r>
      <w:r w:rsidR="00482D16" w:rsidRPr="00DA0DCD">
        <w:rPr>
          <w:lang w:val="en-US"/>
        </w:rPr>
        <w:t>1</w:t>
      </w:r>
      <w:r w:rsidR="00260AD3" w:rsidRPr="00260AD3">
        <w:rPr>
          <w:vertAlign w:val="superscript"/>
          <w:lang w:val="en-US"/>
        </w:rPr>
        <w:t>st</w:t>
      </w:r>
      <w:r w:rsidR="00260AD3">
        <w:rPr>
          <w:lang w:val="en-US"/>
        </w:rPr>
        <w:t xml:space="preserve"> of</w:t>
      </w:r>
      <w:r w:rsidR="00482D16" w:rsidRPr="00DA0DCD">
        <w:rPr>
          <w:lang w:val="en-US"/>
        </w:rPr>
        <w:t xml:space="preserve"> April</w:t>
      </w:r>
      <w:r w:rsidR="00260AD3">
        <w:rPr>
          <w:lang w:val="en-US"/>
        </w:rPr>
        <w:t xml:space="preserve"> </w:t>
      </w:r>
      <w:r w:rsidR="00482D16" w:rsidRPr="00DA0DCD">
        <w:rPr>
          <w:lang w:val="en-US"/>
        </w:rPr>
        <w:t xml:space="preserve">2008 concerns to the impact of FVA when markets become </w:t>
      </w:r>
      <w:r w:rsidR="006B6CDD" w:rsidRPr="00DA0DCD">
        <w:rPr>
          <w:lang w:val="en-US"/>
        </w:rPr>
        <w:t>illiquid</w:t>
      </w:r>
      <w:r w:rsidR="00482D16" w:rsidRPr="00DA0DCD">
        <w:rPr>
          <w:lang w:val="en-US"/>
        </w:rPr>
        <w:t xml:space="preserve"> and </w:t>
      </w:r>
      <w:r w:rsidR="006B6CDD" w:rsidRPr="00DA0DCD">
        <w:rPr>
          <w:lang w:val="en-US"/>
        </w:rPr>
        <w:t>irrational</w:t>
      </w:r>
      <w:r w:rsidR="00482D16" w:rsidRPr="00DA0DCD">
        <w:rPr>
          <w:lang w:val="en-US"/>
        </w:rPr>
        <w:t xml:space="preserve"> (Charlie McCreevy testimony, 2008).</w:t>
      </w:r>
      <w:r w:rsidR="002A70C8" w:rsidRPr="00DA0DCD">
        <w:rPr>
          <w:lang w:val="en-US"/>
        </w:rPr>
        <w:t xml:space="preserve"> </w:t>
      </w:r>
      <w:r w:rsidR="001D4600" w:rsidRPr="00DA0DCD">
        <w:rPr>
          <w:lang w:val="en-US"/>
        </w:rPr>
        <w:t>David Tweedie, chairman of the IASB, mentioned in a press release that FVA could not be blamed for the financial crisis because it is not the cause of it.</w:t>
      </w:r>
      <w:r w:rsidR="007D24D6" w:rsidRPr="00DA0DCD">
        <w:rPr>
          <w:lang w:val="en-US"/>
        </w:rPr>
        <w:t xml:space="preserve"> But he also noted that it is important that market participants have confidence in the financial statements</w:t>
      </w:r>
      <w:r w:rsidR="00115075" w:rsidRPr="00DA0DCD">
        <w:rPr>
          <w:lang w:val="en-US"/>
        </w:rPr>
        <w:t xml:space="preserve"> (Leone, 2008)</w:t>
      </w:r>
      <w:r w:rsidR="007D24D6" w:rsidRPr="00DA0DCD">
        <w:rPr>
          <w:lang w:val="en-US"/>
        </w:rPr>
        <w:t>. Later on,</w:t>
      </w:r>
      <w:r w:rsidR="0003103E" w:rsidRPr="00DA0DCD">
        <w:rPr>
          <w:lang w:val="en-US"/>
        </w:rPr>
        <w:t xml:space="preserve"> </w:t>
      </w:r>
      <w:r w:rsidR="00E230F0" w:rsidRPr="00DA0DCD">
        <w:rPr>
          <w:lang w:val="en-US"/>
        </w:rPr>
        <w:t xml:space="preserve">Tweedie </w:t>
      </w:r>
      <w:r w:rsidR="009F1F92" w:rsidRPr="00DA0DCD">
        <w:rPr>
          <w:lang w:val="en-US"/>
        </w:rPr>
        <w:t xml:space="preserve">had to </w:t>
      </w:r>
      <w:r w:rsidR="00A20608" w:rsidRPr="00DA0DCD">
        <w:rPr>
          <w:lang w:val="en-US"/>
        </w:rPr>
        <w:lastRenderedPageBreak/>
        <w:t xml:space="preserve">show up for the European committee to discuss the role of the accounting standards during the credit crunch. He said that under pressure the IASB had to change the accounting standards </w:t>
      </w:r>
      <w:r w:rsidR="002357E0" w:rsidRPr="00DA0DCD">
        <w:rPr>
          <w:lang w:val="en-US"/>
        </w:rPr>
        <w:t>of financial instruments</w:t>
      </w:r>
      <w:r w:rsidR="00A20608" w:rsidRPr="00DA0DCD">
        <w:rPr>
          <w:lang w:val="en-US"/>
        </w:rPr>
        <w:t>, because in the US the standards were already changed. The pressure on the IASB increased because Europe felt disadvantaged compared to the US.</w:t>
      </w:r>
      <w:r w:rsidR="002357E0" w:rsidRPr="00DA0DCD">
        <w:rPr>
          <w:lang w:val="en-US"/>
        </w:rPr>
        <w:t xml:space="preserve"> </w:t>
      </w:r>
      <w:r w:rsidR="0003103E" w:rsidRPr="00DA0DCD">
        <w:rPr>
          <w:lang w:val="en-US"/>
        </w:rPr>
        <w:t>Tweed</w:t>
      </w:r>
      <w:r w:rsidR="00B21223" w:rsidRPr="00DA0DCD">
        <w:rPr>
          <w:lang w:val="en-US"/>
        </w:rPr>
        <w:t>ie</w:t>
      </w:r>
      <w:r w:rsidR="006C71E9" w:rsidRPr="00DA0DCD">
        <w:rPr>
          <w:lang w:val="en-US"/>
        </w:rPr>
        <w:t xml:space="preserve"> stated </w:t>
      </w:r>
      <w:r w:rsidR="00C45614" w:rsidRPr="00DA0DCD">
        <w:rPr>
          <w:lang w:val="en-US"/>
        </w:rPr>
        <w:t xml:space="preserve">after the event </w:t>
      </w:r>
      <w:r w:rsidR="006C71E9" w:rsidRPr="00DA0DCD">
        <w:rPr>
          <w:lang w:val="en-US"/>
        </w:rPr>
        <w:t>that he</w:t>
      </w:r>
      <w:r w:rsidR="0003103E" w:rsidRPr="00DA0DCD">
        <w:rPr>
          <w:lang w:val="en-US"/>
        </w:rPr>
        <w:t xml:space="preserve"> experienced so much pressure that he </w:t>
      </w:r>
      <w:r w:rsidR="000A5135" w:rsidRPr="00DA0DCD">
        <w:rPr>
          <w:lang w:val="en-US"/>
        </w:rPr>
        <w:t>considered</w:t>
      </w:r>
      <w:r w:rsidR="0003103E" w:rsidRPr="00DA0DCD">
        <w:rPr>
          <w:lang w:val="en-US"/>
        </w:rPr>
        <w:t xml:space="preserve"> resign</w:t>
      </w:r>
      <w:r w:rsidR="000A5135" w:rsidRPr="00DA0DCD">
        <w:rPr>
          <w:lang w:val="en-US"/>
        </w:rPr>
        <w:t>ing</w:t>
      </w:r>
      <w:r w:rsidR="0003103E" w:rsidRPr="00DA0DCD">
        <w:rPr>
          <w:lang w:val="en-US"/>
        </w:rPr>
        <w:t xml:space="preserve"> as the chairman of the IASB. He found the political pressure at the very least inappropriate</w:t>
      </w:r>
      <w:r w:rsidR="00C45614" w:rsidRPr="00DA0DCD">
        <w:rPr>
          <w:lang w:val="en-US"/>
        </w:rPr>
        <w:t xml:space="preserve"> (</w:t>
      </w:r>
      <w:r w:rsidR="00115075" w:rsidRPr="00DA0DCD">
        <w:rPr>
          <w:lang w:val="en-US" w:eastAsia="nl-NL"/>
        </w:rPr>
        <w:t>Hughes</w:t>
      </w:r>
      <w:r w:rsidR="00C45614" w:rsidRPr="00DA0DCD">
        <w:rPr>
          <w:lang w:val="en-US"/>
        </w:rPr>
        <w:t>, 2008)</w:t>
      </w:r>
      <w:r w:rsidR="00115075" w:rsidRPr="00DA0DCD">
        <w:rPr>
          <w:lang w:val="en-US"/>
        </w:rPr>
        <w:t xml:space="preserve">. </w:t>
      </w:r>
      <w:r w:rsidR="00D62F15" w:rsidRPr="00DA0DCD">
        <w:rPr>
          <w:lang w:val="en-US"/>
        </w:rPr>
        <w:t xml:space="preserve">The political interference on the standard-setters </w:t>
      </w:r>
      <w:r w:rsidR="00BF3E6D" w:rsidRPr="00DA0DCD">
        <w:rPr>
          <w:lang w:val="en-US"/>
        </w:rPr>
        <w:t>process</w:t>
      </w:r>
      <w:r w:rsidR="00D62F15" w:rsidRPr="00DA0DCD">
        <w:rPr>
          <w:lang w:val="en-US"/>
        </w:rPr>
        <w:t xml:space="preserve"> resulted in </w:t>
      </w:r>
      <w:r w:rsidR="00BF3E6D" w:rsidRPr="00DA0DCD">
        <w:rPr>
          <w:lang w:val="en-US"/>
        </w:rPr>
        <w:t>an</w:t>
      </w:r>
      <w:r w:rsidR="00D62F15" w:rsidRPr="00DA0DCD">
        <w:rPr>
          <w:lang w:val="en-US"/>
        </w:rPr>
        <w:t xml:space="preserve"> expeditious </w:t>
      </w:r>
      <w:r w:rsidR="00BF3E6D" w:rsidRPr="00DA0DCD">
        <w:rPr>
          <w:lang w:val="en-US"/>
        </w:rPr>
        <w:t>response</w:t>
      </w:r>
      <w:r w:rsidR="00D62F15" w:rsidRPr="00DA0DCD">
        <w:rPr>
          <w:lang w:val="en-US"/>
        </w:rPr>
        <w:t xml:space="preserve"> of the IASB</w:t>
      </w:r>
      <w:r w:rsidR="00BF3E6D" w:rsidRPr="00DA0DCD">
        <w:rPr>
          <w:lang w:val="en-US"/>
        </w:rPr>
        <w:t>.</w:t>
      </w:r>
      <w:r w:rsidR="00D62F15" w:rsidRPr="00DA0DCD">
        <w:rPr>
          <w:lang w:val="en-US"/>
        </w:rPr>
        <w:t xml:space="preserve"> </w:t>
      </w:r>
      <w:r w:rsidR="00BF3E6D" w:rsidRPr="00DA0DCD">
        <w:rPr>
          <w:lang w:val="en-US"/>
        </w:rPr>
        <w:t xml:space="preserve">The IASB </w:t>
      </w:r>
      <w:r w:rsidR="00D62F15" w:rsidRPr="00DA0DCD">
        <w:rPr>
          <w:lang w:val="en-US"/>
        </w:rPr>
        <w:t>came with an amendment of IAS 39</w:t>
      </w:r>
      <w:r w:rsidR="00BF3E6D" w:rsidRPr="00DA0DCD">
        <w:rPr>
          <w:lang w:val="en-US"/>
        </w:rPr>
        <w:t xml:space="preserve"> in October 2008</w:t>
      </w:r>
      <w:r w:rsidR="00D62F15" w:rsidRPr="00DA0DCD">
        <w:rPr>
          <w:lang w:val="en-US"/>
        </w:rPr>
        <w:t>. The amendment referred to the</w:t>
      </w:r>
      <w:r w:rsidR="00B35A34" w:rsidRPr="00DA0DCD">
        <w:rPr>
          <w:lang w:val="en-US"/>
        </w:rPr>
        <w:t xml:space="preserve"> option to</w:t>
      </w:r>
      <w:r w:rsidR="00D62F15" w:rsidRPr="00DA0DCD">
        <w:rPr>
          <w:lang w:val="en-US"/>
        </w:rPr>
        <w:t xml:space="preserve"> reclassif</w:t>
      </w:r>
      <w:r w:rsidR="00B35A34" w:rsidRPr="00DA0DCD">
        <w:rPr>
          <w:lang w:val="en-US"/>
        </w:rPr>
        <w:t>y financial instruments</w:t>
      </w:r>
      <w:r w:rsidR="00D62F15" w:rsidRPr="00DA0DCD">
        <w:rPr>
          <w:lang w:val="en-US"/>
        </w:rPr>
        <w:t>.</w:t>
      </w:r>
    </w:p>
    <w:p w:rsidR="00D26049" w:rsidRPr="00DA0DCD" w:rsidRDefault="00D26049" w:rsidP="00D26049">
      <w:pPr>
        <w:pStyle w:val="Kop2"/>
        <w:numPr>
          <w:ilvl w:val="1"/>
          <w:numId w:val="14"/>
        </w:numPr>
        <w:rPr>
          <w:lang w:val="en-US"/>
        </w:rPr>
      </w:pPr>
      <w:r w:rsidRPr="00DA0DCD">
        <w:rPr>
          <w:lang w:val="en-US"/>
        </w:rPr>
        <w:t xml:space="preserve"> </w:t>
      </w:r>
      <w:bookmarkStart w:id="2" w:name="_Toc270770547"/>
      <w:r w:rsidRPr="00DA0DCD">
        <w:rPr>
          <w:lang w:val="en-US"/>
        </w:rPr>
        <w:t>Re</w:t>
      </w:r>
      <w:r w:rsidR="00CA7723" w:rsidRPr="00DA0DCD">
        <w:rPr>
          <w:lang w:val="en-US"/>
        </w:rPr>
        <w:t>classification option</w:t>
      </w:r>
      <w:bookmarkEnd w:id="2"/>
    </w:p>
    <w:p w:rsidR="00462BB6" w:rsidRPr="00DA0DCD" w:rsidRDefault="00C45614" w:rsidP="003B558B">
      <w:pPr>
        <w:rPr>
          <w:lang w:val="en-US"/>
        </w:rPr>
      </w:pPr>
      <w:r w:rsidRPr="00DA0DCD">
        <w:rPr>
          <w:lang w:val="en-US"/>
        </w:rPr>
        <w:t xml:space="preserve">Not all categories of financial instruments have to be measured at fair value. There are also categories that are measured at amortized costs. </w:t>
      </w:r>
      <w:r w:rsidR="00E230F0" w:rsidRPr="00DA0DCD">
        <w:rPr>
          <w:lang w:val="en-US"/>
        </w:rPr>
        <w:t>The first step</w:t>
      </w:r>
      <w:r w:rsidR="00065E22" w:rsidRPr="00DA0DCD">
        <w:rPr>
          <w:lang w:val="en-US"/>
        </w:rPr>
        <w:t xml:space="preserve">, in </w:t>
      </w:r>
      <w:r w:rsidR="001D4600" w:rsidRPr="00DA0DCD">
        <w:rPr>
          <w:lang w:val="en-US"/>
        </w:rPr>
        <w:t>October 2008</w:t>
      </w:r>
      <w:r w:rsidR="00065E22" w:rsidRPr="00DA0DCD">
        <w:rPr>
          <w:lang w:val="en-US"/>
        </w:rPr>
        <w:t>,</w:t>
      </w:r>
      <w:r w:rsidR="00E230F0" w:rsidRPr="00DA0DCD">
        <w:rPr>
          <w:lang w:val="en-US"/>
        </w:rPr>
        <w:t xml:space="preserve"> made by the IASB was </w:t>
      </w:r>
      <w:r w:rsidR="00984EB0" w:rsidRPr="00DA0DCD">
        <w:rPr>
          <w:lang w:val="en-US"/>
        </w:rPr>
        <w:t xml:space="preserve">an amendment </w:t>
      </w:r>
      <w:r w:rsidR="00E230F0" w:rsidRPr="00DA0DCD">
        <w:rPr>
          <w:lang w:val="en-US"/>
        </w:rPr>
        <w:t xml:space="preserve">of the existing </w:t>
      </w:r>
      <w:r w:rsidR="001D4600" w:rsidRPr="00DA0DCD">
        <w:rPr>
          <w:lang w:val="en-US"/>
        </w:rPr>
        <w:t xml:space="preserve">IAS 39 </w:t>
      </w:r>
      <w:r w:rsidR="00E230F0" w:rsidRPr="00DA0DCD">
        <w:rPr>
          <w:lang w:val="en-US"/>
        </w:rPr>
        <w:t>standards which made</w:t>
      </w:r>
      <w:r w:rsidR="001D4600" w:rsidRPr="00DA0DCD">
        <w:rPr>
          <w:lang w:val="en-US"/>
        </w:rPr>
        <w:t xml:space="preserve"> </w:t>
      </w:r>
      <w:r w:rsidR="00E230F0" w:rsidRPr="00DA0DCD">
        <w:rPr>
          <w:lang w:val="en-US"/>
        </w:rPr>
        <w:t>it possible for companies to reclassify their financial instruments</w:t>
      </w:r>
      <w:r w:rsidR="00984EB0" w:rsidRPr="00DA0DCD">
        <w:rPr>
          <w:lang w:val="en-US"/>
        </w:rPr>
        <w:t xml:space="preserve"> of so</w:t>
      </w:r>
      <w:r w:rsidR="00065E22" w:rsidRPr="00DA0DCD">
        <w:rPr>
          <w:lang w:val="en-US"/>
        </w:rPr>
        <w:t>me categories under certain conditions</w:t>
      </w:r>
      <w:r w:rsidR="006A4F34" w:rsidRPr="00DA0DCD">
        <w:rPr>
          <w:lang w:val="en-US"/>
        </w:rPr>
        <w:t xml:space="preserve"> (relaxation)</w:t>
      </w:r>
      <w:r w:rsidR="00065E22" w:rsidRPr="00DA0DCD">
        <w:rPr>
          <w:lang w:val="en-US"/>
        </w:rPr>
        <w:t>. R</w:t>
      </w:r>
      <w:r w:rsidR="00E230F0" w:rsidRPr="00DA0DCD">
        <w:rPr>
          <w:lang w:val="en-US"/>
        </w:rPr>
        <w:t>eclassif</w:t>
      </w:r>
      <w:r w:rsidR="00984EB0" w:rsidRPr="00DA0DCD">
        <w:rPr>
          <w:lang w:val="en-US"/>
        </w:rPr>
        <w:t>ication means that companies could</w:t>
      </w:r>
      <w:r w:rsidR="00E230F0" w:rsidRPr="00DA0DCD">
        <w:rPr>
          <w:lang w:val="en-US"/>
        </w:rPr>
        <w:t xml:space="preserve"> change their financial</w:t>
      </w:r>
      <w:r w:rsidR="00984EB0" w:rsidRPr="00DA0DCD">
        <w:rPr>
          <w:lang w:val="en-US"/>
        </w:rPr>
        <w:t xml:space="preserve"> </w:t>
      </w:r>
      <w:r w:rsidR="00E230F0" w:rsidRPr="00DA0DCD">
        <w:rPr>
          <w:lang w:val="en-US"/>
        </w:rPr>
        <w:t xml:space="preserve">instruments </w:t>
      </w:r>
      <w:r w:rsidR="00065E22" w:rsidRPr="00DA0DCD">
        <w:rPr>
          <w:lang w:val="en-US"/>
        </w:rPr>
        <w:t xml:space="preserve">of some categories, </w:t>
      </w:r>
      <w:r w:rsidR="00E230F0" w:rsidRPr="00DA0DCD">
        <w:rPr>
          <w:lang w:val="en-US"/>
        </w:rPr>
        <w:t>being measured at fair value</w:t>
      </w:r>
      <w:r w:rsidR="00065E22" w:rsidRPr="00DA0DCD">
        <w:rPr>
          <w:lang w:val="en-US"/>
        </w:rPr>
        <w:t>,</w:t>
      </w:r>
      <w:r w:rsidR="00E230F0" w:rsidRPr="00DA0DCD">
        <w:rPr>
          <w:lang w:val="en-US"/>
        </w:rPr>
        <w:t xml:space="preserve"> to</w:t>
      </w:r>
      <w:r w:rsidR="00065E22" w:rsidRPr="00DA0DCD">
        <w:rPr>
          <w:lang w:val="en-US"/>
        </w:rPr>
        <w:t xml:space="preserve"> another category</w:t>
      </w:r>
      <w:r w:rsidR="00E230F0" w:rsidRPr="00DA0DCD">
        <w:rPr>
          <w:lang w:val="en-US"/>
        </w:rPr>
        <w:t xml:space="preserve"> </w:t>
      </w:r>
      <w:r w:rsidR="00065E22" w:rsidRPr="00DA0DCD">
        <w:rPr>
          <w:lang w:val="en-US"/>
        </w:rPr>
        <w:t xml:space="preserve">which is </w:t>
      </w:r>
      <w:r w:rsidR="00E230F0" w:rsidRPr="00DA0DCD">
        <w:rPr>
          <w:lang w:val="en-US"/>
        </w:rPr>
        <w:t>measure</w:t>
      </w:r>
      <w:r w:rsidR="00065E22" w:rsidRPr="00DA0DCD">
        <w:rPr>
          <w:lang w:val="en-US"/>
        </w:rPr>
        <w:t>d at amortized costs.</w:t>
      </w:r>
      <w:r w:rsidR="00C07423" w:rsidRPr="00DA0DCD">
        <w:rPr>
          <w:lang w:val="en-US"/>
        </w:rPr>
        <w:t xml:space="preserve"> Further explanation of the</w:t>
      </w:r>
      <w:r w:rsidR="00E230F0" w:rsidRPr="00DA0DCD">
        <w:rPr>
          <w:lang w:val="en-US"/>
        </w:rPr>
        <w:t xml:space="preserve"> </w:t>
      </w:r>
      <w:r w:rsidR="00C07423" w:rsidRPr="00DA0DCD">
        <w:rPr>
          <w:lang w:val="en-US"/>
        </w:rPr>
        <w:t>reclassification option</w:t>
      </w:r>
      <w:r w:rsidR="00E230F0" w:rsidRPr="00DA0DCD">
        <w:rPr>
          <w:lang w:val="en-US"/>
        </w:rPr>
        <w:t xml:space="preserve"> will be described in </w:t>
      </w:r>
      <w:r w:rsidR="00947A7D" w:rsidRPr="00DA0DCD">
        <w:rPr>
          <w:lang w:val="en-US"/>
        </w:rPr>
        <w:t>chapter</w:t>
      </w:r>
      <w:r w:rsidR="00E230F0" w:rsidRPr="00DA0DCD">
        <w:rPr>
          <w:lang w:val="en-US"/>
        </w:rPr>
        <w:t xml:space="preserve"> 2, for now it is</w:t>
      </w:r>
      <w:r w:rsidR="00065E22" w:rsidRPr="00DA0DCD">
        <w:rPr>
          <w:lang w:val="en-US"/>
        </w:rPr>
        <w:t xml:space="preserve"> </w:t>
      </w:r>
      <w:r w:rsidR="00E230F0" w:rsidRPr="00DA0DCD">
        <w:rPr>
          <w:lang w:val="en-US"/>
        </w:rPr>
        <w:t xml:space="preserve">important to know that financial institutions were allowed to </w:t>
      </w:r>
      <w:r w:rsidR="00CE5EF2" w:rsidRPr="00DA0DCD">
        <w:rPr>
          <w:lang w:val="en-US"/>
        </w:rPr>
        <w:t>reclassify some</w:t>
      </w:r>
      <w:r w:rsidR="00E230F0" w:rsidRPr="00DA0DCD">
        <w:rPr>
          <w:lang w:val="en-US"/>
        </w:rPr>
        <w:t xml:space="preserve"> of their financial</w:t>
      </w:r>
      <w:r w:rsidR="00065E22" w:rsidRPr="00DA0DCD">
        <w:rPr>
          <w:lang w:val="en-US"/>
        </w:rPr>
        <w:t xml:space="preserve"> </w:t>
      </w:r>
      <w:r w:rsidR="00E230F0" w:rsidRPr="00DA0DCD">
        <w:rPr>
          <w:lang w:val="en-US"/>
        </w:rPr>
        <w:t>instruments</w:t>
      </w:r>
      <w:r w:rsidR="00CE5EF2" w:rsidRPr="00DA0DCD">
        <w:rPr>
          <w:lang w:val="en-US"/>
        </w:rPr>
        <w:t>. This has</w:t>
      </w:r>
      <w:r w:rsidR="00E230F0" w:rsidRPr="00DA0DCD">
        <w:rPr>
          <w:lang w:val="en-US"/>
        </w:rPr>
        <w:t xml:space="preserve"> the advantage that </w:t>
      </w:r>
      <w:r w:rsidR="00984EB0" w:rsidRPr="00DA0DCD">
        <w:rPr>
          <w:lang w:val="en-US"/>
        </w:rPr>
        <w:t xml:space="preserve">financial </w:t>
      </w:r>
      <w:r w:rsidR="00CE5EF2" w:rsidRPr="00DA0DCD">
        <w:rPr>
          <w:lang w:val="en-US"/>
        </w:rPr>
        <w:t>institutions</w:t>
      </w:r>
      <w:r w:rsidR="00E230F0" w:rsidRPr="00DA0DCD">
        <w:rPr>
          <w:lang w:val="en-US"/>
        </w:rPr>
        <w:t xml:space="preserve"> </w:t>
      </w:r>
      <w:r w:rsidR="00CE5EF2" w:rsidRPr="00DA0DCD">
        <w:rPr>
          <w:lang w:val="en-US"/>
        </w:rPr>
        <w:t>active at markets</w:t>
      </w:r>
      <w:r w:rsidR="009C3859" w:rsidRPr="00DA0DCD">
        <w:rPr>
          <w:lang w:val="en-US"/>
        </w:rPr>
        <w:t xml:space="preserve"> which became</w:t>
      </w:r>
      <w:r w:rsidR="00CE5EF2" w:rsidRPr="00DA0DCD">
        <w:rPr>
          <w:lang w:val="en-US"/>
        </w:rPr>
        <w:t xml:space="preserve"> </w:t>
      </w:r>
      <w:r w:rsidR="009C3859" w:rsidRPr="00DA0DCD">
        <w:rPr>
          <w:lang w:val="en-US"/>
        </w:rPr>
        <w:t xml:space="preserve">illiquid during the financial crisis, </w:t>
      </w:r>
      <w:r w:rsidR="00E230F0" w:rsidRPr="00DA0DCD">
        <w:rPr>
          <w:lang w:val="en-US"/>
        </w:rPr>
        <w:t>do not</w:t>
      </w:r>
      <w:r w:rsidR="00065E22" w:rsidRPr="00DA0DCD">
        <w:rPr>
          <w:lang w:val="en-US"/>
        </w:rPr>
        <w:t xml:space="preserve"> </w:t>
      </w:r>
      <w:r w:rsidR="00E230F0" w:rsidRPr="00DA0DCD">
        <w:rPr>
          <w:lang w:val="en-US"/>
        </w:rPr>
        <w:t xml:space="preserve">have to deal with </w:t>
      </w:r>
      <w:r w:rsidR="009C3859" w:rsidRPr="00DA0DCD">
        <w:rPr>
          <w:lang w:val="en-US"/>
        </w:rPr>
        <w:t xml:space="preserve">the valuations at </w:t>
      </w:r>
      <w:r w:rsidR="00E230F0" w:rsidRPr="00DA0DCD">
        <w:rPr>
          <w:lang w:val="en-US"/>
        </w:rPr>
        <w:t xml:space="preserve">market prices. This means that </w:t>
      </w:r>
      <w:r w:rsidR="00CE5EF2" w:rsidRPr="00DA0DCD">
        <w:rPr>
          <w:lang w:val="en-US"/>
        </w:rPr>
        <w:t>financial institutions</w:t>
      </w:r>
      <w:r w:rsidR="00E230F0" w:rsidRPr="00DA0DCD">
        <w:rPr>
          <w:lang w:val="en-US"/>
        </w:rPr>
        <w:t xml:space="preserve"> have to write off</w:t>
      </w:r>
      <w:r w:rsidR="00065E22" w:rsidRPr="00DA0DCD">
        <w:rPr>
          <w:lang w:val="en-US"/>
        </w:rPr>
        <w:t xml:space="preserve"> </w:t>
      </w:r>
      <w:r w:rsidR="00E230F0" w:rsidRPr="00DA0DCD">
        <w:rPr>
          <w:lang w:val="en-US"/>
        </w:rPr>
        <w:t xml:space="preserve">less during a </w:t>
      </w:r>
      <w:r w:rsidR="009C3859" w:rsidRPr="00DA0DCD">
        <w:rPr>
          <w:lang w:val="en-US"/>
        </w:rPr>
        <w:t xml:space="preserve">financial </w:t>
      </w:r>
      <w:r w:rsidR="00E230F0" w:rsidRPr="00DA0DCD">
        <w:rPr>
          <w:lang w:val="en-US"/>
        </w:rPr>
        <w:t>crisis when using amortized costs instead of FVA</w:t>
      </w:r>
      <w:r w:rsidR="009C3859" w:rsidRPr="00DA0DCD">
        <w:rPr>
          <w:lang w:val="en-US"/>
        </w:rPr>
        <w:t xml:space="preserve"> and therefore less effect </w:t>
      </w:r>
      <w:r w:rsidR="00D80A08" w:rsidRPr="00DA0DCD">
        <w:rPr>
          <w:lang w:val="en-US"/>
        </w:rPr>
        <w:t>in</w:t>
      </w:r>
      <w:r w:rsidR="009C3859" w:rsidRPr="00DA0DCD">
        <w:rPr>
          <w:lang w:val="en-US"/>
        </w:rPr>
        <w:t xml:space="preserve"> the </w:t>
      </w:r>
      <w:r w:rsidR="00D80A08" w:rsidRPr="00DA0DCD">
        <w:rPr>
          <w:lang w:val="en-US"/>
        </w:rPr>
        <w:t>income</w:t>
      </w:r>
      <w:r w:rsidR="009C3859" w:rsidRPr="00DA0DCD">
        <w:rPr>
          <w:lang w:val="en-US"/>
        </w:rPr>
        <w:t xml:space="preserve"> statement</w:t>
      </w:r>
      <w:r w:rsidR="00483B66" w:rsidRPr="00DA0DCD">
        <w:rPr>
          <w:lang w:val="en-US"/>
        </w:rPr>
        <w:t>.</w:t>
      </w:r>
      <w:r w:rsidR="00A001A3" w:rsidRPr="00DA0DCD">
        <w:rPr>
          <w:lang w:val="en-US"/>
        </w:rPr>
        <w:t xml:space="preserve"> The main goal of th</w:t>
      </w:r>
      <w:r w:rsidR="00483B66" w:rsidRPr="00DA0DCD">
        <w:rPr>
          <w:lang w:val="en-US"/>
        </w:rPr>
        <w:t>is</w:t>
      </w:r>
      <w:r w:rsidR="00A001A3" w:rsidRPr="00DA0DCD">
        <w:rPr>
          <w:lang w:val="en-US"/>
        </w:rPr>
        <w:t xml:space="preserve"> reclassification option was to ensure that financial institutions </w:t>
      </w:r>
      <w:r w:rsidR="00483B66" w:rsidRPr="00DA0DCD">
        <w:rPr>
          <w:lang w:val="en-US"/>
        </w:rPr>
        <w:t xml:space="preserve">are </w:t>
      </w:r>
      <w:r w:rsidR="00A001A3" w:rsidRPr="00DA0DCD">
        <w:rPr>
          <w:lang w:val="en-US"/>
        </w:rPr>
        <w:t>not disadvantaged</w:t>
      </w:r>
      <w:r w:rsidR="00483B66" w:rsidRPr="00DA0DCD">
        <w:rPr>
          <w:lang w:val="en-US"/>
        </w:rPr>
        <w:t xml:space="preserve"> by the accounting rules and interpretations</w:t>
      </w:r>
      <w:r w:rsidR="00A001A3" w:rsidRPr="00DA0DCD">
        <w:rPr>
          <w:lang w:val="en-US"/>
        </w:rPr>
        <w:t xml:space="preserve"> with respect to international competitors</w:t>
      </w:r>
      <w:r w:rsidR="00483B66" w:rsidRPr="00DA0DCD">
        <w:rPr>
          <w:lang w:val="en-US"/>
        </w:rPr>
        <w:t>.</w:t>
      </w:r>
      <w:r w:rsidR="00A001A3" w:rsidRPr="00DA0DCD">
        <w:rPr>
          <w:lang w:val="en-US"/>
        </w:rPr>
        <w:t xml:space="preserve"> </w:t>
      </w:r>
      <w:r w:rsidR="008E436F">
        <w:rPr>
          <w:lang w:val="en-US"/>
        </w:rPr>
        <w:t>I</w:t>
      </w:r>
      <w:r w:rsidR="00483B66" w:rsidRPr="00DA0DCD">
        <w:rPr>
          <w:lang w:val="en-US"/>
        </w:rPr>
        <w:t xml:space="preserve">n the US </w:t>
      </w:r>
      <w:r w:rsidR="00A001A3" w:rsidRPr="00DA0DCD">
        <w:rPr>
          <w:lang w:val="en-US"/>
        </w:rPr>
        <w:t>the reclassification option was already possible</w:t>
      </w:r>
      <w:r w:rsidR="001D103F" w:rsidRPr="00DA0DCD">
        <w:rPr>
          <w:lang w:val="en-US"/>
        </w:rPr>
        <w:t xml:space="preserve"> </w:t>
      </w:r>
      <w:r w:rsidR="00483B66" w:rsidRPr="00DA0DCD">
        <w:rPr>
          <w:lang w:val="en-US"/>
        </w:rPr>
        <w:t>for financial institutions</w:t>
      </w:r>
      <w:r w:rsidR="00A001A3" w:rsidRPr="00DA0DCD">
        <w:rPr>
          <w:lang w:val="en-US"/>
        </w:rPr>
        <w:t xml:space="preserve"> and </w:t>
      </w:r>
      <w:r w:rsidR="00483B66" w:rsidRPr="00DA0DCD">
        <w:rPr>
          <w:lang w:val="en-US"/>
        </w:rPr>
        <w:t xml:space="preserve">therefore </w:t>
      </w:r>
      <w:r w:rsidR="00A001A3" w:rsidRPr="00DA0DCD">
        <w:rPr>
          <w:lang w:val="en-US"/>
        </w:rPr>
        <w:t>th</w:t>
      </w:r>
      <w:r w:rsidR="00483B66" w:rsidRPr="00DA0DCD">
        <w:rPr>
          <w:lang w:val="en-US"/>
        </w:rPr>
        <w:t>is</w:t>
      </w:r>
      <w:r w:rsidR="00A001A3" w:rsidRPr="00DA0DCD">
        <w:rPr>
          <w:lang w:val="en-US"/>
        </w:rPr>
        <w:t xml:space="preserve"> </w:t>
      </w:r>
      <w:r w:rsidR="00483B66" w:rsidRPr="00DA0DCD">
        <w:rPr>
          <w:lang w:val="en-US"/>
        </w:rPr>
        <w:t>amendment</w:t>
      </w:r>
      <w:r w:rsidR="00A001A3" w:rsidRPr="00DA0DCD">
        <w:rPr>
          <w:lang w:val="en-US"/>
        </w:rPr>
        <w:t xml:space="preserve"> reduce the differences between </w:t>
      </w:r>
      <w:r w:rsidR="00483B66" w:rsidRPr="00DA0DCD">
        <w:rPr>
          <w:lang w:val="en-US"/>
        </w:rPr>
        <w:t xml:space="preserve">the </w:t>
      </w:r>
      <w:r w:rsidR="00A001A3" w:rsidRPr="00DA0DCD">
        <w:rPr>
          <w:lang w:val="en-US"/>
        </w:rPr>
        <w:t>IFRS</w:t>
      </w:r>
      <w:r w:rsidR="00483B66" w:rsidRPr="00DA0DCD">
        <w:rPr>
          <w:lang w:val="en-US"/>
        </w:rPr>
        <w:t xml:space="preserve"> standards</w:t>
      </w:r>
      <w:r w:rsidR="00A001A3" w:rsidRPr="00DA0DCD">
        <w:rPr>
          <w:lang w:val="en-US"/>
        </w:rPr>
        <w:t xml:space="preserve"> and US GAAP</w:t>
      </w:r>
      <w:r w:rsidR="00596651" w:rsidRPr="00DA0DCD">
        <w:rPr>
          <w:lang w:val="en-US"/>
        </w:rPr>
        <w:t xml:space="preserve"> (Renders, 2009)</w:t>
      </w:r>
      <w:r w:rsidR="00A001A3" w:rsidRPr="00DA0DCD">
        <w:rPr>
          <w:lang w:val="en-US"/>
        </w:rPr>
        <w:t>.</w:t>
      </w:r>
      <w:r w:rsidR="001D103F" w:rsidRPr="00DA0DCD">
        <w:rPr>
          <w:rStyle w:val="Voetnootmarkering"/>
          <w:lang w:val="en-US"/>
        </w:rPr>
        <w:footnoteReference w:id="5"/>
      </w:r>
      <w:r w:rsidR="001D103F" w:rsidRPr="00DA0DCD">
        <w:rPr>
          <w:lang w:val="en-US"/>
        </w:rPr>
        <w:t xml:space="preserve"> </w:t>
      </w:r>
      <w:r w:rsidR="00E230F0" w:rsidRPr="00DA0DCD">
        <w:rPr>
          <w:lang w:val="en-US"/>
        </w:rPr>
        <w:t>The</w:t>
      </w:r>
      <w:r w:rsidR="00462BB6" w:rsidRPr="00DA0DCD">
        <w:rPr>
          <w:lang w:val="en-US"/>
        </w:rPr>
        <w:t xml:space="preserve"> </w:t>
      </w:r>
      <w:r w:rsidR="00E230F0" w:rsidRPr="00DA0DCD">
        <w:rPr>
          <w:lang w:val="en-US"/>
        </w:rPr>
        <w:t>CESR</w:t>
      </w:r>
      <w:r w:rsidR="00462BB6" w:rsidRPr="00DA0DCD">
        <w:rPr>
          <w:rStyle w:val="Voetnootmarkering"/>
          <w:lang w:val="en-US"/>
        </w:rPr>
        <w:footnoteReference w:id="6"/>
      </w:r>
      <w:r w:rsidR="00E230F0" w:rsidRPr="00DA0DCD">
        <w:rPr>
          <w:sz w:val="16"/>
          <w:szCs w:val="16"/>
          <w:lang w:val="en-US"/>
        </w:rPr>
        <w:t xml:space="preserve"> </w:t>
      </w:r>
      <w:r w:rsidR="005E11A9" w:rsidRPr="00DA0DCD">
        <w:rPr>
          <w:lang w:val="en-US"/>
        </w:rPr>
        <w:t xml:space="preserve">did </w:t>
      </w:r>
      <w:r w:rsidR="00E230F0" w:rsidRPr="00DA0DCD">
        <w:rPr>
          <w:lang w:val="en-US"/>
        </w:rPr>
        <w:t>a</w:t>
      </w:r>
      <w:r w:rsidR="00CE5EF2" w:rsidRPr="00DA0DCD">
        <w:rPr>
          <w:lang w:val="en-US"/>
        </w:rPr>
        <w:t xml:space="preserve"> </w:t>
      </w:r>
      <w:r w:rsidR="00E230F0" w:rsidRPr="00DA0DCD">
        <w:rPr>
          <w:lang w:val="en-US"/>
        </w:rPr>
        <w:t>research on the use of the possibility to reclassify financial instruments. They studied the</w:t>
      </w:r>
      <w:r w:rsidR="00CE5EF2" w:rsidRPr="00DA0DCD">
        <w:rPr>
          <w:lang w:val="en-US"/>
        </w:rPr>
        <w:t xml:space="preserve"> </w:t>
      </w:r>
      <w:r w:rsidR="00E230F0" w:rsidRPr="00DA0DCD">
        <w:rPr>
          <w:lang w:val="en-US"/>
        </w:rPr>
        <w:t>annual accounts of 100 large financial institutions in Europe and found that 61% of them</w:t>
      </w:r>
      <w:r w:rsidR="00CE5EF2" w:rsidRPr="00DA0DCD">
        <w:rPr>
          <w:lang w:val="en-US"/>
        </w:rPr>
        <w:t xml:space="preserve"> </w:t>
      </w:r>
      <w:r w:rsidR="00E230F0" w:rsidRPr="00DA0DCD">
        <w:rPr>
          <w:lang w:val="en-US"/>
        </w:rPr>
        <w:t>made use of the possibility of reclassification in 2008 (CESR, 2009).</w:t>
      </w:r>
    </w:p>
    <w:p w:rsidR="00016DE0" w:rsidRPr="00DA0DCD" w:rsidRDefault="004E19A8" w:rsidP="003B558B">
      <w:pPr>
        <w:rPr>
          <w:lang w:val="en-US"/>
        </w:rPr>
      </w:pPr>
      <w:r w:rsidRPr="00DA0DCD">
        <w:rPr>
          <w:lang w:val="en-US"/>
        </w:rPr>
        <w:t xml:space="preserve">The G20 </w:t>
      </w:r>
      <w:r w:rsidR="00016DE0" w:rsidRPr="00DA0DCD">
        <w:rPr>
          <w:lang w:val="en-US"/>
        </w:rPr>
        <w:t>called the regulators on April 2009 to reduce the complexity of the accounting standard on financial instruments, especially the methods of FVA measurement and to address a number of specific points.</w:t>
      </w:r>
      <w:r w:rsidRPr="00DA0DCD">
        <w:rPr>
          <w:rStyle w:val="Voetnootmarkering"/>
          <w:lang w:val="en-US"/>
        </w:rPr>
        <w:footnoteReference w:id="7"/>
      </w:r>
      <w:r w:rsidR="00016DE0" w:rsidRPr="00DA0DCD">
        <w:rPr>
          <w:lang w:val="en-US"/>
        </w:rPr>
        <w:t xml:space="preserve"> Later the EU finance ministers (ECOFIN) speak out the same message and recommended the IASB to work closely together with the </w:t>
      </w:r>
      <w:r w:rsidR="00D81C37" w:rsidRPr="00DA0DCD">
        <w:rPr>
          <w:lang w:val="en-US"/>
        </w:rPr>
        <w:t>Financial Accounting Standards Board (</w:t>
      </w:r>
      <w:r w:rsidR="00016DE0" w:rsidRPr="00DA0DCD">
        <w:rPr>
          <w:lang w:val="en-US"/>
        </w:rPr>
        <w:t>FASB</w:t>
      </w:r>
      <w:r w:rsidR="00D81C37" w:rsidRPr="00DA0DCD">
        <w:rPr>
          <w:lang w:val="en-US"/>
        </w:rPr>
        <w:t>)</w:t>
      </w:r>
      <w:r w:rsidR="00016DE0" w:rsidRPr="00DA0DCD">
        <w:rPr>
          <w:lang w:val="en-US"/>
        </w:rPr>
        <w:t xml:space="preserve">. </w:t>
      </w:r>
      <w:r w:rsidR="003E51F5" w:rsidRPr="00DA0DCD">
        <w:rPr>
          <w:lang w:val="en-US"/>
        </w:rPr>
        <w:t>As a second step, t</w:t>
      </w:r>
      <w:r w:rsidR="00016DE0" w:rsidRPr="00DA0DCD">
        <w:rPr>
          <w:lang w:val="en-US"/>
        </w:rPr>
        <w:t>he IASB responded to this calls and introduced on July</w:t>
      </w:r>
      <w:r w:rsidR="00260AD3">
        <w:rPr>
          <w:lang w:val="en-US"/>
        </w:rPr>
        <w:t xml:space="preserve"> </w:t>
      </w:r>
      <w:r w:rsidR="00260AD3" w:rsidRPr="00DA0DCD">
        <w:rPr>
          <w:lang w:val="en-US"/>
        </w:rPr>
        <w:t>14</w:t>
      </w:r>
      <w:r w:rsidR="006D251C">
        <w:rPr>
          <w:lang w:val="en-US"/>
        </w:rPr>
        <w:t xml:space="preserve">, </w:t>
      </w:r>
      <w:r w:rsidR="00016DE0" w:rsidRPr="00DA0DCD">
        <w:rPr>
          <w:lang w:val="en-US"/>
        </w:rPr>
        <w:t>2009 a final exposure draft. With this draft the IASB want</w:t>
      </w:r>
      <w:r w:rsidR="00C45614" w:rsidRPr="00DA0DCD">
        <w:rPr>
          <w:lang w:val="en-US"/>
        </w:rPr>
        <w:t>s</w:t>
      </w:r>
      <w:r w:rsidR="00016DE0" w:rsidRPr="00DA0DCD">
        <w:rPr>
          <w:lang w:val="en-US"/>
        </w:rPr>
        <w:t xml:space="preserve"> to reduce </w:t>
      </w:r>
      <w:r w:rsidR="005D2152" w:rsidRPr="00DA0DCD">
        <w:rPr>
          <w:lang w:val="en-US"/>
        </w:rPr>
        <w:t xml:space="preserve">significantly </w:t>
      </w:r>
      <w:r w:rsidR="00016DE0" w:rsidRPr="00DA0DCD">
        <w:rPr>
          <w:lang w:val="en-US"/>
        </w:rPr>
        <w:t>the complexity</w:t>
      </w:r>
      <w:r w:rsidR="005D2152" w:rsidRPr="00DA0DCD">
        <w:rPr>
          <w:lang w:val="en-US"/>
        </w:rPr>
        <w:t xml:space="preserve"> and makes it for investors easier to understand.</w:t>
      </w:r>
      <w:r w:rsidR="00016DE0" w:rsidRPr="00DA0DCD">
        <w:rPr>
          <w:lang w:val="en-US"/>
        </w:rPr>
        <w:t xml:space="preserve"> With this </w:t>
      </w:r>
      <w:r w:rsidR="00913F01" w:rsidRPr="00DA0DCD">
        <w:rPr>
          <w:lang w:val="en-US"/>
        </w:rPr>
        <w:t>project,</w:t>
      </w:r>
      <w:r w:rsidR="00016DE0" w:rsidRPr="00DA0DCD">
        <w:rPr>
          <w:lang w:val="en-US"/>
        </w:rPr>
        <w:t xml:space="preserve"> IAS 39 would be replaced by a new standard called IFRS 9</w:t>
      </w:r>
      <w:r w:rsidR="00B35A34" w:rsidRPr="00DA0DCD">
        <w:rPr>
          <w:lang w:val="en-US"/>
        </w:rPr>
        <w:t>, it</w:t>
      </w:r>
      <w:r w:rsidR="00016DE0" w:rsidRPr="00DA0DCD">
        <w:rPr>
          <w:lang w:val="en-US"/>
        </w:rPr>
        <w:t xml:space="preserve"> will replace IAS 39 finally in 2013 but </w:t>
      </w:r>
      <w:r w:rsidR="00CA7723" w:rsidRPr="00DA0DCD">
        <w:rPr>
          <w:lang w:val="en-US"/>
        </w:rPr>
        <w:t>phase 1 (recognition and measurement)</w:t>
      </w:r>
      <w:r w:rsidR="00016DE0" w:rsidRPr="00DA0DCD">
        <w:rPr>
          <w:lang w:val="en-US"/>
        </w:rPr>
        <w:t xml:space="preserve"> is already allowed to </w:t>
      </w:r>
      <w:r w:rsidR="007F0FBE" w:rsidRPr="00DA0DCD">
        <w:rPr>
          <w:lang w:val="en-US"/>
        </w:rPr>
        <w:t>use</w:t>
      </w:r>
      <w:r w:rsidR="00016DE0" w:rsidRPr="00DA0DCD">
        <w:rPr>
          <w:lang w:val="en-US"/>
        </w:rPr>
        <w:t xml:space="preserve"> it in 2009</w:t>
      </w:r>
      <w:r w:rsidR="003E51F5" w:rsidRPr="00DA0DCD">
        <w:rPr>
          <w:lang w:val="en-US"/>
        </w:rPr>
        <w:t xml:space="preserve">. </w:t>
      </w:r>
      <w:r w:rsidR="007F0FBE" w:rsidRPr="00DA0DCD">
        <w:rPr>
          <w:lang w:val="en-US"/>
        </w:rPr>
        <w:t>However o</w:t>
      </w:r>
      <w:r w:rsidR="003E51F5" w:rsidRPr="00DA0DCD">
        <w:rPr>
          <w:lang w:val="en-US"/>
        </w:rPr>
        <w:t>n</w:t>
      </w:r>
      <w:r w:rsidR="007F0FBE" w:rsidRPr="00DA0DCD">
        <w:rPr>
          <w:lang w:val="en-US"/>
        </w:rPr>
        <w:t xml:space="preserve"> December 21, 2009 the</w:t>
      </w:r>
      <w:r w:rsidR="003E51F5" w:rsidRPr="00DA0DCD">
        <w:rPr>
          <w:lang w:val="en-US"/>
        </w:rPr>
        <w:t xml:space="preserve"> European commission</w:t>
      </w:r>
      <w:r w:rsidR="007F0FBE" w:rsidRPr="00DA0DCD">
        <w:rPr>
          <w:lang w:val="en-US"/>
        </w:rPr>
        <w:t xml:space="preserve"> </w:t>
      </w:r>
      <w:r w:rsidR="00360C7E" w:rsidRPr="00DA0DCD">
        <w:rPr>
          <w:lang w:val="en-US"/>
        </w:rPr>
        <w:t>did not endorse</w:t>
      </w:r>
      <w:r w:rsidR="007F0FBE" w:rsidRPr="00DA0DCD">
        <w:rPr>
          <w:lang w:val="en-US"/>
        </w:rPr>
        <w:t xml:space="preserve"> IFRS 9. This mean</w:t>
      </w:r>
      <w:r w:rsidRPr="00DA0DCD">
        <w:rPr>
          <w:lang w:val="en-US"/>
        </w:rPr>
        <w:t>s</w:t>
      </w:r>
      <w:r w:rsidR="007F0FBE" w:rsidRPr="00DA0DCD">
        <w:rPr>
          <w:lang w:val="en-US"/>
        </w:rPr>
        <w:t xml:space="preserve"> that</w:t>
      </w:r>
      <w:r w:rsidR="004B420B" w:rsidRPr="00DA0DCD">
        <w:rPr>
          <w:lang w:val="en-US"/>
        </w:rPr>
        <w:t xml:space="preserve"> </w:t>
      </w:r>
      <w:r w:rsidR="00E0573F" w:rsidRPr="00DA0DCD">
        <w:rPr>
          <w:lang w:val="en-US"/>
        </w:rPr>
        <w:t xml:space="preserve">the use of </w:t>
      </w:r>
      <w:r w:rsidR="004B420B" w:rsidRPr="00DA0DCD">
        <w:rPr>
          <w:lang w:val="en-US"/>
        </w:rPr>
        <w:t xml:space="preserve">IFRS 9 is </w:t>
      </w:r>
      <w:r w:rsidR="00E0573F" w:rsidRPr="00DA0DCD">
        <w:rPr>
          <w:lang w:val="en-US"/>
        </w:rPr>
        <w:t xml:space="preserve">not </w:t>
      </w:r>
      <w:r w:rsidR="004B420B" w:rsidRPr="00DA0DCD">
        <w:rPr>
          <w:lang w:val="en-US"/>
        </w:rPr>
        <w:t>allowed in the European Union</w:t>
      </w:r>
      <w:r w:rsidR="008E436F" w:rsidRPr="008E436F">
        <w:rPr>
          <w:lang w:val="en-US"/>
        </w:rPr>
        <w:t xml:space="preserve"> </w:t>
      </w:r>
      <w:r w:rsidR="008E436F" w:rsidRPr="00DA0DCD">
        <w:rPr>
          <w:lang w:val="en-US"/>
        </w:rPr>
        <w:t>for now</w:t>
      </w:r>
      <w:r w:rsidR="00016DE0" w:rsidRPr="00DA0DCD">
        <w:rPr>
          <w:lang w:val="en-US"/>
        </w:rPr>
        <w:t xml:space="preserve">. </w:t>
      </w:r>
    </w:p>
    <w:p w:rsidR="00D26049" w:rsidRPr="00DA0DCD" w:rsidRDefault="00D26049" w:rsidP="00D26049">
      <w:pPr>
        <w:pStyle w:val="Kop2"/>
        <w:numPr>
          <w:ilvl w:val="1"/>
          <w:numId w:val="14"/>
        </w:numPr>
        <w:rPr>
          <w:lang w:val="en-US"/>
        </w:rPr>
      </w:pPr>
      <w:r w:rsidRPr="00DA0DCD">
        <w:rPr>
          <w:lang w:val="en-US"/>
        </w:rPr>
        <w:lastRenderedPageBreak/>
        <w:t xml:space="preserve"> </w:t>
      </w:r>
      <w:bookmarkStart w:id="3" w:name="_Toc270770548"/>
      <w:r w:rsidRPr="00DA0DCD">
        <w:rPr>
          <w:lang w:val="en-US"/>
        </w:rPr>
        <w:t>Research question</w:t>
      </w:r>
      <w:bookmarkEnd w:id="3"/>
    </w:p>
    <w:p w:rsidR="00E0573F" w:rsidRPr="00DA0DCD" w:rsidRDefault="00462BB6" w:rsidP="003B558B">
      <w:pPr>
        <w:rPr>
          <w:lang w:val="en-US"/>
        </w:rPr>
      </w:pPr>
      <w:r w:rsidRPr="00DA0DCD">
        <w:rPr>
          <w:lang w:val="en-US"/>
        </w:rPr>
        <w:t xml:space="preserve">In </w:t>
      </w:r>
      <w:r w:rsidR="002A02F9" w:rsidRPr="00DA0DCD">
        <w:rPr>
          <w:lang w:val="en-US"/>
        </w:rPr>
        <w:t>this</w:t>
      </w:r>
      <w:r w:rsidRPr="00DA0DCD">
        <w:rPr>
          <w:lang w:val="en-US"/>
        </w:rPr>
        <w:t xml:space="preserve"> </w:t>
      </w:r>
      <w:r w:rsidR="00173BA3" w:rsidRPr="00DA0DCD">
        <w:rPr>
          <w:lang w:val="en-US"/>
        </w:rPr>
        <w:t xml:space="preserve">master </w:t>
      </w:r>
      <w:r w:rsidRPr="00DA0DCD">
        <w:rPr>
          <w:lang w:val="en-US"/>
        </w:rPr>
        <w:t>thesis I examine</w:t>
      </w:r>
      <w:r w:rsidR="005A1E72" w:rsidRPr="00DA0DCD">
        <w:rPr>
          <w:lang w:val="en-US"/>
        </w:rPr>
        <w:t xml:space="preserve"> </w:t>
      </w:r>
      <w:r w:rsidRPr="00DA0DCD">
        <w:rPr>
          <w:lang w:val="en-US"/>
        </w:rPr>
        <w:t>the economic consequenc</w:t>
      </w:r>
      <w:r w:rsidR="00173BA3" w:rsidRPr="00DA0DCD">
        <w:rPr>
          <w:lang w:val="en-US"/>
        </w:rPr>
        <w:t xml:space="preserve">es </w:t>
      </w:r>
      <w:r w:rsidRPr="00DA0DCD">
        <w:rPr>
          <w:lang w:val="en-US"/>
        </w:rPr>
        <w:t>of</w:t>
      </w:r>
      <w:r w:rsidR="002A02F9" w:rsidRPr="00DA0DCD">
        <w:rPr>
          <w:lang w:val="en-US"/>
        </w:rPr>
        <w:t xml:space="preserve"> the </w:t>
      </w:r>
      <w:r w:rsidR="007A60AF" w:rsidRPr="00DA0DCD">
        <w:rPr>
          <w:lang w:val="en-US"/>
        </w:rPr>
        <w:t>announcements</w:t>
      </w:r>
      <w:r w:rsidR="005A1E72" w:rsidRPr="00DA0DCD">
        <w:rPr>
          <w:lang w:val="en-US"/>
        </w:rPr>
        <w:t>,</w:t>
      </w:r>
      <w:r w:rsidR="007A60AF" w:rsidRPr="00DA0DCD">
        <w:rPr>
          <w:lang w:val="en-US"/>
        </w:rPr>
        <w:t xml:space="preserve"> </w:t>
      </w:r>
      <w:r w:rsidR="005A1E72" w:rsidRPr="00DA0DCD">
        <w:rPr>
          <w:lang w:val="en-US"/>
        </w:rPr>
        <w:t>concerning the</w:t>
      </w:r>
      <w:r w:rsidR="00FF3020" w:rsidRPr="00DA0DCD">
        <w:rPr>
          <w:lang w:val="en-US"/>
        </w:rPr>
        <w:t xml:space="preserve"> probably</w:t>
      </w:r>
      <w:r w:rsidR="005A1E72" w:rsidRPr="00DA0DCD">
        <w:rPr>
          <w:lang w:val="en-US"/>
        </w:rPr>
        <w:t xml:space="preserve"> of the introduction of</w:t>
      </w:r>
      <w:r w:rsidR="00FF3020" w:rsidRPr="00DA0DCD">
        <w:rPr>
          <w:lang w:val="en-US"/>
        </w:rPr>
        <w:t xml:space="preserve"> reclassification option </w:t>
      </w:r>
      <w:r w:rsidR="00C45614" w:rsidRPr="00DA0DCD">
        <w:rPr>
          <w:lang w:val="en-US"/>
        </w:rPr>
        <w:t>in</w:t>
      </w:r>
      <w:r w:rsidR="00FF3020" w:rsidRPr="00DA0DCD">
        <w:rPr>
          <w:lang w:val="en-US"/>
        </w:rPr>
        <w:t xml:space="preserve"> </w:t>
      </w:r>
      <w:r w:rsidRPr="00DA0DCD">
        <w:rPr>
          <w:lang w:val="en-US"/>
        </w:rPr>
        <w:t>IAS 39</w:t>
      </w:r>
      <w:r w:rsidR="005A1E72" w:rsidRPr="00DA0DCD">
        <w:rPr>
          <w:lang w:val="en-US"/>
        </w:rPr>
        <w:t>,</w:t>
      </w:r>
      <w:r w:rsidRPr="00DA0DCD">
        <w:rPr>
          <w:lang w:val="en-US"/>
        </w:rPr>
        <w:t xml:space="preserve"> </w:t>
      </w:r>
      <w:r w:rsidR="002A02F9" w:rsidRPr="00DA0DCD">
        <w:rPr>
          <w:lang w:val="en-US"/>
        </w:rPr>
        <w:t>on</w:t>
      </w:r>
      <w:r w:rsidRPr="00DA0DCD">
        <w:rPr>
          <w:lang w:val="en-US"/>
        </w:rPr>
        <w:t xml:space="preserve"> the stock prices of financial institutions.</w:t>
      </w:r>
      <w:r w:rsidR="00360C7E" w:rsidRPr="00DA0DCD">
        <w:rPr>
          <w:lang w:val="en-US"/>
        </w:rPr>
        <w:t xml:space="preserve"> </w:t>
      </w:r>
      <w:r w:rsidR="005A1E72" w:rsidRPr="00DA0DCD">
        <w:rPr>
          <w:lang w:val="en-US"/>
        </w:rPr>
        <w:t xml:space="preserve">This examination will be conducted using an event study. </w:t>
      </w:r>
      <w:r w:rsidRPr="00DA0DCD">
        <w:rPr>
          <w:lang w:val="en-US"/>
        </w:rPr>
        <w:t xml:space="preserve">The </w:t>
      </w:r>
      <w:r w:rsidR="00173BA3" w:rsidRPr="00DA0DCD">
        <w:rPr>
          <w:lang w:val="en-US"/>
        </w:rPr>
        <w:t xml:space="preserve">events </w:t>
      </w:r>
      <w:r w:rsidR="000B7BD6" w:rsidRPr="00DA0DCD">
        <w:rPr>
          <w:lang w:val="en-US"/>
        </w:rPr>
        <w:t>are</w:t>
      </w:r>
      <w:r w:rsidR="00173BA3" w:rsidRPr="00DA0DCD">
        <w:rPr>
          <w:lang w:val="en-US"/>
        </w:rPr>
        <w:t xml:space="preserve"> </w:t>
      </w:r>
      <w:r w:rsidRPr="00DA0DCD">
        <w:rPr>
          <w:lang w:val="en-US"/>
        </w:rPr>
        <w:t xml:space="preserve">announcements </w:t>
      </w:r>
      <w:r w:rsidR="00173BA3" w:rsidRPr="00DA0DCD">
        <w:rPr>
          <w:lang w:val="en-US"/>
        </w:rPr>
        <w:t xml:space="preserve">which might </w:t>
      </w:r>
      <w:r w:rsidR="005A1E72" w:rsidRPr="00DA0DCD">
        <w:rPr>
          <w:lang w:val="en-US"/>
        </w:rPr>
        <w:t xml:space="preserve">have </w:t>
      </w:r>
      <w:r w:rsidR="00173BA3" w:rsidRPr="00DA0DCD">
        <w:rPr>
          <w:lang w:val="en-US"/>
        </w:rPr>
        <w:t xml:space="preserve">had an impact on the </w:t>
      </w:r>
      <w:r w:rsidR="00CF5ABF" w:rsidRPr="00DA0DCD">
        <w:rPr>
          <w:lang w:val="en-US"/>
        </w:rPr>
        <w:t>probability</w:t>
      </w:r>
      <w:r w:rsidR="00173BA3" w:rsidRPr="00DA0DCD">
        <w:rPr>
          <w:lang w:val="en-US"/>
        </w:rPr>
        <w:t xml:space="preserve"> of </w:t>
      </w:r>
      <w:r w:rsidR="007A60AF" w:rsidRPr="00DA0DCD">
        <w:rPr>
          <w:lang w:val="en-US"/>
        </w:rPr>
        <w:t>changing by the reclassification option</w:t>
      </w:r>
      <w:r w:rsidR="00082DBF" w:rsidRPr="00DA0DCD">
        <w:rPr>
          <w:lang w:val="en-US"/>
        </w:rPr>
        <w:t xml:space="preserve"> or retain</w:t>
      </w:r>
      <w:r w:rsidR="00EE1D18" w:rsidRPr="00DA0DCD">
        <w:rPr>
          <w:lang w:val="en-US"/>
        </w:rPr>
        <w:t>ing the standard</w:t>
      </w:r>
      <w:r w:rsidR="00173BA3" w:rsidRPr="00DA0DCD">
        <w:rPr>
          <w:lang w:val="en-US"/>
        </w:rPr>
        <w:t>.</w:t>
      </w:r>
      <w:r w:rsidR="00CF5ABF" w:rsidRPr="00DA0DCD">
        <w:rPr>
          <w:lang w:val="en-US"/>
        </w:rPr>
        <w:t xml:space="preserve"> </w:t>
      </w:r>
      <w:r w:rsidR="00636569" w:rsidRPr="00DA0DCD">
        <w:rPr>
          <w:lang w:val="en-US"/>
        </w:rPr>
        <w:t xml:space="preserve">The </w:t>
      </w:r>
      <w:r w:rsidR="00EC71D8" w:rsidRPr="00DA0DCD">
        <w:rPr>
          <w:lang w:val="en-US"/>
        </w:rPr>
        <w:t>a</w:t>
      </w:r>
      <w:r w:rsidR="00CF5ABF" w:rsidRPr="00DA0DCD">
        <w:rPr>
          <w:lang w:val="en-US"/>
        </w:rPr>
        <w:t xml:space="preserve">nnouncements </w:t>
      </w:r>
      <w:r w:rsidR="00EE1D18" w:rsidRPr="00DA0DCD">
        <w:rPr>
          <w:lang w:val="en-US"/>
        </w:rPr>
        <w:t xml:space="preserve">are </w:t>
      </w:r>
      <w:r w:rsidR="00EC71D8" w:rsidRPr="00DA0DCD">
        <w:rPr>
          <w:lang w:val="en-US"/>
        </w:rPr>
        <w:t>statements of persons or organizations that might have</w:t>
      </w:r>
      <w:r w:rsidR="005A1E72" w:rsidRPr="00DA0DCD">
        <w:rPr>
          <w:lang w:val="en-US"/>
        </w:rPr>
        <w:t xml:space="preserve"> had</w:t>
      </w:r>
      <w:r w:rsidR="00EC71D8" w:rsidRPr="00DA0DCD">
        <w:rPr>
          <w:lang w:val="en-US"/>
        </w:rPr>
        <w:t xml:space="preserve"> </w:t>
      </w:r>
      <w:r w:rsidR="00913F01" w:rsidRPr="00DA0DCD">
        <w:rPr>
          <w:lang w:val="en-US"/>
        </w:rPr>
        <w:t xml:space="preserve">an </w:t>
      </w:r>
      <w:r w:rsidR="00EC71D8" w:rsidRPr="00DA0DCD">
        <w:rPr>
          <w:lang w:val="en-US"/>
        </w:rPr>
        <w:t>influence on the</w:t>
      </w:r>
      <w:r w:rsidR="00CF5ABF" w:rsidRPr="00DA0DCD">
        <w:rPr>
          <w:lang w:val="en-US"/>
        </w:rPr>
        <w:t xml:space="preserve"> standard-setting</w:t>
      </w:r>
      <w:r w:rsidR="00913F01" w:rsidRPr="00DA0DCD">
        <w:rPr>
          <w:lang w:val="en-US"/>
        </w:rPr>
        <w:t>s</w:t>
      </w:r>
      <w:r w:rsidR="00CF5ABF" w:rsidRPr="00DA0DCD">
        <w:rPr>
          <w:lang w:val="en-US"/>
        </w:rPr>
        <w:t xml:space="preserve"> process. </w:t>
      </w:r>
      <w:r w:rsidR="00913F01" w:rsidRPr="00DA0DCD">
        <w:rPr>
          <w:lang w:val="en-US"/>
        </w:rPr>
        <w:t xml:space="preserve">Bowen et al. (2010) have done a similar research in the US. </w:t>
      </w:r>
      <w:r w:rsidR="00A872AD" w:rsidRPr="00DA0DCD">
        <w:rPr>
          <w:lang w:val="en-US"/>
        </w:rPr>
        <w:t xml:space="preserve"> </w:t>
      </w:r>
      <w:r w:rsidR="005A1E72" w:rsidRPr="00DA0DCD">
        <w:rPr>
          <w:lang w:val="en-US"/>
        </w:rPr>
        <w:t>They</w:t>
      </w:r>
      <w:r w:rsidR="00913F01" w:rsidRPr="00DA0DCD">
        <w:rPr>
          <w:lang w:val="en-US"/>
        </w:rPr>
        <w:t xml:space="preserve"> found a positive (negative) market reaction on announcements which increase (decrease) the possibility of relaxing FVA of financial instruments.</w:t>
      </w:r>
      <w:r w:rsidR="009F1DFE" w:rsidRPr="00DA0DCD">
        <w:rPr>
          <w:lang w:val="en-US"/>
        </w:rPr>
        <w:t xml:space="preserve"> The situation in the US is not the same as the situation in Europe, as described above. </w:t>
      </w:r>
      <w:r w:rsidR="0016601A" w:rsidRPr="00DA0DCD">
        <w:rPr>
          <w:lang w:val="en-US"/>
        </w:rPr>
        <w:t>Moreover</w:t>
      </w:r>
      <w:r w:rsidR="009F1DFE" w:rsidRPr="00DA0DCD">
        <w:rPr>
          <w:lang w:val="en-US"/>
        </w:rPr>
        <w:t xml:space="preserve">, there are important differences between Europe and the US, for instance accounting standard, market reaction and </w:t>
      </w:r>
      <w:r w:rsidR="00246514">
        <w:rPr>
          <w:lang w:val="en-US"/>
        </w:rPr>
        <w:t>corporate governance structure.</w:t>
      </w:r>
      <w:r w:rsidR="0016601A" w:rsidRPr="00DA0DCD">
        <w:rPr>
          <w:lang w:val="en-US"/>
        </w:rPr>
        <w:t xml:space="preserve"> </w:t>
      </w:r>
      <w:r w:rsidR="00246514">
        <w:rPr>
          <w:lang w:val="en-US"/>
        </w:rPr>
        <w:t>T</w:t>
      </w:r>
      <w:r w:rsidR="008E436F">
        <w:rPr>
          <w:lang w:val="en-US"/>
        </w:rPr>
        <w:t xml:space="preserve">his will be </w:t>
      </w:r>
      <w:r w:rsidR="0016601A" w:rsidRPr="00DA0DCD">
        <w:rPr>
          <w:lang w:val="en-US"/>
        </w:rPr>
        <w:t xml:space="preserve">discussed later. </w:t>
      </w:r>
      <w:r w:rsidR="009F1DFE" w:rsidRPr="00DA0DCD">
        <w:rPr>
          <w:lang w:val="en-US"/>
        </w:rPr>
        <w:t>Because of the differences and different situation between the US and Europe, this research will</w:t>
      </w:r>
      <w:r w:rsidR="009F0DEF" w:rsidRPr="00DA0DCD">
        <w:rPr>
          <w:lang w:val="en-US"/>
        </w:rPr>
        <w:t xml:space="preserve"> focus </w:t>
      </w:r>
      <w:r w:rsidR="009F1DFE" w:rsidRPr="00DA0DCD">
        <w:rPr>
          <w:lang w:val="en-US"/>
        </w:rPr>
        <w:t>on</w:t>
      </w:r>
      <w:r w:rsidR="009F0DEF" w:rsidRPr="00DA0DCD">
        <w:rPr>
          <w:lang w:val="en-US"/>
        </w:rPr>
        <w:t xml:space="preserve"> </w:t>
      </w:r>
      <w:r w:rsidR="00FF3020" w:rsidRPr="00DA0DCD">
        <w:rPr>
          <w:lang w:val="en-US"/>
        </w:rPr>
        <w:t xml:space="preserve">the reaction of the </w:t>
      </w:r>
      <w:r w:rsidR="009F0DEF" w:rsidRPr="00DA0DCD">
        <w:rPr>
          <w:lang w:val="en-US"/>
        </w:rPr>
        <w:t>Europe</w:t>
      </w:r>
      <w:r w:rsidR="00FF3020" w:rsidRPr="00DA0DCD">
        <w:rPr>
          <w:lang w:val="en-US"/>
        </w:rPr>
        <w:t>an capital market</w:t>
      </w:r>
      <w:r w:rsidR="009F1DFE" w:rsidRPr="00DA0DCD">
        <w:rPr>
          <w:lang w:val="en-US"/>
        </w:rPr>
        <w:t>s</w:t>
      </w:r>
      <w:r w:rsidR="00FF3020" w:rsidRPr="00DA0DCD">
        <w:rPr>
          <w:lang w:val="en-US"/>
        </w:rPr>
        <w:t xml:space="preserve">. </w:t>
      </w:r>
      <w:r w:rsidR="00AE5F44" w:rsidRPr="00DA0DCD">
        <w:rPr>
          <w:lang w:val="en-US"/>
        </w:rPr>
        <w:t>Therefore,</w:t>
      </w:r>
      <w:r w:rsidR="00AD0638" w:rsidRPr="00DA0DCD">
        <w:rPr>
          <w:lang w:val="en-US"/>
        </w:rPr>
        <w:t xml:space="preserve"> the </w:t>
      </w:r>
      <w:r w:rsidR="00917351" w:rsidRPr="00DA0DCD">
        <w:rPr>
          <w:lang w:val="en-US"/>
        </w:rPr>
        <w:t>research question will be as follows:</w:t>
      </w:r>
    </w:p>
    <w:p w:rsidR="00CE5EF2" w:rsidRPr="00DA0DCD" w:rsidRDefault="00CE5EF2" w:rsidP="00AD0638">
      <w:pPr>
        <w:rPr>
          <w:b/>
          <w:lang w:val="en-US"/>
        </w:rPr>
      </w:pPr>
      <w:r w:rsidRPr="00DA0DCD">
        <w:rPr>
          <w:b/>
          <w:lang w:val="en-US"/>
        </w:rPr>
        <w:t>How did the stock prices of listed banks, insurance companies and other financial institutions</w:t>
      </w:r>
      <w:r w:rsidR="009C3859" w:rsidRPr="00DA0DCD">
        <w:rPr>
          <w:b/>
          <w:lang w:val="en-US"/>
        </w:rPr>
        <w:t xml:space="preserve"> in </w:t>
      </w:r>
      <w:r w:rsidRPr="00DA0DCD">
        <w:rPr>
          <w:b/>
          <w:lang w:val="en-US"/>
        </w:rPr>
        <w:t xml:space="preserve">Europe react </w:t>
      </w:r>
      <w:r w:rsidR="005A1E72" w:rsidRPr="00DA0DCD">
        <w:rPr>
          <w:b/>
          <w:lang w:val="en-US"/>
        </w:rPr>
        <w:t>to</w:t>
      </w:r>
      <w:r w:rsidRPr="00DA0DCD">
        <w:rPr>
          <w:b/>
          <w:lang w:val="en-US"/>
        </w:rPr>
        <w:t xml:space="preserve"> announcements</w:t>
      </w:r>
      <w:r w:rsidR="007A60AF" w:rsidRPr="00DA0DCD">
        <w:rPr>
          <w:b/>
          <w:lang w:val="en-US"/>
        </w:rPr>
        <w:t xml:space="preserve"> </w:t>
      </w:r>
      <w:r w:rsidR="005A1E72" w:rsidRPr="00DA0DCD">
        <w:rPr>
          <w:b/>
          <w:lang w:val="en-US"/>
        </w:rPr>
        <w:t>concerning</w:t>
      </w:r>
      <w:r w:rsidR="007A60AF" w:rsidRPr="00DA0DCD">
        <w:rPr>
          <w:b/>
          <w:lang w:val="en-US"/>
        </w:rPr>
        <w:t xml:space="preserve"> </w:t>
      </w:r>
      <w:r w:rsidR="005A1E72" w:rsidRPr="00DA0DCD">
        <w:rPr>
          <w:b/>
          <w:lang w:val="en-US"/>
        </w:rPr>
        <w:t>the probability of the introduction of</w:t>
      </w:r>
      <w:r w:rsidR="007A60AF" w:rsidRPr="00DA0DCD">
        <w:rPr>
          <w:b/>
          <w:lang w:val="en-US"/>
        </w:rPr>
        <w:t xml:space="preserve"> reclassification</w:t>
      </w:r>
      <w:r w:rsidR="00FF3020" w:rsidRPr="00DA0DCD">
        <w:rPr>
          <w:b/>
          <w:lang w:val="en-US"/>
        </w:rPr>
        <w:t xml:space="preserve"> option</w:t>
      </w:r>
      <w:r w:rsidR="007A60AF" w:rsidRPr="00DA0DCD">
        <w:rPr>
          <w:b/>
          <w:lang w:val="en-US"/>
        </w:rPr>
        <w:t xml:space="preserve"> </w:t>
      </w:r>
      <w:r w:rsidR="005A1E72" w:rsidRPr="00DA0DCD">
        <w:rPr>
          <w:b/>
          <w:lang w:val="en-US"/>
        </w:rPr>
        <w:t>in</w:t>
      </w:r>
      <w:r w:rsidRPr="00DA0DCD">
        <w:rPr>
          <w:b/>
          <w:lang w:val="en-US"/>
        </w:rPr>
        <w:t xml:space="preserve"> IAS</w:t>
      </w:r>
      <w:r w:rsidR="009C3859" w:rsidRPr="00DA0DCD">
        <w:rPr>
          <w:b/>
          <w:lang w:val="en-US"/>
        </w:rPr>
        <w:t xml:space="preserve"> </w:t>
      </w:r>
      <w:r w:rsidRPr="00DA0DCD">
        <w:rPr>
          <w:b/>
          <w:lang w:val="en-US"/>
        </w:rPr>
        <w:t>39?</w:t>
      </w:r>
    </w:p>
    <w:p w:rsidR="00E230F0" w:rsidRPr="00DA0DCD" w:rsidRDefault="00E230F0" w:rsidP="00B03640">
      <w:pPr>
        <w:rPr>
          <w:lang w:val="en-US"/>
        </w:rPr>
      </w:pPr>
      <w:r w:rsidRPr="00DA0DCD">
        <w:rPr>
          <w:lang w:val="en-US"/>
        </w:rPr>
        <w:t xml:space="preserve">This research question will be answered </w:t>
      </w:r>
      <w:r w:rsidR="00DE6099" w:rsidRPr="00DA0DCD">
        <w:rPr>
          <w:lang w:val="en-US"/>
        </w:rPr>
        <w:t>using</w:t>
      </w:r>
      <w:r w:rsidRPr="00DA0DCD">
        <w:rPr>
          <w:lang w:val="en-US"/>
        </w:rPr>
        <w:t xml:space="preserve"> the following sub-questions.</w:t>
      </w:r>
    </w:p>
    <w:p w:rsidR="00C4281D" w:rsidRPr="00DA0DCD" w:rsidRDefault="00C4281D" w:rsidP="00C4281D">
      <w:pPr>
        <w:pStyle w:val="Lijstalinea"/>
        <w:numPr>
          <w:ilvl w:val="0"/>
          <w:numId w:val="8"/>
        </w:numPr>
        <w:rPr>
          <w:lang w:val="en-US" w:eastAsia="nl-NL"/>
        </w:rPr>
      </w:pPr>
      <w:r w:rsidRPr="00DA0DCD">
        <w:rPr>
          <w:lang w:val="en-US" w:eastAsia="nl-NL"/>
        </w:rPr>
        <w:t>What are the requirements of recognition and measurements of</w:t>
      </w:r>
      <w:r w:rsidR="009F0DEF" w:rsidRPr="00DA0DCD">
        <w:rPr>
          <w:lang w:val="en-US" w:eastAsia="nl-NL"/>
        </w:rPr>
        <w:t xml:space="preserve"> financial instruments </w:t>
      </w:r>
      <w:r w:rsidR="00471353" w:rsidRPr="00DA0DCD">
        <w:rPr>
          <w:lang w:val="en-US" w:eastAsia="nl-NL"/>
        </w:rPr>
        <w:t xml:space="preserve">in </w:t>
      </w:r>
      <w:r w:rsidR="00B35A34" w:rsidRPr="00DA0DCD">
        <w:rPr>
          <w:lang w:val="en-US" w:eastAsia="nl-NL"/>
        </w:rPr>
        <w:t>IAS 39,</w:t>
      </w:r>
      <w:r w:rsidRPr="00DA0DCD">
        <w:rPr>
          <w:lang w:val="en-US" w:eastAsia="nl-NL"/>
        </w:rPr>
        <w:t xml:space="preserve"> what does the </w:t>
      </w:r>
      <w:r w:rsidR="00B03640" w:rsidRPr="00DA0DCD">
        <w:rPr>
          <w:lang w:val="en-US" w:eastAsia="nl-NL"/>
        </w:rPr>
        <w:t xml:space="preserve">reclassification option </w:t>
      </w:r>
      <w:r w:rsidR="009F0DEF" w:rsidRPr="00DA0DCD">
        <w:rPr>
          <w:lang w:val="en-US" w:eastAsia="nl-NL"/>
        </w:rPr>
        <w:t>mean</w:t>
      </w:r>
      <w:r w:rsidR="00471353" w:rsidRPr="00DA0DCD">
        <w:rPr>
          <w:lang w:val="en-US" w:eastAsia="nl-NL"/>
        </w:rPr>
        <w:t xml:space="preserve"> and</w:t>
      </w:r>
      <w:r w:rsidR="006D3C40" w:rsidRPr="00DA0DCD">
        <w:rPr>
          <w:lang w:val="en-US" w:eastAsia="nl-NL"/>
        </w:rPr>
        <w:t xml:space="preserve"> </w:t>
      </w:r>
      <w:r w:rsidR="00AB48BA" w:rsidRPr="00DA0DCD">
        <w:rPr>
          <w:lang w:val="en-US" w:eastAsia="nl-NL"/>
        </w:rPr>
        <w:t>are</w:t>
      </w:r>
      <w:r w:rsidR="006D3C40" w:rsidRPr="00DA0DCD">
        <w:rPr>
          <w:lang w:val="en-US" w:eastAsia="nl-NL"/>
        </w:rPr>
        <w:t xml:space="preserve"> there specific regulation </w:t>
      </w:r>
      <w:r w:rsidR="008D4C04" w:rsidRPr="00DA0DCD">
        <w:rPr>
          <w:lang w:val="en-US" w:eastAsia="nl-NL"/>
        </w:rPr>
        <w:t>applicable to</w:t>
      </w:r>
      <w:r w:rsidR="006D3C40" w:rsidRPr="00DA0DCD">
        <w:rPr>
          <w:lang w:val="en-US" w:eastAsia="nl-NL"/>
        </w:rPr>
        <w:t xml:space="preserve"> financial institutions which might have an impact on this research?</w:t>
      </w:r>
    </w:p>
    <w:p w:rsidR="006D3C40" w:rsidRPr="00DA0DCD" w:rsidRDefault="006D3C40" w:rsidP="00C4281D">
      <w:pPr>
        <w:pStyle w:val="Lijstalinea"/>
        <w:numPr>
          <w:ilvl w:val="0"/>
          <w:numId w:val="8"/>
        </w:numPr>
        <w:rPr>
          <w:lang w:val="en-US" w:eastAsia="nl-NL"/>
        </w:rPr>
      </w:pPr>
      <w:r w:rsidRPr="00DA0DCD">
        <w:rPr>
          <w:lang w:val="en-US" w:eastAsia="nl-NL"/>
        </w:rPr>
        <w:t>What will be the research approach?</w:t>
      </w:r>
    </w:p>
    <w:p w:rsidR="00C4281D" w:rsidRPr="00DA0DCD" w:rsidRDefault="00C4281D" w:rsidP="00C4281D">
      <w:pPr>
        <w:pStyle w:val="Lijstalinea"/>
        <w:numPr>
          <w:ilvl w:val="0"/>
          <w:numId w:val="8"/>
        </w:numPr>
        <w:rPr>
          <w:lang w:val="en-US" w:eastAsia="nl-NL"/>
        </w:rPr>
      </w:pPr>
      <w:r w:rsidRPr="00DA0DCD">
        <w:rPr>
          <w:lang w:val="en-US" w:eastAsia="nl-NL"/>
        </w:rPr>
        <w:t xml:space="preserve">What </w:t>
      </w:r>
      <w:r w:rsidR="00DE6099" w:rsidRPr="00DA0DCD">
        <w:rPr>
          <w:lang w:val="en-US" w:eastAsia="nl-NL"/>
        </w:rPr>
        <w:t>are the</w:t>
      </w:r>
      <w:r w:rsidRPr="00DA0DCD">
        <w:rPr>
          <w:lang w:val="en-US" w:eastAsia="nl-NL"/>
        </w:rPr>
        <w:t xml:space="preserve"> </w:t>
      </w:r>
      <w:r w:rsidR="00DE6099" w:rsidRPr="00DA0DCD">
        <w:rPr>
          <w:lang w:val="en-US" w:eastAsia="nl-NL"/>
        </w:rPr>
        <w:t xml:space="preserve">results of </w:t>
      </w:r>
      <w:r w:rsidRPr="00DA0DCD">
        <w:rPr>
          <w:lang w:val="en-US" w:eastAsia="nl-NL"/>
        </w:rPr>
        <w:t>prior research on</w:t>
      </w:r>
      <w:r w:rsidR="00B03640" w:rsidRPr="00DA0DCD">
        <w:rPr>
          <w:lang w:val="en-US" w:eastAsia="nl-NL"/>
        </w:rPr>
        <w:t xml:space="preserve"> </w:t>
      </w:r>
      <w:r w:rsidRPr="00DA0DCD">
        <w:rPr>
          <w:lang w:val="en-US" w:eastAsia="nl-NL"/>
        </w:rPr>
        <w:t>the economic consequences of</w:t>
      </w:r>
      <w:r w:rsidR="00B03640" w:rsidRPr="00DA0DCD">
        <w:rPr>
          <w:lang w:val="en-US" w:eastAsia="nl-NL"/>
        </w:rPr>
        <w:t xml:space="preserve"> the introduction of</w:t>
      </w:r>
      <w:r w:rsidRPr="00DA0DCD">
        <w:rPr>
          <w:lang w:val="en-US" w:eastAsia="nl-NL"/>
        </w:rPr>
        <w:t xml:space="preserve"> FVA, IAS 39 and the relaxation of </w:t>
      </w:r>
      <w:r w:rsidR="00B03640" w:rsidRPr="00DA0DCD">
        <w:rPr>
          <w:lang w:val="en-US" w:eastAsia="nl-NL"/>
        </w:rPr>
        <w:t>FVA</w:t>
      </w:r>
      <w:r w:rsidRPr="00DA0DCD">
        <w:rPr>
          <w:lang w:val="en-US" w:eastAsia="nl-NL"/>
        </w:rPr>
        <w:t>?</w:t>
      </w:r>
    </w:p>
    <w:p w:rsidR="00DE6099" w:rsidRPr="00DA0DCD" w:rsidRDefault="00DE6099" w:rsidP="00DE6099">
      <w:pPr>
        <w:pStyle w:val="Lijstalinea"/>
        <w:numPr>
          <w:ilvl w:val="0"/>
          <w:numId w:val="8"/>
        </w:numPr>
        <w:rPr>
          <w:lang w:val="en-US" w:eastAsia="nl-NL"/>
        </w:rPr>
      </w:pPr>
      <w:r w:rsidRPr="00DA0DCD">
        <w:rPr>
          <w:lang w:val="en-US" w:eastAsia="nl-NL"/>
        </w:rPr>
        <w:t>What are the expectations and hypotheses regarding the capital market reaction on the events?</w:t>
      </w:r>
    </w:p>
    <w:p w:rsidR="008D4C04" w:rsidRPr="00DA0DCD" w:rsidRDefault="008D4C04" w:rsidP="00C4281D">
      <w:pPr>
        <w:pStyle w:val="Lijstalinea"/>
        <w:numPr>
          <w:ilvl w:val="0"/>
          <w:numId w:val="8"/>
        </w:numPr>
        <w:rPr>
          <w:lang w:val="en-US" w:eastAsia="nl-NL"/>
        </w:rPr>
      </w:pPr>
      <w:r w:rsidRPr="00DA0DCD">
        <w:rPr>
          <w:lang w:val="en-US" w:eastAsia="nl-NL"/>
        </w:rPr>
        <w:t>What is the</w:t>
      </w:r>
      <w:r w:rsidR="00DE6099" w:rsidRPr="00DA0DCD">
        <w:rPr>
          <w:lang w:val="en-US" w:eastAsia="nl-NL"/>
        </w:rPr>
        <w:t xml:space="preserve"> suitable</w:t>
      </w:r>
      <w:r w:rsidRPr="00DA0DCD">
        <w:rPr>
          <w:lang w:val="en-US" w:eastAsia="nl-NL"/>
        </w:rPr>
        <w:t xml:space="preserve"> research design</w:t>
      </w:r>
      <w:r w:rsidR="00DE6099" w:rsidRPr="00DA0DCD">
        <w:rPr>
          <w:lang w:val="en-US" w:eastAsia="nl-NL"/>
        </w:rPr>
        <w:t xml:space="preserve"> to give answer to the research question?</w:t>
      </w:r>
    </w:p>
    <w:p w:rsidR="00C4281D" w:rsidRPr="00DA0DCD" w:rsidRDefault="006D3C40" w:rsidP="00C4281D">
      <w:pPr>
        <w:pStyle w:val="Lijstalinea"/>
        <w:numPr>
          <w:ilvl w:val="0"/>
          <w:numId w:val="8"/>
        </w:numPr>
        <w:rPr>
          <w:rStyle w:val="longtext1"/>
          <w:rFonts w:cs="Arial"/>
          <w:shd w:val="clear" w:color="auto" w:fill="FFFFFF"/>
          <w:lang w:val="en-US"/>
        </w:rPr>
      </w:pPr>
      <w:r w:rsidRPr="00DA0DCD">
        <w:rPr>
          <w:lang w:val="en-US" w:eastAsia="nl-NL"/>
        </w:rPr>
        <w:t>What are the results after conducting the research model</w:t>
      </w:r>
      <w:r w:rsidR="0038032A" w:rsidRPr="00DA0DCD">
        <w:rPr>
          <w:lang w:val="en-US" w:eastAsia="nl-NL"/>
        </w:rPr>
        <w:t xml:space="preserve"> and how to interpret them</w:t>
      </w:r>
      <w:r w:rsidRPr="00DA0DCD">
        <w:rPr>
          <w:lang w:val="en-US" w:eastAsia="nl-NL"/>
        </w:rPr>
        <w:t>?</w:t>
      </w:r>
    </w:p>
    <w:p w:rsidR="00AE5F44" w:rsidRPr="00DA0DCD" w:rsidRDefault="00AE5F44" w:rsidP="003B558B">
      <w:pPr>
        <w:rPr>
          <w:lang w:val="en-US"/>
        </w:rPr>
      </w:pPr>
      <w:r w:rsidRPr="00DA0DCD">
        <w:rPr>
          <w:lang w:val="en-US"/>
        </w:rPr>
        <w:t xml:space="preserve">The focus </w:t>
      </w:r>
      <w:r w:rsidR="0029121F" w:rsidRPr="00DA0DCD">
        <w:rPr>
          <w:lang w:val="en-US"/>
        </w:rPr>
        <w:t xml:space="preserve">of this research </w:t>
      </w:r>
      <w:r w:rsidRPr="00DA0DCD">
        <w:rPr>
          <w:lang w:val="en-US"/>
        </w:rPr>
        <w:t xml:space="preserve">lies on financial institutions because they have to deal a lot more with IAS 39 than other sectors. This means that effect of the </w:t>
      </w:r>
      <w:r w:rsidR="00C07423" w:rsidRPr="00DA0DCD">
        <w:rPr>
          <w:lang w:val="en-US"/>
        </w:rPr>
        <w:t>reclassification option under</w:t>
      </w:r>
      <w:r w:rsidRPr="00DA0DCD">
        <w:rPr>
          <w:lang w:val="en-US"/>
        </w:rPr>
        <w:t xml:space="preserve"> IAS 39 on the </w:t>
      </w:r>
      <w:r w:rsidR="002D412B" w:rsidRPr="00DA0DCD">
        <w:rPr>
          <w:lang w:val="en-US"/>
        </w:rPr>
        <w:t>stock prices</w:t>
      </w:r>
      <w:r w:rsidRPr="00DA0DCD">
        <w:rPr>
          <w:lang w:val="en-US"/>
        </w:rPr>
        <w:t xml:space="preserve"> </w:t>
      </w:r>
      <w:r w:rsidR="002D412B" w:rsidRPr="00DA0DCD">
        <w:rPr>
          <w:lang w:val="en-US"/>
        </w:rPr>
        <w:t>will be more interesting for</w:t>
      </w:r>
      <w:r w:rsidRPr="00DA0DCD">
        <w:rPr>
          <w:lang w:val="en-US"/>
        </w:rPr>
        <w:t xml:space="preserve"> financial institutions</w:t>
      </w:r>
      <w:r w:rsidR="002D412B" w:rsidRPr="00DA0DCD">
        <w:rPr>
          <w:lang w:val="en-US"/>
        </w:rPr>
        <w:t>, because of the relative importance of financial instruments</w:t>
      </w:r>
      <w:r w:rsidRPr="00DA0DCD">
        <w:rPr>
          <w:lang w:val="en-US"/>
        </w:rPr>
        <w:t xml:space="preserve">. By for instance banks and insurance </w:t>
      </w:r>
      <w:r w:rsidR="002D412B" w:rsidRPr="00DA0DCD">
        <w:rPr>
          <w:lang w:val="en-US"/>
        </w:rPr>
        <w:t>companies,</w:t>
      </w:r>
      <w:r w:rsidRPr="00DA0DCD">
        <w:rPr>
          <w:lang w:val="en-US"/>
        </w:rPr>
        <w:t xml:space="preserve"> the total amount of financial instruments is very high, sometimes up to 90% of the balance total. For other financial institutions like Real Estate Services this percentage </w:t>
      </w:r>
      <w:r w:rsidR="00246514">
        <w:rPr>
          <w:lang w:val="en-US"/>
        </w:rPr>
        <w:t xml:space="preserve">is </w:t>
      </w:r>
      <w:r w:rsidRPr="00DA0DCD">
        <w:rPr>
          <w:lang w:val="en-US"/>
        </w:rPr>
        <w:t>a bit lower, around 25%.</w:t>
      </w:r>
      <w:r w:rsidRPr="00DA0DCD">
        <w:rPr>
          <w:rStyle w:val="Voetnootmarkering"/>
          <w:rFonts w:ascii="Times New Roman" w:hAnsi="Times New Roman" w:cs="Times New Roman"/>
          <w:sz w:val="24"/>
          <w:szCs w:val="24"/>
          <w:lang w:val="en-US"/>
        </w:rPr>
        <w:footnoteReference w:id="8"/>
      </w:r>
      <w:r w:rsidRPr="00DA0DCD">
        <w:rPr>
          <w:lang w:val="en-US"/>
        </w:rPr>
        <w:t xml:space="preserve"> The sample of this research consists of financial institutions of 15 member states of the European Union, which are member until 1995. Because this are the </w:t>
      </w:r>
      <w:r w:rsidR="0029121F" w:rsidRPr="00DA0DCD">
        <w:rPr>
          <w:lang w:val="en-US"/>
        </w:rPr>
        <w:t>largest</w:t>
      </w:r>
      <w:r w:rsidRPr="00DA0DCD">
        <w:rPr>
          <w:lang w:val="en-US"/>
        </w:rPr>
        <w:t xml:space="preserve"> economies of the European </w:t>
      </w:r>
      <w:r w:rsidR="0029121F" w:rsidRPr="00DA0DCD">
        <w:rPr>
          <w:lang w:val="en-US"/>
        </w:rPr>
        <w:t>Union</w:t>
      </w:r>
      <w:r w:rsidRPr="00DA0DCD">
        <w:rPr>
          <w:lang w:val="en-US"/>
        </w:rPr>
        <w:t>. The sample sel</w:t>
      </w:r>
      <w:r w:rsidR="002C2D7B" w:rsidRPr="00DA0DCD">
        <w:rPr>
          <w:lang w:val="en-US"/>
        </w:rPr>
        <w:t>ection is described in chapter nine.</w:t>
      </w:r>
    </w:p>
    <w:p w:rsidR="00D26049" w:rsidRPr="00DA0DCD" w:rsidRDefault="00D26049" w:rsidP="00D26049">
      <w:pPr>
        <w:pStyle w:val="Kop2"/>
        <w:numPr>
          <w:ilvl w:val="1"/>
          <w:numId w:val="14"/>
        </w:numPr>
        <w:rPr>
          <w:lang w:val="en-US"/>
        </w:rPr>
      </w:pPr>
      <w:r w:rsidRPr="00DA0DCD">
        <w:rPr>
          <w:lang w:val="en-US"/>
        </w:rPr>
        <w:t xml:space="preserve"> </w:t>
      </w:r>
      <w:bookmarkStart w:id="4" w:name="_Toc270770549"/>
      <w:r w:rsidRPr="00DA0DCD">
        <w:rPr>
          <w:lang w:val="en-US"/>
        </w:rPr>
        <w:t>Expectations</w:t>
      </w:r>
      <w:bookmarkEnd w:id="4"/>
    </w:p>
    <w:p w:rsidR="009F0DEF" w:rsidRPr="00DA0DCD" w:rsidRDefault="00E230F0" w:rsidP="003B558B">
      <w:pPr>
        <w:rPr>
          <w:lang w:val="en-US"/>
        </w:rPr>
      </w:pPr>
      <w:r w:rsidRPr="00DA0DCD">
        <w:rPr>
          <w:lang w:val="en-US"/>
        </w:rPr>
        <w:t>Because the main goal of the</w:t>
      </w:r>
      <w:r w:rsidR="00483B66" w:rsidRPr="00DA0DCD">
        <w:rPr>
          <w:lang w:val="en-US"/>
        </w:rPr>
        <w:t xml:space="preserve"> </w:t>
      </w:r>
      <w:r w:rsidR="00C07423" w:rsidRPr="00DA0DCD">
        <w:rPr>
          <w:lang w:val="en-US"/>
        </w:rPr>
        <w:t>reclassification option</w:t>
      </w:r>
      <w:r w:rsidR="00483B66" w:rsidRPr="00DA0DCD">
        <w:rPr>
          <w:lang w:val="en-US"/>
        </w:rPr>
        <w:t xml:space="preserve"> under</w:t>
      </w:r>
      <w:r w:rsidRPr="00DA0DCD">
        <w:rPr>
          <w:lang w:val="en-US"/>
        </w:rPr>
        <w:t xml:space="preserve"> IAS 39</w:t>
      </w:r>
      <w:r w:rsidR="007906A2" w:rsidRPr="00DA0DCD">
        <w:rPr>
          <w:lang w:val="en-US"/>
        </w:rPr>
        <w:t xml:space="preserve"> was to reduce the differences in accounting standards between IFRS and US GAAP, and the positive capital market reaction in the US, </w:t>
      </w:r>
      <w:r w:rsidR="007906A2" w:rsidRPr="00DA0DCD">
        <w:rPr>
          <w:lang w:val="en-US"/>
        </w:rPr>
        <w:lastRenderedPageBreak/>
        <w:t>to the relaxation of FVA</w:t>
      </w:r>
      <w:r w:rsidRPr="00DA0DCD">
        <w:rPr>
          <w:lang w:val="en-US"/>
        </w:rPr>
        <w:t>,</w:t>
      </w:r>
      <w:r w:rsidR="002C6417" w:rsidRPr="00DA0DCD">
        <w:rPr>
          <w:lang w:val="en-US"/>
        </w:rPr>
        <w:t xml:space="preserve"> I expect that</w:t>
      </w:r>
      <w:r w:rsidRPr="00DA0DCD">
        <w:rPr>
          <w:lang w:val="en-US"/>
        </w:rPr>
        <w:t xml:space="preserve"> there has to be</w:t>
      </w:r>
      <w:r w:rsidR="007906A2" w:rsidRPr="00DA0DCD">
        <w:rPr>
          <w:lang w:val="en-US"/>
        </w:rPr>
        <w:t xml:space="preserve"> also</w:t>
      </w:r>
      <w:r w:rsidRPr="00DA0DCD">
        <w:rPr>
          <w:lang w:val="en-US"/>
        </w:rPr>
        <w:t xml:space="preserve"> a positive return on the stock market</w:t>
      </w:r>
      <w:r w:rsidR="00AE5F44" w:rsidRPr="00DA0DCD">
        <w:rPr>
          <w:lang w:val="en-US"/>
        </w:rPr>
        <w:t xml:space="preserve"> </w:t>
      </w:r>
      <w:r w:rsidRPr="00DA0DCD">
        <w:rPr>
          <w:lang w:val="en-US"/>
        </w:rPr>
        <w:t>around the events that lead to the</w:t>
      </w:r>
      <w:r w:rsidR="002C6417" w:rsidRPr="00DA0DCD">
        <w:rPr>
          <w:lang w:val="en-US"/>
        </w:rPr>
        <w:t xml:space="preserve"> </w:t>
      </w:r>
      <w:r w:rsidR="00C07423" w:rsidRPr="00DA0DCD">
        <w:rPr>
          <w:lang w:val="en-US"/>
        </w:rPr>
        <w:t>p</w:t>
      </w:r>
      <w:r w:rsidR="00246514">
        <w:rPr>
          <w:lang w:val="en-US"/>
        </w:rPr>
        <w:t>ossibility of reclassification in</w:t>
      </w:r>
      <w:r w:rsidR="002C6417" w:rsidRPr="00DA0DCD">
        <w:rPr>
          <w:lang w:val="en-US"/>
        </w:rPr>
        <w:t xml:space="preserve"> IAS 39</w:t>
      </w:r>
      <w:r w:rsidRPr="00DA0DCD">
        <w:rPr>
          <w:lang w:val="en-US"/>
        </w:rPr>
        <w:t xml:space="preserve">. </w:t>
      </w:r>
      <w:r w:rsidR="00246514">
        <w:rPr>
          <w:lang w:val="en-US"/>
        </w:rPr>
        <w:t>When</w:t>
      </w:r>
      <w:r w:rsidR="002C6417" w:rsidRPr="00DA0DCD">
        <w:rPr>
          <w:lang w:val="en-US"/>
        </w:rPr>
        <w:t xml:space="preserve"> the capital market reacts negatively, you might conclude that the whole process that leads to the </w:t>
      </w:r>
      <w:r w:rsidR="00C07423" w:rsidRPr="00DA0DCD">
        <w:rPr>
          <w:lang w:val="en-US"/>
        </w:rPr>
        <w:t>reclassification</w:t>
      </w:r>
      <w:r w:rsidR="002C6417" w:rsidRPr="00DA0DCD">
        <w:rPr>
          <w:lang w:val="en-US"/>
        </w:rPr>
        <w:t xml:space="preserve"> was not necessary</w:t>
      </w:r>
      <w:r w:rsidR="009E416F" w:rsidRPr="00DA0DCD">
        <w:rPr>
          <w:lang w:val="en-US"/>
        </w:rPr>
        <w:t xml:space="preserve"> and the contrary applies for a positive market r</w:t>
      </w:r>
      <w:r w:rsidR="00A932FB" w:rsidRPr="00DA0DCD">
        <w:rPr>
          <w:lang w:val="en-US"/>
        </w:rPr>
        <w:t>eaction</w:t>
      </w:r>
      <w:r w:rsidR="009E416F" w:rsidRPr="00DA0DCD">
        <w:rPr>
          <w:lang w:val="en-US"/>
        </w:rPr>
        <w:t>.</w:t>
      </w:r>
      <w:r w:rsidR="002C6417" w:rsidRPr="00DA0DCD">
        <w:rPr>
          <w:lang w:val="en-US"/>
        </w:rPr>
        <w:t xml:space="preserve"> </w:t>
      </w:r>
      <w:r w:rsidR="000667F1" w:rsidRPr="00DA0DCD">
        <w:rPr>
          <w:lang w:val="en-US"/>
        </w:rPr>
        <w:t>On the one hand, b</w:t>
      </w:r>
      <w:r w:rsidR="001961C7" w:rsidRPr="00DA0DCD">
        <w:rPr>
          <w:lang w:val="en-US"/>
        </w:rPr>
        <w:t>ased on</w:t>
      </w:r>
      <w:r w:rsidR="00C8217B" w:rsidRPr="00DA0DCD">
        <w:rPr>
          <w:lang w:val="en-US"/>
        </w:rPr>
        <w:t xml:space="preserve"> the</w:t>
      </w:r>
      <w:r w:rsidR="0029121F" w:rsidRPr="00DA0DCD">
        <w:rPr>
          <w:lang w:val="en-US"/>
        </w:rPr>
        <w:t xml:space="preserve"> semi-strong f</w:t>
      </w:r>
      <w:r w:rsidR="00C8217B" w:rsidRPr="00DA0DCD">
        <w:rPr>
          <w:lang w:val="en-US"/>
        </w:rPr>
        <w:t>o</w:t>
      </w:r>
      <w:r w:rsidR="0029121F" w:rsidRPr="00DA0DCD">
        <w:rPr>
          <w:lang w:val="en-US"/>
        </w:rPr>
        <w:t>r</w:t>
      </w:r>
      <w:r w:rsidR="00C8217B" w:rsidRPr="00DA0DCD">
        <w:rPr>
          <w:lang w:val="en-US"/>
        </w:rPr>
        <w:t xml:space="preserve">m of the </w:t>
      </w:r>
      <w:r w:rsidR="009E416F" w:rsidRPr="00DA0DCD">
        <w:rPr>
          <w:lang w:val="en-US"/>
        </w:rPr>
        <w:t>efficien</w:t>
      </w:r>
      <w:r w:rsidR="00C8217B" w:rsidRPr="00DA0DCD">
        <w:rPr>
          <w:lang w:val="en-US"/>
        </w:rPr>
        <w:t>t market</w:t>
      </w:r>
      <w:r w:rsidR="009E416F" w:rsidRPr="00DA0DCD">
        <w:rPr>
          <w:lang w:val="en-US"/>
        </w:rPr>
        <w:t xml:space="preserve"> hypothesis of Fama</w:t>
      </w:r>
      <w:r w:rsidR="00A932FB" w:rsidRPr="00DA0DCD">
        <w:rPr>
          <w:lang w:val="en-US"/>
        </w:rPr>
        <w:t xml:space="preserve"> (1970)</w:t>
      </w:r>
      <w:r w:rsidR="00C8217B" w:rsidRPr="00DA0DCD">
        <w:rPr>
          <w:lang w:val="en-US"/>
        </w:rPr>
        <w:t xml:space="preserve">, </w:t>
      </w:r>
      <w:r w:rsidR="0029121F" w:rsidRPr="00DA0DCD">
        <w:rPr>
          <w:lang w:val="en-US"/>
        </w:rPr>
        <w:t>it is reasonable to</w:t>
      </w:r>
      <w:r w:rsidR="00C8217B" w:rsidRPr="00DA0DCD">
        <w:rPr>
          <w:lang w:val="en-US"/>
        </w:rPr>
        <w:t xml:space="preserve"> expect that a reclassification of figures does not lead to new</w:t>
      </w:r>
      <w:r w:rsidR="00F76E19" w:rsidRPr="00DA0DCD">
        <w:rPr>
          <w:lang w:val="en-US"/>
        </w:rPr>
        <w:t xml:space="preserve"> public available information and therefore no market reaction</w:t>
      </w:r>
      <w:r w:rsidR="009E416F" w:rsidRPr="00DA0DCD">
        <w:rPr>
          <w:lang w:val="en-US"/>
        </w:rPr>
        <w:t xml:space="preserve">. </w:t>
      </w:r>
      <w:r w:rsidR="00246514" w:rsidRPr="00DA0DCD">
        <w:rPr>
          <w:lang w:val="en-US"/>
        </w:rPr>
        <w:t>However,</w:t>
      </w:r>
      <w:r w:rsidR="00C8217B" w:rsidRPr="00DA0DCD">
        <w:rPr>
          <w:lang w:val="en-US"/>
        </w:rPr>
        <w:t xml:space="preserve"> a</w:t>
      </w:r>
      <w:r w:rsidR="009E416F" w:rsidRPr="00DA0DCD">
        <w:rPr>
          <w:lang w:val="en-US"/>
        </w:rPr>
        <w:t xml:space="preserve"> positive (negative) </w:t>
      </w:r>
      <w:r w:rsidR="00A932FB" w:rsidRPr="00DA0DCD">
        <w:rPr>
          <w:lang w:val="en-US"/>
        </w:rPr>
        <w:t xml:space="preserve">reaction </w:t>
      </w:r>
      <w:r w:rsidR="009E416F" w:rsidRPr="00DA0DCD">
        <w:rPr>
          <w:lang w:val="en-US"/>
        </w:rPr>
        <w:t>could indicate whether the capital market is satisfied</w:t>
      </w:r>
      <w:r w:rsidR="00A932FB" w:rsidRPr="00DA0DCD">
        <w:rPr>
          <w:lang w:val="en-US"/>
        </w:rPr>
        <w:t xml:space="preserve"> (dissatisfied)</w:t>
      </w:r>
      <w:r w:rsidR="009E416F" w:rsidRPr="00DA0DCD">
        <w:rPr>
          <w:lang w:val="en-US"/>
        </w:rPr>
        <w:t xml:space="preserve"> with the </w:t>
      </w:r>
      <w:r w:rsidR="00C07423" w:rsidRPr="00DA0DCD">
        <w:rPr>
          <w:lang w:val="en-US"/>
        </w:rPr>
        <w:t>reclassification option</w:t>
      </w:r>
      <w:r w:rsidR="00A932FB" w:rsidRPr="00DA0DCD">
        <w:rPr>
          <w:lang w:val="en-US"/>
        </w:rPr>
        <w:t xml:space="preserve"> and lead to new information</w:t>
      </w:r>
      <w:r w:rsidR="009E416F" w:rsidRPr="00DA0DCD">
        <w:rPr>
          <w:lang w:val="en-US"/>
        </w:rPr>
        <w:t>.</w:t>
      </w:r>
      <w:r w:rsidR="00F76E19" w:rsidRPr="00DA0DCD">
        <w:rPr>
          <w:lang w:val="en-US"/>
        </w:rPr>
        <w:t xml:space="preserve"> A positive (negative) market reaction could also indicate that the capital market</w:t>
      </w:r>
      <w:r w:rsidR="0029121F" w:rsidRPr="00DA0DCD">
        <w:rPr>
          <w:lang w:val="en-US"/>
        </w:rPr>
        <w:t xml:space="preserve"> is discontent (content) about </w:t>
      </w:r>
      <w:r w:rsidR="002E23DF" w:rsidRPr="00DA0DCD">
        <w:rPr>
          <w:lang w:val="en-US"/>
        </w:rPr>
        <w:t>FVA</w:t>
      </w:r>
      <w:r w:rsidR="0029121F" w:rsidRPr="00DA0DCD">
        <w:rPr>
          <w:lang w:val="en-US"/>
        </w:rPr>
        <w:t xml:space="preserve"> of financial instrument</w:t>
      </w:r>
      <w:r w:rsidR="002E23DF" w:rsidRPr="00DA0DCD">
        <w:rPr>
          <w:lang w:val="en-US"/>
        </w:rPr>
        <w:t>.</w:t>
      </w:r>
      <w:r w:rsidR="00F76E19" w:rsidRPr="00DA0DCD">
        <w:rPr>
          <w:lang w:val="en-US"/>
        </w:rPr>
        <w:t xml:space="preserve"> </w:t>
      </w:r>
      <w:r w:rsidR="000667F1" w:rsidRPr="00DA0DCD">
        <w:rPr>
          <w:lang w:val="en-US"/>
        </w:rPr>
        <w:t xml:space="preserve">On the other hand, based on prior research, which shows a market reaction on a probable introduction and relaxation of FVA, I </w:t>
      </w:r>
      <w:r w:rsidR="00246514" w:rsidRPr="00DA0DCD">
        <w:rPr>
          <w:lang w:val="en-US"/>
        </w:rPr>
        <w:t xml:space="preserve">also </w:t>
      </w:r>
      <w:r w:rsidR="000667F1" w:rsidRPr="00DA0DCD">
        <w:rPr>
          <w:lang w:val="en-US"/>
        </w:rPr>
        <w:t xml:space="preserve">expect a market reaction during the events. </w:t>
      </w:r>
      <w:r w:rsidR="00602B08" w:rsidRPr="00DA0DCD">
        <w:rPr>
          <w:lang w:val="en-US"/>
        </w:rPr>
        <w:t xml:space="preserve">In a similar study of Bowen et al. (2010) is shown </w:t>
      </w:r>
      <w:r w:rsidR="00246514">
        <w:rPr>
          <w:lang w:val="en-US"/>
        </w:rPr>
        <w:t xml:space="preserve">that, </w:t>
      </w:r>
      <w:r w:rsidR="00602B08" w:rsidRPr="00DA0DCD">
        <w:rPr>
          <w:lang w:val="en-US"/>
        </w:rPr>
        <w:t xml:space="preserve">the capital market in the US react positive on the announcements of a probable relaxation of FVA. </w:t>
      </w:r>
      <w:r w:rsidR="002C6417" w:rsidRPr="00DA0DCD">
        <w:rPr>
          <w:lang w:val="en-US"/>
        </w:rPr>
        <w:t>I expect that the market reaction</w:t>
      </w:r>
      <w:r w:rsidR="00A932FB" w:rsidRPr="00DA0DCD">
        <w:rPr>
          <w:lang w:val="en-US"/>
        </w:rPr>
        <w:t xml:space="preserve"> in Europe</w:t>
      </w:r>
      <w:r w:rsidR="002C6417" w:rsidRPr="00DA0DCD">
        <w:rPr>
          <w:lang w:val="en-US"/>
        </w:rPr>
        <w:t xml:space="preserve"> </w:t>
      </w:r>
      <w:r w:rsidR="001B2290" w:rsidRPr="00DA0DCD">
        <w:rPr>
          <w:lang w:val="en-US"/>
        </w:rPr>
        <w:t>will differ from</w:t>
      </w:r>
      <w:r w:rsidR="00602B08" w:rsidRPr="00DA0DCD">
        <w:rPr>
          <w:lang w:val="en-US"/>
        </w:rPr>
        <w:t xml:space="preserve"> the reaction in the US, because </w:t>
      </w:r>
      <w:r w:rsidR="00507375" w:rsidRPr="00DA0DCD">
        <w:rPr>
          <w:lang w:val="en-US"/>
        </w:rPr>
        <w:t>of the</w:t>
      </w:r>
      <w:r w:rsidR="00602B08" w:rsidRPr="00DA0DCD">
        <w:rPr>
          <w:lang w:val="en-US"/>
        </w:rPr>
        <w:t xml:space="preserve"> different situation and the</w:t>
      </w:r>
      <w:r w:rsidR="00507375" w:rsidRPr="00DA0DCD">
        <w:rPr>
          <w:lang w:val="en-US"/>
        </w:rPr>
        <w:t xml:space="preserve"> differences</w:t>
      </w:r>
      <w:r w:rsidR="00602B08" w:rsidRPr="00DA0DCD">
        <w:rPr>
          <w:lang w:val="en-US"/>
        </w:rPr>
        <w:t xml:space="preserve"> between Europe and the US</w:t>
      </w:r>
      <w:r w:rsidR="002C6417" w:rsidRPr="00DA0DCD">
        <w:rPr>
          <w:lang w:val="en-US"/>
        </w:rPr>
        <w:t>.</w:t>
      </w:r>
      <w:r w:rsidR="009F0DEF" w:rsidRPr="00DA0DCD">
        <w:rPr>
          <w:lang w:val="en-US"/>
        </w:rPr>
        <w:t xml:space="preserve"> In chapter </w:t>
      </w:r>
      <w:r w:rsidR="005E6299" w:rsidRPr="00DA0DCD">
        <w:rPr>
          <w:lang w:val="en-US"/>
        </w:rPr>
        <w:t>four</w:t>
      </w:r>
      <w:r w:rsidR="008320E5" w:rsidRPr="00DA0DCD">
        <w:rPr>
          <w:lang w:val="en-US"/>
        </w:rPr>
        <w:t>,</w:t>
      </w:r>
      <w:r w:rsidR="009F0DEF" w:rsidRPr="00DA0DCD">
        <w:rPr>
          <w:lang w:val="en-US"/>
        </w:rPr>
        <w:t xml:space="preserve"> the reason for this expectation is explained.</w:t>
      </w:r>
    </w:p>
    <w:p w:rsidR="00D26049" w:rsidRPr="00DA0DCD" w:rsidRDefault="00D26049" w:rsidP="00D26049">
      <w:pPr>
        <w:pStyle w:val="Kop2"/>
        <w:numPr>
          <w:ilvl w:val="1"/>
          <w:numId w:val="14"/>
        </w:numPr>
        <w:rPr>
          <w:lang w:val="en-US"/>
        </w:rPr>
      </w:pPr>
      <w:r w:rsidRPr="00DA0DCD">
        <w:rPr>
          <w:lang w:val="en-US"/>
        </w:rPr>
        <w:t xml:space="preserve"> </w:t>
      </w:r>
      <w:bookmarkStart w:id="5" w:name="_Toc270770550"/>
      <w:r w:rsidRPr="00DA0DCD">
        <w:rPr>
          <w:lang w:val="en-US"/>
        </w:rPr>
        <w:t>Relevance</w:t>
      </w:r>
      <w:bookmarkEnd w:id="5"/>
    </w:p>
    <w:p w:rsidR="00EC6D66" w:rsidRPr="00DA0DCD" w:rsidRDefault="00507375" w:rsidP="003B558B">
      <w:pPr>
        <w:rPr>
          <w:rStyle w:val="longtext1"/>
          <w:rFonts w:cs="Arial"/>
          <w:b/>
          <w:shd w:val="clear" w:color="auto" w:fill="FFFFFF"/>
          <w:lang w:val="en-US"/>
        </w:rPr>
      </w:pPr>
      <w:r w:rsidRPr="00DA0DCD">
        <w:rPr>
          <w:lang w:val="en-US"/>
        </w:rPr>
        <w:t>T</w:t>
      </w:r>
      <w:r w:rsidR="00E230F0" w:rsidRPr="00DA0DCD">
        <w:rPr>
          <w:lang w:val="en-US"/>
        </w:rPr>
        <w:t xml:space="preserve">his research might be interesting for </w:t>
      </w:r>
      <w:r w:rsidR="001961C7" w:rsidRPr="00DA0DCD">
        <w:rPr>
          <w:lang w:val="en-US"/>
        </w:rPr>
        <w:t>the standard-setter</w:t>
      </w:r>
      <w:r w:rsidR="00E230F0" w:rsidRPr="00DA0DCD">
        <w:rPr>
          <w:lang w:val="en-US"/>
        </w:rPr>
        <w:t xml:space="preserve"> IASB</w:t>
      </w:r>
      <w:r w:rsidR="00246514">
        <w:rPr>
          <w:lang w:val="en-US"/>
        </w:rPr>
        <w:t>, b</w:t>
      </w:r>
      <w:r w:rsidR="001961C7" w:rsidRPr="00DA0DCD">
        <w:rPr>
          <w:lang w:val="en-US"/>
        </w:rPr>
        <w:t xml:space="preserve">ecause the capital market reaction during the event is probably a reaction on </w:t>
      </w:r>
      <w:r w:rsidR="00246514">
        <w:rPr>
          <w:lang w:val="en-US"/>
        </w:rPr>
        <w:t>the</w:t>
      </w:r>
      <w:r w:rsidR="001961C7" w:rsidRPr="00DA0DCD">
        <w:rPr>
          <w:lang w:val="en-US"/>
        </w:rPr>
        <w:t xml:space="preserve"> amendment of the accounting standard</w:t>
      </w:r>
      <w:r w:rsidR="00C02F65" w:rsidRPr="00DA0DCD">
        <w:rPr>
          <w:lang w:val="en-US"/>
        </w:rPr>
        <w:t>s</w:t>
      </w:r>
      <w:r w:rsidR="001961C7" w:rsidRPr="00DA0DCD">
        <w:rPr>
          <w:lang w:val="en-US"/>
        </w:rPr>
        <w:t xml:space="preserve"> o</w:t>
      </w:r>
      <w:r w:rsidR="00EC6D66" w:rsidRPr="00DA0DCD">
        <w:rPr>
          <w:lang w:val="en-US"/>
        </w:rPr>
        <w:t>n</w:t>
      </w:r>
      <w:r w:rsidR="001961C7" w:rsidRPr="00DA0DCD">
        <w:rPr>
          <w:lang w:val="en-US"/>
        </w:rPr>
        <w:t xml:space="preserve"> financial instruments.</w:t>
      </w:r>
      <w:r w:rsidR="002E23DF" w:rsidRPr="00DA0DCD">
        <w:rPr>
          <w:lang w:val="en-US"/>
        </w:rPr>
        <w:t xml:space="preserve"> The results of this research could be </w:t>
      </w:r>
      <w:r w:rsidR="00146EC5" w:rsidRPr="00DA0DCD">
        <w:rPr>
          <w:lang w:val="en-US"/>
        </w:rPr>
        <w:t>useful</w:t>
      </w:r>
      <w:r w:rsidR="002E23DF" w:rsidRPr="00DA0DCD">
        <w:rPr>
          <w:lang w:val="en-US"/>
        </w:rPr>
        <w:t xml:space="preserve"> for the amendments of current standards or development of new standards based on FVA.</w:t>
      </w:r>
      <w:r w:rsidR="00C02F65" w:rsidRPr="00DA0DCD">
        <w:rPr>
          <w:lang w:val="en-US"/>
        </w:rPr>
        <w:t xml:space="preserve"> Based on this research the European committee could infer whether</w:t>
      </w:r>
      <w:r w:rsidR="003052CE" w:rsidRPr="00DA0DCD">
        <w:rPr>
          <w:lang w:val="en-US"/>
        </w:rPr>
        <w:t xml:space="preserve"> they allow the European Union countries to apply </w:t>
      </w:r>
      <w:r w:rsidR="0009280D" w:rsidRPr="00DA0DCD">
        <w:rPr>
          <w:lang w:val="en-US"/>
        </w:rPr>
        <w:t xml:space="preserve">impairment rules under </w:t>
      </w:r>
      <w:r w:rsidR="003052CE" w:rsidRPr="00DA0DCD">
        <w:rPr>
          <w:lang w:val="en-US"/>
        </w:rPr>
        <w:t xml:space="preserve">IFRS 9. </w:t>
      </w:r>
      <w:r w:rsidR="00146EC5" w:rsidRPr="00DA0DCD">
        <w:rPr>
          <w:lang w:val="en-US"/>
        </w:rPr>
        <w:t>Also for</w:t>
      </w:r>
      <w:r w:rsidR="00E230F0" w:rsidRPr="00DA0DCD">
        <w:rPr>
          <w:lang w:val="en-US"/>
        </w:rPr>
        <w:t xml:space="preserve"> bankers</w:t>
      </w:r>
      <w:r w:rsidR="001961C7" w:rsidRPr="00DA0DCD">
        <w:rPr>
          <w:lang w:val="en-US"/>
        </w:rPr>
        <w:t xml:space="preserve"> </w:t>
      </w:r>
      <w:r w:rsidR="00E230F0" w:rsidRPr="00DA0DCD">
        <w:rPr>
          <w:lang w:val="en-US"/>
        </w:rPr>
        <w:t xml:space="preserve">and politicians, who were </w:t>
      </w:r>
      <w:r w:rsidR="008D4C04" w:rsidRPr="00DA0DCD">
        <w:rPr>
          <w:lang w:val="en-US"/>
        </w:rPr>
        <w:t>important</w:t>
      </w:r>
      <w:r w:rsidR="00E230F0" w:rsidRPr="00DA0DCD">
        <w:rPr>
          <w:lang w:val="en-US"/>
        </w:rPr>
        <w:t xml:space="preserve"> lobbyists</w:t>
      </w:r>
      <w:r w:rsidR="00D26049" w:rsidRPr="00DA0DCD">
        <w:rPr>
          <w:lang w:val="en-US"/>
        </w:rPr>
        <w:t xml:space="preserve">, </w:t>
      </w:r>
      <w:r w:rsidR="009B35E9">
        <w:rPr>
          <w:lang w:val="en-US"/>
        </w:rPr>
        <w:t>the results of this thesis can be</w:t>
      </w:r>
      <w:r w:rsidR="00D26049" w:rsidRPr="00DA0DCD">
        <w:rPr>
          <w:lang w:val="en-US"/>
        </w:rPr>
        <w:t xml:space="preserve"> useful. </w:t>
      </w:r>
      <w:r w:rsidR="009B35E9">
        <w:rPr>
          <w:lang w:val="en-US"/>
        </w:rPr>
        <w:t>T</w:t>
      </w:r>
      <w:r w:rsidR="00611080" w:rsidRPr="00DA0DCD">
        <w:rPr>
          <w:lang w:val="en-US"/>
        </w:rPr>
        <w:t>he market reaction could indicate whether the whole process leading to the amendments of IAS 39 had been effective and whether the capital market supports the criticism on FVA. I think this research contributes to the FVA discussion</w:t>
      </w:r>
      <w:r w:rsidR="00EC6D66" w:rsidRPr="00DA0DCD">
        <w:rPr>
          <w:lang w:val="en-US"/>
        </w:rPr>
        <w:t xml:space="preserve">, in the context of the </w:t>
      </w:r>
      <w:r w:rsidR="00611080" w:rsidRPr="00DA0DCD">
        <w:rPr>
          <w:lang w:val="en-US"/>
        </w:rPr>
        <w:t>usefulness and economic consequences</w:t>
      </w:r>
      <w:r w:rsidR="00EC6D66" w:rsidRPr="00DA0DCD">
        <w:rPr>
          <w:lang w:val="en-US"/>
        </w:rPr>
        <w:t xml:space="preserve"> of FVA</w:t>
      </w:r>
      <w:r w:rsidR="00611080" w:rsidRPr="00DA0DCD">
        <w:rPr>
          <w:lang w:val="en-US"/>
        </w:rPr>
        <w:t xml:space="preserve">. </w:t>
      </w:r>
      <w:r w:rsidR="008320E5" w:rsidRPr="00DA0DCD">
        <w:rPr>
          <w:lang w:val="en-US"/>
        </w:rPr>
        <w:t>Mostly all researches on this field</w:t>
      </w:r>
      <w:r w:rsidR="00361298" w:rsidRPr="00DA0DCD">
        <w:rPr>
          <w:lang w:val="en-US"/>
        </w:rPr>
        <w:t>,</w:t>
      </w:r>
      <w:r w:rsidR="00947A7D" w:rsidRPr="00DA0DCD">
        <w:rPr>
          <w:lang w:val="en-US"/>
        </w:rPr>
        <w:t xml:space="preserve"> described in chapter</w:t>
      </w:r>
      <w:r w:rsidR="008320E5" w:rsidRPr="00DA0DCD">
        <w:rPr>
          <w:lang w:val="en-US"/>
        </w:rPr>
        <w:t xml:space="preserve"> 4</w:t>
      </w:r>
      <w:r w:rsidR="00361298" w:rsidRPr="00DA0DCD">
        <w:rPr>
          <w:lang w:val="en-US"/>
        </w:rPr>
        <w:t>,</w:t>
      </w:r>
      <w:r w:rsidR="008320E5" w:rsidRPr="00DA0DCD">
        <w:rPr>
          <w:lang w:val="en-US"/>
        </w:rPr>
        <w:t xml:space="preserve"> have been done in the US. Because of the difference between Europe and the US, a comparison between both regions is relevant to interpret the results of </w:t>
      </w:r>
      <w:r w:rsidR="00361298" w:rsidRPr="00DA0DCD">
        <w:rPr>
          <w:lang w:val="en-US"/>
        </w:rPr>
        <w:t>US researches</w:t>
      </w:r>
      <w:r w:rsidR="008320E5" w:rsidRPr="00DA0DCD">
        <w:rPr>
          <w:lang w:val="en-US"/>
        </w:rPr>
        <w:t xml:space="preserve"> </w:t>
      </w:r>
      <w:r w:rsidR="00361298" w:rsidRPr="00DA0DCD">
        <w:rPr>
          <w:lang w:val="en-US"/>
        </w:rPr>
        <w:t>into the</w:t>
      </w:r>
      <w:r w:rsidR="008320E5" w:rsidRPr="00DA0DCD">
        <w:rPr>
          <w:lang w:val="en-US"/>
        </w:rPr>
        <w:t xml:space="preserve"> European situation</w:t>
      </w:r>
      <w:r w:rsidR="00361298" w:rsidRPr="00DA0DCD">
        <w:rPr>
          <w:lang w:val="en-US"/>
        </w:rPr>
        <w:t xml:space="preserve">. </w:t>
      </w:r>
      <w:r w:rsidR="00EC6D66" w:rsidRPr="00DA0DCD">
        <w:rPr>
          <w:lang w:val="en-US"/>
        </w:rPr>
        <w:t xml:space="preserve">At last, the abnormal stock return could </w:t>
      </w:r>
      <w:r w:rsidR="008A6BB9" w:rsidRPr="00DA0DCD">
        <w:rPr>
          <w:lang w:val="en-US"/>
        </w:rPr>
        <w:t>tell</w:t>
      </w:r>
      <w:r w:rsidR="00EC6D66" w:rsidRPr="00DA0DCD">
        <w:rPr>
          <w:lang w:val="en-US"/>
        </w:rPr>
        <w:t xml:space="preserve"> something about the market efficiency in Europe.</w:t>
      </w:r>
    </w:p>
    <w:p w:rsidR="009345F0" w:rsidRPr="00DA0DCD" w:rsidRDefault="00EC6D66" w:rsidP="00EC6D66">
      <w:pPr>
        <w:pStyle w:val="Kop2"/>
        <w:numPr>
          <w:ilvl w:val="1"/>
          <w:numId w:val="14"/>
        </w:numPr>
        <w:rPr>
          <w:lang w:val="en-US"/>
        </w:rPr>
      </w:pPr>
      <w:r w:rsidRPr="00DA0DCD">
        <w:rPr>
          <w:lang w:val="en-US"/>
        </w:rPr>
        <w:t xml:space="preserve"> </w:t>
      </w:r>
      <w:bookmarkStart w:id="6" w:name="_Toc270770551"/>
      <w:r w:rsidRPr="00DA0DCD">
        <w:rPr>
          <w:lang w:val="en-US"/>
        </w:rPr>
        <w:t>Structure</w:t>
      </w:r>
      <w:bookmarkEnd w:id="6"/>
    </w:p>
    <w:p w:rsidR="00F76E19" w:rsidRPr="00DA0DCD" w:rsidRDefault="00F76E19" w:rsidP="003B558B">
      <w:pPr>
        <w:rPr>
          <w:lang w:val="en-US"/>
        </w:rPr>
      </w:pPr>
      <w:r w:rsidRPr="00DA0DCD">
        <w:rPr>
          <w:lang w:val="en-US"/>
        </w:rPr>
        <w:t xml:space="preserve">The remaining of the paper is structured as follows: In </w:t>
      </w:r>
      <w:r w:rsidR="00947A7D" w:rsidRPr="00DA0DCD">
        <w:rPr>
          <w:lang w:val="en-US"/>
        </w:rPr>
        <w:t>chapter</w:t>
      </w:r>
      <w:r w:rsidRPr="00DA0DCD">
        <w:rPr>
          <w:lang w:val="en-US"/>
        </w:rPr>
        <w:t xml:space="preserve"> 2 the international accounting standard (IAS) 39</w:t>
      </w:r>
      <w:r w:rsidR="00316E20" w:rsidRPr="00DA0DCD">
        <w:rPr>
          <w:lang w:val="en-US"/>
        </w:rPr>
        <w:t xml:space="preserve">, </w:t>
      </w:r>
      <w:r w:rsidR="00C07423" w:rsidRPr="00DA0DCD">
        <w:rPr>
          <w:lang w:val="en-US"/>
        </w:rPr>
        <w:t>the reclassification option</w:t>
      </w:r>
      <w:r w:rsidR="00316E20" w:rsidRPr="00DA0DCD">
        <w:rPr>
          <w:lang w:val="en-US"/>
        </w:rPr>
        <w:t xml:space="preserve"> and specific regulation on financial institutions that might have a</w:t>
      </w:r>
      <w:r w:rsidR="009B35E9">
        <w:rPr>
          <w:lang w:val="en-US"/>
        </w:rPr>
        <w:t>n</w:t>
      </w:r>
      <w:r w:rsidR="00316E20" w:rsidRPr="00DA0DCD">
        <w:rPr>
          <w:lang w:val="en-US"/>
        </w:rPr>
        <w:t xml:space="preserve"> impact on this research is described</w:t>
      </w:r>
      <w:r w:rsidRPr="00DA0DCD">
        <w:rPr>
          <w:lang w:val="en-US"/>
        </w:rPr>
        <w:t xml:space="preserve">. </w:t>
      </w:r>
      <w:r w:rsidR="00947A7D" w:rsidRPr="00DA0DCD">
        <w:rPr>
          <w:lang w:val="en-US"/>
        </w:rPr>
        <w:t>Chapter</w:t>
      </w:r>
      <w:r w:rsidR="00316E20" w:rsidRPr="00DA0DCD">
        <w:rPr>
          <w:lang w:val="en-US"/>
        </w:rPr>
        <w:t xml:space="preserve"> 3 mentions and substantiates </w:t>
      </w:r>
      <w:r w:rsidR="001B2290" w:rsidRPr="00DA0DCD">
        <w:rPr>
          <w:lang w:val="en-US"/>
        </w:rPr>
        <w:t>the</w:t>
      </w:r>
      <w:r w:rsidR="00316E20" w:rsidRPr="00DA0DCD">
        <w:rPr>
          <w:lang w:val="en-US"/>
        </w:rPr>
        <w:t xml:space="preserve"> research approach. </w:t>
      </w:r>
      <w:r w:rsidR="00947A7D" w:rsidRPr="00DA0DCD">
        <w:rPr>
          <w:lang w:val="en-US"/>
        </w:rPr>
        <w:t>Chapter</w:t>
      </w:r>
      <w:r w:rsidR="00316E20" w:rsidRPr="00DA0DCD">
        <w:rPr>
          <w:lang w:val="en-US"/>
        </w:rPr>
        <w:t xml:space="preserve"> 4 gives a literature review on economic consequences, more specifically on the ones of IAS 39 and prior research on this topic. In this </w:t>
      </w:r>
      <w:r w:rsidR="00947A7D" w:rsidRPr="00DA0DCD">
        <w:rPr>
          <w:lang w:val="en-US"/>
        </w:rPr>
        <w:t>chapter</w:t>
      </w:r>
      <w:r w:rsidR="00316E20" w:rsidRPr="00DA0DCD">
        <w:rPr>
          <w:lang w:val="en-US"/>
        </w:rPr>
        <w:t xml:space="preserve"> also </w:t>
      </w:r>
      <w:r w:rsidR="001B2290" w:rsidRPr="00DA0DCD">
        <w:rPr>
          <w:lang w:val="en-US"/>
        </w:rPr>
        <w:t>some</w:t>
      </w:r>
      <w:r w:rsidRPr="00DA0DCD">
        <w:rPr>
          <w:lang w:val="en-US"/>
        </w:rPr>
        <w:t xml:space="preserve"> differences between the US and Europe regarding </w:t>
      </w:r>
      <w:r w:rsidR="001B2290" w:rsidRPr="00DA0DCD">
        <w:rPr>
          <w:lang w:val="en-US"/>
        </w:rPr>
        <w:t>the</w:t>
      </w:r>
      <w:r w:rsidRPr="00DA0DCD">
        <w:rPr>
          <w:lang w:val="en-US"/>
        </w:rPr>
        <w:t xml:space="preserve"> research</w:t>
      </w:r>
      <w:r w:rsidR="00316E20" w:rsidRPr="00DA0DCD">
        <w:rPr>
          <w:lang w:val="en-US"/>
        </w:rPr>
        <w:t xml:space="preserve"> will be mentioned</w:t>
      </w:r>
      <w:r w:rsidRPr="00DA0DCD">
        <w:rPr>
          <w:lang w:val="en-US"/>
        </w:rPr>
        <w:t xml:space="preserve">. </w:t>
      </w:r>
      <w:r w:rsidR="00947A7D" w:rsidRPr="00DA0DCD">
        <w:rPr>
          <w:lang w:val="en-US"/>
        </w:rPr>
        <w:t>In chapter</w:t>
      </w:r>
      <w:r w:rsidR="001B2290" w:rsidRPr="00DA0DCD">
        <w:rPr>
          <w:lang w:val="en-US"/>
        </w:rPr>
        <w:t xml:space="preserve"> 5 the hypotheses and expectations of this research are presented. </w:t>
      </w:r>
      <w:r w:rsidR="00947A7D" w:rsidRPr="00DA0DCD">
        <w:rPr>
          <w:lang w:val="en-US"/>
        </w:rPr>
        <w:t>Chapter</w:t>
      </w:r>
      <w:r w:rsidR="00544F52" w:rsidRPr="00DA0DCD">
        <w:rPr>
          <w:lang w:val="en-US"/>
        </w:rPr>
        <w:t xml:space="preserve"> </w:t>
      </w:r>
      <w:r w:rsidR="001B2290" w:rsidRPr="00DA0DCD">
        <w:rPr>
          <w:lang w:val="en-US"/>
        </w:rPr>
        <w:t>6</w:t>
      </w:r>
      <w:r w:rsidR="00544F52" w:rsidRPr="00DA0DCD">
        <w:rPr>
          <w:lang w:val="en-US"/>
        </w:rPr>
        <w:t xml:space="preserve"> describes the research design, the events and </w:t>
      </w:r>
      <w:r w:rsidR="00544F52" w:rsidRPr="00245F5C">
        <w:rPr>
          <w:lang w:val="en-US"/>
        </w:rPr>
        <w:t xml:space="preserve">the criteria which distinguishes the events. In this </w:t>
      </w:r>
      <w:r w:rsidR="00947A7D" w:rsidRPr="00245F5C">
        <w:rPr>
          <w:lang w:val="en-US"/>
        </w:rPr>
        <w:t>chapter</w:t>
      </w:r>
      <w:r w:rsidR="00544F52" w:rsidRPr="00245F5C">
        <w:rPr>
          <w:lang w:val="en-US"/>
        </w:rPr>
        <w:t xml:space="preserve"> also an explanation about the research model and selected sample will be given. </w:t>
      </w:r>
      <w:r w:rsidRPr="00245F5C">
        <w:rPr>
          <w:lang w:val="en-US"/>
        </w:rPr>
        <w:t>The results</w:t>
      </w:r>
      <w:r w:rsidR="0043369D" w:rsidRPr="00245F5C">
        <w:rPr>
          <w:lang w:val="en-US"/>
        </w:rPr>
        <w:t xml:space="preserve"> of the tested hypotheses</w:t>
      </w:r>
      <w:r w:rsidRPr="00245F5C">
        <w:rPr>
          <w:lang w:val="en-US"/>
        </w:rPr>
        <w:t xml:space="preserve"> will be presented in </w:t>
      </w:r>
      <w:r w:rsidR="00947A7D" w:rsidRPr="00245F5C">
        <w:rPr>
          <w:lang w:val="en-US"/>
        </w:rPr>
        <w:t>chapter</w:t>
      </w:r>
      <w:r w:rsidRPr="00245F5C">
        <w:rPr>
          <w:lang w:val="en-US"/>
        </w:rPr>
        <w:t xml:space="preserve"> </w:t>
      </w:r>
      <w:r w:rsidR="001B2290" w:rsidRPr="00245F5C">
        <w:rPr>
          <w:lang w:val="en-US"/>
        </w:rPr>
        <w:t>7</w:t>
      </w:r>
      <w:r w:rsidR="0043369D" w:rsidRPr="00245F5C">
        <w:rPr>
          <w:lang w:val="en-US"/>
        </w:rPr>
        <w:t xml:space="preserve">. The </w:t>
      </w:r>
      <w:r w:rsidR="008A6BB9" w:rsidRPr="00245F5C">
        <w:rPr>
          <w:lang w:val="en-US"/>
        </w:rPr>
        <w:t>interpretations of these results are described</w:t>
      </w:r>
      <w:r w:rsidR="0043369D" w:rsidRPr="00245F5C">
        <w:rPr>
          <w:lang w:val="en-US"/>
        </w:rPr>
        <w:t xml:space="preserve"> in chapter 8</w:t>
      </w:r>
      <w:r w:rsidR="008A6BB9" w:rsidRPr="00245F5C">
        <w:rPr>
          <w:lang w:val="en-US"/>
        </w:rPr>
        <w:t>.</w:t>
      </w:r>
      <w:r w:rsidR="0043369D" w:rsidRPr="00245F5C">
        <w:rPr>
          <w:lang w:val="en-US"/>
        </w:rPr>
        <w:t xml:space="preserve"> </w:t>
      </w:r>
      <w:r w:rsidR="00947A7D" w:rsidRPr="00245F5C">
        <w:rPr>
          <w:lang w:val="en-US"/>
        </w:rPr>
        <w:t>Chapter</w:t>
      </w:r>
      <w:r w:rsidRPr="00245F5C">
        <w:rPr>
          <w:lang w:val="en-US"/>
        </w:rPr>
        <w:t xml:space="preserve"> </w:t>
      </w:r>
      <w:r w:rsidR="0043369D" w:rsidRPr="00245F5C">
        <w:rPr>
          <w:lang w:val="en-US"/>
        </w:rPr>
        <w:t>9</w:t>
      </w:r>
      <w:r w:rsidRPr="00245F5C">
        <w:rPr>
          <w:lang w:val="en-US"/>
        </w:rPr>
        <w:t xml:space="preserve"> contains </w:t>
      </w:r>
      <w:r w:rsidR="008A6BB9" w:rsidRPr="00245F5C">
        <w:rPr>
          <w:lang w:val="en-US"/>
        </w:rPr>
        <w:t>the</w:t>
      </w:r>
      <w:r w:rsidR="0043369D" w:rsidRPr="00245F5C">
        <w:rPr>
          <w:lang w:val="en-US"/>
        </w:rPr>
        <w:t xml:space="preserve"> </w:t>
      </w:r>
      <w:r w:rsidR="00245F5C" w:rsidRPr="00245F5C">
        <w:rPr>
          <w:lang w:val="en-US"/>
        </w:rPr>
        <w:t xml:space="preserve">conclusion, </w:t>
      </w:r>
      <w:r w:rsidR="0043369D" w:rsidRPr="00245F5C">
        <w:rPr>
          <w:lang w:val="en-US"/>
        </w:rPr>
        <w:t>limitations</w:t>
      </w:r>
      <w:r w:rsidR="00245F5C" w:rsidRPr="00245F5C">
        <w:rPr>
          <w:lang w:val="en-US"/>
        </w:rPr>
        <w:t xml:space="preserve"> and recommendations of further research</w:t>
      </w:r>
      <w:r w:rsidRPr="00245F5C">
        <w:rPr>
          <w:lang w:val="en-US"/>
        </w:rPr>
        <w:t>.</w:t>
      </w:r>
    </w:p>
    <w:p w:rsidR="00DC6A91" w:rsidRPr="00DA0DCD" w:rsidRDefault="00DC6A91">
      <w:pPr>
        <w:rPr>
          <w:rFonts w:asciiTheme="majorHAnsi" w:eastAsiaTheme="majorEastAsia" w:hAnsiTheme="majorHAnsi" w:cstheme="majorBidi"/>
          <w:b/>
          <w:bCs/>
          <w:color w:val="365F91" w:themeColor="accent1" w:themeShade="BF"/>
          <w:sz w:val="28"/>
          <w:szCs w:val="28"/>
          <w:lang w:val="en-US"/>
        </w:rPr>
      </w:pPr>
      <w:r w:rsidRPr="00DA0DCD">
        <w:rPr>
          <w:lang w:val="en-US"/>
        </w:rPr>
        <w:br w:type="page"/>
      </w:r>
    </w:p>
    <w:p w:rsidR="00EF0D72" w:rsidRPr="00DA0DCD" w:rsidRDefault="0038032A" w:rsidP="00EF0D72">
      <w:pPr>
        <w:pStyle w:val="Kop1"/>
        <w:numPr>
          <w:ilvl w:val="0"/>
          <w:numId w:val="14"/>
        </w:numPr>
        <w:rPr>
          <w:lang w:val="en-US"/>
        </w:rPr>
      </w:pPr>
      <w:bookmarkStart w:id="7" w:name="_Toc270770552"/>
      <w:r w:rsidRPr="00DA0DCD">
        <w:rPr>
          <w:lang w:val="en-US"/>
        </w:rPr>
        <w:lastRenderedPageBreak/>
        <w:t>The accounting standard on financial instruments and other relevant regulation</w:t>
      </w:r>
      <w:bookmarkEnd w:id="7"/>
    </w:p>
    <w:p w:rsidR="00EF0D72" w:rsidRPr="00DA0DCD" w:rsidRDefault="00EF0D72" w:rsidP="00EF0D72">
      <w:pPr>
        <w:pStyle w:val="Kop2"/>
        <w:numPr>
          <w:ilvl w:val="1"/>
          <w:numId w:val="14"/>
        </w:numPr>
        <w:rPr>
          <w:lang w:val="en-US"/>
        </w:rPr>
      </w:pPr>
      <w:bookmarkStart w:id="8" w:name="_Toc270770553"/>
      <w:r w:rsidRPr="00DA0DCD">
        <w:rPr>
          <w:lang w:val="en-US"/>
        </w:rPr>
        <w:t>Introduction</w:t>
      </w:r>
      <w:bookmarkEnd w:id="8"/>
    </w:p>
    <w:p w:rsidR="00EF0D72" w:rsidRPr="00DA0DCD" w:rsidRDefault="00947A7D" w:rsidP="00EF0D72">
      <w:pPr>
        <w:rPr>
          <w:lang w:val="en-US"/>
        </w:rPr>
      </w:pPr>
      <w:r w:rsidRPr="00DA0DCD">
        <w:rPr>
          <w:lang w:val="en-US"/>
        </w:rPr>
        <w:t>In this paragraph</w:t>
      </w:r>
      <w:r w:rsidR="00E03753">
        <w:rPr>
          <w:lang w:val="en-US"/>
        </w:rPr>
        <w:t xml:space="preserve"> the I</w:t>
      </w:r>
      <w:r w:rsidR="005D53A9" w:rsidRPr="00DA0DCD">
        <w:rPr>
          <w:lang w:val="en-US"/>
        </w:rPr>
        <w:t xml:space="preserve">nternational </w:t>
      </w:r>
      <w:r w:rsidR="00E03753">
        <w:rPr>
          <w:lang w:val="en-US"/>
        </w:rPr>
        <w:t>A</w:t>
      </w:r>
      <w:r w:rsidR="005D53A9" w:rsidRPr="00DA0DCD">
        <w:rPr>
          <w:lang w:val="en-US"/>
        </w:rPr>
        <w:t xml:space="preserve">ccounting </w:t>
      </w:r>
      <w:r w:rsidR="00E03753">
        <w:rPr>
          <w:lang w:val="en-US"/>
        </w:rPr>
        <w:t>S</w:t>
      </w:r>
      <w:r w:rsidR="005D53A9" w:rsidRPr="00DA0DCD">
        <w:rPr>
          <w:lang w:val="en-US"/>
        </w:rPr>
        <w:t xml:space="preserve">tandard 39 </w:t>
      </w:r>
      <w:r w:rsidR="00BA2F7A" w:rsidRPr="00DA0DCD">
        <w:rPr>
          <w:lang w:val="en-US"/>
        </w:rPr>
        <w:t>is</w:t>
      </w:r>
      <w:r w:rsidR="00350C4D" w:rsidRPr="00DA0DCD">
        <w:rPr>
          <w:lang w:val="en-US"/>
        </w:rPr>
        <w:t xml:space="preserve"> </w:t>
      </w:r>
      <w:r w:rsidR="00AC7614" w:rsidRPr="00DA0DCD">
        <w:rPr>
          <w:lang w:val="en-US"/>
        </w:rPr>
        <w:t>briefly</w:t>
      </w:r>
      <w:r w:rsidR="005D53A9" w:rsidRPr="00DA0DCD">
        <w:rPr>
          <w:lang w:val="en-US"/>
        </w:rPr>
        <w:t xml:space="preserve"> described. This means that the </w:t>
      </w:r>
      <w:r w:rsidR="00DD72D2" w:rsidRPr="00DA0DCD">
        <w:rPr>
          <w:lang w:val="en-US"/>
        </w:rPr>
        <w:t xml:space="preserve">definition of financial instruments, financial assets and liabilities, fair value and amortized cost measurement </w:t>
      </w:r>
      <w:r w:rsidR="00583903" w:rsidRPr="00DA0DCD">
        <w:rPr>
          <w:lang w:val="en-US"/>
        </w:rPr>
        <w:t>are</w:t>
      </w:r>
      <w:r w:rsidR="00DD72D2" w:rsidRPr="00DA0DCD">
        <w:rPr>
          <w:lang w:val="en-US"/>
        </w:rPr>
        <w:t xml:space="preserve"> </w:t>
      </w:r>
      <w:r w:rsidR="008A2D48">
        <w:rPr>
          <w:lang w:val="en-US"/>
        </w:rPr>
        <w:t>presented</w:t>
      </w:r>
      <w:r w:rsidR="00350C4D" w:rsidRPr="00DA0DCD">
        <w:rPr>
          <w:lang w:val="en-US"/>
        </w:rPr>
        <w:t xml:space="preserve"> t</w:t>
      </w:r>
      <w:r w:rsidR="00BA2F7A" w:rsidRPr="00DA0DCD">
        <w:rPr>
          <w:lang w:val="en-US"/>
        </w:rPr>
        <w:t>o give</w:t>
      </w:r>
      <w:r w:rsidR="00DD72D2" w:rsidRPr="00DA0DCD">
        <w:rPr>
          <w:lang w:val="en-US"/>
        </w:rPr>
        <w:t xml:space="preserve"> more insight </w:t>
      </w:r>
      <w:r w:rsidR="00BA2F7A" w:rsidRPr="00DA0DCD">
        <w:rPr>
          <w:lang w:val="en-US"/>
        </w:rPr>
        <w:t>into th</w:t>
      </w:r>
      <w:r w:rsidR="00AB7EF5" w:rsidRPr="00DA0DCD">
        <w:rPr>
          <w:lang w:val="en-US"/>
        </w:rPr>
        <w:t>e</w:t>
      </w:r>
      <w:r w:rsidR="00DD72D2" w:rsidRPr="00DA0DCD">
        <w:rPr>
          <w:lang w:val="en-US"/>
        </w:rPr>
        <w:t xml:space="preserve"> standard</w:t>
      </w:r>
      <w:r w:rsidR="00AB7EF5" w:rsidRPr="00DA0DCD">
        <w:rPr>
          <w:lang w:val="en-US"/>
        </w:rPr>
        <w:t xml:space="preserve"> on recognition and measurement of financial instruments</w:t>
      </w:r>
      <w:r w:rsidR="00F0233E" w:rsidRPr="00DA0DCD">
        <w:rPr>
          <w:lang w:val="en-US"/>
        </w:rPr>
        <w:t>.</w:t>
      </w:r>
      <w:r w:rsidR="00DD72D2" w:rsidRPr="00DA0DCD">
        <w:rPr>
          <w:lang w:val="en-US"/>
        </w:rPr>
        <w:t xml:space="preserve"> </w:t>
      </w:r>
      <w:r w:rsidR="00C42C30" w:rsidRPr="00DA0DCD">
        <w:rPr>
          <w:lang w:val="en-US"/>
        </w:rPr>
        <w:t>Also the impairment rules o</w:t>
      </w:r>
      <w:r w:rsidR="00E65AFA" w:rsidRPr="00DA0DCD">
        <w:rPr>
          <w:lang w:val="en-US"/>
        </w:rPr>
        <w:t xml:space="preserve">f IAS39 are shown, because these were problematic during the financial crisis. </w:t>
      </w:r>
      <w:r w:rsidR="00DD72D2" w:rsidRPr="00DA0DCD">
        <w:rPr>
          <w:lang w:val="en-US"/>
        </w:rPr>
        <w:t>Thereaf</w:t>
      </w:r>
      <w:r w:rsidR="00350C4D" w:rsidRPr="00DA0DCD">
        <w:rPr>
          <w:lang w:val="en-US"/>
        </w:rPr>
        <w:t xml:space="preserve">ter the reclassification </w:t>
      </w:r>
      <w:r w:rsidR="00F0233E" w:rsidRPr="00DA0DCD">
        <w:rPr>
          <w:lang w:val="en-US"/>
        </w:rPr>
        <w:t>possibility</w:t>
      </w:r>
      <w:r w:rsidR="00FC7771" w:rsidRPr="00DA0DCD">
        <w:rPr>
          <w:lang w:val="en-US"/>
        </w:rPr>
        <w:t xml:space="preserve">, as </w:t>
      </w:r>
      <w:r w:rsidR="006C1F13" w:rsidRPr="00DA0DCD">
        <w:rPr>
          <w:lang w:val="en-US"/>
        </w:rPr>
        <w:t>introduced</w:t>
      </w:r>
      <w:r w:rsidR="00FC7771" w:rsidRPr="00DA0DCD">
        <w:rPr>
          <w:lang w:val="en-US"/>
        </w:rPr>
        <w:t xml:space="preserve"> by the </w:t>
      </w:r>
      <w:r w:rsidR="006C1F13" w:rsidRPr="00DA0DCD">
        <w:rPr>
          <w:lang w:val="en-US"/>
        </w:rPr>
        <w:t xml:space="preserve">IASB </w:t>
      </w:r>
      <w:r w:rsidR="00350C4D" w:rsidRPr="00DA0DCD">
        <w:rPr>
          <w:lang w:val="en-US"/>
        </w:rPr>
        <w:t>in October 2008</w:t>
      </w:r>
      <w:r w:rsidR="006C1F13" w:rsidRPr="00DA0DCD">
        <w:rPr>
          <w:lang w:val="en-US"/>
        </w:rPr>
        <w:t>, is mentioned.</w:t>
      </w:r>
      <w:r w:rsidR="00F0233E" w:rsidRPr="00DA0DCD">
        <w:rPr>
          <w:lang w:val="en-US"/>
        </w:rPr>
        <w:t xml:space="preserve"> This will give a</w:t>
      </w:r>
      <w:r w:rsidR="00AB7EF5" w:rsidRPr="00DA0DCD">
        <w:rPr>
          <w:lang w:val="en-US"/>
        </w:rPr>
        <w:t>n overview of</w:t>
      </w:r>
      <w:r w:rsidR="00F0233E" w:rsidRPr="00DA0DCD">
        <w:rPr>
          <w:lang w:val="en-US"/>
        </w:rPr>
        <w:t xml:space="preserve"> </w:t>
      </w:r>
      <w:r w:rsidR="00AB7EF5" w:rsidRPr="00DA0DCD">
        <w:rPr>
          <w:lang w:val="en-US"/>
        </w:rPr>
        <w:t>wh</w:t>
      </w:r>
      <w:r w:rsidR="008A2D48">
        <w:rPr>
          <w:lang w:val="en-US"/>
        </w:rPr>
        <w:t>at</w:t>
      </w:r>
      <w:r w:rsidR="00AB7EF5" w:rsidRPr="00DA0DCD">
        <w:rPr>
          <w:lang w:val="en-US"/>
        </w:rPr>
        <w:t xml:space="preserve"> </w:t>
      </w:r>
      <w:r w:rsidR="00F0233E" w:rsidRPr="00DA0DCD">
        <w:rPr>
          <w:lang w:val="en-US"/>
        </w:rPr>
        <w:t xml:space="preserve">categories </w:t>
      </w:r>
      <w:r w:rsidR="00AB7EF5" w:rsidRPr="00DA0DCD">
        <w:rPr>
          <w:lang w:val="en-US"/>
        </w:rPr>
        <w:t>are allowed to reclassify and under which circumstances</w:t>
      </w:r>
      <w:r w:rsidR="00F0233E" w:rsidRPr="00DA0DCD">
        <w:rPr>
          <w:lang w:val="en-US"/>
        </w:rPr>
        <w:t>.</w:t>
      </w:r>
      <w:r w:rsidR="000E50C4" w:rsidRPr="00DA0DCD">
        <w:rPr>
          <w:lang w:val="en-US"/>
        </w:rPr>
        <w:t xml:space="preserve"> Hence, the relaxation in the US is described to compare the situation in Europe and the US. </w:t>
      </w:r>
      <w:r w:rsidR="00E37DC9" w:rsidRPr="00DA0DCD">
        <w:rPr>
          <w:lang w:val="en-US"/>
        </w:rPr>
        <w:t>Next to the accounting standards, specific regulations on financial institutions that may have an effect</w:t>
      </w:r>
      <w:r w:rsidR="00A45E9A" w:rsidRPr="00DA0DCD">
        <w:rPr>
          <w:lang w:val="en-US"/>
        </w:rPr>
        <w:t xml:space="preserve"> </w:t>
      </w:r>
      <w:r w:rsidR="00E37DC9" w:rsidRPr="00DA0DCD">
        <w:rPr>
          <w:lang w:val="en-US"/>
        </w:rPr>
        <w:t>on this research</w:t>
      </w:r>
      <w:r w:rsidR="00A45E9A" w:rsidRPr="00DA0DCD">
        <w:rPr>
          <w:lang w:val="en-US"/>
        </w:rPr>
        <w:t xml:space="preserve"> (capital market reaction)</w:t>
      </w:r>
      <w:r w:rsidR="00E37DC9" w:rsidRPr="00DA0DCD">
        <w:rPr>
          <w:lang w:val="en-US"/>
        </w:rPr>
        <w:t xml:space="preserve">, are presented in this </w:t>
      </w:r>
      <w:r w:rsidRPr="00DA0DCD">
        <w:rPr>
          <w:lang w:val="en-US"/>
        </w:rPr>
        <w:t>paragraph</w:t>
      </w:r>
      <w:r w:rsidR="00E37DC9" w:rsidRPr="00DA0DCD">
        <w:rPr>
          <w:lang w:val="en-US"/>
        </w:rPr>
        <w:t>. With the specific regulation are capital requirements under Basel II and Solvency meant.</w:t>
      </w:r>
      <w:r w:rsidR="000D5EA4" w:rsidRPr="00DA0DCD">
        <w:rPr>
          <w:lang w:val="en-US"/>
        </w:rPr>
        <w:t xml:space="preserve"> </w:t>
      </w:r>
      <w:r w:rsidR="00A45E9A" w:rsidRPr="00DA0DCD">
        <w:rPr>
          <w:lang w:val="en-US"/>
        </w:rPr>
        <w:t>Thereafter regulation on c</w:t>
      </w:r>
      <w:r w:rsidR="000D5EA4" w:rsidRPr="00DA0DCD">
        <w:rPr>
          <w:lang w:val="en-US"/>
        </w:rPr>
        <w:t xml:space="preserve">orporate governance </w:t>
      </w:r>
      <w:r w:rsidR="00A45E9A" w:rsidRPr="00DA0DCD">
        <w:rPr>
          <w:lang w:val="en-US"/>
        </w:rPr>
        <w:t xml:space="preserve">is presented, which also could have an impact on the difference in capital market reaction </w:t>
      </w:r>
      <w:r w:rsidR="0077354B" w:rsidRPr="00DA0DCD">
        <w:rPr>
          <w:lang w:val="en-US"/>
        </w:rPr>
        <w:t>between</w:t>
      </w:r>
      <w:r w:rsidR="00A45E9A" w:rsidRPr="00DA0DCD">
        <w:rPr>
          <w:lang w:val="en-US"/>
        </w:rPr>
        <w:t xml:space="preserve"> countries.</w:t>
      </w:r>
    </w:p>
    <w:p w:rsidR="00585193" w:rsidRPr="00DA0DCD" w:rsidRDefault="00EF0D72" w:rsidP="00EF0D72">
      <w:pPr>
        <w:pStyle w:val="Kop2"/>
        <w:numPr>
          <w:ilvl w:val="1"/>
          <w:numId w:val="14"/>
        </w:numPr>
        <w:rPr>
          <w:lang w:val="en-US"/>
        </w:rPr>
      </w:pPr>
      <w:r w:rsidRPr="00DA0DCD">
        <w:rPr>
          <w:lang w:val="en-US"/>
        </w:rPr>
        <w:t xml:space="preserve"> </w:t>
      </w:r>
      <w:bookmarkStart w:id="9" w:name="_Toc270770554"/>
      <w:r w:rsidR="00585193" w:rsidRPr="00DA0DCD">
        <w:rPr>
          <w:lang w:val="en-US"/>
        </w:rPr>
        <w:t>Definitions</w:t>
      </w:r>
      <w:bookmarkEnd w:id="9"/>
    </w:p>
    <w:p w:rsidR="000A089D" w:rsidRPr="00DA0DCD" w:rsidRDefault="00AB7EF5" w:rsidP="000A089D">
      <w:pPr>
        <w:spacing w:after="0"/>
        <w:rPr>
          <w:lang w:val="en-US"/>
        </w:rPr>
      </w:pPr>
      <w:r w:rsidRPr="00DA0DCD">
        <w:rPr>
          <w:lang w:val="en-US"/>
        </w:rPr>
        <w:t xml:space="preserve">In </w:t>
      </w:r>
      <w:r w:rsidR="005C63E7" w:rsidRPr="00DA0DCD">
        <w:rPr>
          <w:lang w:val="en-US"/>
        </w:rPr>
        <w:t>IAS 39 the recognition and measurement of financial instruments</w:t>
      </w:r>
      <w:r w:rsidRPr="00DA0DCD">
        <w:rPr>
          <w:lang w:val="en-US"/>
        </w:rPr>
        <w:t xml:space="preserve"> is established</w:t>
      </w:r>
      <w:r w:rsidR="005C63E7" w:rsidRPr="00DA0DCD">
        <w:rPr>
          <w:lang w:val="en-US"/>
        </w:rPr>
        <w:t xml:space="preserve">. Financial instruments can be described as financial assets and liabilities. </w:t>
      </w:r>
      <w:r w:rsidR="000A089D" w:rsidRPr="00DA0DCD">
        <w:rPr>
          <w:lang w:val="en-US"/>
        </w:rPr>
        <w:t xml:space="preserve">The IASB defined a financial instrument as: </w:t>
      </w:r>
    </w:p>
    <w:p w:rsidR="000A089D" w:rsidRPr="00DA0DCD" w:rsidRDefault="000A089D" w:rsidP="000A089D">
      <w:pPr>
        <w:spacing w:after="0"/>
        <w:ind w:left="708"/>
        <w:rPr>
          <w:lang w:val="en-US"/>
        </w:rPr>
      </w:pPr>
      <w:r w:rsidRPr="00DA0DCD">
        <w:rPr>
          <w:i/>
          <w:lang w:val="en-US"/>
        </w:rPr>
        <w:t>“</w:t>
      </w:r>
      <w:r w:rsidR="00BB4A2E" w:rsidRPr="00DA0DCD">
        <w:rPr>
          <w:i/>
          <w:lang w:val="en-US"/>
        </w:rPr>
        <w:t xml:space="preserve">A </w:t>
      </w:r>
      <w:r w:rsidR="00BB4A2E" w:rsidRPr="00DA0DCD">
        <w:rPr>
          <w:rStyle w:val="cs-900-italics1"/>
          <w:i w:val="0"/>
          <w:lang w:val="en-US"/>
        </w:rPr>
        <w:t>financial instrument</w:t>
      </w:r>
      <w:r w:rsidR="00BB4A2E" w:rsidRPr="00DA0DCD">
        <w:rPr>
          <w:i/>
          <w:lang w:val="en-US"/>
        </w:rPr>
        <w:t xml:space="preserve"> is any contract that gives rise to a financial asset of one entity and a financial liability or equity instrument of another entity.</w:t>
      </w:r>
      <w:r w:rsidRPr="00DA0DCD">
        <w:rPr>
          <w:i/>
          <w:lang w:val="en-US"/>
        </w:rPr>
        <w:t>”</w:t>
      </w:r>
      <w:r w:rsidRPr="00DA0DCD">
        <w:rPr>
          <w:lang w:val="en-US"/>
        </w:rPr>
        <w:t xml:space="preserve"> </w:t>
      </w:r>
      <w:r w:rsidR="001B2290" w:rsidRPr="00DA0DCD">
        <w:rPr>
          <w:lang w:val="en-US"/>
        </w:rPr>
        <w:t>IAS 32.11</w:t>
      </w:r>
    </w:p>
    <w:p w:rsidR="00BB4A2E" w:rsidRPr="00DA0DCD" w:rsidRDefault="00B70E9E" w:rsidP="00D30FE5">
      <w:pPr>
        <w:spacing w:after="0"/>
        <w:rPr>
          <w:lang w:val="en-US"/>
        </w:rPr>
      </w:pPr>
      <w:r w:rsidRPr="00DA0DCD">
        <w:rPr>
          <w:lang w:val="en-US"/>
        </w:rPr>
        <w:t>This definition of</w:t>
      </w:r>
      <w:r w:rsidR="00D30FE5" w:rsidRPr="00DA0DCD">
        <w:rPr>
          <w:lang w:val="en-US"/>
        </w:rPr>
        <w:t xml:space="preserve"> a financial instrument can be described as a contract between parties that leads for one party to a financial asset and a financial liability or equity instrument to another party. </w:t>
      </w:r>
      <w:r w:rsidR="009F6CE3" w:rsidRPr="00DA0DCD">
        <w:rPr>
          <w:lang w:val="en-US"/>
        </w:rPr>
        <w:t xml:space="preserve">The financial instruments </w:t>
      </w:r>
      <w:r w:rsidRPr="00DA0DCD">
        <w:rPr>
          <w:lang w:val="en-US"/>
        </w:rPr>
        <w:t>covered by</w:t>
      </w:r>
      <w:r w:rsidR="009F6CE3" w:rsidRPr="00DA0DCD">
        <w:rPr>
          <w:lang w:val="en-US"/>
        </w:rPr>
        <w:t xml:space="preserve"> this definition are</w:t>
      </w:r>
      <w:r w:rsidR="00BF229D" w:rsidRPr="00DA0DCD">
        <w:rPr>
          <w:lang w:val="en-US"/>
        </w:rPr>
        <w:t xml:space="preserve"> presented in IAS 32 and</w:t>
      </w:r>
      <w:r w:rsidR="009F6CE3" w:rsidRPr="00DA0DCD">
        <w:rPr>
          <w:lang w:val="en-US"/>
        </w:rPr>
        <w:t xml:space="preserve"> shown in table 2.1</w:t>
      </w:r>
      <w:r w:rsidR="00BF229D" w:rsidRPr="00DA0DCD">
        <w:rPr>
          <w:lang w:val="en-US"/>
        </w:rPr>
        <w:t xml:space="preserve"> below</w:t>
      </w:r>
      <w:r w:rsidR="009F6CE3" w:rsidRPr="00DA0DCD">
        <w:rPr>
          <w:lang w:val="en-US"/>
        </w:rPr>
        <w:t>.</w:t>
      </w:r>
      <w:r w:rsidR="00362E14" w:rsidRPr="00DA0DCD">
        <w:rPr>
          <w:lang w:val="en-US"/>
        </w:rPr>
        <w:t xml:space="preserve"> </w:t>
      </w:r>
    </w:p>
    <w:tbl>
      <w:tblPr>
        <w:tblStyle w:val="Tabelraster"/>
        <w:tblW w:w="0" w:type="auto"/>
        <w:tblLook w:val="04A0"/>
      </w:tblPr>
      <w:tblGrid>
        <w:gridCol w:w="4606"/>
        <w:gridCol w:w="4606"/>
      </w:tblGrid>
      <w:tr w:rsidR="007F6D8A" w:rsidRPr="00872F8A" w:rsidTr="00E42971">
        <w:tc>
          <w:tcPr>
            <w:tcW w:w="9212" w:type="dxa"/>
            <w:gridSpan w:val="2"/>
          </w:tcPr>
          <w:p w:rsidR="007F6D8A" w:rsidRPr="00340AE2" w:rsidRDefault="007F6D8A" w:rsidP="00E42971">
            <w:pPr>
              <w:rPr>
                <w:b/>
                <w:sz w:val="20"/>
                <w:szCs w:val="20"/>
                <w:lang w:val="en-US"/>
              </w:rPr>
            </w:pPr>
            <w:r w:rsidRPr="00340AE2">
              <w:rPr>
                <w:b/>
                <w:sz w:val="20"/>
                <w:szCs w:val="20"/>
                <w:lang w:val="en-US"/>
              </w:rPr>
              <w:t>Definitions of financial assets and liabilities</w:t>
            </w:r>
          </w:p>
        </w:tc>
      </w:tr>
      <w:tr w:rsidR="007F6D8A" w:rsidRPr="00340AE2" w:rsidTr="00E42971">
        <w:tc>
          <w:tcPr>
            <w:tcW w:w="4606" w:type="dxa"/>
          </w:tcPr>
          <w:p w:rsidR="007F6D8A" w:rsidRPr="00340AE2" w:rsidRDefault="007F6D8A" w:rsidP="00E42971">
            <w:pPr>
              <w:rPr>
                <w:sz w:val="20"/>
                <w:szCs w:val="20"/>
                <w:u w:val="single"/>
                <w:lang w:val="en-US"/>
              </w:rPr>
            </w:pPr>
            <w:r w:rsidRPr="00340AE2">
              <w:rPr>
                <w:sz w:val="20"/>
                <w:szCs w:val="20"/>
                <w:u w:val="single"/>
                <w:lang w:val="en-US"/>
              </w:rPr>
              <w:t>Financial assets</w:t>
            </w:r>
          </w:p>
        </w:tc>
        <w:tc>
          <w:tcPr>
            <w:tcW w:w="4606" w:type="dxa"/>
          </w:tcPr>
          <w:p w:rsidR="007F6D8A" w:rsidRPr="00340AE2" w:rsidRDefault="007F6D8A" w:rsidP="00E42971">
            <w:pPr>
              <w:rPr>
                <w:sz w:val="20"/>
                <w:szCs w:val="20"/>
                <w:u w:val="single"/>
                <w:lang w:val="en-US"/>
              </w:rPr>
            </w:pPr>
            <w:r w:rsidRPr="00340AE2">
              <w:rPr>
                <w:sz w:val="20"/>
                <w:szCs w:val="20"/>
                <w:u w:val="single"/>
                <w:lang w:val="en-US"/>
              </w:rPr>
              <w:t>Financial liabilities</w:t>
            </w:r>
          </w:p>
        </w:tc>
      </w:tr>
      <w:tr w:rsidR="007F6D8A" w:rsidRPr="00872F8A" w:rsidTr="00E42971">
        <w:tc>
          <w:tcPr>
            <w:tcW w:w="4606" w:type="dxa"/>
          </w:tcPr>
          <w:p w:rsidR="007F6D8A" w:rsidRPr="00340AE2" w:rsidRDefault="007F6D8A" w:rsidP="00E42971">
            <w:pPr>
              <w:pStyle w:val="Geenafstand"/>
              <w:rPr>
                <w:sz w:val="20"/>
                <w:szCs w:val="20"/>
                <w:lang w:val="en-US"/>
              </w:rPr>
            </w:pPr>
            <w:r w:rsidRPr="00340AE2">
              <w:rPr>
                <w:sz w:val="20"/>
                <w:szCs w:val="20"/>
                <w:lang w:val="en-US"/>
              </w:rPr>
              <w:t>a) Cash</w:t>
            </w:r>
          </w:p>
        </w:tc>
        <w:tc>
          <w:tcPr>
            <w:tcW w:w="4606" w:type="dxa"/>
            <w:vMerge w:val="restart"/>
          </w:tcPr>
          <w:p w:rsidR="007F6D8A" w:rsidRPr="00340AE2" w:rsidRDefault="007F6D8A" w:rsidP="00E42971">
            <w:pPr>
              <w:rPr>
                <w:sz w:val="20"/>
                <w:szCs w:val="20"/>
                <w:lang w:val="en-US" w:eastAsia="nl-NL"/>
              </w:rPr>
            </w:pPr>
            <w:r w:rsidRPr="00340AE2">
              <w:rPr>
                <w:sz w:val="20"/>
                <w:szCs w:val="20"/>
                <w:lang w:val="en-US" w:eastAsia="nl-NL"/>
              </w:rPr>
              <w:t xml:space="preserve">a) a contractual obligation: </w:t>
            </w:r>
          </w:p>
          <w:p w:rsidR="007F6D8A" w:rsidRPr="00340AE2" w:rsidRDefault="007F6D8A" w:rsidP="00E42971">
            <w:pPr>
              <w:rPr>
                <w:sz w:val="20"/>
                <w:szCs w:val="20"/>
                <w:lang w:val="en-US" w:eastAsia="nl-NL"/>
              </w:rPr>
            </w:pPr>
            <w:r w:rsidRPr="00340AE2">
              <w:rPr>
                <w:sz w:val="20"/>
                <w:szCs w:val="20"/>
                <w:lang w:val="en-US" w:eastAsia="nl-NL"/>
              </w:rPr>
              <w:t>- to deliver cash or another financial asset to another entity</w:t>
            </w:r>
          </w:p>
          <w:p w:rsidR="007F6D8A" w:rsidRPr="00340AE2" w:rsidRDefault="007F6D8A" w:rsidP="00E42971">
            <w:pPr>
              <w:rPr>
                <w:sz w:val="20"/>
                <w:szCs w:val="20"/>
                <w:lang w:val="en-US"/>
              </w:rPr>
            </w:pPr>
            <w:r w:rsidRPr="00340AE2">
              <w:rPr>
                <w:sz w:val="20"/>
                <w:szCs w:val="20"/>
                <w:lang w:val="en-US" w:eastAsia="nl-NL"/>
              </w:rPr>
              <w:t>- to exchange financial assets or liabilities with another entity under conditions that are potentially unfavorable to the entity</w:t>
            </w:r>
          </w:p>
        </w:tc>
      </w:tr>
      <w:tr w:rsidR="007F6D8A" w:rsidRPr="00872F8A" w:rsidTr="00E42971">
        <w:tc>
          <w:tcPr>
            <w:tcW w:w="4606" w:type="dxa"/>
          </w:tcPr>
          <w:p w:rsidR="007F6D8A" w:rsidRPr="00340AE2" w:rsidRDefault="007F6D8A" w:rsidP="00E42971">
            <w:pPr>
              <w:pStyle w:val="Geenafstand"/>
              <w:rPr>
                <w:sz w:val="20"/>
                <w:szCs w:val="20"/>
                <w:lang w:val="en-US"/>
              </w:rPr>
            </w:pPr>
            <w:r w:rsidRPr="00340AE2">
              <w:rPr>
                <w:sz w:val="20"/>
                <w:szCs w:val="20"/>
                <w:lang w:val="en-US"/>
              </w:rPr>
              <w:t>b) an equity instrument of another entity</w:t>
            </w:r>
          </w:p>
        </w:tc>
        <w:tc>
          <w:tcPr>
            <w:tcW w:w="4606" w:type="dxa"/>
            <w:vMerge/>
          </w:tcPr>
          <w:p w:rsidR="007F6D8A" w:rsidRPr="00340AE2" w:rsidRDefault="007F6D8A" w:rsidP="00E42971">
            <w:pPr>
              <w:rPr>
                <w:sz w:val="20"/>
                <w:szCs w:val="20"/>
                <w:lang w:val="en-US"/>
              </w:rPr>
            </w:pPr>
          </w:p>
        </w:tc>
      </w:tr>
      <w:tr w:rsidR="007F6D8A" w:rsidRPr="00872F8A" w:rsidTr="00E42971">
        <w:trPr>
          <w:trHeight w:val="1102"/>
        </w:trPr>
        <w:tc>
          <w:tcPr>
            <w:tcW w:w="4606" w:type="dxa"/>
            <w:vMerge w:val="restart"/>
          </w:tcPr>
          <w:p w:rsidR="007F6D8A" w:rsidRPr="00340AE2" w:rsidRDefault="007F6D8A" w:rsidP="00E42971">
            <w:pPr>
              <w:pStyle w:val="Geenafstand"/>
              <w:rPr>
                <w:sz w:val="20"/>
                <w:szCs w:val="20"/>
                <w:lang w:val="en-US"/>
              </w:rPr>
            </w:pPr>
            <w:r w:rsidRPr="00340AE2">
              <w:rPr>
                <w:sz w:val="20"/>
                <w:szCs w:val="20"/>
                <w:lang w:val="en-US"/>
              </w:rPr>
              <w:t>c) a contractual right:</w:t>
            </w:r>
          </w:p>
          <w:p w:rsidR="007F6D8A" w:rsidRPr="00340AE2" w:rsidRDefault="007F6D8A" w:rsidP="00E42971">
            <w:pPr>
              <w:pStyle w:val="Geenafstand"/>
              <w:rPr>
                <w:sz w:val="20"/>
                <w:szCs w:val="20"/>
                <w:lang w:val="en-US"/>
              </w:rPr>
            </w:pPr>
            <w:r w:rsidRPr="00340AE2">
              <w:rPr>
                <w:sz w:val="20"/>
                <w:szCs w:val="20"/>
                <w:lang w:val="en-US"/>
              </w:rPr>
              <w:t>- to receive cash or another financial asset from another entity</w:t>
            </w:r>
          </w:p>
          <w:p w:rsidR="007F6D8A" w:rsidRPr="00340AE2" w:rsidRDefault="007F6D8A" w:rsidP="00E42971">
            <w:pPr>
              <w:pStyle w:val="Geenafstand"/>
              <w:rPr>
                <w:sz w:val="20"/>
                <w:szCs w:val="20"/>
                <w:lang w:val="en-US"/>
              </w:rPr>
            </w:pPr>
            <w:r w:rsidRPr="00340AE2">
              <w:rPr>
                <w:sz w:val="20"/>
                <w:szCs w:val="20"/>
                <w:lang w:val="en-US"/>
              </w:rPr>
              <w:t>- to exchange financial assets or liabilities with another entity</w:t>
            </w:r>
            <w:r w:rsidRPr="00340AE2">
              <w:rPr>
                <w:rFonts w:ascii="Verdana" w:eastAsia="Times New Roman" w:hAnsi="Verdana" w:cs="Times New Roman"/>
                <w:color w:val="000000"/>
                <w:sz w:val="20"/>
                <w:szCs w:val="20"/>
                <w:lang w:val="en-US" w:eastAsia="nl-NL"/>
              </w:rPr>
              <w:t xml:space="preserve"> </w:t>
            </w:r>
            <w:r w:rsidRPr="00340AE2">
              <w:rPr>
                <w:sz w:val="20"/>
                <w:szCs w:val="20"/>
                <w:lang w:val="en-US"/>
              </w:rPr>
              <w:t>under conditions that are</w:t>
            </w:r>
            <w:r w:rsidRPr="00340AE2">
              <w:rPr>
                <w:rFonts w:ascii="Verdana" w:eastAsia="Times New Roman" w:hAnsi="Verdana" w:cs="Times New Roman"/>
                <w:color w:val="000000"/>
                <w:sz w:val="20"/>
                <w:szCs w:val="20"/>
                <w:lang w:val="en-US" w:eastAsia="nl-NL"/>
              </w:rPr>
              <w:t xml:space="preserve"> </w:t>
            </w:r>
            <w:r w:rsidRPr="00340AE2">
              <w:rPr>
                <w:sz w:val="20"/>
                <w:szCs w:val="20"/>
                <w:lang w:val="en-US"/>
              </w:rPr>
              <w:t>potentially favorable to the entity</w:t>
            </w:r>
          </w:p>
        </w:tc>
        <w:tc>
          <w:tcPr>
            <w:tcW w:w="4606" w:type="dxa"/>
            <w:vMerge/>
            <w:tcBorders>
              <w:bottom w:val="single" w:sz="4" w:space="0" w:color="auto"/>
            </w:tcBorders>
          </w:tcPr>
          <w:p w:rsidR="007F6D8A" w:rsidRPr="00340AE2" w:rsidRDefault="007F6D8A" w:rsidP="00E42971">
            <w:pPr>
              <w:rPr>
                <w:sz w:val="20"/>
                <w:szCs w:val="20"/>
                <w:lang w:val="en-US"/>
              </w:rPr>
            </w:pPr>
          </w:p>
        </w:tc>
      </w:tr>
      <w:tr w:rsidR="007F6D8A" w:rsidRPr="00872F8A" w:rsidTr="00E42971">
        <w:trPr>
          <w:trHeight w:val="513"/>
        </w:trPr>
        <w:tc>
          <w:tcPr>
            <w:tcW w:w="4606" w:type="dxa"/>
            <w:vMerge/>
          </w:tcPr>
          <w:p w:rsidR="007F6D8A" w:rsidRPr="00340AE2" w:rsidRDefault="007F6D8A" w:rsidP="00E42971">
            <w:pPr>
              <w:pStyle w:val="Geenafstand"/>
              <w:rPr>
                <w:sz w:val="20"/>
                <w:szCs w:val="20"/>
                <w:lang w:val="en-US"/>
              </w:rPr>
            </w:pPr>
          </w:p>
        </w:tc>
        <w:tc>
          <w:tcPr>
            <w:tcW w:w="4606" w:type="dxa"/>
            <w:vMerge w:val="restart"/>
            <w:tcBorders>
              <w:top w:val="single" w:sz="4" w:space="0" w:color="auto"/>
            </w:tcBorders>
          </w:tcPr>
          <w:p w:rsidR="007F6D8A" w:rsidRPr="00340AE2" w:rsidRDefault="007F6D8A" w:rsidP="00E42971">
            <w:pPr>
              <w:rPr>
                <w:sz w:val="20"/>
                <w:szCs w:val="20"/>
                <w:lang w:val="en-US" w:eastAsia="nl-NL"/>
              </w:rPr>
            </w:pPr>
            <w:r w:rsidRPr="00340AE2">
              <w:rPr>
                <w:sz w:val="20"/>
                <w:szCs w:val="20"/>
                <w:lang w:val="en-US" w:eastAsia="nl-NL"/>
              </w:rPr>
              <w:t xml:space="preserve">b) a contract that will or may be settled in the entity's own equity instruments and is: </w:t>
            </w:r>
          </w:p>
          <w:p w:rsidR="007F6D8A" w:rsidRPr="00340AE2" w:rsidRDefault="007F6D8A" w:rsidP="00E42971">
            <w:pPr>
              <w:rPr>
                <w:sz w:val="20"/>
                <w:szCs w:val="20"/>
                <w:lang w:val="en-US" w:eastAsia="nl-NL"/>
              </w:rPr>
            </w:pPr>
            <w:r w:rsidRPr="00340AE2">
              <w:rPr>
                <w:sz w:val="20"/>
                <w:szCs w:val="20"/>
                <w:lang w:val="en-US" w:eastAsia="nl-NL"/>
              </w:rPr>
              <w:t>- a non-derivative for which the entity is or may be obliged to deliver a variable number of the entity's own equity instruments</w:t>
            </w:r>
          </w:p>
          <w:p w:rsidR="007F6D8A" w:rsidRPr="00340AE2" w:rsidRDefault="007F6D8A" w:rsidP="00E42971">
            <w:pPr>
              <w:rPr>
                <w:sz w:val="20"/>
                <w:szCs w:val="20"/>
                <w:lang w:val="en-US" w:eastAsia="nl-NL"/>
              </w:rPr>
            </w:pPr>
            <w:r w:rsidRPr="00340AE2">
              <w:rPr>
                <w:sz w:val="20"/>
                <w:szCs w:val="20"/>
                <w:lang w:val="en-US" w:eastAsia="nl-NL"/>
              </w:rPr>
              <w:t>- a derivative that will or may be settled other than by the exchange of a fixed amount of cash or another financial asset for a fixed number of the entity's own equity instruments. For this purpose the entity's own equity instruments do not include instruments that are themselves contracts for the future receipt or delivery of the entity's own equity instruments.</w:t>
            </w:r>
          </w:p>
          <w:p w:rsidR="007F6D8A" w:rsidRPr="00340AE2" w:rsidRDefault="007F6D8A" w:rsidP="00E42971">
            <w:pPr>
              <w:rPr>
                <w:sz w:val="20"/>
                <w:szCs w:val="20"/>
                <w:lang w:val="en-US"/>
              </w:rPr>
            </w:pPr>
          </w:p>
        </w:tc>
      </w:tr>
      <w:tr w:rsidR="007F6D8A" w:rsidRPr="00872F8A" w:rsidTr="00E42971">
        <w:tc>
          <w:tcPr>
            <w:tcW w:w="4606" w:type="dxa"/>
          </w:tcPr>
          <w:p w:rsidR="007F6D8A" w:rsidRPr="00340AE2" w:rsidRDefault="007F6D8A" w:rsidP="00E42971">
            <w:pPr>
              <w:rPr>
                <w:sz w:val="20"/>
                <w:szCs w:val="20"/>
                <w:lang w:val="en-US"/>
              </w:rPr>
            </w:pPr>
            <w:r w:rsidRPr="00340AE2">
              <w:rPr>
                <w:sz w:val="20"/>
                <w:szCs w:val="20"/>
                <w:lang w:val="en-US"/>
              </w:rPr>
              <w:t>d) a contract that will or may be settled in the entity’s own equity instruments:</w:t>
            </w:r>
          </w:p>
          <w:p w:rsidR="007F6D8A" w:rsidRPr="00340AE2" w:rsidRDefault="007F6D8A" w:rsidP="00E42971">
            <w:pPr>
              <w:rPr>
                <w:sz w:val="20"/>
                <w:szCs w:val="20"/>
                <w:lang w:val="en-US" w:eastAsia="nl-NL"/>
              </w:rPr>
            </w:pPr>
            <w:r w:rsidRPr="00340AE2">
              <w:rPr>
                <w:sz w:val="20"/>
                <w:szCs w:val="20"/>
                <w:lang w:val="en-US"/>
              </w:rPr>
              <w:t xml:space="preserve">- </w:t>
            </w:r>
            <w:r w:rsidRPr="00340AE2">
              <w:rPr>
                <w:sz w:val="20"/>
                <w:szCs w:val="20"/>
                <w:lang w:val="en-US" w:eastAsia="nl-NL"/>
              </w:rPr>
              <w:t>a non-derivative for which the entity is or may be obliged to receive a variable number of the entity's own equity instruments</w:t>
            </w:r>
          </w:p>
          <w:p w:rsidR="007F6D8A" w:rsidRPr="00340AE2" w:rsidRDefault="007F6D8A" w:rsidP="00E42971">
            <w:pPr>
              <w:rPr>
                <w:sz w:val="20"/>
                <w:szCs w:val="20"/>
                <w:lang w:val="en-US" w:eastAsia="nl-NL"/>
              </w:rPr>
            </w:pPr>
            <w:r w:rsidRPr="00340AE2">
              <w:rPr>
                <w:sz w:val="20"/>
                <w:szCs w:val="20"/>
                <w:lang w:val="en-US" w:eastAsia="nl-NL"/>
              </w:rPr>
              <w:t>- a derivative that will or may be settled other than by the exchange of a fixed amount of cash or another financial asset for a fixed number of the entity's own equity instruments. For this purpose the entity's own equity instruments do not include instruments that are themselves contracts for the future receipt or delivery of the entity's own equity instruments.</w:t>
            </w:r>
          </w:p>
        </w:tc>
        <w:tc>
          <w:tcPr>
            <w:tcW w:w="4606" w:type="dxa"/>
            <w:vMerge/>
          </w:tcPr>
          <w:p w:rsidR="007F6D8A" w:rsidRPr="00340AE2" w:rsidRDefault="007F6D8A" w:rsidP="00E42971">
            <w:pPr>
              <w:rPr>
                <w:sz w:val="20"/>
                <w:szCs w:val="20"/>
                <w:lang w:val="en-US"/>
              </w:rPr>
            </w:pPr>
          </w:p>
        </w:tc>
      </w:tr>
    </w:tbl>
    <w:p w:rsidR="00BE7466" w:rsidRPr="00DA0DCD" w:rsidRDefault="00BF229D" w:rsidP="00167E0F">
      <w:pPr>
        <w:jc w:val="center"/>
        <w:rPr>
          <w:sz w:val="20"/>
          <w:szCs w:val="20"/>
          <w:lang w:val="en-US"/>
        </w:rPr>
      </w:pPr>
      <w:r w:rsidRPr="00DA0DCD">
        <w:rPr>
          <w:sz w:val="20"/>
          <w:szCs w:val="20"/>
          <w:lang w:val="en-US"/>
        </w:rPr>
        <w:t>Table 2.1. Financial assets and liabilities</w:t>
      </w:r>
      <w:r w:rsidR="00621E17" w:rsidRPr="00DA0DCD">
        <w:rPr>
          <w:sz w:val="20"/>
          <w:szCs w:val="20"/>
          <w:lang w:val="en-US"/>
        </w:rPr>
        <w:t xml:space="preserve"> definitions</w:t>
      </w:r>
      <w:r w:rsidR="0077354B" w:rsidRPr="00DA0DCD">
        <w:rPr>
          <w:sz w:val="20"/>
          <w:szCs w:val="20"/>
          <w:lang w:val="en-US"/>
        </w:rPr>
        <w:t>, prepared using</w:t>
      </w:r>
      <w:r w:rsidR="00D30FE5" w:rsidRPr="00DA0DCD">
        <w:rPr>
          <w:sz w:val="20"/>
          <w:szCs w:val="20"/>
          <w:lang w:val="en-US"/>
        </w:rPr>
        <w:t xml:space="preserve"> IAS32</w:t>
      </w:r>
      <w:r w:rsidR="00167E0F" w:rsidRPr="00DA0DCD">
        <w:rPr>
          <w:sz w:val="20"/>
          <w:szCs w:val="20"/>
          <w:lang w:val="en-US"/>
        </w:rPr>
        <w:t>.11</w:t>
      </w:r>
    </w:p>
    <w:p w:rsidR="00F55605" w:rsidRPr="00DA0DCD" w:rsidRDefault="00F55605" w:rsidP="00F55605">
      <w:pPr>
        <w:spacing w:after="0"/>
        <w:rPr>
          <w:lang w:val="en-US"/>
        </w:rPr>
      </w:pPr>
      <w:r w:rsidRPr="00DA0DCD">
        <w:rPr>
          <w:lang w:val="en-US"/>
        </w:rPr>
        <w:lastRenderedPageBreak/>
        <w:t xml:space="preserve">For a good understanding, derivates are contracts that responses to a change in a market factor. Examples of derivates are forwards, swaps, options. In IAS 39.9 is stated that a financial instrument or contract can be defined as a derivate when it meets the following three characteristics: (1) </w:t>
      </w:r>
      <w:r w:rsidR="008A2D48">
        <w:rPr>
          <w:lang w:val="en-US"/>
        </w:rPr>
        <w:t>V</w:t>
      </w:r>
      <w:r w:rsidRPr="00DA0DCD">
        <w:rPr>
          <w:lang w:val="en-US"/>
        </w:rPr>
        <w:t xml:space="preserve">alue changes in response to the change in a financial or non-financial variable. (2) No initial net investment is required or investment is smaller than other contracts with a similar response on a change in market factor. (3) It is settled at a future date. Non-derivates are assets and liabilities as presented in table 2.1. </w:t>
      </w:r>
    </w:p>
    <w:p w:rsidR="00621E17" w:rsidRPr="00DA0DCD" w:rsidRDefault="00BE7466" w:rsidP="00BE7466">
      <w:pPr>
        <w:pStyle w:val="Kop2"/>
        <w:numPr>
          <w:ilvl w:val="1"/>
          <w:numId w:val="14"/>
        </w:numPr>
        <w:rPr>
          <w:lang w:val="en-US"/>
        </w:rPr>
      </w:pPr>
      <w:r w:rsidRPr="00DA0DCD">
        <w:rPr>
          <w:lang w:val="en-US"/>
        </w:rPr>
        <w:t xml:space="preserve"> </w:t>
      </w:r>
      <w:bookmarkStart w:id="10" w:name="_Toc270770555"/>
      <w:r w:rsidR="00362E14" w:rsidRPr="00DA0DCD">
        <w:rPr>
          <w:lang w:val="en-US"/>
        </w:rPr>
        <w:t>Categories</w:t>
      </w:r>
      <w:bookmarkEnd w:id="10"/>
    </w:p>
    <w:p w:rsidR="00BE7466" w:rsidRPr="00DA0DCD" w:rsidRDefault="00772F50" w:rsidP="00BE7466">
      <w:pPr>
        <w:spacing w:after="0"/>
        <w:rPr>
          <w:lang w:val="en-US"/>
        </w:rPr>
      </w:pPr>
      <w:r w:rsidRPr="00DA0DCD">
        <w:rPr>
          <w:lang w:val="en-US"/>
        </w:rPr>
        <w:t xml:space="preserve">In IAS 39.9 </w:t>
      </w:r>
      <w:r w:rsidR="00621E17" w:rsidRPr="00DA0DCD">
        <w:rPr>
          <w:lang w:val="en-US"/>
        </w:rPr>
        <w:t>are four</w:t>
      </w:r>
      <w:r w:rsidRPr="00DA0DCD">
        <w:rPr>
          <w:lang w:val="en-US"/>
        </w:rPr>
        <w:t xml:space="preserve"> mandatory </w:t>
      </w:r>
      <w:r w:rsidR="00621E17" w:rsidRPr="00DA0DCD">
        <w:rPr>
          <w:lang w:val="en-US"/>
        </w:rPr>
        <w:t>categories</w:t>
      </w:r>
      <w:r w:rsidRPr="00DA0DCD">
        <w:rPr>
          <w:lang w:val="en-US"/>
        </w:rPr>
        <w:t xml:space="preserve"> </w:t>
      </w:r>
      <w:r w:rsidR="00621E17" w:rsidRPr="00DA0DCD">
        <w:rPr>
          <w:lang w:val="en-US"/>
        </w:rPr>
        <w:t>of financial instruments</w:t>
      </w:r>
      <w:r w:rsidRPr="00DA0DCD">
        <w:rPr>
          <w:lang w:val="en-US"/>
        </w:rPr>
        <w:t xml:space="preserve"> presented. These categories are</w:t>
      </w:r>
      <w:r w:rsidR="00621E17" w:rsidRPr="00DA0DCD">
        <w:rPr>
          <w:lang w:val="en-US"/>
        </w:rPr>
        <w:t>: (1) Financial assets or liabilities at fair value through profit or loss, (2) Held to maturity in investments, (3) Loans and receivables and (4) Available for sale financial assets. The first category consist of financial assets and liabilities that are classified as ‘held for trading</w:t>
      </w:r>
      <w:r w:rsidR="005707E9" w:rsidRPr="00DA0DCD">
        <w:rPr>
          <w:lang w:val="en-US"/>
        </w:rPr>
        <w:t>’</w:t>
      </w:r>
      <w:r w:rsidR="00621E17" w:rsidRPr="00DA0DCD">
        <w:rPr>
          <w:lang w:val="en-US"/>
        </w:rPr>
        <w:t xml:space="preserve"> and instruments which are, upon initial recognition, designated by the entity as fair value through profit or loss. These instruments are measured at fair value</w:t>
      </w:r>
      <w:r w:rsidR="00BE7466" w:rsidRPr="00DA0DCD">
        <w:rPr>
          <w:lang w:val="en-US"/>
        </w:rPr>
        <w:t>. Fair value is defined as:</w:t>
      </w:r>
    </w:p>
    <w:p w:rsidR="00BE7466" w:rsidRPr="00DA0DCD" w:rsidRDefault="00BE7466" w:rsidP="00BE7466">
      <w:pPr>
        <w:spacing w:after="0"/>
        <w:ind w:left="708"/>
        <w:rPr>
          <w:lang w:val="en-US"/>
        </w:rPr>
      </w:pPr>
      <w:r w:rsidRPr="00DA0DCD">
        <w:rPr>
          <w:lang w:val="en-US"/>
        </w:rPr>
        <w:t xml:space="preserve"> “</w:t>
      </w:r>
      <w:r w:rsidRPr="00DA0DCD">
        <w:rPr>
          <w:i/>
          <w:lang w:val="en-US"/>
        </w:rPr>
        <w:t>Fair value is the amount for which an asset could be exchanged, or a liability settled, between knowledgeable, willing parties in an arm's length transaction.</w:t>
      </w:r>
      <w:r w:rsidR="003010F8" w:rsidRPr="00DA0DCD">
        <w:rPr>
          <w:lang w:val="en-US"/>
        </w:rPr>
        <w:t>” IAS 39.9</w:t>
      </w:r>
    </w:p>
    <w:p w:rsidR="00621E17" w:rsidRPr="00DA0DCD" w:rsidRDefault="003010F8" w:rsidP="00BE7466">
      <w:pPr>
        <w:spacing w:after="0"/>
        <w:rPr>
          <w:lang w:val="en-US"/>
        </w:rPr>
      </w:pPr>
      <w:r w:rsidRPr="00DA0DCD">
        <w:rPr>
          <w:lang w:val="en-US"/>
        </w:rPr>
        <w:t>Thus</w:t>
      </w:r>
      <w:r w:rsidR="00E65AFA" w:rsidRPr="00DA0DCD">
        <w:rPr>
          <w:lang w:val="en-US"/>
        </w:rPr>
        <w:t>,</w:t>
      </w:r>
      <w:r w:rsidRPr="00DA0DCD">
        <w:rPr>
          <w:lang w:val="en-US"/>
        </w:rPr>
        <w:t xml:space="preserve"> fair value is the value</w:t>
      </w:r>
      <w:r w:rsidR="008D5AE5" w:rsidRPr="00DA0DCD">
        <w:rPr>
          <w:lang w:val="en-US"/>
        </w:rPr>
        <w:t xml:space="preserve"> that</w:t>
      </w:r>
      <w:r w:rsidRPr="00DA0DCD">
        <w:rPr>
          <w:lang w:val="en-US"/>
        </w:rPr>
        <w:t xml:space="preserve"> </w:t>
      </w:r>
      <w:r w:rsidR="004E50D6" w:rsidRPr="00DA0DCD">
        <w:rPr>
          <w:lang w:val="en-US"/>
        </w:rPr>
        <w:t>arise from</w:t>
      </w:r>
      <w:r w:rsidR="00B26FA3" w:rsidRPr="00DA0DCD">
        <w:rPr>
          <w:lang w:val="en-US"/>
        </w:rPr>
        <w:t xml:space="preserve"> demand and supply and could </w:t>
      </w:r>
      <w:r w:rsidRPr="00DA0DCD">
        <w:rPr>
          <w:lang w:val="en-US"/>
        </w:rPr>
        <w:t xml:space="preserve">in other words </w:t>
      </w:r>
      <w:r w:rsidR="00B26FA3" w:rsidRPr="00DA0DCD">
        <w:rPr>
          <w:lang w:val="en-US"/>
        </w:rPr>
        <w:t xml:space="preserve">be stated as the </w:t>
      </w:r>
      <w:r w:rsidRPr="00DA0DCD">
        <w:rPr>
          <w:lang w:val="en-US"/>
        </w:rPr>
        <w:t>market value.</w:t>
      </w:r>
      <w:r w:rsidR="00B26FA3" w:rsidRPr="00DA0DCD">
        <w:rPr>
          <w:color w:val="FF0000"/>
          <w:lang w:val="en-US"/>
        </w:rPr>
        <w:t xml:space="preserve"> </w:t>
      </w:r>
      <w:r w:rsidR="00621E17" w:rsidRPr="00DA0DCD">
        <w:rPr>
          <w:lang w:val="en-US"/>
        </w:rPr>
        <w:t>The changes in the fair value are accounted in the Profit- and Loss account.</w:t>
      </w:r>
      <w:r w:rsidR="00BE7466" w:rsidRPr="00DA0DCD">
        <w:rPr>
          <w:lang w:val="en-US"/>
        </w:rPr>
        <w:t xml:space="preserve"> </w:t>
      </w:r>
      <w:r w:rsidR="00621E17" w:rsidRPr="00DA0DCD">
        <w:rPr>
          <w:lang w:val="en-US"/>
        </w:rPr>
        <w:t>Instruments in the second category</w:t>
      </w:r>
      <w:r w:rsidR="0064265B" w:rsidRPr="00DA0DCD">
        <w:rPr>
          <w:lang w:val="en-US"/>
        </w:rPr>
        <w:t xml:space="preserve"> ‘held to maturity’</w:t>
      </w:r>
      <w:r w:rsidR="00621E17" w:rsidRPr="00DA0DCD">
        <w:rPr>
          <w:lang w:val="en-US"/>
        </w:rPr>
        <w:t xml:space="preserve"> are non-derivate financial assets with fixed or determinable payments. These instruments are measured at amortized costs. </w:t>
      </w:r>
      <w:r w:rsidR="00BE7466" w:rsidRPr="00DA0DCD">
        <w:rPr>
          <w:lang w:val="en-US"/>
        </w:rPr>
        <w:t>Amortized costs are defined as:</w:t>
      </w:r>
    </w:p>
    <w:p w:rsidR="00BE7466" w:rsidRPr="00DA0DCD" w:rsidRDefault="00BE7466" w:rsidP="00BE7466">
      <w:pPr>
        <w:spacing w:after="0"/>
        <w:ind w:left="708"/>
        <w:rPr>
          <w:lang w:val="en-US"/>
        </w:rPr>
      </w:pPr>
      <w:r w:rsidRPr="00DA0DCD">
        <w:rPr>
          <w:lang w:val="en-US"/>
        </w:rPr>
        <w:t>“</w:t>
      </w:r>
      <w:r w:rsidRPr="00DA0DCD">
        <w:rPr>
          <w:i/>
          <w:lang w:val="en-US"/>
        </w:rPr>
        <w:t>The </w:t>
      </w:r>
      <w:r w:rsidRPr="00DA0DCD">
        <w:rPr>
          <w:i/>
          <w:iCs/>
          <w:lang w:val="en-US"/>
        </w:rPr>
        <w:t>amortised cost of a financial asset or financial liability</w:t>
      </w:r>
      <w:r w:rsidRPr="00DA0DCD">
        <w:rPr>
          <w:i/>
          <w:lang w:val="en-US"/>
        </w:rPr>
        <w:t xml:space="preserve"> is the amount at which the financial asset or financial liability is measured at initial recognition minus principal repayments, plus or minus the cumulative amortisation using the effective interest method of any difference between that initial amount and the maturity amount, and minus any reduction (directly or through the use of an allowance account) for impairment or uncollectibility.</w:t>
      </w:r>
      <w:r w:rsidR="003010F8" w:rsidRPr="00DA0DCD">
        <w:rPr>
          <w:lang w:val="en-US"/>
        </w:rPr>
        <w:t>” IAS 39.9</w:t>
      </w:r>
    </w:p>
    <w:p w:rsidR="0004015C" w:rsidRPr="00DA0DCD" w:rsidRDefault="00B26FA3" w:rsidP="00E65AFA">
      <w:pPr>
        <w:spacing w:after="0"/>
        <w:rPr>
          <w:lang w:val="en-US"/>
        </w:rPr>
      </w:pPr>
      <w:r w:rsidRPr="00DA0DCD">
        <w:rPr>
          <w:lang w:val="en-US"/>
        </w:rPr>
        <w:t>This definition of</w:t>
      </w:r>
      <w:r w:rsidR="006047F6" w:rsidRPr="00DA0DCD">
        <w:rPr>
          <w:lang w:val="en-US"/>
        </w:rPr>
        <w:t xml:space="preserve"> amortized costs</w:t>
      </w:r>
      <w:r w:rsidRPr="00DA0DCD">
        <w:rPr>
          <w:lang w:val="en-US"/>
        </w:rPr>
        <w:t xml:space="preserve"> can be described as the</w:t>
      </w:r>
      <w:r w:rsidR="006047F6" w:rsidRPr="00DA0DCD">
        <w:rPr>
          <w:lang w:val="en-US"/>
        </w:rPr>
        <w:t xml:space="preserve"> initial </w:t>
      </w:r>
      <w:r w:rsidR="003B24AA" w:rsidRPr="00DA0DCD">
        <w:rPr>
          <w:lang w:val="en-US"/>
        </w:rPr>
        <w:t xml:space="preserve">fair value </w:t>
      </w:r>
      <w:r w:rsidR="003F3AFC" w:rsidRPr="00DA0DCD">
        <w:rPr>
          <w:lang w:val="en-US"/>
        </w:rPr>
        <w:t>recognition</w:t>
      </w:r>
      <w:r w:rsidRPr="00DA0DCD">
        <w:rPr>
          <w:lang w:val="en-US"/>
        </w:rPr>
        <w:t xml:space="preserve"> of a financial instrument</w:t>
      </w:r>
      <w:r w:rsidR="003F3AFC" w:rsidRPr="00DA0DCD">
        <w:rPr>
          <w:lang w:val="en-US"/>
        </w:rPr>
        <w:t xml:space="preserve"> minus principal repayments, plus or minus the cumulative amortization using the effective interest method</w:t>
      </w:r>
      <w:r w:rsidR="0004015C" w:rsidRPr="00DA0DCD">
        <w:rPr>
          <w:lang w:val="en-US"/>
        </w:rPr>
        <w:t>.</w:t>
      </w:r>
      <w:r w:rsidRPr="00DA0DCD">
        <w:rPr>
          <w:lang w:val="en-US"/>
        </w:rPr>
        <w:t xml:space="preserve"> The </w:t>
      </w:r>
      <w:r w:rsidR="0004015C" w:rsidRPr="00DA0DCD">
        <w:rPr>
          <w:lang w:val="en-US"/>
        </w:rPr>
        <w:t>effective interest method</w:t>
      </w:r>
      <w:r w:rsidRPr="00DA0DCD">
        <w:rPr>
          <w:lang w:val="en-US"/>
        </w:rPr>
        <w:t xml:space="preserve"> is </w:t>
      </w:r>
      <w:r w:rsidR="003B24AA" w:rsidRPr="00DA0DCD">
        <w:rPr>
          <w:lang w:val="en-US"/>
        </w:rPr>
        <w:t>mentioned as the method of calculating the amortized costs</w:t>
      </w:r>
      <w:r w:rsidRPr="00DA0DCD">
        <w:rPr>
          <w:lang w:val="en-US"/>
        </w:rPr>
        <w:t xml:space="preserve"> </w:t>
      </w:r>
      <w:r w:rsidR="003B24AA" w:rsidRPr="00DA0DCD">
        <w:rPr>
          <w:lang w:val="en-US"/>
        </w:rPr>
        <w:t>using the effective interest rate. This rate discounts exactly estimated future cash receipts or payments (IAS 39.9).</w:t>
      </w:r>
    </w:p>
    <w:p w:rsidR="00621E17" w:rsidRPr="00DA0DCD" w:rsidRDefault="00621E17" w:rsidP="00BE7466">
      <w:pPr>
        <w:rPr>
          <w:lang w:val="en-US"/>
        </w:rPr>
      </w:pPr>
      <w:r w:rsidRPr="00DA0DCD">
        <w:rPr>
          <w:lang w:val="en-US"/>
        </w:rPr>
        <w:t xml:space="preserve">Category three has to do with the </w:t>
      </w:r>
      <w:r w:rsidR="005A4D37" w:rsidRPr="00DA0DCD">
        <w:rPr>
          <w:lang w:val="en-US"/>
        </w:rPr>
        <w:t>‘</w:t>
      </w:r>
      <w:r w:rsidRPr="00DA0DCD">
        <w:rPr>
          <w:lang w:val="en-US"/>
        </w:rPr>
        <w:t>loans and receivables</w:t>
      </w:r>
      <w:r w:rsidR="005A4D37" w:rsidRPr="00DA0DCD">
        <w:rPr>
          <w:lang w:val="en-US"/>
        </w:rPr>
        <w:t>’</w:t>
      </w:r>
      <w:r w:rsidRPr="00DA0DCD">
        <w:rPr>
          <w:lang w:val="en-US"/>
        </w:rPr>
        <w:t xml:space="preserve"> which are non-derivative financial assets with fixed or determined payments that are not quoted in an active market.  </w:t>
      </w:r>
      <w:r w:rsidR="0064265B" w:rsidRPr="00DA0DCD">
        <w:rPr>
          <w:lang w:val="en-US"/>
        </w:rPr>
        <w:t>The financial instruments in this category are measured at a</w:t>
      </w:r>
      <w:r w:rsidRPr="00DA0DCD">
        <w:rPr>
          <w:lang w:val="en-US"/>
        </w:rPr>
        <w:t>mortized cost</w:t>
      </w:r>
      <w:r w:rsidR="0064265B" w:rsidRPr="00DA0DCD">
        <w:rPr>
          <w:lang w:val="en-US"/>
        </w:rPr>
        <w:t xml:space="preserve">. </w:t>
      </w:r>
      <w:r w:rsidRPr="00DA0DCD">
        <w:rPr>
          <w:lang w:val="en-US"/>
        </w:rPr>
        <w:t xml:space="preserve">The fourth category ‘available for sale’ financial assets are non-derivative financial assets that are designated as available for sale. </w:t>
      </w:r>
      <w:r w:rsidR="00F248E4" w:rsidRPr="00DA0DCD">
        <w:rPr>
          <w:lang w:val="en-US"/>
        </w:rPr>
        <w:t xml:space="preserve">These financial instruments are measured at </w:t>
      </w:r>
      <w:r w:rsidR="008A2D48">
        <w:rPr>
          <w:lang w:val="en-US"/>
        </w:rPr>
        <w:t>f</w:t>
      </w:r>
      <w:r w:rsidRPr="00DA0DCD">
        <w:rPr>
          <w:lang w:val="en-US"/>
        </w:rPr>
        <w:t>air value</w:t>
      </w:r>
      <w:r w:rsidR="00763503" w:rsidRPr="00DA0DCD">
        <w:rPr>
          <w:lang w:val="en-US"/>
        </w:rPr>
        <w:t>. Gains and losses from revaluation of the ‘available for sale’ assets are accounted on the balance sheet (Shareholders equity) until they are realized.</w:t>
      </w:r>
    </w:p>
    <w:p w:rsidR="00BB4A2E" w:rsidRPr="00DA0DCD" w:rsidRDefault="0064265B" w:rsidP="0064265B">
      <w:pPr>
        <w:pStyle w:val="Kop2"/>
        <w:numPr>
          <w:ilvl w:val="1"/>
          <w:numId w:val="14"/>
        </w:numPr>
        <w:rPr>
          <w:lang w:val="en-US"/>
        </w:rPr>
      </w:pPr>
      <w:r w:rsidRPr="00DA0DCD">
        <w:rPr>
          <w:lang w:val="en-US"/>
        </w:rPr>
        <w:t xml:space="preserve"> </w:t>
      </w:r>
      <w:bookmarkStart w:id="11" w:name="_Toc270770556"/>
      <w:r w:rsidR="00B26FA3" w:rsidRPr="00DA0DCD">
        <w:rPr>
          <w:lang w:val="en-US"/>
        </w:rPr>
        <w:t>M</w:t>
      </w:r>
      <w:r w:rsidRPr="00DA0DCD">
        <w:rPr>
          <w:lang w:val="en-US"/>
        </w:rPr>
        <w:t xml:space="preserve">easurement and </w:t>
      </w:r>
      <w:r w:rsidR="00B26FA3" w:rsidRPr="00DA0DCD">
        <w:rPr>
          <w:lang w:val="en-US"/>
        </w:rPr>
        <w:t>recognition</w:t>
      </w:r>
      <w:bookmarkEnd w:id="11"/>
    </w:p>
    <w:p w:rsidR="0021638D" w:rsidRDefault="0064265B" w:rsidP="0064265B">
      <w:pPr>
        <w:rPr>
          <w:lang w:val="en-US"/>
        </w:rPr>
      </w:pPr>
      <w:r w:rsidRPr="00DA0DCD">
        <w:rPr>
          <w:lang w:val="en-US"/>
        </w:rPr>
        <w:t>Initial</w:t>
      </w:r>
      <w:r w:rsidR="00D321D0" w:rsidRPr="00DA0DCD">
        <w:rPr>
          <w:lang w:val="en-US"/>
        </w:rPr>
        <w:t>ly</w:t>
      </w:r>
      <w:r w:rsidRPr="00DA0DCD">
        <w:rPr>
          <w:lang w:val="en-US"/>
        </w:rPr>
        <w:t xml:space="preserve"> are </w:t>
      </w:r>
      <w:r w:rsidR="00D321D0" w:rsidRPr="00DA0DCD">
        <w:rPr>
          <w:lang w:val="en-US"/>
        </w:rPr>
        <w:t xml:space="preserve">financial assets and liabilities measured and </w:t>
      </w:r>
      <w:r w:rsidRPr="00DA0DCD">
        <w:rPr>
          <w:lang w:val="en-US"/>
        </w:rPr>
        <w:t xml:space="preserve">recognized at </w:t>
      </w:r>
      <w:r w:rsidR="00D321D0" w:rsidRPr="00DA0DCD">
        <w:rPr>
          <w:lang w:val="en-US"/>
        </w:rPr>
        <w:t xml:space="preserve">their </w:t>
      </w:r>
      <w:r w:rsidRPr="00DA0DCD">
        <w:rPr>
          <w:lang w:val="en-US"/>
        </w:rPr>
        <w:t>fair value</w:t>
      </w:r>
      <w:r w:rsidR="00D321D0" w:rsidRPr="00DA0DCD">
        <w:rPr>
          <w:lang w:val="en-US"/>
        </w:rPr>
        <w:t>s</w:t>
      </w:r>
      <w:r w:rsidRPr="00DA0DCD">
        <w:rPr>
          <w:lang w:val="en-US"/>
        </w:rPr>
        <w:t xml:space="preserve">. Financial assets and liabilities </w:t>
      </w:r>
      <w:r w:rsidR="000E66DD" w:rsidRPr="00DA0DCD">
        <w:rPr>
          <w:lang w:val="en-US"/>
        </w:rPr>
        <w:t xml:space="preserve">that are </w:t>
      </w:r>
      <w:r w:rsidR="00D321D0" w:rsidRPr="00DA0DCD">
        <w:rPr>
          <w:lang w:val="en-US"/>
        </w:rPr>
        <w:t xml:space="preserve">not </w:t>
      </w:r>
      <w:r w:rsidR="000E66DD" w:rsidRPr="00DA0DCD">
        <w:rPr>
          <w:lang w:val="en-US"/>
        </w:rPr>
        <w:t>recognized at fair value through profit and loss are measured at fair value plus transaction costs.</w:t>
      </w:r>
      <w:r w:rsidR="00232DBF" w:rsidRPr="00DA0DCD">
        <w:rPr>
          <w:lang w:val="en-US"/>
        </w:rPr>
        <w:t xml:space="preserve"> </w:t>
      </w:r>
      <w:r w:rsidR="000E4B1D" w:rsidRPr="00DA0DCD">
        <w:rPr>
          <w:lang w:val="en-US"/>
        </w:rPr>
        <w:t>The transaction cost must be excluded a</w:t>
      </w:r>
      <w:r w:rsidR="00AB48BA" w:rsidRPr="00DA0DCD">
        <w:rPr>
          <w:lang w:val="en-US"/>
        </w:rPr>
        <w:t xml:space="preserve">t initial measurement </w:t>
      </w:r>
      <w:r w:rsidR="000E4B1D" w:rsidRPr="00DA0DCD">
        <w:rPr>
          <w:lang w:val="en-US"/>
        </w:rPr>
        <w:t xml:space="preserve">and recognition </w:t>
      </w:r>
      <w:r w:rsidR="00AB48BA" w:rsidRPr="00DA0DCD">
        <w:rPr>
          <w:lang w:val="en-US"/>
        </w:rPr>
        <w:t xml:space="preserve">of financial assets or liabilities at fair value through profit or loss. </w:t>
      </w:r>
      <w:r w:rsidR="00232DBF" w:rsidRPr="00DA0DCD">
        <w:rPr>
          <w:lang w:val="en-US"/>
        </w:rPr>
        <w:t>After this initial</w:t>
      </w:r>
      <w:r w:rsidR="005721C1" w:rsidRPr="00DA0DCD">
        <w:rPr>
          <w:lang w:val="en-US"/>
        </w:rPr>
        <w:t xml:space="preserve"> </w:t>
      </w:r>
      <w:r w:rsidR="005721C1" w:rsidRPr="00DA0DCD">
        <w:rPr>
          <w:lang w:val="en-US"/>
        </w:rPr>
        <w:lastRenderedPageBreak/>
        <w:t xml:space="preserve">recognition </w:t>
      </w:r>
      <w:r w:rsidR="00F248E4" w:rsidRPr="00DA0DCD">
        <w:rPr>
          <w:lang w:val="en-US"/>
        </w:rPr>
        <w:t xml:space="preserve">the financial instruments are standard classified in categories as described in </w:t>
      </w:r>
      <w:r w:rsidR="00947A7D" w:rsidRPr="00DA0DCD">
        <w:rPr>
          <w:lang w:val="en-US"/>
        </w:rPr>
        <w:t>paragraph</w:t>
      </w:r>
      <w:r w:rsidR="00F248E4" w:rsidRPr="00DA0DCD">
        <w:rPr>
          <w:lang w:val="en-US"/>
        </w:rPr>
        <w:t xml:space="preserve"> 2.3. This means that </w:t>
      </w:r>
      <w:r w:rsidR="005721C1" w:rsidRPr="00DA0DCD">
        <w:rPr>
          <w:lang w:val="en-US"/>
        </w:rPr>
        <w:t>financial assets</w:t>
      </w:r>
      <w:r w:rsidR="00F248E4" w:rsidRPr="00DA0DCD">
        <w:rPr>
          <w:lang w:val="en-US"/>
        </w:rPr>
        <w:t xml:space="preserve"> after initial recognition</w:t>
      </w:r>
      <w:r w:rsidR="005721C1" w:rsidRPr="00DA0DCD">
        <w:rPr>
          <w:lang w:val="en-US"/>
        </w:rPr>
        <w:t xml:space="preserve"> shall be measured at fair value</w:t>
      </w:r>
      <w:r w:rsidR="00F248E4" w:rsidRPr="00DA0DCD">
        <w:rPr>
          <w:lang w:val="en-US"/>
        </w:rPr>
        <w:t>, except for f</w:t>
      </w:r>
      <w:r w:rsidR="005721C1" w:rsidRPr="00DA0DCD">
        <w:rPr>
          <w:lang w:val="en-US"/>
        </w:rPr>
        <w:t>inancial instruments which categorized as ‘loans and receivables’</w:t>
      </w:r>
      <w:r w:rsidR="00AC7614" w:rsidRPr="00DA0DCD">
        <w:rPr>
          <w:lang w:val="en-US"/>
        </w:rPr>
        <w:t xml:space="preserve"> and</w:t>
      </w:r>
      <w:r w:rsidR="005721C1" w:rsidRPr="00DA0DCD">
        <w:rPr>
          <w:lang w:val="en-US"/>
        </w:rPr>
        <w:t xml:space="preserve"> ‘held-to-maturity’</w:t>
      </w:r>
      <w:r w:rsidR="00F248E4" w:rsidRPr="00DA0DCD">
        <w:rPr>
          <w:lang w:val="en-US"/>
        </w:rPr>
        <w:t>. The financial instruments in these categories</w:t>
      </w:r>
      <w:r w:rsidR="005721C1" w:rsidRPr="00DA0DCD">
        <w:rPr>
          <w:lang w:val="en-US"/>
        </w:rPr>
        <w:t xml:space="preserve"> </w:t>
      </w:r>
      <w:r w:rsidR="005F05FD" w:rsidRPr="00DA0DCD">
        <w:rPr>
          <w:lang w:val="en-US"/>
        </w:rPr>
        <w:t xml:space="preserve">may deduct for transaction costs that </w:t>
      </w:r>
      <w:r w:rsidR="00F248E4" w:rsidRPr="00DA0DCD">
        <w:rPr>
          <w:lang w:val="en-US"/>
        </w:rPr>
        <w:t>incur</w:t>
      </w:r>
      <w:r w:rsidR="005F05FD" w:rsidRPr="00DA0DCD">
        <w:rPr>
          <w:lang w:val="en-US"/>
        </w:rPr>
        <w:t xml:space="preserve"> on sal</w:t>
      </w:r>
      <w:r w:rsidR="00F248E4" w:rsidRPr="00DA0DCD">
        <w:rPr>
          <w:lang w:val="en-US"/>
        </w:rPr>
        <w:t>e or other disposals and shall be measured at amortized cost using the effective interest method.</w:t>
      </w:r>
      <w:r w:rsidR="005A4D37" w:rsidRPr="00DA0DCD">
        <w:rPr>
          <w:lang w:val="en-US"/>
        </w:rPr>
        <w:t xml:space="preserve"> </w:t>
      </w:r>
    </w:p>
    <w:p w:rsidR="0021638D" w:rsidRPr="00DA0DCD" w:rsidRDefault="004A6C4C" w:rsidP="008E50AB">
      <w:pPr>
        <w:spacing w:after="0"/>
        <w:rPr>
          <w:lang w:val="en-US"/>
        </w:rPr>
      </w:pPr>
      <w:r w:rsidRPr="00DA0DCD">
        <w:rPr>
          <w:lang w:val="en-US"/>
        </w:rPr>
        <w:t xml:space="preserve">The different categories of </w:t>
      </w:r>
      <w:r w:rsidR="00947A7D" w:rsidRPr="00DA0DCD">
        <w:rPr>
          <w:lang w:val="en-US"/>
        </w:rPr>
        <w:t>paragraph</w:t>
      </w:r>
      <w:r w:rsidR="0021638D" w:rsidRPr="00DA0DCD">
        <w:rPr>
          <w:lang w:val="en-US"/>
        </w:rPr>
        <w:t xml:space="preserve"> 2.3 </w:t>
      </w:r>
      <w:r w:rsidR="00F52553" w:rsidRPr="00DA0DCD">
        <w:rPr>
          <w:lang w:val="en-US"/>
        </w:rPr>
        <w:t>and the</w:t>
      </w:r>
      <w:r w:rsidRPr="00DA0DCD">
        <w:rPr>
          <w:lang w:val="en-US"/>
        </w:rPr>
        <w:t xml:space="preserve"> measurement and recognition of </w:t>
      </w:r>
      <w:r w:rsidR="00947A7D" w:rsidRPr="00DA0DCD">
        <w:rPr>
          <w:lang w:val="en-US"/>
        </w:rPr>
        <w:t>paragraph</w:t>
      </w:r>
      <w:r w:rsidRPr="00DA0DCD">
        <w:rPr>
          <w:lang w:val="en-US"/>
        </w:rPr>
        <w:t xml:space="preserve"> </w:t>
      </w:r>
      <w:r w:rsidR="0021638D" w:rsidRPr="00DA0DCD">
        <w:rPr>
          <w:lang w:val="en-US"/>
        </w:rPr>
        <w:t xml:space="preserve">2.4 are illustrated using the following </w:t>
      </w:r>
      <w:r w:rsidR="00BB23C8" w:rsidRPr="00DA0DCD">
        <w:rPr>
          <w:lang w:val="en-US"/>
        </w:rPr>
        <w:t xml:space="preserve">two </w:t>
      </w:r>
      <w:r w:rsidR="0021638D" w:rsidRPr="00DA0DCD">
        <w:rPr>
          <w:lang w:val="en-US"/>
        </w:rPr>
        <w:t>examples</w:t>
      </w:r>
      <w:r w:rsidR="00F52553" w:rsidRPr="00DA0DCD">
        <w:rPr>
          <w:lang w:val="en-US"/>
        </w:rPr>
        <w:t xml:space="preserve"> of journal entries</w:t>
      </w:r>
      <w:r w:rsidR="00F55605" w:rsidRPr="00DA0DCD">
        <w:rPr>
          <w:lang w:val="en-US"/>
        </w:rPr>
        <w:t>:</w:t>
      </w:r>
      <w:r w:rsidR="0021638D" w:rsidRPr="00DA0DCD">
        <w:rPr>
          <w:lang w:val="en-US"/>
        </w:rPr>
        <w:t xml:space="preserve"> </w:t>
      </w:r>
    </w:p>
    <w:tbl>
      <w:tblPr>
        <w:tblW w:w="0" w:type="auto"/>
        <w:tblLayout w:type="fixed"/>
        <w:tblLook w:val="04A0"/>
      </w:tblPr>
      <w:tblGrid>
        <w:gridCol w:w="4644"/>
        <w:gridCol w:w="4644"/>
      </w:tblGrid>
      <w:tr w:rsidR="0021638D" w:rsidRPr="00872F8A" w:rsidTr="00D4127C">
        <w:tc>
          <w:tcPr>
            <w:tcW w:w="4644" w:type="dxa"/>
            <w:tcBorders>
              <w:top w:val="single" w:sz="4" w:space="0" w:color="auto"/>
              <w:left w:val="single" w:sz="4" w:space="0" w:color="auto"/>
              <w:right w:val="single" w:sz="4" w:space="0" w:color="FFFFFF" w:themeColor="background1"/>
            </w:tcBorders>
          </w:tcPr>
          <w:p w:rsidR="0021638D" w:rsidRPr="00022975" w:rsidRDefault="0021638D" w:rsidP="0021638D">
            <w:pPr>
              <w:pStyle w:val="Geenafstand"/>
              <w:rPr>
                <w:lang w:val="en-US"/>
              </w:rPr>
            </w:pPr>
            <w:r w:rsidRPr="00022975">
              <w:rPr>
                <w:lang w:val="en-US"/>
              </w:rPr>
              <w:t>Example 1: Purchase</w:t>
            </w:r>
          </w:p>
          <w:p w:rsidR="0021638D" w:rsidRPr="00022975" w:rsidRDefault="00C81281" w:rsidP="00022975">
            <w:pPr>
              <w:pStyle w:val="Geenafstand"/>
              <w:rPr>
                <w:lang w:val="en-US"/>
              </w:rPr>
            </w:pPr>
            <w:r w:rsidRPr="00022975">
              <w:rPr>
                <w:lang w:val="en-US"/>
              </w:rPr>
              <w:t>Company A</w:t>
            </w:r>
            <w:r w:rsidR="0021638D" w:rsidRPr="00022975">
              <w:rPr>
                <w:lang w:val="en-US"/>
              </w:rPr>
              <w:t xml:space="preserve"> purchase a financial asset on the trade date </w:t>
            </w:r>
            <w:r w:rsidR="008E50AB" w:rsidRPr="00022975">
              <w:rPr>
                <w:lang w:val="en-US"/>
              </w:rPr>
              <w:t xml:space="preserve">December </w:t>
            </w:r>
            <w:r w:rsidR="000B7BD6" w:rsidRPr="00022975">
              <w:rPr>
                <w:lang w:val="en-US"/>
              </w:rPr>
              <w:t>28</w:t>
            </w:r>
            <w:r w:rsidR="008E50AB" w:rsidRPr="00022975">
              <w:rPr>
                <w:lang w:val="en-US"/>
              </w:rPr>
              <w:t>,</w:t>
            </w:r>
            <w:r w:rsidR="0021638D" w:rsidRPr="00022975">
              <w:rPr>
                <w:lang w:val="en-US"/>
              </w:rPr>
              <w:t xml:space="preserve"> 2009, at €1.000 fair value (</w:t>
            </w:r>
            <w:r w:rsidR="00340AE2" w:rsidRPr="00022975">
              <w:rPr>
                <w:lang w:val="en-US"/>
              </w:rPr>
              <w:t>including</w:t>
            </w:r>
            <w:r w:rsidR="0021638D" w:rsidRPr="00022975">
              <w:rPr>
                <w:lang w:val="en-US"/>
              </w:rPr>
              <w:t xml:space="preserve"> transaction costs). On December</w:t>
            </w:r>
            <w:r w:rsidR="008E50AB" w:rsidRPr="00022975">
              <w:rPr>
                <w:lang w:val="en-US"/>
              </w:rPr>
              <w:t xml:space="preserve"> 31,</w:t>
            </w:r>
            <w:r w:rsidR="0021638D" w:rsidRPr="00022975">
              <w:rPr>
                <w:lang w:val="en-US"/>
              </w:rPr>
              <w:t xml:space="preserve"> 2009 the assets fair value is 1.050. On the settlement</w:t>
            </w:r>
            <w:r w:rsidRPr="00022975">
              <w:rPr>
                <w:b/>
                <w:lang w:val="en-US"/>
              </w:rPr>
              <w:t xml:space="preserve"> </w:t>
            </w:r>
            <w:r w:rsidRPr="00022975">
              <w:rPr>
                <w:lang w:val="en-US"/>
              </w:rPr>
              <w:t>date*</w:t>
            </w:r>
            <w:r w:rsidR="0021638D" w:rsidRPr="00022975">
              <w:rPr>
                <w:lang w:val="en-US"/>
              </w:rPr>
              <w:t xml:space="preserve"> </w:t>
            </w:r>
            <w:r w:rsidR="008E50AB" w:rsidRPr="00022975">
              <w:rPr>
                <w:lang w:val="en-US"/>
              </w:rPr>
              <w:t xml:space="preserve">January 5, </w:t>
            </w:r>
            <w:r w:rsidR="0021638D" w:rsidRPr="00022975">
              <w:rPr>
                <w:lang w:val="en-US"/>
              </w:rPr>
              <w:t>2010 the fair value is €1.060</w:t>
            </w:r>
            <w:r w:rsidRPr="00022975">
              <w:rPr>
                <w:lang w:val="en-US"/>
              </w:rPr>
              <w:t xml:space="preserve">. </w:t>
            </w:r>
            <w:r w:rsidR="00022975" w:rsidRPr="00022975">
              <w:rPr>
                <w:lang w:val="en-US"/>
              </w:rPr>
              <w:t>C</w:t>
            </w:r>
            <w:r w:rsidRPr="00022975">
              <w:rPr>
                <w:lang w:val="en-US"/>
              </w:rPr>
              <w:t>ompan</w:t>
            </w:r>
            <w:r w:rsidR="00022975" w:rsidRPr="00022975">
              <w:rPr>
                <w:lang w:val="en-US"/>
              </w:rPr>
              <w:t>y A has the following journal entries:</w:t>
            </w:r>
          </w:p>
        </w:tc>
        <w:tc>
          <w:tcPr>
            <w:tcW w:w="4644" w:type="dxa"/>
            <w:tcBorders>
              <w:top w:val="single" w:sz="4" w:space="0" w:color="auto"/>
              <w:left w:val="single" w:sz="4" w:space="0" w:color="FFFFFF" w:themeColor="background1"/>
              <w:bottom w:val="single" w:sz="4" w:space="0" w:color="FFFFFF" w:themeColor="background1"/>
              <w:right w:val="single" w:sz="4" w:space="0" w:color="auto"/>
            </w:tcBorders>
          </w:tcPr>
          <w:p w:rsidR="0021638D" w:rsidRPr="00022975" w:rsidRDefault="0021638D" w:rsidP="0021638D">
            <w:pPr>
              <w:pStyle w:val="Geenafstand"/>
              <w:rPr>
                <w:lang w:val="en-US"/>
              </w:rPr>
            </w:pPr>
            <w:r w:rsidRPr="00022975">
              <w:rPr>
                <w:lang w:val="en-US"/>
              </w:rPr>
              <w:t>Example 2: Sell</w:t>
            </w:r>
          </w:p>
          <w:p w:rsidR="0021638D" w:rsidRPr="00022975" w:rsidRDefault="00C81281" w:rsidP="006E78CD">
            <w:pPr>
              <w:pStyle w:val="Geenafstand"/>
              <w:rPr>
                <w:lang w:val="en-US"/>
              </w:rPr>
            </w:pPr>
            <w:r w:rsidRPr="00022975">
              <w:rPr>
                <w:lang w:val="en-US"/>
              </w:rPr>
              <w:t>Company A</w:t>
            </w:r>
            <w:r w:rsidR="0021638D" w:rsidRPr="00022975">
              <w:rPr>
                <w:lang w:val="en-US"/>
              </w:rPr>
              <w:t xml:space="preserve"> enters a contract to sell a financial asset on date </w:t>
            </w:r>
            <w:r w:rsidR="008E50AB" w:rsidRPr="00022975">
              <w:rPr>
                <w:lang w:val="en-US"/>
              </w:rPr>
              <w:t>December 28,</w:t>
            </w:r>
            <w:r w:rsidR="0021638D" w:rsidRPr="00022975">
              <w:rPr>
                <w:lang w:val="en-US"/>
              </w:rPr>
              <w:t xml:space="preserve"> 2009, </w:t>
            </w:r>
            <w:r w:rsidR="00022975" w:rsidRPr="00022975">
              <w:rPr>
                <w:lang w:val="en-US"/>
              </w:rPr>
              <w:t xml:space="preserve">at </w:t>
            </w:r>
            <w:r w:rsidR="0021638D" w:rsidRPr="00022975">
              <w:rPr>
                <w:lang w:val="en-US"/>
              </w:rPr>
              <w:t xml:space="preserve">the current fair value </w:t>
            </w:r>
            <w:r w:rsidR="00022975" w:rsidRPr="00022975">
              <w:rPr>
                <w:lang w:val="en-US"/>
              </w:rPr>
              <w:t>of</w:t>
            </w:r>
            <w:r w:rsidR="0021638D" w:rsidRPr="00022975">
              <w:rPr>
                <w:lang w:val="en-US"/>
              </w:rPr>
              <w:t xml:space="preserve"> €1.010. The asset is acquired at €1.000 and its amortized costs is €1.000 On December</w:t>
            </w:r>
            <w:r w:rsidR="008E50AB" w:rsidRPr="00022975">
              <w:rPr>
                <w:lang w:val="en-US"/>
              </w:rPr>
              <w:t xml:space="preserve"> 31,</w:t>
            </w:r>
            <w:r w:rsidR="0021638D" w:rsidRPr="00022975">
              <w:rPr>
                <w:lang w:val="en-US"/>
              </w:rPr>
              <w:t xml:space="preserve"> 2009 the assets fair value is 1.050. On the </w:t>
            </w:r>
            <w:r w:rsidR="00022975" w:rsidRPr="00022975">
              <w:rPr>
                <w:lang w:val="en-US"/>
              </w:rPr>
              <w:t>settlement</w:t>
            </w:r>
            <w:r w:rsidR="008E50AB" w:rsidRPr="00022975">
              <w:rPr>
                <w:lang w:val="en-US"/>
              </w:rPr>
              <w:t xml:space="preserve"> date</w:t>
            </w:r>
            <w:r w:rsidR="00022975" w:rsidRPr="00022975">
              <w:rPr>
                <w:lang w:val="en-US"/>
              </w:rPr>
              <w:t>*</w:t>
            </w:r>
            <w:r w:rsidR="0021638D" w:rsidRPr="00022975">
              <w:rPr>
                <w:lang w:val="en-US"/>
              </w:rPr>
              <w:t xml:space="preserve"> </w:t>
            </w:r>
            <w:r w:rsidR="008E50AB" w:rsidRPr="00022975">
              <w:rPr>
                <w:lang w:val="en-US"/>
              </w:rPr>
              <w:t>January</w:t>
            </w:r>
            <w:r w:rsidR="006E78CD">
              <w:rPr>
                <w:lang w:val="en-US"/>
              </w:rPr>
              <w:t xml:space="preserve"> 5,</w:t>
            </w:r>
            <w:r w:rsidR="0021638D" w:rsidRPr="00022975">
              <w:rPr>
                <w:lang w:val="en-US"/>
              </w:rPr>
              <w:t xml:space="preserve"> 2010 the fair value is €1.060</w:t>
            </w:r>
            <w:r w:rsidR="00022975" w:rsidRPr="00022975">
              <w:rPr>
                <w:lang w:val="en-US"/>
              </w:rPr>
              <w:t>. Company A has the following journal entries:</w:t>
            </w:r>
          </w:p>
        </w:tc>
      </w:tr>
      <w:tr w:rsidR="00535AC2" w:rsidRPr="00872F8A" w:rsidTr="00D4127C">
        <w:tc>
          <w:tcPr>
            <w:tcW w:w="9288" w:type="dxa"/>
            <w:gridSpan w:val="2"/>
            <w:tcBorders>
              <w:left w:val="single" w:sz="4" w:space="0" w:color="auto"/>
              <w:bottom w:val="single" w:sz="4" w:space="0" w:color="auto"/>
              <w:right w:val="single" w:sz="4" w:space="0" w:color="auto"/>
            </w:tcBorders>
          </w:tcPr>
          <w:p w:rsidR="00C81281" w:rsidRDefault="00515841" w:rsidP="00535AC2">
            <w:pPr>
              <w:pStyle w:val="Geenafstand"/>
              <w:rPr>
                <w:rStyle w:val="Nadruk"/>
                <w:i w:val="0"/>
                <w:color w:val="FF0000"/>
                <w:sz w:val="18"/>
                <w:szCs w:val="18"/>
                <w:lang w:val="en-US"/>
              </w:rPr>
            </w:pPr>
            <w:r w:rsidRPr="00D60AAD">
              <w:rPr>
                <w:rStyle w:val="Nadruk"/>
                <w:i w:val="0"/>
                <w:color w:val="FF0000"/>
                <w:sz w:val="18"/>
                <w:szCs w:val="18"/>
                <w:lang w:val="en-US"/>
              </w:rPr>
              <w:object w:dxaOrig="10802" w:dyaOrig="8510">
                <v:shape id="_x0000_i1030" type="#_x0000_t75" style="width:455.5pt;height:426.1pt" o:ole="">
                  <v:imagedata r:id="rId8" o:title=""/>
                </v:shape>
                <o:OLEObject Type="Embed" ProgID="Excel.Sheet.12" ShapeID="_x0000_i1030" DrawAspect="Content" ObjectID="_1344522114" r:id="rId9"/>
              </w:object>
            </w:r>
          </w:p>
          <w:p w:rsidR="00535AC2" w:rsidRPr="00022975" w:rsidRDefault="00C81281" w:rsidP="00022975">
            <w:pPr>
              <w:pStyle w:val="Geenafstand"/>
              <w:rPr>
                <w:rStyle w:val="Nadruk"/>
                <w:i w:val="0"/>
                <w:sz w:val="4"/>
                <w:szCs w:val="4"/>
                <w:lang w:val="en-US"/>
              </w:rPr>
            </w:pPr>
            <w:r w:rsidRPr="00022975">
              <w:rPr>
                <w:rStyle w:val="Nadruk"/>
                <w:i w:val="0"/>
                <w:sz w:val="18"/>
                <w:szCs w:val="18"/>
                <w:lang w:val="en-US"/>
              </w:rPr>
              <w:t xml:space="preserve">*The settlement date is the day on which the </w:t>
            </w:r>
            <w:r w:rsidR="00022975" w:rsidRPr="00022975">
              <w:rPr>
                <w:rStyle w:val="Nadruk"/>
                <w:i w:val="0"/>
                <w:sz w:val="18"/>
                <w:szCs w:val="18"/>
                <w:lang w:val="en-US"/>
              </w:rPr>
              <w:t xml:space="preserve">financial </w:t>
            </w:r>
            <w:r w:rsidR="00515841" w:rsidRPr="00022975">
              <w:rPr>
                <w:rStyle w:val="Nadruk"/>
                <w:i w:val="0"/>
                <w:sz w:val="18"/>
                <w:szCs w:val="18"/>
                <w:lang w:val="en-US"/>
              </w:rPr>
              <w:t>settlement</w:t>
            </w:r>
            <w:r w:rsidRPr="00022975">
              <w:rPr>
                <w:rStyle w:val="Nadruk"/>
                <w:i w:val="0"/>
                <w:sz w:val="18"/>
                <w:szCs w:val="18"/>
                <w:lang w:val="en-US"/>
              </w:rPr>
              <w:t xml:space="preserve"> </w:t>
            </w:r>
            <w:r w:rsidR="00022975" w:rsidRPr="00022975">
              <w:rPr>
                <w:rStyle w:val="Nadruk"/>
                <w:i w:val="0"/>
                <w:sz w:val="18"/>
                <w:szCs w:val="18"/>
                <w:lang w:val="en-US"/>
              </w:rPr>
              <w:t>(transaction)</w:t>
            </w:r>
            <w:r w:rsidRPr="00022975">
              <w:rPr>
                <w:rStyle w:val="Nadruk"/>
                <w:i w:val="0"/>
                <w:sz w:val="18"/>
                <w:szCs w:val="18"/>
                <w:lang w:val="en-US"/>
              </w:rPr>
              <w:t>of the financial instrument take place</w:t>
            </w:r>
            <w:r w:rsidR="00022975" w:rsidRPr="00022975">
              <w:rPr>
                <w:rStyle w:val="Nadruk"/>
                <w:i w:val="0"/>
                <w:sz w:val="18"/>
                <w:szCs w:val="18"/>
                <w:lang w:val="en-US"/>
              </w:rPr>
              <w:t>. Company A and counterparty agree a financial settlement date of 5 January 2010.</w:t>
            </w:r>
          </w:p>
        </w:tc>
      </w:tr>
    </w:tbl>
    <w:p w:rsidR="00022975" w:rsidRPr="00ED2BA8" w:rsidRDefault="002D40FD" w:rsidP="00022975">
      <w:pPr>
        <w:rPr>
          <w:lang w:val="en-US"/>
        </w:rPr>
      </w:pPr>
      <w:r>
        <w:rPr>
          <w:lang w:val="en-US"/>
        </w:rPr>
        <w:lastRenderedPageBreak/>
        <w:t>In example 1 and 2, t</w:t>
      </w:r>
      <w:r w:rsidR="006E78CD" w:rsidRPr="00ED2BA8">
        <w:rPr>
          <w:lang w:val="en-US"/>
        </w:rPr>
        <w:t xml:space="preserve">hree different dates are shown. The trade date (December 28, 2009) is the moment that </w:t>
      </w:r>
      <w:r w:rsidR="002F5873" w:rsidRPr="00ED2BA8">
        <w:rPr>
          <w:lang w:val="en-US"/>
        </w:rPr>
        <w:t xml:space="preserve">company A </w:t>
      </w:r>
      <w:r w:rsidR="002F5873">
        <w:rPr>
          <w:lang w:val="en-US"/>
        </w:rPr>
        <w:t>agrees</w:t>
      </w:r>
      <w:r w:rsidR="006E78CD" w:rsidRPr="00ED2BA8">
        <w:rPr>
          <w:lang w:val="en-US"/>
        </w:rPr>
        <w:t xml:space="preserve"> the obligation to buy </w:t>
      </w:r>
      <w:r w:rsidR="002F5873">
        <w:rPr>
          <w:lang w:val="en-US"/>
        </w:rPr>
        <w:t>(</w:t>
      </w:r>
      <w:r w:rsidR="006E78CD" w:rsidRPr="00ED2BA8">
        <w:rPr>
          <w:lang w:val="en-US"/>
        </w:rPr>
        <w:t>right to sell</w:t>
      </w:r>
      <w:r w:rsidR="002F5873">
        <w:rPr>
          <w:lang w:val="en-US"/>
        </w:rPr>
        <w:t>)</w:t>
      </w:r>
      <w:r w:rsidR="006E78CD" w:rsidRPr="00ED2BA8">
        <w:rPr>
          <w:lang w:val="en-US"/>
        </w:rPr>
        <w:t xml:space="preserve"> the financial asset</w:t>
      </w:r>
      <w:r w:rsidR="002F5873">
        <w:rPr>
          <w:lang w:val="en-US"/>
        </w:rPr>
        <w:t xml:space="preserve"> with a counterpart</w:t>
      </w:r>
      <w:r w:rsidR="006E78CD" w:rsidRPr="00ED2BA8">
        <w:rPr>
          <w:lang w:val="en-US"/>
        </w:rPr>
        <w:t>.  On</w:t>
      </w:r>
      <w:r w:rsidR="00B829CB">
        <w:rPr>
          <w:lang w:val="en-US"/>
        </w:rPr>
        <w:t xml:space="preserve"> the second date (</w:t>
      </w:r>
      <w:r w:rsidR="006E78CD" w:rsidRPr="00ED2BA8">
        <w:rPr>
          <w:lang w:val="en-US"/>
        </w:rPr>
        <w:t>December 31, 2009</w:t>
      </w:r>
      <w:r w:rsidR="00B829CB">
        <w:rPr>
          <w:lang w:val="en-US"/>
        </w:rPr>
        <w:t>)</w:t>
      </w:r>
      <w:r w:rsidR="006E78CD" w:rsidRPr="00ED2BA8">
        <w:rPr>
          <w:lang w:val="en-US"/>
        </w:rPr>
        <w:t xml:space="preserve"> only the fair value of the financial asset changes. The settlement date (January 5, 2010) is the moment on which the financial transaction takes place. Further on, three categories with journal entries are shown. </w:t>
      </w:r>
      <w:r w:rsidR="00515841" w:rsidRPr="00ED2BA8">
        <w:rPr>
          <w:lang w:val="en-US"/>
        </w:rPr>
        <w:t xml:space="preserve">The first category </w:t>
      </w:r>
      <w:r w:rsidR="006E78CD" w:rsidRPr="00ED2BA8">
        <w:rPr>
          <w:lang w:val="en-US"/>
        </w:rPr>
        <w:t>shows the</w:t>
      </w:r>
      <w:r w:rsidR="00515841" w:rsidRPr="00ED2BA8">
        <w:rPr>
          <w:lang w:val="en-US"/>
        </w:rPr>
        <w:t xml:space="preserve"> financial assets at </w:t>
      </w:r>
      <w:r w:rsidR="006E78CD" w:rsidRPr="00ED2BA8">
        <w:rPr>
          <w:lang w:val="en-US"/>
        </w:rPr>
        <w:t>‘</w:t>
      </w:r>
      <w:r w:rsidR="00515841" w:rsidRPr="00ED2BA8">
        <w:rPr>
          <w:lang w:val="en-US"/>
        </w:rPr>
        <w:t>amortized cost</w:t>
      </w:r>
      <w:r w:rsidR="006E78CD" w:rsidRPr="00ED2BA8">
        <w:rPr>
          <w:lang w:val="en-US"/>
        </w:rPr>
        <w:t>’</w:t>
      </w:r>
      <w:r w:rsidR="00515841" w:rsidRPr="00ED2BA8">
        <w:rPr>
          <w:lang w:val="en-US"/>
        </w:rPr>
        <w:t xml:space="preserve">. This means that only the historical </w:t>
      </w:r>
      <w:r w:rsidR="006E78CD" w:rsidRPr="00ED2BA8">
        <w:rPr>
          <w:lang w:val="en-US"/>
        </w:rPr>
        <w:t>cost price</w:t>
      </w:r>
      <w:r w:rsidR="00515841" w:rsidRPr="00ED2BA8">
        <w:rPr>
          <w:lang w:val="en-US"/>
        </w:rPr>
        <w:t xml:space="preserve"> is used during the journal entries.</w:t>
      </w:r>
      <w:r w:rsidR="00B829CB">
        <w:rPr>
          <w:lang w:val="en-US"/>
        </w:rPr>
        <w:t xml:space="preserve"> This has no effect the profit and loss account.</w:t>
      </w:r>
      <w:r w:rsidR="00515841" w:rsidRPr="00ED2BA8">
        <w:rPr>
          <w:lang w:val="en-US"/>
        </w:rPr>
        <w:t xml:space="preserve"> The second shown category is</w:t>
      </w:r>
      <w:r w:rsidR="006E78CD" w:rsidRPr="00ED2BA8">
        <w:rPr>
          <w:lang w:val="en-US"/>
        </w:rPr>
        <w:t xml:space="preserve"> ’</w:t>
      </w:r>
      <w:r w:rsidR="00515841" w:rsidRPr="00ED2BA8">
        <w:rPr>
          <w:lang w:val="en-US"/>
        </w:rPr>
        <w:t>fair value trough profit and loss</w:t>
      </w:r>
      <w:r w:rsidR="006E78CD" w:rsidRPr="00ED2BA8">
        <w:rPr>
          <w:lang w:val="en-US"/>
        </w:rPr>
        <w:t>’</w:t>
      </w:r>
      <w:r w:rsidR="00515841" w:rsidRPr="00ED2BA8">
        <w:rPr>
          <w:lang w:val="en-US"/>
        </w:rPr>
        <w:t>. Within this category</w:t>
      </w:r>
      <w:r w:rsidR="006E78CD" w:rsidRPr="00ED2BA8">
        <w:rPr>
          <w:lang w:val="en-US"/>
        </w:rPr>
        <w:t xml:space="preserve">, </w:t>
      </w:r>
      <w:r w:rsidR="00515841" w:rsidRPr="00ED2BA8">
        <w:rPr>
          <w:lang w:val="en-US"/>
        </w:rPr>
        <w:t>the fair value changes are recognized in the profit and loss account. The last shown category is</w:t>
      </w:r>
      <w:r w:rsidR="006E78CD" w:rsidRPr="00ED2BA8">
        <w:rPr>
          <w:lang w:val="en-US"/>
        </w:rPr>
        <w:t xml:space="preserve"> called</w:t>
      </w:r>
      <w:r w:rsidR="00515841" w:rsidRPr="00ED2BA8">
        <w:rPr>
          <w:lang w:val="en-US"/>
        </w:rPr>
        <w:t xml:space="preserve"> </w:t>
      </w:r>
      <w:r w:rsidR="006E78CD" w:rsidRPr="00ED2BA8">
        <w:rPr>
          <w:lang w:val="en-US"/>
        </w:rPr>
        <w:t>‘</w:t>
      </w:r>
      <w:r w:rsidR="00515841" w:rsidRPr="00ED2BA8">
        <w:rPr>
          <w:lang w:val="en-US"/>
        </w:rPr>
        <w:t>available for sale</w:t>
      </w:r>
      <w:r w:rsidR="006E78CD" w:rsidRPr="00ED2BA8">
        <w:rPr>
          <w:lang w:val="en-US"/>
        </w:rPr>
        <w:t>’</w:t>
      </w:r>
      <w:r w:rsidR="00515841" w:rsidRPr="00ED2BA8">
        <w:rPr>
          <w:lang w:val="en-US"/>
        </w:rPr>
        <w:t xml:space="preserve">. </w:t>
      </w:r>
      <w:r w:rsidR="006E78CD" w:rsidRPr="00ED2BA8">
        <w:rPr>
          <w:lang w:val="en-US"/>
        </w:rPr>
        <w:t>Within this category</w:t>
      </w:r>
      <w:r w:rsidR="002F5873">
        <w:rPr>
          <w:lang w:val="en-US"/>
        </w:rPr>
        <w:t>,</w:t>
      </w:r>
      <w:r w:rsidR="006E78CD" w:rsidRPr="00ED2BA8">
        <w:rPr>
          <w:lang w:val="en-US"/>
        </w:rPr>
        <w:t xml:space="preserve"> the</w:t>
      </w:r>
      <w:r w:rsidR="002F5873">
        <w:rPr>
          <w:lang w:val="en-US"/>
        </w:rPr>
        <w:t xml:space="preserve"> </w:t>
      </w:r>
      <w:r w:rsidR="006E78CD" w:rsidRPr="00ED2BA8">
        <w:rPr>
          <w:lang w:val="en-US"/>
        </w:rPr>
        <w:t xml:space="preserve">changes in fair value are recognized in the owners’ equity. </w:t>
      </w:r>
    </w:p>
    <w:p w:rsidR="000C3114" w:rsidRPr="00DA0DCD" w:rsidRDefault="000C3114" w:rsidP="00094463">
      <w:pPr>
        <w:pStyle w:val="Kop2"/>
        <w:numPr>
          <w:ilvl w:val="1"/>
          <w:numId w:val="14"/>
        </w:numPr>
        <w:rPr>
          <w:lang w:val="en-US"/>
        </w:rPr>
      </w:pPr>
      <w:bookmarkStart w:id="12" w:name="_Toc270770557"/>
      <w:r w:rsidRPr="00DA0DCD">
        <w:rPr>
          <w:lang w:val="en-US"/>
        </w:rPr>
        <w:t>I</w:t>
      </w:r>
      <w:r w:rsidR="00AC7614" w:rsidRPr="00DA0DCD">
        <w:rPr>
          <w:lang w:val="en-US"/>
        </w:rPr>
        <w:t>mpairment</w:t>
      </w:r>
      <w:bookmarkEnd w:id="12"/>
    </w:p>
    <w:p w:rsidR="0086263F" w:rsidRPr="00DA0DCD" w:rsidRDefault="00176092" w:rsidP="00BD76C7">
      <w:pPr>
        <w:spacing w:after="0"/>
        <w:rPr>
          <w:lang w:val="en-US"/>
        </w:rPr>
      </w:pPr>
      <w:r w:rsidRPr="00DA0DCD">
        <w:rPr>
          <w:lang w:val="en-US"/>
        </w:rPr>
        <w:t>IAS 39.</w:t>
      </w:r>
      <w:r w:rsidR="00030B35" w:rsidRPr="00DA0DCD">
        <w:rPr>
          <w:lang w:val="en-US"/>
        </w:rPr>
        <w:t>46</w:t>
      </w:r>
      <w:r w:rsidRPr="00DA0DCD">
        <w:rPr>
          <w:lang w:val="en-US"/>
        </w:rPr>
        <w:t xml:space="preserve"> </w:t>
      </w:r>
      <w:r w:rsidR="00D34E8C" w:rsidRPr="00DA0DCD">
        <w:rPr>
          <w:lang w:val="en-US"/>
        </w:rPr>
        <w:t>state</w:t>
      </w:r>
      <w:r w:rsidRPr="00DA0DCD">
        <w:rPr>
          <w:lang w:val="en-US"/>
        </w:rPr>
        <w:t xml:space="preserve"> that a</w:t>
      </w:r>
      <w:r w:rsidR="0086263F" w:rsidRPr="00DA0DCD">
        <w:rPr>
          <w:lang w:val="en-US"/>
        </w:rPr>
        <w:t>ll financial assets, except for those measured at fair value through profit and loss, are subjected to review for impairment</w:t>
      </w:r>
      <w:r w:rsidR="002F3E40" w:rsidRPr="00DA0DCD">
        <w:rPr>
          <w:lang w:val="en-US"/>
        </w:rPr>
        <w:t xml:space="preserve"> testing</w:t>
      </w:r>
      <w:r w:rsidR="0086263F" w:rsidRPr="00DA0DCD">
        <w:rPr>
          <w:lang w:val="en-US"/>
        </w:rPr>
        <w:t>. An assessment should be made at the end of a reporting period whether there is objective evidence that an asset or group of assets is impaired. Objective evidence can be seen as one or more events that occurred after initial recognition (loss event)</w:t>
      </w:r>
      <w:r w:rsidR="00BA7CDB" w:rsidRPr="00DA0DCD">
        <w:rPr>
          <w:lang w:val="en-US"/>
        </w:rPr>
        <w:t xml:space="preserve">. A credit (loss) event is an event that </w:t>
      </w:r>
      <w:r w:rsidR="0086263F" w:rsidRPr="00DA0DCD">
        <w:rPr>
          <w:lang w:val="en-US"/>
        </w:rPr>
        <w:t>has an impact on the estimated future cash flows</w:t>
      </w:r>
      <w:r w:rsidR="00BA7CDB" w:rsidRPr="00DA0DCD">
        <w:rPr>
          <w:lang w:val="en-US"/>
        </w:rPr>
        <w:t xml:space="preserve"> of a financial instrument</w:t>
      </w:r>
      <w:r w:rsidR="00DC6A91" w:rsidRPr="00DA0DCD">
        <w:rPr>
          <w:lang w:val="en-US"/>
        </w:rPr>
        <w:t>. F</w:t>
      </w:r>
      <w:r w:rsidR="00BA7CDB" w:rsidRPr="00DA0DCD">
        <w:rPr>
          <w:lang w:val="en-US"/>
        </w:rPr>
        <w:t xml:space="preserve">or the impairment, the impact </w:t>
      </w:r>
      <w:r w:rsidR="00DC6A91" w:rsidRPr="00DA0DCD">
        <w:rPr>
          <w:lang w:val="en-US"/>
        </w:rPr>
        <w:t>should</w:t>
      </w:r>
      <w:r w:rsidR="00BA7CDB" w:rsidRPr="00DA0DCD">
        <w:rPr>
          <w:lang w:val="en-US"/>
        </w:rPr>
        <w:t xml:space="preserve"> </w:t>
      </w:r>
      <w:r w:rsidR="0086263F" w:rsidRPr="00DA0DCD">
        <w:rPr>
          <w:lang w:val="en-US"/>
        </w:rPr>
        <w:t xml:space="preserve">be </w:t>
      </w:r>
      <w:r w:rsidR="00BA7CDB" w:rsidRPr="00DA0DCD">
        <w:rPr>
          <w:lang w:val="en-US"/>
        </w:rPr>
        <w:t xml:space="preserve">reliable </w:t>
      </w:r>
      <w:r w:rsidR="0086263F" w:rsidRPr="00DA0DCD">
        <w:rPr>
          <w:lang w:val="en-US"/>
        </w:rPr>
        <w:t>estimated</w:t>
      </w:r>
      <w:r w:rsidR="003B24AA" w:rsidRPr="00DA0DCD">
        <w:rPr>
          <w:lang w:val="en-US"/>
        </w:rPr>
        <w:t xml:space="preserve"> (IAS 39.</w:t>
      </w:r>
      <w:r w:rsidR="006E113C" w:rsidRPr="00DA0DCD">
        <w:rPr>
          <w:lang w:val="en-US"/>
        </w:rPr>
        <w:t>58)</w:t>
      </w:r>
      <w:r w:rsidR="0086263F" w:rsidRPr="00DA0DCD">
        <w:rPr>
          <w:lang w:val="en-US"/>
        </w:rPr>
        <w:t>.</w:t>
      </w:r>
      <w:r w:rsidR="00BA7CDB" w:rsidRPr="00DA0DCD">
        <w:rPr>
          <w:lang w:val="en-US"/>
        </w:rPr>
        <w:t xml:space="preserve"> </w:t>
      </w:r>
      <w:r w:rsidR="00F14E1C" w:rsidRPr="00DA0DCD">
        <w:rPr>
          <w:lang w:val="en-US"/>
        </w:rPr>
        <w:t xml:space="preserve">A credit (loss) event is for example a breach of contract, such as a default in interest or principal payments. </w:t>
      </w:r>
      <w:r w:rsidR="00E73F85" w:rsidRPr="00DA0DCD">
        <w:rPr>
          <w:lang w:val="en-US"/>
        </w:rPr>
        <w:t>I</w:t>
      </w:r>
      <w:r w:rsidR="00E16FE9" w:rsidRPr="00DA0DCD">
        <w:rPr>
          <w:lang w:val="en-US"/>
        </w:rPr>
        <w:t>mpairments</w:t>
      </w:r>
      <w:r w:rsidR="00E73F85" w:rsidRPr="00DA0DCD">
        <w:rPr>
          <w:lang w:val="en-US"/>
        </w:rPr>
        <w:t xml:space="preserve"> of financial instruments</w:t>
      </w:r>
      <w:r w:rsidR="00E16FE9" w:rsidRPr="00DA0DCD">
        <w:rPr>
          <w:lang w:val="en-US"/>
        </w:rPr>
        <w:t xml:space="preserve"> can be described as follows:</w:t>
      </w:r>
    </w:p>
    <w:p w:rsidR="0047257F" w:rsidRPr="00DA0DCD" w:rsidRDefault="00E73F85" w:rsidP="00BD76C7">
      <w:pPr>
        <w:pStyle w:val="Lijstalinea"/>
        <w:numPr>
          <w:ilvl w:val="0"/>
          <w:numId w:val="19"/>
        </w:numPr>
        <w:spacing w:after="0"/>
        <w:rPr>
          <w:lang w:val="en-US"/>
        </w:rPr>
      </w:pPr>
      <w:r w:rsidRPr="00DA0DCD">
        <w:rPr>
          <w:lang w:val="en-US"/>
        </w:rPr>
        <w:t>Impairments on (3) ’loans and receivable’</w:t>
      </w:r>
      <w:r w:rsidR="007161A6" w:rsidRPr="00DA0DCD">
        <w:rPr>
          <w:lang w:val="en-US"/>
        </w:rPr>
        <w:t xml:space="preserve"> and (2) ‘held to maturity’ investments are based on the incurred loss model. When a credit (loss) event had occurred, the financial instrument should be impaired. The impairment should be measured as the differences between the assets carrying amount and the present value of estimated future cash flows. The impaired amount should be recognized in the profit and loss account</w:t>
      </w:r>
      <w:r w:rsidR="00BD76C7" w:rsidRPr="00DA0DCD">
        <w:rPr>
          <w:lang w:val="en-US"/>
        </w:rPr>
        <w:t>. (IAS 39.63-65)</w:t>
      </w:r>
    </w:p>
    <w:p w:rsidR="00D0587E" w:rsidRDefault="00EF4D0E" w:rsidP="00BD76C7">
      <w:pPr>
        <w:pStyle w:val="Lijstalinea"/>
        <w:numPr>
          <w:ilvl w:val="0"/>
          <w:numId w:val="19"/>
        </w:numPr>
        <w:rPr>
          <w:lang w:val="en-US"/>
        </w:rPr>
      </w:pPr>
      <w:r w:rsidRPr="00DA0DCD">
        <w:rPr>
          <w:lang w:val="en-US"/>
        </w:rPr>
        <w:t>Impairments on financial assets (4) Available for sale can be distinguished in (E) Equity</w:t>
      </w:r>
      <w:r w:rsidR="00AF2024" w:rsidRPr="00DA0DCD">
        <w:rPr>
          <w:lang w:val="en-US"/>
        </w:rPr>
        <w:t xml:space="preserve"> instruments</w:t>
      </w:r>
      <w:r w:rsidRPr="00DA0DCD">
        <w:rPr>
          <w:lang w:val="en-US"/>
        </w:rPr>
        <w:t xml:space="preserve"> and debt ins</w:t>
      </w:r>
      <w:r w:rsidR="006E113C" w:rsidRPr="00DA0DCD">
        <w:rPr>
          <w:lang w:val="en-US"/>
        </w:rPr>
        <w:t>truments. Equity instruments should be impaired when they s</w:t>
      </w:r>
      <w:r w:rsidR="00AF2024" w:rsidRPr="00DA0DCD">
        <w:rPr>
          <w:lang w:val="en-US"/>
        </w:rPr>
        <w:t xml:space="preserve">ignificant </w:t>
      </w:r>
      <w:r w:rsidR="006E113C" w:rsidRPr="00DA0DCD">
        <w:rPr>
          <w:lang w:val="en-US"/>
        </w:rPr>
        <w:t>or</w:t>
      </w:r>
      <w:r w:rsidR="00AF2024" w:rsidRPr="00DA0DCD">
        <w:rPr>
          <w:lang w:val="en-US"/>
        </w:rPr>
        <w:t xml:space="preserve"> prolonged declines in fair value</w:t>
      </w:r>
      <w:r w:rsidR="006E113C" w:rsidRPr="00DA0DCD">
        <w:rPr>
          <w:lang w:val="en-US"/>
        </w:rPr>
        <w:t xml:space="preserve">. Significant means that the instrument </w:t>
      </w:r>
      <w:r w:rsidR="00AC7614" w:rsidRPr="00DA0DCD">
        <w:rPr>
          <w:lang w:val="en-US"/>
        </w:rPr>
        <w:t>is reduced</w:t>
      </w:r>
      <w:r w:rsidR="006E113C" w:rsidRPr="00DA0DCD">
        <w:rPr>
          <w:lang w:val="en-US"/>
        </w:rPr>
        <w:t xml:space="preserve"> </w:t>
      </w:r>
      <w:r w:rsidR="000E4B1D" w:rsidRPr="00DA0DCD">
        <w:rPr>
          <w:lang w:val="en-US"/>
        </w:rPr>
        <w:t xml:space="preserve">for instance </w:t>
      </w:r>
      <w:r w:rsidR="006E113C" w:rsidRPr="00DA0DCD">
        <w:rPr>
          <w:lang w:val="en-US"/>
        </w:rPr>
        <w:t xml:space="preserve">20% below cost and prolonged means </w:t>
      </w:r>
      <w:r w:rsidR="000E4B1D" w:rsidRPr="00DA0DCD">
        <w:rPr>
          <w:lang w:val="en-US"/>
        </w:rPr>
        <w:t xml:space="preserve">for example </w:t>
      </w:r>
      <w:r w:rsidR="006E113C" w:rsidRPr="00DA0DCD">
        <w:rPr>
          <w:lang w:val="en-US"/>
        </w:rPr>
        <w:t xml:space="preserve">6 </w:t>
      </w:r>
      <w:r w:rsidR="00AC7614" w:rsidRPr="00DA0DCD">
        <w:rPr>
          <w:lang w:val="en-US"/>
        </w:rPr>
        <w:t>months</w:t>
      </w:r>
      <w:r w:rsidR="006E113C" w:rsidRPr="00DA0DCD">
        <w:rPr>
          <w:lang w:val="en-US"/>
        </w:rPr>
        <w:t>/ 1 year</w:t>
      </w:r>
      <w:r w:rsidR="00AC7614" w:rsidRPr="00DA0DCD">
        <w:rPr>
          <w:lang w:val="en-US"/>
        </w:rPr>
        <w:t xml:space="preserve"> </w:t>
      </w:r>
      <w:r w:rsidR="006E113C" w:rsidRPr="00DA0DCD">
        <w:rPr>
          <w:lang w:val="en-US"/>
        </w:rPr>
        <w:t>below cost. Debt instruments should be impaired when there is a credit</w:t>
      </w:r>
      <w:r w:rsidR="00BA7CDB" w:rsidRPr="00DA0DCD">
        <w:rPr>
          <w:lang w:val="en-US"/>
        </w:rPr>
        <w:t xml:space="preserve"> (loss)</w:t>
      </w:r>
      <w:r w:rsidR="006E113C" w:rsidRPr="00DA0DCD">
        <w:rPr>
          <w:lang w:val="en-US"/>
        </w:rPr>
        <w:t xml:space="preserve"> event. </w:t>
      </w:r>
      <w:r w:rsidR="00AC7614" w:rsidRPr="00DA0DCD">
        <w:rPr>
          <w:lang w:val="en-US"/>
        </w:rPr>
        <w:t xml:space="preserve">For both types of instruments the impairment is measured by the difference between current fair value and the cost price. </w:t>
      </w:r>
      <w:r w:rsidR="00BD76C7" w:rsidRPr="00DA0DCD">
        <w:rPr>
          <w:lang w:val="en-US"/>
        </w:rPr>
        <w:t>Impairment losses reversed trough profit and loss are only allowed for debt instruments. (IAS 39.67-70)</w:t>
      </w:r>
    </w:p>
    <w:p w:rsidR="00ED2BA8" w:rsidRDefault="00EA179A" w:rsidP="00EA179A">
      <w:pPr>
        <w:spacing w:after="0"/>
        <w:rPr>
          <w:lang w:val="en-US"/>
        </w:rPr>
      </w:pPr>
      <w:r w:rsidRPr="00EA179A">
        <w:rPr>
          <w:i/>
          <w:lang w:val="en-US"/>
        </w:rPr>
        <w:t>An example of an impairment of a loan:</w:t>
      </w:r>
      <w:r w:rsidRPr="00EA179A">
        <w:rPr>
          <w:i/>
          <w:lang w:val="en-US"/>
        </w:rPr>
        <w:br/>
      </w:r>
      <w:r w:rsidRPr="00EA179A">
        <w:rPr>
          <w:lang w:val="en-US"/>
        </w:rPr>
        <w:t>Bank A is not able to collect the entire interest amounts</w:t>
      </w:r>
      <w:r w:rsidR="00ED2BA8">
        <w:rPr>
          <w:lang w:val="en-US"/>
        </w:rPr>
        <w:t xml:space="preserve"> of a loan</w:t>
      </w:r>
      <w:r w:rsidRPr="00EA179A">
        <w:rPr>
          <w:lang w:val="en-US"/>
        </w:rPr>
        <w:t>, according to the contractual terms. The loan has a value of 100.000 euro, an interest rate of 5% and a maturity of 5 years</w:t>
      </w:r>
      <w:r>
        <w:rPr>
          <w:lang w:val="en-US"/>
        </w:rPr>
        <w:t>,</w:t>
      </w:r>
      <w:r w:rsidRPr="00EA179A">
        <w:rPr>
          <w:lang w:val="en-US"/>
        </w:rPr>
        <w:t xml:space="preserve"> started on 1 January 2008. The loan is recognized under the category loans and receivables, valued at amortized cost</w:t>
      </w:r>
      <w:r w:rsidR="00B829CB">
        <w:rPr>
          <w:lang w:val="en-US"/>
        </w:rPr>
        <w:t>s</w:t>
      </w:r>
      <w:r w:rsidR="006D251C">
        <w:rPr>
          <w:lang w:val="en-US"/>
        </w:rPr>
        <w:t>. Bank A expects on the 1</w:t>
      </w:r>
      <w:r w:rsidR="006D251C" w:rsidRPr="006D251C">
        <w:rPr>
          <w:vertAlign w:val="superscript"/>
          <w:lang w:val="en-US"/>
        </w:rPr>
        <w:t>st</w:t>
      </w:r>
      <w:r w:rsidR="006D251C">
        <w:rPr>
          <w:lang w:val="en-US"/>
        </w:rPr>
        <w:t xml:space="preserve"> of</w:t>
      </w:r>
      <w:r w:rsidRPr="00EA179A">
        <w:rPr>
          <w:lang w:val="en-US"/>
        </w:rPr>
        <w:t xml:space="preserve"> January 2010 only to receive 3% of the interest rates.</w:t>
      </w:r>
      <w:r w:rsidR="00ED2BA8">
        <w:rPr>
          <w:lang w:val="en-US"/>
        </w:rPr>
        <w:t xml:space="preserve"> On that moment, there is a loss event and impairment testing is needed.</w:t>
      </w:r>
      <w:r w:rsidRPr="00EA179A">
        <w:rPr>
          <w:lang w:val="en-US"/>
        </w:rPr>
        <w:t xml:space="preserve"> The impairment calculation compares the carrying amount of the financial instrument with the discounted present value. On </w:t>
      </w:r>
      <w:r w:rsidR="006D251C">
        <w:rPr>
          <w:lang w:val="en-US"/>
        </w:rPr>
        <w:t xml:space="preserve">the </w:t>
      </w:r>
      <w:r w:rsidRPr="00EA179A">
        <w:rPr>
          <w:lang w:val="en-US"/>
        </w:rPr>
        <w:t>1</w:t>
      </w:r>
      <w:r w:rsidR="006D251C" w:rsidRPr="006D251C">
        <w:rPr>
          <w:vertAlign w:val="superscript"/>
          <w:lang w:val="en-US"/>
        </w:rPr>
        <w:t>st</w:t>
      </w:r>
      <w:r w:rsidR="006D251C">
        <w:rPr>
          <w:lang w:val="en-US"/>
        </w:rPr>
        <w:t xml:space="preserve"> of</w:t>
      </w:r>
      <w:r w:rsidRPr="00EA179A">
        <w:rPr>
          <w:lang w:val="en-US"/>
        </w:rPr>
        <w:t xml:space="preserve"> January 2010 the loan has a discounted present value (discounted at 5%) of 94.554 euro. This means that  5.446 euro (100.000 – 94.554) is the value of the impairment loss and should be recognized in the profit and loss account</w:t>
      </w:r>
      <w:r w:rsidR="00ED2BA8">
        <w:rPr>
          <w:lang w:val="en-US"/>
        </w:rPr>
        <w:t xml:space="preserve"> (see table 2.2)</w:t>
      </w:r>
      <w:r w:rsidRPr="00EA179A">
        <w:rPr>
          <w:lang w:val="en-US"/>
        </w:rPr>
        <w:t>.</w:t>
      </w:r>
    </w:p>
    <w:p w:rsidR="00ED2BA8" w:rsidRDefault="00ED2BA8" w:rsidP="00EA179A">
      <w:pPr>
        <w:spacing w:after="0"/>
        <w:rPr>
          <w:lang w:val="en-US"/>
        </w:rPr>
      </w:pPr>
    </w:p>
    <w:tbl>
      <w:tblPr>
        <w:tblW w:w="690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520"/>
        <w:gridCol w:w="1540"/>
        <w:gridCol w:w="1402"/>
        <w:gridCol w:w="1240"/>
        <w:gridCol w:w="1200"/>
      </w:tblGrid>
      <w:tr w:rsidR="00EA179A" w:rsidRPr="00EA179A" w:rsidTr="00EA179A">
        <w:trPr>
          <w:trHeight w:val="74"/>
          <w:jc w:val="center"/>
        </w:trPr>
        <w:tc>
          <w:tcPr>
            <w:tcW w:w="1520" w:type="dxa"/>
            <w:shd w:val="clear" w:color="auto" w:fill="D9D9D9" w:themeFill="background1" w:themeFillShade="D9"/>
            <w:noWrap/>
            <w:hideMark/>
          </w:tcPr>
          <w:p w:rsidR="00EA179A" w:rsidRPr="00EA179A" w:rsidRDefault="00EA179A" w:rsidP="00515841">
            <w:pPr>
              <w:pStyle w:val="Geenafstand"/>
              <w:rPr>
                <w:b/>
                <w:sz w:val="18"/>
                <w:szCs w:val="18"/>
                <w:lang w:val="en-US"/>
              </w:rPr>
            </w:pPr>
            <w:r w:rsidRPr="00EA179A">
              <w:rPr>
                <w:b/>
                <w:sz w:val="18"/>
                <w:szCs w:val="18"/>
                <w:lang w:val="en-US"/>
              </w:rPr>
              <w:lastRenderedPageBreak/>
              <w:t>Year</w:t>
            </w:r>
          </w:p>
        </w:tc>
        <w:tc>
          <w:tcPr>
            <w:tcW w:w="1540" w:type="dxa"/>
            <w:shd w:val="clear" w:color="auto" w:fill="D9D9D9" w:themeFill="background1" w:themeFillShade="D9"/>
            <w:noWrap/>
            <w:hideMark/>
          </w:tcPr>
          <w:p w:rsidR="00EA179A" w:rsidRPr="00EA179A" w:rsidRDefault="00EA179A" w:rsidP="00515841">
            <w:pPr>
              <w:pStyle w:val="Geenafstand"/>
              <w:rPr>
                <w:b/>
                <w:sz w:val="18"/>
                <w:szCs w:val="18"/>
                <w:lang w:val="en-US"/>
              </w:rPr>
            </w:pPr>
            <w:r w:rsidRPr="00EA179A">
              <w:rPr>
                <w:b/>
                <w:sz w:val="18"/>
                <w:szCs w:val="18"/>
                <w:lang w:val="en-US"/>
              </w:rPr>
              <w:t>Interest rate</w:t>
            </w:r>
          </w:p>
        </w:tc>
        <w:tc>
          <w:tcPr>
            <w:tcW w:w="1402" w:type="dxa"/>
            <w:shd w:val="clear" w:color="auto" w:fill="D9D9D9" w:themeFill="background1" w:themeFillShade="D9"/>
            <w:noWrap/>
            <w:hideMark/>
          </w:tcPr>
          <w:p w:rsidR="00EA179A" w:rsidRPr="00EA179A" w:rsidRDefault="00EA179A" w:rsidP="00515841">
            <w:pPr>
              <w:pStyle w:val="Geenafstand"/>
              <w:rPr>
                <w:b/>
                <w:sz w:val="18"/>
                <w:szCs w:val="18"/>
                <w:lang w:val="en-US"/>
              </w:rPr>
            </w:pPr>
            <w:r w:rsidRPr="00EA179A">
              <w:rPr>
                <w:b/>
                <w:sz w:val="18"/>
                <w:szCs w:val="18"/>
                <w:lang w:val="en-US"/>
              </w:rPr>
              <w:t>Interest</w:t>
            </w:r>
          </w:p>
        </w:tc>
        <w:tc>
          <w:tcPr>
            <w:tcW w:w="1240" w:type="dxa"/>
            <w:shd w:val="clear" w:color="auto" w:fill="D9D9D9" w:themeFill="background1" w:themeFillShade="D9"/>
            <w:noWrap/>
            <w:hideMark/>
          </w:tcPr>
          <w:p w:rsidR="00EA179A" w:rsidRPr="00EA179A" w:rsidRDefault="00EA179A" w:rsidP="00515841">
            <w:pPr>
              <w:pStyle w:val="Geenafstand"/>
              <w:rPr>
                <w:b/>
                <w:sz w:val="18"/>
                <w:szCs w:val="18"/>
                <w:lang w:val="en-US"/>
              </w:rPr>
            </w:pPr>
            <w:r w:rsidRPr="00EA179A">
              <w:rPr>
                <w:b/>
                <w:sz w:val="18"/>
                <w:szCs w:val="18"/>
                <w:lang w:val="en-US"/>
              </w:rPr>
              <w:t>Discounted %</w:t>
            </w:r>
          </w:p>
        </w:tc>
        <w:tc>
          <w:tcPr>
            <w:tcW w:w="1200" w:type="dxa"/>
            <w:shd w:val="clear" w:color="auto" w:fill="D9D9D9" w:themeFill="background1" w:themeFillShade="D9"/>
            <w:noWrap/>
            <w:hideMark/>
          </w:tcPr>
          <w:p w:rsidR="00EA179A" w:rsidRPr="00EA179A" w:rsidRDefault="00EA179A" w:rsidP="00515841">
            <w:pPr>
              <w:pStyle w:val="Geenafstand"/>
              <w:rPr>
                <w:b/>
                <w:sz w:val="18"/>
                <w:szCs w:val="18"/>
                <w:lang w:val="en-US"/>
              </w:rPr>
            </w:pPr>
            <w:r w:rsidRPr="00EA179A">
              <w:rPr>
                <w:b/>
                <w:sz w:val="18"/>
                <w:szCs w:val="18"/>
                <w:lang w:val="en-US"/>
              </w:rPr>
              <w:t>Discounted present value</w:t>
            </w:r>
          </w:p>
        </w:tc>
      </w:tr>
      <w:tr w:rsidR="00EA179A" w:rsidRPr="00EA179A" w:rsidTr="00EA179A">
        <w:trPr>
          <w:trHeight w:val="74"/>
          <w:jc w:val="center"/>
        </w:trPr>
        <w:tc>
          <w:tcPr>
            <w:tcW w:w="152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2010</w:t>
            </w:r>
          </w:p>
        </w:tc>
        <w:tc>
          <w:tcPr>
            <w:tcW w:w="154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3%</w:t>
            </w:r>
          </w:p>
        </w:tc>
        <w:tc>
          <w:tcPr>
            <w:tcW w:w="1402"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 xml:space="preserve"> 3.000</w:t>
            </w:r>
          </w:p>
        </w:tc>
        <w:tc>
          <w:tcPr>
            <w:tcW w:w="124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5%</w:t>
            </w:r>
          </w:p>
        </w:tc>
        <w:tc>
          <w:tcPr>
            <w:tcW w:w="120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 xml:space="preserve">2.857 </w:t>
            </w:r>
          </w:p>
        </w:tc>
      </w:tr>
      <w:tr w:rsidR="00EA179A" w:rsidRPr="00EA179A" w:rsidTr="00EA179A">
        <w:trPr>
          <w:trHeight w:val="74"/>
          <w:jc w:val="center"/>
        </w:trPr>
        <w:tc>
          <w:tcPr>
            <w:tcW w:w="152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2011</w:t>
            </w:r>
          </w:p>
        </w:tc>
        <w:tc>
          <w:tcPr>
            <w:tcW w:w="154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3%</w:t>
            </w:r>
          </w:p>
        </w:tc>
        <w:tc>
          <w:tcPr>
            <w:tcW w:w="1402"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 xml:space="preserve"> 3.000</w:t>
            </w:r>
          </w:p>
        </w:tc>
        <w:tc>
          <w:tcPr>
            <w:tcW w:w="124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5%</w:t>
            </w:r>
          </w:p>
        </w:tc>
        <w:tc>
          <w:tcPr>
            <w:tcW w:w="120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 xml:space="preserve">2.721 </w:t>
            </w:r>
          </w:p>
        </w:tc>
      </w:tr>
      <w:tr w:rsidR="00EA179A" w:rsidRPr="00EA179A" w:rsidTr="00EA179A">
        <w:trPr>
          <w:trHeight w:val="74"/>
          <w:jc w:val="center"/>
        </w:trPr>
        <w:tc>
          <w:tcPr>
            <w:tcW w:w="152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2012</w:t>
            </w:r>
          </w:p>
        </w:tc>
        <w:tc>
          <w:tcPr>
            <w:tcW w:w="154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3% + principal</w:t>
            </w:r>
          </w:p>
        </w:tc>
        <w:tc>
          <w:tcPr>
            <w:tcW w:w="1402"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 xml:space="preserve">103.000 </w:t>
            </w:r>
          </w:p>
        </w:tc>
        <w:tc>
          <w:tcPr>
            <w:tcW w:w="124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5%</w:t>
            </w:r>
          </w:p>
        </w:tc>
        <w:tc>
          <w:tcPr>
            <w:tcW w:w="120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 xml:space="preserve">88.975 </w:t>
            </w:r>
          </w:p>
        </w:tc>
      </w:tr>
      <w:tr w:rsidR="00EA179A" w:rsidRPr="00EA179A" w:rsidTr="00EA179A">
        <w:trPr>
          <w:trHeight w:val="74"/>
          <w:jc w:val="center"/>
        </w:trPr>
        <w:tc>
          <w:tcPr>
            <w:tcW w:w="1520" w:type="dxa"/>
            <w:shd w:val="clear" w:color="auto" w:fill="auto"/>
            <w:noWrap/>
            <w:vAlign w:val="bottom"/>
            <w:hideMark/>
          </w:tcPr>
          <w:p w:rsidR="00EA179A" w:rsidRPr="00EA179A" w:rsidRDefault="00EA179A" w:rsidP="00515841">
            <w:pPr>
              <w:pStyle w:val="Geenafstand"/>
              <w:rPr>
                <w:sz w:val="18"/>
                <w:szCs w:val="18"/>
                <w:lang w:val="en-US"/>
              </w:rPr>
            </w:pPr>
          </w:p>
        </w:tc>
        <w:tc>
          <w:tcPr>
            <w:tcW w:w="1540" w:type="dxa"/>
            <w:shd w:val="clear" w:color="auto" w:fill="auto"/>
            <w:noWrap/>
            <w:vAlign w:val="bottom"/>
            <w:hideMark/>
          </w:tcPr>
          <w:p w:rsidR="00EA179A" w:rsidRPr="00EA179A" w:rsidRDefault="00EA179A" w:rsidP="00515841">
            <w:pPr>
              <w:pStyle w:val="Geenafstand"/>
              <w:rPr>
                <w:sz w:val="18"/>
                <w:szCs w:val="18"/>
                <w:lang w:val="en-US"/>
              </w:rPr>
            </w:pPr>
          </w:p>
        </w:tc>
        <w:tc>
          <w:tcPr>
            <w:tcW w:w="1402" w:type="dxa"/>
            <w:shd w:val="clear" w:color="auto" w:fill="auto"/>
            <w:noWrap/>
            <w:vAlign w:val="bottom"/>
            <w:hideMark/>
          </w:tcPr>
          <w:p w:rsidR="00EA179A" w:rsidRPr="00EA179A" w:rsidRDefault="00EA179A" w:rsidP="00515841">
            <w:pPr>
              <w:pStyle w:val="Geenafstand"/>
              <w:rPr>
                <w:sz w:val="18"/>
                <w:szCs w:val="18"/>
                <w:lang w:val="en-US"/>
              </w:rPr>
            </w:pPr>
          </w:p>
        </w:tc>
        <w:tc>
          <w:tcPr>
            <w:tcW w:w="1240" w:type="dxa"/>
            <w:shd w:val="clear" w:color="auto" w:fill="auto"/>
            <w:noWrap/>
            <w:vAlign w:val="bottom"/>
            <w:hideMark/>
          </w:tcPr>
          <w:p w:rsidR="00EA179A" w:rsidRPr="00EA179A" w:rsidRDefault="00EA179A" w:rsidP="00515841">
            <w:pPr>
              <w:pStyle w:val="Geenafstand"/>
              <w:rPr>
                <w:sz w:val="18"/>
                <w:szCs w:val="18"/>
                <w:lang w:val="en-US"/>
              </w:rPr>
            </w:pPr>
            <w:r w:rsidRPr="00EA179A">
              <w:rPr>
                <w:sz w:val="18"/>
                <w:szCs w:val="18"/>
                <w:lang w:val="en-US"/>
              </w:rPr>
              <w:t>Total</w:t>
            </w:r>
          </w:p>
        </w:tc>
        <w:tc>
          <w:tcPr>
            <w:tcW w:w="1200" w:type="dxa"/>
            <w:shd w:val="clear" w:color="auto" w:fill="auto"/>
            <w:noWrap/>
            <w:vAlign w:val="bottom"/>
            <w:hideMark/>
          </w:tcPr>
          <w:p w:rsidR="00EA179A" w:rsidRPr="00EA179A" w:rsidRDefault="00EA179A" w:rsidP="00515841">
            <w:pPr>
              <w:pStyle w:val="Geenafstand"/>
              <w:rPr>
                <w:b/>
                <w:sz w:val="18"/>
                <w:szCs w:val="18"/>
                <w:lang w:val="en-US"/>
              </w:rPr>
            </w:pPr>
            <w:r w:rsidRPr="00EA179A">
              <w:rPr>
                <w:b/>
                <w:sz w:val="18"/>
                <w:szCs w:val="18"/>
                <w:lang w:val="en-US"/>
              </w:rPr>
              <w:t xml:space="preserve">94.554 </w:t>
            </w:r>
          </w:p>
        </w:tc>
      </w:tr>
    </w:tbl>
    <w:p w:rsidR="00ED2BA8" w:rsidRPr="00ED2BA8" w:rsidRDefault="00ED2BA8" w:rsidP="00ED2BA8">
      <w:pPr>
        <w:pStyle w:val="Geenafstand"/>
        <w:jc w:val="center"/>
        <w:rPr>
          <w:sz w:val="20"/>
          <w:szCs w:val="20"/>
          <w:lang w:val="en-US"/>
        </w:rPr>
      </w:pPr>
      <w:r w:rsidRPr="00ED2BA8">
        <w:rPr>
          <w:sz w:val="20"/>
          <w:szCs w:val="20"/>
          <w:lang w:val="en-US"/>
        </w:rPr>
        <w:t>Table 2.2: Calculation impairment loss</w:t>
      </w:r>
    </w:p>
    <w:p w:rsidR="00934A89" w:rsidRPr="00DA0DCD" w:rsidRDefault="006E113C" w:rsidP="00934A89">
      <w:pPr>
        <w:pStyle w:val="Kop2"/>
        <w:numPr>
          <w:ilvl w:val="1"/>
          <w:numId w:val="14"/>
        </w:numPr>
        <w:rPr>
          <w:lang w:val="en-US"/>
        </w:rPr>
      </w:pPr>
      <w:bookmarkStart w:id="13" w:name="_Toc270770558"/>
      <w:r w:rsidRPr="00DA0DCD">
        <w:rPr>
          <w:lang w:val="en-US"/>
        </w:rPr>
        <w:t xml:space="preserve">Reclassification option </w:t>
      </w:r>
      <w:r w:rsidR="000C3114" w:rsidRPr="00DA0DCD">
        <w:rPr>
          <w:lang w:val="en-US"/>
        </w:rPr>
        <w:t>amendment</w:t>
      </w:r>
      <w:bookmarkEnd w:id="13"/>
    </w:p>
    <w:p w:rsidR="00934A89" w:rsidRPr="00DA0DCD" w:rsidRDefault="00934A89" w:rsidP="000667F1">
      <w:pPr>
        <w:spacing w:after="0"/>
        <w:rPr>
          <w:color w:val="FF0000"/>
          <w:lang w:val="en-US"/>
        </w:rPr>
      </w:pPr>
      <w:r w:rsidRPr="00DA0DCD">
        <w:rPr>
          <w:lang w:val="en-US"/>
        </w:rPr>
        <w:t xml:space="preserve">On </w:t>
      </w:r>
      <w:r w:rsidR="00D0587E" w:rsidRPr="00DA0DCD">
        <w:rPr>
          <w:lang w:val="en-US"/>
        </w:rPr>
        <w:t xml:space="preserve">October </w:t>
      </w:r>
      <w:r w:rsidR="006D251C">
        <w:rPr>
          <w:lang w:val="en-US"/>
        </w:rPr>
        <w:t>13</w:t>
      </w:r>
      <w:r w:rsidR="00D0587E" w:rsidRPr="00DA0DCD">
        <w:rPr>
          <w:lang w:val="en-US"/>
        </w:rPr>
        <w:t>,</w:t>
      </w:r>
      <w:r w:rsidRPr="00DA0DCD">
        <w:rPr>
          <w:lang w:val="en-US"/>
        </w:rPr>
        <w:t xml:space="preserve"> </w:t>
      </w:r>
      <w:r w:rsidR="006D251C" w:rsidRPr="00DA0DCD">
        <w:rPr>
          <w:lang w:val="en-US"/>
        </w:rPr>
        <w:t>2008</w:t>
      </w:r>
      <w:r w:rsidR="00D0587E" w:rsidRPr="00DA0DCD">
        <w:rPr>
          <w:lang w:val="en-US"/>
        </w:rPr>
        <w:t xml:space="preserve"> </w:t>
      </w:r>
      <w:r w:rsidRPr="00DA0DCD">
        <w:rPr>
          <w:lang w:val="en-US"/>
        </w:rPr>
        <w:t>the IASB issued amendments to IAS 39 and IFRS 7 that permitted the reclassification of some financial instruments</w:t>
      </w:r>
      <w:r w:rsidR="0095337A" w:rsidRPr="00DA0DCD">
        <w:rPr>
          <w:lang w:val="en-US"/>
        </w:rPr>
        <w:t xml:space="preserve"> under certain circumstances</w:t>
      </w:r>
      <w:r w:rsidRPr="00DA0DCD">
        <w:rPr>
          <w:lang w:val="en-US"/>
        </w:rPr>
        <w:t xml:space="preserve">. </w:t>
      </w:r>
      <w:r w:rsidR="0095337A" w:rsidRPr="00DA0DCD">
        <w:rPr>
          <w:lang w:val="en-US"/>
        </w:rPr>
        <w:t xml:space="preserve">The main </w:t>
      </w:r>
      <w:r w:rsidR="00DE20DB" w:rsidRPr="00DA0DCD">
        <w:rPr>
          <w:lang w:val="en-US"/>
        </w:rPr>
        <w:t>reason</w:t>
      </w:r>
      <w:r w:rsidR="006E113C" w:rsidRPr="00DA0DCD">
        <w:rPr>
          <w:lang w:val="en-US"/>
        </w:rPr>
        <w:t>, as described in the introduction,</w:t>
      </w:r>
      <w:r w:rsidR="00DE20DB" w:rsidRPr="00DA0DCD">
        <w:rPr>
          <w:lang w:val="en-US"/>
        </w:rPr>
        <w:t xml:space="preserve"> was to ensure that financial institutions are not disadvantaged</w:t>
      </w:r>
      <w:r w:rsidR="006E113C" w:rsidRPr="00DA0DCD">
        <w:rPr>
          <w:lang w:val="en-US"/>
        </w:rPr>
        <w:t xml:space="preserve"> in terms of accounting rules and interpretation with respect to international competitors. This </w:t>
      </w:r>
      <w:r w:rsidR="00DE20DB" w:rsidRPr="00DA0DCD">
        <w:rPr>
          <w:lang w:val="en-US"/>
        </w:rPr>
        <w:t>reclassification option was already possible in the US</w:t>
      </w:r>
      <w:r w:rsidR="006E113C" w:rsidRPr="00DA0DCD">
        <w:rPr>
          <w:lang w:val="en-US"/>
        </w:rPr>
        <w:t>, this</w:t>
      </w:r>
      <w:r w:rsidR="00DE20DB" w:rsidRPr="00DA0DCD">
        <w:rPr>
          <w:lang w:val="en-US"/>
        </w:rPr>
        <w:t xml:space="preserve"> amendment therefore reduce</w:t>
      </w:r>
      <w:r w:rsidR="00D321D0" w:rsidRPr="00DA0DCD">
        <w:rPr>
          <w:lang w:val="en-US"/>
        </w:rPr>
        <w:t>s</w:t>
      </w:r>
      <w:r w:rsidR="00DE20DB" w:rsidRPr="00DA0DCD">
        <w:rPr>
          <w:lang w:val="en-US"/>
        </w:rPr>
        <w:t xml:space="preserve"> the differences between IFRS and US GAAP</w:t>
      </w:r>
      <w:r w:rsidR="009E7A45" w:rsidRPr="00DA0DCD">
        <w:rPr>
          <w:lang w:val="en-US"/>
        </w:rPr>
        <w:t xml:space="preserve"> (Renders, 2009)</w:t>
      </w:r>
      <w:r w:rsidR="00DE20DB" w:rsidRPr="00DA0DCD">
        <w:rPr>
          <w:lang w:val="en-US"/>
        </w:rPr>
        <w:t>.</w:t>
      </w:r>
      <w:r w:rsidR="00257B4F" w:rsidRPr="00DA0DCD">
        <w:rPr>
          <w:lang w:val="en-US"/>
        </w:rPr>
        <w:t xml:space="preserve"> </w:t>
      </w:r>
      <w:r w:rsidR="00DE20DB" w:rsidRPr="00DA0DCD">
        <w:rPr>
          <w:lang w:val="en-US"/>
        </w:rPr>
        <w:t>This amendment</w:t>
      </w:r>
      <w:r w:rsidR="00C51624" w:rsidRPr="00DA0DCD">
        <w:rPr>
          <w:lang w:val="en-US"/>
        </w:rPr>
        <w:t xml:space="preserve"> may be applied from July</w:t>
      </w:r>
      <w:r w:rsidR="00D0587E" w:rsidRPr="00DA0DCD">
        <w:rPr>
          <w:lang w:val="en-US"/>
        </w:rPr>
        <w:t xml:space="preserve"> </w:t>
      </w:r>
      <w:r w:rsidR="00C51624" w:rsidRPr="00DA0DCD">
        <w:rPr>
          <w:lang w:val="en-US"/>
        </w:rPr>
        <w:t>1, 2008, earlier application is not permitted. After reclassification</w:t>
      </w:r>
      <w:r w:rsidR="0095337A" w:rsidRPr="00DA0DCD">
        <w:rPr>
          <w:lang w:val="en-US"/>
        </w:rPr>
        <w:t xml:space="preserve">, </w:t>
      </w:r>
      <w:r w:rsidR="00874BEF" w:rsidRPr="00DA0DCD">
        <w:rPr>
          <w:lang w:val="en-US"/>
        </w:rPr>
        <w:t xml:space="preserve">it is not permitted to </w:t>
      </w:r>
      <w:r w:rsidR="00071B01" w:rsidRPr="00DA0DCD">
        <w:rPr>
          <w:lang w:val="en-US"/>
        </w:rPr>
        <w:t xml:space="preserve">change to the initial classification of before the reclassification. </w:t>
      </w:r>
      <w:r w:rsidR="0095337A" w:rsidRPr="00DA0DCD">
        <w:rPr>
          <w:lang w:val="en-US"/>
        </w:rPr>
        <w:t>Derivate instruments which initial recognized as “designated at fair value trough profit and loss” are</w:t>
      </w:r>
      <w:r w:rsidR="00746CA1" w:rsidRPr="00DA0DCD">
        <w:rPr>
          <w:lang w:val="en-US"/>
        </w:rPr>
        <w:t xml:space="preserve"> not allowed to be reclassified</w:t>
      </w:r>
      <w:r w:rsidR="00DC6A91" w:rsidRPr="00DA0DCD">
        <w:rPr>
          <w:lang w:val="en-US"/>
        </w:rPr>
        <w:t xml:space="preserve"> (Nivra, 2008)</w:t>
      </w:r>
      <w:r w:rsidR="00746CA1" w:rsidRPr="00DA0DCD">
        <w:rPr>
          <w:lang w:val="en-US"/>
        </w:rPr>
        <w:t>.</w:t>
      </w:r>
      <w:r w:rsidR="0095337A" w:rsidRPr="00DA0DCD">
        <w:rPr>
          <w:lang w:val="en-US"/>
        </w:rPr>
        <w:t>The following reclassifications</w:t>
      </w:r>
      <w:r w:rsidR="00745E82" w:rsidRPr="00DA0DCD">
        <w:rPr>
          <w:lang w:val="en-US"/>
        </w:rPr>
        <w:t xml:space="preserve"> are allowed</w:t>
      </w:r>
      <w:r w:rsidR="0095337A" w:rsidRPr="00DA0DCD">
        <w:rPr>
          <w:lang w:val="en-US"/>
        </w:rPr>
        <w:t xml:space="preserve"> </w:t>
      </w:r>
      <w:r w:rsidR="00745E82" w:rsidRPr="00DA0DCD">
        <w:rPr>
          <w:lang w:val="en-US"/>
        </w:rPr>
        <w:t>under the amendment</w:t>
      </w:r>
      <w:r w:rsidR="00257B4F" w:rsidRPr="00DA0DCD">
        <w:rPr>
          <w:lang w:val="en-US"/>
        </w:rPr>
        <w:t xml:space="preserve"> (Renders, 2009)</w:t>
      </w:r>
      <w:r w:rsidR="0095337A" w:rsidRPr="00DA0DCD">
        <w:rPr>
          <w:lang w:val="en-US"/>
        </w:rPr>
        <w:t>:</w:t>
      </w:r>
    </w:p>
    <w:p w:rsidR="005707E9" w:rsidRPr="00DA0DCD" w:rsidRDefault="005707E9" w:rsidP="00BD76C7">
      <w:pPr>
        <w:pStyle w:val="Lijstalinea"/>
        <w:numPr>
          <w:ilvl w:val="0"/>
          <w:numId w:val="18"/>
        </w:numPr>
        <w:spacing w:after="0"/>
        <w:rPr>
          <w:lang w:val="en-US"/>
        </w:rPr>
      </w:pPr>
      <w:r w:rsidRPr="00DA0DCD">
        <w:rPr>
          <w:lang w:val="en-US"/>
        </w:rPr>
        <w:t xml:space="preserve">Non-derivate assets and liabilities reclassify </w:t>
      </w:r>
      <w:r w:rsidR="0016422F" w:rsidRPr="00DA0DCD">
        <w:rPr>
          <w:lang w:val="en-US"/>
        </w:rPr>
        <w:t xml:space="preserve">out of </w:t>
      </w:r>
      <w:r w:rsidRPr="00DA0DCD">
        <w:rPr>
          <w:lang w:val="en-US"/>
        </w:rPr>
        <w:t xml:space="preserve">category </w:t>
      </w:r>
      <w:r w:rsidR="00D76CD8" w:rsidRPr="00DA0DCD">
        <w:rPr>
          <w:lang w:val="en-US"/>
        </w:rPr>
        <w:t>(1</w:t>
      </w:r>
      <w:r w:rsidR="0016422F" w:rsidRPr="00DA0DCD">
        <w:rPr>
          <w:lang w:val="en-US"/>
        </w:rPr>
        <w:t>) ‘Fair</w:t>
      </w:r>
      <w:r w:rsidR="00D76CD8" w:rsidRPr="00DA0DCD">
        <w:rPr>
          <w:lang w:val="en-US"/>
        </w:rPr>
        <w:t xml:space="preserve"> Value Trough Profit and Loss – held for trading’ </w:t>
      </w:r>
      <w:r w:rsidR="0016422F" w:rsidRPr="00DA0DCD">
        <w:rPr>
          <w:lang w:val="en-US"/>
        </w:rPr>
        <w:t>and (4)</w:t>
      </w:r>
      <w:r w:rsidRPr="00DA0DCD">
        <w:rPr>
          <w:lang w:val="en-US"/>
        </w:rPr>
        <w:t xml:space="preserve"> ‘</w:t>
      </w:r>
      <w:r w:rsidR="008A2D48">
        <w:rPr>
          <w:lang w:val="en-US"/>
        </w:rPr>
        <w:t>A</w:t>
      </w:r>
      <w:r w:rsidRPr="00DA0DCD">
        <w:rPr>
          <w:lang w:val="en-US"/>
        </w:rPr>
        <w:t xml:space="preserve">vailable for </w:t>
      </w:r>
      <w:r w:rsidR="008A2D48">
        <w:rPr>
          <w:lang w:val="en-US"/>
        </w:rPr>
        <w:t>S</w:t>
      </w:r>
      <w:r w:rsidRPr="00DA0DCD">
        <w:rPr>
          <w:lang w:val="en-US"/>
        </w:rPr>
        <w:t>ale’ under certain circumstances. The criteria depends on whether the asset at initial recognition would have met the definition ‘Loans and receivables’.</w:t>
      </w:r>
    </w:p>
    <w:p w:rsidR="00F55605" w:rsidRPr="00DA0DCD" w:rsidRDefault="00F55605" w:rsidP="00F55605">
      <w:pPr>
        <w:spacing w:after="0"/>
        <w:rPr>
          <w:lang w:val="en-US"/>
        </w:rPr>
      </w:pPr>
      <w:r w:rsidRPr="00DA0DCD">
        <w:rPr>
          <w:lang w:val="en-US"/>
        </w:rPr>
        <w:t xml:space="preserve">The reason that </w:t>
      </w:r>
      <w:r w:rsidR="008A2D48">
        <w:rPr>
          <w:lang w:val="en-US"/>
        </w:rPr>
        <w:t>it</w:t>
      </w:r>
      <w:r w:rsidRPr="00DA0DCD">
        <w:rPr>
          <w:lang w:val="en-US"/>
        </w:rPr>
        <w:t xml:space="preserve"> is not permitted to reclassify derivates is not explained by the IASB in the amendment. The reason could be that a derivate represents a contractual obligation to another party.</w:t>
      </w:r>
    </w:p>
    <w:p w:rsidR="005707E9" w:rsidRPr="00DA0DCD" w:rsidRDefault="005707E9" w:rsidP="005707E9">
      <w:pPr>
        <w:pStyle w:val="Lijstalinea"/>
        <w:numPr>
          <w:ilvl w:val="0"/>
          <w:numId w:val="18"/>
        </w:numPr>
        <w:rPr>
          <w:lang w:val="en-US"/>
        </w:rPr>
      </w:pPr>
      <w:r w:rsidRPr="00DA0DCD">
        <w:rPr>
          <w:lang w:val="en-US"/>
        </w:rPr>
        <w:t xml:space="preserve">A debt instrument that would have met the ‘Loans and receivables’ definition, may be classified from </w:t>
      </w:r>
      <w:r w:rsidR="00D76CD8" w:rsidRPr="00DA0DCD">
        <w:rPr>
          <w:lang w:val="en-US"/>
        </w:rPr>
        <w:t>(1)‘</w:t>
      </w:r>
      <w:r w:rsidRPr="00DA0DCD">
        <w:rPr>
          <w:lang w:val="en-US"/>
        </w:rPr>
        <w:t>F</w:t>
      </w:r>
      <w:r w:rsidR="00D76CD8" w:rsidRPr="00DA0DCD">
        <w:rPr>
          <w:lang w:val="en-US"/>
        </w:rPr>
        <w:t xml:space="preserve">air </w:t>
      </w:r>
      <w:r w:rsidRPr="00DA0DCD">
        <w:rPr>
          <w:lang w:val="en-US"/>
        </w:rPr>
        <w:t>V</w:t>
      </w:r>
      <w:r w:rsidR="00D76CD8" w:rsidRPr="00DA0DCD">
        <w:rPr>
          <w:lang w:val="en-US"/>
        </w:rPr>
        <w:t xml:space="preserve">alue </w:t>
      </w:r>
      <w:r w:rsidRPr="00DA0DCD">
        <w:rPr>
          <w:lang w:val="en-US"/>
        </w:rPr>
        <w:t>T</w:t>
      </w:r>
      <w:r w:rsidR="00D76CD8" w:rsidRPr="00DA0DCD">
        <w:rPr>
          <w:lang w:val="en-US"/>
        </w:rPr>
        <w:t xml:space="preserve">rough </w:t>
      </w:r>
      <w:r w:rsidRPr="00DA0DCD">
        <w:rPr>
          <w:lang w:val="en-US"/>
        </w:rPr>
        <w:t>P</w:t>
      </w:r>
      <w:r w:rsidR="00D76CD8" w:rsidRPr="00DA0DCD">
        <w:rPr>
          <w:lang w:val="en-US"/>
        </w:rPr>
        <w:t xml:space="preserve">rofit and </w:t>
      </w:r>
      <w:r w:rsidRPr="00DA0DCD">
        <w:rPr>
          <w:lang w:val="en-US"/>
        </w:rPr>
        <w:t>L</w:t>
      </w:r>
      <w:r w:rsidR="00D76CD8" w:rsidRPr="00DA0DCD">
        <w:rPr>
          <w:lang w:val="en-US"/>
        </w:rPr>
        <w:t>oss</w:t>
      </w:r>
      <w:r w:rsidRPr="00DA0DCD">
        <w:rPr>
          <w:lang w:val="en-US"/>
        </w:rPr>
        <w:t xml:space="preserve"> – held for trading</w:t>
      </w:r>
      <w:r w:rsidR="00D76CD8" w:rsidRPr="00DA0DCD">
        <w:rPr>
          <w:lang w:val="en-US"/>
        </w:rPr>
        <w:t>’</w:t>
      </w:r>
      <w:r w:rsidRPr="00DA0DCD">
        <w:rPr>
          <w:lang w:val="en-US"/>
        </w:rPr>
        <w:t xml:space="preserve"> or </w:t>
      </w:r>
      <w:r w:rsidR="00D76CD8" w:rsidRPr="00DA0DCD">
        <w:rPr>
          <w:lang w:val="en-US"/>
        </w:rPr>
        <w:t xml:space="preserve">(4)’Available </w:t>
      </w:r>
      <w:r w:rsidRPr="00DA0DCD">
        <w:rPr>
          <w:lang w:val="en-US"/>
        </w:rPr>
        <w:t>F</w:t>
      </w:r>
      <w:r w:rsidR="00D76CD8" w:rsidRPr="00DA0DCD">
        <w:rPr>
          <w:lang w:val="en-US"/>
        </w:rPr>
        <w:t xml:space="preserve">or </w:t>
      </w:r>
      <w:r w:rsidRPr="00DA0DCD">
        <w:rPr>
          <w:lang w:val="en-US"/>
        </w:rPr>
        <w:t>S</w:t>
      </w:r>
      <w:r w:rsidR="00D76CD8" w:rsidRPr="00DA0DCD">
        <w:rPr>
          <w:lang w:val="en-US"/>
        </w:rPr>
        <w:t>ale’</w:t>
      </w:r>
      <w:r w:rsidRPr="00DA0DCD">
        <w:rPr>
          <w:lang w:val="en-US"/>
        </w:rPr>
        <w:t xml:space="preserve"> to </w:t>
      </w:r>
      <w:r w:rsidR="0016422F" w:rsidRPr="00DA0DCD">
        <w:rPr>
          <w:lang w:val="en-US"/>
        </w:rPr>
        <w:t>category (3)</w:t>
      </w:r>
      <w:r w:rsidR="008A2D48">
        <w:rPr>
          <w:lang w:val="en-US"/>
        </w:rPr>
        <w:t xml:space="preserve"> ‘Loans and R</w:t>
      </w:r>
      <w:r w:rsidRPr="00DA0DCD">
        <w:rPr>
          <w:lang w:val="en-US"/>
        </w:rPr>
        <w:t>eceivables’</w:t>
      </w:r>
      <w:r w:rsidR="00D76CD8" w:rsidRPr="00DA0DCD">
        <w:rPr>
          <w:lang w:val="en-US"/>
        </w:rPr>
        <w:t xml:space="preserve"> when the entity has the intention and ability to hold the debt instruments for the foreseeable future or until maturity</w:t>
      </w:r>
    </w:p>
    <w:p w:rsidR="005707E9" w:rsidRPr="00DA0DCD" w:rsidRDefault="00D76CD8" w:rsidP="005707E9">
      <w:pPr>
        <w:pStyle w:val="Lijstalinea"/>
        <w:numPr>
          <w:ilvl w:val="0"/>
          <w:numId w:val="18"/>
        </w:numPr>
        <w:rPr>
          <w:lang w:val="en-US"/>
        </w:rPr>
      </w:pPr>
      <w:r w:rsidRPr="00DA0DCD">
        <w:rPr>
          <w:lang w:val="en-US"/>
        </w:rPr>
        <w:t>Any other equity or debt instruments may be reclassified from</w:t>
      </w:r>
      <w:r w:rsidR="0016422F" w:rsidRPr="00DA0DCD">
        <w:rPr>
          <w:lang w:val="en-US"/>
        </w:rPr>
        <w:t xml:space="preserve"> (1)‘Fair Value Trough Profit and Loss – held for trading’ to category (4) ‘</w:t>
      </w:r>
      <w:r w:rsidR="008A2D48">
        <w:rPr>
          <w:lang w:val="en-US"/>
        </w:rPr>
        <w:t>A</w:t>
      </w:r>
      <w:r w:rsidR="0016422F" w:rsidRPr="00DA0DCD">
        <w:rPr>
          <w:lang w:val="en-US"/>
        </w:rPr>
        <w:t xml:space="preserve">vailable for </w:t>
      </w:r>
      <w:r w:rsidR="008A2D48">
        <w:rPr>
          <w:lang w:val="en-US"/>
        </w:rPr>
        <w:t>S</w:t>
      </w:r>
      <w:r w:rsidR="0016422F" w:rsidRPr="00DA0DCD">
        <w:rPr>
          <w:lang w:val="en-US"/>
        </w:rPr>
        <w:t xml:space="preserve">ale’ or (2) ‘Held to </w:t>
      </w:r>
      <w:r w:rsidR="008A2D48">
        <w:rPr>
          <w:lang w:val="en-US"/>
        </w:rPr>
        <w:t>M</w:t>
      </w:r>
      <w:r w:rsidR="0016422F" w:rsidRPr="00DA0DCD">
        <w:rPr>
          <w:lang w:val="en-US"/>
        </w:rPr>
        <w:t>aturity’. Debt instruments may only reclass</w:t>
      </w:r>
      <w:r w:rsidR="00A041BD" w:rsidRPr="00DA0DCD">
        <w:rPr>
          <w:lang w:val="en-US"/>
        </w:rPr>
        <w:t>ified if the financial assets are</w:t>
      </w:r>
      <w:r w:rsidR="0016422F" w:rsidRPr="00DA0DCD">
        <w:rPr>
          <w:lang w:val="en-US"/>
        </w:rPr>
        <w:t xml:space="preserve"> no longer held for the purpose of selling it in the near future and in ‘rare’ circumstances. The IASB defined the deterioration of the financial markets as a ‘rare’ circumstance.</w:t>
      </w:r>
    </w:p>
    <w:p w:rsidR="00527BEF" w:rsidRPr="00DA0DCD" w:rsidRDefault="00A83EF9" w:rsidP="00527BEF">
      <w:pPr>
        <w:rPr>
          <w:color w:val="FF0000"/>
          <w:lang w:val="en-US"/>
        </w:rPr>
      </w:pPr>
      <w:r w:rsidRPr="00DA0DCD">
        <w:rPr>
          <w:rFonts w:ascii="Calibri" w:eastAsia="Calibri" w:hAnsi="Calibri" w:cs="Times New Roman"/>
          <w:lang w:val="en-US"/>
        </w:rPr>
        <w:t>The fair value of an a</w:t>
      </w:r>
      <w:r w:rsidR="000C3C74" w:rsidRPr="00DA0DCD">
        <w:rPr>
          <w:rFonts w:ascii="Calibri" w:eastAsia="Calibri" w:hAnsi="Calibri" w:cs="Times New Roman"/>
          <w:lang w:val="en-US"/>
        </w:rPr>
        <w:t>sset</w:t>
      </w:r>
      <w:r w:rsidRPr="00DA0DCD">
        <w:rPr>
          <w:rFonts w:ascii="Calibri" w:eastAsia="Calibri" w:hAnsi="Calibri" w:cs="Times New Roman"/>
          <w:lang w:val="en-US"/>
        </w:rPr>
        <w:t xml:space="preserve"> after the reclassification can be considered as the new amortized cost price</w:t>
      </w:r>
      <w:r w:rsidR="00071B01" w:rsidRPr="00DA0DCD">
        <w:rPr>
          <w:rFonts w:ascii="Calibri" w:eastAsia="Calibri" w:hAnsi="Calibri" w:cs="Times New Roman"/>
          <w:lang w:val="en-US"/>
        </w:rPr>
        <w:t>, already recognized gains and losses are not reversed. This means that the book value of the financial instrument is used for the reclassification.</w:t>
      </w:r>
      <w:r w:rsidRPr="00DA0DCD">
        <w:rPr>
          <w:rFonts w:ascii="Calibri" w:eastAsia="Calibri" w:hAnsi="Calibri" w:cs="Times New Roman"/>
          <w:lang w:val="en-US"/>
        </w:rPr>
        <w:t xml:space="preserve"> If after the </w:t>
      </w:r>
      <w:r w:rsidR="005B6351" w:rsidRPr="00DA0DCD">
        <w:rPr>
          <w:rFonts w:ascii="Calibri" w:eastAsia="Calibri" w:hAnsi="Calibri" w:cs="Times New Roman"/>
          <w:lang w:val="en-US"/>
        </w:rPr>
        <w:t>reclassification there is a</w:t>
      </w:r>
      <w:r w:rsidR="000C3114" w:rsidRPr="00DA0DCD">
        <w:rPr>
          <w:rFonts w:ascii="Calibri" w:eastAsia="Calibri" w:hAnsi="Calibri" w:cs="Times New Roman"/>
          <w:lang w:val="en-US"/>
        </w:rPr>
        <w:t>n</w:t>
      </w:r>
      <w:r w:rsidR="005B6351" w:rsidRPr="00DA0DCD">
        <w:rPr>
          <w:rFonts w:ascii="Calibri" w:eastAsia="Calibri" w:hAnsi="Calibri" w:cs="Times New Roman"/>
          <w:lang w:val="en-US"/>
        </w:rPr>
        <w:t xml:space="preserve"> increase of expected </w:t>
      </w:r>
      <w:r w:rsidR="000C3114" w:rsidRPr="00DA0DCD">
        <w:rPr>
          <w:rFonts w:ascii="Calibri" w:eastAsia="Calibri" w:hAnsi="Calibri" w:cs="Times New Roman"/>
          <w:lang w:val="en-US"/>
        </w:rPr>
        <w:t>cash flows</w:t>
      </w:r>
      <w:r w:rsidR="005B6351" w:rsidRPr="00DA0DCD">
        <w:rPr>
          <w:rFonts w:ascii="Calibri" w:eastAsia="Calibri" w:hAnsi="Calibri" w:cs="Times New Roman"/>
          <w:lang w:val="en-US"/>
        </w:rPr>
        <w:t xml:space="preserve">, this increase will be seen as an adjustment of the effective interest rate and </w:t>
      </w:r>
      <w:r w:rsidR="008A3DC0" w:rsidRPr="00DA0DCD">
        <w:rPr>
          <w:rFonts w:ascii="Calibri" w:eastAsia="Calibri" w:hAnsi="Calibri" w:cs="Times New Roman"/>
          <w:lang w:val="en-US"/>
        </w:rPr>
        <w:t xml:space="preserve">not the adjustment of the book value of the </w:t>
      </w:r>
      <w:r w:rsidR="00F46D4F" w:rsidRPr="00DA0DCD">
        <w:rPr>
          <w:rFonts w:ascii="Calibri" w:eastAsia="Calibri" w:hAnsi="Calibri" w:cs="Times New Roman"/>
          <w:lang w:val="en-US"/>
        </w:rPr>
        <w:t>asset</w:t>
      </w:r>
      <w:r w:rsidR="007E2EBD" w:rsidRPr="00DA0DCD">
        <w:rPr>
          <w:rFonts w:ascii="Calibri" w:eastAsia="Calibri" w:hAnsi="Calibri" w:cs="Times New Roman"/>
          <w:lang w:val="en-US"/>
        </w:rPr>
        <w:t>.</w:t>
      </w:r>
      <w:r w:rsidR="00527BEF" w:rsidRPr="00527BEF">
        <w:rPr>
          <w:rFonts w:ascii="Calibri" w:eastAsia="Calibri" w:hAnsi="Calibri" w:cs="Times New Roman"/>
          <w:lang w:val="en-US"/>
        </w:rPr>
        <w:t xml:space="preserve"> </w:t>
      </w:r>
      <w:r w:rsidR="00527BEF" w:rsidRPr="00DA0DCD">
        <w:rPr>
          <w:rFonts w:ascii="Calibri" w:eastAsia="Calibri" w:hAnsi="Calibri" w:cs="Times New Roman"/>
          <w:lang w:val="en-US"/>
        </w:rPr>
        <w:t xml:space="preserve">As mentioned earlier, the amendment also concerned IFRS 7. This amendment on IFRS 7 means that when companies apply a reclassification according to IAS 39, they have to include more disclosure with regard to the reclassification. For instance the amount of reclassification in and out each category should be disclosed and detailed information about the “rare” circumstance. </w:t>
      </w:r>
    </w:p>
    <w:p w:rsidR="00D40F66" w:rsidRPr="002F5873" w:rsidRDefault="00D40F66" w:rsidP="007E2EBD">
      <w:pPr>
        <w:rPr>
          <w:rFonts w:ascii="Calibri" w:eastAsia="Calibri" w:hAnsi="Calibri" w:cs="Times New Roman"/>
          <w:lang w:val="en-US"/>
        </w:rPr>
      </w:pPr>
      <w:r w:rsidRPr="002F5873">
        <w:rPr>
          <w:rFonts w:ascii="Calibri" w:eastAsia="Calibri" w:hAnsi="Calibri" w:cs="Times New Roman"/>
          <w:lang w:val="en-US"/>
        </w:rPr>
        <w:t>The advantage of the reclassification option is the possibility to reclassify financial instruments from fair value</w:t>
      </w:r>
      <w:r w:rsidR="00B829CB">
        <w:rPr>
          <w:rFonts w:ascii="Calibri" w:eastAsia="Calibri" w:hAnsi="Calibri" w:cs="Times New Roman"/>
          <w:lang w:val="en-US"/>
        </w:rPr>
        <w:t xml:space="preserve"> category</w:t>
      </w:r>
      <w:r w:rsidRPr="002F5873">
        <w:rPr>
          <w:rFonts w:ascii="Calibri" w:eastAsia="Calibri" w:hAnsi="Calibri" w:cs="Times New Roman"/>
          <w:lang w:val="en-US"/>
        </w:rPr>
        <w:t xml:space="preserve"> to</w:t>
      </w:r>
      <w:r w:rsidR="00B829CB">
        <w:rPr>
          <w:rFonts w:ascii="Calibri" w:eastAsia="Calibri" w:hAnsi="Calibri" w:cs="Times New Roman"/>
          <w:lang w:val="en-US"/>
        </w:rPr>
        <w:t xml:space="preserve"> an</w:t>
      </w:r>
      <w:r w:rsidRPr="002F5873">
        <w:rPr>
          <w:rFonts w:ascii="Calibri" w:eastAsia="Calibri" w:hAnsi="Calibri" w:cs="Times New Roman"/>
          <w:lang w:val="en-US"/>
        </w:rPr>
        <w:t xml:space="preserve"> amortized costs</w:t>
      </w:r>
      <w:r w:rsidR="00B829CB">
        <w:rPr>
          <w:rFonts w:ascii="Calibri" w:eastAsia="Calibri" w:hAnsi="Calibri" w:cs="Times New Roman"/>
          <w:lang w:val="en-US"/>
        </w:rPr>
        <w:t xml:space="preserve"> category</w:t>
      </w:r>
      <w:r w:rsidRPr="002F5873">
        <w:rPr>
          <w:rFonts w:ascii="Calibri" w:eastAsia="Calibri" w:hAnsi="Calibri" w:cs="Times New Roman"/>
          <w:lang w:val="en-US"/>
        </w:rPr>
        <w:t xml:space="preserve">. This means that the valuation of the financial </w:t>
      </w:r>
      <w:r w:rsidRPr="002F5873">
        <w:rPr>
          <w:rFonts w:ascii="Calibri" w:eastAsia="Calibri" w:hAnsi="Calibri" w:cs="Times New Roman"/>
          <w:lang w:val="en-US"/>
        </w:rPr>
        <w:lastRenderedPageBreak/>
        <w:t xml:space="preserve">instrument is no longer subjected to value changes </w:t>
      </w:r>
      <w:r w:rsidR="00E16E27" w:rsidRPr="002F5873">
        <w:rPr>
          <w:rFonts w:ascii="Calibri" w:eastAsia="Calibri" w:hAnsi="Calibri" w:cs="Times New Roman"/>
          <w:lang w:val="en-US"/>
        </w:rPr>
        <w:t xml:space="preserve">caused by the financial crisis (illiquid markets). Therefore, the owners equity and </w:t>
      </w:r>
      <w:r w:rsidR="00D60AAD" w:rsidRPr="002F5873">
        <w:rPr>
          <w:rFonts w:ascii="Calibri" w:eastAsia="Calibri" w:hAnsi="Calibri" w:cs="Times New Roman"/>
          <w:lang w:val="en-US"/>
        </w:rPr>
        <w:t>profits</w:t>
      </w:r>
      <w:r w:rsidR="00E16E27" w:rsidRPr="002F5873">
        <w:rPr>
          <w:rFonts w:ascii="Calibri" w:eastAsia="Calibri" w:hAnsi="Calibri" w:cs="Times New Roman"/>
          <w:lang w:val="en-US"/>
        </w:rPr>
        <w:t xml:space="preserve"> of </w:t>
      </w:r>
      <w:r w:rsidR="003C47B6" w:rsidRPr="002F5873">
        <w:rPr>
          <w:rFonts w:ascii="Calibri" w:eastAsia="Calibri" w:hAnsi="Calibri" w:cs="Times New Roman"/>
          <w:lang w:val="en-US"/>
        </w:rPr>
        <w:t xml:space="preserve">a </w:t>
      </w:r>
      <w:r w:rsidR="00E16E27" w:rsidRPr="002F5873">
        <w:rPr>
          <w:rFonts w:ascii="Calibri" w:eastAsia="Calibri" w:hAnsi="Calibri" w:cs="Times New Roman"/>
          <w:lang w:val="en-US"/>
        </w:rPr>
        <w:t>compan</w:t>
      </w:r>
      <w:r w:rsidR="00D60AAD" w:rsidRPr="002F5873">
        <w:rPr>
          <w:rFonts w:ascii="Calibri" w:eastAsia="Calibri" w:hAnsi="Calibri" w:cs="Times New Roman"/>
          <w:lang w:val="en-US"/>
        </w:rPr>
        <w:t>y</w:t>
      </w:r>
      <w:r w:rsidR="00E16E27" w:rsidRPr="002F5873">
        <w:rPr>
          <w:rFonts w:ascii="Calibri" w:eastAsia="Calibri" w:hAnsi="Calibri" w:cs="Times New Roman"/>
          <w:lang w:val="en-US"/>
        </w:rPr>
        <w:t xml:space="preserve"> are less volatile</w:t>
      </w:r>
      <w:r w:rsidR="003C47B6" w:rsidRPr="002F5873">
        <w:rPr>
          <w:rFonts w:ascii="Calibri" w:eastAsia="Calibri" w:hAnsi="Calibri" w:cs="Times New Roman"/>
          <w:lang w:val="en-US"/>
        </w:rPr>
        <w:t xml:space="preserve"> at amortized costs</w:t>
      </w:r>
      <w:r w:rsidR="00E16E27" w:rsidRPr="002F5873">
        <w:rPr>
          <w:rFonts w:ascii="Calibri" w:eastAsia="Calibri" w:hAnsi="Calibri" w:cs="Times New Roman"/>
          <w:lang w:val="en-US"/>
        </w:rPr>
        <w:t>.</w:t>
      </w:r>
      <w:r w:rsidR="003C47B6" w:rsidRPr="002F5873">
        <w:rPr>
          <w:rFonts w:ascii="Calibri" w:eastAsia="Calibri" w:hAnsi="Calibri" w:cs="Times New Roman"/>
          <w:lang w:val="en-US"/>
        </w:rPr>
        <w:t xml:space="preserve"> However, when </w:t>
      </w:r>
      <w:r w:rsidR="00D60AAD" w:rsidRPr="002F5873">
        <w:rPr>
          <w:rFonts w:ascii="Calibri" w:eastAsia="Calibri" w:hAnsi="Calibri" w:cs="Times New Roman"/>
          <w:lang w:val="en-US"/>
        </w:rPr>
        <w:t xml:space="preserve">recognized at amortized costs the financial instruments are subjected </w:t>
      </w:r>
      <w:r w:rsidR="002F5873">
        <w:rPr>
          <w:rFonts w:ascii="Calibri" w:eastAsia="Calibri" w:hAnsi="Calibri" w:cs="Times New Roman"/>
          <w:lang w:val="en-US"/>
        </w:rPr>
        <w:t>to</w:t>
      </w:r>
      <w:r w:rsidR="00D60AAD" w:rsidRPr="002F5873">
        <w:rPr>
          <w:rFonts w:ascii="Calibri" w:eastAsia="Calibri" w:hAnsi="Calibri" w:cs="Times New Roman"/>
          <w:lang w:val="en-US"/>
        </w:rPr>
        <w:t xml:space="preserve"> impairment test</w:t>
      </w:r>
      <w:r w:rsidR="002F5873">
        <w:rPr>
          <w:rFonts w:ascii="Calibri" w:eastAsia="Calibri" w:hAnsi="Calibri" w:cs="Times New Roman"/>
          <w:lang w:val="en-US"/>
        </w:rPr>
        <w:t>ing</w:t>
      </w:r>
      <w:r w:rsidR="00D60AAD" w:rsidRPr="002F5873">
        <w:rPr>
          <w:rFonts w:ascii="Calibri" w:eastAsia="Calibri" w:hAnsi="Calibri" w:cs="Times New Roman"/>
          <w:lang w:val="en-US"/>
        </w:rPr>
        <w:t xml:space="preserve">. </w:t>
      </w:r>
      <w:r w:rsidR="00E16E27" w:rsidRPr="002F5873">
        <w:rPr>
          <w:rFonts w:ascii="Calibri" w:eastAsia="Calibri" w:hAnsi="Calibri" w:cs="Times New Roman"/>
          <w:lang w:val="en-US"/>
        </w:rPr>
        <w:t xml:space="preserve"> </w:t>
      </w:r>
      <w:r w:rsidR="00D131EC" w:rsidRPr="002F5873">
        <w:rPr>
          <w:rFonts w:ascii="Calibri" w:eastAsia="Calibri" w:hAnsi="Calibri" w:cs="Times New Roman"/>
          <w:lang w:val="en-US"/>
        </w:rPr>
        <w:t>An example</w:t>
      </w:r>
      <w:r w:rsidR="002F5873">
        <w:rPr>
          <w:rFonts w:ascii="Calibri" w:eastAsia="Calibri" w:hAnsi="Calibri" w:cs="Times New Roman"/>
          <w:lang w:val="en-US"/>
        </w:rPr>
        <w:t xml:space="preserve"> </w:t>
      </w:r>
      <w:r w:rsidR="00D131EC" w:rsidRPr="002F5873">
        <w:rPr>
          <w:rFonts w:ascii="Calibri" w:eastAsia="Calibri" w:hAnsi="Calibri" w:cs="Times New Roman"/>
          <w:lang w:val="en-US"/>
        </w:rPr>
        <w:t xml:space="preserve">of </w:t>
      </w:r>
      <w:r w:rsidR="002949B4" w:rsidRPr="002F5873">
        <w:rPr>
          <w:rFonts w:ascii="Calibri" w:eastAsia="Calibri" w:hAnsi="Calibri" w:cs="Times New Roman"/>
          <w:lang w:val="en-US"/>
        </w:rPr>
        <w:t>a</w:t>
      </w:r>
      <w:r w:rsidR="00D131EC" w:rsidRPr="002F5873">
        <w:rPr>
          <w:rFonts w:ascii="Calibri" w:eastAsia="Calibri" w:hAnsi="Calibri" w:cs="Times New Roman"/>
          <w:lang w:val="en-US"/>
        </w:rPr>
        <w:t xml:space="preserve"> reclassification situation is presented under.</w:t>
      </w:r>
    </w:p>
    <w:p w:rsidR="007011B6" w:rsidRPr="002F5873" w:rsidRDefault="00EA179A" w:rsidP="007E2EBD">
      <w:pPr>
        <w:rPr>
          <w:rFonts w:ascii="Calibri" w:eastAsia="Calibri" w:hAnsi="Calibri" w:cs="Times New Roman"/>
          <w:lang w:val="en-US"/>
        </w:rPr>
      </w:pPr>
      <w:r w:rsidRPr="002F5873">
        <w:rPr>
          <w:rFonts w:ascii="Calibri" w:eastAsia="Calibri" w:hAnsi="Calibri" w:cs="Times New Roman"/>
          <w:i/>
          <w:lang w:val="en-US"/>
        </w:rPr>
        <w:t xml:space="preserve">An </w:t>
      </w:r>
      <w:r w:rsidR="0090538E" w:rsidRPr="002F5873">
        <w:rPr>
          <w:rFonts w:ascii="Calibri" w:eastAsia="Calibri" w:hAnsi="Calibri" w:cs="Times New Roman"/>
          <w:i/>
          <w:lang w:val="en-US"/>
        </w:rPr>
        <w:t xml:space="preserve">Example </w:t>
      </w:r>
      <w:r w:rsidRPr="002F5873">
        <w:rPr>
          <w:rFonts w:ascii="Calibri" w:eastAsia="Calibri" w:hAnsi="Calibri" w:cs="Times New Roman"/>
          <w:i/>
          <w:lang w:val="en-US"/>
        </w:rPr>
        <w:t>of a r</w:t>
      </w:r>
      <w:r w:rsidR="002949B4" w:rsidRPr="002F5873">
        <w:rPr>
          <w:rFonts w:ascii="Calibri" w:eastAsia="Calibri" w:hAnsi="Calibri" w:cs="Times New Roman"/>
          <w:i/>
          <w:lang w:val="en-US"/>
        </w:rPr>
        <w:t>eclassification</w:t>
      </w:r>
      <w:r w:rsidRPr="002F5873">
        <w:rPr>
          <w:rFonts w:ascii="Calibri" w:eastAsia="Calibri" w:hAnsi="Calibri" w:cs="Times New Roman"/>
          <w:i/>
          <w:lang w:val="en-US"/>
        </w:rPr>
        <w:t xml:space="preserve">: </w:t>
      </w:r>
      <w:r w:rsidR="0090538E" w:rsidRPr="002F5873">
        <w:rPr>
          <w:rFonts w:ascii="Calibri" w:eastAsia="Calibri" w:hAnsi="Calibri" w:cs="Times New Roman"/>
          <w:i/>
          <w:lang w:val="en-US"/>
        </w:rPr>
        <w:br/>
      </w:r>
      <w:r w:rsidR="0090538E" w:rsidRPr="002F5873">
        <w:rPr>
          <w:rFonts w:ascii="Calibri" w:eastAsia="Calibri" w:hAnsi="Calibri" w:cs="Times New Roman"/>
          <w:lang w:val="en-US"/>
        </w:rPr>
        <w:t xml:space="preserve">Company A has a security that was originally quoted in an active market </w:t>
      </w:r>
      <w:r w:rsidR="00527BEF" w:rsidRPr="002F5873">
        <w:rPr>
          <w:rFonts w:ascii="Calibri" w:eastAsia="Calibri" w:hAnsi="Calibri" w:cs="Times New Roman"/>
          <w:lang w:val="en-US"/>
        </w:rPr>
        <w:t>and was</w:t>
      </w:r>
      <w:r w:rsidR="0090538E" w:rsidRPr="002F5873">
        <w:rPr>
          <w:rFonts w:ascii="Calibri" w:eastAsia="Calibri" w:hAnsi="Calibri" w:cs="Times New Roman"/>
          <w:lang w:val="en-US"/>
        </w:rPr>
        <w:t xml:space="preserve"> acquired at a cost of 50 million euro. </w:t>
      </w:r>
      <w:r w:rsidR="003B3D77" w:rsidRPr="002F5873">
        <w:rPr>
          <w:rFonts w:ascii="Calibri" w:eastAsia="Calibri" w:hAnsi="Calibri" w:cs="Times New Roman"/>
          <w:lang w:val="en-US"/>
        </w:rPr>
        <w:t>On June</w:t>
      </w:r>
      <w:r w:rsidR="006D251C">
        <w:rPr>
          <w:rFonts w:ascii="Calibri" w:eastAsia="Calibri" w:hAnsi="Calibri" w:cs="Times New Roman"/>
          <w:lang w:val="en-US"/>
        </w:rPr>
        <w:t xml:space="preserve"> 30,</w:t>
      </w:r>
      <w:r w:rsidR="003B3D77" w:rsidRPr="002F5873">
        <w:rPr>
          <w:rFonts w:ascii="Calibri" w:eastAsia="Calibri" w:hAnsi="Calibri" w:cs="Times New Roman"/>
          <w:lang w:val="en-US"/>
        </w:rPr>
        <w:t xml:space="preserve"> 2008, the fair value of the security has declined to 25 million euro because principal and interest are expected </w:t>
      </w:r>
      <w:r w:rsidR="002F5873">
        <w:rPr>
          <w:rFonts w:ascii="Calibri" w:eastAsia="Calibri" w:hAnsi="Calibri" w:cs="Times New Roman"/>
          <w:lang w:val="en-US"/>
        </w:rPr>
        <w:t xml:space="preserve">to </w:t>
      </w:r>
      <w:r w:rsidR="002F5873" w:rsidRPr="002F5873">
        <w:rPr>
          <w:rFonts w:ascii="Calibri" w:eastAsia="Calibri" w:hAnsi="Calibri" w:cs="Times New Roman"/>
          <w:lang w:val="en-US"/>
        </w:rPr>
        <w:t xml:space="preserve">be </w:t>
      </w:r>
      <w:r w:rsidR="003B3D77" w:rsidRPr="002F5873">
        <w:rPr>
          <w:rFonts w:ascii="Calibri" w:eastAsia="Calibri" w:hAnsi="Calibri" w:cs="Times New Roman"/>
          <w:lang w:val="en-US"/>
        </w:rPr>
        <w:t>not fully recovered and market rate</w:t>
      </w:r>
      <w:r w:rsidR="00F014A4" w:rsidRPr="002F5873">
        <w:rPr>
          <w:rFonts w:ascii="Calibri" w:eastAsia="Calibri" w:hAnsi="Calibri" w:cs="Times New Roman"/>
          <w:lang w:val="en-US"/>
        </w:rPr>
        <w:t xml:space="preserve"> for an instrument with similar risk characteristics</w:t>
      </w:r>
      <w:r w:rsidR="002F5873">
        <w:rPr>
          <w:rFonts w:ascii="Calibri" w:eastAsia="Calibri" w:hAnsi="Calibri" w:cs="Times New Roman"/>
          <w:lang w:val="en-US"/>
        </w:rPr>
        <w:t xml:space="preserve"> is higher than this</w:t>
      </w:r>
      <w:r w:rsidR="003B3D77" w:rsidRPr="002F5873">
        <w:rPr>
          <w:rFonts w:ascii="Calibri" w:eastAsia="Calibri" w:hAnsi="Calibri" w:cs="Times New Roman"/>
          <w:lang w:val="en-US"/>
        </w:rPr>
        <w:t xml:space="preserve"> security coupon.</w:t>
      </w:r>
      <w:r w:rsidR="002949B4" w:rsidRPr="002F5873">
        <w:rPr>
          <w:rFonts w:ascii="Calibri" w:eastAsia="Calibri" w:hAnsi="Calibri" w:cs="Times New Roman"/>
          <w:lang w:val="en-US"/>
        </w:rPr>
        <w:t xml:space="preserve"> </w:t>
      </w:r>
      <w:r w:rsidR="00527BEF" w:rsidRPr="002F5873">
        <w:rPr>
          <w:rFonts w:ascii="Calibri" w:eastAsia="Calibri" w:hAnsi="Calibri" w:cs="Times New Roman"/>
          <w:lang w:val="en-US"/>
        </w:rPr>
        <w:t>The security has still a maturity of five years.</w:t>
      </w:r>
      <w:r w:rsidR="006D251C">
        <w:rPr>
          <w:rFonts w:ascii="Calibri" w:eastAsia="Calibri" w:hAnsi="Calibri" w:cs="Times New Roman"/>
          <w:lang w:val="en-US"/>
        </w:rPr>
        <w:t xml:space="preserve"> On </w:t>
      </w:r>
      <w:r w:rsidR="00E7780C">
        <w:rPr>
          <w:rFonts w:ascii="Calibri" w:eastAsia="Calibri" w:hAnsi="Calibri" w:cs="Times New Roman"/>
          <w:lang w:val="en-US"/>
        </w:rPr>
        <w:t>July 1,</w:t>
      </w:r>
      <w:r w:rsidR="006D251C">
        <w:rPr>
          <w:rFonts w:ascii="Calibri" w:eastAsia="Calibri" w:hAnsi="Calibri" w:cs="Times New Roman"/>
          <w:lang w:val="en-US"/>
        </w:rPr>
        <w:t xml:space="preserve"> </w:t>
      </w:r>
      <w:r w:rsidR="00F014A4" w:rsidRPr="002F5873">
        <w:rPr>
          <w:rFonts w:ascii="Calibri" w:eastAsia="Calibri" w:hAnsi="Calibri" w:cs="Times New Roman"/>
          <w:lang w:val="en-US"/>
        </w:rPr>
        <w:t xml:space="preserve">2008, the security </w:t>
      </w:r>
      <w:r w:rsidR="007A0D78" w:rsidRPr="002F5873">
        <w:rPr>
          <w:rFonts w:ascii="Calibri" w:eastAsia="Calibri" w:hAnsi="Calibri" w:cs="Times New Roman"/>
          <w:lang w:val="en-US"/>
        </w:rPr>
        <w:t>is reclassified</w:t>
      </w:r>
      <w:r w:rsidR="00F014A4" w:rsidRPr="002F5873">
        <w:rPr>
          <w:rFonts w:ascii="Calibri" w:eastAsia="Calibri" w:hAnsi="Calibri" w:cs="Times New Roman"/>
          <w:lang w:val="en-US"/>
        </w:rPr>
        <w:t xml:space="preserve"> from fair value through profit loss to amortized costs. The amortized cost is now 25 million euro.  </w:t>
      </w:r>
      <w:r w:rsidR="007A0D78" w:rsidRPr="002F5873">
        <w:rPr>
          <w:rFonts w:ascii="Calibri" w:eastAsia="Calibri" w:hAnsi="Calibri" w:cs="Times New Roman"/>
          <w:lang w:val="en-US"/>
        </w:rPr>
        <w:t>Company A assumes</w:t>
      </w:r>
      <w:r w:rsidR="00F014A4" w:rsidRPr="002F5873">
        <w:rPr>
          <w:rFonts w:ascii="Calibri" w:eastAsia="Calibri" w:hAnsi="Calibri" w:cs="Times New Roman"/>
          <w:lang w:val="en-US"/>
        </w:rPr>
        <w:t xml:space="preserve"> no longer to receive </w:t>
      </w:r>
      <w:r w:rsidR="007A0D78" w:rsidRPr="002F5873">
        <w:rPr>
          <w:rFonts w:ascii="Calibri" w:eastAsia="Calibri" w:hAnsi="Calibri" w:cs="Times New Roman"/>
          <w:lang w:val="en-US"/>
        </w:rPr>
        <w:t xml:space="preserve">any interest and just 45 million of principal repayment.  </w:t>
      </w:r>
      <w:r w:rsidR="002949B4" w:rsidRPr="002F5873">
        <w:rPr>
          <w:rFonts w:ascii="Calibri" w:eastAsia="Calibri" w:hAnsi="Calibri" w:cs="Times New Roman"/>
          <w:lang w:val="en-US"/>
        </w:rPr>
        <w:t xml:space="preserve">The effective interest rate is calculated at 12,5%. Company A subsequently expects that the security will recover to 100% of its principal (50 million) on </w:t>
      </w:r>
      <w:r w:rsidR="00527BEF" w:rsidRPr="002F5873">
        <w:rPr>
          <w:rFonts w:ascii="Calibri" w:eastAsia="Calibri" w:hAnsi="Calibri" w:cs="Times New Roman"/>
          <w:lang w:val="en-US"/>
        </w:rPr>
        <w:t>July</w:t>
      </w:r>
      <w:r w:rsidR="00E7780C">
        <w:rPr>
          <w:rFonts w:ascii="Calibri" w:eastAsia="Calibri" w:hAnsi="Calibri" w:cs="Times New Roman"/>
          <w:lang w:val="en-US"/>
        </w:rPr>
        <w:t xml:space="preserve"> 1,</w:t>
      </w:r>
      <w:r w:rsidR="002949B4" w:rsidRPr="002F5873">
        <w:rPr>
          <w:rFonts w:ascii="Calibri" w:eastAsia="Calibri" w:hAnsi="Calibri" w:cs="Times New Roman"/>
          <w:lang w:val="en-US"/>
        </w:rPr>
        <w:t xml:space="preserve"> 2010. On that moment, company A would not write up the </w:t>
      </w:r>
      <w:r w:rsidR="00527BEF" w:rsidRPr="002F5873">
        <w:rPr>
          <w:rFonts w:ascii="Calibri" w:eastAsia="Calibri" w:hAnsi="Calibri" w:cs="Times New Roman"/>
          <w:lang w:val="en-US"/>
        </w:rPr>
        <w:t>value of the security, but increase the effective interest rate from 12.5% to 1</w:t>
      </w:r>
      <w:r w:rsidR="00BE0961" w:rsidRPr="002F5873">
        <w:rPr>
          <w:rFonts w:ascii="Calibri" w:eastAsia="Calibri" w:hAnsi="Calibri" w:cs="Times New Roman"/>
          <w:lang w:val="en-US"/>
        </w:rPr>
        <w:t>6,5</w:t>
      </w:r>
      <w:r w:rsidR="00527BEF" w:rsidRPr="002F5873">
        <w:rPr>
          <w:rFonts w:ascii="Calibri" w:eastAsia="Calibri" w:hAnsi="Calibri" w:cs="Times New Roman"/>
          <w:lang w:val="en-US"/>
        </w:rPr>
        <w:t>%</w:t>
      </w:r>
      <w:r w:rsidR="00ED2BA8" w:rsidRPr="002F5873">
        <w:rPr>
          <w:rFonts w:ascii="Calibri" w:eastAsia="Calibri" w:hAnsi="Calibri" w:cs="Times New Roman"/>
          <w:lang w:val="en-US"/>
        </w:rPr>
        <w:t xml:space="preserve"> (see table 2.3)</w:t>
      </w:r>
      <w:r w:rsidR="00527BEF" w:rsidRPr="002F5873">
        <w:rPr>
          <w:rFonts w:ascii="Calibri" w:eastAsia="Calibri" w:hAnsi="Calibri" w:cs="Times New Roman"/>
          <w:lang w:val="en-US"/>
        </w:rPr>
        <w:t>.</w:t>
      </w:r>
    </w:p>
    <w:tbl>
      <w:tblPr>
        <w:tblStyle w:val="Tabelraster"/>
        <w:tblW w:w="0" w:type="auto"/>
        <w:jc w:val="center"/>
        <w:tblInd w:w="-209" w:type="dxa"/>
        <w:tblLook w:val="04A0"/>
      </w:tblPr>
      <w:tblGrid>
        <w:gridCol w:w="4464"/>
        <w:gridCol w:w="4394"/>
      </w:tblGrid>
      <w:tr w:rsidR="007D6235" w:rsidRPr="00872F8A" w:rsidTr="00AE3606">
        <w:trPr>
          <w:trHeight w:val="2183"/>
          <w:jc w:val="center"/>
        </w:trPr>
        <w:tc>
          <w:tcPr>
            <w:tcW w:w="4464" w:type="dxa"/>
          </w:tcPr>
          <w:tbl>
            <w:tblPr>
              <w:tblpPr w:leftFromText="141" w:rightFromText="141" w:vertAnchor="text" w:horzAnchor="margin" w:tblpXSpec="center" w:tblpY="73"/>
              <w:tblOverlap w:val="never"/>
              <w:tblW w:w="41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888"/>
              <w:gridCol w:w="922"/>
              <w:gridCol w:w="826"/>
              <w:gridCol w:w="835"/>
              <w:gridCol w:w="690"/>
            </w:tblGrid>
            <w:tr w:rsidR="00AE3606" w:rsidRPr="00872F8A" w:rsidTr="00AE3606">
              <w:trPr>
                <w:trHeight w:val="26"/>
                <w:jc w:val="center"/>
              </w:trPr>
              <w:tc>
                <w:tcPr>
                  <w:tcW w:w="888" w:type="dxa"/>
                  <w:shd w:val="clear" w:color="auto" w:fill="D9D9D9" w:themeFill="background1" w:themeFillShade="D9"/>
                  <w:noWrap/>
                  <w:hideMark/>
                </w:tcPr>
                <w:p w:rsidR="007D6235" w:rsidRPr="00245F5C" w:rsidRDefault="007D6235" w:rsidP="007D6235">
                  <w:pPr>
                    <w:spacing w:after="0" w:line="240" w:lineRule="auto"/>
                    <w:rPr>
                      <w:rFonts w:ascii="Calibri" w:eastAsia="Times New Roman" w:hAnsi="Calibri" w:cs="Times New Roman"/>
                      <w:b/>
                      <w:color w:val="000000"/>
                      <w:sz w:val="18"/>
                      <w:szCs w:val="18"/>
                      <w:lang w:val="en-US" w:eastAsia="nl-NL"/>
                    </w:rPr>
                  </w:pPr>
                  <w:r w:rsidRPr="00245F5C">
                    <w:rPr>
                      <w:rFonts w:ascii="Calibri" w:eastAsia="Times New Roman" w:hAnsi="Calibri" w:cs="Times New Roman"/>
                      <w:b/>
                      <w:color w:val="000000"/>
                      <w:sz w:val="18"/>
                      <w:szCs w:val="18"/>
                      <w:lang w:val="en-US" w:eastAsia="nl-NL"/>
                    </w:rPr>
                    <w:t>Start year</w:t>
                  </w:r>
                </w:p>
              </w:tc>
              <w:tc>
                <w:tcPr>
                  <w:tcW w:w="921" w:type="dxa"/>
                  <w:shd w:val="clear" w:color="auto" w:fill="D9D9D9" w:themeFill="background1" w:themeFillShade="D9"/>
                  <w:hideMark/>
                </w:tcPr>
                <w:p w:rsidR="007D6235" w:rsidRPr="00245F5C" w:rsidRDefault="007D6235" w:rsidP="007D6235">
                  <w:pPr>
                    <w:spacing w:after="0" w:line="240" w:lineRule="auto"/>
                    <w:rPr>
                      <w:rFonts w:ascii="Calibri" w:eastAsia="Times New Roman" w:hAnsi="Calibri" w:cs="Times New Roman"/>
                      <w:b/>
                      <w:color w:val="000000"/>
                      <w:sz w:val="18"/>
                      <w:szCs w:val="18"/>
                      <w:lang w:val="en-US" w:eastAsia="nl-NL"/>
                    </w:rPr>
                  </w:pPr>
                  <w:r w:rsidRPr="00245F5C">
                    <w:rPr>
                      <w:rFonts w:ascii="Calibri" w:eastAsia="Times New Roman" w:hAnsi="Calibri" w:cs="Times New Roman"/>
                      <w:b/>
                      <w:color w:val="000000"/>
                      <w:sz w:val="18"/>
                      <w:szCs w:val="18"/>
                      <w:lang w:val="en-US" w:eastAsia="nl-NL"/>
                    </w:rPr>
                    <w:t>Amortized cost (in milllions)</w:t>
                  </w:r>
                </w:p>
              </w:tc>
              <w:tc>
                <w:tcPr>
                  <w:tcW w:w="826" w:type="dxa"/>
                  <w:shd w:val="clear" w:color="auto" w:fill="D9D9D9" w:themeFill="background1" w:themeFillShade="D9"/>
                  <w:hideMark/>
                </w:tcPr>
                <w:p w:rsidR="007D6235" w:rsidRPr="00245F5C" w:rsidRDefault="007D6235" w:rsidP="007D6235">
                  <w:pPr>
                    <w:spacing w:after="0" w:line="240" w:lineRule="auto"/>
                    <w:rPr>
                      <w:rFonts w:ascii="Calibri" w:eastAsia="Times New Roman" w:hAnsi="Calibri" w:cs="Times New Roman"/>
                      <w:b/>
                      <w:color w:val="000000"/>
                      <w:sz w:val="18"/>
                      <w:szCs w:val="18"/>
                      <w:lang w:val="en-US" w:eastAsia="nl-NL"/>
                    </w:rPr>
                  </w:pPr>
                  <w:r w:rsidRPr="00245F5C">
                    <w:rPr>
                      <w:rFonts w:ascii="Calibri" w:eastAsia="Times New Roman" w:hAnsi="Calibri" w:cs="Times New Roman"/>
                      <w:b/>
                      <w:color w:val="000000"/>
                      <w:sz w:val="18"/>
                      <w:szCs w:val="18"/>
                      <w:lang w:val="en-US" w:eastAsia="nl-NL"/>
                    </w:rPr>
                    <w:t>Effective interest rate</w:t>
                  </w:r>
                </w:p>
              </w:tc>
              <w:tc>
                <w:tcPr>
                  <w:tcW w:w="835" w:type="dxa"/>
                  <w:shd w:val="clear" w:color="auto" w:fill="D9D9D9" w:themeFill="background1" w:themeFillShade="D9"/>
                  <w:noWrap/>
                  <w:hideMark/>
                </w:tcPr>
                <w:p w:rsidR="007D6235" w:rsidRPr="00245F5C" w:rsidRDefault="007D6235" w:rsidP="007D6235">
                  <w:pPr>
                    <w:spacing w:after="0" w:line="240" w:lineRule="auto"/>
                    <w:rPr>
                      <w:rFonts w:ascii="Calibri" w:eastAsia="Times New Roman" w:hAnsi="Calibri" w:cs="Times New Roman"/>
                      <w:b/>
                      <w:color w:val="000000"/>
                      <w:sz w:val="18"/>
                      <w:szCs w:val="18"/>
                      <w:lang w:val="en-US" w:eastAsia="nl-NL"/>
                    </w:rPr>
                  </w:pPr>
                  <w:r w:rsidRPr="00245F5C">
                    <w:rPr>
                      <w:rFonts w:ascii="Calibri" w:eastAsia="Times New Roman" w:hAnsi="Calibri" w:cs="Times New Roman"/>
                      <w:b/>
                      <w:color w:val="000000"/>
                      <w:sz w:val="18"/>
                      <w:szCs w:val="18"/>
                      <w:lang w:val="en-US" w:eastAsia="nl-NL"/>
                    </w:rPr>
                    <w:t>Interest</w:t>
                  </w:r>
                </w:p>
              </w:tc>
              <w:tc>
                <w:tcPr>
                  <w:tcW w:w="690" w:type="dxa"/>
                  <w:shd w:val="clear" w:color="auto" w:fill="D9D9D9" w:themeFill="background1" w:themeFillShade="D9"/>
                  <w:noWrap/>
                  <w:hideMark/>
                </w:tcPr>
                <w:p w:rsidR="007D6235" w:rsidRPr="00245F5C" w:rsidRDefault="00AE3606" w:rsidP="007D6235">
                  <w:pPr>
                    <w:spacing w:after="0" w:line="240" w:lineRule="auto"/>
                    <w:rPr>
                      <w:rFonts w:ascii="Calibri" w:eastAsia="Times New Roman" w:hAnsi="Calibri" w:cs="Times New Roman"/>
                      <w:b/>
                      <w:color w:val="000000"/>
                      <w:sz w:val="18"/>
                      <w:szCs w:val="18"/>
                      <w:lang w:val="en-US" w:eastAsia="nl-NL"/>
                    </w:rPr>
                  </w:pPr>
                  <w:r w:rsidRPr="00245F5C">
                    <w:rPr>
                      <w:rFonts w:ascii="Calibri" w:eastAsia="Times New Roman" w:hAnsi="Calibri" w:cs="Times New Roman"/>
                      <w:b/>
                      <w:color w:val="000000"/>
                      <w:sz w:val="18"/>
                      <w:szCs w:val="18"/>
                      <w:lang w:val="en-US" w:eastAsia="nl-NL"/>
                    </w:rPr>
                    <w:t xml:space="preserve">Value </w:t>
                  </w:r>
                  <w:r w:rsidR="007D6235" w:rsidRPr="00245F5C">
                    <w:rPr>
                      <w:rFonts w:ascii="Calibri" w:eastAsia="Times New Roman" w:hAnsi="Calibri" w:cs="Times New Roman"/>
                      <w:b/>
                      <w:color w:val="000000"/>
                      <w:sz w:val="18"/>
                      <w:szCs w:val="18"/>
                      <w:lang w:val="en-US" w:eastAsia="nl-NL"/>
                    </w:rPr>
                    <w:t>End year</w:t>
                  </w:r>
                </w:p>
              </w:tc>
            </w:tr>
            <w:tr w:rsidR="00AE3606" w:rsidRPr="00872F8A" w:rsidTr="00AE3606">
              <w:trPr>
                <w:trHeight w:val="26"/>
                <w:jc w:val="center"/>
              </w:trPr>
              <w:tc>
                <w:tcPr>
                  <w:tcW w:w="888"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 xml:space="preserve">  1-7-2008</w:t>
                  </w:r>
                </w:p>
              </w:tc>
              <w:tc>
                <w:tcPr>
                  <w:tcW w:w="921"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25,0</w:t>
                  </w:r>
                </w:p>
              </w:tc>
              <w:tc>
                <w:tcPr>
                  <w:tcW w:w="826"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12,5%</w:t>
                  </w:r>
                </w:p>
              </w:tc>
              <w:tc>
                <w:tcPr>
                  <w:tcW w:w="835"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3,1</w:t>
                  </w:r>
                </w:p>
              </w:tc>
              <w:tc>
                <w:tcPr>
                  <w:tcW w:w="690"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28,1</w:t>
                  </w:r>
                </w:p>
              </w:tc>
            </w:tr>
            <w:tr w:rsidR="00AE3606" w:rsidRPr="00872F8A" w:rsidTr="00AE3606">
              <w:trPr>
                <w:trHeight w:val="26"/>
                <w:jc w:val="center"/>
              </w:trPr>
              <w:tc>
                <w:tcPr>
                  <w:tcW w:w="888"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1-7-2009</w:t>
                  </w:r>
                </w:p>
              </w:tc>
              <w:tc>
                <w:tcPr>
                  <w:tcW w:w="921"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28,1</w:t>
                  </w:r>
                </w:p>
              </w:tc>
              <w:tc>
                <w:tcPr>
                  <w:tcW w:w="826"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12,5%</w:t>
                  </w:r>
                </w:p>
              </w:tc>
              <w:tc>
                <w:tcPr>
                  <w:tcW w:w="835"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3,5</w:t>
                  </w:r>
                </w:p>
              </w:tc>
              <w:tc>
                <w:tcPr>
                  <w:tcW w:w="690"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31,6</w:t>
                  </w:r>
                </w:p>
              </w:tc>
            </w:tr>
            <w:tr w:rsidR="00AE3606" w:rsidRPr="00872F8A" w:rsidTr="00AE3606">
              <w:trPr>
                <w:trHeight w:val="26"/>
                <w:jc w:val="center"/>
              </w:trPr>
              <w:tc>
                <w:tcPr>
                  <w:tcW w:w="888"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1-7-2010</w:t>
                  </w:r>
                </w:p>
              </w:tc>
              <w:tc>
                <w:tcPr>
                  <w:tcW w:w="921"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31,6</w:t>
                  </w:r>
                </w:p>
              </w:tc>
              <w:tc>
                <w:tcPr>
                  <w:tcW w:w="826"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12,5%</w:t>
                  </w:r>
                </w:p>
              </w:tc>
              <w:tc>
                <w:tcPr>
                  <w:tcW w:w="835"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4,0</w:t>
                  </w:r>
                </w:p>
              </w:tc>
              <w:tc>
                <w:tcPr>
                  <w:tcW w:w="690"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35,6</w:t>
                  </w:r>
                </w:p>
              </w:tc>
            </w:tr>
            <w:tr w:rsidR="00AE3606" w:rsidRPr="00872F8A" w:rsidTr="00AE3606">
              <w:trPr>
                <w:trHeight w:val="26"/>
                <w:jc w:val="center"/>
              </w:trPr>
              <w:tc>
                <w:tcPr>
                  <w:tcW w:w="888"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1-7-2011</w:t>
                  </w:r>
                </w:p>
              </w:tc>
              <w:tc>
                <w:tcPr>
                  <w:tcW w:w="921"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35,6</w:t>
                  </w:r>
                </w:p>
              </w:tc>
              <w:tc>
                <w:tcPr>
                  <w:tcW w:w="826"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12,5%</w:t>
                  </w:r>
                </w:p>
              </w:tc>
              <w:tc>
                <w:tcPr>
                  <w:tcW w:w="835"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4,4</w:t>
                  </w:r>
                </w:p>
              </w:tc>
              <w:tc>
                <w:tcPr>
                  <w:tcW w:w="690"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40,0</w:t>
                  </w:r>
                </w:p>
              </w:tc>
            </w:tr>
            <w:tr w:rsidR="00AE3606" w:rsidRPr="00872F8A" w:rsidTr="00AE3606">
              <w:trPr>
                <w:trHeight w:val="26"/>
                <w:jc w:val="center"/>
              </w:trPr>
              <w:tc>
                <w:tcPr>
                  <w:tcW w:w="888"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1-7-2012</w:t>
                  </w:r>
                </w:p>
              </w:tc>
              <w:tc>
                <w:tcPr>
                  <w:tcW w:w="921"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40,0</w:t>
                  </w:r>
                </w:p>
              </w:tc>
              <w:tc>
                <w:tcPr>
                  <w:tcW w:w="826"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12,5%</w:t>
                  </w:r>
                </w:p>
              </w:tc>
              <w:tc>
                <w:tcPr>
                  <w:tcW w:w="835"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color w:val="000000"/>
                      <w:sz w:val="18"/>
                      <w:szCs w:val="18"/>
                      <w:lang w:val="en-US" w:eastAsia="nl-NL"/>
                    </w:rPr>
                  </w:pPr>
                  <w:r w:rsidRPr="00245F5C">
                    <w:rPr>
                      <w:rFonts w:ascii="Calibri" w:eastAsia="Times New Roman" w:hAnsi="Calibri" w:cs="Times New Roman"/>
                      <w:color w:val="000000"/>
                      <w:sz w:val="18"/>
                      <w:szCs w:val="18"/>
                      <w:lang w:val="en-US" w:eastAsia="nl-NL"/>
                    </w:rPr>
                    <w:t>5,0</w:t>
                  </w:r>
                </w:p>
              </w:tc>
              <w:tc>
                <w:tcPr>
                  <w:tcW w:w="690" w:type="dxa"/>
                  <w:shd w:val="clear" w:color="auto" w:fill="auto"/>
                  <w:noWrap/>
                  <w:vAlign w:val="bottom"/>
                  <w:hideMark/>
                </w:tcPr>
                <w:p w:rsidR="007D6235" w:rsidRPr="00245F5C" w:rsidRDefault="007D6235" w:rsidP="007D6235">
                  <w:pPr>
                    <w:spacing w:after="0" w:line="240" w:lineRule="auto"/>
                    <w:jc w:val="right"/>
                    <w:rPr>
                      <w:rFonts w:ascii="Calibri" w:eastAsia="Times New Roman" w:hAnsi="Calibri" w:cs="Times New Roman"/>
                      <w:b/>
                      <w:color w:val="000000"/>
                      <w:sz w:val="18"/>
                      <w:szCs w:val="18"/>
                      <w:u w:val="single"/>
                      <w:lang w:val="en-US" w:eastAsia="nl-NL"/>
                    </w:rPr>
                  </w:pPr>
                  <w:r w:rsidRPr="00245F5C">
                    <w:rPr>
                      <w:rFonts w:ascii="Calibri" w:eastAsia="Times New Roman" w:hAnsi="Calibri" w:cs="Times New Roman"/>
                      <w:b/>
                      <w:color w:val="000000"/>
                      <w:sz w:val="18"/>
                      <w:szCs w:val="18"/>
                      <w:u w:val="single"/>
                      <w:lang w:val="en-US" w:eastAsia="nl-NL"/>
                    </w:rPr>
                    <w:t>45,0</w:t>
                  </w:r>
                </w:p>
              </w:tc>
            </w:tr>
          </w:tbl>
          <w:p w:rsidR="007D6235" w:rsidRDefault="00E7780C" w:rsidP="007D6235">
            <w:pPr>
              <w:jc w:val="center"/>
              <w:rPr>
                <w:rFonts w:ascii="Calibri" w:eastAsia="Calibri" w:hAnsi="Calibri" w:cs="Times New Roman"/>
                <w:color w:val="FF0000"/>
                <w:lang w:val="en-US"/>
              </w:rPr>
            </w:pPr>
            <w:r>
              <w:rPr>
                <w:lang w:val="en-US"/>
              </w:rPr>
              <w:t xml:space="preserve">Expectation on </w:t>
            </w:r>
            <w:r w:rsidR="007D6235">
              <w:rPr>
                <w:lang w:val="en-US"/>
              </w:rPr>
              <w:t>July</w:t>
            </w:r>
            <w:r>
              <w:rPr>
                <w:lang w:val="en-US"/>
              </w:rPr>
              <w:t xml:space="preserve"> 1,</w:t>
            </w:r>
            <w:r w:rsidR="007D6235">
              <w:rPr>
                <w:lang w:val="en-US"/>
              </w:rPr>
              <w:t xml:space="preserve"> 2008</w:t>
            </w:r>
          </w:p>
        </w:tc>
        <w:tc>
          <w:tcPr>
            <w:tcW w:w="4394" w:type="dxa"/>
          </w:tcPr>
          <w:tbl>
            <w:tblPr>
              <w:tblpPr w:leftFromText="142" w:rightFromText="142" w:vertAnchor="text" w:horzAnchor="margin" w:tblpY="75"/>
              <w:tblOverlap w:val="never"/>
              <w:tblW w:w="4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00"/>
              <w:gridCol w:w="986"/>
              <w:gridCol w:w="864"/>
              <w:gridCol w:w="727"/>
              <w:gridCol w:w="583"/>
            </w:tblGrid>
            <w:tr w:rsidR="007D6235" w:rsidRPr="00872F8A" w:rsidTr="007D6235">
              <w:trPr>
                <w:trHeight w:val="20"/>
              </w:trPr>
              <w:tc>
                <w:tcPr>
                  <w:tcW w:w="1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7D6235" w:rsidRPr="007D6235" w:rsidRDefault="007D6235" w:rsidP="007D6235">
                  <w:pPr>
                    <w:spacing w:after="0" w:line="240" w:lineRule="auto"/>
                    <w:rPr>
                      <w:rFonts w:ascii="Calibri" w:eastAsia="Times New Roman" w:hAnsi="Calibri" w:cs="Times New Roman"/>
                      <w:b/>
                      <w:color w:val="000000"/>
                      <w:sz w:val="18"/>
                      <w:szCs w:val="18"/>
                      <w:lang w:val="en-US" w:eastAsia="nl-NL"/>
                    </w:rPr>
                  </w:pPr>
                  <w:r w:rsidRPr="007D6235">
                    <w:rPr>
                      <w:rFonts w:ascii="Calibri" w:eastAsia="Times New Roman" w:hAnsi="Calibri" w:cs="Times New Roman"/>
                      <w:b/>
                      <w:color w:val="000000"/>
                      <w:sz w:val="18"/>
                      <w:szCs w:val="18"/>
                      <w:lang w:val="en-US" w:eastAsia="nl-NL"/>
                    </w:rPr>
                    <w:t>Start year</w:t>
                  </w:r>
                </w:p>
              </w:tc>
              <w:tc>
                <w:tcPr>
                  <w:tcW w:w="98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7D6235" w:rsidRPr="007D6235" w:rsidRDefault="007D6235" w:rsidP="007D6235">
                  <w:pPr>
                    <w:spacing w:after="0" w:line="240" w:lineRule="auto"/>
                    <w:rPr>
                      <w:rFonts w:ascii="Calibri" w:eastAsia="Times New Roman" w:hAnsi="Calibri" w:cs="Times New Roman"/>
                      <w:b/>
                      <w:color w:val="000000"/>
                      <w:sz w:val="18"/>
                      <w:szCs w:val="18"/>
                      <w:lang w:val="en-US" w:eastAsia="nl-NL"/>
                    </w:rPr>
                  </w:pPr>
                  <w:r w:rsidRPr="007D6235">
                    <w:rPr>
                      <w:rFonts w:ascii="Calibri" w:eastAsia="Times New Roman" w:hAnsi="Calibri" w:cs="Times New Roman"/>
                      <w:b/>
                      <w:color w:val="000000"/>
                      <w:sz w:val="18"/>
                      <w:szCs w:val="18"/>
                      <w:lang w:val="en-US" w:eastAsia="nl-NL"/>
                    </w:rPr>
                    <w:t>Amortized cost (in milllions)</w:t>
                  </w:r>
                </w:p>
              </w:tc>
              <w:tc>
                <w:tcPr>
                  <w:tcW w:w="86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7D6235" w:rsidRPr="007D6235" w:rsidRDefault="007D6235" w:rsidP="007D6235">
                  <w:pPr>
                    <w:spacing w:after="0" w:line="240" w:lineRule="auto"/>
                    <w:rPr>
                      <w:rFonts w:ascii="Calibri" w:eastAsia="Times New Roman" w:hAnsi="Calibri" w:cs="Times New Roman"/>
                      <w:b/>
                      <w:color w:val="000000"/>
                      <w:sz w:val="18"/>
                      <w:szCs w:val="18"/>
                      <w:lang w:val="en-US" w:eastAsia="nl-NL"/>
                    </w:rPr>
                  </w:pPr>
                  <w:r w:rsidRPr="007D6235">
                    <w:rPr>
                      <w:rFonts w:ascii="Calibri" w:eastAsia="Times New Roman" w:hAnsi="Calibri" w:cs="Times New Roman"/>
                      <w:b/>
                      <w:color w:val="000000"/>
                      <w:sz w:val="18"/>
                      <w:szCs w:val="18"/>
                      <w:lang w:val="en-US" w:eastAsia="nl-NL"/>
                    </w:rPr>
                    <w:t>Effective interest rate</w:t>
                  </w:r>
                </w:p>
              </w:tc>
              <w:tc>
                <w:tcPr>
                  <w:tcW w:w="7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7D6235" w:rsidRPr="007D6235" w:rsidRDefault="007D6235" w:rsidP="007D6235">
                  <w:pPr>
                    <w:spacing w:after="0" w:line="240" w:lineRule="auto"/>
                    <w:rPr>
                      <w:rFonts w:ascii="Calibri" w:eastAsia="Times New Roman" w:hAnsi="Calibri" w:cs="Times New Roman"/>
                      <w:b/>
                      <w:color w:val="000000"/>
                      <w:sz w:val="18"/>
                      <w:szCs w:val="18"/>
                      <w:lang w:val="en-US" w:eastAsia="nl-NL"/>
                    </w:rPr>
                  </w:pPr>
                  <w:r w:rsidRPr="007D6235">
                    <w:rPr>
                      <w:rFonts w:ascii="Calibri" w:eastAsia="Times New Roman" w:hAnsi="Calibri" w:cs="Times New Roman"/>
                      <w:b/>
                      <w:color w:val="000000"/>
                      <w:sz w:val="18"/>
                      <w:szCs w:val="18"/>
                      <w:lang w:val="en-US" w:eastAsia="nl-NL"/>
                    </w:rPr>
                    <w:t>Interest</w:t>
                  </w:r>
                </w:p>
              </w:tc>
              <w:tc>
                <w:tcPr>
                  <w:tcW w:w="58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7D6235" w:rsidRPr="007D6235" w:rsidRDefault="00AE3606" w:rsidP="00AE3606">
                  <w:pPr>
                    <w:spacing w:after="0" w:line="240" w:lineRule="auto"/>
                    <w:rPr>
                      <w:rFonts w:ascii="Calibri" w:eastAsia="Times New Roman" w:hAnsi="Calibri" w:cs="Times New Roman"/>
                      <w:b/>
                      <w:color w:val="000000"/>
                      <w:sz w:val="18"/>
                      <w:szCs w:val="18"/>
                      <w:lang w:val="en-US" w:eastAsia="nl-NL"/>
                    </w:rPr>
                  </w:pPr>
                  <w:r>
                    <w:rPr>
                      <w:rFonts w:ascii="Calibri" w:eastAsia="Times New Roman" w:hAnsi="Calibri" w:cs="Times New Roman"/>
                      <w:b/>
                      <w:color w:val="000000"/>
                      <w:sz w:val="18"/>
                      <w:szCs w:val="18"/>
                      <w:lang w:val="en-US" w:eastAsia="nl-NL"/>
                    </w:rPr>
                    <w:t>Value e</w:t>
                  </w:r>
                  <w:r w:rsidR="007D6235" w:rsidRPr="007D6235">
                    <w:rPr>
                      <w:rFonts w:ascii="Calibri" w:eastAsia="Times New Roman" w:hAnsi="Calibri" w:cs="Times New Roman"/>
                      <w:b/>
                      <w:color w:val="000000"/>
                      <w:sz w:val="18"/>
                      <w:szCs w:val="18"/>
                      <w:lang w:val="en-US" w:eastAsia="nl-NL"/>
                    </w:rPr>
                    <w:t>nd year</w:t>
                  </w:r>
                </w:p>
              </w:tc>
            </w:tr>
            <w:tr w:rsidR="007D6235" w:rsidRPr="00872F8A" w:rsidTr="007D6235">
              <w:trPr>
                <w:trHeight w:val="20"/>
              </w:trPr>
              <w:tc>
                <w:tcPr>
                  <w:tcW w:w="1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1-7-2008</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25,0</w:t>
                  </w:r>
                </w:p>
              </w:tc>
              <w:tc>
                <w:tcPr>
                  <w:tcW w:w="8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12,5%</w:t>
                  </w:r>
                </w:p>
              </w:tc>
              <w:tc>
                <w:tcPr>
                  <w:tcW w:w="7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3,1</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28,1</w:t>
                  </w:r>
                </w:p>
              </w:tc>
            </w:tr>
            <w:tr w:rsidR="007D6235" w:rsidRPr="00872F8A" w:rsidTr="007D6235">
              <w:trPr>
                <w:trHeight w:val="20"/>
              </w:trPr>
              <w:tc>
                <w:tcPr>
                  <w:tcW w:w="1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1-7-2009</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28,1</w:t>
                  </w:r>
                </w:p>
              </w:tc>
              <w:tc>
                <w:tcPr>
                  <w:tcW w:w="8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12,5%</w:t>
                  </w:r>
                </w:p>
              </w:tc>
              <w:tc>
                <w:tcPr>
                  <w:tcW w:w="7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3,5</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31,6</w:t>
                  </w:r>
                </w:p>
              </w:tc>
            </w:tr>
            <w:tr w:rsidR="007D6235" w:rsidRPr="00872F8A" w:rsidTr="007D6235">
              <w:trPr>
                <w:trHeight w:val="20"/>
              </w:trPr>
              <w:tc>
                <w:tcPr>
                  <w:tcW w:w="1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b/>
                      <w:color w:val="000000"/>
                      <w:sz w:val="18"/>
                      <w:szCs w:val="18"/>
                      <w:u w:val="single"/>
                      <w:lang w:val="en-US" w:eastAsia="nl-NL"/>
                    </w:rPr>
                  </w:pPr>
                  <w:r w:rsidRPr="007D6235">
                    <w:rPr>
                      <w:rFonts w:ascii="Calibri" w:eastAsia="Times New Roman" w:hAnsi="Calibri" w:cs="Times New Roman"/>
                      <w:b/>
                      <w:color w:val="000000"/>
                      <w:sz w:val="18"/>
                      <w:szCs w:val="18"/>
                      <w:u w:val="single"/>
                      <w:lang w:val="en-US" w:eastAsia="nl-NL"/>
                    </w:rPr>
                    <w:t>1-7-2010</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31,6</w:t>
                  </w:r>
                </w:p>
              </w:tc>
              <w:tc>
                <w:tcPr>
                  <w:tcW w:w="8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b/>
                      <w:color w:val="000000"/>
                      <w:sz w:val="18"/>
                      <w:szCs w:val="18"/>
                      <w:u w:val="single"/>
                      <w:lang w:val="en-US" w:eastAsia="nl-NL"/>
                    </w:rPr>
                  </w:pPr>
                  <w:r w:rsidRPr="007D6235">
                    <w:rPr>
                      <w:rFonts w:ascii="Calibri" w:eastAsia="Times New Roman" w:hAnsi="Calibri" w:cs="Times New Roman"/>
                      <w:b/>
                      <w:color w:val="000000"/>
                      <w:sz w:val="18"/>
                      <w:szCs w:val="18"/>
                      <w:u w:val="single"/>
                      <w:lang w:val="en-US" w:eastAsia="nl-NL"/>
                    </w:rPr>
                    <w:t>16,5%</w:t>
                  </w:r>
                </w:p>
              </w:tc>
              <w:tc>
                <w:tcPr>
                  <w:tcW w:w="7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5,2</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36,9</w:t>
                  </w:r>
                </w:p>
              </w:tc>
            </w:tr>
            <w:tr w:rsidR="007D6235" w:rsidRPr="00872F8A" w:rsidTr="007D6235">
              <w:trPr>
                <w:trHeight w:val="20"/>
              </w:trPr>
              <w:tc>
                <w:tcPr>
                  <w:tcW w:w="1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1-7-2011</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36,9</w:t>
                  </w:r>
                </w:p>
              </w:tc>
              <w:tc>
                <w:tcPr>
                  <w:tcW w:w="8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b/>
                      <w:color w:val="000000"/>
                      <w:sz w:val="18"/>
                      <w:szCs w:val="18"/>
                      <w:u w:val="single"/>
                      <w:lang w:val="en-US" w:eastAsia="nl-NL"/>
                    </w:rPr>
                  </w:pPr>
                  <w:r w:rsidRPr="007D6235">
                    <w:rPr>
                      <w:rFonts w:ascii="Calibri" w:eastAsia="Times New Roman" w:hAnsi="Calibri" w:cs="Times New Roman"/>
                      <w:b/>
                      <w:color w:val="000000"/>
                      <w:sz w:val="18"/>
                      <w:szCs w:val="18"/>
                      <w:u w:val="single"/>
                      <w:lang w:val="en-US" w:eastAsia="nl-NL"/>
                    </w:rPr>
                    <w:t>16,5%</w:t>
                  </w:r>
                </w:p>
              </w:tc>
              <w:tc>
                <w:tcPr>
                  <w:tcW w:w="7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6,1</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42,9</w:t>
                  </w:r>
                </w:p>
              </w:tc>
            </w:tr>
            <w:tr w:rsidR="007D6235" w:rsidRPr="00872F8A" w:rsidTr="007D6235">
              <w:trPr>
                <w:trHeight w:val="20"/>
              </w:trPr>
              <w:tc>
                <w:tcPr>
                  <w:tcW w:w="1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1-7-2012</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42,9</w:t>
                  </w:r>
                </w:p>
              </w:tc>
              <w:tc>
                <w:tcPr>
                  <w:tcW w:w="8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b/>
                      <w:color w:val="000000"/>
                      <w:sz w:val="18"/>
                      <w:szCs w:val="18"/>
                      <w:u w:val="single"/>
                      <w:lang w:val="en-US" w:eastAsia="nl-NL"/>
                    </w:rPr>
                  </w:pPr>
                  <w:r w:rsidRPr="007D6235">
                    <w:rPr>
                      <w:rFonts w:ascii="Calibri" w:eastAsia="Times New Roman" w:hAnsi="Calibri" w:cs="Times New Roman"/>
                      <w:b/>
                      <w:color w:val="000000"/>
                      <w:sz w:val="18"/>
                      <w:szCs w:val="18"/>
                      <w:u w:val="single"/>
                      <w:lang w:val="en-US" w:eastAsia="nl-NL"/>
                    </w:rPr>
                    <w:t>16,5%</w:t>
                  </w:r>
                </w:p>
              </w:tc>
              <w:tc>
                <w:tcPr>
                  <w:tcW w:w="7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color w:val="000000"/>
                      <w:sz w:val="18"/>
                      <w:szCs w:val="18"/>
                      <w:lang w:val="en-US" w:eastAsia="nl-NL"/>
                    </w:rPr>
                  </w:pPr>
                  <w:r w:rsidRPr="007D6235">
                    <w:rPr>
                      <w:rFonts w:ascii="Calibri" w:eastAsia="Times New Roman" w:hAnsi="Calibri" w:cs="Times New Roman"/>
                      <w:color w:val="000000"/>
                      <w:sz w:val="18"/>
                      <w:szCs w:val="18"/>
                      <w:lang w:val="en-US" w:eastAsia="nl-NL"/>
                    </w:rPr>
                    <w:t>7,1</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6235" w:rsidRPr="007D6235" w:rsidRDefault="007D6235" w:rsidP="007D6235">
                  <w:pPr>
                    <w:spacing w:after="0" w:line="240" w:lineRule="auto"/>
                    <w:jc w:val="right"/>
                    <w:rPr>
                      <w:rFonts w:ascii="Calibri" w:eastAsia="Times New Roman" w:hAnsi="Calibri" w:cs="Times New Roman"/>
                      <w:b/>
                      <w:color w:val="000000"/>
                      <w:sz w:val="18"/>
                      <w:szCs w:val="18"/>
                      <w:u w:val="single"/>
                      <w:lang w:val="en-US" w:eastAsia="nl-NL"/>
                    </w:rPr>
                  </w:pPr>
                  <w:r w:rsidRPr="007D6235">
                    <w:rPr>
                      <w:rFonts w:ascii="Calibri" w:eastAsia="Times New Roman" w:hAnsi="Calibri" w:cs="Times New Roman"/>
                      <w:b/>
                      <w:color w:val="000000"/>
                      <w:sz w:val="18"/>
                      <w:szCs w:val="18"/>
                      <w:u w:val="single"/>
                      <w:lang w:val="en-US" w:eastAsia="nl-NL"/>
                    </w:rPr>
                    <w:t>50,0</w:t>
                  </w:r>
                </w:p>
              </w:tc>
            </w:tr>
          </w:tbl>
          <w:p w:rsidR="007D6235" w:rsidRPr="007D6235" w:rsidRDefault="007D6235" w:rsidP="00E7780C">
            <w:pPr>
              <w:jc w:val="center"/>
              <w:rPr>
                <w:lang w:val="en-US"/>
              </w:rPr>
            </w:pPr>
            <w:r>
              <w:rPr>
                <w:lang w:val="en-US"/>
              </w:rPr>
              <w:t>Expectation on July</w:t>
            </w:r>
            <w:r w:rsidR="00E7780C">
              <w:rPr>
                <w:lang w:val="en-US"/>
              </w:rPr>
              <w:t xml:space="preserve"> 1,</w:t>
            </w:r>
            <w:r>
              <w:rPr>
                <w:lang w:val="en-US"/>
              </w:rPr>
              <w:t xml:space="preserve"> 2010</w:t>
            </w:r>
          </w:p>
        </w:tc>
      </w:tr>
    </w:tbl>
    <w:p w:rsidR="007011B6" w:rsidRPr="00ED2BA8" w:rsidRDefault="00ED2BA8" w:rsidP="00ED2BA8">
      <w:pPr>
        <w:pStyle w:val="Geenafstand"/>
        <w:jc w:val="center"/>
        <w:rPr>
          <w:sz w:val="20"/>
          <w:szCs w:val="20"/>
          <w:lang w:val="en-US"/>
        </w:rPr>
      </w:pPr>
      <w:r w:rsidRPr="00ED2BA8">
        <w:rPr>
          <w:sz w:val="20"/>
          <w:szCs w:val="20"/>
          <w:lang w:val="en-US"/>
        </w:rPr>
        <w:t>Table 2.3: Reclassification and effective interest rate</w:t>
      </w:r>
    </w:p>
    <w:p w:rsidR="007011B6" w:rsidRPr="000A7644" w:rsidRDefault="007011B6" w:rsidP="00ED2BA8">
      <w:pPr>
        <w:rPr>
          <w:lang w:val="en-US"/>
        </w:rPr>
      </w:pPr>
      <w:r w:rsidRPr="000A7644">
        <w:rPr>
          <w:lang w:val="en-US"/>
        </w:rPr>
        <w:t>Now the value of the se</w:t>
      </w:r>
      <w:r w:rsidR="000A7644" w:rsidRPr="000A7644">
        <w:rPr>
          <w:lang w:val="en-US"/>
        </w:rPr>
        <w:t xml:space="preserve">curity will not fluctuate by the changes </w:t>
      </w:r>
      <w:r w:rsidR="000A7644">
        <w:rPr>
          <w:lang w:val="en-US"/>
        </w:rPr>
        <w:t>of</w:t>
      </w:r>
      <w:r w:rsidR="000A7644" w:rsidRPr="000A7644">
        <w:rPr>
          <w:lang w:val="en-US"/>
        </w:rPr>
        <w:t xml:space="preserve"> fair value </w:t>
      </w:r>
      <w:r w:rsidR="000A7644">
        <w:rPr>
          <w:lang w:val="en-US"/>
        </w:rPr>
        <w:t>within</w:t>
      </w:r>
      <w:r w:rsidR="000A7644" w:rsidRPr="000A7644">
        <w:rPr>
          <w:lang w:val="en-US"/>
        </w:rPr>
        <w:t xml:space="preserve"> an active market. </w:t>
      </w:r>
      <w:r w:rsidR="000A7644">
        <w:rPr>
          <w:lang w:val="en-US"/>
        </w:rPr>
        <w:t>The value of the security will change</w:t>
      </w:r>
      <w:r w:rsidR="00AE3606">
        <w:rPr>
          <w:lang w:val="en-US"/>
        </w:rPr>
        <w:t xml:space="preserve"> upward</w:t>
      </w:r>
      <w:r w:rsidR="000A7644">
        <w:rPr>
          <w:lang w:val="en-US"/>
        </w:rPr>
        <w:t xml:space="preserve"> by the increase of the effective interest rate. </w:t>
      </w:r>
      <w:r w:rsidR="00AE3606">
        <w:rPr>
          <w:lang w:val="en-US"/>
        </w:rPr>
        <w:t xml:space="preserve">The value can change downward if there is </w:t>
      </w:r>
      <w:r w:rsidR="00AE3606" w:rsidRPr="00DA0DCD">
        <w:rPr>
          <w:lang w:val="en-US"/>
        </w:rPr>
        <w:t xml:space="preserve">objective evidence that </w:t>
      </w:r>
      <w:r w:rsidR="00AE3606">
        <w:rPr>
          <w:lang w:val="en-US"/>
        </w:rPr>
        <w:t>financial instrument</w:t>
      </w:r>
      <w:r w:rsidR="00AE3606" w:rsidRPr="00DA0DCD">
        <w:rPr>
          <w:lang w:val="en-US"/>
        </w:rPr>
        <w:t xml:space="preserve"> is impaired</w:t>
      </w:r>
      <w:r w:rsidR="00B829CB">
        <w:rPr>
          <w:lang w:val="en-US"/>
        </w:rPr>
        <w:t xml:space="preserve"> (see paragraph 2.5)</w:t>
      </w:r>
      <w:r w:rsidR="00245F5C">
        <w:rPr>
          <w:lang w:val="en-US"/>
        </w:rPr>
        <w:t>.</w:t>
      </w:r>
    </w:p>
    <w:p w:rsidR="00745E82" w:rsidRPr="00DA0DCD" w:rsidRDefault="0074476E" w:rsidP="00745E82">
      <w:pPr>
        <w:pStyle w:val="Kop2"/>
        <w:numPr>
          <w:ilvl w:val="1"/>
          <w:numId w:val="14"/>
        </w:numPr>
        <w:rPr>
          <w:rFonts w:eastAsia="Calibri"/>
          <w:lang w:val="en-US"/>
        </w:rPr>
      </w:pPr>
      <w:bookmarkStart w:id="14" w:name="_Toc270770559"/>
      <w:r w:rsidRPr="00DA0DCD">
        <w:rPr>
          <w:rFonts w:eastAsia="Calibri"/>
          <w:lang w:val="en-US"/>
        </w:rPr>
        <w:t>US</w:t>
      </w:r>
      <w:r w:rsidR="00E66054" w:rsidRPr="00DA0DCD">
        <w:rPr>
          <w:rFonts w:eastAsia="Calibri"/>
          <w:lang w:val="en-US"/>
        </w:rPr>
        <w:t xml:space="preserve"> counterpart</w:t>
      </w:r>
      <w:r w:rsidRPr="00DA0DCD">
        <w:rPr>
          <w:rFonts w:eastAsia="Calibri"/>
          <w:lang w:val="en-US"/>
        </w:rPr>
        <w:t xml:space="preserve"> </w:t>
      </w:r>
      <w:r w:rsidR="0038032A" w:rsidRPr="00DA0DCD">
        <w:rPr>
          <w:rFonts w:eastAsia="Calibri"/>
          <w:lang w:val="en-US"/>
        </w:rPr>
        <w:t>and relaxation</w:t>
      </w:r>
      <w:bookmarkEnd w:id="14"/>
    </w:p>
    <w:p w:rsidR="00815E54" w:rsidRPr="00DA0DCD" w:rsidRDefault="00815E54" w:rsidP="00815E54">
      <w:pPr>
        <w:spacing w:after="0"/>
        <w:rPr>
          <w:lang w:val="en-US"/>
        </w:rPr>
      </w:pPr>
      <w:r w:rsidRPr="00DA0DCD">
        <w:rPr>
          <w:lang w:val="en-US"/>
        </w:rPr>
        <w:t xml:space="preserve">As mentioned in </w:t>
      </w:r>
      <w:r w:rsidR="00947A7D" w:rsidRPr="00DA0DCD">
        <w:rPr>
          <w:lang w:val="en-US"/>
        </w:rPr>
        <w:t>chapter</w:t>
      </w:r>
      <w:r w:rsidR="00240C12" w:rsidRPr="00DA0DCD">
        <w:rPr>
          <w:lang w:val="en-US"/>
        </w:rPr>
        <w:t xml:space="preserve"> one</w:t>
      </w:r>
      <w:r w:rsidRPr="00DA0DCD">
        <w:rPr>
          <w:lang w:val="en-US"/>
        </w:rPr>
        <w:t xml:space="preserve">, IAS 39 is the international standard for financial instrument based on the mixed model of fair value and amortized costs. The American counterpart of </w:t>
      </w:r>
      <w:r w:rsidR="00240C12" w:rsidRPr="00DA0DCD">
        <w:rPr>
          <w:lang w:val="en-US"/>
        </w:rPr>
        <w:t>IAS 39</w:t>
      </w:r>
      <w:r w:rsidRPr="00DA0DCD">
        <w:rPr>
          <w:lang w:val="en-US"/>
        </w:rPr>
        <w:t xml:space="preserve"> are severa</w:t>
      </w:r>
      <w:r w:rsidR="00E7780C">
        <w:rPr>
          <w:lang w:val="en-US"/>
        </w:rPr>
        <w:t>l standards including FAS 157 ‘F</w:t>
      </w:r>
      <w:r w:rsidRPr="00DA0DCD">
        <w:rPr>
          <w:lang w:val="en-US"/>
        </w:rPr>
        <w:t xml:space="preserve">air value measurement’, FAS 159 ‘Recognition’ and  FAS 115 ‘Debt and Equity securities’. Before the financial crisis of 2008 and 2009 there were (mostly small) differences between these standards and the most important ones are presented in table </w:t>
      </w:r>
      <w:r w:rsidR="009E7A45" w:rsidRPr="00DA0DCD">
        <w:rPr>
          <w:lang w:val="en-US"/>
        </w:rPr>
        <w:t>2</w:t>
      </w:r>
      <w:r w:rsidRPr="00DA0DCD">
        <w:rPr>
          <w:lang w:val="en-US"/>
        </w:rPr>
        <w:t>.</w:t>
      </w:r>
      <w:r w:rsidR="00ED2BA8">
        <w:rPr>
          <w:lang w:val="en-US"/>
        </w:rPr>
        <w:t>4</w:t>
      </w:r>
      <w:r w:rsidRPr="00DA0DCD">
        <w:rPr>
          <w:lang w:val="en-US"/>
        </w:rPr>
        <w:t xml:space="preserve">. </w:t>
      </w: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64"/>
        <w:gridCol w:w="2367"/>
        <w:gridCol w:w="2746"/>
        <w:gridCol w:w="2323"/>
      </w:tblGrid>
      <w:tr w:rsidR="00815E54" w:rsidRPr="00DA0DCD" w:rsidTr="00815E54">
        <w:trPr>
          <w:trHeight w:val="286"/>
          <w:jc w:val="center"/>
        </w:trPr>
        <w:tc>
          <w:tcPr>
            <w:tcW w:w="1464" w:type="dxa"/>
            <w:shd w:val="clear" w:color="auto" w:fill="auto"/>
          </w:tcPr>
          <w:p w:rsidR="00815E54" w:rsidRPr="00DA0DCD" w:rsidRDefault="00815E54" w:rsidP="00815E54">
            <w:pPr>
              <w:pStyle w:val="Geenafstand"/>
              <w:rPr>
                <w:b/>
                <w:sz w:val="20"/>
                <w:szCs w:val="20"/>
                <w:lang w:val="en-US"/>
              </w:rPr>
            </w:pPr>
            <w:r w:rsidRPr="00DA0DCD">
              <w:rPr>
                <w:b/>
                <w:sz w:val="20"/>
                <w:szCs w:val="20"/>
                <w:lang w:val="en-US"/>
              </w:rPr>
              <w:t>Subject</w:t>
            </w:r>
          </w:p>
        </w:tc>
        <w:tc>
          <w:tcPr>
            <w:tcW w:w="2367" w:type="dxa"/>
            <w:shd w:val="clear" w:color="auto" w:fill="auto"/>
          </w:tcPr>
          <w:p w:rsidR="00815E54" w:rsidRPr="00DA0DCD" w:rsidRDefault="00815E54" w:rsidP="00815E54">
            <w:pPr>
              <w:pStyle w:val="Geenafstand"/>
              <w:rPr>
                <w:b/>
                <w:sz w:val="20"/>
                <w:szCs w:val="20"/>
                <w:lang w:val="en-US"/>
              </w:rPr>
            </w:pPr>
            <w:r w:rsidRPr="00DA0DCD">
              <w:rPr>
                <w:b/>
                <w:sz w:val="20"/>
                <w:szCs w:val="20"/>
                <w:lang w:val="en-US"/>
              </w:rPr>
              <w:t>US GAAP (FAS 157)</w:t>
            </w:r>
          </w:p>
        </w:tc>
        <w:tc>
          <w:tcPr>
            <w:tcW w:w="2746" w:type="dxa"/>
            <w:shd w:val="clear" w:color="auto" w:fill="auto"/>
          </w:tcPr>
          <w:p w:rsidR="00815E54" w:rsidRPr="00DA0DCD" w:rsidRDefault="00815E54" w:rsidP="00815E54">
            <w:pPr>
              <w:pStyle w:val="Geenafstand"/>
              <w:rPr>
                <w:b/>
                <w:sz w:val="20"/>
                <w:szCs w:val="20"/>
                <w:lang w:val="en-US"/>
              </w:rPr>
            </w:pPr>
            <w:r w:rsidRPr="00DA0DCD">
              <w:rPr>
                <w:b/>
                <w:sz w:val="20"/>
                <w:szCs w:val="20"/>
                <w:lang w:val="en-US"/>
              </w:rPr>
              <w:t>IFRS (IAS 39)</w:t>
            </w:r>
          </w:p>
        </w:tc>
        <w:tc>
          <w:tcPr>
            <w:tcW w:w="2323" w:type="dxa"/>
            <w:shd w:val="clear" w:color="auto" w:fill="auto"/>
          </w:tcPr>
          <w:p w:rsidR="00815E54" w:rsidRPr="00DA0DCD" w:rsidRDefault="00815E54" w:rsidP="00815E54">
            <w:pPr>
              <w:pStyle w:val="Geenafstand"/>
              <w:rPr>
                <w:b/>
                <w:sz w:val="20"/>
                <w:szCs w:val="20"/>
                <w:lang w:val="en-US"/>
              </w:rPr>
            </w:pPr>
            <w:r w:rsidRPr="00DA0DCD">
              <w:rPr>
                <w:b/>
                <w:sz w:val="20"/>
                <w:szCs w:val="20"/>
                <w:lang w:val="en-US"/>
              </w:rPr>
              <w:t>Main difference</w:t>
            </w:r>
          </w:p>
        </w:tc>
      </w:tr>
      <w:tr w:rsidR="00815E54" w:rsidRPr="00872F8A" w:rsidTr="00815E54">
        <w:trPr>
          <w:trHeight w:val="1701"/>
          <w:jc w:val="center"/>
        </w:trPr>
        <w:tc>
          <w:tcPr>
            <w:tcW w:w="1464" w:type="dxa"/>
            <w:shd w:val="clear" w:color="auto" w:fill="auto"/>
          </w:tcPr>
          <w:p w:rsidR="00815E54" w:rsidRPr="00DA0DCD" w:rsidRDefault="00815E54" w:rsidP="00815E54">
            <w:pPr>
              <w:pStyle w:val="Geenafstand"/>
              <w:rPr>
                <w:sz w:val="20"/>
                <w:szCs w:val="20"/>
                <w:lang w:val="en-US"/>
              </w:rPr>
            </w:pPr>
            <w:r w:rsidRPr="00DA0DCD">
              <w:rPr>
                <w:sz w:val="20"/>
                <w:szCs w:val="20"/>
                <w:lang w:val="en-US"/>
              </w:rPr>
              <w:t>Definition of Fair Value</w:t>
            </w:r>
          </w:p>
        </w:tc>
        <w:tc>
          <w:tcPr>
            <w:tcW w:w="2367" w:type="dxa"/>
            <w:shd w:val="clear" w:color="auto" w:fill="auto"/>
          </w:tcPr>
          <w:p w:rsidR="00815E54" w:rsidRPr="00DA0DCD" w:rsidRDefault="00815E54" w:rsidP="00815E54">
            <w:pPr>
              <w:pStyle w:val="Geenafstand"/>
              <w:rPr>
                <w:sz w:val="20"/>
                <w:szCs w:val="20"/>
                <w:lang w:val="en-US"/>
              </w:rPr>
            </w:pPr>
            <w:r w:rsidRPr="00DA0DCD">
              <w:rPr>
                <w:sz w:val="20"/>
                <w:szCs w:val="20"/>
                <w:lang w:val="en-US"/>
              </w:rPr>
              <w:t>The price that would be received to sell an asset or paid to transfer a liability in an orderly transaction between market participants at the measurement date</w:t>
            </w:r>
          </w:p>
        </w:tc>
        <w:tc>
          <w:tcPr>
            <w:tcW w:w="2746" w:type="dxa"/>
            <w:shd w:val="clear" w:color="auto" w:fill="auto"/>
          </w:tcPr>
          <w:p w:rsidR="00815E54" w:rsidRPr="00DA0DCD" w:rsidRDefault="00815E54" w:rsidP="00815E54">
            <w:pPr>
              <w:pStyle w:val="Geenafstand"/>
              <w:rPr>
                <w:sz w:val="20"/>
                <w:szCs w:val="20"/>
                <w:lang w:val="en-US"/>
              </w:rPr>
            </w:pPr>
            <w:r w:rsidRPr="00DA0DCD">
              <w:rPr>
                <w:sz w:val="20"/>
                <w:szCs w:val="20"/>
                <w:lang w:val="en-US"/>
              </w:rPr>
              <w:t>The amount for which an asset could be exchanged, or a liability settled, between knowledgeable, willing parties in an arm’s length transaction</w:t>
            </w:r>
          </w:p>
        </w:tc>
        <w:tc>
          <w:tcPr>
            <w:tcW w:w="2323" w:type="dxa"/>
            <w:shd w:val="clear" w:color="auto" w:fill="auto"/>
          </w:tcPr>
          <w:p w:rsidR="00815E54" w:rsidRPr="00DA0DCD" w:rsidRDefault="00815E54" w:rsidP="00815E54">
            <w:pPr>
              <w:pStyle w:val="Geenafstand"/>
              <w:rPr>
                <w:sz w:val="20"/>
                <w:szCs w:val="20"/>
                <w:lang w:val="en-US"/>
              </w:rPr>
            </w:pPr>
            <w:r w:rsidRPr="00DA0DCD">
              <w:rPr>
                <w:sz w:val="20"/>
                <w:szCs w:val="20"/>
                <w:lang w:val="en-US"/>
              </w:rPr>
              <w:t>US GAAP defines the FV as the exit price, where IFRS leaves this in the middle. US GAAP also defines more specific the parties involved in the transaction.</w:t>
            </w:r>
          </w:p>
        </w:tc>
      </w:tr>
      <w:tr w:rsidR="00815E54" w:rsidRPr="00872F8A" w:rsidTr="00815E54">
        <w:trPr>
          <w:trHeight w:val="1668"/>
          <w:jc w:val="center"/>
        </w:trPr>
        <w:tc>
          <w:tcPr>
            <w:tcW w:w="1464" w:type="dxa"/>
            <w:shd w:val="clear" w:color="auto" w:fill="auto"/>
          </w:tcPr>
          <w:p w:rsidR="00815E54" w:rsidRPr="00DA0DCD" w:rsidRDefault="00815E54" w:rsidP="00815E54">
            <w:pPr>
              <w:pStyle w:val="Geenafstand"/>
              <w:rPr>
                <w:sz w:val="20"/>
                <w:szCs w:val="20"/>
                <w:lang w:val="en-US"/>
              </w:rPr>
            </w:pPr>
            <w:r w:rsidRPr="00DA0DCD">
              <w:rPr>
                <w:sz w:val="20"/>
                <w:szCs w:val="20"/>
                <w:lang w:val="en-US"/>
              </w:rPr>
              <w:lastRenderedPageBreak/>
              <w:t>Valuation Technique</w:t>
            </w:r>
          </w:p>
        </w:tc>
        <w:tc>
          <w:tcPr>
            <w:tcW w:w="2367" w:type="dxa"/>
            <w:shd w:val="clear" w:color="auto" w:fill="auto"/>
          </w:tcPr>
          <w:p w:rsidR="00815E54" w:rsidRPr="00DA0DCD" w:rsidRDefault="00815E54" w:rsidP="00815E54">
            <w:pPr>
              <w:pStyle w:val="Geenafstand"/>
              <w:rPr>
                <w:sz w:val="20"/>
                <w:szCs w:val="20"/>
                <w:lang w:val="en-US"/>
              </w:rPr>
            </w:pPr>
            <w:r w:rsidRPr="00DA0DCD">
              <w:rPr>
                <w:sz w:val="20"/>
                <w:szCs w:val="20"/>
                <w:lang w:val="en-US"/>
              </w:rPr>
              <w:t>Financial Instruments fall within three categories, Level 1, 2 or 3. Each category has another valuation technique</w:t>
            </w:r>
          </w:p>
        </w:tc>
        <w:tc>
          <w:tcPr>
            <w:tcW w:w="2746" w:type="dxa"/>
            <w:shd w:val="clear" w:color="auto" w:fill="auto"/>
          </w:tcPr>
          <w:p w:rsidR="00815E54" w:rsidRPr="00DA0DCD" w:rsidRDefault="00815E54" w:rsidP="00815E54">
            <w:pPr>
              <w:pStyle w:val="Geenafstand"/>
              <w:rPr>
                <w:sz w:val="20"/>
                <w:szCs w:val="20"/>
                <w:lang w:val="en-US"/>
              </w:rPr>
            </w:pPr>
            <w:r w:rsidRPr="00DA0DCD">
              <w:rPr>
                <w:sz w:val="20"/>
                <w:szCs w:val="20"/>
                <w:lang w:val="en-US"/>
              </w:rPr>
              <w:t>IFRS does not have  different categories, but states that the valuation technique should make a maximum use of market information and rely as less as possible on firm inputs</w:t>
            </w:r>
          </w:p>
        </w:tc>
        <w:tc>
          <w:tcPr>
            <w:tcW w:w="2323" w:type="dxa"/>
            <w:shd w:val="clear" w:color="auto" w:fill="auto"/>
          </w:tcPr>
          <w:p w:rsidR="00815E54" w:rsidRPr="00DA0DCD" w:rsidRDefault="00815E54" w:rsidP="00815E54">
            <w:pPr>
              <w:pStyle w:val="Geenafstand"/>
              <w:rPr>
                <w:sz w:val="20"/>
                <w:szCs w:val="20"/>
                <w:lang w:val="en-US"/>
              </w:rPr>
            </w:pPr>
            <w:r w:rsidRPr="00DA0DCD">
              <w:rPr>
                <w:sz w:val="20"/>
                <w:szCs w:val="20"/>
                <w:lang w:val="en-US"/>
              </w:rPr>
              <w:t>IFRS is more pinned down on the market price, which makes that Fair Value changes might have a greater impact on the financial statements of companies</w:t>
            </w:r>
          </w:p>
        </w:tc>
      </w:tr>
      <w:tr w:rsidR="00815E54" w:rsidRPr="00872F8A" w:rsidTr="00815E54">
        <w:trPr>
          <w:trHeight w:val="1095"/>
          <w:jc w:val="center"/>
        </w:trPr>
        <w:tc>
          <w:tcPr>
            <w:tcW w:w="1464" w:type="dxa"/>
            <w:shd w:val="clear" w:color="auto" w:fill="auto"/>
          </w:tcPr>
          <w:p w:rsidR="00815E54" w:rsidRPr="00DA0DCD" w:rsidRDefault="00815E54" w:rsidP="00815E54">
            <w:pPr>
              <w:pStyle w:val="Geenafstand"/>
              <w:rPr>
                <w:sz w:val="20"/>
                <w:szCs w:val="20"/>
                <w:lang w:val="en-US"/>
              </w:rPr>
            </w:pPr>
            <w:r w:rsidRPr="00DA0DCD">
              <w:rPr>
                <w:sz w:val="20"/>
                <w:szCs w:val="20"/>
                <w:lang w:val="en-US"/>
              </w:rPr>
              <w:t>Reclassification</w:t>
            </w:r>
          </w:p>
        </w:tc>
        <w:tc>
          <w:tcPr>
            <w:tcW w:w="2367" w:type="dxa"/>
            <w:shd w:val="clear" w:color="auto" w:fill="auto"/>
          </w:tcPr>
          <w:p w:rsidR="00815E54" w:rsidRPr="00DA0DCD" w:rsidRDefault="00815E54" w:rsidP="00815E54">
            <w:pPr>
              <w:pStyle w:val="Geenafstand"/>
              <w:rPr>
                <w:sz w:val="20"/>
                <w:szCs w:val="20"/>
                <w:lang w:val="en-US"/>
              </w:rPr>
            </w:pPr>
            <w:r w:rsidRPr="00DA0DCD">
              <w:rPr>
                <w:sz w:val="20"/>
                <w:szCs w:val="20"/>
                <w:lang w:val="en-US"/>
              </w:rPr>
              <w:t>Permitted, but expected to be rare</w:t>
            </w:r>
          </w:p>
        </w:tc>
        <w:tc>
          <w:tcPr>
            <w:tcW w:w="2746" w:type="dxa"/>
            <w:shd w:val="clear" w:color="auto" w:fill="auto"/>
          </w:tcPr>
          <w:p w:rsidR="00815E54" w:rsidRPr="00DA0DCD" w:rsidRDefault="00815E54" w:rsidP="00815E54">
            <w:pPr>
              <w:pStyle w:val="Geenafstand"/>
              <w:rPr>
                <w:sz w:val="20"/>
                <w:szCs w:val="20"/>
                <w:lang w:val="en-US"/>
              </w:rPr>
            </w:pPr>
            <w:r w:rsidRPr="00DA0DCD">
              <w:rPr>
                <w:sz w:val="20"/>
                <w:szCs w:val="20"/>
                <w:lang w:val="en-US"/>
              </w:rPr>
              <w:t>Prohibited</w:t>
            </w:r>
          </w:p>
        </w:tc>
        <w:tc>
          <w:tcPr>
            <w:tcW w:w="2323" w:type="dxa"/>
            <w:shd w:val="clear" w:color="auto" w:fill="auto"/>
          </w:tcPr>
          <w:p w:rsidR="00815E54" w:rsidRPr="00DA0DCD" w:rsidRDefault="00815E54" w:rsidP="00815E54">
            <w:pPr>
              <w:pStyle w:val="Geenafstand"/>
              <w:rPr>
                <w:sz w:val="20"/>
                <w:szCs w:val="20"/>
                <w:lang w:val="en-US"/>
              </w:rPr>
            </w:pPr>
            <w:r w:rsidRPr="00DA0DCD">
              <w:rPr>
                <w:sz w:val="20"/>
                <w:szCs w:val="20"/>
                <w:lang w:val="en-US"/>
              </w:rPr>
              <w:t>The US has a possibility to reclassify the financial instruments, which makes it less pro-cyclical than IFRS</w:t>
            </w:r>
          </w:p>
        </w:tc>
      </w:tr>
    </w:tbl>
    <w:p w:rsidR="00815E54" w:rsidRPr="00DA0DCD" w:rsidRDefault="00F46D4F" w:rsidP="00815E54">
      <w:pPr>
        <w:spacing w:line="240" w:lineRule="auto"/>
        <w:jc w:val="center"/>
        <w:rPr>
          <w:sz w:val="20"/>
          <w:szCs w:val="20"/>
          <w:lang w:val="en-US"/>
        </w:rPr>
      </w:pPr>
      <w:r w:rsidRPr="00DA0DCD">
        <w:rPr>
          <w:sz w:val="20"/>
          <w:szCs w:val="20"/>
          <w:lang w:val="en-US"/>
        </w:rPr>
        <w:t>Table 2.</w:t>
      </w:r>
      <w:r w:rsidR="00ED2BA8">
        <w:rPr>
          <w:sz w:val="20"/>
          <w:szCs w:val="20"/>
          <w:lang w:val="en-US"/>
        </w:rPr>
        <w:t>4</w:t>
      </w:r>
      <w:r w:rsidRPr="00DA0DCD">
        <w:rPr>
          <w:sz w:val="20"/>
          <w:szCs w:val="20"/>
          <w:lang w:val="en-US"/>
        </w:rPr>
        <w:t>: Differences between FAS 157 and IAS 39 before amendment of October 2008 (Yong, 2008)</w:t>
      </w:r>
    </w:p>
    <w:p w:rsidR="00815E54" w:rsidRPr="00DA0DCD" w:rsidRDefault="00815E54" w:rsidP="00815E54">
      <w:pPr>
        <w:rPr>
          <w:lang w:val="en-US"/>
        </w:rPr>
      </w:pPr>
      <w:r w:rsidRPr="00DA0DCD">
        <w:rPr>
          <w:lang w:val="en-US"/>
        </w:rPr>
        <w:t xml:space="preserve">Changes in the values of financial instruments are likely to have a greater impact on the annual accounts under IAS 39 compared to FAS 157, because of the possibility of reclassification. The conclusion here is that IAS 39 could be more pro-cyclical than FAS 157. As mentioned in table 3.1 the possibility to reclassify financial instruments is a major difference between US GAAP and IFRS. The IASB issued the reclassification option under IAS 39 during the financial crisis </w:t>
      </w:r>
      <w:r w:rsidR="00E7780C" w:rsidRPr="00DA0DCD">
        <w:rPr>
          <w:lang w:val="en-US"/>
        </w:rPr>
        <w:t>in October 2008</w:t>
      </w:r>
      <w:r w:rsidR="00E7780C">
        <w:rPr>
          <w:lang w:val="en-US"/>
        </w:rPr>
        <w:t xml:space="preserve"> </w:t>
      </w:r>
      <w:r w:rsidRPr="00DA0DCD">
        <w:rPr>
          <w:lang w:val="en-US"/>
        </w:rPr>
        <w:t xml:space="preserve">as described </w:t>
      </w:r>
      <w:r w:rsidR="00240C12" w:rsidRPr="00DA0DCD">
        <w:rPr>
          <w:lang w:val="en-US"/>
        </w:rPr>
        <w:t xml:space="preserve">in </w:t>
      </w:r>
      <w:r w:rsidR="00947A7D" w:rsidRPr="00DA0DCD">
        <w:rPr>
          <w:lang w:val="en-US"/>
        </w:rPr>
        <w:t>paragraph</w:t>
      </w:r>
      <w:r w:rsidR="00240C12" w:rsidRPr="00DA0DCD">
        <w:rPr>
          <w:lang w:val="en-US"/>
        </w:rPr>
        <w:t xml:space="preserve"> 2.6</w:t>
      </w:r>
      <w:r w:rsidRPr="00DA0DCD">
        <w:rPr>
          <w:lang w:val="en-US"/>
        </w:rPr>
        <w:t xml:space="preserve">. </w:t>
      </w:r>
    </w:p>
    <w:p w:rsidR="0074476E" w:rsidRPr="00DA0DCD" w:rsidRDefault="0074476E" w:rsidP="00E66054">
      <w:pPr>
        <w:rPr>
          <w:lang w:val="en-US"/>
        </w:rPr>
      </w:pPr>
      <w:r w:rsidRPr="00DA0DCD">
        <w:rPr>
          <w:lang w:val="en-US"/>
        </w:rPr>
        <w:t xml:space="preserve">The relaxation of the standard on financial instruments in the US differs from the reclassification option in Europe. As mention </w:t>
      </w:r>
      <w:r w:rsidR="00E66054" w:rsidRPr="00DA0DCD">
        <w:rPr>
          <w:lang w:val="en-US"/>
        </w:rPr>
        <w:t>above</w:t>
      </w:r>
      <w:r w:rsidRPr="00DA0DCD">
        <w:rPr>
          <w:lang w:val="en-US"/>
        </w:rPr>
        <w:t xml:space="preserve"> the IASB issued a reclassification option of IAS 39, this allows companies to reclassify their financial instruments to another category under </w:t>
      </w:r>
      <w:r w:rsidR="00815E54" w:rsidRPr="00DA0DCD">
        <w:rPr>
          <w:lang w:val="en-US"/>
        </w:rPr>
        <w:t>“</w:t>
      </w:r>
      <w:r w:rsidR="00E66054" w:rsidRPr="00DA0DCD">
        <w:rPr>
          <w:lang w:val="en-US"/>
        </w:rPr>
        <w:t>rare</w:t>
      </w:r>
      <w:r w:rsidR="00815E54" w:rsidRPr="00DA0DCD">
        <w:rPr>
          <w:lang w:val="en-US"/>
        </w:rPr>
        <w:t>”</w:t>
      </w:r>
      <w:r w:rsidRPr="00DA0DCD">
        <w:rPr>
          <w:lang w:val="en-US"/>
        </w:rPr>
        <w:t xml:space="preserve"> circumstances. The reclassification option was already permitted in the US. </w:t>
      </w:r>
      <w:r w:rsidR="00E7780C">
        <w:rPr>
          <w:lang w:val="en-US"/>
        </w:rPr>
        <w:t xml:space="preserve">During </w:t>
      </w:r>
      <w:r w:rsidR="00BD6BE3" w:rsidRPr="00DA0DCD">
        <w:rPr>
          <w:lang w:val="en-US"/>
        </w:rPr>
        <w:t>the financial crisis in September 2008, policy makers in the US debated about the relaxation or retention of then-existing FVA or impairment rules (Bowen et al. 2010). Later on, the SEC and FASB responded on September 30, 2008 to the problems of FVA during the financial crisis with a clarification on how to implement the accounting standard on FVA (FASB Press Release 2008-234). As mentioned in the introduction, the clarification eases the requirements of valuating financial instruments at fair values if markets are no active</w:t>
      </w:r>
      <w:r w:rsidR="009E7A45" w:rsidRPr="00DA0DCD">
        <w:rPr>
          <w:lang w:val="en-US"/>
        </w:rPr>
        <w:t xml:space="preserve">. Some months later on April 2, 2009 the FASB relaxed FVA and the impairment rules of financial instruments. </w:t>
      </w:r>
      <w:r w:rsidRPr="00DA0DCD">
        <w:rPr>
          <w:lang w:val="en-US"/>
        </w:rPr>
        <w:t>In accordance with Bowen et al. (2010), the relaxation clarifies that FVA and impairment rules need not be applied when markets are illiquid or when transactions are forces by distressed sales or liquidation. At that moment there exists a significant difference in impairments rules between IAS 39 and the US GAAP in category ‘</w:t>
      </w:r>
      <w:r w:rsidR="00E7780C">
        <w:rPr>
          <w:lang w:val="en-US"/>
        </w:rPr>
        <w:t>A</w:t>
      </w:r>
      <w:r w:rsidRPr="00DA0DCD">
        <w:rPr>
          <w:lang w:val="en-US"/>
        </w:rPr>
        <w:t>vailable fo</w:t>
      </w:r>
      <w:r w:rsidR="00E7780C">
        <w:rPr>
          <w:lang w:val="en-US"/>
        </w:rPr>
        <w:t>r S</w:t>
      </w:r>
      <w:r w:rsidR="00240C12" w:rsidRPr="00DA0DCD">
        <w:rPr>
          <w:lang w:val="en-US"/>
        </w:rPr>
        <w:t>ale’, as presented in table 2</w:t>
      </w:r>
      <w:r w:rsidRPr="00DA0DCD">
        <w:rPr>
          <w:lang w:val="en-US"/>
        </w:rPr>
        <w:t>.</w:t>
      </w:r>
      <w:r w:rsidR="00ED2BA8">
        <w:rPr>
          <w:lang w:val="en-US"/>
        </w:rPr>
        <w:t>5</w:t>
      </w:r>
      <w:r w:rsidRPr="00DA0DCD">
        <w:rPr>
          <w:lang w:val="en-US"/>
        </w:rPr>
        <w:t>.</w:t>
      </w:r>
    </w:p>
    <w:tbl>
      <w:tblPr>
        <w:tblStyle w:val="Tabelraster"/>
        <w:tblW w:w="0" w:type="auto"/>
        <w:tblLook w:val="04A0"/>
      </w:tblPr>
      <w:tblGrid>
        <w:gridCol w:w="1951"/>
        <w:gridCol w:w="4190"/>
        <w:gridCol w:w="3071"/>
      </w:tblGrid>
      <w:tr w:rsidR="007F6D8A" w:rsidRPr="00340AE2" w:rsidTr="00E42971">
        <w:tc>
          <w:tcPr>
            <w:tcW w:w="1951" w:type="dxa"/>
          </w:tcPr>
          <w:p w:rsidR="007F6D8A" w:rsidRPr="00340AE2" w:rsidRDefault="007F6D8A" w:rsidP="00E42971">
            <w:pPr>
              <w:rPr>
                <w:b/>
                <w:sz w:val="20"/>
                <w:szCs w:val="20"/>
                <w:lang w:val="en-US"/>
              </w:rPr>
            </w:pPr>
            <w:r w:rsidRPr="00340AE2">
              <w:rPr>
                <w:b/>
                <w:sz w:val="20"/>
                <w:szCs w:val="20"/>
                <w:lang w:val="en-US"/>
              </w:rPr>
              <w:t>Category</w:t>
            </w:r>
          </w:p>
        </w:tc>
        <w:tc>
          <w:tcPr>
            <w:tcW w:w="4190" w:type="dxa"/>
          </w:tcPr>
          <w:p w:rsidR="007F6D8A" w:rsidRPr="00340AE2" w:rsidRDefault="007F6D8A" w:rsidP="00E42971">
            <w:pPr>
              <w:rPr>
                <w:b/>
                <w:sz w:val="20"/>
                <w:szCs w:val="20"/>
                <w:lang w:val="en-US"/>
              </w:rPr>
            </w:pPr>
            <w:r w:rsidRPr="00340AE2">
              <w:rPr>
                <w:b/>
                <w:sz w:val="20"/>
                <w:szCs w:val="20"/>
                <w:lang w:val="en-US"/>
              </w:rPr>
              <w:t>US GAAP</w:t>
            </w:r>
          </w:p>
        </w:tc>
        <w:tc>
          <w:tcPr>
            <w:tcW w:w="3071" w:type="dxa"/>
          </w:tcPr>
          <w:p w:rsidR="007F6D8A" w:rsidRPr="00340AE2" w:rsidRDefault="007F6D8A" w:rsidP="00E42971">
            <w:pPr>
              <w:rPr>
                <w:b/>
                <w:sz w:val="20"/>
                <w:szCs w:val="20"/>
                <w:lang w:val="en-US"/>
              </w:rPr>
            </w:pPr>
            <w:r w:rsidRPr="00340AE2">
              <w:rPr>
                <w:b/>
                <w:sz w:val="20"/>
                <w:szCs w:val="20"/>
                <w:lang w:val="en-US"/>
              </w:rPr>
              <w:t>IAS 39</w:t>
            </w:r>
          </w:p>
        </w:tc>
      </w:tr>
      <w:tr w:rsidR="007F6D8A" w:rsidRPr="00872F8A" w:rsidTr="00E42971">
        <w:tc>
          <w:tcPr>
            <w:tcW w:w="1951" w:type="dxa"/>
          </w:tcPr>
          <w:p w:rsidR="007F6D8A" w:rsidRPr="00340AE2" w:rsidRDefault="007F6D8A" w:rsidP="00E42971">
            <w:pPr>
              <w:rPr>
                <w:sz w:val="20"/>
                <w:szCs w:val="20"/>
                <w:lang w:val="en-US"/>
              </w:rPr>
            </w:pPr>
            <w:r w:rsidRPr="00340AE2">
              <w:rPr>
                <w:sz w:val="20"/>
                <w:szCs w:val="20"/>
                <w:lang w:val="en-US"/>
              </w:rPr>
              <w:t>‘Available for sale (AFS)’</w:t>
            </w:r>
          </w:p>
        </w:tc>
        <w:tc>
          <w:tcPr>
            <w:tcW w:w="4190" w:type="dxa"/>
          </w:tcPr>
          <w:p w:rsidR="007F6D8A" w:rsidRPr="00340AE2" w:rsidRDefault="007F6D8A" w:rsidP="00E42971">
            <w:pPr>
              <w:rPr>
                <w:sz w:val="20"/>
                <w:szCs w:val="20"/>
                <w:lang w:val="en-US"/>
              </w:rPr>
            </w:pPr>
            <w:r w:rsidRPr="00340AE2">
              <w:rPr>
                <w:sz w:val="20"/>
                <w:szCs w:val="20"/>
                <w:lang w:val="en-US"/>
              </w:rPr>
              <w:t>The impairment loss is measured as the difference between Fair value and the expected cash flow (amortized cost basis) (When intent to hold security for period of time sufficient for an anticipated recovery in its fair value.)</w:t>
            </w:r>
          </w:p>
        </w:tc>
        <w:tc>
          <w:tcPr>
            <w:tcW w:w="3071" w:type="dxa"/>
          </w:tcPr>
          <w:p w:rsidR="007F6D8A" w:rsidRPr="00340AE2" w:rsidRDefault="007F6D8A" w:rsidP="00E42971">
            <w:pPr>
              <w:rPr>
                <w:sz w:val="20"/>
                <w:szCs w:val="20"/>
                <w:lang w:val="en-US"/>
              </w:rPr>
            </w:pPr>
            <w:r w:rsidRPr="00340AE2">
              <w:rPr>
                <w:sz w:val="20"/>
                <w:szCs w:val="20"/>
                <w:lang w:val="en-US"/>
              </w:rPr>
              <w:t>The impairment loss is measured as the difference between Fair value and costs price (fair value)</w:t>
            </w:r>
          </w:p>
        </w:tc>
      </w:tr>
    </w:tbl>
    <w:p w:rsidR="0074476E" w:rsidRPr="00DA0DCD" w:rsidRDefault="0074476E" w:rsidP="00E66054">
      <w:pPr>
        <w:jc w:val="center"/>
        <w:rPr>
          <w:sz w:val="20"/>
          <w:szCs w:val="20"/>
          <w:lang w:val="en-US"/>
        </w:rPr>
      </w:pPr>
      <w:r w:rsidRPr="00DA0DCD">
        <w:rPr>
          <w:sz w:val="20"/>
          <w:szCs w:val="20"/>
          <w:lang w:val="en-US"/>
        </w:rPr>
        <w:t xml:space="preserve">Table </w:t>
      </w:r>
      <w:r w:rsidR="00E66054" w:rsidRPr="00DA0DCD">
        <w:rPr>
          <w:sz w:val="20"/>
          <w:szCs w:val="20"/>
          <w:lang w:val="en-US"/>
        </w:rPr>
        <w:t>2</w:t>
      </w:r>
      <w:r w:rsidRPr="00DA0DCD">
        <w:rPr>
          <w:sz w:val="20"/>
          <w:szCs w:val="20"/>
          <w:lang w:val="en-US"/>
        </w:rPr>
        <w:t>.</w:t>
      </w:r>
      <w:r w:rsidR="00ED2BA8">
        <w:rPr>
          <w:sz w:val="20"/>
          <w:szCs w:val="20"/>
          <w:lang w:val="en-US"/>
        </w:rPr>
        <w:t>5:</w:t>
      </w:r>
      <w:r w:rsidRPr="00DA0DCD">
        <w:rPr>
          <w:sz w:val="20"/>
          <w:szCs w:val="20"/>
          <w:lang w:val="en-US"/>
        </w:rPr>
        <w:t xml:space="preserve"> Difference impairment rules AFS (Bowen et al. 2010)</w:t>
      </w:r>
    </w:p>
    <w:p w:rsidR="0074476E" w:rsidRPr="00DA0DCD" w:rsidRDefault="0074476E" w:rsidP="0074476E">
      <w:pPr>
        <w:rPr>
          <w:lang w:val="en-US"/>
        </w:rPr>
      </w:pPr>
      <w:r w:rsidRPr="00DA0DCD">
        <w:rPr>
          <w:lang w:val="en-US"/>
        </w:rPr>
        <w:t xml:space="preserve">In other </w:t>
      </w:r>
      <w:r w:rsidR="00ED2BA8" w:rsidRPr="00DA0DCD">
        <w:rPr>
          <w:lang w:val="en-US"/>
        </w:rPr>
        <w:t>words,</w:t>
      </w:r>
      <w:r w:rsidRPr="00DA0DCD">
        <w:rPr>
          <w:lang w:val="en-US"/>
        </w:rPr>
        <w:t xml:space="preserve"> the relaxation of fair value accounting is more significant in the US than Europe. In the US the FASB provided additional guidance for fair value estimation when the volume of activity for the asset or liability significantly decreased (Bowen et al 2010), and the impairment rules of category ‘AFS’ </w:t>
      </w:r>
      <w:r w:rsidR="00DD605F" w:rsidRPr="00DA0DCD">
        <w:rPr>
          <w:lang w:val="en-US"/>
        </w:rPr>
        <w:t>was changed (relaxed)</w:t>
      </w:r>
      <w:r w:rsidRPr="00DA0DCD">
        <w:rPr>
          <w:lang w:val="en-US"/>
        </w:rPr>
        <w:t>. In Europe on the other hand, the relax</w:t>
      </w:r>
      <w:r w:rsidR="00C830BD" w:rsidRPr="00DA0DCD">
        <w:rPr>
          <w:lang w:val="en-US"/>
        </w:rPr>
        <w:t>ation</w:t>
      </w:r>
      <w:r w:rsidRPr="00DA0DCD">
        <w:rPr>
          <w:lang w:val="en-US"/>
        </w:rPr>
        <w:t xml:space="preserve"> means </w:t>
      </w:r>
      <w:r w:rsidR="00C830BD" w:rsidRPr="00DA0DCD">
        <w:rPr>
          <w:lang w:val="en-US"/>
        </w:rPr>
        <w:t>that there became only</w:t>
      </w:r>
      <w:r w:rsidR="00090ECD" w:rsidRPr="00DA0DCD">
        <w:rPr>
          <w:lang w:val="en-US"/>
        </w:rPr>
        <w:t xml:space="preserve"> </w:t>
      </w:r>
      <w:r w:rsidR="00C830BD" w:rsidRPr="00DA0DCD">
        <w:rPr>
          <w:lang w:val="en-US"/>
        </w:rPr>
        <w:t xml:space="preserve">a </w:t>
      </w:r>
      <w:r w:rsidRPr="00DA0DCD">
        <w:rPr>
          <w:lang w:val="en-US"/>
        </w:rPr>
        <w:t>reclassification</w:t>
      </w:r>
      <w:r w:rsidR="00C830BD" w:rsidRPr="00DA0DCD">
        <w:rPr>
          <w:lang w:val="en-US"/>
        </w:rPr>
        <w:t xml:space="preserve"> </w:t>
      </w:r>
      <w:r w:rsidRPr="00DA0DCD">
        <w:rPr>
          <w:lang w:val="en-US"/>
        </w:rPr>
        <w:t xml:space="preserve">possible </w:t>
      </w:r>
      <w:r w:rsidR="00C830BD" w:rsidRPr="00DA0DCD">
        <w:rPr>
          <w:lang w:val="en-US"/>
        </w:rPr>
        <w:t>under</w:t>
      </w:r>
      <w:r w:rsidRPr="00DA0DCD">
        <w:rPr>
          <w:lang w:val="en-US"/>
        </w:rPr>
        <w:t xml:space="preserve"> certain circumstances. This means that </w:t>
      </w:r>
      <w:r w:rsidR="00372C5D" w:rsidRPr="00DA0DCD">
        <w:rPr>
          <w:lang w:val="en-US"/>
        </w:rPr>
        <w:t>the accounting standard on financial instruments in the US was</w:t>
      </w:r>
      <w:r w:rsidR="00090ECD" w:rsidRPr="00DA0DCD">
        <w:rPr>
          <w:lang w:val="en-US"/>
        </w:rPr>
        <w:t xml:space="preserve"> more relaxed</w:t>
      </w:r>
      <w:r w:rsidR="00C830BD" w:rsidRPr="00DA0DCD">
        <w:rPr>
          <w:lang w:val="en-US"/>
        </w:rPr>
        <w:t xml:space="preserve"> </w:t>
      </w:r>
      <w:r w:rsidR="00372C5D" w:rsidRPr="00DA0DCD">
        <w:rPr>
          <w:lang w:val="en-US"/>
        </w:rPr>
        <w:t>than IAS 39 in</w:t>
      </w:r>
      <w:r w:rsidR="00C830BD" w:rsidRPr="00DA0DCD">
        <w:rPr>
          <w:lang w:val="en-US"/>
        </w:rPr>
        <w:t xml:space="preserve"> </w:t>
      </w:r>
      <w:r w:rsidR="00340AE2" w:rsidRPr="00DA0DCD">
        <w:rPr>
          <w:lang w:val="en-US"/>
        </w:rPr>
        <w:t>Europe.</w:t>
      </w:r>
    </w:p>
    <w:p w:rsidR="000667F1" w:rsidRPr="00DA0DCD" w:rsidRDefault="002F3E40" w:rsidP="000667F1">
      <w:pPr>
        <w:pStyle w:val="Kop2"/>
        <w:numPr>
          <w:ilvl w:val="1"/>
          <w:numId w:val="14"/>
        </w:numPr>
        <w:rPr>
          <w:lang w:val="en-US"/>
        </w:rPr>
      </w:pPr>
      <w:bookmarkStart w:id="15" w:name="_Toc270770560"/>
      <w:r w:rsidRPr="00DA0DCD">
        <w:rPr>
          <w:lang w:val="en-US"/>
        </w:rPr>
        <w:lastRenderedPageBreak/>
        <w:t>Rules and</w:t>
      </w:r>
      <w:r w:rsidR="001B2290" w:rsidRPr="00DA0DCD">
        <w:rPr>
          <w:lang w:val="en-US"/>
        </w:rPr>
        <w:t xml:space="preserve"> r</w:t>
      </w:r>
      <w:r w:rsidR="000667F1" w:rsidRPr="00DA0DCD">
        <w:rPr>
          <w:lang w:val="en-US"/>
        </w:rPr>
        <w:t>egulation</w:t>
      </w:r>
      <w:r w:rsidRPr="00DA0DCD">
        <w:rPr>
          <w:lang w:val="en-US"/>
        </w:rPr>
        <w:t>s</w:t>
      </w:r>
      <w:r w:rsidR="000667F1" w:rsidRPr="00DA0DCD">
        <w:rPr>
          <w:lang w:val="en-US"/>
        </w:rPr>
        <w:t xml:space="preserve"> on </w:t>
      </w:r>
      <w:r w:rsidR="009E50B0" w:rsidRPr="00DA0DCD">
        <w:rPr>
          <w:lang w:val="en-US"/>
        </w:rPr>
        <w:t>financial institutions</w:t>
      </w:r>
      <w:bookmarkEnd w:id="15"/>
    </w:p>
    <w:p w:rsidR="0095727E" w:rsidRPr="00DA0DCD" w:rsidRDefault="00A35F3E" w:rsidP="00F46860">
      <w:pPr>
        <w:rPr>
          <w:color w:val="FF0000"/>
          <w:lang w:val="en-US"/>
        </w:rPr>
      </w:pPr>
      <w:r w:rsidRPr="00DA0DCD">
        <w:rPr>
          <w:lang w:val="en-US"/>
        </w:rPr>
        <w:t xml:space="preserve">A whole other part of regulation compared with accounting standards, but also interesting for this research is the effect that specific regulation for financial institutions might have on this research. </w:t>
      </w:r>
      <w:r w:rsidR="00000918" w:rsidRPr="00DA0DCD">
        <w:rPr>
          <w:lang w:val="en-US"/>
        </w:rPr>
        <w:t xml:space="preserve"> </w:t>
      </w:r>
      <w:r w:rsidR="0095727E" w:rsidRPr="00DA0DCD">
        <w:rPr>
          <w:lang w:val="en-US"/>
        </w:rPr>
        <w:t>With specific regulation is</w:t>
      </w:r>
      <w:r w:rsidR="006D6DC9" w:rsidRPr="00DA0DCD">
        <w:rPr>
          <w:lang w:val="en-US"/>
        </w:rPr>
        <w:t xml:space="preserve"> meant</w:t>
      </w:r>
      <w:r w:rsidR="0095727E" w:rsidRPr="00DA0DCD">
        <w:rPr>
          <w:lang w:val="en-US"/>
        </w:rPr>
        <w:t xml:space="preserve"> the regulation on capital requirements of financial institutions.</w:t>
      </w:r>
      <w:r w:rsidR="004A49E9" w:rsidRPr="00DA0DCD">
        <w:rPr>
          <w:lang w:val="en-US"/>
        </w:rPr>
        <w:t xml:space="preserve"> The specific rules for banks are mainly shown in the Basel Agreements of the Basel Committee on Banking Supervision. Insurance companies are subjected to Solvency requirements of the European Union (national authorities).</w:t>
      </w:r>
      <w:r w:rsidR="00E350ED" w:rsidRPr="00DA0DCD">
        <w:rPr>
          <w:lang w:val="en-US"/>
        </w:rPr>
        <w:t xml:space="preserve"> Both will be further explained under.</w:t>
      </w:r>
      <w:r w:rsidR="004A49E9" w:rsidRPr="00DA0DCD">
        <w:rPr>
          <w:lang w:val="en-US"/>
        </w:rPr>
        <w:t xml:space="preserve"> The difference in capital requirements </w:t>
      </w:r>
      <w:r w:rsidR="00001B51" w:rsidRPr="00DA0DCD">
        <w:rPr>
          <w:lang w:val="en-US"/>
        </w:rPr>
        <w:t>between</w:t>
      </w:r>
      <w:r w:rsidR="004A49E9" w:rsidRPr="00DA0DCD">
        <w:rPr>
          <w:lang w:val="en-US"/>
        </w:rPr>
        <w:t xml:space="preserve"> financial institutions can be a reason for the difference in market reaction. Therefore stoc</w:t>
      </w:r>
      <w:r w:rsidR="00E7780C">
        <w:rPr>
          <w:lang w:val="en-US"/>
        </w:rPr>
        <w:t>k price reactions of banks and i</w:t>
      </w:r>
      <w:r w:rsidR="004A49E9" w:rsidRPr="00DA0DCD">
        <w:rPr>
          <w:lang w:val="en-US"/>
        </w:rPr>
        <w:t xml:space="preserve">nsurance companies will be </w:t>
      </w:r>
      <w:r w:rsidR="000C3C74" w:rsidRPr="00DA0DCD">
        <w:rPr>
          <w:lang w:val="en-US"/>
        </w:rPr>
        <w:t>tested separately</w:t>
      </w:r>
      <w:r w:rsidR="004A49E9" w:rsidRPr="00DA0DCD">
        <w:rPr>
          <w:lang w:val="en-US"/>
        </w:rPr>
        <w:t xml:space="preserve"> and </w:t>
      </w:r>
      <w:r w:rsidR="000B5934" w:rsidRPr="00DA0DCD">
        <w:rPr>
          <w:lang w:val="en-US"/>
        </w:rPr>
        <w:t xml:space="preserve">the </w:t>
      </w:r>
      <w:r w:rsidR="004A49E9" w:rsidRPr="00DA0DCD">
        <w:rPr>
          <w:lang w:val="en-US"/>
        </w:rPr>
        <w:t>results will be compared.</w:t>
      </w:r>
      <w:r w:rsidR="000B5934" w:rsidRPr="00DA0DCD">
        <w:rPr>
          <w:lang w:val="en-US"/>
        </w:rPr>
        <w:t xml:space="preserve"> </w:t>
      </w:r>
      <w:r w:rsidR="004A49E9" w:rsidRPr="00DA0DCD">
        <w:rPr>
          <w:lang w:val="en-US"/>
        </w:rPr>
        <w:t>The main reason for testing</w:t>
      </w:r>
      <w:r w:rsidR="000C3C74" w:rsidRPr="00DA0DCD">
        <w:rPr>
          <w:lang w:val="en-US"/>
        </w:rPr>
        <w:t xml:space="preserve"> </w:t>
      </w:r>
      <w:r w:rsidR="004A49E9" w:rsidRPr="00DA0DCD">
        <w:rPr>
          <w:lang w:val="en-US"/>
        </w:rPr>
        <w:t xml:space="preserve">banks and insurance companies </w:t>
      </w:r>
      <w:r w:rsidR="00E7780C" w:rsidRPr="00DA0DCD">
        <w:rPr>
          <w:lang w:val="en-US"/>
        </w:rPr>
        <w:t xml:space="preserve">separately </w:t>
      </w:r>
      <w:r w:rsidR="004A49E9" w:rsidRPr="00DA0DCD">
        <w:rPr>
          <w:lang w:val="en-US"/>
        </w:rPr>
        <w:t xml:space="preserve">in </w:t>
      </w:r>
      <w:r w:rsidR="00E7780C">
        <w:rPr>
          <w:lang w:val="en-US"/>
        </w:rPr>
        <w:t xml:space="preserve">per </w:t>
      </w:r>
      <w:r w:rsidR="004A49E9" w:rsidRPr="00DA0DCD">
        <w:rPr>
          <w:lang w:val="en-US"/>
        </w:rPr>
        <w:t xml:space="preserve">sample is that there has been argued by banks and politicians that FVA during the financial crisis provide a contagion of the pro-cyclical effect. Thereby has been argued that the capital requirements of financial institutions forced banks to sell their financial assets, to avoid the violation of the capital adequacy requirements (Basel II). </w:t>
      </w:r>
    </w:p>
    <w:p w:rsidR="00695405" w:rsidRPr="00DA0DCD" w:rsidRDefault="00695405" w:rsidP="00695405">
      <w:pPr>
        <w:pStyle w:val="Kop3"/>
        <w:numPr>
          <w:ilvl w:val="2"/>
          <w:numId w:val="14"/>
        </w:numPr>
        <w:rPr>
          <w:lang w:val="en-US"/>
        </w:rPr>
      </w:pPr>
      <w:bookmarkStart w:id="16" w:name="_Toc270770561"/>
      <w:r w:rsidRPr="00DA0DCD">
        <w:rPr>
          <w:lang w:val="en-US"/>
        </w:rPr>
        <w:t>Basel agreement</w:t>
      </w:r>
      <w:bookmarkEnd w:id="16"/>
    </w:p>
    <w:p w:rsidR="001378DC" w:rsidRPr="00DA0DCD" w:rsidRDefault="00F46860" w:rsidP="00F46860">
      <w:pPr>
        <w:rPr>
          <w:lang w:val="en-US"/>
        </w:rPr>
      </w:pPr>
      <w:r w:rsidRPr="00DA0DCD">
        <w:rPr>
          <w:lang w:val="en-US"/>
        </w:rPr>
        <w:t xml:space="preserve">European banks </w:t>
      </w:r>
      <w:r w:rsidR="0007771D" w:rsidRPr="00DA0DCD">
        <w:rPr>
          <w:lang w:val="en-US"/>
        </w:rPr>
        <w:t>have to comply with</w:t>
      </w:r>
      <w:r w:rsidRPr="00DA0DCD">
        <w:rPr>
          <w:lang w:val="en-US"/>
        </w:rPr>
        <w:t xml:space="preserve"> Basel </w:t>
      </w:r>
      <w:r w:rsidR="009E4F2A" w:rsidRPr="00DA0DCD">
        <w:rPr>
          <w:lang w:val="en-US"/>
        </w:rPr>
        <w:t xml:space="preserve">II, </w:t>
      </w:r>
      <w:r w:rsidRPr="00DA0DCD">
        <w:rPr>
          <w:lang w:val="en-US"/>
        </w:rPr>
        <w:t>this agre</w:t>
      </w:r>
      <w:r w:rsidR="009E4F2A" w:rsidRPr="00DA0DCD">
        <w:rPr>
          <w:lang w:val="en-US"/>
        </w:rPr>
        <w:t xml:space="preserve">ement is also </w:t>
      </w:r>
      <w:r w:rsidR="002F3E40" w:rsidRPr="00DA0DCD">
        <w:rPr>
          <w:lang w:val="en-US"/>
        </w:rPr>
        <w:t>mandatory</w:t>
      </w:r>
      <w:r w:rsidR="009E4F2A" w:rsidRPr="00DA0DCD">
        <w:rPr>
          <w:lang w:val="en-US"/>
        </w:rPr>
        <w:t xml:space="preserve"> in the US</w:t>
      </w:r>
      <w:r w:rsidRPr="00DA0DCD">
        <w:rPr>
          <w:lang w:val="en-US"/>
        </w:rPr>
        <w:t xml:space="preserve">. The Basel </w:t>
      </w:r>
      <w:r w:rsidR="00AD129B" w:rsidRPr="00DA0DCD">
        <w:rPr>
          <w:lang w:val="en-US"/>
        </w:rPr>
        <w:t>agreements between national supervisory authorities represent</w:t>
      </w:r>
      <w:r w:rsidR="00540FAE" w:rsidRPr="00DA0DCD">
        <w:rPr>
          <w:lang w:val="en-US"/>
        </w:rPr>
        <w:t xml:space="preserve"> a minimum standard for capital adequacy. </w:t>
      </w:r>
      <w:r w:rsidRPr="00DA0DCD">
        <w:rPr>
          <w:lang w:val="en-US"/>
        </w:rPr>
        <w:t xml:space="preserve">The main goal of these agreements is to guard banks against the types of financial and operational risks they face. This </w:t>
      </w:r>
      <w:r w:rsidR="009E4F2A" w:rsidRPr="00DA0DCD">
        <w:rPr>
          <w:lang w:val="en-US"/>
        </w:rPr>
        <w:t xml:space="preserve">should </w:t>
      </w:r>
      <w:r w:rsidRPr="00DA0DCD">
        <w:rPr>
          <w:lang w:val="en-US"/>
        </w:rPr>
        <w:t>protect</w:t>
      </w:r>
      <w:r w:rsidR="009E4F2A" w:rsidRPr="00DA0DCD">
        <w:rPr>
          <w:lang w:val="en-US"/>
        </w:rPr>
        <w:t xml:space="preserve"> banks</w:t>
      </w:r>
      <w:r w:rsidRPr="00DA0DCD">
        <w:rPr>
          <w:lang w:val="en-US"/>
        </w:rPr>
        <w:t xml:space="preserve"> from collapsing. </w:t>
      </w:r>
      <w:r w:rsidR="009E4F2A" w:rsidRPr="00DA0DCD">
        <w:rPr>
          <w:lang w:val="en-US"/>
        </w:rPr>
        <w:t>The Basel Committee on Banking Supervision</w:t>
      </w:r>
      <w:r w:rsidRPr="00DA0DCD">
        <w:rPr>
          <w:lang w:val="en-US"/>
        </w:rPr>
        <w:t xml:space="preserve"> </w:t>
      </w:r>
      <w:r w:rsidR="002F3E40" w:rsidRPr="00DA0DCD">
        <w:rPr>
          <w:lang w:val="en-US"/>
        </w:rPr>
        <w:t>tries</w:t>
      </w:r>
      <w:r w:rsidRPr="00DA0DCD">
        <w:rPr>
          <w:lang w:val="en-US"/>
        </w:rPr>
        <w:t xml:space="preserve"> to reach this goal by setting up rigorous risk and capital management requirements. </w:t>
      </w:r>
      <w:r w:rsidR="009638E0" w:rsidRPr="00DA0DCD">
        <w:rPr>
          <w:lang w:val="en-US"/>
        </w:rPr>
        <w:t xml:space="preserve">Basel II agreement exists of three pillars: (1) minimal capital requirements; (2) supervisory review process and (3) market </w:t>
      </w:r>
      <w:r w:rsidR="00224E6D" w:rsidRPr="00DA0DCD">
        <w:rPr>
          <w:lang w:val="en-US"/>
        </w:rPr>
        <w:t>discipline.</w:t>
      </w:r>
      <w:r w:rsidR="009638E0" w:rsidRPr="00DA0DCD">
        <w:rPr>
          <w:rStyle w:val="Voetnootmarkering"/>
          <w:lang w:val="en-US"/>
        </w:rPr>
        <w:footnoteReference w:id="9"/>
      </w:r>
      <w:r w:rsidR="00224E6D" w:rsidRPr="00DA0DCD">
        <w:rPr>
          <w:lang w:val="en-US"/>
        </w:rPr>
        <w:t xml:space="preserve"> The first pillar is relevant for this research and can be defined as the minimal amount that banks are required for their exposed risks. </w:t>
      </w:r>
      <w:r w:rsidRPr="00DA0DCD">
        <w:rPr>
          <w:lang w:val="en-US"/>
        </w:rPr>
        <w:t>In summary this means that the greater risk the bank is exposed to, the larger the amount of capital that they should hold as risk-based capital. The measurement of the exposed risk</w:t>
      </w:r>
      <w:r w:rsidR="009E4F2A" w:rsidRPr="00DA0DCD">
        <w:rPr>
          <w:lang w:val="en-US"/>
        </w:rPr>
        <w:t>s</w:t>
      </w:r>
      <w:r w:rsidRPr="00DA0DCD">
        <w:rPr>
          <w:lang w:val="en-US"/>
        </w:rPr>
        <w:t xml:space="preserve"> is done by three factors, namely credit risk, op</w:t>
      </w:r>
      <w:r w:rsidR="006A0D8E" w:rsidRPr="00DA0DCD">
        <w:rPr>
          <w:lang w:val="en-US"/>
        </w:rPr>
        <w:t>erational risk and market risk.</w:t>
      </w:r>
      <w:r w:rsidR="006A0D8E" w:rsidRPr="00DA0DCD">
        <w:rPr>
          <w:rStyle w:val="Voetnootmarkering"/>
          <w:lang w:val="en-US"/>
        </w:rPr>
        <w:t xml:space="preserve"> </w:t>
      </w:r>
      <w:r w:rsidR="00013158" w:rsidRPr="00DA0DCD">
        <w:rPr>
          <w:lang w:val="en-US"/>
        </w:rPr>
        <w:t xml:space="preserve">The total of the capital </w:t>
      </w:r>
      <w:r w:rsidR="009638E0" w:rsidRPr="00DA0DCD">
        <w:rPr>
          <w:lang w:val="en-US"/>
        </w:rPr>
        <w:t xml:space="preserve">required </w:t>
      </w:r>
      <w:r w:rsidR="00013158" w:rsidRPr="00DA0DCD">
        <w:rPr>
          <w:lang w:val="en-US"/>
        </w:rPr>
        <w:t>ratio must be no lower than 8%.</w:t>
      </w:r>
      <w:r w:rsidR="009638E0" w:rsidRPr="00DA0DCD">
        <w:rPr>
          <w:lang w:val="en-US"/>
        </w:rPr>
        <w:t xml:space="preserve"> This means a minimal capital to asset ratio that meets at least 8% of the risk-weighted assets.</w:t>
      </w:r>
      <w:r w:rsidR="009638E0" w:rsidRPr="00DA0DCD">
        <w:rPr>
          <w:rStyle w:val="Voetnootmarkering"/>
          <w:lang w:val="en-US"/>
        </w:rPr>
        <w:footnoteReference w:id="10"/>
      </w:r>
      <w:r w:rsidR="009638E0" w:rsidRPr="00DA0DCD">
        <w:rPr>
          <w:lang w:val="en-US"/>
        </w:rPr>
        <w:t xml:space="preserve"> </w:t>
      </w:r>
      <w:r w:rsidRPr="00DA0DCD">
        <w:rPr>
          <w:lang w:val="en-US"/>
        </w:rPr>
        <w:t xml:space="preserve">Regarding </w:t>
      </w:r>
      <w:r w:rsidR="00262041" w:rsidRPr="00DA0DCD">
        <w:rPr>
          <w:lang w:val="en-US"/>
        </w:rPr>
        <w:t>this</w:t>
      </w:r>
      <w:r w:rsidRPr="00DA0DCD">
        <w:rPr>
          <w:lang w:val="en-US"/>
        </w:rPr>
        <w:t xml:space="preserve"> rese</w:t>
      </w:r>
      <w:r w:rsidR="00224E6D" w:rsidRPr="00DA0DCD">
        <w:rPr>
          <w:lang w:val="en-US"/>
        </w:rPr>
        <w:t xml:space="preserve">arch it is interesting if the capital requirement </w:t>
      </w:r>
      <w:r w:rsidRPr="00DA0DCD">
        <w:rPr>
          <w:lang w:val="en-US"/>
        </w:rPr>
        <w:t xml:space="preserve">might have an impact on </w:t>
      </w:r>
      <w:r w:rsidR="00262041" w:rsidRPr="00DA0DCD">
        <w:rPr>
          <w:lang w:val="en-US"/>
        </w:rPr>
        <w:t>banks during the financial crisis</w:t>
      </w:r>
      <w:r w:rsidR="00224E6D" w:rsidRPr="00DA0DCD">
        <w:rPr>
          <w:lang w:val="en-US"/>
        </w:rPr>
        <w:t xml:space="preserve">. The impact could be as argued </w:t>
      </w:r>
      <w:r w:rsidR="001378DC" w:rsidRPr="00DA0DCD">
        <w:rPr>
          <w:lang w:val="en-US"/>
        </w:rPr>
        <w:t xml:space="preserve">by banks and politicians </w:t>
      </w:r>
      <w:r w:rsidR="00224E6D" w:rsidRPr="00DA0DCD">
        <w:rPr>
          <w:lang w:val="en-US"/>
        </w:rPr>
        <w:t>that the capital requirements forced banks to sell their asse</w:t>
      </w:r>
      <w:r w:rsidR="001378DC" w:rsidRPr="00DA0DCD">
        <w:rPr>
          <w:lang w:val="en-US"/>
        </w:rPr>
        <w:t>ts. In other words, they argued that the capital requirements under</w:t>
      </w:r>
      <w:r w:rsidR="00224E6D" w:rsidRPr="00DA0DCD">
        <w:rPr>
          <w:lang w:val="en-US"/>
        </w:rPr>
        <w:t xml:space="preserve"> Basel II</w:t>
      </w:r>
      <w:r w:rsidR="001378DC" w:rsidRPr="00DA0DCD">
        <w:rPr>
          <w:lang w:val="en-US"/>
        </w:rPr>
        <w:t xml:space="preserve"> works pro-cyclical. Repullo and Suarez (2008) did research to the pro-cyclicality of Basel II. They find that Basel II gives a substantial increase in pro-cyclicality compared to Basel I, induced by bank capital regulators. With this finding, the pro-cyclical effect of Basel II is confirmed. This will be further explained in </w:t>
      </w:r>
      <w:r w:rsidR="00947A7D" w:rsidRPr="00DA0DCD">
        <w:rPr>
          <w:lang w:val="en-US"/>
        </w:rPr>
        <w:t>paragraph</w:t>
      </w:r>
      <w:r w:rsidR="001378DC" w:rsidRPr="00DA0DCD">
        <w:rPr>
          <w:lang w:val="en-US"/>
        </w:rPr>
        <w:t xml:space="preserve"> 4.3</w:t>
      </w:r>
      <w:r w:rsidR="005F038C" w:rsidRPr="00DA0DCD">
        <w:rPr>
          <w:lang w:val="en-US"/>
        </w:rPr>
        <w:t>.</w:t>
      </w:r>
    </w:p>
    <w:p w:rsidR="000667F1" w:rsidRPr="00DA0DCD" w:rsidRDefault="00262041" w:rsidP="00F46860">
      <w:pPr>
        <w:rPr>
          <w:u w:val="single"/>
          <w:lang w:val="en-US"/>
        </w:rPr>
      </w:pPr>
      <w:r w:rsidRPr="00DA0DCD">
        <w:rPr>
          <w:lang w:val="en-US"/>
        </w:rPr>
        <w:t>As mentioned earlier this research focus</w:t>
      </w:r>
      <w:r w:rsidR="001378DC" w:rsidRPr="00DA0DCD">
        <w:rPr>
          <w:lang w:val="en-US"/>
        </w:rPr>
        <w:t>es</w:t>
      </w:r>
      <w:r w:rsidRPr="00DA0DCD">
        <w:rPr>
          <w:lang w:val="en-US"/>
        </w:rPr>
        <w:t xml:space="preserve"> on banks, </w:t>
      </w:r>
      <w:r w:rsidR="00F46860" w:rsidRPr="00DA0DCD">
        <w:rPr>
          <w:lang w:val="en-US"/>
        </w:rPr>
        <w:t>insurance companies</w:t>
      </w:r>
      <w:r w:rsidRPr="00DA0DCD">
        <w:rPr>
          <w:lang w:val="en-US"/>
        </w:rPr>
        <w:t xml:space="preserve"> and other financial institutions.</w:t>
      </w:r>
      <w:r w:rsidR="00F46860" w:rsidRPr="00DA0DCD">
        <w:rPr>
          <w:lang w:val="en-US"/>
        </w:rPr>
        <w:t xml:space="preserve"> </w:t>
      </w:r>
      <w:r w:rsidRPr="00DA0DCD">
        <w:rPr>
          <w:lang w:val="en-US"/>
        </w:rPr>
        <w:t>Only banks have</w:t>
      </w:r>
      <w:r w:rsidR="00F46860" w:rsidRPr="00DA0DCD">
        <w:rPr>
          <w:lang w:val="en-US"/>
        </w:rPr>
        <w:t xml:space="preserve"> to deal with the Basel requirements. As explain</w:t>
      </w:r>
      <w:r w:rsidRPr="00DA0DCD">
        <w:rPr>
          <w:lang w:val="en-US"/>
        </w:rPr>
        <w:t>ed</w:t>
      </w:r>
      <w:r w:rsidR="00F46860" w:rsidRPr="00DA0DCD">
        <w:rPr>
          <w:lang w:val="en-US"/>
        </w:rPr>
        <w:t xml:space="preserve"> in </w:t>
      </w:r>
      <w:r w:rsidRPr="00DA0DCD">
        <w:rPr>
          <w:lang w:val="en-US"/>
        </w:rPr>
        <w:t xml:space="preserve">the </w:t>
      </w:r>
      <w:r w:rsidR="00F46860" w:rsidRPr="00DA0DCD">
        <w:rPr>
          <w:lang w:val="en-US"/>
        </w:rPr>
        <w:t xml:space="preserve">sample selection, these </w:t>
      </w:r>
      <w:r w:rsidRPr="00DA0DCD">
        <w:rPr>
          <w:lang w:val="en-US"/>
        </w:rPr>
        <w:t xml:space="preserve">(corporate) </w:t>
      </w:r>
      <w:r w:rsidR="00F46860" w:rsidRPr="00DA0DCD">
        <w:rPr>
          <w:lang w:val="en-US"/>
        </w:rPr>
        <w:t xml:space="preserve">firms have mostly a combination of </w:t>
      </w:r>
      <w:r w:rsidRPr="00DA0DCD">
        <w:rPr>
          <w:lang w:val="en-US"/>
        </w:rPr>
        <w:t>banking and insurance</w:t>
      </w:r>
      <w:r w:rsidR="00F46860" w:rsidRPr="00DA0DCD">
        <w:rPr>
          <w:lang w:val="en-US"/>
        </w:rPr>
        <w:t xml:space="preserve"> activities. </w:t>
      </w:r>
      <w:r w:rsidR="001378DC" w:rsidRPr="00DA0DCD">
        <w:rPr>
          <w:lang w:val="en-US"/>
        </w:rPr>
        <w:t>Therefore,</w:t>
      </w:r>
      <w:r w:rsidR="00F46860" w:rsidRPr="00DA0DCD">
        <w:rPr>
          <w:lang w:val="en-US"/>
        </w:rPr>
        <w:t xml:space="preserve"> almost the whole sample</w:t>
      </w:r>
      <w:r w:rsidR="005F038C" w:rsidRPr="00DA0DCD">
        <w:rPr>
          <w:lang w:val="en-US"/>
        </w:rPr>
        <w:t xml:space="preserve"> (banks plus insurers)</w:t>
      </w:r>
      <w:r w:rsidR="00F46860" w:rsidRPr="00DA0DCD">
        <w:rPr>
          <w:lang w:val="en-US"/>
        </w:rPr>
        <w:t xml:space="preserve"> has to deal more or less with the Basel agreements. However there is a difference between firms that have only banking activities and firms that have only insurance activities. Banks have to meet the Basel II requirements and this is not obliged for insurance companies.</w:t>
      </w:r>
      <w:r w:rsidRPr="00DA0DCD">
        <w:rPr>
          <w:lang w:val="en-US"/>
        </w:rPr>
        <w:t xml:space="preserve"> </w:t>
      </w:r>
      <w:r w:rsidR="00F46860" w:rsidRPr="00DA0DCD">
        <w:rPr>
          <w:lang w:val="en-US"/>
        </w:rPr>
        <w:t xml:space="preserve">Statement 24 from the Basel II text describes this as follows: ‘To </w:t>
      </w:r>
      <w:r w:rsidR="00F46860" w:rsidRPr="00DA0DCD">
        <w:rPr>
          <w:lang w:val="en-US"/>
        </w:rPr>
        <w:lastRenderedPageBreak/>
        <w:t>the greatest extent possible, all banking and other relevant financial activities (both regulated and unregulated) conducted within a group containing an internationally active bank will be captured through consolidation. “Financial activities” do not include insurance activities and “financial entities” do not include insurance entities (Basel Committee on Banking Supervision, 2004). Insurance companies have to deal with specified regulation</w:t>
      </w:r>
      <w:r w:rsidR="00E7780C" w:rsidRPr="00E7780C">
        <w:rPr>
          <w:lang w:val="en-US"/>
        </w:rPr>
        <w:t xml:space="preserve"> </w:t>
      </w:r>
      <w:r w:rsidR="00E7780C" w:rsidRPr="00DA0DCD">
        <w:rPr>
          <w:lang w:val="en-US"/>
        </w:rPr>
        <w:t>also</w:t>
      </w:r>
      <w:r w:rsidR="00E7780C">
        <w:rPr>
          <w:lang w:val="en-US"/>
        </w:rPr>
        <w:t>.</w:t>
      </w:r>
      <w:r w:rsidR="00F46860" w:rsidRPr="00DA0DCD">
        <w:rPr>
          <w:lang w:val="en-US"/>
        </w:rPr>
        <w:t xml:space="preserve"> </w:t>
      </w:r>
      <w:r w:rsidR="00E7780C">
        <w:rPr>
          <w:lang w:val="en-US"/>
        </w:rPr>
        <w:t>C</w:t>
      </w:r>
      <w:r w:rsidRPr="00DA0DCD">
        <w:rPr>
          <w:lang w:val="en-US"/>
        </w:rPr>
        <w:t xml:space="preserve">apital requirements of insurance companies will be described in </w:t>
      </w:r>
      <w:r w:rsidR="00947A7D" w:rsidRPr="00ED2BA8">
        <w:rPr>
          <w:lang w:val="en-US"/>
        </w:rPr>
        <w:t>paragraph</w:t>
      </w:r>
      <w:r w:rsidRPr="00ED2BA8">
        <w:rPr>
          <w:lang w:val="en-US"/>
        </w:rPr>
        <w:t xml:space="preserve"> 2.8.2.</w:t>
      </w:r>
      <w:r w:rsidRPr="00DA0DCD">
        <w:rPr>
          <w:lang w:val="en-US"/>
        </w:rPr>
        <w:t xml:space="preserve"> Basel</w:t>
      </w:r>
      <w:r w:rsidR="00F46860" w:rsidRPr="00DA0DCD">
        <w:rPr>
          <w:lang w:val="en-US"/>
        </w:rPr>
        <w:t xml:space="preserve"> regulation has therefore no effect on the insurance companies in </w:t>
      </w:r>
      <w:r w:rsidR="005F038C" w:rsidRPr="00DA0DCD">
        <w:rPr>
          <w:lang w:val="en-US"/>
        </w:rPr>
        <w:t xml:space="preserve">this </w:t>
      </w:r>
      <w:r w:rsidR="00F46860" w:rsidRPr="00DA0DCD">
        <w:rPr>
          <w:lang w:val="en-US"/>
        </w:rPr>
        <w:t xml:space="preserve">research. As </w:t>
      </w:r>
      <w:r w:rsidRPr="00DA0DCD">
        <w:rPr>
          <w:lang w:val="en-US"/>
        </w:rPr>
        <w:t xml:space="preserve">shown in </w:t>
      </w:r>
      <w:r w:rsidR="00947A7D" w:rsidRPr="00DA0DCD">
        <w:rPr>
          <w:lang w:val="en-US"/>
        </w:rPr>
        <w:t>paragraph</w:t>
      </w:r>
      <w:r w:rsidRPr="00DA0DCD">
        <w:rPr>
          <w:color w:val="FF0000"/>
          <w:lang w:val="en-US"/>
        </w:rPr>
        <w:t xml:space="preserve"> </w:t>
      </w:r>
      <w:r w:rsidR="000345FD" w:rsidRPr="00ED2BA8">
        <w:rPr>
          <w:lang w:val="en-US"/>
        </w:rPr>
        <w:t>4</w:t>
      </w:r>
      <w:r w:rsidR="00F46860" w:rsidRPr="00ED2BA8">
        <w:rPr>
          <w:lang w:val="en-US"/>
        </w:rPr>
        <w:t>.</w:t>
      </w:r>
      <w:r w:rsidR="000345FD" w:rsidRPr="00ED2BA8">
        <w:rPr>
          <w:lang w:val="en-US"/>
        </w:rPr>
        <w:t>5</w:t>
      </w:r>
      <w:r w:rsidR="001378DC" w:rsidRPr="00ED2BA8">
        <w:rPr>
          <w:lang w:val="en-US"/>
        </w:rPr>
        <w:t>,</w:t>
      </w:r>
      <w:r w:rsidR="00F46860" w:rsidRPr="00DA0DCD">
        <w:rPr>
          <w:lang w:val="en-US"/>
        </w:rPr>
        <w:t xml:space="preserve"> </w:t>
      </w:r>
      <w:r w:rsidR="001378DC" w:rsidRPr="00DA0DCD">
        <w:rPr>
          <w:lang w:val="en-US"/>
        </w:rPr>
        <w:t>t</w:t>
      </w:r>
      <w:r w:rsidR="00F46860" w:rsidRPr="00DA0DCD">
        <w:rPr>
          <w:lang w:val="en-US"/>
        </w:rPr>
        <w:t>he pro-cyclical effect of FVA has an effect on the ratios of banks. These ratios decline due to the illiquidity of markets for financial instruments. Basel II requi</w:t>
      </w:r>
      <w:r w:rsidR="00AC557C" w:rsidRPr="00DA0DCD">
        <w:rPr>
          <w:lang w:val="en-US"/>
        </w:rPr>
        <w:t>res banks to meet minimum ratio</w:t>
      </w:r>
      <w:r w:rsidR="00F46860" w:rsidRPr="00DA0DCD">
        <w:rPr>
          <w:lang w:val="en-US"/>
        </w:rPr>
        <w:t xml:space="preserve">s. When banks fall below these </w:t>
      </w:r>
      <w:r w:rsidR="00E7780C" w:rsidRPr="00DA0DCD">
        <w:rPr>
          <w:lang w:val="en-US"/>
        </w:rPr>
        <w:t>ratios,</w:t>
      </w:r>
      <w:r w:rsidR="00F46860" w:rsidRPr="00DA0DCD">
        <w:rPr>
          <w:lang w:val="en-US"/>
        </w:rPr>
        <w:t xml:space="preserve"> they face </w:t>
      </w:r>
      <w:r w:rsidR="00E7780C" w:rsidRPr="00DA0DCD">
        <w:rPr>
          <w:lang w:val="en-US"/>
        </w:rPr>
        <w:t>many</w:t>
      </w:r>
      <w:r w:rsidR="00F46860" w:rsidRPr="00DA0DCD">
        <w:rPr>
          <w:lang w:val="en-US"/>
        </w:rPr>
        <w:t xml:space="preserve"> problems and have to get helped by other banks or the government. Other </w:t>
      </w:r>
      <w:r w:rsidR="00E7780C">
        <w:rPr>
          <w:lang w:val="en-US"/>
        </w:rPr>
        <w:t>types</w:t>
      </w:r>
      <w:r w:rsidR="00F46860" w:rsidRPr="00DA0DCD">
        <w:rPr>
          <w:lang w:val="en-US"/>
        </w:rPr>
        <w:t xml:space="preserve"> of companies do not have to deal with these ratios and therefore it is less important for them to have a minimum (risk-based) capital. FVA has a bad influence on </w:t>
      </w:r>
      <w:r w:rsidR="00AC557C" w:rsidRPr="00DA0DCD">
        <w:rPr>
          <w:lang w:val="en-US"/>
        </w:rPr>
        <w:t>capital</w:t>
      </w:r>
      <w:r w:rsidR="00F46860" w:rsidRPr="00DA0DCD">
        <w:rPr>
          <w:lang w:val="en-US"/>
        </w:rPr>
        <w:t xml:space="preserve"> ratios in times of a </w:t>
      </w:r>
      <w:r w:rsidR="00AC557C" w:rsidRPr="00DA0DCD">
        <w:rPr>
          <w:lang w:val="en-US"/>
        </w:rPr>
        <w:t xml:space="preserve">financial </w:t>
      </w:r>
      <w:r w:rsidR="00F46860" w:rsidRPr="00DA0DCD">
        <w:rPr>
          <w:lang w:val="en-US"/>
        </w:rPr>
        <w:t xml:space="preserve">crisis and therefore a </w:t>
      </w:r>
      <w:r w:rsidR="00AC557C" w:rsidRPr="00DA0DCD">
        <w:rPr>
          <w:lang w:val="en-US"/>
        </w:rPr>
        <w:t xml:space="preserve">reclassification option </w:t>
      </w:r>
      <w:r w:rsidR="00F46860" w:rsidRPr="00DA0DCD">
        <w:rPr>
          <w:lang w:val="en-US"/>
        </w:rPr>
        <w:t xml:space="preserve">of the </w:t>
      </w:r>
      <w:r w:rsidR="00AC557C" w:rsidRPr="00DA0DCD">
        <w:rPr>
          <w:lang w:val="en-US"/>
        </w:rPr>
        <w:t>financial instruments</w:t>
      </w:r>
      <w:r w:rsidR="00F46860" w:rsidRPr="00DA0DCD">
        <w:rPr>
          <w:lang w:val="en-US"/>
        </w:rPr>
        <w:t xml:space="preserve"> might have a different impact on</w:t>
      </w:r>
      <w:r w:rsidR="00AC557C" w:rsidRPr="00DA0DCD">
        <w:rPr>
          <w:lang w:val="en-US"/>
        </w:rPr>
        <w:t xml:space="preserve"> the securities of</w:t>
      </w:r>
      <w:r w:rsidR="00F46860" w:rsidRPr="00DA0DCD">
        <w:rPr>
          <w:lang w:val="en-US"/>
        </w:rPr>
        <w:t xml:space="preserve"> banks compared to insurance companies.</w:t>
      </w:r>
      <w:r w:rsidR="000443F0" w:rsidRPr="00DA0DCD">
        <w:rPr>
          <w:u w:val="single"/>
          <w:lang w:val="en-US"/>
        </w:rPr>
        <w:t xml:space="preserve"> </w:t>
      </w:r>
    </w:p>
    <w:p w:rsidR="00695405" w:rsidRPr="00DA0DCD" w:rsidRDefault="00695405" w:rsidP="00695405">
      <w:pPr>
        <w:pStyle w:val="Kop3"/>
        <w:numPr>
          <w:ilvl w:val="2"/>
          <w:numId w:val="14"/>
        </w:numPr>
        <w:rPr>
          <w:lang w:val="en-US"/>
        </w:rPr>
      </w:pPr>
      <w:bookmarkStart w:id="17" w:name="_Toc270770562"/>
      <w:r w:rsidRPr="00DA0DCD">
        <w:rPr>
          <w:lang w:val="en-US"/>
        </w:rPr>
        <w:t>Solvency</w:t>
      </w:r>
      <w:r w:rsidR="002A26B9" w:rsidRPr="00DA0DCD">
        <w:rPr>
          <w:lang w:val="en-US"/>
        </w:rPr>
        <w:t xml:space="preserve"> requirements</w:t>
      </w:r>
      <w:bookmarkEnd w:id="17"/>
    </w:p>
    <w:p w:rsidR="00912D8C" w:rsidRPr="00DA0DCD" w:rsidRDefault="000443F0" w:rsidP="009E50B0">
      <w:pPr>
        <w:rPr>
          <w:color w:val="FF0000"/>
          <w:lang w:val="en-US"/>
        </w:rPr>
      </w:pPr>
      <w:r w:rsidRPr="00DA0DCD">
        <w:rPr>
          <w:lang w:val="en-US"/>
        </w:rPr>
        <w:t xml:space="preserve">Since the 1970s the </w:t>
      </w:r>
      <w:r w:rsidR="005F038C" w:rsidRPr="00DA0DCD">
        <w:rPr>
          <w:lang w:val="en-US"/>
        </w:rPr>
        <w:t>S</w:t>
      </w:r>
      <w:r w:rsidRPr="00DA0DCD">
        <w:rPr>
          <w:lang w:val="en-US"/>
        </w:rPr>
        <w:t>olvency margin on insurance companies are placed</w:t>
      </w:r>
      <w:r w:rsidR="001E7740" w:rsidRPr="00DA0DCD">
        <w:rPr>
          <w:lang w:val="en-US"/>
        </w:rPr>
        <w:t xml:space="preserve">. </w:t>
      </w:r>
      <w:r w:rsidR="009F6D7C" w:rsidRPr="00DA0DCD">
        <w:rPr>
          <w:lang w:val="en-US"/>
        </w:rPr>
        <w:t>This margin is acknowledged in th</w:t>
      </w:r>
      <w:r w:rsidR="005F038C" w:rsidRPr="00DA0DCD">
        <w:rPr>
          <w:lang w:val="en-US"/>
        </w:rPr>
        <w:t>e adopted directives, that the S</w:t>
      </w:r>
      <w:r w:rsidR="009F6D7C" w:rsidRPr="00DA0DCD">
        <w:rPr>
          <w:lang w:val="en-US"/>
        </w:rPr>
        <w:t>olvency rules should be reviewed, by the European Commission in 1990. In 2002 a limited reform was agreed by the Council and the Europeans Parliament.</w:t>
      </w:r>
      <w:r w:rsidR="001E7740" w:rsidRPr="00DA0DCD">
        <w:rPr>
          <w:rStyle w:val="Voetnootmarkering"/>
          <w:lang w:val="en-US"/>
        </w:rPr>
        <w:footnoteReference w:id="11"/>
      </w:r>
      <w:r w:rsidR="009F6D7C" w:rsidRPr="00DA0DCD">
        <w:rPr>
          <w:lang w:val="en-US"/>
        </w:rPr>
        <w:t xml:space="preserve"> </w:t>
      </w:r>
      <w:r w:rsidR="005F038C" w:rsidRPr="00DA0DCD">
        <w:rPr>
          <w:lang w:val="en-US"/>
        </w:rPr>
        <w:t>The S</w:t>
      </w:r>
      <w:r w:rsidR="002D31FB" w:rsidRPr="00DA0DCD">
        <w:rPr>
          <w:lang w:val="en-US"/>
        </w:rPr>
        <w:t xml:space="preserve">olvency margin is the amount of regulatory capital that </w:t>
      </w:r>
      <w:r w:rsidR="00341FB5" w:rsidRPr="00DA0DCD">
        <w:rPr>
          <w:lang w:val="en-US"/>
        </w:rPr>
        <w:t>insurance companies are</w:t>
      </w:r>
      <w:r w:rsidR="00DE2B5D" w:rsidRPr="00DA0DCD">
        <w:rPr>
          <w:lang w:val="en-US"/>
        </w:rPr>
        <w:t xml:space="preserve"> obligated to hold for unforeseeable events</w:t>
      </w:r>
      <w:r w:rsidR="009A60A3" w:rsidRPr="00DA0DCD">
        <w:rPr>
          <w:lang w:val="en-US"/>
        </w:rPr>
        <w:t xml:space="preserve"> such as higher than expected level of claims levels or </w:t>
      </w:r>
      <w:r w:rsidR="004B54D5" w:rsidRPr="00DA0DCD">
        <w:rPr>
          <w:lang w:val="en-US"/>
        </w:rPr>
        <w:t>unfavorable</w:t>
      </w:r>
      <w:r w:rsidR="009A60A3" w:rsidRPr="00DA0DCD">
        <w:rPr>
          <w:lang w:val="en-US"/>
        </w:rPr>
        <w:t xml:space="preserve"> investment results</w:t>
      </w:r>
      <w:r w:rsidR="001E7740" w:rsidRPr="00DA0DCD">
        <w:rPr>
          <w:lang w:val="en-US"/>
        </w:rPr>
        <w:t>.</w:t>
      </w:r>
      <w:r w:rsidR="001E7740" w:rsidRPr="00DA0DCD">
        <w:rPr>
          <w:rStyle w:val="Voetnootmarkering"/>
          <w:lang w:val="en-US"/>
        </w:rPr>
        <w:footnoteReference w:id="12"/>
      </w:r>
      <w:r w:rsidR="002A26B9" w:rsidRPr="00DA0DCD">
        <w:rPr>
          <w:color w:val="FF0000"/>
          <w:lang w:val="en-US"/>
        </w:rPr>
        <w:t xml:space="preserve"> </w:t>
      </w:r>
      <w:r w:rsidR="005F038C" w:rsidRPr="00DA0DCD">
        <w:rPr>
          <w:lang w:val="en-US"/>
        </w:rPr>
        <w:t>A minimal S</w:t>
      </w:r>
      <w:r w:rsidR="009274EC" w:rsidRPr="00DA0DCD">
        <w:rPr>
          <w:lang w:val="en-US"/>
        </w:rPr>
        <w:t xml:space="preserve">olvency margin should be maintained as recognized own funds. Insurers can cover in this way </w:t>
      </w:r>
      <w:r w:rsidR="004B54D5" w:rsidRPr="00DA0DCD">
        <w:rPr>
          <w:lang w:val="en-US"/>
        </w:rPr>
        <w:t>possible losses of their assets</w:t>
      </w:r>
      <w:r w:rsidR="009274EC" w:rsidRPr="00DA0DCD">
        <w:rPr>
          <w:lang w:val="en-US"/>
        </w:rPr>
        <w:t>.</w:t>
      </w:r>
      <w:r w:rsidR="004B54D5" w:rsidRPr="00DA0DCD">
        <w:rPr>
          <w:rStyle w:val="Voetnootmarkering"/>
          <w:lang w:val="en-US"/>
        </w:rPr>
        <w:footnoteReference w:id="13"/>
      </w:r>
      <w:r w:rsidR="009274EC" w:rsidRPr="00DA0DCD">
        <w:rPr>
          <w:lang w:val="en-US"/>
        </w:rPr>
        <w:t xml:space="preserve"> </w:t>
      </w:r>
      <w:r w:rsidR="005F038C" w:rsidRPr="00DA0DCD">
        <w:rPr>
          <w:lang w:val="en-US"/>
        </w:rPr>
        <w:t>The minimal available S</w:t>
      </w:r>
      <w:r w:rsidR="00912D8C" w:rsidRPr="00DA0DCD">
        <w:rPr>
          <w:lang w:val="en-US"/>
        </w:rPr>
        <w:t>olvency of insurance companies is related to the size of the insurer</w:t>
      </w:r>
      <w:r w:rsidR="009F6D7C" w:rsidRPr="00DA0DCD">
        <w:rPr>
          <w:lang w:val="en-US"/>
        </w:rPr>
        <w:t xml:space="preserve">. The calculation </w:t>
      </w:r>
      <w:r w:rsidR="005F038C" w:rsidRPr="00DA0DCD">
        <w:rPr>
          <w:lang w:val="en-US"/>
        </w:rPr>
        <w:t>of the minimum S</w:t>
      </w:r>
      <w:r w:rsidR="009F6D7C" w:rsidRPr="00DA0DCD">
        <w:rPr>
          <w:lang w:val="en-US"/>
        </w:rPr>
        <w:t>olvency differ among category of insurer (life, non-life, etc) because of the difference in risk profile of this categories.</w:t>
      </w:r>
      <w:r w:rsidR="004B54D5" w:rsidRPr="00DA0DCD">
        <w:rPr>
          <w:rStyle w:val="Voetnootmarkering"/>
          <w:lang w:val="en-US"/>
        </w:rPr>
        <w:footnoteReference w:id="14"/>
      </w:r>
    </w:p>
    <w:p w:rsidR="0062529B" w:rsidRPr="00DA0DCD" w:rsidRDefault="0062529B" w:rsidP="009E50B0">
      <w:pPr>
        <w:rPr>
          <w:lang w:val="en-US"/>
        </w:rPr>
      </w:pPr>
      <w:r w:rsidRPr="00DA0DCD">
        <w:rPr>
          <w:lang w:val="en-US"/>
        </w:rPr>
        <w:t xml:space="preserve">The </w:t>
      </w:r>
      <w:r w:rsidR="00B33BAA" w:rsidRPr="00DA0DCD">
        <w:rPr>
          <w:lang w:val="en-US"/>
        </w:rPr>
        <w:t>calculation</w:t>
      </w:r>
      <w:r w:rsidRPr="00DA0DCD">
        <w:rPr>
          <w:lang w:val="en-US"/>
        </w:rPr>
        <w:t xml:space="preserve"> of the regulatory capital is based on the financial statements of the insurance companies. </w:t>
      </w:r>
      <w:r w:rsidR="007A2CE6" w:rsidRPr="00DA0DCD">
        <w:rPr>
          <w:lang w:val="en-US"/>
        </w:rPr>
        <w:t xml:space="preserve">Thereby single-track reporting and prudential filters are used. Single-track reporting means that a single set of accounting rules is used to draw up financial statements and prudential returns. The prudential filters limit the undesirable effects on the calculation of the capital requirements. The </w:t>
      </w:r>
      <w:r w:rsidR="00912D8C" w:rsidRPr="00DA0DCD">
        <w:rPr>
          <w:lang w:val="en-US"/>
        </w:rPr>
        <w:t>introduction of the prudential filters is</w:t>
      </w:r>
      <w:r w:rsidR="007A2CE6" w:rsidRPr="00DA0DCD">
        <w:rPr>
          <w:lang w:val="en-US"/>
        </w:rPr>
        <w:t xml:space="preserve"> accompanied with the introduction of </w:t>
      </w:r>
      <w:r w:rsidR="00912D8C" w:rsidRPr="00DA0DCD">
        <w:rPr>
          <w:lang w:val="en-US"/>
        </w:rPr>
        <w:t>IFRS, which include the extensions of measurement at market value.</w:t>
      </w:r>
    </w:p>
    <w:p w:rsidR="00BF74D3" w:rsidRPr="00DA0DCD" w:rsidRDefault="00BF74D3" w:rsidP="00BF74D3">
      <w:pPr>
        <w:pStyle w:val="Kop2"/>
        <w:numPr>
          <w:ilvl w:val="1"/>
          <w:numId w:val="14"/>
        </w:numPr>
        <w:rPr>
          <w:lang w:val="en-US"/>
        </w:rPr>
      </w:pPr>
      <w:bookmarkStart w:id="18" w:name="_Toc270770563"/>
      <w:r w:rsidRPr="00DA0DCD">
        <w:rPr>
          <w:lang w:val="en-US"/>
        </w:rPr>
        <w:t>Corporate governance regulation</w:t>
      </w:r>
      <w:bookmarkEnd w:id="18"/>
    </w:p>
    <w:p w:rsidR="007C1DBF" w:rsidRPr="00DA0DCD" w:rsidRDefault="0023422C" w:rsidP="004C7086">
      <w:pPr>
        <w:rPr>
          <w:lang w:val="en-US"/>
        </w:rPr>
      </w:pPr>
      <w:r w:rsidRPr="00DA0DCD">
        <w:rPr>
          <w:lang w:val="en-US"/>
        </w:rPr>
        <w:t xml:space="preserve">In the </w:t>
      </w:r>
      <w:r w:rsidR="00947A7D" w:rsidRPr="00DA0DCD">
        <w:rPr>
          <w:lang w:val="en-US"/>
        </w:rPr>
        <w:t>paragraph</w:t>
      </w:r>
      <w:r w:rsidRPr="00DA0DCD">
        <w:rPr>
          <w:lang w:val="en-US"/>
        </w:rPr>
        <w:t xml:space="preserve"> 2.7 is shown that the situation concerning the relaxation of FVA dif</w:t>
      </w:r>
      <w:r w:rsidR="0046232C" w:rsidRPr="00DA0DCD">
        <w:rPr>
          <w:lang w:val="en-US"/>
        </w:rPr>
        <w:t xml:space="preserve">fers between the US and Europe. Because of this difference, there could be a different capital market reaction on the announcements of introducing the reclassification option in Europe. In addition, another factor that may indicate a different capital market reaction between Europe and the US is corporate governance regulation. </w:t>
      </w:r>
      <w:r w:rsidR="00914FA0" w:rsidRPr="00DA0DCD">
        <w:rPr>
          <w:lang w:val="en-US"/>
        </w:rPr>
        <w:t>Therefore,</w:t>
      </w:r>
      <w:r w:rsidR="0046232C" w:rsidRPr="00DA0DCD">
        <w:rPr>
          <w:lang w:val="en-US"/>
        </w:rPr>
        <w:t xml:space="preserve"> the differences in corporate governance regulation</w:t>
      </w:r>
      <w:r w:rsidR="00914FA0" w:rsidRPr="00DA0DCD">
        <w:rPr>
          <w:lang w:val="en-US"/>
        </w:rPr>
        <w:t xml:space="preserve"> </w:t>
      </w:r>
      <w:r w:rsidR="0046232C" w:rsidRPr="00DA0DCD">
        <w:rPr>
          <w:lang w:val="en-US"/>
        </w:rPr>
        <w:t>is presented here.</w:t>
      </w:r>
      <w:r w:rsidR="004C7086" w:rsidRPr="00DA0DCD">
        <w:rPr>
          <w:lang w:val="en-US"/>
        </w:rPr>
        <w:t xml:space="preserve"> </w:t>
      </w:r>
      <w:r w:rsidR="00E5634D" w:rsidRPr="00DA0DCD">
        <w:rPr>
          <w:lang w:val="en-US"/>
        </w:rPr>
        <w:t>Before describing corporate governance rules, first will be started with the definition: “</w:t>
      </w:r>
      <w:r w:rsidR="00D377F8" w:rsidRPr="00DA0DCD">
        <w:rPr>
          <w:lang w:val="en-US"/>
        </w:rPr>
        <w:t xml:space="preserve">effectively delineating the rights and responsibilities of each group of stakeholders in the company” (Ho and </w:t>
      </w:r>
      <w:r w:rsidR="00D377F8" w:rsidRPr="00DA0DCD">
        <w:rPr>
          <w:lang w:val="en-US"/>
        </w:rPr>
        <w:lastRenderedPageBreak/>
        <w:t xml:space="preserve">Wong, 2001). </w:t>
      </w:r>
      <w:r w:rsidR="00892C24" w:rsidRPr="00DA0DCD">
        <w:rPr>
          <w:lang w:val="en-US"/>
        </w:rPr>
        <w:t>So, c</w:t>
      </w:r>
      <w:r w:rsidR="00F372E3" w:rsidRPr="00DA0DCD">
        <w:rPr>
          <w:lang w:val="en-US"/>
        </w:rPr>
        <w:t xml:space="preserve">orporate governance is </w:t>
      </w:r>
      <w:r w:rsidR="00892C24" w:rsidRPr="00DA0DCD">
        <w:rPr>
          <w:lang w:val="en-US"/>
        </w:rPr>
        <w:t xml:space="preserve">a mechanism that reduce the agency problem between the principal (stakeholders) and agent (managers) of a firm. There is regulation for the protection of the position of shareholders (stakeholders). </w:t>
      </w:r>
      <w:r w:rsidR="00041349" w:rsidRPr="00DA0DCD">
        <w:rPr>
          <w:lang w:val="en-US"/>
        </w:rPr>
        <w:t xml:space="preserve">The regulation differs </w:t>
      </w:r>
      <w:r w:rsidR="00756CCD">
        <w:rPr>
          <w:lang w:val="en-US"/>
        </w:rPr>
        <w:t>throughout different</w:t>
      </w:r>
      <w:r w:rsidR="00041349" w:rsidRPr="00DA0DCD">
        <w:rPr>
          <w:lang w:val="en-US"/>
        </w:rPr>
        <w:t xml:space="preserve"> jurisdictions. </w:t>
      </w:r>
    </w:p>
    <w:p w:rsidR="00357276" w:rsidRPr="00DA0DCD" w:rsidRDefault="004C2166" w:rsidP="004C7086">
      <w:pPr>
        <w:rPr>
          <w:lang w:val="en-US"/>
        </w:rPr>
      </w:pPr>
      <w:r w:rsidRPr="00DA0DCD">
        <w:rPr>
          <w:lang w:val="en-US"/>
        </w:rPr>
        <w:t>In the US</w:t>
      </w:r>
      <w:r w:rsidR="000C3C74" w:rsidRPr="00DA0DCD">
        <w:rPr>
          <w:lang w:val="en-US"/>
        </w:rPr>
        <w:t xml:space="preserve"> there </w:t>
      </w:r>
      <w:r w:rsidR="00E91A08" w:rsidRPr="00DA0DCD">
        <w:rPr>
          <w:lang w:val="en-US"/>
        </w:rPr>
        <w:t>ca</w:t>
      </w:r>
      <w:r w:rsidR="00153653" w:rsidRPr="00DA0DCD">
        <w:rPr>
          <w:lang w:val="en-US"/>
        </w:rPr>
        <w:t>me more attention for</w:t>
      </w:r>
      <w:r w:rsidRPr="00DA0DCD">
        <w:rPr>
          <w:lang w:val="en-US"/>
        </w:rPr>
        <w:t xml:space="preserve"> corporate </w:t>
      </w:r>
      <w:r w:rsidR="00E91A08" w:rsidRPr="00DA0DCD">
        <w:rPr>
          <w:lang w:val="en-US"/>
        </w:rPr>
        <w:t>governance by</w:t>
      </w:r>
      <w:r w:rsidR="00153653" w:rsidRPr="00DA0DCD">
        <w:rPr>
          <w:lang w:val="en-US"/>
        </w:rPr>
        <w:t xml:space="preserve"> shareholders and the government, because of the massive bankruptcies (Enron, Worldcom) and corporate debacles (Arthur Andersen</w:t>
      </w:r>
      <w:r w:rsidR="00F2395F" w:rsidRPr="00DA0DCD">
        <w:rPr>
          <w:lang w:val="en-US"/>
        </w:rPr>
        <w:t>)</w:t>
      </w:r>
      <w:r w:rsidR="00153653" w:rsidRPr="00DA0DCD">
        <w:rPr>
          <w:lang w:val="en-US"/>
        </w:rPr>
        <w:t xml:space="preserve">. To </w:t>
      </w:r>
      <w:r w:rsidR="009B6861" w:rsidRPr="00DA0DCD">
        <w:rPr>
          <w:lang w:val="en-US"/>
        </w:rPr>
        <w:t xml:space="preserve">restore public confidence </w:t>
      </w:r>
      <w:r w:rsidR="00764ED0" w:rsidRPr="00DA0DCD">
        <w:rPr>
          <w:lang w:val="en-US"/>
        </w:rPr>
        <w:t xml:space="preserve">in corporate governance and </w:t>
      </w:r>
      <w:r w:rsidR="009B6861" w:rsidRPr="00DA0DCD">
        <w:rPr>
          <w:lang w:val="en-US"/>
        </w:rPr>
        <w:t xml:space="preserve">for the </w:t>
      </w:r>
      <w:r w:rsidR="00764ED0" w:rsidRPr="00DA0DCD">
        <w:rPr>
          <w:lang w:val="en-US"/>
        </w:rPr>
        <w:t>protection of shareholders, the US go</w:t>
      </w:r>
      <w:r w:rsidR="009B6861" w:rsidRPr="00DA0DCD">
        <w:rPr>
          <w:lang w:val="en-US"/>
        </w:rPr>
        <w:t>ve</w:t>
      </w:r>
      <w:r w:rsidR="00764ED0" w:rsidRPr="00DA0DCD">
        <w:rPr>
          <w:lang w:val="en-US"/>
        </w:rPr>
        <w:t xml:space="preserve">rnment decided to implement the Sarbanes Oxley act in 2002 (SOX). </w:t>
      </w:r>
      <w:r w:rsidR="00357276" w:rsidRPr="00DA0DCD">
        <w:rPr>
          <w:lang w:val="en-US"/>
        </w:rPr>
        <w:t>S</w:t>
      </w:r>
      <w:r w:rsidR="007C1DBF" w:rsidRPr="00DA0DCD">
        <w:rPr>
          <w:lang w:val="en-US"/>
        </w:rPr>
        <w:t>OX</w:t>
      </w:r>
      <w:r w:rsidR="00357276" w:rsidRPr="00DA0DCD">
        <w:rPr>
          <w:lang w:val="en-US"/>
        </w:rPr>
        <w:t xml:space="preserve"> regulation affected the responsibilities of boards of directors, corporate managers and </w:t>
      </w:r>
      <w:r w:rsidR="00E91A08" w:rsidRPr="00DA0DCD">
        <w:rPr>
          <w:lang w:val="en-US"/>
        </w:rPr>
        <w:t xml:space="preserve">public </w:t>
      </w:r>
      <w:r w:rsidR="00357276" w:rsidRPr="00DA0DCD">
        <w:rPr>
          <w:lang w:val="en-US"/>
        </w:rPr>
        <w:t xml:space="preserve">auditors in relation with financial reporting. </w:t>
      </w:r>
      <w:r w:rsidR="00E43F70" w:rsidRPr="00DA0DCD">
        <w:rPr>
          <w:lang w:val="en-US"/>
        </w:rPr>
        <w:t>The act established</w:t>
      </w:r>
      <w:r w:rsidR="004C1BB1" w:rsidRPr="00DA0DCD">
        <w:rPr>
          <w:lang w:val="en-US"/>
        </w:rPr>
        <w:t xml:space="preserve"> the Public Companies Accounting Oversight Board (PCAOB) for overseeing external auditing and corporate governance issues that potentially affect the reliability of financial reporting.</w:t>
      </w:r>
      <w:r w:rsidR="00E91A08" w:rsidRPr="00DA0DCD">
        <w:rPr>
          <w:lang w:val="en-US"/>
        </w:rPr>
        <w:t xml:space="preserve"> The responsibilities of corporate managers is increased for producing reliable reports.</w:t>
      </w:r>
      <w:r w:rsidR="004C1BB1" w:rsidRPr="00DA0DCD">
        <w:rPr>
          <w:lang w:val="en-US"/>
        </w:rPr>
        <w:t xml:space="preserve"> </w:t>
      </w:r>
      <w:r w:rsidR="00E91A08" w:rsidRPr="00DA0DCD">
        <w:rPr>
          <w:lang w:val="en-US"/>
        </w:rPr>
        <w:t>For instance, CEO and CFO must sign the financial report and must state that the</w:t>
      </w:r>
      <w:r w:rsidR="00756CCD">
        <w:rPr>
          <w:lang w:val="en-US"/>
        </w:rPr>
        <w:t xml:space="preserve"> a</w:t>
      </w:r>
      <w:r w:rsidR="00E91A08" w:rsidRPr="00DA0DCD">
        <w:rPr>
          <w:lang w:val="en-US"/>
        </w:rPr>
        <w:t>r</w:t>
      </w:r>
      <w:r w:rsidR="00756CCD">
        <w:rPr>
          <w:lang w:val="en-US"/>
        </w:rPr>
        <w:t>e</w:t>
      </w:r>
      <w:r w:rsidR="00E91A08" w:rsidRPr="00DA0DCD">
        <w:rPr>
          <w:lang w:val="en-US"/>
        </w:rPr>
        <w:t xml:space="preserve"> responsible for a sound system of internal control and assess the effectiveness of those controls.</w:t>
      </w:r>
      <w:r w:rsidR="004C7086" w:rsidRPr="00DA0DCD">
        <w:rPr>
          <w:lang w:val="en-US"/>
        </w:rPr>
        <w:t xml:space="preserve"> The CEO and CFO are severally reliable for falsely certifying the financial statements.</w:t>
      </w:r>
      <w:r w:rsidR="00E91A08" w:rsidRPr="00DA0DCD">
        <w:rPr>
          <w:lang w:val="en-US"/>
        </w:rPr>
        <w:t xml:space="preserve"> For external auditors the act specify restrictions on activities to increase their independence.</w:t>
      </w:r>
      <w:r w:rsidR="004C7086" w:rsidRPr="00DA0DCD">
        <w:rPr>
          <w:rStyle w:val="Voetnootmarkering"/>
          <w:lang w:val="en-US"/>
        </w:rPr>
        <w:footnoteReference w:id="15"/>
      </w:r>
      <w:r w:rsidR="004C7086" w:rsidRPr="00DA0DCD">
        <w:rPr>
          <w:lang w:val="en-US"/>
        </w:rPr>
        <w:t xml:space="preserve"> So, corporate governance </w:t>
      </w:r>
      <w:r w:rsidR="00535F54" w:rsidRPr="00DA0DCD">
        <w:rPr>
          <w:lang w:val="en-US"/>
        </w:rPr>
        <w:t xml:space="preserve">in the US </w:t>
      </w:r>
      <w:r w:rsidR="004C7086" w:rsidRPr="00DA0DCD">
        <w:rPr>
          <w:lang w:val="en-US"/>
        </w:rPr>
        <w:t xml:space="preserve">under the Sarbanes-Oxley act is </w:t>
      </w:r>
      <w:r w:rsidR="00535F54" w:rsidRPr="00DA0DCD">
        <w:rPr>
          <w:lang w:val="en-US"/>
        </w:rPr>
        <w:t>mandatory</w:t>
      </w:r>
      <w:r w:rsidR="004C7086" w:rsidRPr="00DA0DCD">
        <w:rPr>
          <w:lang w:val="en-US"/>
        </w:rPr>
        <w:t xml:space="preserve"> for public firms and is enforced by law.</w:t>
      </w:r>
    </w:p>
    <w:p w:rsidR="00C960D0" w:rsidRPr="00DA0DCD" w:rsidRDefault="00C960D0" w:rsidP="004C7086">
      <w:pPr>
        <w:rPr>
          <w:lang w:val="en-US"/>
        </w:rPr>
      </w:pPr>
      <w:r w:rsidRPr="00DA0DCD">
        <w:rPr>
          <w:lang w:val="en-US"/>
        </w:rPr>
        <w:t xml:space="preserve">In Europe there </w:t>
      </w:r>
      <w:r w:rsidR="002A67AD" w:rsidRPr="00DA0DCD">
        <w:rPr>
          <w:lang w:val="en-US"/>
        </w:rPr>
        <w:t xml:space="preserve">are many jurisdictions where codes or guidelines of corporate governance have been introduced. </w:t>
      </w:r>
      <w:r w:rsidR="002E21C9" w:rsidRPr="00DA0DCD">
        <w:rPr>
          <w:lang w:val="en-US"/>
        </w:rPr>
        <w:t>However,</w:t>
      </w:r>
      <w:r w:rsidR="0050396D" w:rsidRPr="00DA0DCD">
        <w:rPr>
          <w:lang w:val="en-US"/>
        </w:rPr>
        <w:t xml:space="preserve"> the codes or </w:t>
      </w:r>
      <w:r w:rsidR="00756CCD" w:rsidRPr="00DA0DCD">
        <w:rPr>
          <w:lang w:val="en-US"/>
        </w:rPr>
        <w:t>guidelines are</w:t>
      </w:r>
      <w:r w:rsidR="0050396D" w:rsidRPr="00DA0DCD">
        <w:rPr>
          <w:lang w:val="en-US"/>
        </w:rPr>
        <w:t xml:space="preserve"> in general not as rules based as in the US. </w:t>
      </w:r>
      <w:r w:rsidR="002E21C9" w:rsidRPr="00DA0DCD">
        <w:rPr>
          <w:lang w:val="en-US"/>
        </w:rPr>
        <w:t>In several European countries, code</w:t>
      </w:r>
      <w:r w:rsidR="002F3E40" w:rsidRPr="00DA0DCD">
        <w:rPr>
          <w:lang w:val="en-US"/>
        </w:rPr>
        <w:t>s</w:t>
      </w:r>
      <w:r w:rsidR="002E21C9" w:rsidRPr="00DA0DCD">
        <w:rPr>
          <w:lang w:val="en-US"/>
        </w:rPr>
        <w:t xml:space="preserve"> ha</w:t>
      </w:r>
      <w:r w:rsidR="002F3E40" w:rsidRPr="00DA0DCD">
        <w:rPr>
          <w:lang w:val="en-US"/>
        </w:rPr>
        <w:t>ve</w:t>
      </w:r>
      <w:r w:rsidR="002E21C9" w:rsidRPr="00DA0DCD">
        <w:rPr>
          <w:lang w:val="en-US"/>
        </w:rPr>
        <w:t xml:space="preserve"> a status of recommendations whereby most of the time </w:t>
      </w:r>
      <w:r w:rsidR="00443FD6" w:rsidRPr="00DA0DCD">
        <w:rPr>
          <w:lang w:val="en-US"/>
        </w:rPr>
        <w:t>the code is not mandatory and not enforced by</w:t>
      </w:r>
      <w:r w:rsidR="002E21C9" w:rsidRPr="00DA0DCD">
        <w:rPr>
          <w:lang w:val="en-US"/>
        </w:rPr>
        <w:t xml:space="preserve"> the public authorities. </w:t>
      </w:r>
      <w:r w:rsidR="0050396D" w:rsidRPr="00DA0DCD">
        <w:rPr>
          <w:lang w:val="en-US"/>
        </w:rPr>
        <w:t>Wymeersch (2005) describes</w:t>
      </w:r>
      <w:r w:rsidR="00756CCD">
        <w:rPr>
          <w:lang w:val="en-US"/>
        </w:rPr>
        <w:t xml:space="preserve"> </w:t>
      </w:r>
      <w:r w:rsidR="0050396D" w:rsidRPr="00DA0DCD">
        <w:rPr>
          <w:lang w:val="en-US"/>
        </w:rPr>
        <w:t>about the enforcement of these codes and guidelines: “although in most national company laws, rules on specific aspects of the companies’ governance have always been part of traditional company law, no European jurisdiction</w:t>
      </w:r>
      <w:r w:rsidR="0050396D" w:rsidRPr="00DA0DCD">
        <w:rPr>
          <w:sz w:val="16"/>
          <w:szCs w:val="16"/>
          <w:lang w:val="en-US"/>
        </w:rPr>
        <w:t xml:space="preserve"> </w:t>
      </w:r>
      <w:r w:rsidR="0050396D" w:rsidRPr="00DA0DCD">
        <w:rPr>
          <w:lang w:val="en-US"/>
        </w:rPr>
        <w:t xml:space="preserve">has taken the path of formally laying down full, detailed corporate governance provisions in the law itself, as has happened in the US Sarbanes Oxley Act”. </w:t>
      </w:r>
      <w:r w:rsidR="00756CCD" w:rsidRPr="00DA0DCD">
        <w:rPr>
          <w:lang w:val="en-US"/>
        </w:rPr>
        <w:t>This does</w:t>
      </w:r>
      <w:r w:rsidR="002E21C9" w:rsidRPr="00DA0DCD">
        <w:rPr>
          <w:lang w:val="en-US"/>
        </w:rPr>
        <w:t xml:space="preserve"> not imply </w:t>
      </w:r>
      <w:r w:rsidR="00756CCD">
        <w:rPr>
          <w:lang w:val="en-US"/>
        </w:rPr>
        <w:t>that the European companies act</w:t>
      </w:r>
      <w:r w:rsidR="002E21C9" w:rsidRPr="00DA0DCD">
        <w:rPr>
          <w:lang w:val="en-US"/>
        </w:rPr>
        <w:t xml:space="preserve"> or financial regulation not contain corporate governance provisions. There are many provisions, but disparate national specific provisions like board compensation, audit committee, conflict of interest and internal control. So, ideas of SOX are increasingly adopted </w:t>
      </w:r>
      <w:r w:rsidR="008E00F0" w:rsidRPr="00DA0DCD">
        <w:rPr>
          <w:lang w:val="en-US"/>
        </w:rPr>
        <w:t xml:space="preserve">in European countries. </w:t>
      </w:r>
      <w:r w:rsidR="00187451" w:rsidRPr="00DA0DCD">
        <w:rPr>
          <w:lang w:val="en-US"/>
        </w:rPr>
        <w:t>However,</w:t>
      </w:r>
      <w:r w:rsidR="008E00F0" w:rsidRPr="00DA0DCD">
        <w:rPr>
          <w:lang w:val="en-US"/>
        </w:rPr>
        <w:t xml:space="preserve"> the corporate governance </w:t>
      </w:r>
      <w:r w:rsidR="00187451" w:rsidRPr="00DA0DCD">
        <w:rPr>
          <w:lang w:val="en-US"/>
        </w:rPr>
        <w:t>codes have</w:t>
      </w:r>
      <w:r w:rsidR="008E00F0" w:rsidRPr="00DA0DCD">
        <w:rPr>
          <w:lang w:val="en-US"/>
        </w:rPr>
        <w:t xml:space="preserve"> in most legal systems no specific legal basis (Wymeersch, 2005). In the Netherlands and Germany listed companies have to state whether they apply the corporate governance code or</w:t>
      </w:r>
      <w:r w:rsidR="00756CCD">
        <w:rPr>
          <w:lang w:val="en-US"/>
        </w:rPr>
        <w:t xml:space="preserve"> state</w:t>
      </w:r>
      <w:r w:rsidR="008E00F0" w:rsidRPr="00DA0DCD">
        <w:rPr>
          <w:lang w:val="en-US"/>
        </w:rPr>
        <w:t xml:space="preserve"> the reason for not applying the code.</w:t>
      </w:r>
      <w:r w:rsidR="007C1DBF" w:rsidRPr="00DA0DCD">
        <w:rPr>
          <w:lang w:val="en-US"/>
        </w:rPr>
        <w:t xml:space="preserve"> However,</w:t>
      </w:r>
      <w:r w:rsidR="008E00F0" w:rsidRPr="00DA0DCD">
        <w:rPr>
          <w:lang w:val="en-US"/>
        </w:rPr>
        <w:t xml:space="preserve"> </w:t>
      </w:r>
      <w:r w:rsidR="007C1DBF" w:rsidRPr="00DA0DCD">
        <w:rPr>
          <w:lang w:val="en-US"/>
        </w:rPr>
        <w:t>i</w:t>
      </w:r>
      <w:r w:rsidR="008E00F0" w:rsidRPr="00DA0DCD">
        <w:rPr>
          <w:lang w:val="en-US"/>
        </w:rPr>
        <w:t xml:space="preserve">n the UK, where investors traditionally </w:t>
      </w:r>
      <w:r w:rsidR="007C1DBF" w:rsidRPr="00DA0DCD">
        <w:rPr>
          <w:lang w:val="en-US"/>
        </w:rPr>
        <w:t>have strong legal rights</w:t>
      </w:r>
      <w:r w:rsidR="008E00F0" w:rsidRPr="00DA0DCD">
        <w:rPr>
          <w:lang w:val="en-US"/>
        </w:rPr>
        <w:t xml:space="preserve">, </w:t>
      </w:r>
      <w:r w:rsidR="008D6007" w:rsidRPr="00DA0DCD">
        <w:rPr>
          <w:lang w:val="en-US"/>
        </w:rPr>
        <w:t xml:space="preserve">the code provide rules and is applicable to listed companies. </w:t>
      </w:r>
      <w:r w:rsidR="0034066F" w:rsidRPr="00DA0DCD">
        <w:rPr>
          <w:lang w:val="en-US"/>
        </w:rPr>
        <w:t>Companies have to report how they apply the code in their annual reports and accounts. The code set out standards of good practice on issues like, board composition, remuneration, accountability, audit and relation with shareholders.</w:t>
      </w:r>
      <w:r w:rsidR="00F2395F" w:rsidRPr="00DA0DCD">
        <w:rPr>
          <w:lang w:val="en-US"/>
        </w:rPr>
        <w:t xml:space="preserve"> The Financial Service Authority (FSA) </w:t>
      </w:r>
      <w:r w:rsidR="00644062" w:rsidRPr="00DA0DCD">
        <w:rPr>
          <w:lang w:val="en-US"/>
        </w:rPr>
        <w:t>monitors</w:t>
      </w:r>
      <w:r w:rsidR="00F2395F" w:rsidRPr="00DA0DCD">
        <w:rPr>
          <w:lang w:val="en-US"/>
        </w:rPr>
        <w:t xml:space="preserve"> the enforcement of reporting requirements of the code </w:t>
      </w:r>
      <w:r w:rsidR="00F2395F" w:rsidRPr="00DA0DCD">
        <w:rPr>
          <w:rStyle w:val="Voetnootmarkering"/>
          <w:lang w:val="en-US"/>
        </w:rPr>
        <w:footnoteReference w:id="16"/>
      </w:r>
    </w:p>
    <w:p w:rsidR="00644062" w:rsidRPr="00DA0DCD" w:rsidRDefault="007C1DBF" w:rsidP="004C7086">
      <w:pPr>
        <w:rPr>
          <w:lang w:val="en-US"/>
        </w:rPr>
      </w:pPr>
      <w:r w:rsidRPr="00DA0DCD">
        <w:rPr>
          <w:lang w:val="en-US"/>
        </w:rPr>
        <w:t>Differences in regulation on corporate governance in Europe and the US could give an indication for a different capital market reaction</w:t>
      </w:r>
      <w:r w:rsidR="00CA6026" w:rsidRPr="00DA0DCD">
        <w:rPr>
          <w:lang w:val="en-US"/>
        </w:rPr>
        <w:t xml:space="preserve"> between these regions</w:t>
      </w:r>
      <w:r w:rsidRPr="00DA0DCD">
        <w:rPr>
          <w:lang w:val="en-US"/>
        </w:rPr>
        <w:t xml:space="preserve">. </w:t>
      </w:r>
      <w:r w:rsidR="00644062" w:rsidRPr="00DA0DCD">
        <w:rPr>
          <w:lang w:val="en-US"/>
        </w:rPr>
        <w:t>The</w:t>
      </w:r>
      <w:r w:rsidRPr="00DA0DCD">
        <w:rPr>
          <w:lang w:val="en-US"/>
        </w:rPr>
        <w:t xml:space="preserve"> differences in</w:t>
      </w:r>
      <w:r w:rsidR="00644062" w:rsidRPr="00DA0DCD">
        <w:rPr>
          <w:lang w:val="en-US"/>
        </w:rPr>
        <w:t xml:space="preserve"> enforcement of the corporate governance code </w:t>
      </w:r>
      <w:r w:rsidRPr="00DA0DCD">
        <w:rPr>
          <w:lang w:val="en-US"/>
        </w:rPr>
        <w:t>with</w:t>
      </w:r>
      <w:r w:rsidR="00644062" w:rsidRPr="00DA0DCD">
        <w:rPr>
          <w:lang w:val="en-US"/>
        </w:rPr>
        <w:t xml:space="preserve">in Europe could indicate that the capital market reaction in the UK differs from other </w:t>
      </w:r>
      <w:r w:rsidRPr="00DA0DCD">
        <w:rPr>
          <w:lang w:val="en-US"/>
        </w:rPr>
        <w:t xml:space="preserve">European </w:t>
      </w:r>
      <w:r w:rsidR="00644062" w:rsidRPr="00DA0DCD">
        <w:rPr>
          <w:lang w:val="en-US"/>
        </w:rPr>
        <w:t xml:space="preserve">countries, because of the monitoring FSA and traditionally </w:t>
      </w:r>
      <w:r w:rsidRPr="00DA0DCD">
        <w:rPr>
          <w:lang w:val="en-US"/>
        </w:rPr>
        <w:t xml:space="preserve">the strong </w:t>
      </w:r>
      <w:r w:rsidRPr="00DA0DCD">
        <w:rPr>
          <w:lang w:val="en-US"/>
        </w:rPr>
        <w:lastRenderedPageBreak/>
        <w:t xml:space="preserve">legal rights of </w:t>
      </w:r>
      <w:r w:rsidR="00644062" w:rsidRPr="00DA0DCD">
        <w:rPr>
          <w:lang w:val="en-US"/>
        </w:rPr>
        <w:t>investor</w:t>
      </w:r>
      <w:r w:rsidRPr="00DA0DCD">
        <w:rPr>
          <w:lang w:val="en-US"/>
        </w:rPr>
        <w:t>s</w:t>
      </w:r>
      <w:r w:rsidR="00644062" w:rsidRPr="00DA0DCD">
        <w:rPr>
          <w:lang w:val="en-US"/>
        </w:rPr>
        <w:t>.</w:t>
      </w:r>
      <w:r w:rsidRPr="00DA0DCD">
        <w:rPr>
          <w:lang w:val="en-US"/>
        </w:rPr>
        <w:t xml:space="preserve"> Therefore, the stock price reactions of European countries will also be examined</w:t>
      </w:r>
      <w:r w:rsidR="00756CCD" w:rsidRPr="00756CCD">
        <w:rPr>
          <w:lang w:val="en-US"/>
        </w:rPr>
        <w:t xml:space="preserve"> </w:t>
      </w:r>
      <w:r w:rsidR="00756CCD" w:rsidRPr="00DA0DCD">
        <w:rPr>
          <w:lang w:val="en-US"/>
        </w:rPr>
        <w:t>separate</w:t>
      </w:r>
      <w:r w:rsidR="00756CCD">
        <w:rPr>
          <w:lang w:val="en-US"/>
        </w:rPr>
        <w:t>ly.</w:t>
      </w:r>
    </w:p>
    <w:p w:rsidR="00A83EF9" w:rsidRPr="00DA0DCD" w:rsidRDefault="003C2089" w:rsidP="003C2089">
      <w:pPr>
        <w:pStyle w:val="Kop2"/>
        <w:numPr>
          <w:ilvl w:val="1"/>
          <w:numId w:val="14"/>
        </w:numPr>
        <w:rPr>
          <w:lang w:val="en-US"/>
        </w:rPr>
      </w:pPr>
      <w:bookmarkStart w:id="19" w:name="_Toc270770564"/>
      <w:r w:rsidRPr="00DA0DCD">
        <w:rPr>
          <w:lang w:val="en-US"/>
        </w:rPr>
        <w:t>Conclusion</w:t>
      </w:r>
      <w:bookmarkEnd w:id="19"/>
    </w:p>
    <w:p w:rsidR="004D1277" w:rsidRPr="00DA0DCD" w:rsidRDefault="00955317" w:rsidP="004D1277">
      <w:pPr>
        <w:rPr>
          <w:lang w:val="en-US"/>
        </w:rPr>
      </w:pPr>
      <w:r w:rsidRPr="00DA0DCD">
        <w:rPr>
          <w:lang w:val="en-US"/>
        </w:rPr>
        <w:t>At initial recognition, companies have to measure their financial instruments at fair value. After initial recognition the instruments are categorized. Depending on the category</w:t>
      </w:r>
      <w:r w:rsidR="00756CCD">
        <w:rPr>
          <w:lang w:val="en-US"/>
        </w:rPr>
        <w:t>,</w:t>
      </w:r>
      <w:r w:rsidRPr="00DA0DCD">
        <w:rPr>
          <w:lang w:val="en-US"/>
        </w:rPr>
        <w:t xml:space="preserve"> </w:t>
      </w:r>
      <w:r w:rsidR="002267DA" w:rsidRPr="00DA0DCD">
        <w:rPr>
          <w:lang w:val="en-US"/>
        </w:rPr>
        <w:t>a</w:t>
      </w:r>
      <w:r w:rsidRPr="00DA0DCD">
        <w:rPr>
          <w:lang w:val="en-US"/>
        </w:rPr>
        <w:t xml:space="preserve"> financial instrument </w:t>
      </w:r>
      <w:r w:rsidR="00756CCD">
        <w:rPr>
          <w:lang w:val="en-US"/>
        </w:rPr>
        <w:t>will be</w:t>
      </w:r>
      <w:r w:rsidRPr="00DA0DCD">
        <w:rPr>
          <w:lang w:val="en-US"/>
        </w:rPr>
        <w:t xml:space="preserve"> measured at fair value or amortized costs. At the </w:t>
      </w:r>
      <w:r w:rsidR="002267DA" w:rsidRPr="00DA0DCD">
        <w:rPr>
          <w:lang w:val="en-US"/>
        </w:rPr>
        <w:t>ends of the period companies have</w:t>
      </w:r>
      <w:r w:rsidRPr="00DA0DCD">
        <w:rPr>
          <w:lang w:val="en-US"/>
        </w:rPr>
        <w:t xml:space="preserve"> to review the financial instruments for impairment, except instruments at fair value through profit and loss. </w:t>
      </w:r>
      <w:r w:rsidR="002267DA" w:rsidRPr="00DA0DCD">
        <w:rPr>
          <w:lang w:val="en-US"/>
        </w:rPr>
        <w:t xml:space="preserve">Reclassification of financial instrument was not permitted before the amendment. </w:t>
      </w:r>
      <w:r w:rsidRPr="00DA0DCD">
        <w:rPr>
          <w:lang w:val="en-US"/>
        </w:rPr>
        <w:t xml:space="preserve">During the financial crisis the fair values of financial instrument decreased and </w:t>
      </w:r>
      <w:r w:rsidR="002A5C1A" w:rsidRPr="00DA0DCD">
        <w:rPr>
          <w:lang w:val="en-US"/>
        </w:rPr>
        <w:t>some categories at amortized costs/ fair value had to be impaired. As reaction on the financial crisis in the US the FASB relax</w:t>
      </w:r>
      <w:r w:rsidR="00756CCD">
        <w:rPr>
          <w:lang w:val="en-US"/>
        </w:rPr>
        <w:t>ed</w:t>
      </w:r>
      <w:r w:rsidR="002A5C1A" w:rsidRPr="00DA0DCD">
        <w:rPr>
          <w:lang w:val="en-US"/>
        </w:rPr>
        <w:t xml:space="preserve"> the standard on financial instruments, thereby reclassification was possible</w:t>
      </w:r>
      <w:r w:rsidR="004D1277" w:rsidRPr="00DA0DCD">
        <w:rPr>
          <w:lang w:val="en-US"/>
        </w:rPr>
        <w:t xml:space="preserve"> and the impairment rules were relaxed.</w:t>
      </w:r>
      <w:r w:rsidR="002A5C1A" w:rsidRPr="00DA0DCD">
        <w:rPr>
          <w:lang w:val="en-US"/>
        </w:rPr>
        <w:t xml:space="preserve"> To ensure that financial institutions in Europe are not disadvantaged with respect to international competitors, the IASB had to amend IAS 39 under pressure of </w:t>
      </w:r>
      <w:r w:rsidR="002267DA" w:rsidRPr="00DA0DCD">
        <w:rPr>
          <w:lang w:val="en-US"/>
        </w:rPr>
        <w:t xml:space="preserve">the </w:t>
      </w:r>
      <w:r w:rsidR="002A5C1A" w:rsidRPr="00DA0DCD">
        <w:rPr>
          <w:lang w:val="en-US"/>
        </w:rPr>
        <w:t xml:space="preserve">European Committee. This amendment of IAS 39 </w:t>
      </w:r>
      <w:r w:rsidR="002267DA" w:rsidRPr="00DA0DCD">
        <w:rPr>
          <w:lang w:val="en-US"/>
        </w:rPr>
        <w:t xml:space="preserve">permitted the reclassification of some financial instruments under certain circumstances. </w:t>
      </w:r>
      <w:r w:rsidR="004D1277" w:rsidRPr="00DA0DCD">
        <w:rPr>
          <w:lang w:val="en-US"/>
        </w:rPr>
        <w:t xml:space="preserve">Despite the amendment of IAS 39 the relaxation of fair value accounting in the US is more significant. </w:t>
      </w:r>
      <w:r w:rsidR="00B732EC" w:rsidRPr="00DA0DCD">
        <w:rPr>
          <w:lang w:val="en-US"/>
        </w:rPr>
        <w:t xml:space="preserve">Next, specific regulation on capital requirements of financial institutions are explained for differences between banks and insurance companies. European banks </w:t>
      </w:r>
      <w:r w:rsidR="00857DD2" w:rsidRPr="00DA0DCD">
        <w:rPr>
          <w:lang w:val="en-US"/>
        </w:rPr>
        <w:t xml:space="preserve">must meet </w:t>
      </w:r>
      <w:r w:rsidR="00B732EC" w:rsidRPr="00DA0DCD">
        <w:rPr>
          <w:lang w:val="en-US"/>
        </w:rPr>
        <w:t xml:space="preserve">Basel II and insurance companies </w:t>
      </w:r>
      <w:r w:rsidR="00A61F10" w:rsidRPr="00DA0DCD">
        <w:rPr>
          <w:lang w:val="en-US"/>
        </w:rPr>
        <w:t xml:space="preserve">the </w:t>
      </w:r>
      <w:r w:rsidR="00B732EC" w:rsidRPr="00DA0DCD">
        <w:rPr>
          <w:lang w:val="en-US"/>
        </w:rPr>
        <w:t>Solvency</w:t>
      </w:r>
      <w:r w:rsidR="00A61F10" w:rsidRPr="00DA0DCD">
        <w:rPr>
          <w:lang w:val="en-US"/>
        </w:rPr>
        <w:t xml:space="preserve"> requirements</w:t>
      </w:r>
      <w:r w:rsidR="00B732EC" w:rsidRPr="00DA0DCD">
        <w:rPr>
          <w:lang w:val="en-US"/>
        </w:rPr>
        <w:t xml:space="preserve">. The Basel II </w:t>
      </w:r>
      <w:r w:rsidR="00A61F10" w:rsidRPr="00DA0DCD">
        <w:rPr>
          <w:lang w:val="en-US"/>
        </w:rPr>
        <w:t xml:space="preserve">required capital ratio’s changes due to the change in fair value of financial instruments. </w:t>
      </w:r>
      <w:r w:rsidR="00447977" w:rsidRPr="00DA0DCD">
        <w:rPr>
          <w:lang w:val="en-US"/>
        </w:rPr>
        <w:t xml:space="preserve">This ratios are not applicable for insurance companies. </w:t>
      </w:r>
      <w:r w:rsidR="00A61F10" w:rsidRPr="00DA0DCD">
        <w:rPr>
          <w:lang w:val="en-US"/>
        </w:rPr>
        <w:t xml:space="preserve">As described above financial statements </w:t>
      </w:r>
      <w:r w:rsidR="00447977" w:rsidRPr="00DA0DCD">
        <w:rPr>
          <w:lang w:val="en-US"/>
        </w:rPr>
        <w:t xml:space="preserve">of insurance companies are subjected to prudential filters. This means that the pro-cyclical effect by Basel II is more significant than Solvency. </w:t>
      </w:r>
      <w:r w:rsidR="00440553">
        <w:rPr>
          <w:lang w:val="en-US"/>
        </w:rPr>
        <w:t>T</w:t>
      </w:r>
      <w:r w:rsidR="00447977" w:rsidRPr="00DA0DCD">
        <w:rPr>
          <w:lang w:val="en-US"/>
        </w:rPr>
        <w:t>his</w:t>
      </w:r>
      <w:r w:rsidR="004D1277" w:rsidRPr="00DA0DCD">
        <w:rPr>
          <w:lang w:val="en-US"/>
        </w:rPr>
        <w:t xml:space="preserve"> might </w:t>
      </w:r>
      <w:r w:rsidR="00447977" w:rsidRPr="00DA0DCD">
        <w:rPr>
          <w:lang w:val="en-US"/>
        </w:rPr>
        <w:t>cause</w:t>
      </w:r>
      <w:r w:rsidR="004D1277" w:rsidRPr="00DA0DCD">
        <w:rPr>
          <w:lang w:val="en-US"/>
        </w:rPr>
        <w:t xml:space="preserve"> a different reaction between banks and insurance companies, </w:t>
      </w:r>
      <w:r w:rsidR="00447977" w:rsidRPr="00DA0DCD">
        <w:rPr>
          <w:lang w:val="en-US"/>
        </w:rPr>
        <w:t>therefore a distinction is made</w:t>
      </w:r>
      <w:r w:rsidR="004D1277" w:rsidRPr="00DA0DCD">
        <w:rPr>
          <w:lang w:val="en-US"/>
        </w:rPr>
        <w:t xml:space="preserve"> between insurance companies and banks in </w:t>
      </w:r>
      <w:r w:rsidR="00447977" w:rsidRPr="00DA0DCD">
        <w:rPr>
          <w:lang w:val="en-US"/>
        </w:rPr>
        <w:t>this</w:t>
      </w:r>
      <w:r w:rsidR="004D1277" w:rsidRPr="00DA0DCD">
        <w:rPr>
          <w:lang w:val="en-US"/>
        </w:rPr>
        <w:t xml:space="preserve"> research.</w:t>
      </w:r>
      <w:r w:rsidR="00FE56DB" w:rsidRPr="00DA0DCD">
        <w:rPr>
          <w:lang w:val="en-US"/>
        </w:rPr>
        <w:t xml:space="preserve"> </w:t>
      </w:r>
      <w:r w:rsidR="00CA6026" w:rsidRPr="00DA0DCD">
        <w:rPr>
          <w:lang w:val="en-US"/>
        </w:rPr>
        <w:t xml:space="preserve">Moreover, corporate governance regulation are described. There are differences between corporate governance enforcement in the US and Europe. In the US </w:t>
      </w:r>
      <w:r w:rsidR="008A5F78" w:rsidRPr="00DA0DCD">
        <w:rPr>
          <w:lang w:val="en-US"/>
        </w:rPr>
        <w:t xml:space="preserve">corporate governance under SOX is mandatory for public firms and is enforced by law. In Europe, in many jurisdictions, the corporate governance code is not as mandatory as in the US. This could indicate a difference in the extent of the capital market reaction. Within Europe </w:t>
      </w:r>
      <w:r w:rsidR="00216C0A" w:rsidRPr="00DA0DCD">
        <w:rPr>
          <w:lang w:val="en-US"/>
        </w:rPr>
        <w:t>there are differences in the enforcement of the corporate governance code</w:t>
      </w:r>
      <w:r w:rsidR="00756CCD" w:rsidRPr="00756CCD">
        <w:rPr>
          <w:lang w:val="en-US"/>
        </w:rPr>
        <w:t xml:space="preserve"> </w:t>
      </w:r>
      <w:r w:rsidR="00756CCD" w:rsidRPr="00DA0DCD">
        <w:rPr>
          <w:lang w:val="en-US"/>
        </w:rPr>
        <w:t>also</w:t>
      </w:r>
      <w:r w:rsidR="00216C0A" w:rsidRPr="00DA0DCD">
        <w:rPr>
          <w:lang w:val="en-US"/>
        </w:rPr>
        <w:t xml:space="preserve">. In the UK investors have traditionally strong legal rights and the </w:t>
      </w:r>
      <w:r w:rsidR="00705F4D" w:rsidRPr="00DA0DCD">
        <w:rPr>
          <w:lang w:val="en-US"/>
        </w:rPr>
        <w:t xml:space="preserve">Financial Service Authority (FSA) </w:t>
      </w:r>
      <w:r w:rsidR="00216C0A" w:rsidRPr="00DA0DCD">
        <w:rPr>
          <w:lang w:val="en-US"/>
        </w:rPr>
        <w:t xml:space="preserve"> monitors the enforcement of the corporate governance code. This could indicate a difference in the extent of the capital market reaction between the UK and other European countries. For this reason, the stock price reactions of European countries will also be separate examined.</w:t>
      </w:r>
    </w:p>
    <w:p w:rsidR="007556B9" w:rsidRPr="00DA0DCD" w:rsidRDefault="007556B9">
      <w:pPr>
        <w:rPr>
          <w:rFonts w:asciiTheme="majorHAnsi" w:eastAsiaTheme="majorEastAsia" w:hAnsiTheme="majorHAnsi" w:cstheme="majorBidi"/>
          <w:b/>
          <w:bCs/>
          <w:sz w:val="28"/>
          <w:szCs w:val="28"/>
          <w:lang w:val="en-US"/>
        </w:rPr>
      </w:pPr>
      <w:r w:rsidRPr="00DA0DCD">
        <w:rPr>
          <w:lang w:val="en-US"/>
        </w:rPr>
        <w:br w:type="page"/>
      </w:r>
    </w:p>
    <w:p w:rsidR="00341013" w:rsidRPr="00DA0DCD" w:rsidRDefault="00341013" w:rsidP="00341013">
      <w:pPr>
        <w:pStyle w:val="Kop1"/>
        <w:numPr>
          <w:ilvl w:val="0"/>
          <w:numId w:val="14"/>
        </w:numPr>
        <w:rPr>
          <w:lang w:val="en-US"/>
        </w:rPr>
      </w:pPr>
      <w:bookmarkStart w:id="20" w:name="_Toc270770565"/>
      <w:r w:rsidRPr="00DA0DCD">
        <w:rPr>
          <w:lang w:val="en-US"/>
        </w:rPr>
        <w:lastRenderedPageBreak/>
        <w:t>Research approach</w:t>
      </w:r>
      <w:bookmarkEnd w:id="20"/>
    </w:p>
    <w:p w:rsidR="00341013" w:rsidRPr="00DA0DCD" w:rsidRDefault="00341013" w:rsidP="00341013">
      <w:pPr>
        <w:pStyle w:val="Kop2"/>
        <w:numPr>
          <w:ilvl w:val="1"/>
          <w:numId w:val="14"/>
        </w:numPr>
        <w:rPr>
          <w:lang w:val="en-US"/>
        </w:rPr>
      </w:pPr>
      <w:r w:rsidRPr="00DA0DCD">
        <w:rPr>
          <w:lang w:val="en-US"/>
        </w:rPr>
        <w:t xml:space="preserve"> </w:t>
      </w:r>
      <w:bookmarkStart w:id="21" w:name="_Toc270770566"/>
      <w:r w:rsidRPr="00DA0DCD">
        <w:rPr>
          <w:lang w:val="en-US"/>
        </w:rPr>
        <w:t>Introduction</w:t>
      </w:r>
      <w:bookmarkEnd w:id="21"/>
    </w:p>
    <w:p w:rsidR="00341013" w:rsidRPr="00DA0DCD" w:rsidRDefault="00C82EFB" w:rsidP="00341013">
      <w:pPr>
        <w:rPr>
          <w:lang w:val="en-US"/>
        </w:rPr>
      </w:pPr>
      <w:r w:rsidRPr="00DA0DCD">
        <w:rPr>
          <w:lang w:val="en-US"/>
        </w:rPr>
        <w:t xml:space="preserve">In this </w:t>
      </w:r>
      <w:r w:rsidR="00947A7D" w:rsidRPr="00DA0DCD">
        <w:rPr>
          <w:lang w:val="en-US"/>
        </w:rPr>
        <w:t>chapter</w:t>
      </w:r>
      <w:r w:rsidRPr="00DA0DCD">
        <w:rPr>
          <w:lang w:val="en-US"/>
        </w:rPr>
        <w:t xml:space="preserve"> </w:t>
      </w:r>
      <w:r w:rsidR="007D15EF" w:rsidRPr="00DA0DCD">
        <w:rPr>
          <w:lang w:val="en-US"/>
        </w:rPr>
        <w:t>the</w:t>
      </w:r>
      <w:r w:rsidRPr="00DA0DCD">
        <w:rPr>
          <w:lang w:val="en-US"/>
        </w:rPr>
        <w:t xml:space="preserve"> research approach</w:t>
      </w:r>
      <w:r w:rsidR="007D15EF" w:rsidRPr="00DA0DCD">
        <w:rPr>
          <w:lang w:val="en-US"/>
        </w:rPr>
        <w:t xml:space="preserve"> is explained</w:t>
      </w:r>
      <w:r w:rsidRPr="00DA0DCD">
        <w:rPr>
          <w:lang w:val="en-US"/>
        </w:rPr>
        <w:t>. First the choice for a market-based research</w:t>
      </w:r>
      <w:r w:rsidR="007D15EF" w:rsidRPr="00DA0DCD">
        <w:rPr>
          <w:lang w:val="en-US"/>
        </w:rPr>
        <w:t xml:space="preserve"> will be explained</w:t>
      </w:r>
      <w:r w:rsidRPr="00DA0DCD">
        <w:rPr>
          <w:lang w:val="en-US"/>
        </w:rPr>
        <w:t xml:space="preserve">. </w:t>
      </w:r>
      <w:r w:rsidR="007D15EF" w:rsidRPr="00DA0DCD">
        <w:rPr>
          <w:lang w:val="en-US"/>
        </w:rPr>
        <w:t>Second</w:t>
      </w:r>
      <w:r w:rsidRPr="00DA0DCD">
        <w:rPr>
          <w:lang w:val="en-US"/>
        </w:rPr>
        <w:t xml:space="preserve">, </w:t>
      </w:r>
      <w:r w:rsidR="007D15EF" w:rsidRPr="00DA0DCD">
        <w:rPr>
          <w:lang w:val="en-US"/>
        </w:rPr>
        <w:t>the</w:t>
      </w:r>
      <w:r w:rsidRPr="00DA0DCD">
        <w:rPr>
          <w:lang w:val="en-US"/>
        </w:rPr>
        <w:t xml:space="preserve"> choice for an event study and the way how to conduct an event study will be described.</w:t>
      </w:r>
      <w:r w:rsidR="00651ABD" w:rsidRPr="00DA0DCD">
        <w:rPr>
          <w:lang w:val="en-US"/>
        </w:rPr>
        <w:t xml:space="preserve"> The different ways to conduct an event study are </w:t>
      </w:r>
      <w:r w:rsidR="002F3E40" w:rsidRPr="00DA0DCD">
        <w:rPr>
          <w:lang w:val="en-US"/>
        </w:rPr>
        <w:t>explained</w:t>
      </w:r>
      <w:r w:rsidR="00651ABD" w:rsidRPr="00DA0DCD">
        <w:rPr>
          <w:lang w:val="en-US"/>
        </w:rPr>
        <w:t>.</w:t>
      </w:r>
    </w:p>
    <w:p w:rsidR="00341013" w:rsidRPr="00DA0DCD" w:rsidRDefault="0089465B" w:rsidP="00341013">
      <w:pPr>
        <w:pStyle w:val="Kop2"/>
        <w:numPr>
          <w:ilvl w:val="1"/>
          <w:numId w:val="14"/>
        </w:numPr>
        <w:rPr>
          <w:lang w:val="en-US"/>
        </w:rPr>
      </w:pPr>
      <w:bookmarkStart w:id="22" w:name="_Toc270770567"/>
      <w:r w:rsidRPr="00DA0DCD">
        <w:rPr>
          <w:lang w:val="en-US"/>
        </w:rPr>
        <w:t>The research approach</w:t>
      </w:r>
      <w:bookmarkEnd w:id="22"/>
    </w:p>
    <w:p w:rsidR="008431E8" w:rsidRPr="00DA0DCD" w:rsidRDefault="00607358" w:rsidP="0089465B">
      <w:pPr>
        <w:rPr>
          <w:lang w:val="en-US"/>
        </w:rPr>
      </w:pPr>
      <w:r w:rsidRPr="00DA0DCD">
        <w:rPr>
          <w:lang w:val="en-US"/>
        </w:rPr>
        <w:t xml:space="preserve">Zeff (1978) describes economic consequences as: “the impact of accounting reports on the decisionmaking behavior of business, government, unions, investors and creditors.” Thus, economic consequences are defined as, for instance, a change in the accounting standards has an impact on the </w:t>
      </w:r>
      <w:r w:rsidR="00440553" w:rsidRPr="00DA0DCD">
        <w:rPr>
          <w:lang w:val="en-US"/>
        </w:rPr>
        <w:t>decision making</w:t>
      </w:r>
      <w:r w:rsidRPr="00DA0DCD">
        <w:rPr>
          <w:lang w:val="en-US"/>
        </w:rPr>
        <w:t xml:space="preserve"> behavior of stakeholders.</w:t>
      </w:r>
      <w:r w:rsidR="00D0469A" w:rsidRPr="00DA0DCD">
        <w:rPr>
          <w:lang w:val="en-US"/>
        </w:rPr>
        <w:t xml:space="preserve"> </w:t>
      </w:r>
      <w:r w:rsidR="00CC3A4A" w:rsidRPr="00DA0DCD">
        <w:rPr>
          <w:lang w:val="en-US"/>
        </w:rPr>
        <w:t xml:space="preserve">The capital market reaction on the reclassification option under IAS 39 are also economic consequences. Previous study of for instance Leftwich (1981) came to the conclusion that accounting rules on itself are not associated with a reaction in security prices unless the adoption of such rules causes economic consequences. So, the adoption of the reclassification option under IAS 39 can cause a reaction in the security prices. </w:t>
      </w:r>
      <w:r w:rsidR="00D0469A" w:rsidRPr="00DA0DCD">
        <w:rPr>
          <w:lang w:val="en-US"/>
        </w:rPr>
        <w:t>Beatty et al.(2006) described that researchers of economic consequences uses four different methods. (i) analyses of archival accounting data, (ii) market-based research, (iii) experimental studies and (iv) surveys. Archival analyses compares accounting numbers before and after the adoption of an accounting standard. Because the whole implementation process lasted for about 1,5 year, it is not possible to investigate the data before and after</w:t>
      </w:r>
      <w:r w:rsidR="00291A2D" w:rsidRPr="00DA0DCD">
        <w:rPr>
          <w:lang w:val="en-US"/>
        </w:rPr>
        <w:t xml:space="preserve"> the introduction</w:t>
      </w:r>
      <w:r w:rsidR="00D0469A" w:rsidRPr="00DA0DCD">
        <w:rPr>
          <w:lang w:val="en-US"/>
        </w:rPr>
        <w:t>. A lot of other factors played a role on the capital market reaction during this period and it is almost impossible to correct for these factors. Experimental studies try to explore how indivi</w:t>
      </w:r>
      <w:r w:rsidR="00291A2D" w:rsidRPr="00DA0DCD">
        <w:rPr>
          <w:lang w:val="en-US"/>
        </w:rPr>
        <w:t>duals processes information.</w:t>
      </w:r>
      <w:r w:rsidR="00D0469A" w:rsidRPr="00DA0DCD">
        <w:rPr>
          <w:lang w:val="en-US"/>
        </w:rPr>
        <w:t xml:space="preserve"> </w:t>
      </w:r>
      <w:r w:rsidR="00291A2D" w:rsidRPr="00DA0DCD">
        <w:rPr>
          <w:lang w:val="en-US"/>
        </w:rPr>
        <w:t xml:space="preserve">Despite the fact that this is interesting, </w:t>
      </w:r>
      <w:r w:rsidR="00D0469A" w:rsidRPr="00DA0DCD">
        <w:rPr>
          <w:lang w:val="en-US"/>
        </w:rPr>
        <w:t>th</w:t>
      </w:r>
      <w:r w:rsidR="002F3E40" w:rsidRPr="00DA0DCD">
        <w:rPr>
          <w:lang w:val="en-US"/>
        </w:rPr>
        <w:t xml:space="preserve">e </w:t>
      </w:r>
      <w:r w:rsidR="00D0469A" w:rsidRPr="00DA0DCD">
        <w:rPr>
          <w:lang w:val="en-US"/>
        </w:rPr>
        <w:t>research</w:t>
      </w:r>
      <w:r w:rsidR="002F3E40" w:rsidRPr="00DA0DCD">
        <w:rPr>
          <w:lang w:val="en-US"/>
        </w:rPr>
        <w:t xml:space="preserve"> of this thesis</w:t>
      </w:r>
      <w:r w:rsidR="00D0469A" w:rsidRPr="00DA0DCD">
        <w:rPr>
          <w:lang w:val="en-US"/>
        </w:rPr>
        <w:t xml:space="preserve"> </w:t>
      </w:r>
      <w:r w:rsidR="004C6E98" w:rsidRPr="00DA0DCD">
        <w:rPr>
          <w:lang w:val="en-US"/>
        </w:rPr>
        <w:t xml:space="preserve">will not </w:t>
      </w:r>
      <w:r w:rsidR="008431E8" w:rsidRPr="00DA0DCD">
        <w:rPr>
          <w:lang w:val="en-US"/>
        </w:rPr>
        <w:t>focus</w:t>
      </w:r>
      <w:r w:rsidR="00D0469A" w:rsidRPr="00DA0DCD">
        <w:rPr>
          <w:lang w:val="en-US"/>
        </w:rPr>
        <w:t xml:space="preserve"> on individual behavior</w:t>
      </w:r>
      <w:r w:rsidR="00291A2D" w:rsidRPr="00DA0DCD">
        <w:rPr>
          <w:lang w:val="en-US"/>
        </w:rPr>
        <w:t>, but on the capital market</w:t>
      </w:r>
      <w:r w:rsidR="008431E8" w:rsidRPr="00DA0DCD">
        <w:rPr>
          <w:lang w:val="en-US"/>
        </w:rPr>
        <w:t xml:space="preserve"> reaction of introduction </w:t>
      </w:r>
      <w:r w:rsidR="00291A2D" w:rsidRPr="00DA0DCD">
        <w:rPr>
          <w:lang w:val="en-US"/>
        </w:rPr>
        <w:t xml:space="preserve">announcements in Europe. </w:t>
      </w:r>
      <w:r w:rsidR="008431E8" w:rsidRPr="00DA0DCD">
        <w:rPr>
          <w:lang w:val="en-US"/>
        </w:rPr>
        <w:t>Therefore</w:t>
      </w:r>
      <w:r w:rsidR="00291A2D" w:rsidRPr="00DA0DCD">
        <w:rPr>
          <w:lang w:val="en-US"/>
        </w:rPr>
        <w:t>, this approach will not be applied</w:t>
      </w:r>
      <w:r w:rsidR="00D0469A" w:rsidRPr="00DA0DCD">
        <w:rPr>
          <w:lang w:val="en-US"/>
        </w:rPr>
        <w:t xml:space="preserve">. </w:t>
      </w:r>
      <w:r w:rsidR="008431E8" w:rsidRPr="00DA0DCD">
        <w:rPr>
          <w:lang w:val="en-US"/>
        </w:rPr>
        <w:t>W</w:t>
      </w:r>
      <w:r w:rsidR="00D0469A" w:rsidRPr="00DA0DCD">
        <w:rPr>
          <w:lang w:val="en-US"/>
        </w:rPr>
        <w:t>ith a survey research it is almost impossible to</w:t>
      </w:r>
      <w:r w:rsidR="00291A2D" w:rsidRPr="00DA0DCD">
        <w:rPr>
          <w:lang w:val="en-US"/>
        </w:rPr>
        <w:t xml:space="preserve"> reach </w:t>
      </w:r>
      <w:r w:rsidR="008431E8" w:rsidRPr="00DA0DCD">
        <w:rPr>
          <w:lang w:val="en-US"/>
        </w:rPr>
        <w:t xml:space="preserve">enough </w:t>
      </w:r>
      <w:r w:rsidR="00291A2D" w:rsidRPr="00DA0DCD">
        <w:rPr>
          <w:lang w:val="en-US"/>
        </w:rPr>
        <w:t xml:space="preserve">European </w:t>
      </w:r>
      <w:r w:rsidR="008431E8" w:rsidRPr="00DA0DCD">
        <w:rPr>
          <w:lang w:val="en-US"/>
        </w:rPr>
        <w:t>investors</w:t>
      </w:r>
      <w:r w:rsidR="00291A2D" w:rsidRPr="00DA0DCD">
        <w:rPr>
          <w:lang w:val="en-US"/>
        </w:rPr>
        <w:t xml:space="preserve"> to</w:t>
      </w:r>
      <w:r w:rsidR="00D0469A" w:rsidRPr="00DA0DCD">
        <w:rPr>
          <w:lang w:val="en-US"/>
        </w:rPr>
        <w:t xml:space="preserve"> measure a </w:t>
      </w:r>
      <w:r w:rsidR="00291A2D" w:rsidRPr="00DA0DCD">
        <w:rPr>
          <w:lang w:val="en-US"/>
        </w:rPr>
        <w:t xml:space="preserve">capital </w:t>
      </w:r>
      <w:r w:rsidR="00D0469A" w:rsidRPr="00DA0DCD">
        <w:rPr>
          <w:lang w:val="en-US"/>
        </w:rPr>
        <w:t>market reaction. Therefore, the best option to investigate a market reaction is a market-based study. Beatty et al. (2006) stated: “market studies are confined to the ex post study of rule changes”. This research examines the ex post reaction of relaxation announcements (rule changes) by means of an event study. This is the reason for choosing a market-based research.</w:t>
      </w:r>
      <w:r w:rsidR="008431E8" w:rsidRPr="00DA0DCD">
        <w:rPr>
          <w:lang w:val="en-US"/>
        </w:rPr>
        <w:t xml:space="preserve"> Therefore, the focus of this research can be described as:</w:t>
      </w:r>
      <w:r w:rsidR="0089465B" w:rsidRPr="00DA0DCD">
        <w:rPr>
          <w:lang w:val="en-US"/>
        </w:rPr>
        <w:t xml:space="preserve"> the economic consequen</w:t>
      </w:r>
      <w:r w:rsidR="00C66CC9" w:rsidRPr="00DA0DCD">
        <w:rPr>
          <w:lang w:val="en-US"/>
        </w:rPr>
        <w:t>ces of announcements</w:t>
      </w:r>
      <w:r w:rsidR="006C22D4" w:rsidRPr="00DA0DCD">
        <w:rPr>
          <w:lang w:val="en-US"/>
        </w:rPr>
        <w:t>, concerning the probability of the introduction</w:t>
      </w:r>
      <w:r w:rsidR="00C66CC9" w:rsidRPr="00DA0DCD">
        <w:rPr>
          <w:lang w:val="en-US"/>
        </w:rPr>
        <w:t xml:space="preserve"> </w:t>
      </w:r>
      <w:r w:rsidR="0089465B" w:rsidRPr="00DA0DCD">
        <w:rPr>
          <w:lang w:val="en-US"/>
        </w:rPr>
        <w:t xml:space="preserve">of </w:t>
      </w:r>
      <w:r w:rsidR="006C22D4" w:rsidRPr="00DA0DCD">
        <w:rPr>
          <w:lang w:val="en-US"/>
        </w:rPr>
        <w:t>reclassification option in</w:t>
      </w:r>
      <w:r w:rsidR="0089465B" w:rsidRPr="00DA0DCD">
        <w:rPr>
          <w:lang w:val="en-US"/>
        </w:rPr>
        <w:t xml:space="preserve"> IAS 39</w:t>
      </w:r>
      <w:r w:rsidR="006C22D4" w:rsidRPr="00DA0DCD">
        <w:rPr>
          <w:lang w:val="en-US"/>
        </w:rPr>
        <w:t>,</w:t>
      </w:r>
      <w:r w:rsidR="0089465B" w:rsidRPr="00DA0DCD">
        <w:rPr>
          <w:lang w:val="en-US"/>
        </w:rPr>
        <w:t xml:space="preserve"> on the capital market. </w:t>
      </w:r>
    </w:p>
    <w:p w:rsidR="00607358" w:rsidRPr="00DA0DCD" w:rsidRDefault="0089465B" w:rsidP="0089465B">
      <w:pPr>
        <w:rPr>
          <w:lang w:val="en-US"/>
        </w:rPr>
      </w:pPr>
      <w:r w:rsidRPr="00DA0DCD">
        <w:rPr>
          <w:lang w:val="en-US"/>
        </w:rPr>
        <w:t xml:space="preserve">Researchers </w:t>
      </w:r>
      <w:r w:rsidR="006C22D4" w:rsidRPr="00DA0DCD">
        <w:rPr>
          <w:lang w:val="en-US"/>
        </w:rPr>
        <w:t xml:space="preserve">like </w:t>
      </w:r>
      <w:r w:rsidRPr="00DA0DCD">
        <w:rPr>
          <w:lang w:val="en-US"/>
        </w:rPr>
        <w:t xml:space="preserve">Ball and Brown (1968) </w:t>
      </w:r>
      <w:r w:rsidR="00CC3A4A" w:rsidRPr="00DA0DCD">
        <w:rPr>
          <w:lang w:val="en-US"/>
        </w:rPr>
        <w:t xml:space="preserve">also </w:t>
      </w:r>
      <w:r w:rsidR="000C3C74" w:rsidRPr="00DA0DCD">
        <w:rPr>
          <w:lang w:val="en-US"/>
        </w:rPr>
        <w:t>tried to explain</w:t>
      </w:r>
      <w:r w:rsidRPr="00DA0DCD">
        <w:rPr>
          <w:lang w:val="en-US"/>
        </w:rPr>
        <w:t xml:space="preserve"> the capital market reaction to announcements of accounting earnings. Ball and Brown investigated whether abnormal returns can result from the unexpected changes in accounting earnings. They found that 80 to 90 percent of the earning announcements </w:t>
      </w:r>
      <w:r w:rsidR="000C3C74" w:rsidRPr="00DA0DCD">
        <w:rPr>
          <w:lang w:val="en-US"/>
        </w:rPr>
        <w:t>were</w:t>
      </w:r>
      <w:r w:rsidRPr="00DA0DCD">
        <w:rPr>
          <w:lang w:val="en-US"/>
        </w:rPr>
        <w:t xml:space="preserve"> already reflected in the stock prices. In </w:t>
      </w:r>
      <w:r w:rsidR="00C66CC9" w:rsidRPr="00DA0DCD">
        <w:rPr>
          <w:lang w:val="en-US"/>
        </w:rPr>
        <w:t>their</w:t>
      </w:r>
      <w:r w:rsidRPr="00DA0DCD">
        <w:rPr>
          <w:lang w:val="en-US"/>
        </w:rPr>
        <w:t xml:space="preserve"> research they assumed the efficient market hypotheses (EMH)</w:t>
      </w:r>
      <w:r w:rsidR="00132D83" w:rsidRPr="00DA0DCD">
        <w:rPr>
          <w:lang w:val="en-US"/>
        </w:rPr>
        <w:t xml:space="preserve"> of Fama (1970)</w:t>
      </w:r>
      <w:r w:rsidRPr="00DA0DCD">
        <w:rPr>
          <w:lang w:val="en-US"/>
        </w:rPr>
        <w:t xml:space="preserve">. </w:t>
      </w:r>
      <w:r w:rsidR="004C6E98" w:rsidRPr="00DA0DCD">
        <w:rPr>
          <w:lang w:val="en-US"/>
        </w:rPr>
        <w:t>The research of t</w:t>
      </w:r>
      <w:r w:rsidR="006C22D4" w:rsidRPr="00DA0DCD">
        <w:rPr>
          <w:lang w:val="en-US"/>
        </w:rPr>
        <w:t xml:space="preserve">his </w:t>
      </w:r>
      <w:r w:rsidR="004C6E98" w:rsidRPr="00DA0DCD">
        <w:rPr>
          <w:lang w:val="en-US"/>
        </w:rPr>
        <w:t>thesis</w:t>
      </w:r>
      <w:r w:rsidR="006C22D4" w:rsidRPr="00DA0DCD">
        <w:rPr>
          <w:lang w:val="en-US"/>
        </w:rPr>
        <w:t xml:space="preserve"> is</w:t>
      </w:r>
      <w:r w:rsidRPr="00DA0DCD">
        <w:rPr>
          <w:lang w:val="en-US"/>
        </w:rPr>
        <w:t xml:space="preserve"> also build on the EMH</w:t>
      </w:r>
      <w:r w:rsidR="00132D83" w:rsidRPr="00DA0DCD">
        <w:rPr>
          <w:lang w:val="en-US"/>
        </w:rPr>
        <w:t xml:space="preserve"> and therefore no market reaction would be expected from a change in accounting standard. T</w:t>
      </w:r>
      <w:r w:rsidRPr="00DA0DCD">
        <w:rPr>
          <w:lang w:val="en-US"/>
        </w:rPr>
        <w:t xml:space="preserve">his will be further explained in </w:t>
      </w:r>
      <w:r w:rsidR="00947A7D" w:rsidRPr="00DA0DCD">
        <w:rPr>
          <w:lang w:val="en-US"/>
        </w:rPr>
        <w:t>paragraph</w:t>
      </w:r>
      <w:r w:rsidRPr="00DA0DCD">
        <w:rPr>
          <w:lang w:val="en-US"/>
        </w:rPr>
        <w:t xml:space="preserve"> </w:t>
      </w:r>
      <w:r w:rsidRPr="006D7579">
        <w:rPr>
          <w:lang w:val="en-US"/>
        </w:rPr>
        <w:t>4.</w:t>
      </w:r>
      <w:r w:rsidR="000345FD" w:rsidRPr="006D7579">
        <w:rPr>
          <w:lang w:val="en-US"/>
        </w:rPr>
        <w:t>3</w:t>
      </w:r>
      <w:r w:rsidRPr="006D7579">
        <w:rPr>
          <w:lang w:val="en-US"/>
        </w:rPr>
        <w:t>.</w:t>
      </w:r>
      <w:r w:rsidRPr="00DA0DCD">
        <w:rPr>
          <w:lang w:val="en-US"/>
        </w:rPr>
        <w:t xml:space="preserve"> To investigate the capital market reaction, </w:t>
      </w:r>
      <w:r w:rsidR="00A01455" w:rsidRPr="00DA0DCD">
        <w:rPr>
          <w:lang w:val="en-US"/>
        </w:rPr>
        <w:t xml:space="preserve">the capital market reaction of financial institutions in Europe during </w:t>
      </w:r>
      <w:r w:rsidRPr="00DA0DCD">
        <w:rPr>
          <w:lang w:val="en-US"/>
        </w:rPr>
        <w:t>events wh</w:t>
      </w:r>
      <w:r w:rsidR="00265D59" w:rsidRPr="00DA0DCD">
        <w:rPr>
          <w:lang w:val="en-US"/>
        </w:rPr>
        <w:t>ich</w:t>
      </w:r>
      <w:r w:rsidRPr="00DA0DCD">
        <w:rPr>
          <w:lang w:val="en-US"/>
        </w:rPr>
        <w:t xml:space="preserve"> represent announcements </w:t>
      </w:r>
      <w:r w:rsidR="00265D59" w:rsidRPr="00DA0DCD">
        <w:rPr>
          <w:lang w:val="en-US"/>
        </w:rPr>
        <w:t>of a probable introduction of the reclassification option in</w:t>
      </w:r>
      <w:r w:rsidRPr="00DA0DCD">
        <w:rPr>
          <w:lang w:val="en-US"/>
        </w:rPr>
        <w:t xml:space="preserve"> IAS 39</w:t>
      </w:r>
      <w:r w:rsidR="00265D59" w:rsidRPr="00DA0DCD">
        <w:rPr>
          <w:lang w:val="en-US"/>
        </w:rPr>
        <w:t xml:space="preserve"> are </w:t>
      </w:r>
      <w:r w:rsidR="00A01455" w:rsidRPr="00DA0DCD">
        <w:rPr>
          <w:lang w:val="en-US"/>
        </w:rPr>
        <w:t>measured</w:t>
      </w:r>
      <w:r w:rsidRPr="00DA0DCD">
        <w:rPr>
          <w:lang w:val="en-US"/>
        </w:rPr>
        <w:t xml:space="preserve">. </w:t>
      </w:r>
    </w:p>
    <w:p w:rsidR="0089465B" w:rsidRPr="00DA0DCD" w:rsidRDefault="0089465B" w:rsidP="0089465B">
      <w:pPr>
        <w:pStyle w:val="Kop2"/>
        <w:numPr>
          <w:ilvl w:val="1"/>
          <w:numId w:val="14"/>
        </w:numPr>
        <w:rPr>
          <w:lang w:val="en-US"/>
        </w:rPr>
      </w:pPr>
      <w:bookmarkStart w:id="23" w:name="_Toc270770568"/>
      <w:r w:rsidRPr="00DA0DCD">
        <w:rPr>
          <w:lang w:val="en-US"/>
        </w:rPr>
        <w:lastRenderedPageBreak/>
        <w:t>Event study</w:t>
      </w:r>
      <w:bookmarkEnd w:id="23"/>
    </w:p>
    <w:p w:rsidR="0089465B" w:rsidRPr="00DA0DCD" w:rsidRDefault="00941F3C" w:rsidP="0089465B">
      <w:pPr>
        <w:rPr>
          <w:bCs/>
          <w:lang w:val="en-US"/>
        </w:rPr>
      </w:pPr>
      <w:r w:rsidRPr="00DA0DCD">
        <w:rPr>
          <w:lang w:val="en-US"/>
        </w:rPr>
        <w:t>This research will be conducted using an event study</w:t>
      </w:r>
      <w:r w:rsidR="0066524E" w:rsidRPr="00DA0DCD">
        <w:rPr>
          <w:lang w:val="en-US"/>
        </w:rPr>
        <w:t>, because the development of the introduction of the reclassification option in IAS 39 take</w:t>
      </w:r>
      <w:r w:rsidR="00440553">
        <w:rPr>
          <w:lang w:val="en-US"/>
        </w:rPr>
        <w:t>s</w:t>
      </w:r>
      <w:r w:rsidR="0066524E" w:rsidRPr="00DA0DCD">
        <w:rPr>
          <w:lang w:val="en-US"/>
        </w:rPr>
        <w:t xml:space="preserve"> place within different events.</w:t>
      </w:r>
      <w:r w:rsidR="00CC3A4A" w:rsidRPr="00DA0DCD">
        <w:rPr>
          <w:lang w:val="en-US"/>
        </w:rPr>
        <w:t xml:space="preserve"> The different events are steps which lead to the introduction of the reclassification option.</w:t>
      </w:r>
      <w:r w:rsidR="008431E8" w:rsidRPr="00DA0DCD">
        <w:rPr>
          <w:lang w:val="en-US"/>
        </w:rPr>
        <w:t xml:space="preserve"> An event study </w:t>
      </w:r>
      <w:r w:rsidR="00700820" w:rsidRPr="00DA0DCD">
        <w:rPr>
          <w:lang w:val="en-US"/>
        </w:rPr>
        <w:t>measures in accordance with MacKinlay (1997) the impact of a specific event on the value of a firm.</w:t>
      </w:r>
      <w:r w:rsidR="001201B1" w:rsidRPr="00DA0DCD">
        <w:rPr>
          <w:lang w:val="en-US"/>
        </w:rPr>
        <w:t xml:space="preserve"> </w:t>
      </w:r>
      <w:r w:rsidR="0066524E" w:rsidRPr="00DA0DCD">
        <w:rPr>
          <w:lang w:val="en-US"/>
        </w:rPr>
        <w:t>McWilliams and Siegel (1997) state that: ‘</w:t>
      </w:r>
      <w:r w:rsidR="0066524E" w:rsidRPr="00DA0DCD">
        <w:rPr>
          <w:bCs/>
          <w:lang w:val="en-US"/>
        </w:rPr>
        <w:t xml:space="preserve">The event study method is a powerful tool that can help researchers assess the financial impact of changes in corporate policy.’ </w:t>
      </w:r>
      <w:r w:rsidR="001201B1" w:rsidRPr="00DA0DCD">
        <w:rPr>
          <w:lang w:val="en-US"/>
        </w:rPr>
        <w:t>With this tool, researchers can determine whether an unanticipated event is associated with an abnormal return. The</w:t>
      </w:r>
      <w:r w:rsidR="0089465B" w:rsidRPr="00DA0DCD">
        <w:rPr>
          <w:lang w:val="en-US"/>
        </w:rPr>
        <w:t xml:space="preserve"> </w:t>
      </w:r>
      <w:r w:rsidRPr="00DA0DCD">
        <w:rPr>
          <w:lang w:val="en-US"/>
        </w:rPr>
        <w:t>goal of this research is to know</w:t>
      </w:r>
      <w:r w:rsidR="0089465B" w:rsidRPr="00DA0DCD">
        <w:rPr>
          <w:lang w:val="en-US"/>
        </w:rPr>
        <w:t xml:space="preserve"> the impact of all the announcements during the whole </w:t>
      </w:r>
      <w:r w:rsidRPr="00DA0DCD">
        <w:rPr>
          <w:lang w:val="en-US"/>
        </w:rPr>
        <w:t xml:space="preserve">“reclassification option” </w:t>
      </w:r>
      <w:r w:rsidR="0089465B" w:rsidRPr="00DA0DCD">
        <w:rPr>
          <w:lang w:val="en-US"/>
        </w:rPr>
        <w:t>process. Event studies are widely used</w:t>
      </w:r>
      <w:r w:rsidR="0066524E" w:rsidRPr="00DA0DCD">
        <w:rPr>
          <w:lang w:val="en-US"/>
        </w:rPr>
        <w:t xml:space="preserve"> and</w:t>
      </w:r>
      <w:r w:rsidR="0089465B" w:rsidRPr="00DA0DCD">
        <w:rPr>
          <w:lang w:val="en-US"/>
        </w:rPr>
        <w:t xml:space="preserve"> MacKinlay (1997)</w:t>
      </w:r>
      <w:r w:rsidR="0066524E" w:rsidRPr="00DA0DCD">
        <w:rPr>
          <w:lang w:val="en-US"/>
        </w:rPr>
        <w:t xml:space="preserve"> describes</w:t>
      </w:r>
      <w:r w:rsidR="00440553">
        <w:rPr>
          <w:lang w:val="en-US"/>
        </w:rPr>
        <w:t xml:space="preserve"> about event studies</w:t>
      </w:r>
      <w:r w:rsidR="0089465B" w:rsidRPr="00DA0DCD">
        <w:rPr>
          <w:lang w:val="en-US"/>
        </w:rPr>
        <w:t>: ‘The usefulness of such a study comes from the fact that, given rationality in the marketplace, the effects of an event will be reflected immediately in security prices.’ The methodology for an event study was for the first time applied by Fama et al. (1969)</w:t>
      </w:r>
      <w:r w:rsidR="0066524E" w:rsidRPr="00DA0DCD">
        <w:rPr>
          <w:lang w:val="en-US"/>
        </w:rPr>
        <w:t>, in their research to the adjustment of stock prices to new available information</w:t>
      </w:r>
      <w:r w:rsidR="0089465B" w:rsidRPr="00DA0DCD">
        <w:rPr>
          <w:lang w:val="en-US"/>
        </w:rPr>
        <w:t>.</w:t>
      </w:r>
      <w:r w:rsidR="0066524E" w:rsidRPr="00DA0DCD">
        <w:rPr>
          <w:lang w:val="en-US"/>
        </w:rPr>
        <w:t xml:space="preserve"> </w:t>
      </w:r>
      <w:r w:rsidR="0089465B" w:rsidRPr="00DA0DCD">
        <w:rPr>
          <w:lang w:val="en-US"/>
        </w:rPr>
        <w:t xml:space="preserve">McWilliams and Siegel (1997) made a framework of how an event study should be applied. This framework is shown in table 3. </w:t>
      </w:r>
    </w:p>
    <w:p w:rsidR="0089465B" w:rsidRPr="00DA0DCD" w:rsidRDefault="0089465B" w:rsidP="00F00A18">
      <w:pPr>
        <w:spacing w:after="0"/>
        <w:jc w:val="center"/>
        <w:rPr>
          <w:lang w:val="en-US"/>
        </w:rPr>
      </w:pPr>
      <w:r w:rsidRPr="00DA0DCD">
        <w:rPr>
          <w:noProof/>
          <w:lang w:eastAsia="nl-NL"/>
        </w:rPr>
        <w:drawing>
          <wp:inline distT="0" distB="0" distL="0" distR="0">
            <wp:extent cx="4156135" cy="1894943"/>
            <wp:effectExtent l="19050" t="19050" r="15815" b="10057"/>
            <wp:docPr id="1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l="21001" t="44585" r="37508" b="33916"/>
                    <a:stretch>
                      <a:fillRect/>
                    </a:stretch>
                  </pic:blipFill>
                  <pic:spPr bwMode="auto">
                    <a:xfrm>
                      <a:off x="0" y="0"/>
                      <a:ext cx="4156135" cy="1894943"/>
                    </a:xfrm>
                    <a:prstGeom prst="rect">
                      <a:avLst/>
                    </a:prstGeom>
                    <a:noFill/>
                    <a:ln w="6350" cmpd="sng">
                      <a:solidFill>
                        <a:srgbClr val="000000"/>
                      </a:solidFill>
                      <a:miter lim="800000"/>
                      <a:headEnd/>
                      <a:tailEnd/>
                    </a:ln>
                    <a:effectLst/>
                  </pic:spPr>
                </pic:pic>
              </a:graphicData>
            </a:graphic>
          </wp:inline>
        </w:drawing>
      </w:r>
    </w:p>
    <w:p w:rsidR="00941F3C" w:rsidRPr="00DA0DCD" w:rsidRDefault="00941F3C" w:rsidP="00F00A18">
      <w:pPr>
        <w:jc w:val="center"/>
        <w:rPr>
          <w:sz w:val="20"/>
          <w:szCs w:val="20"/>
          <w:lang w:val="en-US"/>
        </w:rPr>
      </w:pPr>
      <w:r w:rsidRPr="00DA0DCD">
        <w:rPr>
          <w:sz w:val="20"/>
          <w:szCs w:val="20"/>
          <w:lang w:val="en-US"/>
        </w:rPr>
        <w:t>Table 3.1: Framework to execute an event study</w:t>
      </w:r>
      <w:r w:rsidRPr="00DA0DCD">
        <w:rPr>
          <w:rStyle w:val="Voetnootmarkering"/>
          <w:sz w:val="20"/>
          <w:szCs w:val="20"/>
          <w:lang w:val="en-US"/>
        </w:rPr>
        <w:footnoteReference w:id="17"/>
      </w:r>
    </w:p>
    <w:p w:rsidR="009B30AD" w:rsidRPr="00DA0DCD" w:rsidRDefault="0089465B" w:rsidP="00941F3C">
      <w:pPr>
        <w:rPr>
          <w:lang w:val="en-US"/>
        </w:rPr>
      </w:pPr>
      <w:r w:rsidRPr="00DA0DCD">
        <w:rPr>
          <w:lang w:val="en-US"/>
        </w:rPr>
        <w:t xml:space="preserve">According to MacKinlay (1997), within an event study, one or more events of interest have to be selected from </w:t>
      </w:r>
      <w:r w:rsidR="00941F3C" w:rsidRPr="00DA0DCD">
        <w:rPr>
          <w:lang w:val="en-US"/>
        </w:rPr>
        <w:t>which</w:t>
      </w:r>
      <w:r w:rsidRPr="00DA0DCD">
        <w:rPr>
          <w:lang w:val="en-US"/>
        </w:rPr>
        <w:t xml:space="preserve"> the researcher expect that they contain new information for the market. By examining the security prices in a short time period around the </w:t>
      </w:r>
      <w:r w:rsidR="00440553" w:rsidRPr="00DA0DCD">
        <w:rPr>
          <w:lang w:val="en-US"/>
        </w:rPr>
        <w:t>event,</w:t>
      </w:r>
      <w:r w:rsidRPr="00DA0DCD">
        <w:rPr>
          <w:lang w:val="en-US"/>
        </w:rPr>
        <w:t xml:space="preserve"> it is possible to observe reactions on the stock market. </w:t>
      </w:r>
      <w:r w:rsidR="00004A2C" w:rsidRPr="00DA0DCD">
        <w:rPr>
          <w:bCs/>
          <w:lang w:val="en-US"/>
        </w:rPr>
        <w:t>The significance of the event study relies, according to McWilliams and Siegel (1997), on the following assumptions: ‘(1) markets are efficient, (2) the event was unanticipated, and (3) there were no confounding effects during the event window.’</w:t>
      </w:r>
      <w:r w:rsidR="009215FF" w:rsidRPr="00DA0DCD">
        <w:rPr>
          <w:bCs/>
          <w:lang w:val="en-US"/>
        </w:rPr>
        <w:t xml:space="preserve"> According to the first assumption, e</w:t>
      </w:r>
      <w:r w:rsidR="002E290F" w:rsidRPr="00DA0DCD">
        <w:rPr>
          <w:lang w:val="en-US"/>
        </w:rPr>
        <w:t>vent studies are</w:t>
      </w:r>
      <w:r w:rsidRPr="00DA0DCD">
        <w:rPr>
          <w:lang w:val="en-US"/>
        </w:rPr>
        <w:t xml:space="preserve"> based on the EMH</w:t>
      </w:r>
      <w:r w:rsidR="00941F3C" w:rsidRPr="00DA0DCD">
        <w:rPr>
          <w:lang w:val="en-US"/>
        </w:rPr>
        <w:t xml:space="preserve"> </w:t>
      </w:r>
      <w:r w:rsidR="009B30AD" w:rsidRPr="00DA0DCD">
        <w:rPr>
          <w:lang w:val="en-US"/>
        </w:rPr>
        <w:t>of Fama (1970)</w:t>
      </w:r>
      <w:r w:rsidRPr="00DA0DCD">
        <w:rPr>
          <w:lang w:val="en-US"/>
        </w:rPr>
        <w:t>. This hypothesis states that all the available information is reflected</w:t>
      </w:r>
      <w:r w:rsidR="000C3C74" w:rsidRPr="00DA0DCD">
        <w:rPr>
          <w:lang w:val="en-US"/>
        </w:rPr>
        <w:t xml:space="preserve"> immediately</w:t>
      </w:r>
      <w:r w:rsidRPr="00DA0DCD">
        <w:rPr>
          <w:lang w:val="en-US"/>
        </w:rPr>
        <w:t xml:space="preserve"> in the security prices. According to Mitchell and Netter (1994) several studies have shown that new information is reflected quickly in the security prices (for example Patell and Wolfson (1984) and Dann et al. (1977)). </w:t>
      </w:r>
    </w:p>
    <w:p w:rsidR="00C1706E" w:rsidRPr="00DA0DCD" w:rsidRDefault="00FB1467" w:rsidP="00C1706E">
      <w:pPr>
        <w:pStyle w:val="Kop3"/>
        <w:numPr>
          <w:ilvl w:val="2"/>
          <w:numId w:val="14"/>
        </w:numPr>
        <w:rPr>
          <w:lang w:val="en-US"/>
        </w:rPr>
      </w:pPr>
      <w:bookmarkStart w:id="24" w:name="_Toc270770569"/>
      <w:r w:rsidRPr="00DA0DCD">
        <w:rPr>
          <w:lang w:val="en-US"/>
        </w:rPr>
        <w:t>Conducting an e</w:t>
      </w:r>
      <w:r w:rsidR="00414113" w:rsidRPr="00DA0DCD">
        <w:rPr>
          <w:lang w:val="en-US"/>
        </w:rPr>
        <w:t>vent study according to MacKinlay (1997)</w:t>
      </w:r>
      <w:bookmarkEnd w:id="24"/>
    </w:p>
    <w:p w:rsidR="00AB2D2E" w:rsidRPr="00DA0DCD" w:rsidRDefault="00AB2D2E" w:rsidP="00AB2D2E">
      <w:pPr>
        <w:pStyle w:val="Geenafstand"/>
        <w:rPr>
          <w:b/>
          <w:lang w:val="en-US"/>
        </w:rPr>
      </w:pPr>
      <w:r w:rsidRPr="00DA0DCD">
        <w:rPr>
          <w:b/>
          <w:lang w:val="en-US"/>
        </w:rPr>
        <w:t>Abnormal return</w:t>
      </w:r>
    </w:p>
    <w:p w:rsidR="00570D1E" w:rsidRPr="00DA0DCD" w:rsidRDefault="00FB1467" w:rsidP="00570D1E">
      <w:pPr>
        <w:rPr>
          <w:bCs/>
          <w:lang w:val="en-US"/>
        </w:rPr>
      </w:pPr>
      <w:r w:rsidRPr="00DA0DCD">
        <w:rPr>
          <w:bCs/>
          <w:lang w:val="en-US"/>
        </w:rPr>
        <w:t>In accordance with MacKinlay (1997) an event study is conducted by measuring the abnormal return during an event window. He describes the abnormal return as:</w:t>
      </w:r>
      <w:r w:rsidR="00AB2D2E" w:rsidRPr="00DA0DCD">
        <w:rPr>
          <w:bCs/>
          <w:lang w:val="en-US"/>
        </w:rPr>
        <w:t xml:space="preserve"> </w:t>
      </w:r>
      <w:r w:rsidR="00570D1E" w:rsidRPr="00DA0DCD">
        <w:rPr>
          <w:bCs/>
          <w:lang w:val="en-US"/>
        </w:rPr>
        <w:t xml:space="preserve">‘the actual ex post return of the security over the event window minus the normal return of the firm over the event window. The </w:t>
      </w:r>
      <w:r w:rsidR="00570D1E" w:rsidRPr="00DA0DCD">
        <w:rPr>
          <w:bCs/>
          <w:lang w:val="en-US"/>
        </w:rPr>
        <w:lastRenderedPageBreak/>
        <w:t xml:space="preserve">normal return is defined as the expected return without conditioning on the event taking place.’ </w:t>
      </w:r>
      <w:r w:rsidR="00AB2D2E" w:rsidRPr="00DA0DCD">
        <w:rPr>
          <w:bCs/>
          <w:lang w:val="en-US"/>
        </w:rPr>
        <w:t>The abnormal return is s</w:t>
      </w:r>
      <w:r w:rsidR="00570D1E" w:rsidRPr="00DA0DCD">
        <w:rPr>
          <w:bCs/>
          <w:lang w:val="en-US"/>
        </w:rPr>
        <w:t xml:space="preserve">tated in </w:t>
      </w:r>
      <w:r w:rsidR="00AB2D2E" w:rsidRPr="00DA0DCD">
        <w:rPr>
          <w:bCs/>
          <w:lang w:val="en-US"/>
        </w:rPr>
        <w:t>the following</w:t>
      </w:r>
      <w:r w:rsidR="00570D1E" w:rsidRPr="00DA0DCD">
        <w:rPr>
          <w:bCs/>
          <w:lang w:val="en-US"/>
        </w:rPr>
        <w:t xml:space="preserve"> formula:</w:t>
      </w:r>
    </w:p>
    <w:p w:rsidR="00570D1E" w:rsidRPr="00DA0DCD" w:rsidRDefault="00570D1E" w:rsidP="00570D1E">
      <w:pPr>
        <w:rPr>
          <w:bCs/>
          <w:lang w:val="en-US"/>
        </w:rPr>
      </w:pPr>
      <w:r w:rsidRPr="00DA0DCD">
        <w:rPr>
          <w:bCs/>
          <w:noProof/>
          <w:lang w:eastAsia="nl-NL"/>
        </w:rPr>
        <w:drawing>
          <wp:inline distT="0" distB="0" distL="0" distR="0">
            <wp:extent cx="1456067" cy="226499"/>
            <wp:effectExtent l="19050" t="0" r="0" b="0"/>
            <wp:docPr id="1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1455761" cy="226451"/>
                    </a:xfrm>
                    <a:prstGeom prst="rect">
                      <a:avLst/>
                    </a:prstGeom>
                    <a:noFill/>
                    <a:ln w="9525">
                      <a:noFill/>
                      <a:miter lim="800000"/>
                      <a:headEnd/>
                      <a:tailEnd/>
                    </a:ln>
                  </pic:spPr>
                </pic:pic>
              </a:graphicData>
            </a:graphic>
          </wp:inline>
        </w:drawing>
      </w:r>
      <w:r w:rsidRPr="00DA0DCD">
        <w:rPr>
          <w:bCs/>
          <w:lang w:val="en-US"/>
        </w:rPr>
        <w:t xml:space="preserve"> (</w:t>
      </w:r>
      <w:r w:rsidR="00A365AA" w:rsidRPr="00DA0DCD">
        <w:rPr>
          <w:bCs/>
          <w:lang w:val="en-US"/>
        </w:rPr>
        <w:t>3.</w:t>
      </w:r>
      <w:r w:rsidRPr="00DA0DCD">
        <w:rPr>
          <w:bCs/>
          <w:lang w:val="en-US"/>
        </w:rPr>
        <w:t>1)</w:t>
      </w:r>
    </w:p>
    <w:p w:rsidR="00570D1E" w:rsidRPr="00DA0DCD" w:rsidRDefault="00A63D9A" w:rsidP="00570D1E">
      <w:pPr>
        <w:rPr>
          <w:bCs/>
          <w:lang w:val="en-US"/>
        </w:rPr>
      </w:pPr>
      <w:r w:rsidRPr="00DA0DCD">
        <w:rPr>
          <w:bCs/>
          <w:lang w:val="en-US"/>
        </w:rPr>
        <w:t>W</w:t>
      </w:r>
      <w:r w:rsidR="00570D1E" w:rsidRPr="00DA0DCD">
        <w:rPr>
          <w:bCs/>
          <w:lang w:val="en-US"/>
        </w:rPr>
        <w:t>here</w:t>
      </w:r>
      <w:r w:rsidRPr="00DA0DCD">
        <w:rPr>
          <w:bCs/>
          <w:lang w:val="en-US"/>
        </w:rPr>
        <w:t xml:space="preserve"> </w:t>
      </w:r>
      <w:r w:rsidRPr="00DA0DCD">
        <w:rPr>
          <w:bCs/>
          <w:i/>
          <w:lang w:val="en-US"/>
        </w:rPr>
        <w:t>AR</w:t>
      </w:r>
      <w:r w:rsidRPr="00DA0DCD">
        <w:rPr>
          <w:bCs/>
          <w:i/>
          <w:vertAlign w:val="subscript"/>
          <w:lang w:val="en-US"/>
        </w:rPr>
        <w:t>it</w:t>
      </w:r>
      <w:r w:rsidRPr="00DA0DCD">
        <w:rPr>
          <w:bCs/>
          <w:lang w:val="en-US"/>
        </w:rPr>
        <w:t xml:space="preserve">, </w:t>
      </w:r>
      <w:r w:rsidRPr="00DA0DCD">
        <w:rPr>
          <w:bCs/>
          <w:i/>
          <w:lang w:val="en-US"/>
        </w:rPr>
        <w:t>R</w:t>
      </w:r>
      <w:r w:rsidRPr="00DA0DCD">
        <w:rPr>
          <w:bCs/>
          <w:i/>
          <w:vertAlign w:val="subscript"/>
          <w:lang w:val="en-US"/>
        </w:rPr>
        <w:t>it</w:t>
      </w:r>
      <w:r w:rsidRPr="00DA0DCD">
        <w:rPr>
          <w:bCs/>
          <w:lang w:val="en-US"/>
        </w:rPr>
        <w:t xml:space="preserve"> and </w:t>
      </w:r>
      <w:r w:rsidRPr="00DA0DCD">
        <w:rPr>
          <w:bCs/>
          <w:i/>
          <w:lang w:val="en-US"/>
        </w:rPr>
        <w:t>E(R</w:t>
      </w:r>
      <w:r w:rsidRPr="00DA0DCD">
        <w:rPr>
          <w:bCs/>
          <w:i/>
          <w:vertAlign w:val="subscript"/>
          <w:lang w:val="en-US"/>
        </w:rPr>
        <w:t>it</w:t>
      </w:r>
      <w:r w:rsidRPr="00DA0DCD">
        <w:rPr>
          <w:bCs/>
          <w:i/>
          <w:lang w:val="en-US"/>
        </w:rPr>
        <w:t>|X</w:t>
      </w:r>
      <w:r w:rsidRPr="00DA0DCD">
        <w:rPr>
          <w:bCs/>
          <w:i/>
          <w:vertAlign w:val="subscript"/>
          <w:lang w:val="en-US"/>
        </w:rPr>
        <w:t>t</w:t>
      </w:r>
      <w:r w:rsidRPr="00DA0DCD">
        <w:rPr>
          <w:bCs/>
          <w:i/>
          <w:lang w:val="en-US"/>
        </w:rPr>
        <w:t>)</w:t>
      </w:r>
      <w:r w:rsidR="00570D1E" w:rsidRPr="00DA0DCD">
        <w:rPr>
          <w:bCs/>
          <w:lang w:val="en-US"/>
        </w:rPr>
        <w:t xml:space="preserve"> </w:t>
      </w:r>
      <w:r w:rsidR="00570D1E" w:rsidRPr="00DA0DCD">
        <w:rPr>
          <w:rStyle w:val="Voetnootmarkering"/>
          <w:bCs/>
          <w:lang w:val="en-US"/>
        </w:rPr>
        <w:footnoteReference w:id="18"/>
      </w:r>
      <w:r w:rsidR="00570D1E" w:rsidRPr="00DA0DCD">
        <w:rPr>
          <w:bCs/>
          <w:lang w:val="en-US"/>
        </w:rPr>
        <w:t xml:space="preserve"> are </w:t>
      </w:r>
      <w:r w:rsidR="00AB2D2E" w:rsidRPr="00DA0DCD">
        <w:rPr>
          <w:bCs/>
          <w:lang w:val="en-US"/>
        </w:rPr>
        <w:t xml:space="preserve"> respectively </w:t>
      </w:r>
      <w:r w:rsidR="00570D1E" w:rsidRPr="00DA0DCD">
        <w:rPr>
          <w:bCs/>
          <w:lang w:val="en-US"/>
        </w:rPr>
        <w:t>the abnormal, actual, and normal returns for time period t (MacKinlay, 1997).</w:t>
      </w:r>
      <w:r w:rsidR="00F00A18" w:rsidRPr="00DA0DCD">
        <w:rPr>
          <w:bCs/>
          <w:lang w:val="en-US"/>
        </w:rPr>
        <w:t xml:space="preserve"> </w:t>
      </w:r>
      <w:r w:rsidR="007A5810" w:rsidRPr="00DA0DCD">
        <w:rPr>
          <w:bCs/>
          <w:lang w:val="en-US"/>
        </w:rPr>
        <w:t>In t</w:t>
      </w:r>
      <w:r w:rsidR="00F00A18" w:rsidRPr="00DA0DCD">
        <w:rPr>
          <w:bCs/>
          <w:lang w:val="en-US"/>
        </w:rPr>
        <w:t>his model</w:t>
      </w:r>
      <w:r w:rsidR="007A5810" w:rsidRPr="00DA0DCD">
        <w:rPr>
          <w:bCs/>
          <w:lang w:val="en-US"/>
        </w:rPr>
        <w:t xml:space="preserve"> the </w:t>
      </w:r>
      <w:r w:rsidR="007A5810" w:rsidRPr="00DA0DCD">
        <w:rPr>
          <w:bCs/>
          <w:i/>
          <w:lang w:val="en-US"/>
        </w:rPr>
        <w:t>X</w:t>
      </w:r>
      <w:r w:rsidR="007A5810" w:rsidRPr="00DA0DCD">
        <w:rPr>
          <w:bCs/>
          <w:i/>
          <w:vertAlign w:val="subscript"/>
          <w:lang w:val="en-US"/>
        </w:rPr>
        <w:t xml:space="preserve">t </w:t>
      </w:r>
      <w:r w:rsidR="00AB2D2E" w:rsidRPr="00DA0DCD">
        <w:rPr>
          <w:bCs/>
          <w:lang w:val="en-US"/>
        </w:rPr>
        <w:t xml:space="preserve">of the normal return variable </w:t>
      </w:r>
      <w:r w:rsidR="00F00A18" w:rsidRPr="00DA0DCD">
        <w:rPr>
          <w:bCs/>
          <w:lang w:val="en-US"/>
        </w:rPr>
        <w:t xml:space="preserve">is </w:t>
      </w:r>
      <w:r w:rsidR="007A5810" w:rsidRPr="00DA0DCD">
        <w:rPr>
          <w:bCs/>
          <w:lang w:val="en-US"/>
        </w:rPr>
        <w:t>the conditioning informa</w:t>
      </w:r>
      <w:r w:rsidR="002E290F" w:rsidRPr="00DA0DCD">
        <w:rPr>
          <w:bCs/>
          <w:lang w:val="en-US"/>
        </w:rPr>
        <w:t>tion of the normal return model, as described below.</w:t>
      </w:r>
      <w:r w:rsidR="007A5810" w:rsidRPr="00DA0DCD">
        <w:rPr>
          <w:bCs/>
          <w:lang w:val="en-US"/>
        </w:rPr>
        <w:t xml:space="preserve"> </w:t>
      </w:r>
      <w:r w:rsidR="00DF4908" w:rsidRPr="00DA0DCD">
        <w:rPr>
          <w:bCs/>
          <w:lang w:val="en-US"/>
        </w:rPr>
        <w:t xml:space="preserve">By the constant mean model the </w:t>
      </w:r>
      <w:r w:rsidR="00DF4908" w:rsidRPr="00DA0DCD">
        <w:rPr>
          <w:bCs/>
          <w:i/>
          <w:lang w:val="en-US"/>
        </w:rPr>
        <w:t>X</w:t>
      </w:r>
      <w:r w:rsidR="00DF4908" w:rsidRPr="00DA0DCD">
        <w:rPr>
          <w:bCs/>
          <w:i/>
          <w:vertAlign w:val="subscript"/>
          <w:lang w:val="en-US"/>
        </w:rPr>
        <w:t xml:space="preserve">t </w:t>
      </w:r>
      <w:r w:rsidR="00DF4908" w:rsidRPr="00DA0DCD">
        <w:rPr>
          <w:bCs/>
          <w:lang w:val="en-US"/>
        </w:rPr>
        <w:t xml:space="preserve">is constant and </w:t>
      </w:r>
      <w:r w:rsidR="002E290F" w:rsidRPr="00DA0DCD">
        <w:rPr>
          <w:bCs/>
          <w:lang w:val="en-US"/>
        </w:rPr>
        <w:t xml:space="preserve">by the market model </w:t>
      </w:r>
      <w:r w:rsidR="00DF4908" w:rsidRPr="00DA0DCD">
        <w:rPr>
          <w:bCs/>
          <w:lang w:val="en-US"/>
        </w:rPr>
        <w:t>the</w:t>
      </w:r>
      <w:r w:rsidR="002E290F" w:rsidRPr="00DA0DCD">
        <w:rPr>
          <w:bCs/>
          <w:lang w:val="en-US"/>
        </w:rPr>
        <w:t xml:space="preserve"> </w:t>
      </w:r>
      <w:r w:rsidR="002E290F" w:rsidRPr="00DA0DCD">
        <w:rPr>
          <w:bCs/>
          <w:i/>
          <w:lang w:val="en-US"/>
        </w:rPr>
        <w:t>X</w:t>
      </w:r>
      <w:r w:rsidR="002E290F" w:rsidRPr="00DA0DCD">
        <w:rPr>
          <w:bCs/>
          <w:i/>
          <w:vertAlign w:val="subscript"/>
          <w:lang w:val="en-US"/>
        </w:rPr>
        <w:t>t</w:t>
      </w:r>
      <w:r w:rsidR="00DF4908" w:rsidRPr="00DA0DCD">
        <w:rPr>
          <w:bCs/>
          <w:lang w:val="en-US"/>
        </w:rPr>
        <w:t xml:space="preserve"> </w:t>
      </w:r>
      <w:r w:rsidR="002E290F" w:rsidRPr="00DA0DCD">
        <w:rPr>
          <w:bCs/>
          <w:lang w:val="en-US"/>
        </w:rPr>
        <w:t xml:space="preserve">is the </w:t>
      </w:r>
      <w:r w:rsidR="00DF4908" w:rsidRPr="00DA0DCD">
        <w:rPr>
          <w:bCs/>
          <w:lang w:val="en-US"/>
        </w:rPr>
        <w:t>market return.</w:t>
      </w:r>
      <w:r w:rsidR="00951AA0" w:rsidRPr="00DA0DCD">
        <w:rPr>
          <w:bCs/>
          <w:lang w:val="en-US"/>
        </w:rPr>
        <w:t xml:space="preserve"> </w:t>
      </w:r>
      <w:r w:rsidR="00AB2D2E" w:rsidRPr="00DA0DCD">
        <w:rPr>
          <w:bCs/>
          <w:lang w:val="en-US"/>
        </w:rPr>
        <w:t>So, for measuring the abnormal return, the actual and normal return is needed. The normal return is measured by a normal return model. The normal return models are</w:t>
      </w:r>
      <w:r w:rsidR="007A5810" w:rsidRPr="00DA0DCD">
        <w:rPr>
          <w:bCs/>
          <w:lang w:val="en-US"/>
        </w:rPr>
        <w:t xml:space="preserve"> described </w:t>
      </w:r>
      <w:r w:rsidR="00FB1467" w:rsidRPr="00DA0DCD">
        <w:rPr>
          <w:bCs/>
          <w:lang w:val="en-US"/>
        </w:rPr>
        <w:t>below</w:t>
      </w:r>
      <w:r w:rsidR="007A5810" w:rsidRPr="00DA0DCD">
        <w:rPr>
          <w:bCs/>
          <w:lang w:val="en-US"/>
        </w:rPr>
        <w:t>.</w:t>
      </w:r>
    </w:p>
    <w:p w:rsidR="00C1706E" w:rsidRPr="00DA0DCD" w:rsidRDefault="00C1706E" w:rsidP="00414113">
      <w:pPr>
        <w:pStyle w:val="Geenafstand"/>
        <w:rPr>
          <w:b/>
          <w:lang w:val="en-US"/>
        </w:rPr>
      </w:pPr>
      <w:r w:rsidRPr="00DA0DCD">
        <w:rPr>
          <w:b/>
          <w:lang w:val="en-US"/>
        </w:rPr>
        <w:t>Normal return</w:t>
      </w:r>
    </w:p>
    <w:p w:rsidR="00850292" w:rsidRPr="00DA0DCD" w:rsidRDefault="009B30AD" w:rsidP="00941F3C">
      <w:pPr>
        <w:rPr>
          <w:bCs/>
          <w:lang w:val="en-US"/>
        </w:rPr>
      </w:pPr>
      <w:r w:rsidRPr="00DA0DCD">
        <w:rPr>
          <w:bCs/>
          <w:lang w:val="en-US"/>
        </w:rPr>
        <w:t>For the measurement of the market reaction</w:t>
      </w:r>
      <w:r w:rsidR="0032782B" w:rsidRPr="00DA0DCD">
        <w:rPr>
          <w:bCs/>
          <w:lang w:val="en-US"/>
        </w:rPr>
        <w:t>, in accordance with MacKinlay (1997),</w:t>
      </w:r>
      <w:r w:rsidRPr="00DA0DCD">
        <w:rPr>
          <w:bCs/>
          <w:lang w:val="en-US"/>
        </w:rPr>
        <w:t xml:space="preserve"> a number of approaches are available to calculate the normal return</w:t>
      </w:r>
      <w:r w:rsidR="0032782B" w:rsidRPr="00DA0DCD">
        <w:rPr>
          <w:bCs/>
          <w:lang w:val="en-US"/>
        </w:rPr>
        <w:t xml:space="preserve">. The approaches can be grouped in statistical and economic models. Statistical models follow statistical assumptions concerning the asset returns. </w:t>
      </w:r>
      <w:r w:rsidR="00A63D9A" w:rsidRPr="00DA0DCD">
        <w:rPr>
          <w:bCs/>
          <w:lang w:val="en-US"/>
        </w:rPr>
        <w:t>Economic models rely on assumptions o</w:t>
      </w:r>
      <w:r w:rsidR="004C6E98" w:rsidRPr="00DA0DCD">
        <w:rPr>
          <w:bCs/>
          <w:lang w:val="en-US"/>
        </w:rPr>
        <w:t>n</w:t>
      </w:r>
      <w:r w:rsidR="00A63D9A" w:rsidRPr="00DA0DCD">
        <w:rPr>
          <w:bCs/>
          <w:lang w:val="en-US"/>
        </w:rPr>
        <w:t xml:space="preserve"> </w:t>
      </w:r>
      <w:r w:rsidR="00EE0DE4" w:rsidRPr="00DA0DCD">
        <w:rPr>
          <w:bCs/>
          <w:lang w:val="en-US"/>
        </w:rPr>
        <w:t>investors’</w:t>
      </w:r>
      <w:r w:rsidR="00A63D9A" w:rsidRPr="00DA0DCD">
        <w:rPr>
          <w:bCs/>
          <w:lang w:val="en-US"/>
        </w:rPr>
        <w:t xml:space="preserve"> behavior, instead of solely statistical assumptions. </w:t>
      </w:r>
      <w:r w:rsidR="00850292" w:rsidRPr="00DA0DCD">
        <w:rPr>
          <w:bCs/>
          <w:lang w:val="en-US"/>
        </w:rPr>
        <w:t>Common e</w:t>
      </w:r>
      <w:r w:rsidR="000F6FCF" w:rsidRPr="00DA0DCD">
        <w:rPr>
          <w:bCs/>
          <w:lang w:val="en-US"/>
        </w:rPr>
        <w:t>conomic models</w:t>
      </w:r>
      <w:r w:rsidR="00850292" w:rsidRPr="00DA0DCD">
        <w:rPr>
          <w:bCs/>
          <w:lang w:val="en-US"/>
        </w:rPr>
        <w:t xml:space="preserve"> are Asset Pricing model (CAPM)</w:t>
      </w:r>
      <w:r w:rsidR="00DD7BCE" w:rsidRPr="00DA0DCD">
        <w:rPr>
          <w:bCs/>
          <w:lang w:val="en-US"/>
        </w:rPr>
        <w:t xml:space="preserve"> of Sharpe (1964)</w:t>
      </w:r>
      <w:r w:rsidR="00850292" w:rsidRPr="00DA0DCD">
        <w:rPr>
          <w:bCs/>
          <w:lang w:val="en-US"/>
        </w:rPr>
        <w:t xml:space="preserve"> and Arbitrage Pricing model (APT)</w:t>
      </w:r>
      <w:r w:rsidR="00DD7BCE" w:rsidRPr="00DA0DCD">
        <w:rPr>
          <w:bCs/>
          <w:lang w:val="en-US"/>
        </w:rPr>
        <w:t xml:space="preserve"> of Ross (1976)</w:t>
      </w:r>
      <w:r w:rsidR="00850292" w:rsidRPr="00DA0DCD">
        <w:rPr>
          <w:bCs/>
          <w:lang w:val="en-US"/>
        </w:rPr>
        <w:t>. These ec</w:t>
      </w:r>
      <w:r w:rsidR="00DD7BCE" w:rsidRPr="00DA0DCD">
        <w:rPr>
          <w:bCs/>
          <w:lang w:val="en-US"/>
        </w:rPr>
        <w:t xml:space="preserve">onomic models will </w:t>
      </w:r>
      <w:r w:rsidR="00EE0DE4" w:rsidRPr="00DA0DCD">
        <w:rPr>
          <w:bCs/>
          <w:lang w:val="en-US"/>
        </w:rPr>
        <w:t xml:space="preserve">not be used for this research, because of the comparability with similar studies of the research of this thesis (see chapter 4), </w:t>
      </w:r>
      <w:r w:rsidR="00440553">
        <w:rPr>
          <w:bCs/>
          <w:lang w:val="en-US"/>
        </w:rPr>
        <w:t>that</w:t>
      </w:r>
      <w:r w:rsidR="00EE0DE4" w:rsidRPr="00DA0DCD">
        <w:rPr>
          <w:bCs/>
          <w:lang w:val="en-US"/>
        </w:rPr>
        <w:t xml:space="preserve"> make use of the statistical models.  S</w:t>
      </w:r>
      <w:r w:rsidR="00DD7BCE" w:rsidRPr="00DA0DCD">
        <w:rPr>
          <w:bCs/>
          <w:lang w:val="en-US"/>
        </w:rPr>
        <w:t>o</w:t>
      </w:r>
      <w:r w:rsidR="00EE0DE4" w:rsidRPr="00DA0DCD">
        <w:rPr>
          <w:bCs/>
          <w:lang w:val="en-US"/>
        </w:rPr>
        <w:t>,</w:t>
      </w:r>
      <w:r w:rsidR="00DD7BCE" w:rsidRPr="00DA0DCD">
        <w:rPr>
          <w:bCs/>
          <w:lang w:val="en-US"/>
        </w:rPr>
        <w:t xml:space="preserve"> the economic models will not be further elaborated. </w:t>
      </w:r>
      <w:r w:rsidR="008B00D7" w:rsidRPr="00DA0DCD">
        <w:rPr>
          <w:bCs/>
          <w:lang w:val="en-US"/>
        </w:rPr>
        <w:t>MacKinlay (1997) describes that u</w:t>
      </w:r>
      <w:r w:rsidR="0032782B" w:rsidRPr="00DA0DCD">
        <w:rPr>
          <w:bCs/>
          <w:lang w:val="en-US"/>
        </w:rPr>
        <w:t xml:space="preserve">nder the statistical </w:t>
      </w:r>
      <w:r w:rsidR="000F6FCF" w:rsidRPr="00DA0DCD">
        <w:rPr>
          <w:bCs/>
          <w:lang w:val="en-US"/>
        </w:rPr>
        <w:t>models</w:t>
      </w:r>
      <w:r w:rsidR="008B00D7" w:rsidRPr="00DA0DCD">
        <w:rPr>
          <w:bCs/>
          <w:lang w:val="en-US"/>
        </w:rPr>
        <w:t>,</w:t>
      </w:r>
      <w:r w:rsidR="0066524E" w:rsidRPr="00DA0DCD">
        <w:rPr>
          <w:bCs/>
          <w:lang w:val="en-US"/>
        </w:rPr>
        <w:t xml:space="preserve"> for measuring the normal return</w:t>
      </w:r>
      <w:r w:rsidR="000F6FCF" w:rsidRPr="00DA0DCD">
        <w:rPr>
          <w:bCs/>
          <w:lang w:val="en-US"/>
        </w:rPr>
        <w:t>,</w:t>
      </w:r>
      <w:r w:rsidR="0032782B" w:rsidRPr="00DA0DCD">
        <w:rPr>
          <w:bCs/>
          <w:lang w:val="en-US"/>
        </w:rPr>
        <w:t xml:space="preserve"> </w:t>
      </w:r>
      <w:r w:rsidR="008B00D7" w:rsidRPr="00DA0DCD">
        <w:rPr>
          <w:bCs/>
          <w:lang w:val="en-US"/>
        </w:rPr>
        <w:t>three types can be distinguished</w:t>
      </w:r>
      <w:r w:rsidR="0032782B" w:rsidRPr="00DA0DCD">
        <w:rPr>
          <w:bCs/>
          <w:lang w:val="en-US"/>
        </w:rPr>
        <w:t>: (</w:t>
      </w:r>
      <w:r w:rsidR="000F6FCF" w:rsidRPr="00DA0DCD">
        <w:rPr>
          <w:bCs/>
          <w:lang w:val="en-US"/>
        </w:rPr>
        <w:t>i</w:t>
      </w:r>
      <w:r w:rsidR="0032782B" w:rsidRPr="00DA0DCD">
        <w:rPr>
          <w:bCs/>
          <w:lang w:val="en-US"/>
        </w:rPr>
        <w:t>) Constant mean return model</w:t>
      </w:r>
      <w:r w:rsidR="000F6FCF" w:rsidRPr="00DA0DCD">
        <w:rPr>
          <w:bCs/>
          <w:lang w:val="en-US"/>
        </w:rPr>
        <w:t>, (ii</w:t>
      </w:r>
      <w:r w:rsidR="0032782B" w:rsidRPr="00DA0DCD">
        <w:rPr>
          <w:bCs/>
          <w:lang w:val="en-US"/>
        </w:rPr>
        <w:t>) Market model and (</w:t>
      </w:r>
      <w:r w:rsidR="000F6FCF" w:rsidRPr="00DA0DCD">
        <w:rPr>
          <w:bCs/>
          <w:lang w:val="en-US"/>
        </w:rPr>
        <w:t>iii</w:t>
      </w:r>
      <w:r w:rsidR="0032782B" w:rsidRPr="00DA0DCD">
        <w:rPr>
          <w:bCs/>
          <w:lang w:val="en-US"/>
        </w:rPr>
        <w:t xml:space="preserve">) </w:t>
      </w:r>
      <w:r w:rsidR="00C50B2B" w:rsidRPr="00DA0DCD">
        <w:rPr>
          <w:bCs/>
          <w:lang w:val="en-US"/>
        </w:rPr>
        <w:t>Other statistical models</w:t>
      </w:r>
      <w:r w:rsidR="0032782B" w:rsidRPr="00DA0DCD">
        <w:rPr>
          <w:bCs/>
          <w:lang w:val="en-US"/>
        </w:rPr>
        <w:t xml:space="preserve">. </w:t>
      </w:r>
      <w:r w:rsidR="008B00D7" w:rsidRPr="00DA0DCD">
        <w:rPr>
          <w:bCs/>
          <w:lang w:val="en-US"/>
        </w:rPr>
        <w:t xml:space="preserve">These models will be shortly described under. The </w:t>
      </w:r>
      <w:r w:rsidR="000B772B" w:rsidRPr="00DA0DCD">
        <w:rPr>
          <w:bCs/>
          <w:lang w:val="en-US"/>
        </w:rPr>
        <w:t xml:space="preserve"> choice for a model and motivation are presented below.</w:t>
      </w:r>
    </w:p>
    <w:p w:rsidR="00850292" w:rsidRPr="00DA0DCD" w:rsidRDefault="00850292" w:rsidP="0002210A">
      <w:pPr>
        <w:pStyle w:val="Lijstalinea"/>
        <w:numPr>
          <w:ilvl w:val="0"/>
          <w:numId w:val="21"/>
        </w:numPr>
        <w:spacing w:after="0"/>
        <w:rPr>
          <w:bCs/>
          <w:i/>
          <w:u w:val="single"/>
          <w:lang w:val="en-US"/>
        </w:rPr>
      </w:pPr>
      <w:r w:rsidRPr="00DA0DCD">
        <w:rPr>
          <w:bCs/>
          <w:i/>
          <w:u w:val="single"/>
          <w:lang w:val="en-US"/>
        </w:rPr>
        <w:t>Constant mean model</w:t>
      </w:r>
    </w:p>
    <w:p w:rsidR="009B30AD" w:rsidRPr="00DA0DCD" w:rsidRDefault="00A63D9A" w:rsidP="00850292">
      <w:pPr>
        <w:spacing w:after="0"/>
        <w:rPr>
          <w:bCs/>
          <w:lang w:val="en-US"/>
        </w:rPr>
      </w:pPr>
      <w:r w:rsidRPr="00DA0DCD">
        <w:rPr>
          <w:bCs/>
          <w:lang w:val="en-US"/>
        </w:rPr>
        <w:t xml:space="preserve">The constant mean model uses a mean return of assets to measure the normal return of a firm. </w:t>
      </w:r>
      <w:r w:rsidR="00B7342A" w:rsidRPr="00DA0DCD">
        <w:rPr>
          <w:bCs/>
          <w:lang w:val="en-US"/>
        </w:rPr>
        <w:t xml:space="preserve">The constant mean model </w:t>
      </w:r>
      <w:r w:rsidR="000F6FCF" w:rsidRPr="00DA0DCD">
        <w:rPr>
          <w:bCs/>
          <w:lang w:val="en-US"/>
        </w:rPr>
        <w:t>can be described as</w:t>
      </w:r>
      <w:r w:rsidR="00B7342A" w:rsidRPr="00DA0DCD">
        <w:rPr>
          <w:bCs/>
          <w:lang w:val="en-US"/>
        </w:rPr>
        <w:t>:</w:t>
      </w:r>
    </w:p>
    <w:p w:rsidR="00B7342A" w:rsidRPr="00DA0DCD" w:rsidRDefault="00B7342A" w:rsidP="00B7342A">
      <w:pPr>
        <w:spacing w:after="0"/>
        <w:rPr>
          <w:bCs/>
          <w:lang w:val="en-US"/>
        </w:rPr>
      </w:pPr>
      <w:r w:rsidRPr="00DA0DCD">
        <w:rPr>
          <w:bCs/>
          <w:noProof/>
          <w:lang w:eastAsia="nl-NL"/>
        </w:rPr>
        <w:drawing>
          <wp:inline distT="0" distB="0" distL="0" distR="0">
            <wp:extent cx="2008158" cy="538649"/>
            <wp:effectExtent l="1905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2008158" cy="538649"/>
                    </a:xfrm>
                    <a:prstGeom prst="rect">
                      <a:avLst/>
                    </a:prstGeom>
                    <a:noFill/>
                    <a:ln w="9525">
                      <a:noFill/>
                      <a:miter lim="800000"/>
                      <a:headEnd/>
                      <a:tailEnd/>
                    </a:ln>
                  </pic:spPr>
                </pic:pic>
              </a:graphicData>
            </a:graphic>
          </wp:inline>
        </w:drawing>
      </w:r>
      <w:r w:rsidR="00570D1E" w:rsidRPr="00DA0DCD">
        <w:rPr>
          <w:bCs/>
          <w:lang w:val="en-US"/>
        </w:rPr>
        <w:t>(</w:t>
      </w:r>
      <w:r w:rsidR="00A365AA" w:rsidRPr="00DA0DCD">
        <w:rPr>
          <w:bCs/>
          <w:lang w:val="en-US"/>
        </w:rPr>
        <w:t>3.</w:t>
      </w:r>
      <w:r w:rsidR="00570D1E" w:rsidRPr="00DA0DCD">
        <w:rPr>
          <w:bCs/>
          <w:lang w:val="en-US"/>
        </w:rPr>
        <w:t>2</w:t>
      </w:r>
      <w:r w:rsidRPr="00DA0DCD">
        <w:rPr>
          <w:bCs/>
          <w:lang w:val="en-US"/>
        </w:rPr>
        <w:t>)</w:t>
      </w:r>
    </w:p>
    <w:p w:rsidR="00C1706E" w:rsidRPr="00DA0DCD" w:rsidRDefault="00B7342A" w:rsidP="00941F3C">
      <w:pPr>
        <w:rPr>
          <w:bCs/>
          <w:lang w:val="en-US"/>
        </w:rPr>
      </w:pPr>
      <w:r w:rsidRPr="00DA0DCD">
        <w:rPr>
          <w:bCs/>
          <w:lang w:val="en-US"/>
        </w:rPr>
        <w:t>Where R</w:t>
      </w:r>
      <w:r w:rsidRPr="00DA0DCD">
        <w:rPr>
          <w:bCs/>
          <w:vertAlign w:val="subscript"/>
          <w:lang w:val="en-US"/>
        </w:rPr>
        <w:t>it</w:t>
      </w:r>
      <w:r w:rsidRPr="00DA0DCD">
        <w:rPr>
          <w:bCs/>
          <w:lang w:val="en-US"/>
        </w:rPr>
        <w:t xml:space="preserve"> is the return on security</w:t>
      </w:r>
      <w:r w:rsidR="00AD201A" w:rsidRPr="00DA0DCD">
        <w:rPr>
          <w:bCs/>
          <w:lang w:val="en-US"/>
        </w:rPr>
        <w:t xml:space="preserve"> of a firm</w:t>
      </w:r>
      <w:r w:rsidRPr="00DA0DCD">
        <w:rPr>
          <w:bCs/>
          <w:lang w:val="en-US"/>
        </w:rPr>
        <w:t xml:space="preserve"> </w:t>
      </w:r>
      <w:r w:rsidRPr="00DA0DCD">
        <w:rPr>
          <w:bCs/>
          <w:i/>
          <w:lang w:val="en-US"/>
        </w:rPr>
        <w:t>i</w:t>
      </w:r>
      <w:r w:rsidRPr="00DA0DCD">
        <w:rPr>
          <w:bCs/>
          <w:lang w:val="en-US"/>
        </w:rPr>
        <w:t xml:space="preserve"> in the </w:t>
      </w:r>
      <w:r w:rsidR="00AD201A" w:rsidRPr="00DA0DCD">
        <w:rPr>
          <w:bCs/>
          <w:lang w:val="en-US"/>
        </w:rPr>
        <w:t xml:space="preserve">event </w:t>
      </w:r>
      <w:r w:rsidRPr="00DA0DCD">
        <w:rPr>
          <w:bCs/>
          <w:lang w:val="en-US"/>
        </w:rPr>
        <w:t xml:space="preserve">period </w:t>
      </w:r>
      <w:r w:rsidRPr="00DA0DCD">
        <w:rPr>
          <w:bCs/>
          <w:i/>
          <w:lang w:val="en-US"/>
        </w:rPr>
        <w:t>t</w:t>
      </w:r>
      <w:r w:rsidRPr="00DA0DCD">
        <w:rPr>
          <w:bCs/>
          <w:lang w:val="en-US"/>
        </w:rPr>
        <w:t xml:space="preserve">, </w:t>
      </w:r>
      <w:r w:rsidRPr="00DA0DCD">
        <w:rPr>
          <w:bCs/>
          <w:noProof/>
          <w:lang w:eastAsia="nl-NL"/>
        </w:rPr>
        <w:drawing>
          <wp:inline distT="0" distB="0" distL="0" distR="0">
            <wp:extent cx="171450" cy="171450"/>
            <wp:effectExtent l="1905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180159" cy="180159"/>
                    </a:xfrm>
                    <a:prstGeom prst="rect">
                      <a:avLst/>
                    </a:prstGeom>
                    <a:noFill/>
                    <a:ln w="9525">
                      <a:noFill/>
                      <a:miter lim="800000"/>
                      <a:headEnd/>
                      <a:tailEnd/>
                    </a:ln>
                  </pic:spPr>
                </pic:pic>
              </a:graphicData>
            </a:graphic>
          </wp:inline>
        </w:drawing>
      </w:r>
      <w:r w:rsidRPr="00DA0DCD">
        <w:rPr>
          <w:bCs/>
          <w:lang w:val="en-US"/>
        </w:rPr>
        <w:t xml:space="preserve">is the mean return on </w:t>
      </w:r>
      <w:r w:rsidR="001F1BA6" w:rsidRPr="00DA0DCD">
        <w:rPr>
          <w:bCs/>
          <w:lang w:val="en-US"/>
        </w:rPr>
        <w:t>securities</w:t>
      </w:r>
      <w:r w:rsidR="00B837B1" w:rsidRPr="00DA0DCD">
        <w:rPr>
          <w:bCs/>
          <w:lang w:val="en-US"/>
        </w:rPr>
        <w:t xml:space="preserve"> i. The mean return is measured by the mean </w:t>
      </w:r>
      <w:r w:rsidR="00D80EBD" w:rsidRPr="00DA0DCD">
        <w:rPr>
          <w:bCs/>
          <w:lang w:val="en-US"/>
        </w:rPr>
        <w:t xml:space="preserve">return </w:t>
      </w:r>
      <w:r w:rsidR="00B837B1" w:rsidRPr="00DA0DCD">
        <w:rPr>
          <w:bCs/>
          <w:lang w:val="en-US"/>
        </w:rPr>
        <w:t>of security prices over the estimation</w:t>
      </w:r>
      <w:r w:rsidR="00AB2D2E" w:rsidRPr="00DA0DCD">
        <w:rPr>
          <w:bCs/>
          <w:lang w:val="en-US"/>
        </w:rPr>
        <w:t xml:space="preserve"> window.</w:t>
      </w:r>
      <w:r w:rsidR="00B837B1" w:rsidRPr="00DA0DCD">
        <w:rPr>
          <w:bCs/>
          <w:lang w:val="en-US"/>
        </w:rPr>
        <w:t xml:space="preserve"> </w:t>
      </w:r>
      <w:r w:rsidR="00AB2D2E" w:rsidRPr="00DA0DCD">
        <w:rPr>
          <w:bCs/>
          <w:lang w:val="en-US"/>
        </w:rPr>
        <w:t xml:space="preserve"> W</w:t>
      </w:r>
      <w:r w:rsidR="00B837B1" w:rsidRPr="00DA0DCD">
        <w:rPr>
          <w:bCs/>
          <w:lang w:val="en-US"/>
        </w:rPr>
        <w:t>here the estimation window is a period of trading days prior to the event windows.</w:t>
      </w:r>
      <w:r w:rsidRPr="00DA0DCD">
        <w:rPr>
          <w:bCs/>
          <w:lang w:val="en-US"/>
        </w:rPr>
        <w:t xml:space="preserve"> </w:t>
      </w:r>
      <w:r w:rsidR="00AB2D2E" w:rsidRPr="00DA0DCD">
        <w:rPr>
          <w:bCs/>
          <w:lang w:val="en-US"/>
        </w:rPr>
        <w:t xml:space="preserve"> The</w:t>
      </w:r>
      <w:r w:rsidRPr="00DA0DCD">
        <w:rPr>
          <w:bCs/>
          <w:noProof/>
          <w:lang w:eastAsia="nl-NL"/>
        </w:rPr>
        <w:drawing>
          <wp:inline distT="0" distB="0" distL="0" distR="0">
            <wp:extent cx="162104" cy="174978"/>
            <wp:effectExtent l="19050" t="0" r="9346" b="0"/>
            <wp:docPr id="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169052" cy="182478"/>
                    </a:xfrm>
                    <a:prstGeom prst="rect">
                      <a:avLst/>
                    </a:prstGeom>
                    <a:noFill/>
                    <a:ln w="9525">
                      <a:noFill/>
                      <a:miter lim="800000"/>
                      <a:headEnd/>
                      <a:tailEnd/>
                    </a:ln>
                  </pic:spPr>
                </pic:pic>
              </a:graphicData>
            </a:graphic>
          </wp:inline>
        </w:drawing>
      </w:r>
      <w:r w:rsidR="00AB2D2E" w:rsidRPr="00DA0DCD">
        <w:rPr>
          <w:bCs/>
          <w:lang w:val="en-US"/>
        </w:rPr>
        <w:t xml:space="preserve">variable </w:t>
      </w:r>
      <w:r w:rsidRPr="00DA0DCD">
        <w:rPr>
          <w:bCs/>
          <w:lang w:val="en-US"/>
        </w:rPr>
        <w:t xml:space="preserve">is the time period </w:t>
      </w:r>
      <w:r w:rsidRPr="00DA0DCD">
        <w:rPr>
          <w:bCs/>
          <w:i/>
          <w:lang w:val="en-US"/>
        </w:rPr>
        <w:t>t</w:t>
      </w:r>
      <w:r w:rsidRPr="00DA0DCD">
        <w:rPr>
          <w:bCs/>
          <w:lang w:val="en-US"/>
        </w:rPr>
        <w:t xml:space="preserve"> disturbance term for </w:t>
      </w:r>
      <w:r w:rsidRPr="00DA0DCD">
        <w:rPr>
          <w:bCs/>
          <w:i/>
          <w:lang w:val="en-US"/>
        </w:rPr>
        <w:t>i</w:t>
      </w:r>
      <w:r w:rsidRPr="00DA0DCD">
        <w:rPr>
          <w:bCs/>
          <w:lang w:val="en-US"/>
        </w:rPr>
        <w:t xml:space="preserve"> security with a variance </w:t>
      </w:r>
      <w:r w:rsidRPr="00DA0DCD">
        <w:rPr>
          <w:bCs/>
          <w:noProof/>
          <w:lang w:eastAsia="nl-NL"/>
        </w:rPr>
        <w:drawing>
          <wp:inline distT="0" distB="0" distL="0" distR="0">
            <wp:extent cx="136226" cy="149581"/>
            <wp:effectExtent l="19050" t="0" r="0" b="0"/>
            <wp:docPr id="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138389" cy="151956"/>
                    </a:xfrm>
                    <a:prstGeom prst="rect">
                      <a:avLst/>
                    </a:prstGeom>
                    <a:noFill/>
                    <a:ln w="9525">
                      <a:noFill/>
                      <a:miter lim="800000"/>
                      <a:headEnd/>
                      <a:tailEnd/>
                    </a:ln>
                  </pic:spPr>
                </pic:pic>
              </a:graphicData>
            </a:graphic>
          </wp:inline>
        </w:drawing>
      </w:r>
      <w:r w:rsidRPr="00DA0DCD">
        <w:rPr>
          <w:bCs/>
          <w:lang w:val="en-US"/>
        </w:rPr>
        <w:t xml:space="preserve"> and expectations of zero. </w:t>
      </w:r>
      <w:r w:rsidR="001F1BA6" w:rsidRPr="00DA0DCD">
        <w:rPr>
          <w:bCs/>
          <w:lang w:val="en-US"/>
        </w:rPr>
        <w:t>In other words</w:t>
      </w:r>
      <w:r w:rsidR="00440553">
        <w:rPr>
          <w:bCs/>
          <w:lang w:val="en-US"/>
        </w:rPr>
        <w:t>,</w:t>
      </w:r>
      <w:r w:rsidR="001F1BA6" w:rsidRPr="00DA0DCD">
        <w:rPr>
          <w:bCs/>
          <w:lang w:val="en-US"/>
        </w:rPr>
        <w:t xml:space="preserve"> the error term could also be described as </w:t>
      </w:r>
      <w:r w:rsidR="001F1BA6" w:rsidRPr="00DA0DCD">
        <w:rPr>
          <w:rFonts w:ascii="Times New Roman" w:hAnsi="Times New Roman" w:cs="Times New Roman"/>
          <w:lang w:val="en-US"/>
        </w:rPr>
        <w:t>ε</w:t>
      </w:r>
      <w:r w:rsidR="001F1BA6" w:rsidRPr="00DA0DCD">
        <w:rPr>
          <w:rFonts w:ascii="Times New Roman" w:hAnsi="Times New Roman" w:cs="Times New Roman"/>
          <w:sz w:val="14"/>
          <w:szCs w:val="14"/>
          <w:lang w:val="en-US"/>
        </w:rPr>
        <w:t>it</w:t>
      </w:r>
      <w:r w:rsidR="001F1BA6" w:rsidRPr="00DA0DCD">
        <w:rPr>
          <w:bCs/>
          <w:lang w:val="en-US"/>
        </w:rPr>
        <w:t xml:space="preserve">. </w:t>
      </w:r>
      <w:r w:rsidRPr="00DA0DCD">
        <w:rPr>
          <w:bCs/>
          <w:lang w:val="en-US"/>
        </w:rPr>
        <w:t>The disadvantage of this model is the lack of sensi</w:t>
      </w:r>
      <w:r w:rsidR="00A5305C" w:rsidRPr="00DA0DCD">
        <w:rPr>
          <w:bCs/>
          <w:lang w:val="en-US"/>
        </w:rPr>
        <w:t>ti</w:t>
      </w:r>
      <w:r w:rsidRPr="00DA0DCD">
        <w:rPr>
          <w:bCs/>
          <w:lang w:val="en-US"/>
        </w:rPr>
        <w:t xml:space="preserve">vity. This can be attributed to </w:t>
      </w:r>
      <w:r w:rsidR="00A16E8E" w:rsidRPr="00DA0DCD">
        <w:rPr>
          <w:bCs/>
          <w:lang w:val="en-US"/>
        </w:rPr>
        <w:t xml:space="preserve">the fact that the variance of the abnormal return is frequently not much reduced. </w:t>
      </w:r>
    </w:p>
    <w:p w:rsidR="00850292" w:rsidRPr="00DA0DCD" w:rsidRDefault="00850292" w:rsidP="0002210A">
      <w:pPr>
        <w:pStyle w:val="Lijstalinea"/>
        <w:numPr>
          <w:ilvl w:val="0"/>
          <w:numId w:val="21"/>
        </w:numPr>
        <w:spacing w:after="0"/>
        <w:rPr>
          <w:bCs/>
          <w:i/>
          <w:u w:val="single"/>
          <w:lang w:val="en-US"/>
        </w:rPr>
      </w:pPr>
      <w:r w:rsidRPr="00DA0DCD">
        <w:rPr>
          <w:bCs/>
          <w:i/>
          <w:u w:val="single"/>
          <w:lang w:val="en-US"/>
        </w:rPr>
        <w:t>The market model</w:t>
      </w:r>
    </w:p>
    <w:p w:rsidR="00B7342A" w:rsidRPr="00DA0DCD" w:rsidRDefault="00A5305C" w:rsidP="00850292">
      <w:pPr>
        <w:spacing w:after="0"/>
        <w:rPr>
          <w:bCs/>
          <w:lang w:val="en-US"/>
        </w:rPr>
      </w:pPr>
      <w:r w:rsidRPr="00DA0DCD">
        <w:rPr>
          <w:bCs/>
          <w:lang w:val="en-US"/>
        </w:rPr>
        <w:t xml:space="preserve">The market model is a statistical model </w:t>
      </w:r>
      <w:r w:rsidR="000F6FCF" w:rsidRPr="00DA0DCD">
        <w:rPr>
          <w:bCs/>
          <w:lang w:val="en-US"/>
        </w:rPr>
        <w:t>that</w:t>
      </w:r>
      <w:r w:rsidRPr="00DA0DCD">
        <w:rPr>
          <w:bCs/>
          <w:lang w:val="en-US"/>
        </w:rPr>
        <w:t xml:space="preserve"> the return of securities </w:t>
      </w:r>
      <w:r w:rsidR="000F6FCF" w:rsidRPr="00DA0DCD">
        <w:rPr>
          <w:bCs/>
          <w:lang w:val="en-US"/>
        </w:rPr>
        <w:t xml:space="preserve">relates </w:t>
      </w:r>
      <w:r w:rsidRPr="00DA0DCD">
        <w:rPr>
          <w:bCs/>
          <w:lang w:val="en-US"/>
        </w:rPr>
        <w:t>to the market portfolio return.</w:t>
      </w:r>
    </w:p>
    <w:p w:rsidR="00A5305C" w:rsidRPr="00DA0DCD" w:rsidRDefault="00A5305C" w:rsidP="00941F3C">
      <w:pPr>
        <w:rPr>
          <w:bCs/>
          <w:lang w:val="en-US"/>
        </w:rPr>
      </w:pPr>
      <w:r w:rsidRPr="00DA0DCD">
        <w:rPr>
          <w:bCs/>
          <w:noProof/>
          <w:lang w:eastAsia="nl-NL"/>
        </w:rPr>
        <w:lastRenderedPageBreak/>
        <w:drawing>
          <wp:inline distT="0" distB="0" distL="0" distR="0">
            <wp:extent cx="1896014" cy="484026"/>
            <wp:effectExtent l="19050" t="0" r="8986" b="0"/>
            <wp:docPr id="9"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1898159" cy="484574"/>
                    </a:xfrm>
                    <a:prstGeom prst="rect">
                      <a:avLst/>
                    </a:prstGeom>
                    <a:noFill/>
                    <a:ln w="9525">
                      <a:noFill/>
                      <a:miter lim="800000"/>
                      <a:headEnd/>
                      <a:tailEnd/>
                    </a:ln>
                  </pic:spPr>
                </pic:pic>
              </a:graphicData>
            </a:graphic>
          </wp:inline>
        </w:drawing>
      </w:r>
      <w:r w:rsidRPr="00DA0DCD">
        <w:rPr>
          <w:bCs/>
          <w:lang w:val="en-US"/>
        </w:rPr>
        <w:t xml:space="preserve"> (</w:t>
      </w:r>
      <w:r w:rsidR="00570D1E" w:rsidRPr="00DA0DCD">
        <w:rPr>
          <w:bCs/>
          <w:lang w:val="en-US"/>
        </w:rPr>
        <w:t>3</w:t>
      </w:r>
      <w:r w:rsidR="00A365AA" w:rsidRPr="00DA0DCD">
        <w:rPr>
          <w:bCs/>
          <w:lang w:val="en-US"/>
        </w:rPr>
        <w:t>.3</w:t>
      </w:r>
      <w:r w:rsidRPr="00DA0DCD">
        <w:rPr>
          <w:bCs/>
          <w:lang w:val="en-US"/>
        </w:rPr>
        <w:t>)</w:t>
      </w:r>
    </w:p>
    <w:p w:rsidR="00DF4908" w:rsidRPr="00DA0DCD" w:rsidRDefault="00A5305C" w:rsidP="00941F3C">
      <w:pPr>
        <w:rPr>
          <w:bCs/>
          <w:lang w:val="en-US"/>
        </w:rPr>
      </w:pPr>
      <w:r w:rsidRPr="00DA0DCD">
        <w:rPr>
          <w:bCs/>
          <w:lang w:val="en-US"/>
        </w:rPr>
        <w:t>Also here the R</w:t>
      </w:r>
      <w:r w:rsidRPr="00DA0DCD">
        <w:rPr>
          <w:bCs/>
          <w:vertAlign w:val="subscript"/>
          <w:lang w:val="en-US"/>
        </w:rPr>
        <w:t xml:space="preserve">it </w:t>
      </w:r>
      <w:r w:rsidRPr="00DA0DCD">
        <w:rPr>
          <w:bCs/>
          <w:lang w:val="en-US"/>
        </w:rPr>
        <w:t xml:space="preserve">is the return of </w:t>
      </w:r>
      <w:r w:rsidR="00570D1E" w:rsidRPr="00DA0DCD">
        <w:rPr>
          <w:bCs/>
          <w:lang w:val="en-US"/>
        </w:rPr>
        <w:t>security</w:t>
      </w:r>
      <w:r w:rsidR="00AD201A" w:rsidRPr="00DA0DCD">
        <w:rPr>
          <w:bCs/>
          <w:lang w:val="en-US"/>
        </w:rPr>
        <w:t xml:space="preserve"> of a firm</w:t>
      </w:r>
      <w:r w:rsidRPr="00DA0DCD">
        <w:rPr>
          <w:bCs/>
          <w:lang w:val="en-US"/>
        </w:rPr>
        <w:t xml:space="preserve"> </w:t>
      </w:r>
      <w:r w:rsidRPr="00DA0DCD">
        <w:rPr>
          <w:bCs/>
          <w:i/>
          <w:lang w:val="en-US"/>
        </w:rPr>
        <w:t>i</w:t>
      </w:r>
      <w:r w:rsidRPr="00DA0DCD">
        <w:rPr>
          <w:bCs/>
          <w:lang w:val="en-US"/>
        </w:rPr>
        <w:t xml:space="preserve"> in the </w:t>
      </w:r>
      <w:r w:rsidR="00AD201A" w:rsidRPr="00DA0DCD">
        <w:rPr>
          <w:bCs/>
          <w:lang w:val="en-US"/>
        </w:rPr>
        <w:t xml:space="preserve">event </w:t>
      </w:r>
      <w:r w:rsidRPr="00DA0DCD">
        <w:rPr>
          <w:bCs/>
          <w:lang w:val="en-US"/>
        </w:rPr>
        <w:t xml:space="preserve">period </w:t>
      </w:r>
      <w:r w:rsidRPr="00DA0DCD">
        <w:rPr>
          <w:bCs/>
          <w:i/>
          <w:lang w:val="en-US"/>
        </w:rPr>
        <w:t>t</w:t>
      </w:r>
      <w:r w:rsidRPr="00DA0DCD">
        <w:rPr>
          <w:bCs/>
          <w:lang w:val="en-US"/>
        </w:rPr>
        <w:t xml:space="preserve"> and R</w:t>
      </w:r>
      <w:r w:rsidRPr="00DA0DCD">
        <w:rPr>
          <w:bCs/>
          <w:vertAlign w:val="subscript"/>
          <w:lang w:val="en-US"/>
        </w:rPr>
        <w:t xml:space="preserve">mt </w:t>
      </w:r>
      <w:r w:rsidRPr="00DA0DCD">
        <w:rPr>
          <w:bCs/>
          <w:lang w:val="en-US"/>
        </w:rPr>
        <w:t xml:space="preserve">is the market portfolio return in period </w:t>
      </w:r>
      <w:r w:rsidRPr="00DA0DCD">
        <w:rPr>
          <w:bCs/>
          <w:i/>
          <w:lang w:val="en-US"/>
        </w:rPr>
        <w:t>t</w:t>
      </w:r>
      <w:r w:rsidRPr="00DA0DCD">
        <w:rPr>
          <w:bCs/>
          <w:lang w:val="en-US"/>
        </w:rPr>
        <w:t xml:space="preserve">. </w:t>
      </w:r>
      <w:r w:rsidR="009310A5" w:rsidRPr="00DA0DCD">
        <w:rPr>
          <w:rFonts w:ascii="Times New Roman" w:hAnsi="Times New Roman" w:cs="Times New Roman"/>
          <w:lang w:val="en-US"/>
        </w:rPr>
        <w:t>ε</w:t>
      </w:r>
      <w:r w:rsidR="009310A5" w:rsidRPr="00DA0DCD">
        <w:rPr>
          <w:rFonts w:ascii="Times New Roman" w:hAnsi="Times New Roman" w:cs="Times New Roman"/>
          <w:sz w:val="14"/>
          <w:szCs w:val="14"/>
          <w:lang w:val="en-US"/>
        </w:rPr>
        <w:t>it</w:t>
      </w:r>
      <w:r w:rsidR="009310A5" w:rsidRPr="00DA0DCD">
        <w:rPr>
          <w:rFonts w:ascii="TimesNewRomanPSMT" w:hAnsi="TimesNewRomanPSMT" w:cs="TimesNewRomanPSMT"/>
          <w:sz w:val="14"/>
          <w:szCs w:val="14"/>
          <w:lang w:val="en-US"/>
        </w:rPr>
        <w:t xml:space="preserve"> </w:t>
      </w:r>
      <w:r w:rsidR="00570D1E" w:rsidRPr="00DA0DCD">
        <w:rPr>
          <w:bCs/>
          <w:lang w:val="en-US"/>
        </w:rPr>
        <w:t xml:space="preserve"> is the zero mean disturbance term, the other variables are the parameters of the market model</w:t>
      </w:r>
      <w:r w:rsidR="00AD4337" w:rsidRPr="00DA0DCD">
        <w:rPr>
          <w:bCs/>
          <w:lang w:val="en-US"/>
        </w:rPr>
        <w:t>, like the intercept and the s</w:t>
      </w:r>
      <w:r w:rsidR="00D80EBD" w:rsidRPr="00DA0DCD">
        <w:rPr>
          <w:bCs/>
          <w:lang w:val="en-US"/>
        </w:rPr>
        <w:t>l</w:t>
      </w:r>
      <w:r w:rsidR="00AD4337" w:rsidRPr="00DA0DCD">
        <w:rPr>
          <w:bCs/>
          <w:lang w:val="en-US"/>
        </w:rPr>
        <w:t>ope</w:t>
      </w:r>
      <w:r w:rsidR="00570D1E" w:rsidRPr="00DA0DCD">
        <w:rPr>
          <w:bCs/>
          <w:lang w:val="en-US"/>
        </w:rPr>
        <w:t>.</w:t>
      </w:r>
      <w:r w:rsidR="00AD4337" w:rsidRPr="00DA0DCD">
        <w:rPr>
          <w:bCs/>
          <w:lang w:val="en-US"/>
        </w:rPr>
        <w:t xml:space="preserve"> </w:t>
      </w:r>
      <w:r w:rsidR="002E290F" w:rsidRPr="00DA0DCD">
        <w:rPr>
          <w:bCs/>
          <w:lang w:val="en-US"/>
        </w:rPr>
        <w:t xml:space="preserve">The intercept and slope are measured over an estimation window of about </w:t>
      </w:r>
      <w:r w:rsidR="00AD201A" w:rsidRPr="00DA0DCD">
        <w:rPr>
          <w:bCs/>
          <w:lang w:val="en-US"/>
        </w:rPr>
        <w:t>120</w:t>
      </w:r>
      <w:r w:rsidR="002E290F" w:rsidRPr="00DA0DCD">
        <w:rPr>
          <w:bCs/>
          <w:lang w:val="en-US"/>
        </w:rPr>
        <w:t>-500 trading days before the event. An estimation window is a period before the event and set for the measurement of the normal return of a firm.</w:t>
      </w:r>
      <w:r w:rsidR="00AD201A" w:rsidRPr="00DA0DCD">
        <w:rPr>
          <w:bCs/>
          <w:lang w:val="en-US"/>
        </w:rPr>
        <w:t xml:space="preserve"> The normal return R</w:t>
      </w:r>
      <w:r w:rsidR="00AD201A" w:rsidRPr="00DA0DCD">
        <w:rPr>
          <w:bCs/>
          <w:vertAlign w:val="subscript"/>
          <w:lang w:val="en-US"/>
        </w:rPr>
        <w:t>it</w:t>
      </w:r>
      <w:r w:rsidR="00AD201A" w:rsidRPr="00DA0DCD">
        <w:rPr>
          <w:bCs/>
          <w:lang w:val="en-US"/>
        </w:rPr>
        <w:t xml:space="preserve"> is a result of the intercept over the estimation window plus the slope of the estimation window multiplied with the market portfolio return in period </w:t>
      </w:r>
      <w:r w:rsidR="00AD201A" w:rsidRPr="00DA0DCD">
        <w:rPr>
          <w:bCs/>
          <w:i/>
          <w:lang w:val="en-US"/>
        </w:rPr>
        <w:t>t.</w:t>
      </w:r>
    </w:p>
    <w:p w:rsidR="00850292" w:rsidRPr="00DA0DCD" w:rsidRDefault="00C50B2B" w:rsidP="0002210A">
      <w:pPr>
        <w:pStyle w:val="Lijstalinea"/>
        <w:numPr>
          <w:ilvl w:val="0"/>
          <w:numId w:val="21"/>
        </w:numPr>
        <w:spacing w:after="0"/>
        <w:rPr>
          <w:bCs/>
          <w:i/>
          <w:u w:val="single"/>
          <w:lang w:val="en-US"/>
        </w:rPr>
      </w:pPr>
      <w:r w:rsidRPr="00DA0DCD">
        <w:rPr>
          <w:bCs/>
          <w:i/>
          <w:u w:val="single"/>
          <w:lang w:val="en-US"/>
        </w:rPr>
        <w:t>Other statistical models</w:t>
      </w:r>
    </w:p>
    <w:p w:rsidR="00B837B1" w:rsidRPr="00DA0DCD" w:rsidRDefault="00C50B2B" w:rsidP="00B837B1">
      <w:pPr>
        <w:rPr>
          <w:lang w:val="en-US"/>
        </w:rPr>
      </w:pPr>
      <w:r w:rsidRPr="00DA0DCD">
        <w:rPr>
          <w:lang w:val="en-US"/>
        </w:rPr>
        <w:t xml:space="preserve">A general other statistical model used in researches is the </w:t>
      </w:r>
      <w:r w:rsidR="00B5321E" w:rsidRPr="00DA0DCD">
        <w:rPr>
          <w:lang w:val="en-US"/>
        </w:rPr>
        <w:t xml:space="preserve">factor model. The factor model is equal to the market model presented above, but there are more factors included next to the market portfolio return and the error. The factor models are motivated by their benefits. As benefit </w:t>
      </w:r>
      <w:r w:rsidR="00B5321E" w:rsidRPr="00DA0DCD">
        <w:rPr>
          <w:bCs/>
          <w:lang w:val="en-US"/>
        </w:rPr>
        <w:t xml:space="preserve">MacKinlay (1997) state that </w:t>
      </w:r>
      <w:r w:rsidR="00AD4337" w:rsidRPr="00DA0DCD">
        <w:rPr>
          <w:bCs/>
          <w:lang w:val="en-US"/>
        </w:rPr>
        <w:t xml:space="preserve">more variations in the model </w:t>
      </w:r>
      <w:r w:rsidR="00414113" w:rsidRPr="00DA0DCD">
        <w:rPr>
          <w:bCs/>
          <w:lang w:val="en-US"/>
        </w:rPr>
        <w:t xml:space="preserve">explaining the normal return, thereby the variance of the abnormal returns are </w:t>
      </w:r>
      <w:r w:rsidR="00FB1467" w:rsidRPr="00DA0DCD">
        <w:rPr>
          <w:bCs/>
          <w:lang w:val="en-US"/>
        </w:rPr>
        <w:t>reduced compared with the market model.</w:t>
      </w:r>
      <w:r w:rsidR="00951AA0" w:rsidRPr="00DA0DCD">
        <w:rPr>
          <w:bCs/>
          <w:lang w:val="en-US"/>
        </w:rPr>
        <w:t xml:space="preserve"> </w:t>
      </w:r>
      <w:r w:rsidR="000B772B" w:rsidRPr="00DA0DCD">
        <w:rPr>
          <w:bCs/>
          <w:lang w:val="en-US"/>
        </w:rPr>
        <w:t xml:space="preserve">For the research of this thesis, the factor model will be used. An example of a factor model is presented in </w:t>
      </w:r>
      <w:r w:rsidR="00947A7D" w:rsidRPr="00DA0DCD">
        <w:rPr>
          <w:lang w:val="en-US"/>
        </w:rPr>
        <w:t>paragraph</w:t>
      </w:r>
      <w:r w:rsidR="000B772B" w:rsidRPr="00DA0DCD">
        <w:rPr>
          <w:bCs/>
          <w:lang w:val="en-US"/>
        </w:rPr>
        <w:t xml:space="preserve"> 3.3.2. The motivation for choosing this factor model is presented in </w:t>
      </w:r>
      <w:r w:rsidR="00947A7D" w:rsidRPr="00DA0DCD">
        <w:rPr>
          <w:bCs/>
          <w:lang w:val="en-US"/>
        </w:rPr>
        <w:t>paragraph</w:t>
      </w:r>
      <w:r w:rsidR="000B772B" w:rsidRPr="00DA0DCD">
        <w:rPr>
          <w:bCs/>
          <w:lang w:val="en-US"/>
        </w:rPr>
        <w:t xml:space="preserve"> 3.3.3.</w:t>
      </w:r>
    </w:p>
    <w:p w:rsidR="00B837B1" w:rsidRPr="00DA0DCD" w:rsidRDefault="0002210A" w:rsidP="00553791">
      <w:pPr>
        <w:pStyle w:val="Geenafstand"/>
        <w:rPr>
          <w:b/>
          <w:lang w:val="en-US"/>
        </w:rPr>
      </w:pPr>
      <w:r w:rsidRPr="00DA0DCD">
        <w:rPr>
          <w:b/>
          <w:lang w:val="en-US"/>
        </w:rPr>
        <w:t>Results of the model</w:t>
      </w:r>
    </w:p>
    <w:p w:rsidR="00951AA0" w:rsidRPr="00DA0DCD" w:rsidRDefault="00553791" w:rsidP="00B837B1">
      <w:pPr>
        <w:rPr>
          <w:lang w:val="en-US"/>
        </w:rPr>
      </w:pPr>
      <w:r w:rsidRPr="00DA0DCD">
        <w:rPr>
          <w:lang w:val="en-US"/>
        </w:rPr>
        <w:t>The results of the normal return model</w:t>
      </w:r>
      <w:r w:rsidR="00281172" w:rsidRPr="00DA0DCD">
        <w:rPr>
          <w:lang w:val="en-US"/>
        </w:rPr>
        <w:t xml:space="preserve"> (constant mean model)</w:t>
      </w:r>
      <w:r w:rsidRPr="00DA0DCD">
        <w:rPr>
          <w:lang w:val="en-US"/>
        </w:rPr>
        <w:t xml:space="preserve"> are entered in the abnormal return model. Then the abnormal return is measured by the actual return minus the outcome of the normal return model. </w:t>
      </w:r>
      <w:r w:rsidR="00281172" w:rsidRPr="00DA0DCD">
        <w:rPr>
          <w:lang w:val="en-US"/>
        </w:rPr>
        <w:t xml:space="preserve"> In the market mode</w:t>
      </w:r>
      <w:r w:rsidR="004B2E6C" w:rsidRPr="00DA0DCD">
        <w:rPr>
          <w:lang w:val="en-US"/>
        </w:rPr>
        <w:t>l</w:t>
      </w:r>
      <w:r w:rsidR="00281172" w:rsidRPr="00DA0DCD">
        <w:rPr>
          <w:lang w:val="en-US"/>
        </w:rPr>
        <w:t>, the</w:t>
      </w:r>
      <w:r w:rsidR="00951AA0" w:rsidRPr="00DA0DCD">
        <w:rPr>
          <w:bCs/>
          <w:lang w:val="en-US"/>
        </w:rPr>
        <w:t xml:space="preserve"> abnormal return is measured by the return of security </w:t>
      </w:r>
      <w:r w:rsidR="00951AA0" w:rsidRPr="00DA0DCD">
        <w:rPr>
          <w:bCs/>
          <w:i/>
          <w:lang w:val="en-US"/>
        </w:rPr>
        <w:t>i</w:t>
      </w:r>
      <w:r w:rsidR="00951AA0" w:rsidRPr="00DA0DCD">
        <w:rPr>
          <w:bCs/>
          <w:lang w:val="en-US"/>
        </w:rPr>
        <w:t xml:space="preserve"> in the period </w:t>
      </w:r>
      <w:r w:rsidR="00951AA0" w:rsidRPr="00DA0DCD">
        <w:rPr>
          <w:bCs/>
          <w:i/>
          <w:lang w:val="en-US"/>
        </w:rPr>
        <w:t>t</w:t>
      </w:r>
      <w:r w:rsidR="00951AA0" w:rsidRPr="00DA0DCD">
        <w:rPr>
          <w:bCs/>
          <w:lang w:val="en-US"/>
        </w:rPr>
        <w:t xml:space="preserve"> minus the intercept and minus the slope multiplied with the market portfolio return in period </w:t>
      </w:r>
      <w:r w:rsidR="00951AA0" w:rsidRPr="00DA0DCD">
        <w:rPr>
          <w:bCs/>
          <w:i/>
          <w:lang w:val="en-US"/>
        </w:rPr>
        <w:t>t.</w:t>
      </w:r>
      <w:r w:rsidR="00281172" w:rsidRPr="00DA0DCD">
        <w:rPr>
          <w:bCs/>
          <w:lang w:val="en-US"/>
        </w:rPr>
        <w:t xml:space="preserve"> The abnormal returns resulting from the models are a</w:t>
      </w:r>
      <w:r w:rsidR="00951AA0" w:rsidRPr="00DA0DCD">
        <w:rPr>
          <w:bCs/>
          <w:lang w:val="en-US"/>
        </w:rPr>
        <w:t xml:space="preserve">ggregated across </w:t>
      </w:r>
      <w:r w:rsidR="00281172" w:rsidRPr="00DA0DCD">
        <w:rPr>
          <w:bCs/>
          <w:lang w:val="en-US"/>
        </w:rPr>
        <w:t>time</w:t>
      </w:r>
      <w:r w:rsidR="00FF76A5" w:rsidRPr="00DA0DCD">
        <w:rPr>
          <w:bCs/>
          <w:lang w:val="en-US"/>
        </w:rPr>
        <w:t xml:space="preserve"> and securities</w:t>
      </w:r>
      <w:r w:rsidR="00281172" w:rsidRPr="00DA0DCD">
        <w:rPr>
          <w:bCs/>
          <w:lang w:val="en-US"/>
        </w:rPr>
        <w:t xml:space="preserve">. For the abnormal return aggregation across time, the sample cumulative abnormal return (CAR) should be defined. </w:t>
      </w:r>
      <w:r w:rsidR="00FF76A5" w:rsidRPr="00DA0DCD">
        <w:rPr>
          <w:bCs/>
          <w:lang w:val="en-US"/>
        </w:rPr>
        <w:t>Than the abnormal return can be aggregated across securities. From the aggregation and the</w:t>
      </w:r>
      <w:r w:rsidR="002E2BAD" w:rsidRPr="00DA0DCD">
        <w:rPr>
          <w:bCs/>
          <w:lang w:val="en-US"/>
        </w:rPr>
        <w:t xml:space="preserve"> standard</w:t>
      </w:r>
      <w:r w:rsidR="00FF76A5" w:rsidRPr="00DA0DCD">
        <w:rPr>
          <w:bCs/>
          <w:lang w:val="en-US"/>
        </w:rPr>
        <w:t xml:space="preserve"> error the results of an event study can be analyzed and the economic consequences of an event on </w:t>
      </w:r>
      <w:r w:rsidR="00FF76A5" w:rsidRPr="00DA0DCD">
        <w:rPr>
          <w:lang w:val="en-US"/>
        </w:rPr>
        <w:t>the value of a firm can be measured.</w:t>
      </w:r>
    </w:p>
    <w:p w:rsidR="00AF180D" w:rsidRPr="00DA0DCD" w:rsidRDefault="00B837B1" w:rsidP="00AF180D">
      <w:pPr>
        <w:pStyle w:val="Kop3"/>
        <w:numPr>
          <w:ilvl w:val="2"/>
          <w:numId w:val="14"/>
        </w:numPr>
        <w:rPr>
          <w:lang w:val="en-US"/>
        </w:rPr>
      </w:pPr>
      <w:bookmarkStart w:id="25" w:name="_Toc270770570"/>
      <w:r w:rsidRPr="00DA0DCD">
        <w:rPr>
          <w:lang w:val="en-US"/>
        </w:rPr>
        <w:t xml:space="preserve">Common used </w:t>
      </w:r>
      <w:r w:rsidR="00B5321E" w:rsidRPr="00DA0DCD">
        <w:rPr>
          <w:lang w:val="en-US"/>
        </w:rPr>
        <w:t xml:space="preserve">multi- factor </w:t>
      </w:r>
      <w:r w:rsidRPr="00DA0DCD">
        <w:rPr>
          <w:lang w:val="en-US"/>
        </w:rPr>
        <w:t>model for measuring market reaction of a change in accounting standard</w:t>
      </w:r>
      <w:bookmarkEnd w:id="25"/>
    </w:p>
    <w:p w:rsidR="00661CE4" w:rsidRPr="00DA0DCD" w:rsidRDefault="00661CE4" w:rsidP="00610D46">
      <w:pPr>
        <w:pStyle w:val="Geenafstand"/>
        <w:rPr>
          <w:b/>
          <w:lang w:val="en-US"/>
        </w:rPr>
      </w:pPr>
      <w:r w:rsidRPr="00DA0DCD">
        <w:rPr>
          <w:b/>
          <w:lang w:val="en-US"/>
        </w:rPr>
        <w:t>Multi-factor model</w:t>
      </w:r>
    </w:p>
    <w:p w:rsidR="00B837B1" w:rsidRPr="00DA0DCD" w:rsidRDefault="00B837B1" w:rsidP="00B837B1">
      <w:pPr>
        <w:rPr>
          <w:bCs/>
          <w:lang w:val="en-US"/>
        </w:rPr>
      </w:pPr>
      <w:r w:rsidRPr="00DA0DCD">
        <w:rPr>
          <w:bCs/>
          <w:lang w:val="en-US"/>
        </w:rPr>
        <w:t xml:space="preserve">The </w:t>
      </w:r>
      <w:r w:rsidR="001F4A0D" w:rsidRPr="00DA0DCD">
        <w:rPr>
          <w:bCs/>
          <w:lang w:val="en-US"/>
        </w:rPr>
        <w:t>multi-</w:t>
      </w:r>
      <w:r w:rsidRPr="00DA0DCD">
        <w:rPr>
          <w:bCs/>
          <w:lang w:val="en-US"/>
        </w:rPr>
        <w:t>factor model is common used in the accounting research on the economic consequences of announcements of the introduction or change (relaxation) of an accounting standard. Like for instance research of Cornett et al. (1996), Beatty et al.(1996) and Bowen et al. (2010). The following multi factor model is used by Bowen et al. (2010)</w:t>
      </w:r>
      <w:r w:rsidR="00DB3DDF" w:rsidRPr="00DA0DCD">
        <w:rPr>
          <w:bCs/>
          <w:lang w:val="en-US"/>
        </w:rPr>
        <w:t xml:space="preserve"> and is comparable to the other models</w:t>
      </w:r>
      <w:r w:rsidRPr="00DA0DCD">
        <w:rPr>
          <w:bCs/>
          <w:lang w:val="en-US"/>
        </w:rPr>
        <w:t>:</w:t>
      </w:r>
    </w:p>
    <w:p w:rsidR="00B837B1" w:rsidRPr="00DA0DCD" w:rsidRDefault="00B837B1" w:rsidP="00B837B1">
      <w:pPr>
        <w:rPr>
          <w:bCs/>
          <w:lang w:val="en-US"/>
        </w:rPr>
      </w:pPr>
      <w:r w:rsidRPr="00DA0DCD">
        <w:rPr>
          <w:rFonts w:ascii="Times New Roman" w:hAnsi="Times New Roman" w:cs="Times New Roman"/>
          <w:i/>
          <w:shadow/>
          <w:lang w:val="en-US"/>
        </w:rPr>
        <w:t>RET</w:t>
      </w:r>
      <w:r w:rsidRPr="00DA0DCD">
        <w:rPr>
          <w:rFonts w:ascii="Times New Roman" w:hAnsi="Times New Roman" w:cs="Times New Roman"/>
          <w:i/>
          <w:shadow/>
          <w:sz w:val="14"/>
          <w:szCs w:val="14"/>
          <w:lang w:val="en-US"/>
        </w:rPr>
        <w:t xml:space="preserve">it </w:t>
      </w:r>
      <w:r w:rsidRPr="00DA0DCD">
        <w:rPr>
          <w:rFonts w:ascii="Times New Roman" w:hAnsi="Times New Roman" w:cs="Times New Roman"/>
          <w:i/>
          <w:shadow/>
          <w:lang w:val="en-US"/>
        </w:rPr>
        <w:t>= α</w:t>
      </w:r>
      <w:r w:rsidRPr="00DA0DCD">
        <w:rPr>
          <w:rFonts w:ascii="Times New Roman" w:hAnsi="Times New Roman" w:cs="Times New Roman"/>
          <w:i/>
          <w:shadow/>
          <w:sz w:val="14"/>
          <w:szCs w:val="14"/>
          <w:lang w:val="en-US"/>
        </w:rPr>
        <w:t xml:space="preserve">0 </w:t>
      </w:r>
      <w:r w:rsidRPr="00DA0DCD">
        <w:rPr>
          <w:rFonts w:ascii="Times New Roman" w:hAnsi="Times New Roman" w:cs="Times New Roman"/>
          <w:i/>
          <w:shadow/>
          <w:lang w:val="en-US"/>
        </w:rPr>
        <w:t>+ β</w:t>
      </w:r>
      <w:r w:rsidRPr="00DA0DCD">
        <w:rPr>
          <w:rFonts w:ascii="Times New Roman" w:hAnsi="Times New Roman" w:cs="Times New Roman"/>
          <w:i/>
          <w:shadow/>
          <w:sz w:val="14"/>
          <w:szCs w:val="14"/>
          <w:lang w:val="en-US"/>
        </w:rPr>
        <w:t xml:space="preserve">1 </w:t>
      </w:r>
      <w:r w:rsidRPr="00DA0DCD">
        <w:rPr>
          <w:rFonts w:ascii="Times New Roman" w:hAnsi="Times New Roman" w:cs="Times New Roman"/>
          <w:i/>
          <w:shadow/>
          <w:lang w:val="en-US"/>
        </w:rPr>
        <w:t>Mkt_Ret</w:t>
      </w:r>
      <w:r w:rsidRPr="00DA0DCD">
        <w:rPr>
          <w:rFonts w:ascii="Times New Roman" w:hAnsi="Times New Roman" w:cs="Times New Roman"/>
          <w:i/>
          <w:shadow/>
          <w:sz w:val="14"/>
          <w:szCs w:val="14"/>
          <w:lang w:val="en-US"/>
        </w:rPr>
        <w:t xml:space="preserve">t </w:t>
      </w:r>
      <w:r w:rsidRPr="00DA0DCD">
        <w:rPr>
          <w:rFonts w:ascii="Times New Roman" w:hAnsi="Times New Roman" w:cs="Times New Roman"/>
          <w:i/>
          <w:shadow/>
          <w:lang w:val="en-US"/>
        </w:rPr>
        <w:t>+ γ</w:t>
      </w:r>
      <w:r w:rsidRPr="00DA0DCD">
        <w:rPr>
          <w:rFonts w:ascii="Times New Roman" w:hAnsi="Times New Roman" w:cs="Times New Roman"/>
          <w:i/>
          <w:shadow/>
          <w:sz w:val="14"/>
          <w:szCs w:val="14"/>
          <w:lang w:val="en-US"/>
        </w:rPr>
        <w:t xml:space="preserve">1 </w:t>
      </w:r>
      <w:r w:rsidRPr="00DA0DCD">
        <w:rPr>
          <w:rFonts w:ascii="Times New Roman" w:hAnsi="Times New Roman" w:cs="Times New Roman"/>
          <w:i/>
          <w:shadow/>
          <w:lang w:val="en-US"/>
        </w:rPr>
        <w:t>ΔT-Bill</w:t>
      </w:r>
      <w:r w:rsidRPr="00DA0DCD">
        <w:rPr>
          <w:rFonts w:ascii="Times New Roman" w:hAnsi="Times New Roman" w:cs="Times New Roman"/>
          <w:i/>
          <w:shadow/>
          <w:sz w:val="14"/>
          <w:szCs w:val="14"/>
          <w:lang w:val="en-US"/>
        </w:rPr>
        <w:t xml:space="preserve">t </w:t>
      </w:r>
      <w:r w:rsidRPr="00DA0DCD">
        <w:rPr>
          <w:rFonts w:ascii="Times New Roman" w:hAnsi="Times New Roman" w:cs="Times New Roman"/>
          <w:i/>
          <w:shadow/>
          <w:lang w:val="en-US"/>
        </w:rPr>
        <w:t>+ δ</w:t>
      </w:r>
      <w:r w:rsidRPr="00DA0DCD">
        <w:rPr>
          <w:rFonts w:ascii="Times New Roman" w:hAnsi="Times New Roman" w:cs="Times New Roman"/>
          <w:i/>
          <w:shadow/>
          <w:sz w:val="14"/>
          <w:szCs w:val="14"/>
          <w:lang w:val="en-US"/>
        </w:rPr>
        <w:t xml:space="preserve">1 </w:t>
      </w:r>
      <w:r w:rsidRPr="00DA0DCD">
        <w:rPr>
          <w:rFonts w:ascii="Times New Roman" w:hAnsi="Times New Roman" w:cs="Times New Roman"/>
          <w:i/>
          <w:shadow/>
          <w:lang w:val="en-US"/>
        </w:rPr>
        <w:t>FV_Window</w:t>
      </w:r>
      <w:r w:rsidRPr="00DA0DCD">
        <w:rPr>
          <w:rFonts w:ascii="Times New Roman" w:hAnsi="Times New Roman" w:cs="Times New Roman"/>
          <w:i/>
          <w:shadow/>
          <w:sz w:val="14"/>
          <w:szCs w:val="14"/>
          <w:lang w:val="en-US"/>
        </w:rPr>
        <w:t xml:space="preserve">t </w:t>
      </w:r>
      <w:r w:rsidRPr="00DA0DCD">
        <w:rPr>
          <w:rFonts w:ascii="Times New Roman" w:hAnsi="Times New Roman" w:cs="Times New Roman"/>
          <w:i/>
          <w:shadow/>
          <w:lang w:val="en-US"/>
        </w:rPr>
        <w:t>+ ε</w:t>
      </w:r>
      <w:r w:rsidRPr="00DA0DCD">
        <w:rPr>
          <w:rFonts w:ascii="Times New Roman" w:hAnsi="Times New Roman" w:cs="Times New Roman"/>
          <w:i/>
          <w:shadow/>
          <w:sz w:val="14"/>
          <w:szCs w:val="14"/>
          <w:lang w:val="en-US"/>
        </w:rPr>
        <w:t>it</w:t>
      </w:r>
      <w:r w:rsidRPr="00DA0DCD">
        <w:rPr>
          <w:rFonts w:ascii="TimesNewRomanPSMT" w:hAnsi="TimesNewRomanPSMT" w:cs="TimesNewRomanPSMT"/>
          <w:sz w:val="14"/>
          <w:szCs w:val="14"/>
          <w:lang w:val="en-US"/>
        </w:rPr>
        <w:t xml:space="preserve"> </w:t>
      </w:r>
      <w:r w:rsidRPr="00DA0DCD">
        <w:rPr>
          <w:rFonts w:ascii="TimesNewRomanPSMT" w:hAnsi="TimesNewRomanPSMT" w:cs="TimesNewRomanPSMT"/>
          <w:sz w:val="14"/>
          <w:szCs w:val="14"/>
          <w:lang w:val="en-US"/>
        </w:rPr>
        <w:tab/>
      </w:r>
      <w:r w:rsidRPr="00DA0DCD">
        <w:rPr>
          <w:rFonts w:cs="TimesNewRomanPSMT"/>
          <w:lang w:val="en-US"/>
        </w:rPr>
        <w:t>(</w:t>
      </w:r>
      <w:r w:rsidR="00A365AA" w:rsidRPr="00DA0DCD">
        <w:rPr>
          <w:rFonts w:cs="TimesNewRomanPSMT"/>
          <w:lang w:val="en-US"/>
        </w:rPr>
        <w:t>3.4</w:t>
      </w:r>
      <w:r w:rsidRPr="00DA0DCD">
        <w:rPr>
          <w:rFonts w:cs="TimesNewRomanPSMT"/>
          <w:lang w:val="en-US"/>
        </w:rPr>
        <w:t>)</w:t>
      </w:r>
    </w:p>
    <w:p w:rsidR="00F07E49" w:rsidRPr="00DA0DCD" w:rsidRDefault="00F07E49" w:rsidP="00F07E49">
      <w:pPr>
        <w:pStyle w:val="Geenafstand"/>
        <w:rPr>
          <w:lang w:val="en-US"/>
        </w:rPr>
      </w:pPr>
      <w:r w:rsidRPr="00DA0DCD">
        <w:rPr>
          <w:lang w:val="en-US"/>
        </w:rPr>
        <w:t>Where:</w:t>
      </w:r>
    </w:p>
    <w:p w:rsidR="00F07E49" w:rsidRPr="00DA0DCD" w:rsidRDefault="00F07E49" w:rsidP="00F07E49">
      <w:pPr>
        <w:pStyle w:val="Geenafstand"/>
        <w:rPr>
          <w:lang w:val="en-US"/>
        </w:rPr>
      </w:pPr>
      <w:r w:rsidRPr="00DA0DCD">
        <w:rPr>
          <w:rFonts w:ascii="TimesNewRomanPSMT" w:hAnsi="TimesNewRomanPSMT" w:cs="TimesNewRomanPSMT"/>
          <w:lang w:val="en-US"/>
        </w:rPr>
        <w:t>RET</w:t>
      </w:r>
      <w:r w:rsidRPr="00DA0DCD">
        <w:rPr>
          <w:rFonts w:ascii="TimesNewRomanPSMT" w:hAnsi="TimesNewRomanPSMT" w:cs="TimesNewRomanPSMT"/>
          <w:sz w:val="14"/>
          <w:szCs w:val="14"/>
          <w:lang w:val="en-US"/>
        </w:rPr>
        <w:t xml:space="preserve">it </w:t>
      </w:r>
      <w:r w:rsidRPr="00DA0DCD">
        <w:rPr>
          <w:rFonts w:ascii="TimesNewRomanPSMT" w:hAnsi="TimesNewRomanPSMT" w:cs="TimesNewRomanPSMT"/>
          <w:sz w:val="14"/>
          <w:szCs w:val="14"/>
          <w:lang w:val="en-US"/>
        </w:rPr>
        <w:tab/>
      </w:r>
      <w:r w:rsidRPr="00DA0DCD">
        <w:rPr>
          <w:rFonts w:ascii="TimesNewRomanPSMT" w:hAnsi="TimesNewRomanPSMT" w:cs="TimesNewRomanPSMT"/>
          <w:sz w:val="14"/>
          <w:szCs w:val="14"/>
          <w:lang w:val="en-US"/>
        </w:rPr>
        <w:tab/>
      </w:r>
      <w:r w:rsidRPr="00DA0DCD">
        <w:rPr>
          <w:lang w:val="en-US"/>
        </w:rPr>
        <w:t>= daily stock return for bank i in period t;</w:t>
      </w:r>
    </w:p>
    <w:p w:rsidR="00F07E49" w:rsidRPr="00DA0DCD" w:rsidRDefault="00F07E49" w:rsidP="00F07E49">
      <w:pPr>
        <w:pStyle w:val="Geenafstand"/>
        <w:rPr>
          <w:lang w:val="en-US"/>
        </w:rPr>
      </w:pPr>
      <w:r w:rsidRPr="00DA0DCD">
        <w:rPr>
          <w:lang w:val="en-US"/>
        </w:rPr>
        <w:t>Mkt_Ret</w:t>
      </w:r>
      <w:r w:rsidRPr="00DA0DCD">
        <w:rPr>
          <w:sz w:val="14"/>
          <w:szCs w:val="14"/>
          <w:lang w:val="en-US"/>
        </w:rPr>
        <w:t xml:space="preserve">t </w:t>
      </w:r>
      <w:r w:rsidRPr="00DA0DCD">
        <w:rPr>
          <w:sz w:val="14"/>
          <w:szCs w:val="14"/>
          <w:lang w:val="en-US"/>
        </w:rPr>
        <w:tab/>
      </w:r>
      <w:r w:rsidRPr="00DA0DCD">
        <w:rPr>
          <w:lang w:val="en-US"/>
        </w:rPr>
        <w:t>= equally-weighted daily index return</w:t>
      </w:r>
      <w:r w:rsidR="00923617" w:rsidRPr="00DA0DCD">
        <w:rPr>
          <w:lang w:val="en-US"/>
        </w:rPr>
        <w:t xml:space="preserve"> (</w:t>
      </w:r>
      <w:r w:rsidR="00201BB9" w:rsidRPr="00DA0DCD">
        <w:rPr>
          <w:lang w:val="en-US"/>
        </w:rPr>
        <w:t>CRSP)</w:t>
      </w:r>
      <w:r w:rsidRPr="00DA0DCD">
        <w:rPr>
          <w:lang w:val="en-US"/>
        </w:rPr>
        <w:t>;</w:t>
      </w:r>
    </w:p>
    <w:p w:rsidR="00F07E49" w:rsidRPr="00DA0DCD" w:rsidRDefault="00F07E49" w:rsidP="00F07E49">
      <w:pPr>
        <w:pStyle w:val="Geenafstand"/>
        <w:rPr>
          <w:lang w:val="en-US"/>
        </w:rPr>
      </w:pPr>
      <w:r w:rsidRPr="00DA0DCD">
        <w:rPr>
          <w:lang w:val="en-US"/>
        </w:rPr>
        <w:t>ΔT-Bill</w:t>
      </w:r>
      <w:r w:rsidRPr="00DA0DCD">
        <w:rPr>
          <w:sz w:val="14"/>
          <w:szCs w:val="14"/>
          <w:lang w:val="en-US"/>
        </w:rPr>
        <w:t xml:space="preserve">t </w:t>
      </w:r>
      <w:r w:rsidRPr="00DA0DCD">
        <w:rPr>
          <w:sz w:val="14"/>
          <w:szCs w:val="14"/>
          <w:lang w:val="en-US"/>
        </w:rPr>
        <w:tab/>
      </w:r>
      <w:r w:rsidRPr="00DA0DCD">
        <w:rPr>
          <w:sz w:val="14"/>
          <w:szCs w:val="14"/>
          <w:lang w:val="en-US"/>
        </w:rPr>
        <w:tab/>
      </w:r>
      <w:r w:rsidRPr="00DA0DCD">
        <w:rPr>
          <w:lang w:val="en-US"/>
        </w:rPr>
        <w:t>= change in the daily 3-month Treasury bill secondary market rate;</w:t>
      </w:r>
    </w:p>
    <w:p w:rsidR="00F07E49" w:rsidRPr="00DA0DCD" w:rsidRDefault="00F07E49" w:rsidP="00F07E49">
      <w:pPr>
        <w:pStyle w:val="Geenafstand"/>
        <w:rPr>
          <w:lang w:val="en-US"/>
        </w:rPr>
      </w:pPr>
      <w:r w:rsidRPr="00DA0DCD">
        <w:rPr>
          <w:lang w:val="en-US"/>
        </w:rPr>
        <w:t>FV_Window</w:t>
      </w:r>
      <w:r w:rsidRPr="00DA0DCD">
        <w:rPr>
          <w:sz w:val="14"/>
          <w:szCs w:val="14"/>
          <w:lang w:val="en-US"/>
        </w:rPr>
        <w:t>t</w:t>
      </w:r>
      <w:r w:rsidRPr="00DA0DCD">
        <w:rPr>
          <w:szCs w:val="14"/>
          <w:lang w:val="en-US"/>
        </w:rPr>
        <w:t xml:space="preserve"> </w:t>
      </w:r>
      <w:r w:rsidRPr="00DA0DCD">
        <w:rPr>
          <w:szCs w:val="14"/>
          <w:lang w:val="en-US"/>
        </w:rPr>
        <w:tab/>
      </w:r>
      <w:r w:rsidRPr="00DA0DCD">
        <w:rPr>
          <w:lang w:val="en-US"/>
        </w:rPr>
        <w:t>= indicator variables that allow for mean shifts in returns on event days;</w:t>
      </w:r>
    </w:p>
    <w:p w:rsidR="00F07E49" w:rsidRPr="00DA0DCD" w:rsidRDefault="00F07E49" w:rsidP="00F07E49">
      <w:pPr>
        <w:pStyle w:val="Geenafstand"/>
        <w:rPr>
          <w:lang w:val="en-US"/>
        </w:rPr>
      </w:pPr>
      <w:r w:rsidRPr="00DA0DCD">
        <w:rPr>
          <w:rFonts w:ascii="Times New Roman" w:hAnsi="Times New Roman" w:cs="Times New Roman"/>
          <w:lang w:val="en-US"/>
        </w:rPr>
        <w:t>α</w:t>
      </w:r>
      <w:r w:rsidRPr="00DA0DCD">
        <w:rPr>
          <w:rFonts w:ascii="Times New Roman" w:hAnsi="Times New Roman" w:cs="Times New Roman"/>
          <w:sz w:val="14"/>
          <w:szCs w:val="14"/>
          <w:lang w:val="en-US"/>
        </w:rPr>
        <w:t xml:space="preserve">0, </w:t>
      </w:r>
      <w:r w:rsidRPr="00DA0DCD">
        <w:rPr>
          <w:rFonts w:ascii="Times New Roman" w:hAnsi="Times New Roman" w:cs="Times New Roman"/>
          <w:lang w:val="en-US"/>
        </w:rPr>
        <w:t>β</w:t>
      </w:r>
      <w:r w:rsidRPr="00DA0DCD">
        <w:rPr>
          <w:rFonts w:ascii="Times New Roman" w:hAnsi="Times New Roman" w:cs="Times New Roman"/>
          <w:sz w:val="14"/>
          <w:szCs w:val="14"/>
          <w:lang w:val="en-US"/>
        </w:rPr>
        <w:t>1</w:t>
      </w:r>
      <w:r w:rsidRPr="00DA0DCD">
        <w:rPr>
          <w:rFonts w:ascii="Times New Roman" w:hAnsi="Times New Roman" w:cs="Times New Roman"/>
          <w:lang w:val="en-US"/>
        </w:rPr>
        <w:t>, γ</w:t>
      </w:r>
      <w:r w:rsidRPr="00DA0DCD">
        <w:rPr>
          <w:rFonts w:ascii="Times New Roman" w:hAnsi="Times New Roman" w:cs="Times New Roman"/>
          <w:sz w:val="14"/>
          <w:szCs w:val="14"/>
          <w:lang w:val="en-US"/>
        </w:rPr>
        <w:t xml:space="preserve"> 1</w:t>
      </w:r>
      <w:r w:rsidRPr="00DA0DCD">
        <w:rPr>
          <w:lang w:val="en-US"/>
        </w:rPr>
        <w:tab/>
        <w:t>= the coefficients of the regression model;</w:t>
      </w:r>
    </w:p>
    <w:p w:rsidR="00F07E49" w:rsidRPr="00DA0DCD" w:rsidRDefault="00F07E49" w:rsidP="00F07E49">
      <w:pPr>
        <w:pStyle w:val="Geenafstand"/>
        <w:rPr>
          <w:lang w:val="en-US"/>
        </w:rPr>
      </w:pPr>
      <w:r w:rsidRPr="00DA0DCD">
        <w:rPr>
          <w:rFonts w:ascii="TimesNewRomanPSMT" w:hAnsi="TimesNewRomanPSMT" w:cs="TimesNewRomanPSMT"/>
          <w:lang w:val="en-US"/>
        </w:rPr>
        <w:lastRenderedPageBreak/>
        <w:t>δ</w:t>
      </w:r>
      <w:r w:rsidRPr="00DA0DCD">
        <w:rPr>
          <w:rFonts w:ascii="TimesNewRomanPSMT" w:hAnsi="TimesNewRomanPSMT" w:cs="TimesNewRomanPSMT"/>
          <w:sz w:val="14"/>
          <w:szCs w:val="14"/>
          <w:lang w:val="en-US"/>
        </w:rPr>
        <w:t>1</w:t>
      </w:r>
      <w:r w:rsidRPr="00DA0DCD">
        <w:rPr>
          <w:rFonts w:ascii="TimesNewRomanPSMT" w:hAnsi="TimesNewRomanPSMT" w:cs="TimesNewRomanPSMT"/>
          <w:sz w:val="14"/>
          <w:szCs w:val="14"/>
          <w:lang w:val="en-US"/>
        </w:rPr>
        <w:tab/>
      </w:r>
      <w:r w:rsidRPr="00DA0DCD">
        <w:rPr>
          <w:rFonts w:ascii="TimesNewRomanPSMT" w:hAnsi="TimesNewRomanPSMT" w:cs="TimesNewRomanPSMT"/>
          <w:sz w:val="14"/>
          <w:szCs w:val="14"/>
          <w:lang w:val="en-US"/>
        </w:rPr>
        <w:tab/>
      </w:r>
      <w:r w:rsidRPr="00DA0DCD">
        <w:rPr>
          <w:rFonts w:ascii="TimesNewRomanPSMT" w:hAnsi="TimesNewRomanPSMT" w:cs="TimesNewRomanPSMT"/>
          <w:lang w:val="en-US"/>
        </w:rPr>
        <w:t xml:space="preserve">= </w:t>
      </w:r>
      <w:r w:rsidRPr="00DA0DCD">
        <w:rPr>
          <w:rFonts w:cs="TimesNewRomanPSMT"/>
          <w:lang w:val="en-US"/>
        </w:rPr>
        <w:t>effect of the events on banks;</w:t>
      </w:r>
    </w:p>
    <w:p w:rsidR="00F07E49" w:rsidRPr="00DA0DCD" w:rsidRDefault="00F07E49" w:rsidP="00F07E49">
      <w:pPr>
        <w:rPr>
          <w:lang w:val="en-US"/>
        </w:rPr>
      </w:pPr>
      <w:r w:rsidRPr="00DA0DCD">
        <w:rPr>
          <w:rFonts w:ascii="Times New Roman" w:hAnsi="Times New Roman" w:cs="Times New Roman"/>
          <w:lang w:val="en-US"/>
        </w:rPr>
        <w:t>ε</w:t>
      </w:r>
      <w:r w:rsidRPr="00DA0DCD">
        <w:rPr>
          <w:rFonts w:ascii="Times New Roman" w:hAnsi="Times New Roman" w:cs="Times New Roman"/>
          <w:sz w:val="14"/>
          <w:szCs w:val="14"/>
          <w:lang w:val="en-US"/>
        </w:rPr>
        <w:t>it</w:t>
      </w:r>
      <w:r w:rsidRPr="00DA0DCD">
        <w:rPr>
          <w:rFonts w:ascii="Times New Roman" w:hAnsi="Times New Roman" w:cs="Times New Roman"/>
          <w:sz w:val="14"/>
          <w:szCs w:val="14"/>
          <w:lang w:val="en-US"/>
        </w:rPr>
        <w:tab/>
      </w:r>
      <w:r w:rsidRPr="00DA0DCD">
        <w:rPr>
          <w:rFonts w:ascii="Times New Roman" w:hAnsi="Times New Roman" w:cs="Times New Roman"/>
          <w:sz w:val="14"/>
          <w:szCs w:val="14"/>
          <w:lang w:val="en-US"/>
        </w:rPr>
        <w:tab/>
      </w:r>
      <w:r w:rsidRPr="00DA0DCD">
        <w:rPr>
          <w:rFonts w:cs="Times New Roman"/>
          <w:lang w:val="en-US"/>
        </w:rPr>
        <w:t>= error term.</w:t>
      </w:r>
    </w:p>
    <w:p w:rsidR="00F07E49" w:rsidRPr="00DA0DCD" w:rsidRDefault="00F07E49" w:rsidP="00F07E49">
      <w:pPr>
        <w:rPr>
          <w:lang w:val="en-US"/>
        </w:rPr>
      </w:pPr>
      <w:r w:rsidRPr="00DA0DCD">
        <w:rPr>
          <w:lang w:val="en-US"/>
        </w:rPr>
        <w:t>In this model the daily stock returns of banks (</w:t>
      </w:r>
      <w:r w:rsidRPr="00DA0DCD">
        <w:rPr>
          <w:rFonts w:cs="Times New Roman"/>
          <w:lang w:val="en-US"/>
        </w:rPr>
        <w:t>RET</w:t>
      </w:r>
      <w:r w:rsidRPr="00DA0DCD">
        <w:rPr>
          <w:rFonts w:cs="Times New Roman"/>
          <w:sz w:val="14"/>
          <w:szCs w:val="14"/>
          <w:lang w:val="en-US"/>
        </w:rPr>
        <w:t>it</w:t>
      </w:r>
      <w:r w:rsidRPr="00DA0DCD">
        <w:rPr>
          <w:lang w:val="en-US"/>
        </w:rPr>
        <w:t>) are regressed against the daily (equally-weighted) index return</w:t>
      </w:r>
      <w:r w:rsidR="00201BB9" w:rsidRPr="00DA0DCD">
        <w:rPr>
          <w:lang w:val="en-US"/>
        </w:rPr>
        <w:t xml:space="preserve"> (Mkt_Ret</w:t>
      </w:r>
      <w:r w:rsidR="00201BB9" w:rsidRPr="00DA0DCD">
        <w:rPr>
          <w:sz w:val="14"/>
          <w:szCs w:val="14"/>
          <w:lang w:val="en-US"/>
        </w:rPr>
        <w:t>t</w:t>
      </w:r>
      <w:r w:rsidR="00201BB9" w:rsidRPr="00DA0DCD">
        <w:rPr>
          <w:lang w:val="en-US"/>
        </w:rPr>
        <w:t>)</w:t>
      </w:r>
      <w:r w:rsidRPr="00DA0DCD">
        <w:rPr>
          <w:lang w:val="en-US"/>
        </w:rPr>
        <w:t>, the “risk free” interest rate changes (ΔT-Bill</w:t>
      </w:r>
      <w:r w:rsidRPr="00DA0DCD">
        <w:rPr>
          <w:sz w:val="14"/>
          <w:szCs w:val="14"/>
          <w:lang w:val="en-US"/>
        </w:rPr>
        <w:t>t</w:t>
      </w:r>
      <w:r w:rsidRPr="00DA0DCD">
        <w:rPr>
          <w:lang w:val="en-US"/>
        </w:rPr>
        <w:t>) and the event dummies (FV_Window</w:t>
      </w:r>
      <w:r w:rsidRPr="00DA0DCD">
        <w:rPr>
          <w:sz w:val="14"/>
          <w:szCs w:val="14"/>
          <w:lang w:val="en-US"/>
        </w:rPr>
        <w:t>t</w:t>
      </w:r>
      <w:r w:rsidRPr="00DA0DCD">
        <w:rPr>
          <w:lang w:val="en-US"/>
        </w:rPr>
        <w:t xml:space="preserve">). </w:t>
      </w:r>
      <w:r w:rsidR="00201BB9" w:rsidRPr="00DA0DCD">
        <w:rPr>
          <w:lang w:val="en-US"/>
        </w:rPr>
        <w:t>Bowen et al. (2010) uses the CRSP index for the Mkt_Ret</w:t>
      </w:r>
      <w:r w:rsidR="00201BB9" w:rsidRPr="00DA0DCD">
        <w:rPr>
          <w:sz w:val="14"/>
          <w:szCs w:val="14"/>
          <w:lang w:val="en-US"/>
        </w:rPr>
        <w:t>t</w:t>
      </w:r>
      <w:r w:rsidR="00201BB9" w:rsidRPr="00DA0DCD">
        <w:rPr>
          <w:lang w:val="en-US"/>
        </w:rPr>
        <w:t xml:space="preserve"> factor as a portfolio of all publicly held US stocks. </w:t>
      </w:r>
      <w:r w:rsidRPr="00DA0DCD">
        <w:rPr>
          <w:rFonts w:cs="Times New Roman"/>
          <w:lang w:val="en-US"/>
        </w:rPr>
        <w:t xml:space="preserve">The interest rate change has in according </w:t>
      </w:r>
      <w:r w:rsidRPr="00DA0DCD">
        <w:rPr>
          <w:lang w:val="en-US"/>
        </w:rPr>
        <w:t xml:space="preserve">to Flannery and James (1984) an effect on the return of financial institutions and therefore used in this model. </w:t>
      </w:r>
      <w:r w:rsidRPr="00DA0DCD">
        <w:rPr>
          <w:bCs/>
          <w:lang w:val="en-US"/>
        </w:rPr>
        <w:t>Bowen et al. (2010) uses</w:t>
      </w:r>
      <w:r w:rsidR="00923617" w:rsidRPr="00DA0DCD">
        <w:rPr>
          <w:bCs/>
          <w:lang w:val="en-US"/>
        </w:rPr>
        <w:t xml:space="preserve"> 3-month US government Treasury Bills</w:t>
      </w:r>
      <w:r w:rsidRPr="00DA0DCD">
        <w:rPr>
          <w:bCs/>
          <w:lang w:val="en-US"/>
        </w:rPr>
        <w:t xml:space="preserve"> </w:t>
      </w:r>
      <w:r w:rsidR="00923617" w:rsidRPr="00DA0DCD">
        <w:rPr>
          <w:bCs/>
          <w:lang w:val="en-US"/>
        </w:rPr>
        <w:t>as “risk free” interest rate changes</w:t>
      </w:r>
      <w:r w:rsidRPr="00DA0DCD">
        <w:rPr>
          <w:bCs/>
          <w:lang w:val="en-US"/>
        </w:rPr>
        <w:t xml:space="preserve">. </w:t>
      </w:r>
      <w:r w:rsidR="00F9542B" w:rsidRPr="00DA0DCD">
        <w:rPr>
          <w:bCs/>
          <w:lang w:val="en-US"/>
        </w:rPr>
        <w:t>By regressing the model, the FV_window factor (dummy variable) assumes a value of one at the day before, the day of and the day after the event. On non-event days the FV_window factor will have a value of zero.</w:t>
      </w:r>
      <w:r w:rsidRPr="00DA0DCD">
        <w:rPr>
          <w:lang w:val="en-US"/>
        </w:rPr>
        <w:t xml:space="preserve"> </w:t>
      </w:r>
      <w:r w:rsidR="00F9542B" w:rsidRPr="00DA0DCD">
        <w:rPr>
          <w:bCs/>
          <w:lang w:val="en-US"/>
        </w:rPr>
        <w:t>This model has many similarities with the market model (Eq. 3.3</w:t>
      </w:r>
      <w:r w:rsidR="00440553">
        <w:rPr>
          <w:bCs/>
          <w:lang w:val="en-US"/>
        </w:rPr>
        <w:t>) as</w:t>
      </w:r>
      <w:r w:rsidR="00440553" w:rsidRPr="00440553">
        <w:rPr>
          <w:bCs/>
          <w:lang w:val="en-US"/>
        </w:rPr>
        <w:t xml:space="preserve"> </w:t>
      </w:r>
      <w:r w:rsidR="00440553" w:rsidRPr="00DA0DCD">
        <w:rPr>
          <w:bCs/>
          <w:lang w:val="en-US"/>
        </w:rPr>
        <w:t>above described</w:t>
      </w:r>
      <w:r w:rsidR="00F9542B" w:rsidRPr="00DA0DCD">
        <w:rPr>
          <w:bCs/>
          <w:lang w:val="en-US"/>
        </w:rPr>
        <w:t xml:space="preserve">. This model differs, because the </w:t>
      </w:r>
      <w:r w:rsidR="00F9542B" w:rsidRPr="00DA0DCD">
        <w:rPr>
          <w:rFonts w:cs="Times New Roman"/>
          <w:lang w:val="en-US"/>
        </w:rPr>
        <w:t xml:space="preserve">daily security return in the period </w:t>
      </w:r>
      <w:r w:rsidR="00F9542B" w:rsidRPr="00DA0DCD">
        <w:rPr>
          <w:rFonts w:cs="Times New Roman"/>
          <w:i/>
          <w:lang w:val="en-US"/>
        </w:rPr>
        <w:t>t</w:t>
      </w:r>
      <w:r w:rsidR="00F9542B" w:rsidRPr="00DA0DCD">
        <w:rPr>
          <w:rFonts w:cs="Times New Roman"/>
          <w:lang w:val="en-US"/>
        </w:rPr>
        <w:t xml:space="preserve"> is regressed against more factors and without an estimation window. The factors </w:t>
      </w:r>
      <w:r w:rsidR="00F9542B" w:rsidRPr="00DA0DCD">
        <w:rPr>
          <w:i/>
          <w:lang w:val="en-US"/>
        </w:rPr>
        <w:t>γ1</w:t>
      </w:r>
      <w:r w:rsidR="00F9542B" w:rsidRPr="00DA0DCD">
        <w:rPr>
          <w:lang w:val="en-US"/>
        </w:rPr>
        <w:t xml:space="preserve"> ΔT-Bill</w:t>
      </w:r>
      <w:r w:rsidR="00F9542B" w:rsidRPr="00DA0DCD">
        <w:rPr>
          <w:rFonts w:ascii="Times New Roman" w:hAnsi="Times New Roman" w:cs="Times New Roman"/>
          <w:i/>
          <w:shadow/>
          <w:sz w:val="14"/>
          <w:szCs w:val="14"/>
          <w:lang w:val="en-US"/>
        </w:rPr>
        <w:t xml:space="preserve"> </w:t>
      </w:r>
      <w:r w:rsidR="00F9542B" w:rsidRPr="00DA0DCD">
        <w:rPr>
          <w:lang w:val="en-US"/>
        </w:rPr>
        <w:t>and</w:t>
      </w:r>
      <w:r w:rsidR="00F9542B" w:rsidRPr="00DA0DCD">
        <w:rPr>
          <w:rFonts w:ascii="Times New Roman" w:hAnsi="Times New Roman" w:cs="Times New Roman"/>
          <w:i/>
          <w:shadow/>
          <w:lang w:val="en-US"/>
        </w:rPr>
        <w:t xml:space="preserve"> </w:t>
      </w:r>
      <w:r w:rsidR="00F9542B" w:rsidRPr="00DA0DCD">
        <w:rPr>
          <w:i/>
          <w:lang w:val="en-US"/>
        </w:rPr>
        <w:t>δ1</w:t>
      </w:r>
      <w:r w:rsidR="00F9542B" w:rsidRPr="00DA0DCD">
        <w:rPr>
          <w:lang w:val="en-US"/>
        </w:rPr>
        <w:t xml:space="preserve"> FV_Window are additions compared to the market model.</w:t>
      </w:r>
      <w:r w:rsidR="00F9542B" w:rsidRPr="00DA0DCD">
        <w:rPr>
          <w:bCs/>
          <w:color w:val="FF0000"/>
          <w:lang w:val="en-US"/>
        </w:rPr>
        <w:t xml:space="preserve"> </w:t>
      </w:r>
      <w:r w:rsidR="00F9542B" w:rsidRPr="00DA0DCD">
        <w:rPr>
          <w:bCs/>
          <w:lang w:val="en-US"/>
        </w:rPr>
        <w:t>This are also the benefits of the factor model, compared with the market model above. The use of more variations in the calculation of the normal return reduces the variance of the abnormal return (MacKinlay, 1997).</w:t>
      </w:r>
    </w:p>
    <w:p w:rsidR="00B837B1" w:rsidRPr="00DA0DCD" w:rsidRDefault="00661CE4" w:rsidP="00DB60E9">
      <w:pPr>
        <w:pStyle w:val="Geenafstand"/>
        <w:rPr>
          <w:b/>
          <w:lang w:val="en-US"/>
        </w:rPr>
      </w:pPr>
      <w:r w:rsidRPr="00DA0DCD">
        <w:rPr>
          <w:b/>
          <w:lang w:val="en-US"/>
        </w:rPr>
        <w:t>Results of the model</w:t>
      </w:r>
    </w:p>
    <w:p w:rsidR="00064620" w:rsidRPr="00DA0DCD" w:rsidRDefault="00610D46" w:rsidP="001F4A0D">
      <w:pPr>
        <w:rPr>
          <w:lang w:val="en-US"/>
        </w:rPr>
      </w:pPr>
      <w:r w:rsidRPr="00DA0DCD">
        <w:rPr>
          <w:lang w:val="en-US"/>
        </w:rPr>
        <w:t>The dependent daily return</w:t>
      </w:r>
      <w:r w:rsidR="004B2E6C" w:rsidRPr="00DA0DCD">
        <w:rPr>
          <w:lang w:val="en-US"/>
        </w:rPr>
        <w:t xml:space="preserve"> </w:t>
      </w:r>
      <w:r w:rsidR="00BE23F6" w:rsidRPr="00DA0DCD">
        <w:rPr>
          <w:lang w:val="en-US"/>
        </w:rPr>
        <w:t>of sample firms (</w:t>
      </w:r>
      <w:r w:rsidR="004B2E6C" w:rsidRPr="00DA0DCD">
        <w:rPr>
          <w:rFonts w:cs="Times New Roman"/>
          <w:lang w:val="en-US"/>
        </w:rPr>
        <w:t>RET</w:t>
      </w:r>
      <w:r w:rsidR="004B2E6C" w:rsidRPr="00DA0DCD">
        <w:rPr>
          <w:rFonts w:cs="Times New Roman"/>
          <w:sz w:val="14"/>
          <w:szCs w:val="14"/>
          <w:lang w:val="en-US"/>
        </w:rPr>
        <w:t>it</w:t>
      </w:r>
      <w:r w:rsidR="00BE23F6" w:rsidRPr="00DA0DCD">
        <w:rPr>
          <w:lang w:val="en-US"/>
        </w:rPr>
        <w:t xml:space="preserve">) </w:t>
      </w:r>
      <w:r w:rsidRPr="00DA0DCD">
        <w:rPr>
          <w:lang w:val="en-US"/>
        </w:rPr>
        <w:t>is regressed against the independent variables of Eq.(</w:t>
      </w:r>
      <w:r w:rsidR="00A365AA" w:rsidRPr="00DA0DCD">
        <w:rPr>
          <w:lang w:val="en-US"/>
        </w:rPr>
        <w:t>3.</w:t>
      </w:r>
      <w:r w:rsidRPr="00DA0DCD">
        <w:rPr>
          <w:lang w:val="en-US"/>
        </w:rPr>
        <w:t xml:space="preserve">4). </w:t>
      </w:r>
      <w:r w:rsidR="00BE23F6" w:rsidRPr="00DA0DCD">
        <w:rPr>
          <w:lang w:val="en-US"/>
        </w:rPr>
        <w:t xml:space="preserve">In other words, the return of a sample firms is corrected for the effect of the market return and interest rate changes to measure the effect of events on the stock prices of sample firms. </w:t>
      </w:r>
      <w:r w:rsidR="000D51FE" w:rsidRPr="00DA0DCD">
        <w:rPr>
          <w:lang w:val="en-US"/>
        </w:rPr>
        <w:t>The regression results</w:t>
      </w:r>
      <w:r w:rsidR="00275E6D" w:rsidRPr="00DA0DCD">
        <w:rPr>
          <w:lang w:val="en-US"/>
        </w:rPr>
        <w:t xml:space="preserve"> of Bowen et al. (2010)</w:t>
      </w:r>
      <w:r w:rsidR="000D51FE" w:rsidRPr="00DA0DCD">
        <w:rPr>
          <w:lang w:val="en-US"/>
        </w:rPr>
        <w:t xml:space="preserve"> shows the coefficients (</w:t>
      </w:r>
      <w:r w:rsidR="000D51FE" w:rsidRPr="00DA0DCD">
        <w:rPr>
          <w:rFonts w:ascii="Times New Roman" w:hAnsi="Times New Roman" w:cs="Times New Roman"/>
          <w:i/>
          <w:shadow/>
          <w:lang w:val="en-US"/>
        </w:rPr>
        <w:t>β</w:t>
      </w:r>
      <w:r w:rsidR="000D51FE" w:rsidRPr="00DA0DCD">
        <w:rPr>
          <w:rFonts w:ascii="Times New Roman" w:hAnsi="Times New Roman" w:cs="Times New Roman"/>
          <w:i/>
          <w:shadow/>
          <w:sz w:val="14"/>
          <w:szCs w:val="14"/>
          <w:lang w:val="en-US"/>
        </w:rPr>
        <w:t xml:space="preserve">1, </w:t>
      </w:r>
      <w:r w:rsidR="000D51FE" w:rsidRPr="00DA0DCD">
        <w:rPr>
          <w:rFonts w:ascii="Times New Roman" w:hAnsi="Times New Roman" w:cs="Times New Roman"/>
          <w:i/>
          <w:shadow/>
          <w:lang w:val="en-US"/>
        </w:rPr>
        <w:t>γ</w:t>
      </w:r>
      <w:r w:rsidR="000D51FE" w:rsidRPr="00DA0DCD">
        <w:rPr>
          <w:rFonts w:ascii="Times New Roman" w:hAnsi="Times New Roman" w:cs="Times New Roman"/>
          <w:i/>
          <w:shadow/>
          <w:sz w:val="14"/>
          <w:szCs w:val="14"/>
          <w:lang w:val="en-US"/>
        </w:rPr>
        <w:t>1</w:t>
      </w:r>
      <w:r w:rsidR="00420A16" w:rsidRPr="00DA0DCD">
        <w:rPr>
          <w:rFonts w:ascii="Times New Roman" w:hAnsi="Times New Roman" w:cs="Times New Roman"/>
          <w:i/>
          <w:shadow/>
          <w:sz w:val="14"/>
          <w:szCs w:val="14"/>
          <w:lang w:val="en-US"/>
        </w:rPr>
        <w:t>,</w:t>
      </w:r>
      <w:r w:rsidR="00DB60E9" w:rsidRPr="00DA0DCD">
        <w:rPr>
          <w:rFonts w:ascii="Times New Roman" w:hAnsi="Times New Roman" w:cs="Times New Roman"/>
          <w:i/>
          <w:shadow/>
          <w:sz w:val="14"/>
          <w:szCs w:val="14"/>
          <w:lang w:val="en-US"/>
        </w:rPr>
        <w:t xml:space="preserve"> </w:t>
      </w:r>
      <w:r w:rsidR="000D51FE" w:rsidRPr="00DA0DCD">
        <w:rPr>
          <w:rFonts w:ascii="Times New Roman" w:hAnsi="Times New Roman" w:cs="Times New Roman"/>
          <w:i/>
          <w:shadow/>
          <w:lang w:val="en-US"/>
        </w:rPr>
        <w:t>δ</w:t>
      </w:r>
      <w:r w:rsidR="000D51FE" w:rsidRPr="00DA0DCD">
        <w:rPr>
          <w:rFonts w:ascii="Times New Roman" w:hAnsi="Times New Roman" w:cs="Times New Roman"/>
          <w:i/>
          <w:shadow/>
          <w:sz w:val="14"/>
          <w:szCs w:val="14"/>
          <w:lang w:val="en-US"/>
        </w:rPr>
        <w:t>1</w:t>
      </w:r>
      <w:r w:rsidR="00420A16" w:rsidRPr="00DA0DCD">
        <w:rPr>
          <w:lang w:val="en-US"/>
        </w:rPr>
        <w:t xml:space="preserve"> and </w:t>
      </w:r>
      <w:r w:rsidR="00420A16" w:rsidRPr="00DA0DCD">
        <w:rPr>
          <w:rFonts w:ascii="Times New Roman" w:hAnsi="Times New Roman" w:cs="Times New Roman"/>
          <w:i/>
          <w:shadow/>
          <w:lang w:val="en-US"/>
        </w:rPr>
        <w:t>ε</w:t>
      </w:r>
      <w:r w:rsidR="000D51FE" w:rsidRPr="00DA0DCD">
        <w:rPr>
          <w:lang w:val="en-US"/>
        </w:rPr>
        <w:t>)</w:t>
      </w:r>
      <w:r w:rsidR="00DB60E9" w:rsidRPr="00DA0DCD">
        <w:rPr>
          <w:lang w:val="en-US"/>
        </w:rPr>
        <w:t>, the t-statistics and the P-value using the event windows.</w:t>
      </w:r>
      <w:r w:rsidR="009D68B2" w:rsidRPr="00DA0DCD">
        <w:rPr>
          <w:lang w:val="en-US"/>
        </w:rPr>
        <w:t xml:space="preserve"> </w:t>
      </w:r>
      <w:r w:rsidR="00064620" w:rsidRPr="00DA0DCD">
        <w:rPr>
          <w:lang w:val="en-US"/>
        </w:rPr>
        <w:t>The coefficients</w:t>
      </w:r>
      <w:r w:rsidR="00EF35FE" w:rsidRPr="00DA0DCD">
        <w:rPr>
          <w:lang w:val="en-US"/>
        </w:rPr>
        <w:t>, t-statistic and p</w:t>
      </w:r>
      <w:r w:rsidR="00064620" w:rsidRPr="00DA0DCD">
        <w:rPr>
          <w:lang w:val="en-US"/>
        </w:rPr>
        <w:t xml:space="preserve">-value are measured per event window and for the event window combined. With the t-statistic and the </w:t>
      </w:r>
      <w:r w:rsidR="00EF35FE" w:rsidRPr="00DA0DCD">
        <w:rPr>
          <w:lang w:val="en-US"/>
        </w:rPr>
        <w:t>p</w:t>
      </w:r>
      <w:r w:rsidR="00064620" w:rsidRPr="00DA0DCD">
        <w:rPr>
          <w:lang w:val="en-US"/>
        </w:rPr>
        <w:t>-value the significance of the positive or negative abnormal return can be derived</w:t>
      </w:r>
      <w:r w:rsidR="00970E4F" w:rsidRPr="00DA0DCD">
        <w:rPr>
          <w:lang w:val="en-US"/>
        </w:rPr>
        <w:t xml:space="preserve"> and a conclusion can be made</w:t>
      </w:r>
      <w:r w:rsidR="00064620" w:rsidRPr="00DA0DCD">
        <w:rPr>
          <w:lang w:val="en-US"/>
        </w:rPr>
        <w:t>.</w:t>
      </w:r>
    </w:p>
    <w:p w:rsidR="00064620" w:rsidRPr="00DA0DCD" w:rsidRDefault="00FB51CB" w:rsidP="00FB51CB">
      <w:pPr>
        <w:pStyle w:val="Kop3"/>
        <w:numPr>
          <w:ilvl w:val="2"/>
          <w:numId w:val="14"/>
        </w:numPr>
        <w:rPr>
          <w:lang w:val="en-US"/>
        </w:rPr>
      </w:pPr>
      <w:bookmarkStart w:id="26" w:name="_Toc270770571"/>
      <w:r w:rsidRPr="00DA0DCD">
        <w:rPr>
          <w:lang w:val="en-US"/>
        </w:rPr>
        <w:t>Motivation for using model(s)</w:t>
      </w:r>
      <w:bookmarkEnd w:id="26"/>
    </w:p>
    <w:p w:rsidR="00DB60E9" w:rsidRPr="00DA0DCD" w:rsidRDefault="001F4A0D" w:rsidP="001F4A0D">
      <w:pPr>
        <w:rPr>
          <w:lang w:val="en-US"/>
        </w:rPr>
      </w:pPr>
      <w:r w:rsidRPr="00DA0DCD">
        <w:rPr>
          <w:lang w:val="en-US"/>
        </w:rPr>
        <w:t xml:space="preserve">In this thesis </w:t>
      </w:r>
      <w:r w:rsidR="003204AC" w:rsidRPr="00DA0DCD">
        <w:rPr>
          <w:lang w:val="en-US"/>
        </w:rPr>
        <w:t xml:space="preserve">the event study will be conducted using the </w:t>
      </w:r>
      <w:r w:rsidRPr="00DA0DCD">
        <w:rPr>
          <w:lang w:val="en-US"/>
        </w:rPr>
        <w:t>multi</w:t>
      </w:r>
      <w:r w:rsidR="00064620" w:rsidRPr="00DA0DCD">
        <w:rPr>
          <w:lang w:val="en-US"/>
        </w:rPr>
        <w:t>-</w:t>
      </w:r>
      <w:r w:rsidR="00970E4F" w:rsidRPr="00DA0DCD">
        <w:rPr>
          <w:lang w:val="en-US"/>
        </w:rPr>
        <w:t>factor model</w:t>
      </w:r>
      <w:r w:rsidR="003204AC" w:rsidRPr="00DA0DCD">
        <w:rPr>
          <w:lang w:val="en-US"/>
        </w:rPr>
        <w:t>. There are two reasons for th</w:t>
      </w:r>
      <w:r w:rsidR="00440553">
        <w:rPr>
          <w:lang w:val="en-US"/>
        </w:rPr>
        <w:t>is</w:t>
      </w:r>
      <w:r w:rsidR="003204AC" w:rsidRPr="00DA0DCD">
        <w:rPr>
          <w:lang w:val="en-US"/>
        </w:rPr>
        <w:t xml:space="preserve"> choice.</w:t>
      </w:r>
      <w:r w:rsidRPr="00DA0DCD">
        <w:rPr>
          <w:lang w:val="en-US"/>
        </w:rPr>
        <w:t xml:space="preserve"> The first reason is that this model is common used in accounting research on the economic consequences of introduction or change (relaxation) of accounting standards</w:t>
      </w:r>
      <w:r w:rsidR="003A7DCA" w:rsidRPr="00DA0DCD">
        <w:rPr>
          <w:lang w:val="en-US"/>
        </w:rPr>
        <w:t xml:space="preserve"> (like </w:t>
      </w:r>
      <w:r w:rsidR="003A7DCA" w:rsidRPr="00DA0DCD">
        <w:rPr>
          <w:bCs/>
          <w:lang w:val="en-US"/>
        </w:rPr>
        <w:t>Cornett et al. (1996), Beatty et al.(1996) and Bowen et al. (2010))</w:t>
      </w:r>
      <w:r w:rsidRPr="00DA0DCD">
        <w:rPr>
          <w:lang w:val="en-US"/>
        </w:rPr>
        <w:t xml:space="preserve">. Therefore, </w:t>
      </w:r>
      <w:r w:rsidR="00970E4F" w:rsidRPr="00DA0DCD">
        <w:rPr>
          <w:lang w:val="en-US"/>
        </w:rPr>
        <w:t xml:space="preserve">it makes </w:t>
      </w:r>
      <w:r w:rsidRPr="00DA0DCD">
        <w:rPr>
          <w:lang w:val="en-US"/>
        </w:rPr>
        <w:t xml:space="preserve">a comparison </w:t>
      </w:r>
      <w:r w:rsidR="003204AC" w:rsidRPr="00DA0DCD">
        <w:rPr>
          <w:lang w:val="en-US"/>
        </w:rPr>
        <w:t xml:space="preserve">possible </w:t>
      </w:r>
      <w:r w:rsidRPr="00DA0DCD">
        <w:rPr>
          <w:lang w:val="en-US"/>
        </w:rPr>
        <w:t>between this research and prior research. Second</w:t>
      </w:r>
      <w:r w:rsidR="00970E4F" w:rsidRPr="00DA0DCD">
        <w:rPr>
          <w:lang w:val="en-US"/>
        </w:rPr>
        <w:t>ly</w:t>
      </w:r>
      <w:r w:rsidRPr="00DA0DCD">
        <w:rPr>
          <w:lang w:val="en-US"/>
        </w:rPr>
        <w:t>, the normal return</w:t>
      </w:r>
      <w:r w:rsidR="00970E4F" w:rsidRPr="00DA0DCD">
        <w:rPr>
          <w:lang w:val="en-US"/>
        </w:rPr>
        <w:t xml:space="preserve"> of the sample</w:t>
      </w:r>
      <w:r w:rsidRPr="00DA0DCD">
        <w:rPr>
          <w:lang w:val="en-US"/>
        </w:rPr>
        <w:t xml:space="preserve"> is explained by more variations.</w:t>
      </w:r>
      <w:r w:rsidR="003A7DCA" w:rsidRPr="00DA0DCD">
        <w:rPr>
          <w:lang w:val="en-US"/>
        </w:rPr>
        <w:t xml:space="preserve"> </w:t>
      </w:r>
    </w:p>
    <w:p w:rsidR="00D25557" w:rsidRPr="00DA0DCD" w:rsidRDefault="00B944A5" w:rsidP="001F4A0D">
      <w:pPr>
        <w:rPr>
          <w:lang w:val="en-US"/>
        </w:rPr>
      </w:pPr>
      <w:r w:rsidRPr="00DA0DCD">
        <w:rPr>
          <w:lang w:val="en-US"/>
        </w:rPr>
        <w:t>T</w:t>
      </w:r>
      <w:r w:rsidR="00970E4F" w:rsidRPr="00DA0DCD">
        <w:rPr>
          <w:lang w:val="en-US"/>
        </w:rPr>
        <w:t xml:space="preserve">he approach of this research </w:t>
      </w:r>
      <w:r w:rsidRPr="00DA0DCD">
        <w:rPr>
          <w:lang w:val="en-US"/>
        </w:rPr>
        <w:t xml:space="preserve">will </w:t>
      </w:r>
      <w:r w:rsidR="00970E4F" w:rsidRPr="00DA0DCD">
        <w:rPr>
          <w:lang w:val="en-US"/>
        </w:rPr>
        <w:t xml:space="preserve">look like the framework presented in table 3.1. </w:t>
      </w:r>
      <w:r w:rsidRPr="00DA0DCD">
        <w:rPr>
          <w:lang w:val="en-US"/>
        </w:rPr>
        <w:t>But with the multi-factor model, s</w:t>
      </w:r>
      <w:r w:rsidR="00D25557" w:rsidRPr="00DA0DCD">
        <w:rPr>
          <w:lang w:val="en-US"/>
        </w:rPr>
        <w:t>tep</w:t>
      </w:r>
      <w:r w:rsidRPr="00DA0DCD">
        <w:rPr>
          <w:lang w:val="en-US"/>
        </w:rPr>
        <w:t xml:space="preserve"> </w:t>
      </w:r>
      <w:r w:rsidR="00C13CC9" w:rsidRPr="00DA0DCD">
        <w:rPr>
          <w:lang w:val="en-US"/>
        </w:rPr>
        <w:t xml:space="preserve">six, </w:t>
      </w:r>
      <w:r w:rsidR="00FD28B8" w:rsidRPr="00DA0DCD">
        <w:rPr>
          <w:lang w:val="en-US"/>
        </w:rPr>
        <w:t>seven and</w:t>
      </w:r>
      <w:r w:rsidRPr="00DA0DCD">
        <w:rPr>
          <w:lang w:val="en-US"/>
        </w:rPr>
        <w:t xml:space="preserve"> eight of the framework will differ. </w:t>
      </w:r>
      <w:r w:rsidR="00E75187" w:rsidRPr="00DA0DCD">
        <w:rPr>
          <w:lang w:val="en-US"/>
        </w:rPr>
        <w:t xml:space="preserve"> Step six, the test of the abnormal return, will be conducted using </w:t>
      </w:r>
      <w:r w:rsidR="00E75187" w:rsidRPr="00DA0DCD">
        <w:rPr>
          <w:rFonts w:ascii="Times New Roman" w:hAnsi="Times New Roman" w:cs="Times New Roman"/>
          <w:i/>
          <w:lang w:val="en-US"/>
        </w:rPr>
        <w:t>δ</w:t>
      </w:r>
      <w:r w:rsidR="00E75187" w:rsidRPr="00DA0DCD">
        <w:rPr>
          <w:rFonts w:ascii="Times New Roman" w:hAnsi="Times New Roman" w:cs="Times New Roman"/>
          <w:i/>
          <w:sz w:val="14"/>
          <w:szCs w:val="14"/>
          <w:lang w:val="en-US"/>
        </w:rPr>
        <w:t>1</w:t>
      </w:r>
      <w:r w:rsidR="00E75187" w:rsidRPr="00DA0DCD">
        <w:rPr>
          <w:rFonts w:ascii="Times New Roman" w:hAnsi="Times New Roman" w:cs="Times New Roman"/>
          <w:i/>
          <w:shadow/>
          <w:sz w:val="14"/>
          <w:szCs w:val="14"/>
          <w:lang w:val="en-US"/>
        </w:rPr>
        <w:t xml:space="preserve"> </w:t>
      </w:r>
      <w:r w:rsidR="005C72C0" w:rsidRPr="00DA0DCD">
        <w:rPr>
          <w:lang w:val="en-US"/>
        </w:rPr>
        <w:t>of Eq</w:t>
      </w:r>
      <w:r w:rsidR="000D06F2" w:rsidRPr="00DA0DCD">
        <w:rPr>
          <w:lang w:val="en-US"/>
        </w:rPr>
        <w:t>.</w:t>
      </w:r>
      <w:r w:rsidR="005C72C0" w:rsidRPr="00DA0DCD">
        <w:rPr>
          <w:lang w:val="en-US"/>
        </w:rPr>
        <w:t>(</w:t>
      </w:r>
      <w:r w:rsidR="00A365AA" w:rsidRPr="00DA0DCD">
        <w:rPr>
          <w:lang w:val="en-US"/>
        </w:rPr>
        <w:t>3.</w:t>
      </w:r>
      <w:r w:rsidR="005C72C0" w:rsidRPr="00DA0DCD">
        <w:rPr>
          <w:lang w:val="en-US"/>
        </w:rPr>
        <w:t xml:space="preserve">4) which represent </w:t>
      </w:r>
      <w:r w:rsidR="00B04A2A" w:rsidRPr="00DA0DCD">
        <w:rPr>
          <w:lang w:val="en-US"/>
        </w:rPr>
        <w:t>events</w:t>
      </w:r>
      <w:r w:rsidR="00CB35C6" w:rsidRPr="00DA0DCD">
        <w:rPr>
          <w:lang w:val="en-US"/>
        </w:rPr>
        <w:t xml:space="preserve"> impact </w:t>
      </w:r>
      <w:r w:rsidR="00B04A2A" w:rsidRPr="00DA0DCD">
        <w:rPr>
          <w:lang w:val="en-US"/>
        </w:rPr>
        <w:t xml:space="preserve">on stock returns. </w:t>
      </w:r>
      <w:r w:rsidR="003C6F64" w:rsidRPr="00DA0DCD">
        <w:rPr>
          <w:lang w:val="en-US"/>
        </w:rPr>
        <w:t>The seventh step of reporting percentage of negative returns is</w:t>
      </w:r>
      <w:r w:rsidR="00401C28" w:rsidRPr="00DA0DCD">
        <w:rPr>
          <w:lang w:val="en-US"/>
        </w:rPr>
        <w:t xml:space="preserve"> therefore</w:t>
      </w:r>
      <w:r w:rsidR="003C6F64" w:rsidRPr="00DA0DCD">
        <w:rPr>
          <w:lang w:val="en-US"/>
        </w:rPr>
        <w:t xml:space="preserve"> conducted</w:t>
      </w:r>
      <w:r w:rsidR="00401C28" w:rsidRPr="00DA0DCD">
        <w:rPr>
          <w:lang w:val="en-US"/>
        </w:rPr>
        <w:t xml:space="preserve"> in step six. </w:t>
      </w:r>
      <w:r w:rsidR="003C6F64" w:rsidRPr="00DA0DCD">
        <w:rPr>
          <w:lang w:val="en-US"/>
        </w:rPr>
        <w:t xml:space="preserve">Following step eight is about the impact of outlier with a small sample, but this step not </w:t>
      </w:r>
      <w:r w:rsidR="005B5643">
        <w:rPr>
          <w:lang w:val="en-US"/>
        </w:rPr>
        <w:t>that</w:t>
      </w:r>
      <w:r w:rsidR="003C6F64" w:rsidRPr="00DA0DCD">
        <w:rPr>
          <w:lang w:val="en-US"/>
        </w:rPr>
        <w:t xml:space="preserve"> relevant because of the sample size of this research (see chapter 6). </w:t>
      </w:r>
    </w:p>
    <w:p w:rsidR="007301DD" w:rsidRPr="00DA0DCD" w:rsidRDefault="000F6FCF" w:rsidP="000F6FCF">
      <w:pPr>
        <w:pStyle w:val="Kop3"/>
        <w:numPr>
          <w:ilvl w:val="2"/>
          <w:numId w:val="14"/>
        </w:numPr>
        <w:rPr>
          <w:lang w:val="en-US"/>
        </w:rPr>
      </w:pPr>
      <w:bookmarkStart w:id="27" w:name="_Toc270770572"/>
      <w:r w:rsidRPr="00DA0DCD">
        <w:rPr>
          <w:lang w:val="en-US"/>
        </w:rPr>
        <w:t>Event window</w:t>
      </w:r>
      <w:r w:rsidR="00661CE4" w:rsidRPr="00DA0DCD">
        <w:rPr>
          <w:lang w:val="en-US"/>
        </w:rPr>
        <w:t>s</w:t>
      </w:r>
      <w:bookmarkEnd w:id="27"/>
    </w:p>
    <w:p w:rsidR="00B04A2A" w:rsidRPr="00DA0DCD" w:rsidRDefault="0089465B" w:rsidP="0089465B">
      <w:pPr>
        <w:rPr>
          <w:lang w:val="en-US"/>
        </w:rPr>
      </w:pPr>
      <w:r w:rsidRPr="00DA0DCD">
        <w:rPr>
          <w:bCs/>
          <w:lang w:val="en-US"/>
        </w:rPr>
        <w:t xml:space="preserve">MacKinlay (1997) states that an event window should </w:t>
      </w:r>
      <w:r w:rsidRPr="00DA0DCD">
        <w:rPr>
          <w:lang w:val="en-US"/>
        </w:rPr>
        <w:t xml:space="preserve">includes at least the day of the announcement and the day after the announcement. McWilliams and Siegel (1997) notes however that the event window is normally the day before the event and the day of the event. They further </w:t>
      </w:r>
      <w:r w:rsidR="005B5643" w:rsidRPr="00DA0DCD">
        <w:rPr>
          <w:lang w:val="en-US"/>
        </w:rPr>
        <w:t xml:space="preserve">state </w:t>
      </w:r>
      <w:r w:rsidRPr="00DA0DCD">
        <w:rPr>
          <w:lang w:val="en-US"/>
        </w:rPr>
        <w:t xml:space="preserve">that an event window, longer than two days has to be justified. This justification has to be made, because a </w:t>
      </w:r>
      <w:r w:rsidRPr="00DA0DCD">
        <w:rPr>
          <w:lang w:val="en-US"/>
        </w:rPr>
        <w:lastRenderedPageBreak/>
        <w:t>longer event window implies that other factor are likely to have a greater impact on the abnormal return.</w:t>
      </w:r>
      <w:r w:rsidR="00FB51CB" w:rsidRPr="00DA0DCD">
        <w:rPr>
          <w:lang w:val="en-US"/>
        </w:rPr>
        <w:t xml:space="preserve"> </w:t>
      </w:r>
      <w:r w:rsidR="00420930" w:rsidRPr="00DA0DCD">
        <w:rPr>
          <w:lang w:val="en-US"/>
        </w:rPr>
        <w:t xml:space="preserve">The event windows during </w:t>
      </w:r>
      <w:r w:rsidR="00004A2C" w:rsidRPr="00DA0DCD">
        <w:rPr>
          <w:lang w:val="en-US"/>
        </w:rPr>
        <w:t>this thesis</w:t>
      </w:r>
      <w:r w:rsidR="00420930" w:rsidRPr="00DA0DCD">
        <w:rPr>
          <w:lang w:val="en-US"/>
        </w:rPr>
        <w:t xml:space="preserve"> </w:t>
      </w:r>
      <w:r w:rsidR="00004A2C" w:rsidRPr="00DA0DCD">
        <w:rPr>
          <w:lang w:val="en-US"/>
        </w:rPr>
        <w:t>consist, in</w:t>
      </w:r>
      <w:r w:rsidR="00420930" w:rsidRPr="00DA0DCD">
        <w:rPr>
          <w:lang w:val="en-US"/>
        </w:rPr>
        <w:t xml:space="preserve"> </w:t>
      </w:r>
      <w:r w:rsidR="00004A2C" w:rsidRPr="00DA0DCD">
        <w:rPr>
          <w:lang w:val="en-US"/>
        </w:rPr>
        <w:t>accordance with</w:t>
      </w:r>
      <w:r w:rsidR="00420930" w:rsidRPr="00DA0DCD">
        <w:rPr>
          <w:lang w:val="en-US"/>
        </w:rPr>
        <w:t xml:space="preserve"> </w:t>
      </w:r>
      <w:r w:rsidR="00004A2C" w:rsidRPr="00DA0DCD">
        <w:rPr>
          <w:lang w:val="en-US"/>
        </w:rPr>
        <w:t xml:space="preserve">Cornett at al. (1996) and </w:t>
      </w:r>
      <w:r w:rsidR="00420930" w:rsidRPr="00DA0DCD">
        <w:rPr>
          <w:lang w:val="en-US"/>
        </w:rPr>
        <w:t>Bowen et al. (2010)</w:t>
      </w:r>
      <w:r w:rsidR="00004A2C" w:rsidRPr="00DA0DCD">
        <w:rPr>
          <w:lang w:val="en-US"/>
        </w:rPr>
        <w:t>, of three days.</w:t>
      </w:r>
      <w:r w:rsidR="00420930" w:rsidRPr="00DA0DCD">
        <w:rPr>
          <w:lang w:val="en-US"/>
        </w:rPr>
        <w:t xml:space="preserve"> </w:t>
      </w:r>
      <w:r w:rsidR="00004A2C" w:rsidRPr="00DA0DCD">
        <w:rPr>
          <w:lang w:val="en-US"/>
        </w:rPr>
        <w:t xml:space="preserve">This includes </w:t>
      </w:r>
      <w:r w:rsidR="00420930" w:rsidRPr="00DA0DCD">
        <w:rPr>
          <w:lang w:val="en-US"/>
        </w:rPr>
        <w:t>the day before</w:t>
      </w:r>
      <w:r w:rsidR="00004A2C" w:rsidRPr="00DA0DCD">
        <w:rPr>
          <w:lang w:val="en-US"/>
        </w:rPr>
        <w:t>, the day of and the day after the event window. The reason for the three day event window is because of the unknown exact timing of the information release.</w:t>
      </w:r>
    </w:p>
    <w:p w:rsidR="00A62232" w:rsidRPr="00DA0DCD" w:rsidRDefault="00A62232" w:rsidP="00A62232">
      <w:pPr>
        <w:pStyle w:val="Kop2"/>
        <w:numPr>
          <w:ilvl w:val="1"/>
          <w:numId w:val="14"/>
        </w:numPr>
        <w:rPr>
          <w:lang w:val="en-US"/>
        </w:rPr>
      </w:pPr>
      <w:bookmarkStart w:id="28" w:name="_Toc270770573"/>
      <w:bookmarkStart w:id="29" w:name="_Toc251758934"/>
      <w:bookmarkStart w:id="30" w:name="_Toc254174489"/>
      <w:r w:rsidRPr="00DA0DCD">
        <w:rPr>
          <w:lang w:val="en-US"/>
        </w:rPr>
        <w:t>Conclusion</w:t>
      </w:r>
      <w:bookmarkEnd w:id="28"/>
    </w:p>
    <w:p w:rsidR="007556B9" w:rsidRPr="00DA0DCD" w:rsidRDefault="002B0ED3">
      <w:pPr>
        <w:rPr>
          <w:lang w:val="en-US"/>
        </w:rPr>
      </w:pPr>
      <w:r w:rsidRPr="00DA0DCD">
        <w:rPr>
          <w:lang w:val="en-US"/>
        </w:rPr>
        <w:t xml:space="preserve">The research approach consists of a market-based research. Because this research examines the ex post reaction of relaxation announcements by means of an event study. An event study is used because the goal of this research is to </w:t>
      </w:r>
      <w:r w:rsidR="003A7DCA" w:rsidRPr="00DA0DCD">
        <w:rPr>
          <w:lang w:val="en-US"/>
        </w:rPr>
        <w:t>examine</w:t>
      </w:r>
      <w:r w:rsidRPr="00DA0DCD">
        <w:rPr>
          <w:lang w:val="en-US"/>
        </w:rPr>
        <w:t xml:space="preserve"> the impact of all the announcements during the whole “reclassification option” process.</w:t>
      </w:r>
      <w:r w:rsidR="00946BB5" w:rsidRPr="00DA0DCD">
        <w:rPr>
          <w:lang w:val="en-US"/>
        </w:rPr>
        <w:t xml:space="preserve"> To measure the market reaction</w:t>
      </w:r>
      <w:r w:rsidR="004D6925" w:rsidRPr="00DA0DCD">
        <w:rPr>
          <w:lang w:val="en-US"/>
        </w:rPr>
        <w:t xml:space="preserve"> during the events</w:t>
      </w:r>
      <w:r w:rsidR="00946BB5" w:rsidRPr="00DA0DCD">
        <w:rPr>
          <w:lang w:val="en-US"/>
        </w:rPr>
        <w:t>, the multi factor model will be used</w:t>
      </w:r>
      <w:r w:rsidR="003A7DCA" w:rsidRPr="00DA0DCD">
        <w:rPr>
          <w:lang w:val="en-US"/>
        </w:rPr>
        <w:t xml:space="preserve"> (like </w:t>
      </w:r>
      <w:r w:rsidR="003A7DCA" w:rsidRPr="00DA0DCD">
        <w:rPr>
          <w:bCs/>
          <w:lang w:val="en-US"/>
        </w:rPr>
        <w:t>Cornett et al. (1996), Beatty et al.(1996) and Bowen et al. (2010))</w:t>
      </w:r>
      <w:r w:rsidR="00946BB5" w:rsidRPr="00DA0DCD">
        <w:rPr>
          <w:lang w:val="en-US"/>
        </w:rPr>
        <w:t>. The reas</w:t>
      </w:r>
      <w:r w:rsidR="004D6925" w:rsidRPr="00DA0DCD">
        <w:rPr>
          <w:lang w:val="en-US"/>
        </w:rPr>
        <w:t>on is that the multi factor model is common used in the accounting research on the economic consequences of introduction or change (relaxation) of accounting standards.</w:t>
      </w:r>
      <w:r w:rsidR="003A7DCA" w:rsidRPr="00DA0DCD">
        <w:rPr>
          <w:lang w:val="en-US"/>
        </w:rPr>
        <w:t xml:space="preserve"> Furthermore, the model measures the normal daily return of sample firms is explained by more variations. </w:t>
      </w:r>
    </w:p>
    <w:bookmarkEnd w:id="29"/>
    <w:bookmarkEnd w:id="30"/>
    <w:p w:rsidR="00DC6A91" w:rsidRPr="00DA0DCD" w:rsidRDefault="00DC6A91">
      <w:pPr>
        <w:rPr>
          <w:rFonts w:asciiTheme="majorHAnsi" w:eastAsiaTheme="majorEastAsia" w:hAnsiTheme="majorHAnsi" w:cstheme="majorBidi"/>
          <w:b/>
          <w:bCs/>
          <w:color w:val="365F91" w:themeColor="accent1" w:themeShade="BF"/>
          <w:sz w:val="28"/>
          <w:szCs w:val="28"/>
          <w:lang w:val="en-US"/>
        </w:rPr>
      </w:pPr>
      <w:r w:rsidRPr="00DA0DCD">
        <w:rPr>
          <w:lang w:val="en-US"/>
        </w:rPr>
        <w:br w:type="page"/>
      </w:r>
    </w:p>
    <w:p w:rsidR="00BA69CB" w:rsidRPr="00DA0DCD" w:rsidRDefault="006920C9" w:rsidP="00341013">
      <w:pPr>
        <w:pStyle w:val="Kop1"/>
        <w:numPr>
          <w:ilvl w:val="0"/>
          <w:numId w:val="14"/>
        </w:numPr>
        <w:rPr>
          <w:lang w:val="en-US"/>
        </w:rPr>
      </w:pPr>
      <w:bookmarkStart w:id="31" w:name="_Toc270770574"/>
      <w:r w:rsidRPr="00DA0DCD">
        <w:rPr>
          <w:lang w:val="en-US"/>
        </w:rPr>
        <w:lastRenderedPageBreak/>
        <w:t xml:space="preserve">Prior </w:t>
      </w:r>
      <w:r w:rsidR="00DC6A91" w:rsidRPr="00DA0DCD">
        <w:rPr>
          <w:lang w:val="en-US"/>
        </w:rPr>
        <w:t>research on</w:t>
      </w:r>
      <w:r w:rsidRPr="00DA0DCD">
        <w:rPr>
          <w:lang w:val="en-US"/>
        </w:rPr>
        <w:t xml:space="preserve"> eco</w:t>
      </w:r>
      <w:r w:rsidR="00DC6A91" w:rsidRPr="00DA0DCD">
        <w:rPr>
          <w:lang w:val="en-US"/>
        </w:rPr>
        <w:t>nomic</w:t>
      </w:r>
      <w:r w:rsidRPr="00DA0DCD">
        <w:rPr>
          <w:lang w:val="en-US"/>
        </w:rPr>
        <w:t xml:space="preserve"> cons</w:t>
      </w:r>
      <w:r w:rsidR="00DC6A91" w:rsidRPr="00DA0DCD">
        <w:rPr>
          <w:lang w:val="en-US"/>
        </w:rPr>
        <w:t>equences</w:t>
      </w:r>
      <w:bookmarkEnd w:id="31"/>
    </w:p>
    <w:p w:rsidR="00BA69CB" w:rsidRPr="00DA0DCD" w:rsidRDefault="00BA69CB" w:rsidP="00BA69CB">
      <w:pPr>
        <w:pStyle w:val="Kop2"/>
        <w:numPr>
          <w:ilvl w:val="1"/>
          <w:numId w:val="14"/>
        </w:numPr>
        <w:rPr>
          <w:lang w:val="en-US"/>
        </w:rPr>
      </w:pPr>
      <w:r w:rsidRPr="00DA0DCD">
        <w:rPr>
          <w:lang w:val="en-US"/>
        </w:rPr>
        <w:t xml:space="preserve"> </w:t>
      </w:r>
      <w:bookmarkStart w:id="32" w:name="_Toc270770575"/>
      <w:r w:rsidRPr="00DA0DCD">
        <w:rPr>
          <w:lang w:val="en-US"/>
        </w:rPr>
        <w:t>Introduction</w:t>
      </w:r>
      <w:bookmarkEnd w:id="32"/>
    </w:p>
    <w:p w:rsidR="008D52E8" w:rsidRPr="00DA0DCD" w:rsidRDefault="00ED5541" w:rsidP="0048666A">
      <w:pPr>
        <w:rPr>
          <w:lang w:val="en-US"/>
        </w:rPr>
      </w:pPr>
      <w:r>
        <w:rPr>
          <w:lang w:val="en-US"/>
        </w:rPr>
        <w:t>In the previous chapter</w:t>
      </w:r>
      <w:r w:rsidR="007A18AF">
        <w:rPr>
          <w:lang w:val="en-US"/>
        </w:rPr>
        <w:t>, prior researches on different methods of conducting a market based accounting research using an event study are</w:t>
      </w:r>
      <w:r w:rsidR="00B55DEA">
        <w:rPr>
          <w:lang w:val="en-US"/>
        </w:rPr>
        <w:t xml:space="preserve"> discussed</w:t>
      </w:r>
      <w:r w:rsidR="007A18AF">
        <w:rPr>
          <w:lang w:val="en-US"/>
        </w:rPr>
        <w:t xml:space="preserve">. </w:t>
      </w:r>
      <w:r w:rsidR="00431CFD" w:rsidRPr="00DA0DCD">
        <w:rPr>
          <w:lang w:val="en-US"/>
        </w:rPr>
        <w:t xml:space="preserve">In this </w:t>
      </w:r>
      <w:r w:rsidR="00947A7D" w:rsidRPr="00DA0DCD">
        <w:rPr>
          <w:lang w:val="en-US"/>
        </w:rPr>
        <w:t>chapter</w:t>
      </w:r>
      <w:r w:rsidR="00431CFD" w:rsidRPr="00DA0DCD">
        <w:rPr>
          <w:lang w:val="en-US"/>
        </w:rPr>
        <w:t xml:space="preserve">, </w:t>
      </w:r>
      <w:r w:rsidR="007A18AF">
        <w:rPr>
          <w:lang w:val="en-US"/>
        </w:rPr>
        <w:t xml:space="preserve">results of </w:t>
      </w:r>
      <w:r w:rsidR="00431CFD" w:rsidRPr="00DA0DCD">
        <w:rPr>
          <w:lang w:val="en-US"/>
        </w:rPr>
        <w:t xml:space="preserve">prior research on </w:t>
      </w:r>
      <w:r w:rsidR="00A20481" w:rsidRPr="00DA0DCD">
        <w:rPr>
          <w:lang w:val="en-US"/>
        </w:rPr>
        <w:t xml:space="preserve">economic consequences of introducing </w:t>
      </w:r>
      <w:r w:rsidR="00357860" w:rsidRPr="00DA0DCD">
        <w:rPr>
          <w:lang w:val="en-US"/>
        </w:rPr>
        <w:t>FVA</w:t>
      </w:r>
      <w:r w:rsidR="007A18AF">
        <w:rPr>
          <w:lang w:val="en-US"/>
        </w:rPr>
        <w:t>, introducing IAS 39 and amendments on FVA accounting standards are</w:t>
      </w:r>
      <w:r w:rsidR="00357860" w:rsidRPr="00DA0DCD">
        <w:rPr>
          <w:lang w:val="en-US"/>
        </w:rPr>
        <w:t xml:space="preserve"> </w:t>
      </w:r>
      <w:r w:rsidR="00A34782">
        <w:rPr>
          <w:lang w:val="en-US"/>
        </w:rPr>
        <w:t>mentioned</w:t>
      </w:r>
      <w:r w:rsidR="00357860" w:rsidRPr="00DA0DCD">
        <w:rPr>
          <w:lang w:val="en-US"/>
        </w:rPr>
        <w:t>. In the US</w:t>
      </w:r>
      <w:r w:rsidR="007A18AF">
        <w:rPr>
          <w:lang w:val="en-US"/>
        </w:rPr>
        <w:t>,</w:t>
      </w:r>
      <w:r w:rsidR="00357860" w:rsidRPr="00DA0DCD">
        <w:rPr>
          <w:lang w:val="en-US"/>
        </w:rPr>
        <w:t xml:space="preserve"> the </w:t>
      </w:r>
      <w:r w:rsidR="007A18AF">
        <w:rPr>
          <w:lang w:val="en-US"/>
        </w:rPr>
        <w:t>amendment</w:t>
      </w:r>
      <w:r w:rsidR="00357860" w:rsidRPr="00DA0DCD">
        <w:rPr>
          <w:lang w:val="en-US"/>
        </w:rPr>
        <w:t xml:space="preserve"> </w:t>
      </w:r>
      <w:r w:rsidR="005B5643">
        <w:rPr>
          <w:lang w:val="en-US"/>
        </w:rPr>
        <w:t>means</w:t>
      </w:r>
      <w:r w:rsidR="00357860" w:rsidRPr="00DA0DCD">
        <w:rPr>
          <w:lang w:val="en-US"/>
        </w:rPr>
        <w:t xml:space="preserve"> the relaxation of FVA and impairment rules of financial instruments d</w:t>
      </w:r>
      <w:r w:rsidR="007A18AF">
        <w:rPr>
          <w:lang w:val="en-US"/>
        </w:rPr>
        <w:t xml:space="preserve">uring the financial crisis. In </w:t>
      </w:r>
      <w:r w:rsidR="00357860" w:rsidRPr="00DA0DCD">
        <w:rPr>
          <w:lang w:val="en-US"/>
        </w:rPr>
        <w:t>Europe</w:t>
      </w:r>
      <w:r w:rsidR="007A18AF">
        <w:rPr>
          <w:lang w:val="en-US"/>
        </w:rPr>
        <w:t xml:space="preserve">, the </w:t>
      </w:r>
      <w:r w:rsidR="00A34782">
        <w:rPr>
          <w:lang w:val="en-US"/>
        </w:rPr>
        <w:t>amendment</w:t>
      </w:r>
      <w:r w:rsidR="00357860" w:rsidRPr="00DA0DCD">
        <w:rPr>
          <w:lang w:val="en-US"/>
        </w:rPr>
        <w:t xml:space="preserve"> is about the introduction of the reclassification option for financial instruments under IAS 39. </w:t>
      </w:r>
      <w:r w:rsidR="00C17A2E" w:rsidRPr="00DA0DCD">
        <w:rPr>
          <w:lang w:val="en-US"/>
        </w:rPr>
        <w:t>The change in accounting rules on financial instruments arise from a lobby of banks and politicians who argues that FVA works pro-cyclical (contagion) during the financial crisis, as me</w:t>
      </w:r>
      <w:r w:rsidR="003E03F2" w:rsidRPr="00DA0DCD">
        <w:rPr>
          <w:lang w:val="en-US"/>
        </w:rPr>
        <w:t>ntioned in the introduction. Research on the</w:t>
      </w:r>
      <w:r w:rsidR="00C17A2E" w:rsidRPr="00DA0DCD">
        <w:rPr>
          <w:lang w:val="en-US"/>
        </w:rPr>
        <w:t xml:space="preserve"> pro-cyclical effect is described in this </w:t>
      </w:r>
      <w:r w:rsidR="00947A7D" w:rsidRPr="00DA0DCD">
        <w:rPr>
          <w:lang w:val="en-US"/>
        </w:rPr>
        <w:t>chapter</w:t>
      </w:r>
      <w:r w:rsidR="00C17A2E" w:rsidRPr="00DA0DCD">
        <w:rPr>
          <w:lang w:val="en-US"/>
        </w:rPr>
        <w:t>. Next to the lobby for a relaxation, there is also criticism on the relaxation. Th</w:t>
      </w:r>
      <w:r w:rsidR="00A34782">
        <w:rPr>
          <w:lang w:val="en-US"/>
        </w:rPr>
        <w:t>e</w:t>
      </w:r>
      <w:r w:rsidR="00C17A2E" w:rsidRPr="00DA0DCD">
        <w:rPr>
          <w:lang w:val="en-US"/>
        </w:rPr>
        <w:t xml:space="preserve"> criticism is also discussed in this </w:t>
      </w:r>
      <w:r w:rsidR="00947A7D" w:rsidRPr="00DA0DCD">
        <w:rPr>
          <w:lang w:val="en-US"/>
        </w:rPr>
        <w:t>chapter</w:t>
      </w:r>
      <w:r w:rsidR="00C17A2E" w:rsidRPr="00DA0DCD">
        <w:rPr>
          <w:lang w:val="en-US"/>
        </w:rPr>
        <w:t xml:space="preserve">. As already described in </w:t>
      </w:r>
      <w:r w:rsidR="00947A7D" w:rsidRPr="00DA0DCD">
        <w:rPr>
          <w:lang w:val="en-US"/>
        </w:rPr>
        <w:t>chapter</w:t>
      </w:r>
      <w:r w:rsidR="00C17A2E" w:rsidRPr="00DA0DCD">
        <w:rPr>
          <w:lang w:val="en-US"/>
        </w:rPr>
        <w:t xml:space="preserve"> 2, t</w:t>
      </w:r>
      <w:r w:rsidR="00375EB9" w:rsidRPr="00DA0DCD">
        <w:rPr>
          <w:lang w:val="en-US"/>
        </w:rPr>
        <w:t xml:space="preserve">he situation in the US and Europe differ. </w:t>
      </w:r>
      <w:r w:rsidR="007A18AF">
        <w:rPr>
          <w:lang w:val="en-US"/>
        </w:rPr>
        <w:t>Similarly,</w:t>
      </w:r>
      <w:r w:rsidR="00375EB9" w:rsidRPr="00DA0DCD">
        <w:rPr>
          <w:lang w:val="en-US"/>
        </w:rPr>
        <w:t xml:space="preserve"> the corporate governance </w:t>
      </w:r>
      <w:r w:rsidR="00375EB9" w:rsidRPr="00ED5541">
        <w:rPr>
          <w:lang w:val="en-US"/>
        </w:rPr>
        <w:t xml:space="preserve">structure (see </w:t>
      </w:r>
      <w:r w:rsidR="00947A7D" w:rsidRPr="00ED5541">
        <w:rPr>
          <w:lang w:val="en-US"/>
        </w:rPr>
        <w:t>paragraph</w:t>
      </w:r>
      <w:r w:rsidR="00375EB9" w:rsidRPr="00ED5541">
        <w:rPr>
          <w:lang w:val="en-US"/>
        </w:rPr>
        <w:t xml:space="preserve"> 2.</w:t>
      </w:r>
      <w:r w:rsidR="004D0B7F" w:rsidRPr="00ED5541">
        <w:rPr>
          <w:lang w:val="en-US"/>
        </w:rPr>
        <w:t>10</w:t>
      </w:r>
      <w:r w:rsidR="00375EB9" w:rsidRPr="00ED5541">
        <w:rPr>
          <w:lang w:val="en-US"/>
        </w:rPr>
        <w:t>) and</w:t>
      </w:r>
      <w:r w:rsidR="00375EB9" w:rsidRPr="00DA0DCD">
        <w:rPr>
          <w:lang w:val="en-US"/>
        </w:rPr>
        <w:t xml:space="preserve"> market reactions differ </w:t>
      </w:r>
      <w:r w:rsidR="00C17A2E" w:rsidRPr="00DA0DCD">
        <w:rPr>
          <w:lang w:val="en-US"/>
        </w:rPr>
        <w:t xml:space="preserve">in these regions. </w:t>
      </w:r>
      <w:r w:rsidR="008D52E8" w:rsidRPr="00DA0DCD">
        <w:rPr>
          <w:lang w:val="en-US"/>
        </w:rPr>
        <w:t xml:space="preserve">Most of the </w:t>
      </w:r>
      <w:r w:rsidR="00A34782">
        <w:rPr>
          <w:lang w:val="en-US"/>
        </w:rPr>
        <w:t>prior researches presented in this chapter examine</w:t>
      </w:r>
      <w:r w:rsidR="003E03F2" w:rsidRPr="00DA0DCD">
        <w:rPr>
          <w:lang w:val="en-US"/>
        </w:rPr>
        <w:t xml:space="preserve"> the </w:t>
      </w:r>
      <w:r w:rsidR="00A34782" w:rsidRPr="00DA0DCD">
        <w:rPr>
          <w:lang w:val="en-US"/>
        </w:rPr>
        <w:t>situation</w:t>
      </w:r>
      <w:r w:rsidR="00A34782">
        <w:rPr>
          <w:lang w:val="en-US"/>
        </w:rPr>
        <w:t xml:space="preserve"> in the</w:t>
      </w:r>
      <w:r w:rsidR="00A34782" w:rsidRPr="00DA0DCD">
        <w:rPr>
          <w:lang w:val="en-US"/>
        </w:rPr>
        <w:t xml:space="preserve"> </w:t>
      </w:r>
      <w:r w:rsidR="003E03F2" w:rsidRPr="00DA0DCD">
        <w:rPr>
          <w:lang w:val="en-US"/>
        </w:rPr>
        <w:t>US</w:t>
      </w:r>
      <w:r w:rsidR="000B4CB6" w:rsidRPr="00DA0DCD">
        <w:rPr>
          <w:lang w:val="en-US"/>
        </w:rPr>
        <w:t>.</w:t>
      </w:r>
      <w:r w:rsidR="008D52E8" w:rsidRPr="00DA0DCD">
        <w:rPr>
          <w:lang w:val="en-US"/>
        </w:rPr>
        <w:t xml:space="preserve"> </w:t>
      </w:r>
      <w:r w:rsidR="000B4CB6" w:rsidRPr="00DA0DCD">
        <w:rPr>
          <w:lang w:val="en-US"/>
        </w:rPr>
        <w:t>U</w:t>
      </w:r>
      <w:r w:rsidR="008D52E8" w:rsidRPr="00DA0DCD">
        <w:rPr>
          <w:lang w:val="en-US"/>
        </w:rPr>
        <w:t xml:space="preserve">nderstanding of the difference in market reaction </w:t>
      </w:r>
      <w:r w:rsidR="00A34782">
        <w:rPr>
          <w:lang w:val="en-US"/>
        </w:rPr>
        <w:t xml:space="preserve">between both regions </w:t>
      </w:r>
      <w:r w:rsidR="008D52E8" w:rsidRPr="00DA0DCD">
        <w:rPr>
          <w:lang w:val="en-US"/>
        </w:rPr>
        <w:t>makes it possible to interpret the research results into the European situation. This is also relevant for the development of expectations (hypotheses).</w:t>
      </w:r>
      <w:r w:rsidR="000B4CB6" w:rsidRPr="00DA0DCD">
        <w:rPr>
          <w:lang w:val="en-US"/>
        </w:rPr>
        <w:t xml:space="preserve"> </w:t>
      </w:r>
      <w:r w:rsidR="008D52E8" w:rsidRPr="00DA0DCD">
        <w:rPr>
          <w:lang w:val="en-US"/>
        </w:rPr>
        <w:t>Therefore, this chapter will start first with the differences in capital market reaction between the US and Europe.</w:t>
      </w:r>
    </w:p>
    <w:p w:rsidR="000B4CB6" w:rsidRPr="00DA0DCD" w:rsidRDefault="000B4CB6" w:rsidP="000B4CB6">
      <w:pPr>
        <w:pStyle w:val="Kop2"/>
        <w:numPr>
          <w:ilvl w:val="1"/>
          <w:numId w:val="14"/>
        </w:numPr>
        <w:rPr>
          <w:lang w:val="en-US"/>
        </w:rPr>
      </w:pPr>
      <w:r w:rsidRPr="00DA0DCD">
        <w:rPr>
          <w:lang w:val="en-US"/>
        </w:rPr>
        <w:t xml:space="preserve"> </w:t>
      </w:r>
      <w:bookmarkStart w:id="33" w:name="_Toc270770576"/>
      <w:r w:rsidRPr="00DA0DCD">
        <w:rPr>
          <w:lang w:val="en-US"/>
        </w:rPr>
        <w:t>Capital market reaction</w:t>
      </w:r>
      <w:bookmarkEnd w:id="33"/>
    </w:p>
    <w:p w:rsidR="0029663A" w:rsidRPr="00DA0DCD" w:rsidRDefault="000B4CB6" w:rsidP="0029663A">
      <w:pPr>
        <w:rPr>
          <w:lang w:val="en-US"/>
        </w:rPr>
      </w:pPr>
      <w:r w:rsidRPr="00DA0DCD">
        <w:rPr>
          <w:lang w:val="en-US"/>
        </w:rPr>
        <w:t>This research is about the capital market reaction to announcements of introduction the reclassification option under IAS 39. The capital reaction</w:t>
      </w:r>
      <w:r w:rsidR="00E7385A">
        <w:rPr>
          <w:lang w:val="en-US"/>
        </w:rPr>
        <w:t xml:space="preserve"> on certain events as shown in</w:t>
      </w:r>
      <w:r w:rsidRPr="00DA0DCD">
        <w:rPr>
          <w:lang w:val="en-US"/>
        </w:rPr>
        <w:t xml:space="preserve"> prior research is important and relevant for the development of expectations and hypotheses. Mostly all the </w:t>
      </w:r>
      <w:r w:rsidR="001917C1" w:rsidRPr="00DA0DCD">
        <w:rPr>
          <w:lang w:val="en-US"/>
        </w:rPr>
        <w:t>researches on the economic consequences of intr</w:t>
      </w:r>
      <w:r w:rsidR="009A41FF">
        <w:rPr>
          <w:lang w:val="en-US"/>
        </w:rPr>
        <w:t>od</w:t>
      </w:r>
      <w:r w:rsidR="001917C1" w:rsidRPr="00DA0DCD">
        <w:rPr>
          <w:lang w:val="en-US"/>
        </w:rPr>
        <w:t>ucing and changing an accounting standard are</w:t>
      </w:r>
      <w:r w:rsidRPr="00DA0DCD">
        <w:rPr>
          <w:lang w:val="en-US"/>
        </w:rPr>
        <w:t xml:space="preserve"> done in the US.</w:t>
      </w:r>
      <w:r w:rsidR="001917C1" w:rsidRPr="00DA0DCD">
        <w:rPr>
          <w:lang w:val="en-US"/>
        </w:rPr>
        <w:t xml:space="preserve"> There are some differences between the US </w:t>
      </w:r>
      <w:r w:rsidR="005B5643">
        <w:rPr>
          <w:lang w:val="en-US"/>
        </w:rPr>
        <w:t>and the</w:t>
      </w:r>
      <w:r w:rsidR="001917C1" w:rsidRPr="00DA0DCD">
        <w:rPr>
          <w:lang w:val="en-US"/>
        </w:rPr>
        <w:t xml:space="preserve"> Europe</w:t>
      </w:r>
      <w:r w:rsidR="009A41FF">
        <w:rPr>
          <w:lang w:val="en-US"/>
        </w:rPr>
        <w:t>an situation</w:t>
      </w:r>
      <w:r w:rsidR="001917C1" w:rsidRPr="00DA0DCD">
        <w:rPr>
          <w:lang w:val="en-US"/>
        </w:rPr>
        <w:t xml:space="preserve">, as presented in chapter two. For now the difference in capital market reaction is important, to understand how to interpret the researches done in the US into the European situation. </w:t>
      </w:r>
      <w:r w:rsidR="0029663A" w:rsidRPr="00DA0DCD">
        <w:rPr>
          <w:lang w:val="en-US"/>
        </w:rPr>
        <w:t xml:space="preserve">So, it is relevant to verify the difference in stock market reaction on certain events. These events have not necessary anything to do with </w:t>
      </w:r>
      <w:r w:rsidR="009A41FF">
        <w:rPr>
          <w:lang w:val="en-US"/>
        </w:rPr>
        <w:t>financial institutions</w:t>
      </w:r>
      <w:r w:rsidR="0029663A" w:rsidRPr="00DA0DCD">
        <w:rPr>
          <w:lang w:val="en-US"/>
        </w:rPr>
        <w:t xml:space="preserve"> or FVA, but we aim only at the differences in market reaction as a whole. It could be that investors in Europe react stronger on a certain event compared to the investors in the US </w:t>
      </w:r>
      <w:r w:rsidR="005B5643">
        <w:rPr>
          <w:lang w:val="en-US"/>
        </w:rPr>
        <w:t>and</w:t>
      </w:r>
      <w:r w:rsidR="0029663A" w:rsidRPr="00DA0DCD">
        <w:rPr>
          <w:lang w:val="en-US"/>
        </w:rPr>
        <w:t xml:space="preserve"> vice versa.</w:t>
      </w:r>
    </w:p>
    <w:p w:rsidR="0029663A" w:rsidRPr="00DA0DCD" w:rsidRDefault="0029663A" w:rsidP="0029663A">
      <w:pPr>
        <w:rPr>
          <w:lang w:val="en-US"/>
        </w:rPr>
      </w:pPr>
      <w:r w:rsidRPr="00DA0DCD">
        <w:rPr>
          <w:lang w:val="en-US"/>
        </w:rPr>
        <w:t xml:space="preserve">There have been researches done on different market reactions between Europe and the US to specified events, for instance Scholtens </w:t>
      </w:r>
      <w:r w:rsidR="005B5643">
        <w:rPr>
          <w:lang w:val="en-US"/>
        </w:rPr>
        <w:t>and</w:t>
      </w:r>
      <w:r w:rsidRPr="00DA0DCD">
        <w:rPr>
          <w:lang w:val="en-US"/>
        </w:rPr>
        <w:t xml:space="preserve"> de Wit (2004) has done research on the reaction on bank mergers in the US and Europe. </w:t>
      </w:r>
      <w:r w:rsidR="009A41FF">
        <w:rPr>
          <w:lang w:val="en-US"/>
        </w:rPr>
        <w:t>They</w:t>
      </w:r>
      <w:r w:rsidRPr="00DA0DCD">
        <w:rPr>
          <w:lang w:val="en-US"/>
        </w:rPr>
        <w:t xml:space="preserve"> investigated 81 bank mergers in the US and Europe (it were not the same mergers) and the capital market reaction on these bank mergers using an event study. He finds a significant different reaction. In Europe the abnormal returns at the stock market on the announcements of bank mergers are significant lower compared to the US. Despite that</w:t>
      </w:r>
      <w:r w:rsidR="009A41FF">
        <w:rPr>
          <w:lang w:val="en-US"/>
        </w:rPr>
        <w:t xml:space="preserve"> the</w:t>
      </w:r>
      <w:r w:rsidRPr="00DA0DCD">
        <w:rPr>
          <w:lang w:val="en-US"/>
        </w:rPr>
        <w:t xml:space="preserve"> bank mergers were not the same, the difference in reaction could also be caused by other factors. However, this problem is already partial mitigated by the sample size of 81 mergers. It is plausible that the other factors through the sample size (partially) cancel each other. Also Van Dijk and Roosenboom (2009) investigated difference</w:t>
      </w:r>
      <w:r w:rsidR="005B5643">
        <w:rPr>
          <w:lang w:val="en-US"/>
        </w:rPr>
        <w:t>s</w:t>
      </w:r>
      <w:r w:rsidRPr="00DA0DCD">
        <w:rPr>
          <w:lang w:val="en-US"/>
        </w:rPr>
        <w:t xml:space="preserve"> in market reaction on certain events (announcements) for 526 cross-listed companies in Europe and the US through an event study. They also found a significant difference between Europe and the US. The abnormal return at the stock market in the US </w:t>
      </w:r>
      <w:r w:rsidRPr="00DA0DCD">
        <w:rPr>
          <w:lang w:val="en-US"/>
        </w:rPr>
        <w:lastRenderedPageBreak/>
        <w:t>is significant higher compared to Europe. The limitation of this results compar</w:t>
      </w:r>
      <w:r w:rsidR="009A41FF">
        <w:rPr>
          <w:lang w:val="en-US"/>
        </w:rPr>
        <w:t>ed</w:t>
      </w:r>
      <w:r w:rsidRPr="00DA0DCD">
        <w:rPr>
          <w:lang w:val="en-US"/>
        </w:rPr>
        <w:t xml:space="preserve"> to </w:t>
      </w:r>
      <w:r w:rsidR="009A41FF">
        <w:rPr>
          <w:lang w:val="en-US"/>
        </w:rPr>
        <w:t xml:space="preserve">the </w:t>
      </w:r>
      <w:r w:rsidRPr="00DA0DCD">
        <w:rPr>
          <w:lang w:val="en-US"/>
        </w:rPr>
        <w:t>research</w:t>
      </w:r>
      <w:r w:rsidR="009A41FF">
        <w:rPr>
          <w:lang w:val="en-US"/>
        </w:rPr>
        <w:t xml:space="preserve"> of this the</w:t>
      </w:r>
      <w:r w:rsidR="005B5643">
        <w:rPr>
          <w:lang w:val="en-US"/>
        </w:rPr>
        <w:t>s</w:t>
      </w:r>
      <w:r w:rsidR="009A41FF">
        <w:rPr>
          <w:lang w:val="en-US"/>
        </w:rPr>
        <w:t>is</w:t>
      </w:r>
      <w:r w:rsidRPr="00DA0DCD">
        <w:rPr>
          <w:lang w:val="en-US"/>
        </w:rPr>
        <w:t xml:space="preserve"> is that Van Dijk </w:t>
      </w:r>
      <w:r w:rsidR="005B5643">
        <w:rPr>
          <w:lang w:val="en-US"/>
        </w:rPr>
        <w:t>and</w:t>
      </w:r>
      <w:r w:rsidRPr="00DA0DCD">
        <w:rPr>
          <w:lang w:val="en-US"/>
        </w:rPr>
        <w:t xml:space="preserve"> Roosenboom (2009) focuses on all kinds of companies, while this research focuses on financial institutions. The results might be different for only financial institutions. However, comparing the results of Scholtens (2004) and Van Dijk </w:t>
      </w:r>
      <w:r w:rsidR="005B5643">
        <w:rPr>
          <w:lang w:val="en-US"/>
        </w:rPr>
        <w:t>and</w:t>
      </w:r>
      <w:r w:rsidRPr="00DA0DCD">
        <w:rPr>
          <w:lang w:val="en-US"/>
        </w:rPr>
        <w:t xml:space="preserve"> Roosenboom (2009), it is plausible to expect no different reaction for financial institutions. </w:t>
      </w:r>
      <w:r w:rsidR="00C937DE" w:rsidRPr="00DA0DCD">
        <w:rPr>
          <w:lang w:val="en-US"/>
        </w:rPr>
        <w:t>So, t</w:t>
      </w:r>
      <w:r w:rsidRPr="00DA0DCD">
        <w:rPr>
          <w:lang w:val="en-US"/>
        </w:rPr>
        <w:t xml:space="preserve">he results of both researches indicates that investors in the US react stronger on events compared with Europe. </w:t>
      </w:r>
      <w:r w:rsidR="00C937DE" w:rsidRPr="00DA0DCD">
        <w:rPr>
          <w:lang w:val="en-US"/>
        </w:rPr>
        <w:t xml:space="preserve">With </w:t>
      </w:r>
      <w:r w:rsidR="009A41FF" w:rsidRPr="00DA0DCD">
        <w:rPr>
          <w:lang w:val="en-US"/>
        </w:rPr>
        <w:t>these results</w:t>
      </w:r>
      <w:r w:rsidR="00C937DE" w:rsidRPr="00DA0DCD">
        <w:rPr>
          <w:lang w:val="en-US"/>
        </w:rPr>
        <w:t xml:space="preserve"> in mind, the results of researches done in the US can be interpret into the European situation.</w:t>
      </w:r>
      <w:r w:rsidR="00BF3B96" w:rsidRPr="00DA0DCD">
        <w:rPr>
          <w:lang w:val="en-US"/>
        </w:rPr>
        <w:t xml:space="preserve"> </w:t>
      </w:r>
    </w:p>
    <w:p w:rsidR="00BA69CB" w:rsidRPr="00DA0DCD" w:rsidRDefault="00BA69CB" w:rsidP="00BA69CB">
      <w:pPr>
        <w:pStyle w:val="Kop2"/>
        <w:numPr>
          <w:ilvl w:val="1"/>
          <w:numId w:val="14"/>
        </w:numPr>
        <w:rPr>
          <w:lang w:val="en-US"/>
        </w:rPr>
      </w:pPr>
      <w:bookmarkStart w:id="34" w:name="_Toc251758935"/>
      <w:bookmarkStart w:id="35" w:name="_Toc254174490"/>
      <w:bookmarkStart w:id="36" w:name="_Toc270770577"/>
      <w:r w:rsidRPr="00DA0DCD">
        <w:rPr>
          <w:lang w:val="en-US"/>
        </w:rPr>
        <w:t>Background</w:t>
      </w:r>
      <w:bookmarkEnd w:id="34"/>
      <w:bookmarkEnd w:id="35"/>
      <w:bookmarkEnd w:id="36"/>
    </w:p>
    <w:p w:rsidR="00C937DE" w:rsidRPr="00DA0DCD" w:rsidRDefault="00BF3B96" w:rsidP="006D1DE4">
      <w:pPr>
        <w:rPr>
          <w:lang w:val="en-US"/>
        </w:rPr>
      </w:pPr>
      <w:r w:rsidRPr="00DA0DCD">
        <w:rPr>
          <w:lang w:val="en-US"/>
        </w:rPr>
        <w:t xml:space="preserve">Before examining the </w:t>
      </w:r>
      <w:r w:rsidR="00264441" w:rsidRPr="00DA0DCD">
        <w:rPr>
          <w:lang w:val="en-US"/>
        </w:rPr>
        <w:t>effect</w:t>
      </w:r>
      <w:r w:rsidR="006D1DE4" w:rsidRPr="00DA0DCD">
        <w:rPr>
          <w:lang w:val="en-US"/>
        </w:rPr>
        <w:t xml:space="preserve"> </w:t>
      </w:r>
      <w:r w:rsidRPr="00DA0DCD">
        <w:rPr>
          <w:lang w:val="en-US"/>
        </w:rPr>
        <w:t xml:space="preserve">of the introduction of the reclassification option under IAS 39, it is relevant to know </w:t>
      </w:r>
      <w:r w:rsidR="00264441" w:rsidRPr="00DA0DCD">
        <w:rPr>
          <w:lang w:val="en-US"/>
        </w:rPr>
        <w:t>what the economic consequences</w:t>
      </w:r>
      <w:r w:rsidR="00E7385A">
        <w:rPr>
          <w:lang w:val="en-US"/>
        </w:rPr>
        <w:t xml:space="preserve"> of </w:t>
      </w:r>
      <w:r w:rsidR="00264441" w:rsidRPr="00DA0DCD">
        <w:rPr>
          <w:lang w:val="en-US"/>
        </w:rPr>
        <w:t>introduction FVA</w:t>
      </w:r>
      <w:r w:rsidR="00E7385A">
        <w:rPr>
          <w:lang w:val="en-US"/>
        </w:rPr>
        <w:t xml:space="preserve"> are on the capital market</w:t>
      </w:r>
      <w:r w:rsidRPr="00DA0DCD">
        <w:rPr>
          <w:lang w:val="en-US"/>
        </w:rPr>
        <w:t>.</w:t>
      </w:r>
      <w:r w:rsidR="00E7385A">
        <w:rPr>
          <w:lang w:val="en-US"/>
        </w:rPr>
        <w:t xml:space="preserve"> </w:t>
      </w:r>
      <w:r w:rsidR="0063265F" w:rsidRPr="00DA0DCD">
        <w:rPr>
          <w:lang w:val="en-US"/>
        </w:rPr>
        <w:t>A number of researches have been done on the economic consequences of the introduction of FVA</w:t>
      </w:r>
      <w:r w:rsidR="00EB19FC" w:rsidRPr="00DA0DCD">
        <w:rPr>
          <w:lang w:val="en-US"/>
        </w:rPr>
        <w:t xml:space="preserve"> in the US</w:t>
      </w:r>
      <w:r w:rsidR="0063265F" w:rsidRPr="00DA0DCD">
        <w:rPr>
          <w:lang w:val="en-US"/>
        </w:rPr>
        <w:t xml:space="preserve">. </w:t>
      </w:r>
      <w:r w:rsidR="00EB19FC" w:rsidRPr="00DA0DCD">
        <w:rPr>
          <w:lang w:val="en-US"/>
        </w:rPr>
        <w:t xml:space="preserve">For instance </w:t>
      </w:r>
      <w:r w:rsidR="0063265F" w:rsidRPr="00DA0DCD">
        <w:rPr>
          <w:lang w:val="en-US"/>
        </w:rPr>
        <w:t>Cornett et al.(1996), examines whether 23 pronouncements (events) related to the introduction of FVA</w:t>
      </w:r>
      <w:r w:rsidR="00EB19FC" w:rsidRPr="00DA0DCD">
        <w:rPr>
          <w:lang w:val="en-US"/>
        </w:rPr>
        <w:t>,</w:t>
      </w:r>
      <w:r w:rsidR="0063265F" w:rsidRPr="00DA0DCD">
        <w:rPr>
          <w:lang w:val="en-US"/>
        </w:rPr>
        <w:t xml:space="preserve"> </w:t>
      </w:r>
      <w:r w:rsidR="00EB19FC" w:rsidRPr="00DA0DCD">
        <w:rPr>
          <w:lang w:val="en-US"/>
        </w:rPr>
        <w:t>in accounting standard SFAS 115,</w:t>
      </w:r>
      <w:r w:rsidR="0063265F" w:rsidRPr="00DA0DCD">
        <w:rPr>
          <w:lang w:val="en-US"/>
        </w:rPr>
        <w:t xml:space="preserve"> affect the equity price</w:t>
      </w:r>
      <w:r w:rsidR="00EB19FC" w:rsidRPr="00DA0DCD">
        <w:rPr>
          <w:lang w:val="en-US"/>
        </w:rPr>
        <w:t>s</w:t>
      </w:r>
      <w:r w:rsidR="0063265F" w:rsidRPr="00DA0DCD">
        <w:rPr>
          <w:lang w:val="en-US"/>
        </w:rPr>
        <w:t xml:space="preserve"> of </w:t>
      </w:r>
      <w:r w:rsidR="00EB19FC" w:rsidRPr="00DA0DCD">
        <w:rPr>
          <w:lang w:val="en-US"/>
        </w:rPr>
        <w:t>banks</w:t>
      </w:r>
      <w:r w:rsidRPr="00DA0DCD">
        <w:rPr>
          <w:lang w:val="en-US"/>
        </w:rPr>
        <w:t xml:space="preserve"> in the period 1989 through 1993</w:t>
      </w:r>
      <w:r w:rsidR="00EB19FC" w:rsidRPr="00DA0DCD">
        <w:rPr>
          <w:lang w:val="en-US"/>
        </w:rPr>
        <w:t>.</w:t>
      </w:r>
      <w:r w:rsidR="0063265F" w:rsidRPr="00DA0DCD">
        <w:rPr>
          <w:lang w:val="en-US"/>
        </w:rPr>
        <w:t xml:space="preserve"> </w:t>
      </w:r>
      <w:r w:rsidR="006D1DE4" w:rsidRPr="00DA0DCD">
        <w:rPr>
          <w:lang w:val="en-US"/>
        </w:rPr>
        <w:t xml:space="preserve">SFAS 115 is the US GAAP standard which requires to use FVA for certain investment </w:t>
      </w:r>
      <w:r w:rsidR="00831B07" w:rsidRPr="00DA0DCD">
        <w:rPr>
          <w:lang w:val="en-US"/>
        </w:rPr>
        <w:t xml:space="preserve">in debt and equity </w:t>
      </w:r>
      <w:r w:rsidR="006D1DE4" w:rsidRPr="00DA0DCD">
        <w:rPr>
          <w:lang w:val="en-US"/>
        </w:rPr>
        <w:t>securities</w:t>
      </w:r>
      <w:r w:rsidR="00831B07" w:rsidRPr="00DA0DCD">
        <w:rPr>
          <w:lang w:val="en-US"/>
        </w:rPr>
        <w:t xml:space="preserve"> and requires recognition of unrealized gains and losses in the shareholders equity. Cornett et al. (1996) </w:t>
      </w:r>
      <w:r w:rsidR="006D1DE4" w:rsidRPr="00DA0DCD">
        <w:rPr>
          <w:lang w:val="en-US"/>
        </w:rPr>
        <w:t>use</w:t>
      </w:r>
      <w:r w:rsidR="00831B07" w:rsidRPr="00DA0DCD">
        <w:rPr>
          <w:lang w:val="en-US"/>
        </w:rPr>
        <w:t>s</w:t>
      </w:r>
      <w:r w:rsidR="00725F73" w:rsidRPr="00DA0DCD">
        <w:rPr>
          <w:lang w:val="en-US"/>
        </w:rPr>
        <w:t xml:space="preserve"> t</w:t>
      </w:r>
      <w:r w:rsidR="00C937DE" w:rsidRPr="00DA0DCD">
        <w:rPr>
          <w:lang w:val="en-US"/>
        </w:rPr>
        <w:t>he following</w:t>
      </w:r>
      <w:r w:rsidR="0063265F" w:rsidRPr="00DA0DCD">
        <w:rPr>
          <w:lang w:val="en-US"/>
        </w:rPr>
        <w:t xml:space="preserve"> multivariate regre</w:t>
      </w:r>
      <w:r w:rsidR="00725F73" w:rsidRPr="00DA0DCD">
        <w:rPr>
          <w:lang w:val="en-US"/>
        </w:rPr>
        <w:t>ssion model (multifactor model</w:t>
      </w:r>
      <w:r w:rsidR="00831B07" w:rsidRPr="00DA0DCD">
        <w:rPr>
          <w:lang w:val="en-US"/>
        </w:rPr>
        <w:t>) to test the effect of the events</w:t>
      </w:r>
      <w:r w:rsidR="00725F73" w:rsidRPr="00DA0DCD">
        <w:rPr>
          <w:lang w:val="en-US"/>
        </w:rPr>
        <w:t>:</w:t>
      </w:r>
    </w:p>
    <w:p w:rsidR="00C937DE" w:rsidRPr="00DA0DCD" w:rsidRDefault="00C937DE" w:rsidP="00BF3B96">
      <w:pPr>
        <w:spacing w:after="0"/>
        <w:rPr>
          <w:lang w:val="en-US"/>
        </w:rPr>
      </w:pPr>
      <w:r w:rsidRPr="00DA0DCD">
        <w:rPr>
          <w:noProof/>
          <w:lang w:eastAsia="nl-NL"/>
        </w:rPr>
        <w:drawing>
          <wp:inline distT="0" distB="0" distL="0" distR="0">
            <wp:extent cx="2473984" cy="448336"/>
            <wp:effectExtent l="19050" t="0" r="2516"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2475819" cy="448669"/>
                    </a:xfrm>
                    <a:prstGeom prst="rect">
                      <a:avLst/>
                    </a:prstGeom>
                    <a:noFill/>
                    <a:ln w="9525">
                      <a:noFill/>
                      <a:miter lim="800000"/>
                      <a:headEnd/>
                      <a:tailEnd/>
                    </a:ln>
                  </pic:spPr>
                </pic:pic>
              </a:graphicData>
            </a:graphic>
          </wp:inline>
        </w:drawing>
      </w:r>
      <w:r w:rsidR="00A365AA" w:rsidRPr="00DA0DCD">
        <w:rPr>
          <w:lang w:val="en-US"/>
        </w:rPr>
        <w:tab/>
      </w:r>
      <w:r w:rsidR="00A365AA" w:rsidRPr="00DA0DCD">
        <w:rPr>
          <w:lang w:val="en-US"/>
        </w:rPr>
        <w:tab/>
      </w:r>
      <w:r w:rsidR="00A365AA" w:rsidRPr="00DA0DCD">
        <w:rPr>
          <w:lang w:val="en-US"/>
        </w:rPr>
        <w:tab/>
        <w:t>(4.1)</w:t>
      </w:r>
    </w:p>
    <w:p w:rsidR="00C937DE" w:rsidRPr="00DA0DCD" w:rsidRDefault="00C937DE" w:rsidP="00607EEC">
      <w:pPr>
        <w:pStyle w:val="Geenafstand"/>
        <w:rPr>
          <w:lang w:val="en-US"/>
        </w:rPr>
      </w:pPr>
      <w:r w:rsidRPr="00DA0DCD">
        <w:rPr>
          <w:lang w:val="en-US"/>
        </w:rPr>
        <w:t>Where:</w:t>
      </w:r>
    </w:p>
    <w:p w:rsidR="00C937DE" w:rsidRPr="001E3A86" w:rsidRDefault="00C937DE" w:rsidP="00607EEC">
      <w:pPr>
        <w:pStyle w:val="Geenafstand"/>
        <w:ind w:left="705" w:hanging="705"/>
        <w:rPr>
          <w:lang w:val="en-US"/>
        </w:rPr>
      </w:pPr>
      <w:r w:rsidRPr="00DA0DCD">
        <w:rPr>
          <w:noProof/>
          <w:sz w:val="20"/>
          <w:szCs w:val="20"/>
          <w:lang w:eastAsia="nl-NL"/>
        </w:rPr>
        <w:drawing>
          <wp:inline distT="0" distB="0" distL="0" distR="0">
            <wp:extent cx="170731" cy="175535"/>
            <wp:effectExtent l="19050" t="0" r="719" b="0"/>
            <wp:docPr id="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a:stretch>
                      <a:fillRect/>
                    </a:stretch>
                  </pic:blipFill>
                  <pic:spPr bwMode="auto">
                    <a:xfrm>
                      <a:off x="0" y="0"/>
                      <a:ext cx="171826" cy="176660"/>
                    </a:xfrm>
                    <a:prstGeom prst="rect">
                      <a:avLst/>
                    </a:prstGeom>
                    <a:noFill/>
                    <a:ln w="9525">
                      <a:noFill/>
                      <a:miter lim="800000"/>
                      <a:headEnd/>
                      <a:tailEnd/>
                    </a:ln>
                  </pic:spPr>
                </pic:pic>
              </a:graphicData>
            </a:graphic>
          </wp:inline>
        </w:drawing>
      </w:r>
      <w:r w:rsidR="00607EEC" w:rsidRPr="00DA0DCD">
        <w:rPr>
          <w:sz w:val="20"/>
          <w:szCs w:val="20"/>
          <w:lang w:val="en-US"/>
        </w:rPr>
        <w:tab/>
      </w:r>
      <w:r w:rsidRPr="001E3A86">
        <w:rPr>
          <w:lang w:val="en-US"/>
        </w:rPr>
        <w:t>= stock return</w:t>
      </w:r>
      <w:r w:rsidR="00D94B9C" w:rsidRPr="001E3A86">
        <w:rPr>
          <w:lang w:val="en-US"/>
        </w:rPr>
        <w:t>s</w:t>
      </w:r>
      <w:r w:rsidRPr="001E3A86">
        <w:rPr>
          <w:lang w:val="en-US"/>
        </w:rPr>
        <w:t xml:space="preserve"> of bank </w:t>
      </w:r>
      <w:r w:rsidRPr="001E3A86">
        <w:rPr>
          <w:i/>
          <w:lang w:val="en-US"/>
        </w:rPr>
        <w:t>j</w:t>
      </w:r>
      <w:r w:rsidRPr="001E3A86">
        <w:rPr>
          <w:lang w:val="en-US"/>
        </w:rPr>
        <w:t xml:space="preserve"> on day</w:t>
      </w:r>
      <w:r w:rsidR="00725F73" w:rsidRPr="001E3A86">
        <w:rPr>
          <w:lang w:val="en-US"/>
        </w:rPr>
        <w:t xml:space="preserve"> </w:t>
      </w:r>
      <w:r w:rsidR="00725F73" w:rsidRPr="001E3A86">
        <w:rPr>
          <w:i/>
          <w:lang w:val="en-US"/>
        </w:rPr>
        <w:t>t</w:t>
      </w:r>
      <w:r w:rsidR="00D94B9C" w:rsidRPr="001E3A86">
        <w:rPr>
          <w:i/>
          <w:lang w:val="en-US"/>
        </w:rPr>
        <w:t xml:space="preserve"> </w:t>
      </w:r>
      <w:r w:rsidR="00D94B9C" w:rsidRPr="001E3A86">
        <w:rPr>
          <w:lang w:val="en-US"/>
        </w:rPr>
        <w:t>(</w:t>
      </w:r>
      <w:r w:rsidR="00D94B9C" w:rsidRPr="001E3A86">
        <w:rPr>
          <w:i/>
          <w:lang w:val="en-US"/>
        </w:rPr>
        <w:t>t=</w:t>
      </w:r>
      <w:r w:rsidR="00D94B9C" w:rsidRPr="001E3A86">
        <w:rPr>
          <w:lang w:val="en-US"/>
        </w:rPr>
        <w:t>1,2,..,</w:t>
      </w:r>
      <w:r w:rsidR="00D94B9C" w:rsidRPr="001E3A86">
        <w:rPr>
          <w:i/>
          <w:lang w:val="en-US"/>
        </w:rPr>
        <w:t>T</w:t>
      </w:r>
      <w:r w:rsidR="00D94B9C" w:rsidRPr="001E3A86">
        <w:rPr>
          <w:lang w:val="en-US"/>
        </w:rPr>
        <w:t xml:space="preserve">) where </w:t>
      </w:r>
      <w:r w:rsidR="00D94B9C" w:rsidRPr="001E3A86">
        <w:rPr>
          <w:i/>
          <w:lang w:val="en-US"/>
        </w:rPr>
        <w:t>T</w:t>
      </w:r>
      <w:r w:rsidR="00D94B9C" w:rsidRPr="001E3A86">
        <w:rPr>
          <w:lang w:val="en-US"/>
        </w:rPr>
        <w:t xml:space="preserve"> is the total number of daily returns from 1989 through 1993;</w:t>
      </w:r>
    </w:p>
    <w:p w:rsidR="00C937DE" w:rsidRPr="001E3A86" w:rsidRDefault="00C937DE" w:rsidP="00607EEC">
      <w:pPr>
        <w:pStyle w:val="Geenafstand"/>
        <w:rPr>
          <w:lang w:val="en-US"/>
        </w:rPr>
      </w:pPr>
      <w:r w:rsidRPr="001E3A86">
        <w:rPr>
          <w:noProof/>
          <w:lang w:eastAsia="nl-NL"/>
        </w:rPr>
        <w:drawing>
          <wp:inline distT="0" distB="0" distL="0" distR="0">
            <wp:extent cx="213863" cy="178611"/>
            <wp:effectExtent l="19050" t="0" r="0" b="0"/>
            <wp:docPr id="6"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srcRect l="10966"/>
                    <a:stretch>
                      <a:fillRect/>
                    </a:stretch>
                  </pic:blipFill>
                  <pic:spPr bwMode="auto">
                    <a:xfrm>
                      <a:off x="0" y="0"/>
                      <a:ext cx="213863" cy="178611"/>
                    </a:xfrm>
                    <a:prstGeom prst="rect">
                      <a:avLst/>
                    </a:prstGeom>
                    <a:noFill/>
                    <a:ln w="9525">
                      <a:noFill/>
                      <a:miter lim="800000"/>
                      <a:headEnd/>
                      <a:tailEnd/>
                    </a:ln>
                  </pic:spPr>
                </pic:pic>
              </a:graphicData>
            </a:graphic>
          </wp:inline>
        </w:drawing>
      </w:r>
      <w:r w:rsidR="00607EEC" w:rsidRPr="001E3A86">
        <w:rPr>
          <w:lang w:val="en-US"/>
        </w:rPr>
        <w:tab/>
      </w:r>
      <w:r w:rsidR="00725F73" w:rsidRPr="001E3A86">
        <w:rPr>
          <w:lang w:val="en-US"/>
        </w:rPr>
        <w:t>=</w:t>
      </w:r>
      <w:r w:rsidR="00285E03" w:rsidRPr="001E3A86">
        <w:rPr>
          <w:lang w:val="en-US"/>
        </w:rPr>
        <w:t xml:space="preserve"> return of the stock index on day </w:t>
      </w:r>
      <w:r w:rsidR="00285E03" w:rsidRPr="001E3A86">
        <w:rPr>
          <w:i/>
          <w:lang w:val="en-US"/>
        </w:rPr>
        <w:t>t</w:t>
      </w:r>
      <w:r w:rsidR="00285E03" w:rsidRPr="001E3A86">
        <w:rPr>
          <w:lang w:val="en-US"/>
        </w:rPr>
        <w:t>;</w:t>
      </w:r>
    </w:p>
    <w:p w:rsidR="00C937DE" w:rsidRPr="001E3A86" w:rsidRDefault="00E77D2A" w:rsidP="00607EEC">
      <w:pPr>
        <w:pStyle w:val="Geenafstand"/>
        <w:rPr>
          <w:lang w:val="en-US"/>
        </w:rPr>
      </w:pPr>
      <w:r w:rsidRPr="00E77D2A">
        <w:rPr>
          <w:noProof/>
          <w:lang w:val="en-US" w:eastAsia="nl-NL"/>
        </w:rPr>
        <w:pict>
          <v:shape id="_x0000_i1031" type="#_x0000_t75" style="width:10.3pt;height:9.55pt;visibility:visible" o:bullet="t">
            <v:imagedata r:id="rId20" o:title=""/>
          </v:shape>
        </w:pict>
      </w:r>
      <w:r w:rsidR="00607EEC" w:rsidRPr="001E3A86">
        <w:rPr>
          <w:noProof/>
          <w:lang w:val="en-US" w:eastAsia="nl-NL"/>
        </w:rPr>
        <w:tab/>
      </w:r>
      <w:r w:rsidR="00285E03" w:rsidRPr="001E3A86">
        <w:rPr>
          <w:noProof/>
          <w:lang w:val="en-US" w:eastAsia="nl-NL"/>
        </w:rPr>
        <w:t xml:space="preserve">= intercept coefficient for bank </w:t>
      </w:r>
      <w:r w:rsidR="00285E03" w:rsidRPr="001E3A86">
        <w:rPr>
          <w:i/>
          <w:noProof/>
          <w:lang w:val="en-US" w:eastAsia="nl-NL"/>
        </w:rPr>
        <w:t>j</w:t>
      </w:r>
      <w:r w:rsidR="00285E03" w:rsidRPr="001E3A86">
        <w:rPr>
          <w:noProof/>
          <w:lang w:val="en-US" w:eastAsia="nl-NL"/>
        </w:rPr>
        <w:t>;</w:t>
      </w:r>
    </w:p>
    <w:p w:rsidR="00C937DE" w:rsidRPr="001E3A86" w:rsidRDefault="00C937DE" w:rsidP="00607EEC">
      <w:pPr>
        <w:pStyle w:val="Geenafstand"/>
        <w:rPr>
          <w:lang w:val="en-US"/>
        </w:rPr>
      </w:pPr>
      <w:r w:rsidRPr="001E3A86">
        <w:rPr>
          <w:noProof/>
          <w:lang w:eastAsia="nl-NL"/>
        </w:rPr>
        <w:drawing>
          <wp:inline distT="0" distB="0" distL="0" distR="0">
            <wp:extent cx="115018" cy="138022"/>
            <wp:effectExtent l="19050" t="0" r="0" b="0"/>
            <wp:docPr id="15"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srcRect/>
                    <a:stretch>
                      <a:fillRect/>
                    </a:stretch>
                  </pic:blipFill>
                  <pic:spPr bwMode="auto">
                    <a:xfrm>
                      <a:off x="0" y="0"/>
                      <a:ext cx="116114" cy="139337"/>
                    </a:xfrm>
                    <a:prstGeom prst="rect">
                      <a:avLst/>
                    </a:prstGeom>
                    <a:noFill/>
                    <a:ln w="9525">
                      <a:noFill/>
                      <a:miter lim="800000"/>
                      <a:headEnd/>
                      <a:tailEnd/>
                    </a:ln>
                  </pic:spPr>
                </pic:pic>
              </a:graphicData>
            </a:graphic>
          </wp:inline>
        </w:drawing>
      </w:r>
      <w:r w:rsidR="00607EEC" w:rsidRPr="001E3A86">
        <w:rPr>
          <w:lang w:val="en-US"/>
        </w:rPr>
        <w:tab/>
      </w:r>
      <w:r w:rsidR="00285E03" w:rsidRPr="001E3A86">
        <w:rPr>
          <w:lang w:val="en-US"/>
        </w:rPr>
        <w:t xml:space="preserve">= risk coefficient for bank </w:t>
      </w:r>
      <w:r w:rsidR="00285E03" w:rsidRPr="001E3A86">
        <w:rPr>
          <w:i/>
          <w:lang w:val="en-US"/>
        </w:rPr>
        <w:t>j</w:t>
      </w:r>
      <w:r w:rsidR="00285E03" w:rsidRPr="001E3A86">
        <w:rPr>
          <w:lang w:val="en-US"/>
        </w:rPr>
        <w:t>;</w:t>
      </w:r>
    </w:p>
    <w:p w:rsidR="00C937DE" w:rsidRPr="001E3A86" w:rsidRDefault="00E77D2A" w:rsidP="00607EEC">
      <w:pPr>
        <w:pStyle w:val="Geenafstand"/>
        <w:rPr>
          <w:lang w:val="en-US"/>
        </w:rPr>
      </w:pPr>
      <w:r w:rsidRPr="00E77D2A">
        <w:rPr>
          <w:noProof/>
          <w:lang w:val="en-US" w:eastAsia="nl-NL"/>
        </w:rPr>
        <w:pict>
          <v:shape id="_x0000_i1032" type="#_x0000_t75" style="width:13.95pt;height:10.3pt;visibility:visible" o:bullet="t">
            <v:imagedata r:id="rId22" o:title=""/>
          </v:shape>
        </w:pict>
      </w:r>
      <w:r w:rsidR="00607EEC" w:rsidRPr="001E3A86">
        <w:rPr>
          <w:noProof/>
          <w:lang w:val="en-US" w:eastAsia="nl-NL"/>
        </w:rPr>
        <w:tab/>
      </w:r>
      <w:r w:rsidR="00285E03" w:rsidRPr="001E3A86">
        <w:rPr>
          <w:lang w:val="en-US"/>
        </w:rPr>
        <w:t xml:space="preserve">= effect of event </w:t>
      </w:r>
      <w:r w:rsidR="00285E03" w:rsidRPr="001E3A86">
        <w:rPr>
          <w:i/>
          <w:lang w:val="en-US"/>
        </w:rPr>
        <w:t>k</w:t>
      </w:r>
      <w:r w:rsidR="00607EEC" w:rsidRPr="001E3A86">
        <w:rPr>
          <w:lang w:val="en-US"/>
        </w:rPr>
        <w:t xml:space="preserve"> </w:t>
      </w:r>
      <w:r w:rsidR="00285E03" w:rsidRPr="001E3A86">
        <w:rPr>
          <w:lang w:val="en-US"/>
        </w:rPr>
        <w:t>(</w:t>
      </w:r>
      <w:r w:rsidR="00285E03" w:rsidRPr="001E3A86">
        <w:rPr>
          <w:i/>
          <w:lang w:val="en-US"/>
        </w:rPr>
        <w:t>k</w:t>
      </w:r>
      <w:r w:rsidR="00285E03" w:rsidRPr="001E3A86">
        <w:rPr>
          <w:lang w:val="en-US"/>
        </w:rPr>
        <w:t xml:space="preserve">= 1, 2, …, K) on bank </w:t>
      </w:r>
      <w:r w:rsidR="00285E03" w:rsidRPr="001E3A86">
        <w:rPr>
          <w:i/>
          <w:lang w:val="en-US"/>
        </w:rPr>
        <w:t xml:space="preserve">j </w:t>
      </w:r>
      <w:r w:rsidR="00607EEC" w:rsidRPr="001E3A86">
        <w:rPr>
          <w:lang w:val="en-US"/>
        </w:rPr>
        <w:t>where K is the total number of the 23 events;</w:t>
      </w:r>
    </w:p>
    <w:p w:rsidR="00C937DE" w:rsidRPr="001E3A86" w:rsidRDefault="00E77D2A" w:rsidP="00607EEC">
      <w:pPr>
        <w:pStyle w:val="Geenafstand"/>
        <w:ind w:left="705" w:hanging="705"/>
        <w:rPr>
          <w:lang w:val="en-US"/>
        </w:rPr>
      </w:pPr>
      <w:r w:rsidRPr="00E77D2A">
        <w:rPr>
          <w:noProof/>
          <w:lang w:val="en-US" w:eastAsia="nl-NL"/>
        </w:rPr>
        <w:pict>
          <v:shape id="_x0000_i1033" type="#_x0000_t75" style="width:13.95pt;height:9.55pt;visibility:visible" o:bullet="t">
            <v:imagedata r:id="rId23" o:title=""/>
          </v:shape>
        </w:pict>
      </w:r>
      <w:r w:rsidR="00607EEC" w:rsidRPr="001E3A86">
        <w:rPr>
          <w:noProof/>
          <w:lang w:val="en-US" w:eastAsia="nl-NL"/>
        </w:rPr>
        <w:tab/>
      </w:r>
      <w:r w:rsidR="00607EEC" w:rsidRPr="001E3A86">
        <w:rPr>
          <w:lang w:val="en-US"/>
        </w:rPr>
        <w:t>= dummy variables which are equal to one during three-day period (</w:t>
      </w:r>
      <w:r w:rsidR="00607EEC" w:rsidRPr="001E3A86">
        <w:rPr>
          <w:i/>
          <w:lang w:val="en-US"/>
        </w:rPr>
        <w:t>t =-1, t=0, and t= +1)</w:t>
      </w:r>
      <w:r w:rsidR="00607EEC" w:rsidRPr="001E3A86">
        <w:rPr>
          <w:lang w:val="en-US"/>
        </w:rPr>
        <w:t xml:space="preserve"> of the </w:t>
      </w:r>
      <w:r w:rsidR="00607EEC" w:rsidRPr="001E3A86">
        <w:rPr>
          <w:i/>
          <w:lang w:val="en-US"/>
        </w:rPr>
        <w:t>k</w:t>
      </w:r>
      <w:r w:rsidR="00607EEC" w:rsidRPr="001E3A86">
        <w:rPr>
          <w:lang w:val="en-US"/>
        </w:rPr>
        <w:t>th event and zero otherwise</w:t>
      </w:r>
      <w:r w:rsidR="00EB19FC" w:rsidRPr="001E3A86">
        <w:rPr>
          <w:lang w:val="en-US"/>
        </w:rPr>
        <w:t>;</w:t>
      </w:r>
    </w:p>
    <w:p w:rsidR="00C937DE" w:rsidRPr="001E3A86" w:rsidRDefault="00E77D2A" w:rsidP="009F4159">
      <w:pPr>
        <w:pStyle w:val="Geenafstand"/>
        <w:spacing w:after="240"/>
        <w:ind w:left="705" w:hanging="705"/>
        <w:rPr>
          <w:lang w:val="en-US"/>
        </w:rPr>
      </w:pPr>
      <w:r w:rsidRPr="00E77D2A">
        <w:rPr>
          <w:noProof/>
          <w:lang w:val="en-US" w:eastAsia="nl-NL"/>
        </w:rPr>
        <w:pict>
          <v:shape id="_x0000_i1034" type="#_x0000_t75" style="width:13.95pt;height:13.95pt;visibility:visible" o:bullet="t">
            <v:imagedata r:id="rId24" o:title=""/>
          </v:shape>
        </w:pict>
      </w:r>
      <w:r w:rsidR="00607EEC" w:rsidRPr="001E3A86">
        <w:rPr>
          <w:lang w:val="en-US"/>
        </w:rPr>
        <w:tab/>
        <w:t>= random disturbance which is assumed to be normal and independent of the return on the market and the event announcement variable</w:t>
      </w:r>
      <w:r w:rsidR="00EB19FC" w:rsidRPr="001E3A86">
        <w:rPr>
          <w:lang w:val="en-US"/>
        </w:rPr>
        <w:t>.</w:t>
      </w:r>
    </w:p>
    <w:p w:rsidR="006D1DE4" w:rsidRPr="00DA0DCD" w:rsidRDefault="00EB19FC" w:rsidP="009F4159">
      <w:pPr>
        <w:spacing w:after="240"/>
        <w:rPr>
          <w:lang w:val="en-US"/>
        </w:rPr>
      </w:pPr>
      <w:r w:rsidRPr="00DA0DCD">
        <w:rPr>
          <w:lang w:val="en-US"/>
        </w:rPr>
        <w:t>The multifactor model</w:t>
      </w:r>
      <w:r w:rsidR="00C937DE" w:rsidRPr="00DA0DCD">
        <w:rPr>
          <w:lang w:val="en-US"/>
        </w:rPr>
        <w:t xml:space="preserve"> regress</w:t>
      </w:r>
      <w:r w:rsidRPr="00DA0DCD">
        <w:rPr>
          <w:lang w:val="en-US"/>
        </w:rPr>
        <w:t>es</w:t>
      </w:r>
      <w:r w:rsidR="00C937DE" w:rsidRPr="00DA0DCD">
        <w:rPr>
          <w:lang w:val="en-US"/>
        </w:rPr>
        <w:t xml:space="preserve"> the stock returns of a sample of 416 banks</w:t>
      </w:r>
      <w:r w:rsidRPr="00DA0DCD">
        <w:rPr>
          <w:lang w:val="en-US"/>
        </w:rPr>
        <w:t>, returns of the stock index</w:t>
      </w:r>
      <w:r w:rsidR="00C937DE" w:rsidRPr="00DA0DCD">
        <w:rPr>
          <w:lang w:val="en-US"/>
        </w:rPr>
        <w:t xml:space="preserve"> and event dummy variables with the use of ordinary least squares. </w:t>
      </w:r>
      <w:r w:rsidR="0063265F" w:rsidRPr="00DA0DCD">
        <w:rPr>
          <w:lang w:val="en-US"/>
        </w:rPr>
        <w:t>When the events occur, the dummy variables are set at one and otherwise equal to zero.</w:t>
      </w:r>
      <w:r w:rsidR="006D1DE4" w:rsidRPr="00DA0DCD">
        <w:rPr>
          <w:lang w:val="en-US"/>
        </w:rPr>
        <w:t xml:space="preserve"> The results of the </w:t>
      </w:r>
      <w:r w:rsidR="006D1DE4" w:rsidRPr="00DA0DCD">
        <w:rPr>
          <w:noProof/>
          <w:lang w:eastAsia="nl-NL"/>
        </w:rPr>
        <w:drawing>
          <wp:inline distT="0" distB="0" distL="0" distR="0">
            <wp:extent cx="172720" cy="129540"/>
            <wp:effectExtent l="19050" t="0" r="0" b="0"/>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srcRect/>
                    <a:stretch>
                      <a:fillRect/>
                    </a:stretch>
                  </pic:blipFill>
                  <pic:spPr bwMode="auto">
                    <a:xfrm>
                      <a:off x="0" y="0"/>
                      <a:ext cx="172720" cy="129540"/>
                    </a:xfrm>
                    <a:prstGeom prst="rect">
                      <a:avLst/>
                    </a:prstGeom>
                    <a:noFill/>
                    <a:ln w="9525">
                      <a:noFill/>
                      <a:miter lim="800000"/>
                      <a:headEnd/>
                      <a:tailEnd/>
                    </a:ln>
                  </pic:spPr>
                </pic:pic>
              </a:graphicData>
            </a:graphic>
          </wp:inline>
        </w:drawing>
      </w:r>
      <w:r w:rsidR="006D1DE4" w:rsidRPr="00DA0DCD">
        <w:rPr>
          <w:lang w:val="en-US"/>
        </w:rPr>
        <w:t xml:space="preserve"> coefficient are the effects of the events on the stock returns of banks. </w:t>
      </w:r>
      <w:r w:rsidR="0063265F" w:rsidRPr="00DA0DCD">
        <w:rPr>
          <w:lang w:val="en-US"/>
        </w:rPr>
        <w:t xml:space="preserve"> In their research they find that the pronouncements that signals an increase (decrease) in the possible introduction of FVA, produces negative (positive) abnormal stock price reactions for the banks in their sample. Similar research</w:t>
      </w:r>
      <w:r w:rsidR="00831B07" w:rsidRPr="00DA0DCD">
        <w:rPr>
          <w:lang w:val="en-US"/>
        </w:rPr>
        <w:t xml:space="preserve"> of</w:t>
      </w:r>
      <w:r w:rsidR="0063265F" w:rsidRPr="00DA0DCD">
        <w:rPr>
          <w:lang w:val="en-US"/>
        </w:rPr>
        <w:t xml:space="preserve"> Beatty et al.(1996) </w:t>
      </w:r>
      <w:r w:rsidR="00831B07" w:rsidRPr="00DA0DCD">
        <w:rPr>
          <w:lang w:val="en-US"/>
        </w:rPr>
        <w:t>r</w:t>
      </w:r>
      <w:r w:rsidR="0063265F" w:rsidRPr="00DA0DCD">
        <w:rPr>
          <w:lang w:val="en-US"/>
        </w:rPr>
        <w:t>esearch</w:t>
      </w:r>
      <w:r w:rsidR="00831B07" w:rsidRPr="00DA0DCD">
        <w:rPr>
          <w:lang w:val="en-US"/>
        </w:rPr>
        <w:t>ed</w:t>
      </w:r>
      <w:r w:rsidR="0063265F" w:rsidRPr="00DA0DCD">
        <w:rPr>
          <w:lang w:val="en-US"/>
        </w:rPr>
        <w:t xml:space="preserve"> security returns of bank holding companies and insurance companies around the period of the introduction of SFAS 115 (FVA accounting).</w:t>
      </w:r>
      <w:r w:rsidR="000F5A40" w:rsidRPr="00DA0DCD">
        <w:rPr>
          <w:lang w:val="en-US"/>
        </w:rPr>
        <w:t xml:space="preserve"> They use an event study</w:t>
      </w:r>
      <w:r w:rsidR="00D86A7D" w:rsidRPr="00DA0DCD">
        <w:rPr>
          <w:lang w:val="en-US"/>
        </w:rPr>
        <w:t xml:space="preserve"> </w:t>
      </w:r>
      <w:r w:rsidR="009722B2" w:rsidRPr="00DA0DCD">
        <w:rPr>
          <w:lang w:val="en-US"/>
        </w:rPr>
        <w:t>of 21 windows over a</w:t>
      </w:r>
      <w:r w:rsidR="00D86A7D" w:rsidRPr="00DA0DCD">
        <w:rPr>
          <w:lang w:val="en-US"/>
        </w:rPr>
        <w:t xml:space="preserve"> </w:t>
      </w:r>
      <w:r w:rsidR="009722B2" w:rsidRPr="00DA0DCD">
        <w:rPr>
          <w:lang w:val="en-US"/>
        </w:rPr>
        <w:t>sample size of 260 banks and 96 insurance companies during the</w:t>
      </w:r>
      <w:r w:rsidR="00D86A7D" w:rsidRPr="00DA0DCD">
        <w:rPr>
          <w:lang w:val="en-US"/>
        </w:rPr>
        <w:t xml:space="preserve"> period 1990 through 1993.</w:t>
      </w:r>
      <w:r w:rsidR="000F5A40" w:rsidRPr="00DA0DCD">
        <w:rPr>
          <w:lang w:val="en-US"/>
        </w:rPr>
        <w:t xml:space="preserve"> Beatty et al.(1996)</w:t>
      </w:r>
      <w:r w:rsidR="0063265F" w:rsidRPr="00DA0DCD">
        <w:rPr>
          <w:lang w:val="en-US"/>
        </w:rPr>
        <w:t xml:space="preserve"> </w:t>
      </w:r>
      <w:r w:rsidR="000F5A40" w:rsidRPr="00DA0DCD">
        <w:rPr>
          <w:lang w:val="en-US"/>
        </w:rPr>
        <w:t>uses</w:t>
      </w:r>
      <w:r w:rsidR="0063265F" w:rsidRPr="00DA0DCD">
        <w:rPr>
          <w:lang w:val="en-US"/>
        </w:rPr>
        <w:t xml:space="preserve"> </w:t>
      </w:r>
      <w:r w:rsidR="006D1DE4" w:rsidRPr="00DA0DCD">
        <w:rPr>
          <w:lang w:val="en-US"/>
        </w:rPr>
        <w:t>the following comparable multifactor model:</w:t>
      </w:r>
    </w:p>
    <w:p w:rsidR="00831B07" w:rsidRPr="00DA0DCD" w:rsidRDefault="00831B07" w:rsidP="009F4159">
      <w:pPr>
        <w:spacing w:after="0"/>
        <w:rPr>
          <w:lang w:val="en-US"/>
        </w:rPr>
      </w:pPr>
      <w:r w:rsidRPr="00DA0DCD">
        <w:rPr>
          <w:noProof/>
          <w:lang w:eastAsia="nl-NL"/>
        </w:rPr>
        <w:drawing>
          <wp:inline distT="0" distB="0" distL="0" distR="0">
            <wp:extent cx="3905969" cy="203177"/>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3943305" cy="205119"/>
                    </a:xfrm>
                    <a:prstGeom prst="rect">
                      <a:avLst/>
                    </a:prstGeom>
                    <a:noFill/>
                    <a:ln w="9525">
                      <a:noFill/>
                      <a:miter lim="800000"/>
                      <a:headEnd/>
                      <a:tailEnd/>
                    </a:ln>
                  </pic:spPr>
                </pic:pic>
              </a:graphicData>
            </a:graphic>
          </wp:inline>
        </w:drawing>
      </w:r>
      <w:r w:rsidR="00A365AA" w:rsidRPr="00DA0DCD">
        <w:rPr>
          <w:lang w:val="en-US"/>
        </w:rPr>
        <w:tab/>
      </w:r>
      <w:r w:rsidR="00A365AA" w:rsidRPr="00DA0DCD">
        <w:rPr>
          <w:lang w:val="en-US"/>
        </w:rPr>
        <w:tab/>
        <w:t>(4.2)</w:t>
      </w:r>
    </w:p>
    <w:p w:rsidR="009044DD" w:rsidRDefault="009044DD" w:rsidP="009F4159">
      <w:pPr>
        <w:spacing w:after="0"/>
        <w:rPr>
          <w:lang w:val="en-US"/>
        </w:rPr>
      </w:pPr>
    </w:p>
    <w:p w:rsidR="000F5A40" w:rsidRPr="00DA0DCD" w:rsidRDefault="000F5A40" w:rsidP="009F4159">
      <w:pPr>
        <w:spacing w:after="0"/>
        <w:rPr>
          <w:lang w:val="en-US"/>
        </w:rPr>
      </w:pPr>
      <w:r w:rsidRPr="00DA0DCD">
        <w:rPr>
          <w:lang w:val="en-US"/>
        </w:rPr>
        <w:lastRenderedPageBreak/>
        <w:t>Where:</w:t>
      </w:r>
    </w:p>
    <w:p w:rsidR="000F5A40" w:rsidRPr="00DA0DCD" w:rsidRDefault="000F5A40" w:rsidP="009F4159">
      <w:pPr>
        <w:pStyle w:val="Geenafstand"/>
        <w:rPr>
          <w:lang w:val="en-US"/>
        </w:rPr>
      </w:pPr>
      <w:r w:rsidRPr="00DA0DCD">
        <w:rPr>
          <w:noProof/>
          <w:lang w:eastAsia="nl-NL"/>
        </w:rPr>
        <w:drawing>
          <wp:inline distT="0" distB="0" distL="0" distR="0">
            <wp:extent cx="170096" cy="138349"/>
            <wp:effectExtent l="19050" t="0" r="1354"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cstate="print"/>
                    <a:srcRect/>
                    <a:stretch>
                      <a:fillRect/>
                    </a:stretch>
                  </pic:blipFill>
                  <pic:spPr bwMode="auto">
                    <a:xfrm>
                      <a:off x="0" y="0"/>
                      <a:ext cx="178643" cy="145301"/>
                    </a:xfrm>
                    <a:prstGeom prst="rect">
                      <a:avLst/>
                    </a:prstGeom>
                    <a:noFill/>
                    <a:ln w="9525">
                      <a:noFill/>
                      <a:miter lim="800000"/>
                      <a:headEnd/>
                      <a:tailEnd/>
                    </a:ln>
                  </pic:spPr>
                </pic:pic>
              </a:graphicData>
            </a:graphic>
          </wp:inline>
        </w:drawing>
      </w:r>
      <w:r w:rsidRPr="00DA0DCD">
        <w:rPr>
          <w:lang w:val="en-US"/>
        </w:rPr>
        <w:tab/>
      </w:r>
      <w:r w:rsidR="009722B2" w:rsidRPr="00DA0DCD">
        <w:rPr>
          <w:lang w:val="en-US"/>
        </w:rPr>
        <w:tab/>
      </w:r>
      <w:r w:rsidRPr="00DA0DCD">
        <w:rPr>
          <w:lang w:val="en-US"/>
        </w:rPr>
        <w:t xml:space="preserve">= stock returns of banks and insurance companies for firm </w:t>
      </w:r>
      <w:r w:rsidRPr="00DA0DCD">
        <w:rPr>
          <w:i/>
          <w:lang w:val="en-US"/>
        </w:rPr>
        <w:t>i</w:t>
      </w:r>
      <w:r w:rsidRPr="00DA0DCD">
        <w:rPr>
          <w:lang w:val="en-US"/>
        </w:rPr>
        <w:t xml:space="preserve"> on day </w:t>
      </w:r>
      <w:r w:rsidRPr="00DA0DCD">
        <w:rPr>
          <w:i/>
          <w:lang w:val="en-US"/>
        </w:rPr>
        <w:t>t</w:t>
      </w:r>
      <w:r w:rsidR="009722B2" w:rsidRPr="00DA0DCD">
        <w:rPr>
          <w:lang w:val="en-US"/>
        </w:rPr>
        <w:t>;</w:t>
      </w:r>
    </w:p>
    <w:p w:rsidR="000F5A40" w:rsidRPr="00DA0DCD" w:rsidRDefault="000F5A40" w:rsidP="009F4159">
      <w:pPr>
        <w:pStyle w:val="Geenafstand"/>
        <w:rPr>
          <w:lang w:val="en-US"/>
        </w:rPr>
      </w:pPr>
      <w:r w:rsidRPr="00DA0DCD">
        <w:rPr>
          <w:noProof/>
          <w:lang w:eastAsia="nl-NL"/>
        </w:rPr>
        <w:drawing>
          <wp:inline distT="0" distB="0" distL="0" distR="0">
            <wp:extent cx="213863" cy="131771"/>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cstate="print"/>
                    <a:srcRect/>
                    <a:stretch>
                      <a:fillRect/>
                    </a:stretch>
                  </pic:blipFill>
                  <pic:spPr bwMode="auto">
                    <a:xfrm>
                      <a:off x="0" y="0"/>
                      <a:ext cx="215238" cy="132618"/>
                    </a:xfrm>
                    <a:prstGeom prst="rect">
                      <a:avLst/>
                    </a:prstGeom>
                    <a:noFill/>
                    <a:ln w="9525">
                      <a:noFill/>
                      <a:miter lim="800000"/>
                      <a:headEnd/>
                      <a:tailEnd/>
                    </a:ln>
                  </pic:spPr>
                </pic:pic>
              </a:graphicData>
            </a:graphic>
          </wp:inline>
        </w:drawing>
      </w:r>
      <w:r w:rsidRPr="00DA0DCD">
        <w:rPr>
          <w:lang w:val="en-US"/>
        </w:rPr>
        <w:tab/>
      </w:r>
      <w:r w:rsidR="009722B2" w:rsidRPr="00DA0DCD">
        <w:rPr>
          <w:lang w:val="en-US"/>
        </w:rPr>
        <w:tab/>
      </w:r>
      <w:r w:rsidRPr="00DA0DCD">
        <w:rPr>
          <w:lang w:val="en-US"/>
        </w:rPr>
        <w:t xml:space="preserve">= </w:t>
      </w:r>
      <w:r w:rsidR="009722B2" w:rsidRPr="00DA0DCD">
        <w:rPr>
          <w:lang w:val="en-US"/>
        </w:rPr>
        <w:t xml:space="preserve">return on the equally-weighted daily index return on day </w:t>
      </w:r>
      <w:r w:rsidR="009722B2" w:rsidRPr="00DA0DCD">
        <w:rPr>
          <w:i/>
          <w:lang w:val="en-US"/>
        </w:rPr>
        <w:t>t</w:t>
      </w:r>
      <w:r w:rsidR="009722B2" w:rsidRPr="00DA0DCD">
        <w:rPr>
          <w:lang w:val="en-US"/>
        </w:rPr>
        <w:t>;</w:t>
      </w:r>
    </w:p>
    <w:p w:rsidR="000F5A40" w:rsidRPr="00DA0DCD" w:rsidRDefault="000F5A40" w:rsidP="009F4159">
      <w:pPr>
        <w:pStyle w:val="Geenafstand"/>
        <w:rPr>
          <w:lang w:val="en-US"/>
        </w:rPr>
      </w:pPr>
      <w:r w:rsidRPr="00DA0DCD">
        <w:rPr>
          <w:noProof/>
          <w:lang w:eastAsia="nl-NL"/>
        </w:rPr>
        <w:drawing>
          <wp:inline distT="0" distB="0" distL="0" distR="0">
            <wp:extent cx="645184" cy="131323"/>
            <wp:effectExtent l="19050" t="0" r="2516"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srcRect/>
                    <a:stretch>
                      <a:fillRect/>
                    </a:stretch>
                  </pic:blipFill>
                  <pic:spPr bwMode="auto">
                    <a:xfrm>
                      <a:off x="0" y="0"/>
                      <a:ext cx="666051" cy="135570"/>
                    </a:xfrm>
                    <a:prstGeom prst="rect">
                      <a:avLst/>
                    </a:prstGeom>
                    <a:noFill/>
                    <a:ln w="9525">
                      <a:noFill/>
                      <a:miter lim="800000"/>
                      <a:headEnd/>
                      <a:tailEnd/>
                    </a:ln>
                  </pic:spPr>
                </pic:pic>
              </a:graphicData>
            </a:graphic>
          </wp:inline>
        </w:drawing>
      </w:r>
      <w:r w:rsidR="009722B2" w:rsidRPr="00DA0DCD">
        <w:rPr>
          <w:lang w:val="en-US"/>
        </w:rPr>
        <w:tab/>
        <w:t>= daily change in the treasury index</w:t>
      </w:r>
      <w:r w:rsidR="00591B41" w:rsidRPr="00DA0DCD">
        <w:rPr>
          <w:lang w:val="en-US"/>
        </w:rPr>
        <w:t>;</w:t>
      </w:r>
    </w:p>
    <w:p w:rsidR="000F5A40" w:rsidRPr="00DA0DCD" w:rsidRDefault="00E77D2A" w:rsidP="009F4159">
      <w:pPr>
        <w:pStyle w:val="Geenafstand"/>
        <w:rPr>
          <w:lang w:val="en-US"/>
        </w:rPr>
      </w:pPr>
      <w:r w:rsidRPr="00E77D2A">
        <w:rPr>
          <w:noProof/>
          <w:lang w:val="en-US" w:eastAsia="nl-NL"/>
        </w:rPr>
        <w:pict>
          <v:shape id="_x0000_i1035" type="#_x0000_t75" style="width:26.45pt;height:9.55pt;visibility:visible" o:bullet="t">
            <v:imagedata r:id="rId30" o:title=""/>
          </v:shape>
        </w:pict>
      </w:r>
      <w:r w:rsidR="009722B2" w:rsidRPr="00DA0DCD">
        <w:rPr>
          <w:lang w:val="en-US"/>
        </w:rPr>
        <w:tab/>
      </w:r>
      <w:r w:rsidR="009722B2" w:rsidRPr="00DA0DCD">
        <w:rPr>
          <w:lang w:val="en-US"/>
        </w:rPr>
        <w:tab/>
        <w:t>= indicator variables that allow for mean shifts in returns of evens days</w:t>
      </w:r>
      <w:r w:rsidR="00591B41" w:rsidRPr="00DA0DCD">
        <w:rPr>
          <w:lang w:val="en-US"/>
        </w:rPr>
        <w:t>;</w:t>
      </w:r>
    </w:p>
    <w:p w:rsidR="009722B2" w:rsidRPr="00DA0DCD" w:rsidRDefault="009722B2" w:rsidP="009F4159">
      <w:pPr>
        <w:pStyle w:val="Geenafstand"/>
        <w:rPr>
          <w:lang w:val="en-US"/>
        </w:rPr>
      </w:pPr>
      <w:r w:rsidRPr="00DA0DCD">
        <w:rPr>
          <w:noProof/>
          <w:lang w:eastAsia="nl-NL"/>
        </w:rPr>
        <w:drawing>
          <wp:inline distT="0" distB="0" distL="0" distR="0">
            <wp:extent cx="170096" cy="117783"/>
            <wp:effectExtent l="19050" t="0" r="1354"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cstate="print"/>
                    <a:srcRect/>
                    <a:stretch>
                      <a:fillRect/>
                    </a:stretch>
                  </pic:blipFill>
                  <pic:spPr bwMode="auto">
                    <a:xfrm>
                      <a:off x="0" y="0"/>
                      <a:ext cx="170096" cy="117783"/>
                    </a:xfrm>
                    <a:prstGeom prst="rect">
                      <a:avLst/>
                    </a:prstGeom>
                    <a:noFill/>
                    <a:ln w="9525">
                      <a:noFill/>
                      <a:miter lim="800000"/>
                      <a:headEnd/>
                      <a:tailEnd/>
                    </a:ln>
                  </pic:spPr>
                </pic:pic>
              </a:graphicData>
            </a:graphic>
          </wp:inline>
        </w:drawing>
      </w:r>
      <w:r w:rsidR="00334005" w:rsidRPr="00DA0DCD">
        <w:rPr>
          <w:lang w:val="en-US"/>
        </w:rPr>
        <w:t>,</w:t>
      </w:r>
      <w:r w:rsidRPr="00DA0DCD">
        <w:rPr>
          <w:noProof/>
          <w:lang w:eastAsia="nl-NL"/>
        </w:rPr>
        <w:drawing>
          <wp:inline distT="0" distB="0" distL="0" distR="0">
            <wp:extent cx="118973" cy="166212"/>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 cstate="print"/>
                    <a:srcRect/>
                    <a:stretch>
                      <a:fillRect/>
                    </a:stretch>
                  </pic:blipFill>
                  <pic:spPr bwMode="auto">
                    <a:xfrm>
                      <a:off x="0" y="0"/>
                      <a:ext cx="120106" cy="167795"/>
                    </a:xfrm>
                    <a:prstGeom prst="rect">
                      <a:avLst/>
                    </a:prstGeom>
                    <a:noFill/>
                    <a:ln w="9525">
                      <a:noFill/>
                      <a:miter lim="800000"/>
                      <a:headEnd/>
                      <a:tailEnd/>
                    </a:ln>
                  </pic:spPr>
                </pic:pic>
              </a:graphicData>
            </a:graphic>
          </wp:inline>
        </w:drawing>
      </w:r>
      <w:r w:rsidR="00334005" w:rsidRPr="00DA0DCD">
        <w:rPr>
          <w:lang w:val="en-US"/>
        </w:rPr>
        <w:t xml:space="preserve">, </w:t>
      </w:r>
      <w:r w:rsidRPr="00DA0DCD">
        <w:rPr>
          <w:noProof/>
          <w:lang w:eastAsia="nl-NL"/>
        </w:rPr>
        <w:drawing>
          <wp:inline distT="0" distB="0" distL="0" distR="0">
            <wp:extent cx="118973" cy="147317"/>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cstate="print"/>
                    <a:srcRect/>
                    <a:stretch>
                      <a:fillRect/>
                    </a:stretch>
                  </pic:blipFill>
                  <pic:spPr bwMode="auto">
                    <a:xfrm>
                      <a:off x="0" y="0"/>
                      <a:ext cx="120106" cy="148720"/>
                    </a:xfrm>
                    <a:prstGeom prst="rect">
                      <a:avLst/>
                    </a:prstGeom>
                    <a:noFill/>
                    <a:ln w="9525">
                      <a:noFill/>
                      <a:miter lim="800000"/>
                      <a:headEnd/>
                      <a:tailEnd/>
                    </a:ln>
                  </pic:spPr>
                </pic:pic>
              </a:graphicData>
            </a:graphic>
          </wp:inline>
        </w:drawing>
      </w:r>
      <w:r w:rsidR="00334005" w:rsidRPr="00DA0DCD">
        <w:rPr>
          <w:lang w:val="en-US"/>
        </w:rPr>
        <w:tab/>
        <w:t>= the coefficients of the regression model</w:t>
      </w:r>
      <w:r w:rsidR="00591B41" w:rsidRPr="00DA0DCD">
        <w:rPr>
          <w:lang w:val="en-US"/>
        </w:rPr>
        <w:t>;</w:t>
      </w:r>
    </w:p>
    <w:p w:rsidR="009722B2" w:rsidRPr="00DA0DCD" w:rsidRDefault="009722B2" w:rsidP="009F4159">
      <w:pPr>
        <w:pStyle w:val="Geenafstand"/>
        <w:rPr>
          <w:lang w:val="en-US"/>
        </w:rPr>
      </w:pPr>
      <w:r w:rsidRPr="00DA0DCD">
        <w:rPr>
          <w:noProof/>
          <w:lang w:eastAsia="nl-NL"/>
        </w:rPr>
        <w:drawing>
          <wp:inline distT="0" distB="0" distL="0" distR="0">
            <wp:extent cx="118973" cy="130637"/>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cstate="print"/>
                    <a:srcRect/>
                    <a:stretch>
                      <a:fillRect/>
                    </a:stretch>
                  </pic:blipFill>
                  <pic:spPr bwMode="auto">
                    <a:xfrm>
                      <a:off x="0" y="0"/>
                      <a:ext cx="119470" cy="131183"/>
                    </a:xfrm>
                    <a:prstGeom prst="rect">
                      <a:avLst/>
                    </a:prstGeom>
                    <a:noFill/>
                    <a:ln w="9525">
                      <a:noFill/>
                      <a:miter lim="800000"/>
                      <a:headEnd/>
                      <a:tailEnd/>
                    </a:ln>
                  </pic:spPr>
                </pic:pic>
              </a:graphicData>
            </a:graphic>
          </wp:inline>
        </w:drawing>
      </w:r>
      <w:r w:rsidR="00334005" w:rsidRPr="00DA0DCD">
        <w:rPr>
          <w:lang w:val="en-US"/>
        </w:rPr>
        <w:tab/>
      </w:r>
      <w:r w:rsidR="00334005" w:rsidRPr="00DA0DCD">
        <w:rPr>
          <w:lang w:val="en-US"/>
        </w:rPr>
        <w:tab/>
        <w:t xml:space="preserve">= effect of the events on banks and insurance companies </w:t>
      </w:r>
      <w:r w:rsidR="00334005" w:rsidRPr="00DA0DCD">
        <w:rPr>
          <w:i/>
          <w:lang w:val="en-US"/>
        </w:rPr>
        <w:t>i</w:t>
      </w:r>
      <w:r w:rsidR="00334005" w:rsidRPr="00DA0DCD">
        <w:rPr>
          <w:lang w:val="en-US"/>
        </w:rPr>
        <w:t>;</w:t>
      </w:r>
    </w:p>
    <w:p w:rsidR="009722B2" w:rsidRPr="00DA0DCD" w:rsidRDefault="009722B2" w:rsidP="009F4159">
      <w:pPr>
        <w:pStyle w:val="Geenafstand"/>
        <w:spacing w:after="240"/>
        <w:rPr>
          <w:lang w:val="en-US"/>
        </w:rPr>
      </w:pPr>
      <w:r w:rsidRPr="00DA0DCD">
        <w:rPr>
          <w:noProof/>
          <w:lang w:eastAsia="nl-NL"/>
        </w:rPr>
        <w:drawing>
          <wp:inline distT="0" distB="0" distL="0" distR="0">
            <wp:extent cx="168826" cy="124245"/>
            <wp:effectExtent l="19050" t="0" r="2624"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5" cstate="print"/>
                    <a:srcRect/>
                    <a:stretch>
                      <a:fillRect/>
                    </a:stretch>
                  </pic:blipFill>
                  <pic:spPr bwMode="auto">
                    <a:xfrm>
                      <a:off x="0" y="0"/>
                      <a:ext cx="175455" cy="129123"/>
                    </a:xfrm>
                    <a:prstGeom prst="rect">
                      <a:avLst/>
                    </a:prstGeom>
                    <a:noFill/>
                    <a:ln w="9525">
                      <a:noFill/>
                      <a:miter lim="800000"/>
                      <a:headEnd/>
                      <a:tailEnd/>
                    </a:ln>
                  </pic:spPr>
                </pic:pic>
              </a:graphicData>
            </a:graphic>
          </wp:inline>
        </w:drawing>
      </w:r>
      <w:r w:rsidR="00334005" w:rsidRPr="00DA0DCD">
        <w:rPr>
          <w:lang w:val="en-US"/>
        </w:rPr>
        <w:tab/>
      </w:r>
      <w:r w:rsidR="00334005" w:rsidRPr="00DA0DCD">
        <w:rPr>
          <w:lang w:val="en-US"/>
        </w:rPr>
        <w:tab/>
        <w:t>= error term</w:t>
      </w:r>
      <w:r w:rsidR="009F4159" w:rsidRPr="00DA0DCD">
        <w:rPr>
          <w:lang w:val="en-US"/>
        </w:rPr>
        <w:t>.</w:t>
      </w:r>
    </w:p>
    <w:p w:rsidR="001E3A86" w:rsidRDefault="009F4159" w:rsidP="00721B3F">
      <w:pPr>
        <w:spacing w:after="240"/>
        <w:rPr>
          <w:lang w:val="en-US"/>
        </w:rPr>
      </w:pPr>
      <w:r w:rsidRPr="00DA0DCD">
        <w:rPr>
          <w:lang w:val="en-US"/>
        </w:rPr>
        <w:t>The multi-factor model</w:t>
      </w:r>
      <w:r w:rsidR="0063265F" w:rsidRPr="00DA0DCD">
        <w:rPr>
          <w:lang w:val="en-US"/>
        </w:rPr>
        <w:t xml:space="preserve"> regress</w:t>
      </w:r>
      <w:r w:rsidRPr="00DA0DCD">
        <w:rPr>
          <w:lang w:val="en-US"/>
        </w:rPr>
        <w:t>es</w:t>
      </w:r>
      <w:r w:rsidR="0063265F" w:rsidRPr="00DA0DCD">
        <w:rPr>
          <w:lang w:val="en-US"/>
        </w:rPr>
        <w:t xml:space="preserve"> the firm specific returns of banks and insurance companies on the market return, with </w:t>
      </w:r>
      <w:r w:rsidR="000D06F2" w:rsidRPr="00DA0DCD">
        <w:rPr>
          <w:lang w:val="en-US"/>
        </w:rPr>
        <w:t>an</w:t>
      </w:r>
      <w:r w:rsidR="0063265F" w:rsidRPr="00DA0DCD">
        <w:rPr>
          <w:lang w:val="en-US"/>
        </w:rPr>
        <w:t xml:space="preserve"> interest rate changes variable</w:t>
      </w:r>
      <w:r w:rsidR="0063265F" w:rsidRPr="00DA0DCD">
        <w:rPr>
          <w:rStyle w:val="Voetnootmarkering"/>
          <w:lang w:val="en-US"/>
        </w:rPr>
        <w:footnoteReference w:id="19"/>
      </w:r>
      <w:r w:rsidR="0063265F" w:rsidRPr="00DA0DCD">
        <w:rPr>
          <w:lang w:val="en-US"/>
        </w:rPr>
        <w:t xml:space="preserve"> and event dummy variables around the period of the introduction of SFAS 115. </w:t>
      </w:r>
      <w:r w:rsidRPr="00DA0DCD">
        <w:rPr>
          <w:lang w:val="en-US"/>
        </w:rPr>
        <w:t xml:space="preserve">The results of the </w:t>
      </w:r>
      <w:r w:rsidRPr="00DA0DCD">
        <w:rPr>
          <w:noProof/>
          <w:lang w:eastAsia="nl-NL"/>
        </w:rPr>
        <w:drawing>
          <wp:inline distT="0" distB="0" distL="0" distR="0">
            <wp:extent cx="118973" cy="130637"/>
            <wp:effectExtent l="19050" t="0" r="0" b="0"/>
            <wp:docPr id="16"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cstate="print"/>
                    <a:srcRect/>
                    <a:stretch>
                      <a:fillRect/>
                    </a:stretch>
                  </pic:blipFill>
                  <pic:spPr bwMode="auto">
                    <a:xfrm>
                      <a:off x="0" y="0"/>
                      <a:ext cx="119470" cy="131183"/>
                    </a:xfrm>
                    <a:prstGeom prst="rect">
                      <a:avLst/>
                    </a:prstGeom>
                    <a:noFill/>
                    <a:ln w="9525">
                      <a:noFill/>
                      <a:miter lim="800000"/>
                      <a:headEnd/>
                      <a:tailEnd/>
                    </a:ln>
                  </pic:spPr>
                </pic:pic>
              </a:graphicData>
            </a:graphic>
          </wp:inline>
        </w:drawing>
      </w:r>
      <w:r w:rsidRPr="00DA0DCD">
        <w:rPr>
          <w:lang w:val="en-US"/>
        </w:rPr>
        <w:t xml:space="preserve"> coefficient are the effect of the events on the return of banks and insurance companies. </w:t>
      </w:r>
      <w:r w:rsidR="000D06F2" w:rsidRPr="00DA0DCD">
        <w:rPr>
          <w:lang w:val="en-US"/>
        </w:rPr>
        <w:t>Beatty et al. (1996)</w:t>
      </w:r>
      <w:r w:rsidR="0063265F" w:rsidRPr="00DA0DCD">
        <w:rPr>
          <w:lang w:val="en-US"/>
        </w:rPr>
        <w:t xml:space="preserve"> find that bank share prices were negatively related with the increased possibility of FVA introduction.</w:t>
      </w:r>
      <w:r w:rsidR="000D06F2" w:rsidRPr="00DA0DCD">
        <w:rPr>
          <w:lang w:val="en-US"/>
        </w:rPr>
        <w:t xml:space="preserve"> They find a little share price reaction for insurance companies.</w:t>
      </w:r>
      <w:r w:rsidR="0063265F" w:rsidRPr="00DA0DCD">
        <w:rPr>
          <w:lang w:val="en-US"/>
        </w:rPr>
        <w:t xml:space="preserve"> Th</w:t>
      </w:r>
      <w:r w:rsidR="001E3A86">
        <w:rPr>
          <w:lang w:val="en-US"/>
        </w:rPr>
        <w:t>is</w:t>
      </w:r>
      <w:r w:rsidR="0063265F" w:rsidRPr="00DA0DCD">
        <w:rPr>
          <w:lang w:val="en-US"/>
        </w:rPr>
        <w:t xml:space="preserve"> evidence </w:t>
      </w:r>
      <w:r w:rsidR="000D06F2" w:rsidRPr="00DA0DCD">
        <w:rPr>
          <w:lang w:val="en-US"/>
        </w:rPr>
        <w:t>suggests</w:t>
      </w:r>
      <w:r w:rsidR="0063265F" w:rsidRPr="00DA0DCD">
        <w:rPr>
          <w:lang w:val="en-US"/>
        </w:rPr>
        <w:t xml:space="preserve"> that banks were negatively affected by FVA. Further, they find </w:t>
      </w:r>
      <w:r w:rsidR="000D06F2" w:rsidRPr="00DA0DCD">
        <w:rPr>
          <w:lang w:val="en-US"/>
        </w:rPr>
        <w:t xml:space="preserve">with a cross sectional analyses </w:t>
      </w:r>
      <w:r w:rsidR="0063265F" w:rsidRPr="00DA0DCD">
        <w:rPr>
          <w:lang w:val="en-US"/>
        </w:rPr>
        <w:t xml:space="preserve">that banks with frequently traded investments with longer maturing and with more fully hedged interest rate fluctuations, were most negatively affected. Next, Lys (1996) </w:t>
      </w:r>
      <w:r w:rsidR="007E43F0" w:rsidRPr="00DA0DCD">
        <w:rPr>
          <w:lang w:val="en-US"/>
        </w:rPr>
        <w:t>uses both researches of Cornett et al. (1996), Beatty et al. (1996) above and research of Eccher, Ramesh, and Thiagarajan (1996) to develop</w:t>
      </w:r>
      <w:r w:rsidR="0063265F" w:rsidRPr="00DA0DCD">
        <w:rPr>
          <w:lang w:val="en-US"/>
        </w:rPr>
        <w:t xml:space="preserve"> </w:t>
      </w:r>
      <w:r w:rsidR="007E43F0" w:rsidRPr="00DA0DCD">
        <w:rPr>
          <w:lang w:val="en-US"/>
        </w:rPr>
        <w:t xml:space="preserve">a </w:t>
      </w:r>
      <w:r w:rsidR="0063265F" w:rsidRPr="00DA0DCD">
        <w:rPr>
          <w:lang w:val="en-US"/>
        </w:rPr>
        <w:t>benchmark whether disclosed fair values of financial assets and liabilities, differ from the estimates of investors. Eccher, Ramesh, and Thiagarajan (1996) investiga</w:t>
      </w:r>
      <w:r w:rsidR="00721B3F" w:rsidRPr="00DA0DCD">
        <w:rPr>
          <w:lang w:val="en-US"/>
        </w:rPr>
        <w:t>ted</w:t>
      </w:r>
      <w:r w:rsidR="0063265F" w:rsidRPr="00DA0DCD">
        <w:rPr>
          <w:lang w:val="en-US"/>
        </w:rPr>
        <w:t xml:space="preserve"> value relevance relative of historical cost accounting in the fair value disclosures under SFAS 107. </w:t>
      </w:r>
      <w:r w:rsidR="00721B3F" w:rsidRPr="00DA0DCD">
        <w:rPr>
          <w:lang w:val="en-US"/>
        </w:rPr>
        <w:t xml:space="preserve">From these researches, </w:t>
      </w:r>
      <w:r w:rsidR="0063265F" w:rsidRPr="00DA0DCD">
        <w:rPr>
          <w:lang w:val="en-US"/>
        </w:rPr>
        <w:t xml:space="preserve">Lys </w:t>
      </w:r>
      <w:r w:rsidR="00721B3F" w:rsidRPr="00DA0DCD">
        <w:rPr>
          <w:lang w:val="en-US"/>
        </w:rPr>
        <w:t>concludes</w:t>
      </w:r>
      <w:r w:rsidR="0063265F" w:rsidRPr="00DA0DCD">
        <w:rPr>
          <w:lang w:val="en-US"/>
        </w:rPr>
        <w:t xml:space="preserve"> that the estimates of disclosed fair values were not closely to the investors estimations</w:t>
      </w:r>
      <w:r w:rsidR="00FA16D5" w:rsidRPr="00DA0DCD">
        <w:rPr>
          <w:lang w:val="en-US"/>
        </w:rPr>
        <w:t xml:space="preserve"> in the US</w:t>
      </w:r>
      <w:r w:rsidR="0063265F" w:rsidRPr="00DA0DCD">
        <w:rPr>
          <w:lang w:val="en-US"/>
        </w:rPr>
        <w:t xml:space="preserve">. The research evidence </w:t>
      </w:r>
      <w:r w:rsidR="00FA16D5" w:rsidRPr="00DA0DCD">
        <w:rPr>
          <w:lang w:val="en-US"/>
        </w:rPr>
        <w:t>suggests</w:t>
      </w:r>
      <w:r w:rsidR="0063265F" w:rsidRPr="00DA0DCD">
        <w:rPr>
          <w:lang w:val="en-US"/>
        </w:rPr>
        <w:t xml:space="preserve"> that the financial assets were understated and liabilities</w:t>
      </w:r>
      <w:r w:rsidR="001E3A86">
        <w:rPr>
          <w:lang w:val="en-US"/>
        </w:rPr>
        <w:t xml:space="preserve"> </w:t>
      </w:r>
      <w:r w:rsidR="0063265F" w:rsidRPr="00DA0DCD">
        <w:rPr>
          <w:lang w:val="en-US"/>
        </w:rPr>
        <w:t>overstated when the established fair values procedure was used. Further, he concludes that the market reaction on the introduction of FVA is more consistent with regulat</w:t>
      </w:r>
      <w:r w:rsidR="00FA147D">
        <w:rPr>
          <w:lang w:val="en-US"/>
        </w:rPr>
        <w:t>ion</w:t>
      </w:r>
      <w:r w:rsidR="0063265F" w:rsidRPr="00DA0DCD">
        <w:rPr>
          <w:lang w:val="en-US"/>
        </w:rPr>
        <w:t xml:space="preserve"> concerns than the potential negative effect of those </w:t>
      </w:r>
      <w:r w:rsidR="00FA147D">
        <w:rPr>
          <w:lang w:val="en-US"/>
        </w:rPr>
        <w:t xml:space="preserve">FVA </w:t>
      </w:r>
      <w:r w:rsidR="0063265F" w:rsidRPr="00DA0DCD">
        <w:rPr>
          <w:lang w:val="en-US"/>
        </w:rPr>
        <w:t xml:space="preserve">statements for contracting. </w:t>
      </w:r>
    </w:p>
    <w:p w:rsidR="0063265F" w:rsidRPr="00DA0DCD" w:rsidRDefault="0063265F" w:rsidP="00721B3F">
      <w:pPr>
        <w:spacing w:after="240"/>
        <w:rPr>
          <w:lang w:val="en-US"/>
        </w:rPr>
      </w:pPr>
      <w:r w:rsidRPr="00DA0DCD">
        <w:rPr>
          <w:lang w:val="en-US"/>
        </w:rPr>
        <w:t>A year earlier the volatility of FVA earnings by banks was researched, as for instance Barth et al.(1995) and Carey (1995). Barth et al.(1995) researched the effect of FVA on the earnings volatility, cash flows of contractual values and regulatory capital using a cross sectional analyze</w:t>
      </w:r>
      <w:r w:rsidR="00230F66" w:rsidRPr="00DA0DCD">
        <w:rPr>
          <w:lang w:val="en-US"/>
        </w:rPr>
        <w:t>s</w:t>
      </w:r>
      <w:r w:rsidRPr="00DA0DCD">
        <w:rPr>
          <w:lang w:val="en-US"/>
        </w:rPr>
        <w:t xml:space="preserve">. </w:t>
      </w:r>
      <w:r w:rsidR="00F25DA9" w:rsidRPr="00DA0DCD">
        <w:rPr>
          <w:lang w:val="en-US"/>
        </w:rPr>
        <w:t xml:space="preserve">They use data of annual reports of </w:t>
      </w:r>
      <w:r w:rsidR="00835938" w:rsidRPr="00DA0DCD">
        <w:rPr>
          <w:lang w:val="en-US"/>
        </w:rPr>
        <w:t>a sample fluctuating from 26 to 137</w:t>
      </w:r>
      <w:r w:rsidR="00F25DA9" w:rsidRPr="00DA0DCD">
        <w:rPr>
          <w:lang w:val="en-US"/>
        </w:rPr>
        <w:t xml:space="preserve"> US banks from 1971 </w:t>
      </w:r>
      <w:r w:rsidR="00835938" w:rsidRPr="00DA0DCD">
        <w:rPr>
          <w:lang w:val="en-US"/>
        </w:rPr>
        <w:t>through</w:t>
      </w:r>
      <w:r w:rsidR="00F25DA9" w:rsidRPr="00DA0DCD">
        <w:rPr>
          <w:lang w:val="en-US"/>
        </w:rPr>
        <w:t xml:space="preserve"> 1990.</w:t>
      </w:r>
      <w:r w:rsidR="00835938" w:rsidRPr="00DA0DCD">
        <w:rPr>
          <w:lang w:val="en-US"/>
        </w:rPr>
        <w:t xml:space="preserve"> </w:t>
      </w:r>
      <w:r w:rsidRPr="00DA0DCD">
        <w:rPr>
          <w:lang w:val="en-US"/>
        </w:rPr>
        <w:t xml:space="preserve">They find that fair value earnings </w:t>
      </w:r>
      <w:r w:rsidR="00230F66" w:rsidRPr="00DA0DCD">
        <w:rPr>
          <w:lang w:val="en-US"/>
        </w:rPr>
        <w:t xml:space="preserve">are </w:t>
      </w:r>
      <w:r w:rsidRPr="00DA0DCD">
        <w:rPr>
          <w:lang w:val="en-US"/>
        </w:rPr>
        <w:t>more volatile than ear</w:t>
      </w:r>
      <w:r w:rsidR="00230F66" w:rsidRPr="00DA0DCD">
        <w:rPr>
          <w:lang w:val="en-US"/>
        </w:rPr>
        <w:t>nings based on historical costs.</w:t>
      </w:r>
      <w:r w:rsidRPr="00DA0DCD">
        <w:rPr>
          <w:lang w:val="en-US"/>
        </w:rPr>
        <w:t xml:space="preserve"> </w:t>
      </w:r>
      <w:r w:rsidR="00FA147D" w:rsidRPr="00DA0DCD">
        <w:rPr>
          <w:lang w:val="en-US"/>
        </w:rPr>
        <w:t>However,</w:t>
      </w:r>
      <w:r w:rsidRPr="00DA0DCD">
        <w:rPr>
          <w:lang w:val="en-US"/>
        </w:rPr>
        <w:t xml:space="preserve"> prices of securities do not reflect the </w:t>
      </w:r>
      <w:r w:rsidR="00230F66" w:rsidRPr="00DA0DCD">
        <w:rPr>
          <w:lang w:val="en-US"/>
        </w:rPr>
        <w:t xml:space="preserve">increasing </w:t>
      </w:r>
      <w:r w:rsidRPr="00DA0DCD">
        <w:rPr>
          <w:lang w:val="en-US"/>
        </w:rPr>
        <w:t xml:space="preserve">volatility. </w:t>
      </w:r>
      <w:r w:rsidR="00FA147D" w:rsidRPr="00DA0DCD">
        <w:rPr>
          <w:lang w:val="en-US"/>
        </w:rPr>
        <w:t>Second,</w:t>
      </w:r>
      <w:r w:rsidRPr="00DA0DCD">
        <w:rPr>
          <w:lang w:val="en-US"/>
        </w:rPr>
        <w:t xml:space="preserve"> they find that </w:t>
      </w:r>
      <w:r w:rsidR="00FA147D" w:rsidRPr="00DA0DCD">
        <w:rPr>
          <w:lang w:val="en-US"/>
        </w:rPr>
        <w:t>banks under fair value violate</w:t>
      </w:r>
      <w:r w:rsidRPr="00DA0DCD">
        <w:rPr>
          <w:lang w:val="en-US"/>
        </w:rPr>
        <w:t xml:space="preserve"> regulatory requirements more frequently than under historical cost accounting. The prices of securities do not reflect the potential increased regulatory risk. As third, they find that interest rate changes are reflected in the security prices, even when the contractual investment is fixed. Carey (1995) examines the impact of partial FVA adoption for certain debt and equity securities under SFAS 115. </w:t>
      </w:r>
      <w:r w:rsidR="006F142F" w:rsidRPr="00DA0DCD">
        <w:rPr>
          <w:lang w:val="en-US"/>
        </w:rPr>
        <w:t>Using a</w:t>
      </w:r>
      <w:r w:rsidR="00264441" w:rsidRPr="00DA0DCD">
        <w:rPr>
          <w:lang w:val="en-US"/>
        </w:rPr>
        <w:t xml:space="preserve"> cross-sectional </w:t>
      </w:r>
      <w:r w:rsidR="006F142F" w:rsidRPr="00DA0DCD">
        <w:rPr>
          <w:lang w:val="en-US"/>
        </w:rPr>
        <w:t>model which analyzed the insolvency prediction of US banks, including 19,359 observation, for the period 1984 through 1991</w:t>
      </w:r>
      <w:r w:rsidR="00264441" w:rsidRPr="00DA0DCD">
        <w:rPr>
          <w:lang w:val="en-US"/>
        </w:rPr>
        <w:t xml:space="preserve"> </w:t>
      </w:r>
      <w:r w:rsidRPr="00DA0DCD">
        <w:rPr>
          <w:lang w:val="en-US"/>
        </w:rPr>
        <w:t xml:space="preserve">The findings </w:t>
      </w:r>
      <w:r w:rsidR="006F142F" w:rsidRPr="00DA0DCD">
        <w:rPr>
          <w:lang w:val="en-US"/>
        </w:rPr>
        <w:t xml:space="preserve">of Carey </w:t>
      </w:r>
      <w:r w:rsidRPr="00DA0DCD">
        <w:rPr>
          <w:lang w:val="en-US"/>
        </w:rPr>
        <w:t>indicates that fair value disclosures under SFAS 115 have a small effect on regulatory discipline</w:t>
      </w:r>
      <w:r w:rsidR="00FA147D">
        <w:rPr>
          <w:lang w:val="en-US"/>
        </w:rPr>
        <w:t xml:space="preserve"> (capital requirements)</w:t>
      </w:r>
      <w:r w:rsidRPr="00DA0DCD">
        <w:rPr>
          <w:lang w:val="en-US"/>
        </w:rPr>
        <w:t xml:space="preserve"> of risk taking by banks. Because the </w:t>
      </w:r>
      <w:r w:rsidR="000668C7" w:rsidRPr="00DA0DCD">
        <w:rPr>
          <w:lang w:val="en-US"/>
        </w:rPr>
        <w:t>increasing</w:t>
      </w:r>
      <w:r w:rsidRPr="00DA0DCD">
        <w:rPr>
          <w:lang w:val="en-US"/>
        </w:rPr>
        <w:t xml:space="preserve"> gains and losses of trades found to be small. Another reason is that disclosures of fair value are used by regulators to determine the right action to prevent failure.</w:t>
      </w:r>
    </w:p>
    <w:p w:rsidR="0063265F" w:rsidRPr="00DA0DCD" w:rsidRDefault="006F142F" w:rsidP="0063265F">
      <w:pPr>
        <w:rPr>
          <w:lang w:val="en-US"/>
        </w:rPr>
      </w:pPr>
      <w:r w:rsidRPr="00DA0DCD">
        <w:rPr>
          <w:lang w:val="en-US"/>
        </w:rPr>
        <w:lastRenderedPageBreak/>
        <w:t>As a</w:t>
      </w:r>
      <w:r w:rsidR="0063265F" w:rsidRPr="00DA0DCD">
        <w:rPr>
          <w:lang w:val="en-US"/>
        </w:rPr>
        <w:t xml:space="preserve"> conclu</w:t>
      </w:r>
      <w:r w:rsidRPr="00DA0DCD">
        <w:rPr>
          <w:lang w:val="en-US"/>
        </w:rPr>
        <w:t>sion</w:t>
      </w:r>
      <w:r w:rsidR="0063265F" w:rsidRPr="00DA0DCD">
        <w:rPr>
          <w:lang w:val="en-US"/>
        </w:rPr>
        <w:t xml:space="preserve">, looking at prior research, it can be </w:t>
      </w:r>
      <w:r w:rsidRPr="00DA0DCD">
        <w:rPr>
          <w:lang w:val="en-US"/>
        </w:rPr>
        <w:t>argued</w:t>
      </w:r>
      <w:r w:rsidR="0063265F" w:rsidRPr="00DA0DCD">
        <w:rPr>
          <w:lang w:val="en-US"/>
        </w:rPr>
        <w:t xml:space="preserve"> that the most important economic consequence of the introduction of FVA</w:t>
      </w:r>
      <w:r w:rsidR="00F25656" w:rsidRPr="00DA0DCD">
        <w:rPr>
          <w:lang w:val="en-US"/>
        </w:rPr>
        <w:t xml:space="preserve"> in the US</w:t>
      </w:r>
      <w:r w:rsidR="0063265F" w:rsidRPr="00DA0DCD">
        <w:rPr>
          <w:lang w:val="en-US"/>
        </w:rPr>
        <w:t xml:space="preserve"> was a negative stock price reaction. Taking into account the efficient market hypothesis of Fama (1970), this means that the market is not efficient in its semi-strong form. Stock prices are affected by the introduction of different accounting numbers for the same underlying objects. Another economic consequence of FVA introduction by banks is that earnings fluctuate more. This resulted in a more frequently violation of regulatory capital requirements.</w:t>
      </w:r>
    </w:p>
    <w:p w:rsidR="00BA69CB" w:rsidRPr="00DA0DCD" w:rsidRDefault="003863F6" w:rsidP="003863F6">
      <w:pPr>
        <w:pStyle w:val="Kop2"/>
        <w:numPr>
          <w:ilvl w:val="1"/>
          <w:numId w:val="14"/>
        </w:numPr>
        <w:rPr>
          <w:lang w:val="en-US"/>
        </w:rPr>
      </w:pPr>
      <w:bookmarkStart w:id="37" w:name="_Toc251758936"/>
      <w:bookmarkStart w:id="38" w:name="_Toc254174491"/>
      <w:bookmarkStart w:id="39" w:name="_Toc270770578"/>
      <w:r w:rsidRPr="00DA0DCD">
        <w:rPr>
          <w:lang w:val="en-US"/>
        </w:rPr>
        <w:t>Economic consequences of the a</w:t>
      </w:r>
      <w:r w:rsidR="00BA69CB" w:rsidRPr="00DA0DCD">
        <w:rPr>
          <w:lang w:val="en-US"/>
        </w:rPr>
        <w:t>doption of IAS 39</w:t>
      </w:r>
      <w:bookmarkEnd w:id="37"/>
      <w:bookmarkEnd w:id="38"/>
      <w:r w:rsidR="009A43B7" w:rsidRPr="00DA0DCD">
        <w:rPr>
          <w:lang w:val="en-US"/>
        </w:rPr>
        <w:t xml:space="preserve"> in Europe</w:t>
      </w:r>
      <w:bookmarkEnd w:id="39"/>
    </w:p>
    <w:p w:rsidR="008D2DFD" w:rsidRPr="00DA0DCD" w:rsidRDefault="000E00C8" w:rsidP="008D2DFD">
      <w:pPr>
        <w:rPr>
          <w:lang w:val="en-US"/>
        </w:rPr>
      </w:pPr>
      <w:r w:rsidRPr="00DA0DCD">
        <w:rPr>
          <w:lang w:val="en-US"/>
        </w:rPr>
        <w:t xml:space="preserve">The previous </w:t>
      </w:r>
      <w:r w:rsidR="00947A7D" w:rsidRPr="00DA0DCD">
        <w:rPr>
          <w:lang w:val="en-US"/>
        </w:rPr>
        <w:t>paragraph</w:t>
      </w:r>
      <w:r w:rsidR="00F25656" w:rsidRPr="00DA0DCD">
        <w:rPr>
          <w:lang w:val="en-US"/>
        </w:rPr>
        <w:t xml:space="preserve"> is about the economic consequences of FVA in the US. The European counterpart is IAS 39, this standard </w:t>
      </w:r>
      <w:r w:rsidR="00BA69CB" w:rsidRPr="00DA0DCD">
        <w:rPr>
          <w:lang w:val="en-US"/>
        </w:rPr>
        <w:t xml:space="preserve">is </w:t>
      </w:r>
      <w:r w:rsidR="00303D25">
        <w:rPr>
          <w:lang w:val="en-US"/>
        </w:rPr>
        <w:t xml:space="preserve">also </w:t>
      </w:r>
      <w:r w:rsidR="00BA69CB" w:rsidRPr="00DA0DCD">
        <w:rPr>
          <w:lang w:val="en-US"/>
        </w:rPr>
        <w:t xml:space="preserve">based on FVA. </w:t>
      </w:r>
      <w:r w:rsidR="00F25656" w:rsidRPr="00DA0DCD">
        <w:rPr>
          <w:lang w:val="en-US"/>
        </w:rPr>
        <w:t xml:space="preserve">Event studies on the economic consequences of the introduction of IAS 39 in Europe are not found. </w:t>
      </w:r>
      <w:r w:rsidR="00303D25" w:rsidRPr="00DA0DCD">
        <w:rPr>
          <w:lang w:val="en-US"/>
        </w:rPr>
        <w:t>However,</w:t>
      </w:r>
      <w:r w:rsidR="00F25656" w:rsidRPr="00DA0DCD">
        <w:rPr>
          <w:lang w:val="en-US"/>
        </w:rPr>
        <w:t xml:space="preserve"> som</w:t>
      </w:r>
      <w:r w:rsidR="002E7B8E" w:rsidRPr="00DA0DCD">
        <w:rPr>
          <w:lang w:val="en-US"/>
        </w:rPr>
        <w:t>e researchers make statements about the introduction of IAS 39. For instance Deegan (2006) describes that</w:t>
      </w:r>
      <w:r w:rsidR="00BA69CB" w:rsidRPr="00DA0DCD">
        <w:rPr>
          <w:lang w:val="en-US"/>
        </w:rPr>
        <w:t xml:space="preserve"> IAS 39 </w:t>
      </w:r>
      <w:r w:rsidR="002E7B8E" w:rsidRPr="00DA0DCD">
        <w:rPr>
          <w:lang w:val="en-US"/>
        </w:rPr>
        <w:t xml:space="preserve">at the adoption </w:t>
      </w:r>
      <w:r w:rsidR="00BA69CB" w:rsidRPr="00DA0DCD">
        <w:rPr>
          <w:lang w:val="en-US"/>
        </w:rPr>
        <w:t xml:space="preserve">already </w:t>
      </w:r>
      <w:r w:rsidR="002E7B8E" w:rsidRPr="00DA0DCD">
        <w:rPr>
          <w:lang w:val="en-US"/>
        </w:rPr>
        <w:t xml:space="preserve">was </w:t>
      </w:r>
      <w:r w:rsidR="00BA69CB" w:rsidRPr="00DA0DCD">
        <w:rPr>
          <w:lang w:val="en-US"/>
        </w:rPr>
        <w:t xml:space="preserve">criticized. </w:t>
      </w:r>
      <w:r w:rsidR="002E7B8E" w:rsidRPr="00DA0DCD">
        <w:rPr>
          <w:lang w:val="en-US"/>
        </w:rPr>
        <w:t xml:space="preserve">He </w:t>
      </w:r>
      <w:r w:rsidR="00BA69CB" w:rsidRPr="00DA0DCD">
        <w:rPr>
          <w:lang w:val="en-US"/>
        </w:rPr>
        <w:t xml:space="preserve">states: “Many European banks argued that implementation of  IAS 39 would require them to value certain assets and liabilities in a manner which would not reflect the underlying economic reality of many financial transactions, and this would result in unrepresentative and highly volatile profit or loss figures and substantially weakened balance sheet”. </w:t>
      </w:r>
      <w:r w:rsidR="002E7B8E" w:rsidRPr="00DA0DCD">
        <w:rPr>
          <w:lang w:val="en-US"/>
        </w:rPr>
        <w:t>This is consistent with the findings of Barth et al.(1995), that earnings fluctuate more under FVA.</w:t>
      </w:r>
      <w:r w:rsidR="002E7B8E" w:rsidRPr="00DA0DCD">
        <w:rPr>
          <w:color w:val="FF0000"/>
          <w:lang w:val="en-US"/>
        </w:rPr>
        <w:t xml:space="preserve"> </w:t>
      </w:r>
      <w:r w:rsidR="002E7B8E" w:rsidRPr="00DA0DCD">
        <w:rPr>
          <w:lang w:val="en-US"/>
        </w:rPr>
        <w:t>Ball (2006) stated another</w:t>
      </w:r>
      <w:r w:rsidR="00BA69CB" w:rsidRPr="00DA0DCD">
        <w:rPr>
          <w:lang w:val="en-US"/>
        </w:rPr>
        <w:t xml:space="preserve"> argument against FVA:  “Worse, companies tend to have positively correlated positions in commodities and financial instruments, and cannot all cash out simultaneously at the bid price, let alone at the ask. Fair value accounting has not yet been tested by a major financial crisis, when lenders in particular could discover that ‘fair value’ means ‘fair weather value’.” Further, he mentions that the effect of local politics and economic factors on IFRS lies at a national level regarding the standard adoption decision. He notes that in the event of a financial crisis there will be political pressure to do not use FVA, in order to avoid that banks disclose violating prudential ratios (as witnessed in Japan). </w:t>
      </w:r>
      <w:r w:rsidR="005E5DAB" w:rsidRPr="00DA0DCD">
        <w:rPr>
          <w:lang w:val="en-US"/>
        </w:rPr>
        <w:t>With the p</w:t>
      </w:r>
      <w:r w:rsidR="00BA69CB" w:rsidRPr="00DA0DCD">
        <w:rPr>
          <w:lang w:val="en-US"/>
        </w:rPr>
        <w:t xml:space="preserve">rudential ratios </w:t>
      </w:r>
      <w:r w:rsidR="005E5DAB" w:rsidRPr="00DA0DCD">
        <w:rPr>
          <w:lang w:val="en-US"/>
        </w:rPr>
        <w:t>is meant</w:t>
      </w:r>
      <w:r w:rsidR="002E7B8E" w:rsidRPr="00DA0DCD">
        <w:rPr>
          <w:lang w:val="en-US"/>
        </w:rPr>
        <w:t xml:space="preserve"> the capital requirements</w:t>
      </w:r>
      <w:r w:rsidR="00BA69CB" w:rsidRPr="00DA0DCD">
        <w:rPr>
          <w:lang w:val="en-US"/>
        </w:rPr>
        <w:t xml:space="preserve"> (BASEL agreements)</w:t>
      </w:r>
      <w:r w:rsidR="002E7B8E" w:rsidRPr="00DA0DCD">
        <w:rPr>
          <w:lang w:val="en-US"/>
        </w:rPr>
        <w:t xml:space="preserve"> for banks for the risks they face, as already discussed in </w:t>
      </w:r>
      <w:r w:rsidR="00947A7D" w:rsidRPr="00DA0DCD">
        <w:rPr>
          <w:lang w:val="en-US"/>
        </w:rPr>
        <w:t>paragraph</w:t>
      </w:r>
      <w:r w:rsidR="002E7B8E" w:rsidRPr="00DA0DCD">
        <w:rPr>
          <w:lang w:val="en-US"/>
        </w:rPr>
        <w:t xml:space="preserve"> 2.8.1. </w:t>
      </w:r>
      <w:r w:rsidR="00685E01" w:rsidRPr="00DA0DCD">
        <w:rPr>
          <w:lang w:val="en-US"/>
        </w:rPr>
        <w:t xml:space="preserve">So, the adoption of IAS 39 was not entirely well received by the society. As described </w:t>
      </w:r>
      <w:r w:rsidR="00ED0573" w:rsidRPr="00DA0DCD">
        <w:rPr>
          <w:lang w:val="en-US"/>
        </w:rPr>
        <w:t xml:space="preserve">in </w:t>
      </w:r>
      <w:r w:rsidR="00947A7D" w:rsidRPr="00DA0DCD">
        <w:rPr>
          <w:lang w:val="en-US"/>
        </w:rPr>
        <w:t>paragraph</w:t>
      </w:r>
      <w:r w:rsidR="00ED0573" w:rsidRPr="00DA0DCD">
        <w:rPr>
          <w:lang w:val="en-US"/>
        </w:rPr>
        <w:t xml:space="preserve"> 4.3</w:t>
      </w:r>
      <w:r w:rsidR="00685E01" w:rsidRPr="00DA0DCD">
        <w:rPr>
          <w:lang w:val="en-US"/>
        </w:rPr>
        <w:t>, researchers find that the capital market react negatively on the adoption of FVA</w:t>
      </w:r>
      <w:r w:rsidR="00ED0573" w:rsidRPr="00DA0DCD">
        <w:rPr>
          <w:lang w:val="en-US"/>
        </w:rPr>
        <w:t xml:space="preserve"> in the US</w:t>
      </w:r>
      <w:r w:rsidR="00685E01" w:rsidRPr="00DA0DCD">
        <w:rPr>
          <w:lang w:val="en-US"/>
        </w:rPr>
        <w:t xml:space="preserve">. </w:t>
      </w:r>
      <w:r w:rsidR="00ED0573" w:rsidRPr="00DA0DCD">
        <w:rPr>
          <w:lang w:val="en-US"/>
        </w:rPr>
        <w:t xml:space="preserve">With the difference in capital reaction between the US and Europe in mind, here could be argued that possibly the capital market would have also react negatively on the introduction of IAS 39. </w:t>
      </w:r>
      <w:r w:rsidR="007D0203">
        <w:rPr>
          <w:lang w:val="en-US"/>
        </w:rPr>
        <w:t>But</w:t>
      </w:r>
      <w:r w:rsidR="00303D25" w:rsidRPr="00DA0DCD">
        <w:rPr>
          <w:lang w:val="en-US"/>
        </w:rPr>
        <w:t>,</w:t>
      </w:r>
      <w:r w:rsidR="00ED0573" w:rsidRPr="00DA0DCD">
        <w:rPr>
          <w:lang w:val="en-US"/>
        </w:rPr>
        <w:t xml:space="preserve"> this is not confirmed in a</w:t>
      </w:r>
      <w:r w:rsidR="00303D25">
        <w:rPr>
          <w:lang w:val="en-US"/>
        </w:rPr>
        <w:t>n</w:t>
      </w:r>
      <w:r w:rsidR="00ED0573" w:rsidRPr="00DA0DCD">
        <w:rPr>
          <w:lang w:val="en-US"/>
        </w:rPr>
        <w:t xml:space="preserve"> event study. </w:t>
      </w:r>
    </w:p>
    <w:p w:rsidR="001A6CBE" w:rsidRPr="00DA0DCD" w:rsidRDefault="00ED0573" w:rsidP="00A80156">
      <w:pPr>
        <w:rPr>
          <w:lang w:val="en-US"/>
        </w:rPr>
      </w:pPr>
      <w:r w:rsidRPr="00DA0DCD">
        <w:rPr>
          <w:lang w:val="en-US"/>
        </w:rPr>
        <w:t>However, there has been done research on the economic consequences of mandatory IFRS reporting, including IAS 39, around the globe by Daske et al.(2008).</w:t>
      </w:r>
      <w:r w:rsidR="00A20481" w:rsidRPr="00DA0DCD">
        <w:rPr>
          <w:lang w:val="en-US"/>
        </w:rPr>
        <w:t xml:space="preserve"> They analyze the effect of IFRS on cost of capital, market liquidity and Tobin’s q</w:t>
      </w:r>
      <w:r w:rsidR="00A20481" w:rsidRPr="00DA0DCD">
        <w:rPr>
          <w:rStyle w:val="Voetnootmarkering"/>
          <w:lang w:val="en-US"/>
        </w:rPr>
        <w:footnoteReference w:id="20"/>
      </w:r>
      <w:r w:rsidR="00A20481" w:rsidRPr="00DA0DCD">
        <w:rPr>
          <w:lang w:val="en-US"/>
        </w:rPr>
        <w:t xml:space="preserve"> (market-to-book ratio)</w:t>
      </w:r>
      <w:r w:rsidR="001E1C00" w:rsidRPr="00DA0DCD">
        <w:rPr>
          <w:lang w:val="en-US"/>
        </w:rPr>
        <w:t xml:space="preserve"> of firms. The sample consist of</w:t>
      </w:r>
      <w:r w:rsidR="00A20481" w:rsidRPr="00DA0DCD">
        <w:rPr>
          <w:lang w:val="en-US"/>
        </w:rPr>
        <w:t xml:space="preserve"> </w:t>
      </w:r>
      <w:r w:rsidR="001E1C00" w:rsidRPr="00DA0DCD">
        <w:rPr>
          <w:lang w:val="en-US"/>
        </w:rPr>
        <w:t xml:space="preserve">9.000 firms </w:t>
      </w:r>
      <w:r w:rsidR="000F064F" w:rsidRPr="00DA0DCD">
        <w:rPr>
          <w:lang w:val="en-US"/>
        </w:rPr>
        <w:t xml:space="preserve">in 26 different countries, including 20 European countries, </w:t>
      </w:r>
      <w:r w:rsidR="001E1C00" w:rsidRPr="00DA0DCD">
        <w:rPr>
          <w:lang w:val="en-US"/>
        </w:rPr>
        <w:t xml:space="preserve">by which more than 3.100 </w:t>
      </w:r>
      <w:r w:rsidR="000F064F" w:rsidRPr="00DA0DCD">
        <w:rPr>
          <w:lang w:val="en-US"/>
        </w:rPr>
        <w:t xml:space="preserve">firms </w:t>
      </w:r>
      <w:r w:rsidR="001E1C00" w:rsidRPr="00DA0DCD">
        <w:rPr>
          <w:lang w:val="en-US"/>
        </w:rPr>
        <w:t>adopt IFRS for the first time</w:t>
      </w:r>
      <w:r w:rsidR="000F064F" w:rsidRPr="00DA0DCD">
        <w:rPr>
          <w:lang w:val="en-US"/>
        </w:rPr>
        <w:t xml:space="preserve">. They </w:t>
      </w:r>
      <w:r w:rsidR="00E7385A" w:rsidRPr="00DA0DCD">
        <w:rPr>
          <w:lang w:val="en-US"/>
        </w:rPr>
        <w:t>analyze</w:t>
      </w:r>
      <w:r w:rsidR="000F064F" w:rsidRPr="00DA0DCD">
        <w:rPr>
          <w:lang w:val="en-US"/>
        </w:rPr>
        <w:t xml:space="preserve"> the</w:t>
      </w:r>
      <w:r w:rsidR="001E1C00" w:rsidRPr="00DA0DCD">
        <w:rPr>
          <w:lang w:val="en-US"/>
        </w:rPr>
        <w:t xml:space="preserve"> period </w:t>
      </w:r>
      <w:r w:rsidR="00E7385A" w:rsidRPr="00DA0DCD">
        <w:rPr>
          <w:lang w:val="en-US"/>
        </w:rPr>
        <w:t>begin</w:t>
      </w:r>
      <w:r w:rsidR="00E7385A">
        <w:rPr>
          <w:lang w:val="en-US"/>
        </w:rPr>
        <w:t>ning</w:t>
      </w:r>
      <w:r w:rsidR="001E1C00" w:rsidRPr="00DA0DCD">
        <w:rPr>
          <w:lang w:val="en-US"/>
        </w:rPr>
        <w:t xml:space="preserve"> 2001 t</w:t>
      </w:r>
      <w:r w:rsidR="00E7385A">
        <w:rPr>
          <w:lang w:val="en-US"/>
        </w:rPr>
        <w:t>h</w:t>
      </w:r>
      <w:r w:rsidR="001E1C00" w:rsidRPr="00DA0DCD">
        <w:rPr>
          <w:lang w:val="en-US"/>
        </w:rPr>
        <w:t xml:space="preserve">rough end </w:t>
      </w:r>
      <w:r w:rsidR="00E7385A">
        <w:rPr>
          <w:lang w:val="en-US"/>
        </w:rPr>
        <w:t xml:space="preserve">of </w:t>
      </w:r>
      <w:r w:rsidR="001E1C00" w:rsidRPr="00DA0DCD">
        <w:rPr>
          <w:lang w:val="en-US"/>
        </w:rPr>
        <w:t>2005.</w:t>
      </w:r>
      <w:r w:rsidR="000F064F" w:rsidRPr="00DA0DCD">
        <w:rPr>
          <w:lang w:val="en-US"/>
        </w:rPr>
        <w:t xml:space="preserve"> </w:t>
      </w:r>
      <w:r w:rsidR="00E7385A">
        <w:rPr>
          <w:lang w:val="en-US"/>
        </w:rPr>
        <w:t>For the analys</w:t>
      </w:r>
      <w:r w:rsidR="00E7385A" w:rsidRPr="00DA0DCD">
        <w:rPr>
          <w:lang w:val="en-US"/>
        </w:rPr>
        <w:t>es</w:t>
      </w:r>
      <w:r w:rsidR="001E1C00" w:rsidRPr="00DA0DCD">
        <w:rPr>
          <w:lang w:val="en-US"/>
        </w:rPr>
        <w:t xml:space="preserve"> they use </w:t>
      </w:r>
      <w:r w:rsidR="00A80156" w:rsidRPr="00DA0DCD">
        <w:rPr>
          <w:lang w:val="en-US"/>
        </w:rPr>
        <w:t xml:space="preserve">a </w:t>
      </w:r>
      <w:r w:rsidR="0038138A" w:rsidRPr="00DA0DCD">
        <w:rPr>
          <w:lang w:val="en-US"/>
        </w:rPr>
        <w:t xml:space="preserve">regression model </w:t>
      </w:r>
      <w:r w:rsidR="00E56FA1" w:rsidRPr="00DA0DCD">
        <w:rPr>
          <w:lang w:val="en-US"/>
        </w:rPr>
        <w:t>which regress the voluntary and mandatory reporting of IFRS during the sample</w:t>
      </w:r>
      <w:r w:rsidR="00CE7207" w:rsidRPr="00DA0DCD">
        <w:rPr>
          <w:lang w:val="en-US"/>
        </w:rPr>
        <w:t xml:space="preserve"> period (firm-year level). </w:t>
      </w:r>
      <w:r w:rsidR="00F45D85" w:rsidRPr="00DA0DCD">
        <w:rPr>
          <w:lang w:val="en-US"/>
        </w:rPr>
        <w:t>Then they perform market liquidity analyses per country-month</w:t>
      </w:r>
      <w:r w:rsidR="00A80156" w:rsidRPr="00DA0DCD">
        <w:rPr>
          <w:lang w:val="en-US"/>
        </w:rPr>
        <w:t xml:space="preserve">. </w:t>
      </w:r>
      <w:r w:rsidR="00A20481" w:rsidRPr="00DA0DCD">
        <w:rPr>
          <w:lang w:val="en-US"/>
        </w:rPr>
        <w:t xml:space="preserve">They find early evidence of economic consequences of mandatory IFRS reporting. </w:t>
      </w:r>
      <w:r w:rsidR="007D0203">
        <w:rPr>
          <w:lang w:val="en-US"/>
        </w:rPr>
        <w:lastRenderedPageBreak/>
        <w:t>Since</w:t>
      </w:r>
      <w:r w:rsidR="00A80156" w:rsidRPr="00DA0DCD">
        <w:rPr>
          <w:lang w:val="en-US"/>
        </w:rPr>
        <w:t xml:space="preserve"> t</w:t>
      </w:r>
      <w:r w:rsidR="00A20481" w:rsidRPr="00DA0DCD">
        <w:rPr>
          <w:lang w:val="en-US"/>
        </w:rPr>
        <w:t xml:space="preserve">hey find that </w:t>
      </w:r>
      <w:r w:rsidR="00A80156" w:rsidRPr="00DA0DCD">
        <w:rPr>
          <w:lang w:val="en-US"/>
        </w:rPr>
        <w:t xml:space="preserve">the </w:t>
      </w:r>
      <w:r w:rsidR="00A20481" w:rsidRPr="00DA0DCD">
        <w:rPr>
          <w:lang w:val="en-US"/>
        </w:rPr>
        <w:t xml:space="preserve">market liquidity on a yearly basis increase statistical significantly around the time of the introduction of IFRS with 3% to 6%, relative to before the adoption of IFRS. </w:t>
      </w:r>
      <w:r w:rsidR="007D0203" w:rsidRPr="00DA0DCD">
        <w:rPr>
          <w:lang w:val="en-US"/>
        </w:rPr>
        <w:t>However,</w:t>
      </w:r>
      <w:r w:rsidR="00A20481" w:rsidRPr="00DA0DCD">
        <w:rPr>
          <w:lang w:val="en-US"/>
        </w:rPr>
        <w:t xml:space="preserve"> the estimation of the liquidity is lower if analyzed on a monthly bases. They also report a decrease in the firms cost of capital and an increase in equity valuation. So, the adoption of IFRS had economic consequences, because the capital </w:t>
      </w:r>
      <w:r w:rsidR="000E00C8" w:rsidRPr="00DA0DCD">
        <w:rPr>
          <w:lang w:val="en-US"/>
        </w:rPr>
        <w:t>market reacts</w:t>
      </w:r>
      <w:r w:rsidR="00A20481" w:rsidRPr="00DA0DCD">
        <w:rPr>
          <w:lang w:val="en-US"/>
        </w:rPr>
        <w:t xml:space="preserve"> </w:t>
      </w:r>
      <w:r w:rsidR="000E00C8" w:rsidRPr="00DA0DCD">
        <w:rPr>
          <w:lang w:val="en-US"/>
        </w:rPr>
        <w:t>to</w:t>
      </w:r>
      <w:r w:rsidR="00A20481" w:rsidRPr="00DA0DCD">
        <w:rPr>
          <w:lang w:val="en-US"/>
        </w:rPr>
        <w:t xml:space="preserve"> the introduction of IFRS. </w:t>
      </w:r>
    </w:p>
    <w:p w:rsidR="00EB02F9" w:rsidRPr="00DA0DCD" w:rsidRDefault="00A20481" w:rsidP="00EB02F9">
      <w:pPr>
        <w:rPr>
          <w:lang w:val="en-US"/>
        </w:rPr>
      </w:pPr>
      <w:r w:rsidRPr="00DA0DCD">
        <w:rPr>
          <w:lang w:val="en-US"/>
        </w:rPr>
        <w:t xml:space="preserve">Armstrong et al.(2009) investigated whether the adoption of IFRS had economic consequences for the European stock market (reaction). They examined 16 </w:t>
      </w:r>
      <w:r w:rsidR="007D0203" w:rsidRPr="00DA0DCD">
        <w:rPr>
          <w:lang w:val="en-US"/>
        </w:rPr>
        <w:t>events, which</w:t>
      </w:r>
      <w:r w:rsidRPr="00DA0DCD">
        <w:rPr>
          <w:lang w:val="en-US"/>
        </w:rPr>
        <w:t xml:space="preserve"> are associated</w:t>
      </w:r>
      <w:r w:rsidR="00C123EE" w:rsidRPr="00DA0DCD">
        <w:rPr>
          <w:lang w:val="en-US"/>
        </w:rPr>
        <w:t xml:space="preserve"> with the introduction of IFRS. </w:t>
      </w:r>
      <w:r w:rsidR="00C948CA" w:rsidRPr="00DA0DCD">
        <w:rPr>
          <w:lang w:val="en-US"/>
        </w:rPr>
        <w:t xml:space="preserve">They also examine the market reaction of the 16 events together. </w:t>
      </w:r>
      <w:r w:rsidR="00C123EE" w:rsidRPr="00DA0DCD">
        <w:rPr>
          <w:lang w:val="en-US"/>
        </w:rPr>
        <w:t xml:space="preserve">The </w:t>
      </w:r>
      <w:r w:rsidR="00C948CA" w:rsidRPr="00DA0DCD">
        <w:rPr>
          <w:lang w:val="en-US"/>
        </w:rPr>
        <w:t>sample consists</w:t>
      </w:r>
      <w:r w:rsidR="00C123EE" w:rsidRPr="00DA0DCD">
        <w:rPr>
          <w:lang w:val="en-US"/>
        </w:rPr>
        <w:t xml:space="preserve"> of 3.265 firms spread over 18 European countries. First, they use the market model (see </w:t>
      </w:r>
      <w:r w:rsidR="00947A7D" w:rsidRPr="00DA0DCD">
        <w:rPr>
          <w:lang w:val="en-US"/>
        </w:rPr>
        <w:t>chapter</w:t>
      </w:r>
      <w:r w:rsidR="00C123EE" w:rsidRPr="00DA0DCD">
        <w:rPr>
          <w:lang w:val="en-US"/>
        </w:rPr>
        <w:t xml:space="preserve"> 3) for</w:t>
      </w:r>
      <w:r w:rsidR="00C948CA" w:rsidRPr="00DA0DCD">
        <w:rPr>
          <w:lang w:val="en-US"/>
        </w:rPr>
        <w:t xml:space="preserve"> measuring</w:t>
      </w:r>
      <w:r w:rsidR="00C123EE" w:rsidRPr="00DA0DCD">
        <w:rPr>
          <w:lang w:val="en-US"/>
        </w:rPr>
        <w:t xml:space="preserve"> the value of the market-adjusted returns (abnormal returns). The result</w:t>
      </w:r>
      <w:r w:rsidR="00C948CA" w:rsidRPr="00DA0DCD">
        <w:rPr>
          <w:lang w:val="en-US"/>
        </w:rPr>
        <w:t>s</w:t>
      </w:r>
      <w:r w:rsidR="00C123EE" w:rsidRPr="00DA0DCD">
        <w:rPr>
          <w:lang w:val="en-US"/>
        </w:rPr>
        <w:t xml:space="preserve"> of this regression </w:t>
      </w:r>
      <w:r w:rsidR="007D0203">
        <w:rPr>
          <w:lang w:val="en-US"/>
        </w:rPr>
        <w:t>were</w:t>
      </w:r>
      <w:r w:rsidR="00C123EE" w:rsidRPr="00DA0DCD">
        <w:rPr>
          <w:lang w:val="en-US"/>
        </w:rPr>
        <w:t xml:space="preserve"> used for the cross-sectional model, which determines whether firm specific characteristics the variation in market reaction explains.</w:t>
      </w:r>
      <w:r w:rsidR="00C948CA" w:rsidRPr="00DA0DCD">
        <w:rPr>
          <w:lang w:val="en-US"/>
        </w:rPr>
        <w:t xml:space="preserve"> Armstrong et al.(2009)</w:t>
      </w:r>
      <w:r w:rsidRPr="00DA0DCD">
        <w:rPr>
          <w:lang w:val="en-US"/>
        </w:rPr>
        <w:t xml:space="preserve"> find a gradually positive market reaction for firms with a lower </w:t>
      </w:r>
      <w:r w:rsidR="00D30166" w:rsidRPr="00DA0DCD">
        <w:rPr>
          <w:lang w:val="en-US"/>
        </w:rPr>
        <w:t xml:space="preserve">information </w:t>
      </w:r>
      <w:r w:rsidRPr="00DA0DCD">
        <w:rPr>
          <w:lang w:val="en-US"/>
        </w:rPr>
        <w:t xml:space="preserve">quality before the adoption of IFRS. This is </w:t>
      </w:r>
      <w:r w:rsidR="0082100C">
        <w:rPr>
          <w:lang w:val="en-US"/>
        </w:rPr>
        <w:t>also</w:t>
      </w:r>
      <w:r w:rsidRPr="00DA0DCD">
        <w:rPr>
          <w:lang w:val="en-US"/>
        </w:rPr>
        <w:t xml:space="preserve"> pronounced by banks with a higher information asymmetry before the adoption and consistent with the expectation of investors that net information quality benefits from the introduction of IFRS (including the controversial IAS 39). Next, they find a negative market reaction in code law countries, </w:t>
      </w:r>
      <w:r w:rsidR="00D30166" w:rsidRPr="00DA0DCD">
        <w:rPr>
          <w:lang w:val="en-US"/>
        </w:rPr>
        <w:t>which</w:t>
      </w:r>
      <w:r w:rsidRPr="00DA0DCD">
        <w:rPr>
          <w:lang w:val="en-US"/>
        </w:rPr>
        <w:t xml:space="preserve"> are likely to have weaker enforcement of the </w:t>
      </w:r>
      <w:r w:rsidR="00D30166" w:rsidRPr="00DA0DCD">
        <w:rPr>
          <w:lang w:val="en-US"/>
        </w:rPr>
        <w:t xml:space="preserve">accounting </w:t>
      </w:r>
      <w:r w:rsidRPr="00DA0DCD">
        <w:rPr>
          <w:lang w:val="en-US"/>
        </w:rPr>
        <w:t>standards</w:t>
      </w:r>
      <w:r w:rsidR="00D30166" w:rsidRPr="00DA0DCD">
        <w:rPr>
          <w:lang w:val="en-US"/>
        </w:rPr>
        <w:t>.</w:t>
      </w:r>
      <w:r w:rsidRPr="00DA0DCD">
        <w:rPr>
          <w:lang w:val="en-US"/>
        </w:rPr>
        <w:t xml:space="preserve"> </w:t>
      </w:r>
      <w:r w:rsidR="00D30166" w:rsidRPr="00DA0DCD">
        <w:rPr>
          <w:lang w:val="en-US"/>
        </w:rPr>
        <w:t>T</w:t>
      </w:r>
      <w:r w:rsidRPr="00DA0DCD">
        <w:rPr>
          <w:lang w:val="en-US"/>
        </w:rPr>
        <w:t xml:space="preserve">his is consistent </w:t>
      </w:r>
      <w:r w:rsidR="00C948CA" w:rsidRPr="00DA0DCD">
        <w:rPr>
          <w:lang w:val="en-US"/>
        </w:rPr>
        <w:t>with the concerns of investors.</w:t>
      </w:r>
      <w:r w:rsidR="009A43B7" w:rsidRPr="00DA0DCD">
        <w:rPr>
          <w:lang w:val="en-US"/>
        </w:rPr>
        <w:t xml:space="preserve"> </w:t>
      </w:r>
      <w:r w:rsidRPr="00DA0DCD">
        <w:rPr>
          <w:lang w:val="en-US"/>
        </w:rPr>
        <w:t>To conclude, also Armstrong (2009) found economic consequences of the adoption of IFRS on the European capital market. Despite of IAS 39 there was a positive reaction on the events associa</w:t>
      </w:r>
      <w:r w:rsidR="009A43B7" w:rsidRPr="00DA0DCD">
        <w:rPr>
          <w:lang w:val="en-US"/>
        </w:rPr>
        <w:t>ting with the adoption of IFRS.</w:t>
      </w:r>
      <w:r w:rsidR="00EB02F9" w:rsidRPr="00DA0DCD">
        <w:rPr>
          <w:lang w:val="en-US"/>
        </w:rPr>
        <w:t xml:space="preserve"> </w:t>
      </w:r>
    </w:p>
    <w:p w:rsidR="00A20481" w:rsidRPr="00DA0DCD" w:rsidRDefault="00EB02F9" w:rsidP="008D2DFD">
      <w:pPr>
        <w:rPr>
          <w:lang w:val="en-US"/>
        </w:rPr>
      </w:pPr>
      <w:r w:rsidRPr="00DA0DCD">
        <w:rPr>
          <w:lang w:val="en-US"/>
        </w:rPr>
        <w:t>As stated above, the introduction of IAS 39 has been criticized</w:t>
      </w:r>
      <w:r w:rsidR="0082100C">
        <w:rPr>
          <w:lang w:val="en-US"/>
        </w:rPr>
        <w:t xml:space="preserve"> by banks</w:t>
      </w:r>
      <w:r w:rsidRPr="00DA0DCD">
        <w:rPr>
          <w:lang w:val="en-US"/>
        </w:rPr>
        <w:t xml:space="preserve"> because of the earnings volatility. </w:t>
      </w:r>
      <w:r w:rsidR="0082100C" w:rsidRPr="00DA0DCD">
        <w:rPr>
          <w:lang w:val="en-US"/>
        </w:rPr>
        <w:t>In addition,</w:t>
      </w:r>
      <w:r w:rsidRPr="00DA0DCD">
        <w:rPr>
          <w:lang w:val="en-US"/>
        </w:rPr>
        <w:t xml:space="preserve"> researchers have described (potentially) criticisms of FVA. For instance Ryan (200</w:t>
      </w:r>
      <w:r w:rsidR="000F55AB" w:rsidRPr="00DA0DCD">
        <w:rPr>
          <w:lang w:val="en-US"/>
        </w:rPr>
        <w:t>9</w:t>
      </w:r>
      <w:r w:rsidRPr="00DA0DCD">
        <w:rPr>
          <w:lang w:val="en-US"/>
        </w:rPr>
        <w:t>) describes three main potentially criticisms of FVA: “First, unrealized losses recognized under fair value accounting may reverse over time. Second, market illiquidity may render fair values difficult to measure, yielding overstated or unreliable reported losses. Third, firms reporting unrealized losses under fair value accounting may yield adverse feedback effects that cause further deterioration of market prices and increase the overall risk of the financial system ("systemic risk").” Also some investors and academics believe that FVA potentially harms investors compared to amortized costs. Ryan (2008</w:t>
      </w:r>
      <w:r w:rsidR="000F55AB" w:rsidRPr="00DA0DCD">
        <w:rPr>
          <w:lang w:val="en-US"/>
        </w:rPr>
        <w:t>b</w:t>
      </w:r>
      <w:r w:rsidRPr="00DA0DCD">
        <w:rPr>
          <w:lang w:val="en-US"/>
        </w:rPr>
        <w:t xml:space="preserve">) gives the following overview of the potentially harms. First, when markets become illiquid, fair value of transaction prices are despite guidance of the standard-setter not reliable measurable. Second, when fair value is measured by other sources that liquid markets, they allow firms to engage </w:t>
      </w:r>
      <w:r w:rsidR="00031EF1">
        <w:rPr>
          <w:lang w:val="en-US"/>
        </w:rPr>
        <w:t>earning</w:t>
      </w:r>
      <w:r w:rsidRPr="00DA0DCD">
        <w:rPr>
          <w:lang w:val="en-US"/>
        </w:rPr>
        <w:t xml:space="preserve"> management. At last, with the recognition of unrealized gains and losses, FVA provides more volatility in the owners’ equity including regulatory capital and net income of firms. On the other </w:t>
      </w:r>
      <w:r w:rsidR="00031EF1" w:rsidRPr="00DA0DCD">
        <w:rPr>
          <w:lang w:val="en-US"/>
        </w:rPr>
        <w:t>side,</w:t>
      </w:r>
      <w:r w:rsidRPr="00DA0DCD">
        <w:rPr>
          <w:lang w:val="en-US"/>
        </w:rPr>
        <w:t xml:space="preserve"> there are academics who believe that investors benefit of FVA. Ryan (2008</w:t>
      </w:r>
      <w:r w:rsidR="000F55AB" w:rsidRPr="00DA0DCD">
        <w:rPr>
          <w:lang w:val="en-US"/>
        </w:rPr>
        <w:t>b</w:t>
      </w:r>
      <w:r w:rsidRPr="00DA0DCD">
        <w:rPr>
          <w:lang w:val="en-US"/>
        </w:rPr>
        <w:t>) gives the following overview of the benefits. First, fair values are more timely, accurate and comparable across different firms and positions than other measurement methods. Second, FVA update on a timely basis the distribution of future cash flow based on new information. At last, FVA is the best platform for voluntary and mandatory disclosure. As a</w:t>
      </w:r>
      <w:r w:rsidR="00F62A8A" w:rsidRPr="00DA0DCD">
        <w:rPr>
          <w:lang w:val="en-US"/>
        </w:rPr>
        <w:t xml:space="preserve"> conclusion, there are arguments in favor or against FVA. </w:t>
      </w:r>
      <w:r w:rsidR="00031EF1">
        <w:rPr>
          <w:lang w:val="en-US"/>
        </w:rPr>
        <w:t>Hence, t</w:t>
      </w:r>
      <w:r w:rsidR="00F62A8A" w:rsidRPr="00DA0DCD">
        <w:rPr>
          <w:lang w:val="en-US"/>
        </w:rPr>
        <w:t>he discussed market illiquidity by Ryan (200</w:t>
      </w:r>
      <w:r w:rsidR="000F55AB" w:rsidRPr="00DA0DCD">
        <w:rPr>
          <w:lang w:val="en-US"/>
        </w:rPr>
        <w:t>8b</w:t>
      </w:r>
      <w:r w:rsidR="00F62A8A" w:rsidRPr="00DA0DCD">
        <w:rPr>
          <w:lang w:val="en-US"/>
        </w:rPr>
        <w:t>) bec</w:t>
      </w:r>
      <w:r w:rsidR="00031EF1">
        <w:rPr>
          <w:lang w:val="en-US"/>
        </w:rPr>
        <w:t>a</w:t>
      </w:r>
      <w:r w:rsidR="00F62A8A" w:rsidRPr="00DA0DCD">
        <w:rPr>
          <w:lang w:val="en-US"/>
        </w:rPr>
        <w:t>me a problem during the financial crisis of 2008 and 2009 as described in the introduction. Market illiquidity</w:t>
      </w:r>
      <w:r w:rsidR="00A0277B" w:rsidRPr="00DA0DCD">
        <w:rPr>
          <w:lang w:val="en-US"/>
        </w:rPr>
        <w:t xml:space="preserve"> in combination with FVA</w:t>
      </w:r>
      <w:r w:rsidR="00F62A8A" w:rsidRPr="00DA0DCD">
        <w:rPr>
          <w:lang w:val="en-US"/>
        </w:rPr>
        <w:t xml:space="preserve"> can work pro-cyclical, this effect will be explained in the next paragraph. </w:t>
      </w:r>
    </w:p>
    <w:p w:rsidR="00BA69CB" w:rsidRPr="00DA0DCD" w:rsidRDefault="00C376E9" w:rsidP="003863F6">
      <w:pPr>
        <w:pStyle w:val="Kop2"/>
        <w:numPr>
          <w:ilvl w:val="1"/>
          <w:numId w:val="14"/>
        </w:numPr>
        <w:rPr>
          <w:lang w:val="en-US"/>
        </w:rPr>
      </w:pPr>
      <w:bookmarkStart w:id="40" w:name="_Toc251758937"/>
      <w:bookmarkStart w:id="41" w:name="_Toc254174492"/>
      <w:bookmarkStart w:id="42" w:name="_Toc270770579"/>
      <w:r w:rsidRPr="00DA0DCD">
        <w:rPr>
          <w:lang w:val="en-US"/>
        </w:rPr>
        <w:lastRenderedPageBreak/>
        <w:t>P</w:t>
      </w:r>
      <w:r w:rsidR="00BA69CB" w:rsidRPr="00DA0DCD">
        <w:rPr>
          <w:lang w:val="en-US"/>
        </w:rPr>
        <w:t xml:space="preserve">ro-cyclical </w:t>
      </w:r>
      <w:bookmarkEnd w:id="40"/>
      <w:bookmarkEnd w:id="41"/>
      <w:r w:rsidRPr="00DA0DCD">
        <w:rPr>
          <w:lang w:val="en-US"/>
        </w:rPr>
        <w:t>process and FVA</w:t>
      </w:r>
      <w:bookmarkEnd w:id="42"/>
    </w:p>
    <w:p w:rsidR="00BA69CB" w:rsidRPr="00DA0DCD" w:rsidRDefault="00BA69CB" w:rsidP="00BA69CB">
      <w:pPr>
        <w:rPr>
          <w:lang w:val="en-US"/>
        </w:rPr>
      </w:pPr>
      <w:r w:rsidRPr="00DA0DCD">
        <w:rPr>
          <w:lang w:val="en-US"/>
        </w:rPr>
        <w:t xml:space="preserve">As mentioned in </w:t>
      </w:r>
      <w:r w:rsidR="00947A7D" w:rsidRPr="00DA0DCD">
        <w:rPr>
          <w:lang w:val="en-US"/>
        </w:rPr>
        <w:t>chapter</w:t>
      </w:r>
      <w:r w:rsidR="00D676B5" w:rsidRPr="00DA0DCD">
        <w:rPr>
          <w:lang w:val="en-US"/>
        </w:rPr>
        <w:t xml:space="preserve"> two,</w:t>
      </w:r>
      <w:r w:rsidRPr="00DA0DCD">
        <w:rPr>
          <w:lang w:val="en-US"/>
        </w:rPr>
        <w:t xml:space="preserve"> IAS 39 </w:t>
      </w:r>
      <w:r w:rsidR="00F62A8A" w:rsidRPr="00DA0DCD">
        <w:rPr>
          <w:lang w:val="en-US"/>
        </w:rPr>
        <w:t>requires</w:t>
      </w:r>
      <w:r w:rsidRPr="00DA0DCD">
        <w:rPr>
          <w:lang w:val="en-US"/>
        </w:rPr>
        <w:t xml:space="preserve"> </w:t>
      </w:r>
      <w:r w:rsidR="00D676B5" w:rsidRPr="00DA0DCD">
        <w:rPr>
          <w:lang w:val="en-US"/>
        </w:rPr>
        <w:t>companies</w:t>
      </w:r>
      <w:r w:rsidRPr="00DA0DCD">
        <w:rPr>
          <w:lang w:val="en-US"/>
        </w:rPr>
        <w:t xml:space="preserve"> </w:t>
      </w:r>
      <w:r w:rsidR="00D676B5" w:rsidRPr="00DA0DCD">
        <w:rPr>
          <w:lang w:val="en-US"/>
        </w:rPr>
        <w:t xml:space="preserve">to </w:t>
      </w:r>
      <w:r w:rsidRPr="00DA0DCD">
        <w:rPr>
          <w:lang w:val="en-US"/>
        </w:rPr>
        <w:t xml:space="preserve">recognize </w:t>
      </w:r>
      <w:r w:rsidR="00D676B5" w:rsidRPr="00DA0DCD">
        <w:rPr>
          <w:lang w:val="en-US"/>
        </w:rPr>
        <w:t xml:space="preserve">some of their </w:t>
      </w:r>
      <w:r w:rsidRPr="00DA0DCD">
        <w:rPr>
          <w:lang w:val="en-US"/>
        </w:rPr>
        <w:t>financial assets and liabilities (including derivatives that are assets) at fair value on the balance</w:t>
      </w:r>
      <w:r w:rsidR="00D676B5" w:rsidRPr="00DA0DCD">
        <w:rPr>
          <w:lang w:val="en-US"/>
        </w:rPr>
        <w:t xml:space="preserve"> sheet</w:t>
      </w:r>
      <w:r w:rsidRPr="00DA0DCD">
        <w:rPr>
          <w:lang w:val="en-US"/>
        </w:rPr>
        <w:t xml:space="preserve">. The </w:t>
      </w:r>
      <w:r w:rsidR="00644B3B" w:rsidRPr="00DA0DCD">
        <w:rPr>
          <w:lang w:val="en-US"/>
        </w:rPr>
        <w:t>consequence of fair value during a financial crisis is</w:t>
      </w:r>
      <w:r w:rsidRPr="00DA0DCD">
        <w:rPr>
          <w:lang w:val="en-US"/>
        </w:rPr>
        <w:t xml:space="preserve"> that the valuation of financial assets decreases when the market price for financial assets decreases. This means that in accordance with Hoogendoorn (2009) financial </w:t>
      </w:r>
      <w:r w:rsidR="00D676B5" w:rsidRPr="00DA0DCD">
        <w:rPr>
          <w:lang w:val="en-US"/>
        </w:rPr>
        <w:t>assets on the balance of entitie</w:t>
      </w:r>
      <w:r w:rsidRPr="00DA0DCD">
        <w:rPr>
          <w:lang w:val="en-US"/>
        </w:rPr>
        <w:t xml:space="preserve">s are understated when markets are temporarily inefficient. This hurts especially banks where the financial assets are a substantial part of the balance sheet. The value of financial instruments, in the sense of IAS 39, of banks decrease fast on illiquid markets. The argument </w:t>
      </w:r>
      <w:r w:rsidR="00A0277B" w:rsidRPr="00DA0DCD">
        <w:rPr>
          <w:lang w:val="en-US"/>
        </w:rPr>
        <w:t>there</w:t>
      </w:r>
      <w:r w:rsidRPr="00DA0DCD">
        <w:rPr>
          <w:lang w:val="en-US"/>
        </w:rPr>
        <w:t>for</w:t>
      </w:r>
      <w:r w:rsidR="00A0277B" w:rsidRPr="00DA0DCD">
        <w:rPr>
          <w:lang w:val="en-US"/>
        </w:rPr>
        <w:t>e</w:t>
      </w:r>
      <w:r w:rsidRPr="00DA0DCD">
        <w:rPr>
          <w:lang w:val="en-US"/>
        </w:rPr>
        <w:t xml:space="preserve"> is in accordance with Bowen et al. (2010) that inactive illiquid markets in combination with FVA make banks act pro-cyclical. </w:t>
      </w:r>
    </w:p>
    <w:tbl>
      <w:tblPr>
        <w:tblW w:w="0" w:type="auto"/>
        <w:jc w:val="center"/>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371"/>
      </w:tblGrid>
      <w:tr w:rsidR="00BA69CB" w:rsidRPr="00DA0DCD" w:rsidTr="00D81699">
        <w:trPr>
          <w:trHeight w:val="2228"/>
          <w:jc w:val="center"/>
        </w:trPr>
        <w:tc>
          <w:tcPr>
            <w:tcW w:w="7371" w:type="dxa"/>
          </w:tcPr>
          <w:p w:rsidR="00BA69CB" w:rsidRPr="00DA0DCD" w:rsidRDefault="00E77D2A" w:rsidP="00912D8C">
            <w:pPr>
              <w:pStyle w:val="Geenafstand"/>
              <w:rPr>
                <w:lang w:val="en-US"/>
              </w:rPr>
            </w:pPr>
            <w:r w:rsidRPr="00E77D2A">
              <w:rPr>
                <w:lang w:val="en-US"/>
              </w:rPr>
              <w:pict>
                <v:oval id="_x0000_s1033" style="position:absolute;margin-left:10.2pt;margin-top:9.4pt;width:94.5pt;height:50.1pt;z-index:251655168" strokecolor="#a5a5a5">
                  <v:shadow on="t" type="double" opacity=".5" color2="shadow add(102)" offset="-3pt,-3pt" offset2="-6pt,-6pt"/>
                  <v:textbox style="mso-next-textbox:#_x0000_s1033">
                    <w:txbxContent>
                      <w:p w:rsidR="0045432C" w:rsidRPr="00243707" w:rsidRDefault="0045432C" w:rsidP="00BA69CB">
                        <w:pPr>
                          <w:jc w:val="center"/>
                          <w:rPr>
                            <w:sz w:val="16"/>
                            <w:szCs w:val="16"/>
                            <w:lang w:val="en-US"/>
                          </w:rPr>
                        </w:pPr>
                        <w:r>
                          <w:rPr>
                            <w:sz w:val="16"/>
                            <w:szCs w:val="16"/>
                            <w:lang w:val="en-US"/>
                          </w:rPr>
                          <w:t xml:space="preserve">(1) </w:t>
                        </w:r>
                        <w:r w:rsidRPr="00243707">
                          <w:rPr>
                            <w:sz w:val="16"/>
                            <w:szCs w:val="16"/>
                            <w:lang w:val="en-US"/>
                          </w:rPr>
                          <w:t>Fire-sale (start)</w:t>
                        </w:r>
                        <w:r>
                          <w:rPr>
                            <w:sz w:val="16"/>
                            <w:szCs w:val="16"/>
                            <w:lang w:val="en-US"/>
                          </w:rPr>
                          <w:t xml:space="preserve"> / Sell Assets</w:t>
                        </w:r>
                      </w:p>
                    </w:txbxContent>
                  </v:textbox>
                </v:oval>
              </w:pict>
            </w:r>
            <w:r w:rsidRPr="00E77D2A">
              <w:rPr>
                <w:lang w:val="en-US"/>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2" type="#_x0000_t67" style="position:absolute;margin-left:150.8pt;margin-top:9.4pt;width:79.55pt;height:44.85pt;z-index:251656192" strokecolor="#a5a5a5">
                  <v:shadow on="t" type="double" opacity=".5" color2="shadow add(102)" offset="-3pt,-3pt" offset2="-6pt,-6pt"/>
                  <v:textbox style="mso-next-textbox:#_x0000_s1032">
                    <w:txbxContent>
                      <w:p w:rsidR="0045432C" w:rsidRPr="00243707" w:rsidRDefault="0045432C" w:rsidP="00BA69CB">
                        <w:pPr>
                          <w:jc w:val="center"/>
                          <w:rPr>
                            <w:sz w:val="16"/>
                            <w:szCs w:val="16"/>
                            <w:lang w:val="en-US"/>
                          </w:rPr>
                        </w:pPr>
                        <w:r>
                          <w:rPr>
                            <w:sz w:val="16"/>
                            <w:szCs w:val="16"/>
                            <w:lang w:val="en-US"/>
                          </w:rPr>
                          <w:t xml:space="preserve">(2) </w:t>
                        </w:r>
                        <w:r w:rsidRPr="00243707">
                          <w:rPr>
                            <w:sz w:val="16"/>
                            <w:szCs w:val="16"/>
                            <w:lang w:val="en-US"/>
                          </w:rPr>
                          <w:t>Asset price</w:t>
                        </w:r>
                      </w:p>
                    </w:txbxContent>
                  </v:textbox>
                </v:shape>
              </w:pict>
            </w:r>
            <w:r w:rsidRPr="00E77D2A">
              <w:rPr>
                <w:lang w:val="en-US"/>
              </w:rPr>
              <w:pict>
                <v:shapetype id="_x0000_t91" coordsize="21600,21600" o:spt="91" adj="15126,2912" path="m21600,6079l@0,0@0@1,12427@1qx,12158l,21600@4,21600@4,12158qy12427@2l@0@2@0,12158xe">
                  <v:stroke joinstyle="miter"/>
                  <v:formulas>
                    <v:f eqn="val #0"/>
                    <v:f eqn="val #1"/>
                    <v:f eqn="sum 12158 0 #1"/>
                    <v:f eqn="sum @2 0 #1"/>
                    <v:f eqn="prod @3 32768 32059"/>
                    <v:f eqn="prod @4 1 2"/>
                    <v:f eqn="sum 21600 0 #0"/>
                    <v:f eqn="prod @6 #1 6079"/>
                    <v:f eqn="sum @7 #0 0"/>
                  </v:formulas>
                  <v:path o:connecttype="custom" o:connectlocs="@0,0;@0,12158;@5,21600;21600,6079" o:connectangles="270,90,90,0" textboxrect="12427,@1,@8,@2;0,12158,@4,21600"/>
                  <v:handles>
                    <v:h position="#0,#1" xrange="12427,21600" yrange="0,6079"/>
                  </v:handles>
                </v:shapetype>
                <v:shape id="_x0000_s1036" type="#_x0000_t91" style="position:absolute;margin-left:59.8pt;margin-top:66.25pt;width:36pt;height:36pt;rotation:270;z-index:251658240" strokecolor="#969696"/>
              </w:pict>
            </w:r>
            <w:r w:rsidRPr="00E77D2A">
              <w:rPr>
                <w:lang w:val="en-US"/>
              </w:rPr>
              <w:pict>
                <v:shape id="_x0000_s1037" type="#_x0000_t91" style="position:absolute;margin-left:275.65pt;margin-top:65.65pt;width:36pt;height:36pt;rotation:180;z-index:251659264" strokecolor="#969696"/>
              </w:pict>
            </w:r>
            <w:r w:rsidRPr="00E77D2A">
              <w:rPr>
                <w:lang w:val="en-US"/>
              </w:rPr>
              <w:pict>
                <v:shape id="_x0000_s1035" type="#_x0000_t67" style="position:absolute;margin-left:149.9pt;margin-top:63.1pt;width:78.8pt;height:44.85pt;z-index:251660288" strokecolor="#a5a5a5">
                  <v:shadow on="t" type="double" opacity=".5" color2="shadow add(102)" offset="-3pt,-3pt" offset2="-6pt,-6pt"/>
                  <v:textbox style="mso-next-textbox:#_x0000_s1035">
                    <w:txbxContent>
                      <w:p w:rsidR="0045432C" w:rsidRPr="00243707" w:rsidRDefault="0045432C" w:rsidP="00BA69CB">
                        <w:pPr>
                          <w:jc w:val="center"/>
                          <w:rPr>
                            <w:sz w:val="16"/>
                            <w:szCs w:val="16"/>
                            <w:lang w:val="en-US"/>
                          </w:rPr>
                        </w:pPr>
                        <w:r>
                          <w:rPr>
                            <w:sz w:val="16"/>
                            <w:szCs w:val="16"/>
                            <w:lang w:val="en-US"/>
                          </w:rPr>
                          <w:t xml:space="preserve">(4) </w:t>
                        </w:r>
                        <w:r w:rsidRPr="00243707">
                          <w:rPr>
                            <w:sz w:val="16"/>
                            <w:szCs w:val="16"/>
                            <w:lang w:val="en-US"/>
                          </w:rPr>
                          <w:t>Capital ratio</w:t>
                        </w:r>
                        <w:r>
                          <w:rPr>
                            <w:sz w:val="16"/>
                            <w:szCs w:val="16"/>
                            <w:lang w:val="en-US"/>
                          </w:rPr>
                          <w:t>s</w:t>
                        </w:r>
                      </w:p>
                    </w:txbxContent>
                  </v:textbox>
                </v:shape>
              </w:pict>
            </w:r>
            <w:r w:rsidRPr="00E77D2A">
              <w:rPr>
                <w:lang w:val="en-US"/>
              </w:rPr>
              <w:pict>
                <v:shape id="_x0000_s1034" type="#_x0000_t67" style="position:absolute;margin-left:254.1pt;margin-top:10.15pt;width:97.85pt;height:44.85pt;z-index:251657216" strokecolor="#a5a5a5">
                  <v:shadow on="t" type="double" opacity=".5" color2="shadow add(102)" offset="-3pt,-3pt" offset2="-6pt,-6pt"/>
                  <v:textbox style="mso-next-textbox:#_x0000_s1034">
                    <w:txbxContent>
                      <w:p w:rsidR="0045432C" w:rsidRPr="00243707" w:rsidRDefault="0045432C" w:rsidP="00BA69CB">
                        <w:pPr>
                          <w:jc w:val="center"/>
                          <w:rPr>
                            <w:sz w:val="16"/>
                            <w:szCs w:val="16"/>
                            <w:lang w:val="en-US"/>
                          </w:rPr>
                        </w:pPr>
                        <w:r>
                          <w:rPr>
                            <w:sz w:val="16"/>
                            <w:szCs w:val="16"/>
                            <w:lang w:val="en-US"/>
                          </w:rPr>
                          <w:t>(3)</w:t>
                        </w:r>
                        <w:r w:rsidRPr="00243707">
                          <w:rPr>
                            <w:sz w:val="16"/>
                            <w:szCs w:val="16"/>
                            <w:lang w:val="en-US"/>
                          </w:rPr>
                          <w:t>Deprecia</w:t>
                        </w:r>
                        <w:r>
                          <w:rPr>
                            <w:sz w:val="16"/>
                            <w:szCs w:val="16"/>
                            <w:lang w:val="en-US"/>
                          </w:rPr>
                          <w:t>-</w:t>
                        </w:r>
                        <w:r w:rsidRPr="00243707">
                          <w:rPr>
                            <w:sz w:val="16"/>
                            <w:szCs w:val="16"/>
                            <w:lang w:val="en-US"/>
                          </w:rPr>
                          <w:t>tion assets</w:t>
                        </w:r>
                      </w:p>
                    </w:txbxContent>
                  </v:textbox>
                </v:shape>
              </w:pict>
            </w:r>
          </w:p>
          <w:p w:rsidR="00BA69CB" w:rsidRPr="00DA0DCD" w:rsidRDefault="00BA69CB" w:rsidP="00912D8C">
            <w:pPr>
              <w:pStyle w:val="Geenafstand"/>
              <w:rPr>
                <w:lang w:val="en-US"/>
              </w:rPr>
            </w:pPr>
          </w:p>
          <w:p w:rsidR="00BA69CB" w:rsidRPr="00DA0DCD" w:rsidRDefault="00BA69CB" w:rsidP="00912D8C">
            <w:pPr>
              <w:pStyle w:val="Geenafstand"/>
              <w:rPr>
                <w:lang w:val="en-US"/>
              </w:rPr>
            </w:pPr>
            <w:r w:rsidRPr="00DA0DCD">
              <w:rPr>
                <w:lang w:val="en-US"/>
              </w:rPr>
              <w:tab/>
            </w:r>
            <w:r w:rsidR="00D81699" w:rsidRPr="00DA0DCD">
              <w:rPr>
                <w:lang w:val="en-US"/>
              </w:rPr>
              <w:t xml:space="preserve">                                    </w:t>
            </w:r>
            <w:r w:rsidRPr="00DA0DCD">
              <w:rPr>
                <w:lang w:val="en-US"/>
              </w:rPr>
              <w:sym w:font="Wingdings" w:char="F0E0"/>
            </w:r>
            <w:r w:rsidR="00D81699" w:rsidRPr="00DA0DCD">
              <w:rPr>
                <w:lang w:val="en-US"/>
              </w:rPr>
              <w:t xml:space="preserve">                                        </w:t>
            </w:r>
            <w:r w:rsidRPr="00DA0DCD">
              <w:rPr>
                <w:lang w:val="en-US"/>
              </w:rPr>
              <w:sym w:font="Wingdings" w:char="F0E0"/>
            </w:r>
            <w:r w:rsidRPr="00DA0DCD">
              <w:rPr>
                <w:lang w:val="en-US"/>
              </w:rPr>
              <w:tab/>
            </w:r>
            <w:r w:rsidRPr="00DA0DCD">
              <w:rPr>
                <w:lang w:val="en-US"/>
              </w:rPr>
              <w:tab/>
            </w:r>
            <w:r w:rsidRPr="00DA0DCD">
              <w:rPr>
                <w:lang w:val="en-US"/>
              </w:rPr>
              <w:tab/>
            </w:r>
          </w:p>
          <w:p w:rsidR="00BA69CB" w:rsidRPr="00DA0DCD" w:rsidRDefault="00BA69CB" w:rsidP="00912D8C">
            <w:pPr>
              <w:pStyle w:val="Geenafstand"/>
              <w:rPr>
                <w:lang w:val="en-US"/>
              </w:rPr>
            </w:pPr>
          </w:p>
          <w:p w:rsidR="00BA69CB" w:rsidRPr="00DA0DCD" w:rsidRDefault="00BA69CB" w:rsidP="00912D8C">
            <w:pPr>
              <w:pStyle w:val="Geenafstand"/>
              <w:rPr>
                <w:lang w:val="en-US"/>
              </w:rPr>
            </w:pPr>
          </w:p>
          <w:p w:rsidR="00BA69CB" w:rsidRPr="00DA0DCD" w:rsidRDefault="00BA69CB" w:rsidP="00912D8C">
            <w:pPr>
              <w:pStyle w:val="Geenafstand"/>
              <w:rPr>
                <w:lang w:val="en-US"/>
              </w:rPr>
            </w:pPr>
          </w:p>
          <w:p w:rsidR="00BA69CB" w:rsidRPr="00DA0DCD" w:rsidRDefault="00BA69CB" w:rsidP="00912D8C">
            <w:pPr>
              <w:pStyle w:val="Geenafstand"/>
              <w:rPr>
                <w:lang w:val="en-US"/>
              </w:rPr>
            </w:pPr>
          </w:p>
        </w:tc>
      </w:tr>
    </w:tbl>
    <w:p w:rsidR="00D81699" w:rsidRPr="006D7579" w:rsidRDefault="00D81699" w:rsidP="00D81699">
      <w:pPr>
        <w:jc w:val="center"/>
        <w:rPr>
          <w:szCs w:val="20"/>
          <w:lang w:val="en-US"/>
        </w:rPr>
      </w:pPr>
      <w:r w:rsidRPr="006D7579">
        <w:rPr>
          <w:szCs w:val="20"/>
          <w:lang w:val="en-US"/>
        </w:rPr>
        <w:t>Figure 4.1: pro-cyclical process</w:t>
      </w:r>
    </w:p>
    <w:p w:rsidR="002B1CB9" w:rsidRPr="00DA0DCD" w:rsidRDefault="00BA69CB" w:rsidP="003863F6">
      <w:pPr>
        <w:rPr>
          <w:lang w:val="en-US"/>
        </w:rPr>
      </w:pPr>
      <w:r w:rsidRPr="00DA0DCD">
        <w:rPr>
          <w:lang w:val="en-US"/>
        </w:rPr>
        <w:t xml:space="preserve">Figure </w:t>
      </w:r>
      <w:r w:rsidR="00D81699" w:rsidRPr="00DA0DCD">
        <w:rPr>
          <w:lang w:val="en-US"/>
        </w:rPr>
        <w:t>4.</w:t>
      </w:r>
      <w:r w:rsidRPr="00DA0DCD">
        <w:rPr>
          <w:lang w:val="en-US"/>
        </w:rPr>
        <w:t>1 show</w:t>
      </w:r>
      <w:r w:rsidR="00F25543">
        <w:rPr>
          <w:lang w:val="en-US"/>
        </w:rPr>
        <w:t>s</w:t>
      </w:r>
      <w:r w:rsidRPr="00DA0DCD">
        <w:rPr>
          <w:lang w:val="en-US"/>
        </w:rPr>
        <w:t xml:space="preserve"> that the pro-cyclical process starts with the fire-sale of assets of one bank. The combination of liquidation prices and an increased supply</w:t>
      </w:r>
      <w:r w:rsidR="00F25543">
        <w:rPr>
          <w:lang w:val="en-US"/>
        </w:rPr>
        <w:t>,</w:t>
      </w:r>
      <w:r w:rsidRPr="00DA0DCD">
        <w:rPr>
          <w:lang w:val="en-US"/>
        </w:rPr>
        <w:t xml:space="preserve"> reduces the price of financial assets. Both </w:t>
      </w:r>
      <w:r w:rsidR="00F25543" w:rsidRPr="00DA0DCD">
        <w:rPr>
          <w:lang w:val="en-US"/>
        </w:rPr>
        <w:t>force</w:t>
      </w:r>
      <w:r w:rsidRPr="00DA0DCD">
        <w:rPr>
          <w:lang w:val="en-US"/>
        </w:rPr>
        <w:t xml:space="preserve"> other banks to mark down their assets. Hereafter banks depreciate there assets valuated at fair value. At this point</w:t>
      </w:r>
      <w:r w:rsidR="00F25543">
        <w:rPr>
          <w:lang w:val="en-US"/>
        </w:rPr>
        <w:t>,</w:t>
      </w:r>
      <w:r w:rsidRPr="00DA0DCD">
        <w:rPr>
          <w:lang w:val="en-US"/>
        </w:rPr>
        <w:t xml:space="preserve"> banks might face problems because of the risk-based capital. This is the minimum capital required that must face the risk assets. In reaction to this problem banks sell their risk assets to meet the required capital ratios. This leads to more excess supply and the whole cycle starts again. This situation is </w:t>
      </w:r>
      <w:r w:rsidR="00F25543">
        <w:rPr>
          <w:lang w:val="en-US"/>
        </w:rPr>
        <w:t>even</w:t>
      </w:r>
      <w:r w:rsidRPr="00DA0DCD">
        <w:rPr>
          <w:lang w:val="en-US"/>
        </w:rPr>
        <w:t xml:space="preserve"> more worsened</w:t>
      </w:r>
      <w:r w:rsidR="00F25543">
        <w:rPr>
          <w:lang w:val="en-US"/>
        </w:rPr>
        <w:t>,</w:t>
      </w:r>
      <w:r w:rsidRPr="00DA0DCD">
        <w:rPr>
          <w:lang w:val="en-US"/>
        </w:rPr>
        <w:t xml:space="preserve"> because of the fact that in times of crisis there is less demand than in a normal period and this can lead to an illiquid market. </w:t>
      </w:r>
      <w:r w:rsidR="00F61CBF" w:rsidRPr="00DA0DCD">
        <w:rPr>
          <w:lang w:val="en-US"/>
        </w:rPr>
        <w:t xml:space="preserve"> The institute of international </w:t>
      </w:r>
      <w:r w:rsidR="00C51463" w:rsidRPr="00DA0DCD">
        <w:rPr>
          <w:lang w:val="en-US"/>
        </w:rPr>
        <w:t>finance</w:t>
      </w:r>
      <w:r w:rsidR="00F61CBF" w:rsidRPr="00DA0DCD">
        <w:rPr>
          <w:lang w:val="en-US"/>
        </w:rPr>
        <w:t xml:space="preserve"> (IIF) stated the pro-cyclical effect as follows: “O</w:t>
      </w:r>
      <w:r w:rsidR="00A3772D" w:rsidRPr="00DA0DCD">
        <w:rPr>
          <w:lang w:val="en-US"/>
        </w:rPr>
        <w:t>ften-dramatic write-downs of sound assets</w:t>
      </w:r>
      <w:r w:rsidR="00F61CBF" w:rsidRPr="00DA0DCD">
        <w:rPr>
          <w:lang w:val="en-US"/>
        </w:rPr>
        <w:t xml:space="preserve"> </w:t>
      </w:r>
      <w:r w:rsidR="00A3772D" w:rsidRPr="00DA0DCD">
        <w:rPr>
          <w:lang w:val="en-US"/>
        </w:rPr>
        <w:t>required under the current implementation of fair</w:t>
      </w:r>
      <w:r w:rsidR="00F61CBF" w:rsidRPr="00DA0DCD">
        <w:rPr>
          <w:lang w:val="en-US"/>
        </w:rPr>
        <w:t xml:space="preserve"> </w:t>
      </w:r>
      <w:r w:rsidR="00A3772D" w:rsidRPr="00DA0DCD">
        <w:rPr>
          <w:lang w:val="en-US"/>
        </w:rPr>
        <w:t>value</w:t>
      </w:r>
      <w:r w:rsidR="00F61CBF" w:rsidRPr="00DA0DCD">
        <w:rPr>
          <w:lang w:val="en-US"/>
        </w:rPr>
        <w:t xml:space="preserve"> </w:t>
      </w:r>
      <w:r w:rsidR="00A3772D" w:rsidRPr="00DA0DCD">
        <w:rPr>
          <w:lang w:val="en-US"/>
        </w:rPr>
        <w:t>accounting adversely affect market sentiment,</w:t>
      </w:r>
      <w:r w:rsidR="00F61CBF" w:rsidRPr="00DA0DCD">
        <w:rPr>
          <w:lang w:val="en-US"/>
        </w:rPr>
        <w:t xml:space="preserve"> </w:t>
      </w:r>
      <w:r w:rsidR="00A3772D" w:rsidRPr="00DA0DCD">
        <w:rPr>
          <w:lang w:val="en-US"/>
        </w:rPr>
        <w:t>in turn leading to further write-downs, margin calls</w:t>
      </w:r>
      <w:r w:rsidR="00F61CBF" w:rsidRPr="00DA0DCD">
        <w:rPr>
          <w:lang w:val="en-US"/>
        </w:rPr>
        <w:t xml:space="preserve"> </w:t>
      </w:r>
      <w:r w:rsidR="00A3772D" w:rsidRPr="00DA0DCD">
        <w:rPr>
          <w:lang w:val="en-US"/>
        </w:rPr>
        <w:t>and capital impacts in a downward spiral that may</w:t>
      </w:r>
      <w:r w:rsidR="00F61CBF" w:rsidRPr="00DA0DCD">
        <w:rPr>
          <w:lang w:val="en-US"/>
        </w:rPr>
        <w:t xml:space="preserve"> </w:t>
      </w:r>
      <w:r w:rsidR="00A3772D" w:rsidRPr="00DA0DCD">
        <w:rPr>
          <w:lang w:val="en-US"/>
        </w:rPr>
        <w:t>lead to large-scale fire-sales of assets, and destabilizing,</w:t>
      </w:r>
      <w:r w:rsidR="00F61CBF" w:rsidRPr="00DA0DCD">
        <w:rPr>
          <w:lang w:val="en-US"/>
        </w:rPr>
        <w:t xml:space="preserve"> </w:t>
      </w:r>
      <w:r w:rsidR="00A3772D" w:rsidRPr="00DA0DCD">
        <w:rPr>
          <w:lang w:val="en-US"/>
        </w:rPr>
        <w:t>pro-cyclical feedback effects. These damaging</w:t>
      </w:r>
      <w:r w:rsidR="00F61CBF" w:rsidRPr="00DA0DCD">
        <w:rPr>
          <w:lang w:val="en-US"/>
        </w:rPr>
        <w:t xml:space="preserve"> </w:t>
      </w:r>
      <w:r w:rsidR="00A3772D" w:rsidRPr="00DA0DCD">
        <w:rPr>
          <w:lang w:val="en-US"/>
        </w:rPr>
        <w:t>feedback effects worsen liquidity problems and</w:t>
      </w:r>
      <w:r w:rsidR="00F61CBF" w:rsidRPr="00DA0DCD">
        <w:rPr>
          <w:lang w:val="en-US"/>
        </w:rPr>
        <w:t xml:space="preserve"> </w:t>
      </w:r>
      <w:r w:rsidR="00A3772D" w:rsidRPr="00DA0DCD">
        <w:rPr>
          <w:lang w:val="en-US"/>
        </w:rPr>
        <w:t>contribute to the conversion of liquidity problems</w:t>
      </w:r>
      <w:r w:rsidR="00F61CBF" w:rsidRPr="00DA0DCD">
        <w:rPr>
          <w:lang w:val="en-US"/>
        </w:rPr>
        <w:t xml:space="preserve"> </w:t>
      </w:r>
      <w:r w:rsidR="00A3772D" w:rsidRPr="00DA0DCD">
        <w:rPr>
          <w:lang w:val="en-US"/>
        </w:rPr>
        <w:t>into solvency problems.</w:t>
      </w:r>
      <w:r w:rsidR="00F61CBF" w:rsidRPr="00DA0DCD">
        <w:rPr>
          <w:lang w:val="en-US"/>
        </w:rPr>
        <w:t xml:space="preserve">” </w:t>
      </w:r>
      <w:r w:rsidR="00D81699" w:rsidRPr="00DA0DCD">
        <w:rPr>
          <w:lang w:val="en-US"/>
        </w:rPr>
        <w:t>Here</w:t>
      </w:r>
      <w:r w:rsidRPr="00DA0DCD">
        <w:rPr>
          <w:lang w:val="en-US"/>
        </w:rPr>
        <w:t xml:space="preserve"> can</w:t>
      </w:r>
      <w:r w:rsidR="00D81699" w:rsidRPr="00DA0DCD">
        <w:rPr>
          <w:lang w:val="en-US"/>
        </w:rPr>
        <w:t xml:space="preserve"> be argued</w:t>
      </w:r>
      <w:r w:rsidRPr="00DA0DCD">
        <w:rPr>
          <w:lang w:val="en-US"/>
        </w:rPr>
        <w:t xml:space="preserve"> that the circle of FVA impairment contribute to the financial crisis.</w:t>
      </w:r>
      <w:r w:rsidR="00F61CBF" w:rsidRPr="00DA0DCD">
        <w:rPr>
          <w:lang w:val="en-US"/>
        </w:rPr>
        <w:t xml:space="preserve"> </w:t>
      </w:r>
      <w:r w:rsidR="00326B28" w:rsidRPr="00DA0DCD">
        <w:rPr>
          <w:lang w:val="en-US"/>
        </w:rPr>
        <w:t xml:space="preserve">Prior research of Boyer (2007) describes: ”If fair value accounting is applied to banks, extra volatility may be created that makes credit still more cyclical and increases banks’ financial fragility, (…) Thus, fair value is likely to reinforce the sources of instability and financial crises already observed in the 1990s.(…) Is this a desirable feature of accounting reform?” So, in </w:t>
      </w:r>
      <w:r w:rsidR="00F25543">
        <w:rPr>
          <w:lang w:val="en-US"/>
        </w:rPr>
        <w:t>prior</w:t>
      </w:r>
      <w:r w:rsidR="00326B28" w:rsidRPr="00DA0DCD">
        <w:rPr>
          <w:lang w:val="en-US"/>
        </w:rPr>
        <w:t xml:space="preserve"> research, cyclical increases were identified.</w:t>
      </w:r>
    </w:p>
    <w:p w:rsidR="00646BDA" w:rsidRDefault="00BA69CB" w:rsidP="003863F6">
      <w:pPr>
        <w:rPr>
          <w:szCs w:val="23"/>
          <w:lang w:val="en-US"/>
        </w:rPr>
      </w:pPr>
      <w:r w:rsidRPr="00DA0DCD">
        <w:rPr>
          <w:lang w:val="en-US"/>
        </w:rPr>
        <w:t xml:space="preserve">Banque de France (2008), ECB (2004) and IMF (2008) expressed their concerns about fair-value accounting during a financial crisis. Their major concern is that FVA functions pro-cyclical and might cause a downward spiral in financial markets. </w:t>
      </w:r>
      <w:r w:rsidRPr="00DA0DCD">
        <w:rPr>
          <w:szCs w:val="23"/>
          <w:lang w:val="en-US"/>
        </w:rPr>
        <w:t xml:space="preserve">Further, Laux and Leuz (2009) describes that in the second half of 2008 when the financial crisis was at its top, several banks raised significant concerns about FVA of their assets. </w:t>
      </w:r>
      <w:r w:rsidR="00F25543">
        <w:rPr>
          <w:szCs w:val="23"/>
          <w:lang w:val="en-US"/>
        </w:rPr>
        <w:t>B</w:t>
      </w:r>
      <w:r w:rsidRPr="00DA0DCD">
        <w:rPr>
          <w:szCs w:val="23"/>
          <w:lang w:val="en-US"/>
        </w:rPr>
        <w:t xml:space="preserve">anks argued that FVA had worsened the crisis by a downward </w:t>
      </w:r>
      <w:r w:rsidR="00F25543">
        <w:rPr>
          <w:szCs w:val="23"/>
          <w:lang w:val="en-US"/>
        </w:rPr>
        <w:t xml:space="preserve">spiral, </w:t>
      </w:r>
      <w:r w:rsidR="00F25543">
        <w:rPr>
          <w:szCs w:val="23"/>
          <w:lang w:val="en-US"/>
        </w:rPr>
        <w:lastRenderedPageBreak/>
        <w:t>b</w:t>
      </w:r>
      <w:r w:rsidRPr="00DA0DCD">
        <w:rPr>
          <w:szCs w:val="23"/>
          <w:lang w:val="en-US"/>
        </w:rPr>
        <w:t>ecause the fair value of their assets became significantly below the intrinsic values.</w:t>
      </w:r>
      <w:r w:rsidRPr="00DA0DCD">
        <w:rPr>
          <w:rStyle w:val="Voetnootmarkering"/>
          <w:szCs w:val="23"/>
          <w:lang w:val="en-US"/>
        </w:rPr>
        <w:footnoteReference w:id="21"/>
      </w:r>
      <w:r w:rsidRPr="00DA0DCD">
        <w:rPr>
          <w:szCs w:val="23"/>
          <w:lang w:val="en-US"/>
        </w:rPr>
        <w:t xml:space="preserve"> Therefore many banks in the US and in Europe asked  for maximum leeway for declaring transactions and switching to a model that could determine valuation by fair value based on the intrinsic value or expected future cash flows. Particular in Europe, banks asked for the option of reclassifying their financial instruments from trading category to the held-to-maturity category, because of the valuation. </w:t>
      </w:r>
    </w:p>
    <w:p w:rsidR="00BA69CB" w:rsidRPr="00DA0DCD" w:rsidRDefault="00BA69CB" w:rsidP="003863F6">
      <w:pPr>
        <w:rPr>
          <w:lang w:val="en-US"/>
        </w:rPr>
      </w:pPr>
      <w:r w:rsidRPr="00DA0DCD">
        <w:rPr>
          <w:lang w:val="en-US"/>
        </w:rPr>
        <w:t>There are two arguments for the downward spiral. First, according to Persaud (2008)</w:t>
      </w:r>
      <w:r w:rsidR="00646BDA">
        <w:rPr>
          <w:lang w:val="en-US"/>
        </w:rPr>
        <w:t xml:space="preserve"> and</w:t>
      </w:r>
      <w:r w:rsidRPr="00DA0DCD">
        <w:rPr>
          <w:lang w:val="en-US"/>
        </w:rPr>
        <w:t xml:space="preserve"> Pla</w:t>
      </w:r>
      <w:r w:rsidR="00E063CA" w:rsidRPr="00DA0DCD">
        <w:rPr>
          <w:lang w:val="en-US"/>
        </w:rPr>
        <w:t>n</w:t>
      </w:r>
      <w:r w:rsidRPr="00DA0DCD">
        <w:rPr>
          <w:lang w:val="en-US"/>
        </w:rPr>
        <w:t>tin et al. (2008a)</w:t>
      </w:r>
      <w:r w:rsidR="00646BDA">
        <w:rPr>
          <w:lang w:val="en-US"/>
        </w:rPr>
        <w:t xml:space="preserve"> </w:t>
      </w:r>
      <w:r w:rsidRPr="00DA0DCD">
        <w:rPr>
          <w:lang w:val="en-US"/>
        </w:rPr>
        <w:t>FVA and upgrading of assets make it possible for banks to increase their leverage. Adrian and Shin (2008) find evidence that marked-to-market leverage is strongly pro-cyclical by major US investment banks. This means that there is a positive relation between asset valuation changes and leverage ratios. Second, in accordance with the models of Allen and Carletti (2008) and Platin et al. (2008b) FVA can cause contagion in financial markets. Because when banks sell their assets at fire-prices, these prices forces other financial institutions to mark down there assets valuated at fair value</w:t>
      </w:r>
      <w:r w:rsidR="00646BDA">
        <w:rPr>
          <w:lang w:val="en-US"/>
        </w:rPr>
        <w:t xml:space="preserve"> (as described above)</w:t>
      </w:r>
      <w:r w:rsidRPr="00DA0DCD">
        <w:rPr>
          <w:lang w:val="en-US"/>
        </w:rPr>
        <w:t>.</w:t>
      </w:r>
      <w:r w:rsidR="00192F67" w:rsidRPr="00DA0DCD">
        <w:rPr>
          <w:lang w:val="en-US"/>
        </w:rPr>
        <w:t xml:space="preserve"> In contrast, research of Laux et al. (200</w:t>
      </w:r>
      <w:r w:rsidR="00325B26" w:rsidRPr="00DA0DCD">
        <w:rPr>
          <w:lang w:val="en-US"/>
        </w:rPr>
        <w:t>9b</w:t>
      </w:r>
      <w:r w:rsidR="00192F67" w:rsidRPr="00DA0DCD">
        <w:rPr>
          <w:lang w:val="en-US"/>
        </w:rPr>
        <w:t xml:space="preserve">) analyses whether fair-value accounting added to the severity of the 2008 financial </w:t>
      </w:r>
      <w:r w:rsidR="00646BDA">
        <w:rPr>
          <w:lang w:val="en-US"/>
        </w:rPr>
        <w:t>crisis</w:t>
      </w:r>
      <w:r w:rsidR="00192F67" w:rsidRPr="00DA0DCD">
        <w:rPr>
          <w:lang w:val="en-US"/>
        </w:rPr>
        <w:t xml:space="preserve">. Despite that there may have been downward spirals or assets fire sales in financial markets, they found little evidence that support for the claim that fair value contribute to excessive write-downs of banks’ assets. </w:t>
      </w:r>
      <w:r w:rsidR="00646BDA">
        <w:rPr>
          <w:lang w:val="en-US"/>
        </w:rPr>
        <w:t>Hence</w:t>
      </w:r>
      <w:r w:rsidR="00192F67" w:rsidRPr="00DA0DCD">
        <w:rPr>
          <w:lang w:val="en-US"/>
        </w:rPr>
        <w:t>, they state that if empirical evidence date points in the opposite direction, than it has to do with overvaluation of bank assets.</w:t>
      </w:r>
    </w:p>
    <w:p w:rsidR="00BA69CB" w:rsidRPr="00DA0DCD" w:rsidRDefault="00BA69CB" w:rsidP="003863F6">
      <w:pPr>
        <w:rPr>
          <w:lang w:val="en-US"/>
        </w:rPr>
      </w:pPr>
      <w:r w:rsidRPr="00DA0DCD">
        <w:rPr>
          <w:lang w:val="en-US"/>
        </w:rPr>
        <w:t xml:space="preserve">Bowen et al. (2010) identifies additional bank-specific factors that potentially contribute to pro-cyclical contagion. Using a cross-sectional analysis according to the approach of Sefcik and Thompson (1986), where the event coefficients in the </w:t>
      </w:r>
      <w:r w:rsidR="00646BDA">
        <w:rPr>
          <w:lang w:val="en-US"/>
        </w:rPr>
        <w:t xml:space="preserve">multi-factor </w:t>
      </w:r>
      <w:r w:rsidRPr="00DA0DCD">
        <w:rPr>
          <w:lang w:val="en-US"/>
        </w:rPr>
        <w:t>model</w:t>
      </w:r>
      <w:r w:rsidR="00646BDA">
        <w:rPr>
          <w:lang w:val="en-US"/>
        </w:rPr>
        <w:t xml:space="preserve"> (see paragraph 4.7)</w:t>
      </w:r>
      <w:r w:rsidRPr="00DA0DCD">
        <w:rPr>
          <w:lang w:val="en-US"/>
        </w:rPr>
        <w:t xml:space="preserve"> has a constant component and a firm specific component. The following components were identified: (1)low regulatory capital, (2)more assets recorded at fair value,(3) poor asset liquidity, (4) poor potential impairments, and (5) more trading assets. They find that the stock prices of banks with (1) low regulatory capital, (2) more assets recorded at fair value and (3) poor assets liquidity were positively related to the possible relaxation of FVA. This</w:t>
      </w:r>
      <w:r w:rsidR="00646BDA">
        <w:rPr>
          <w:lang w:val="en-US"/>
        </w:rPr>
        <w:t xml:space="preserve"> outcome</w:t>
      </w:r>
      <w:r w:rsidRPr="00DA0DCD">
        <w:rPr>
          <w:lang w:val="en-US"/>
        </w:rPr>
        <w:t xml:space="preserve"> is consistent with the pro-cyclical effect</w:t>
      </w:r>
      <w:r w:rsidR="00646BDA">
        <w:rPr>
          <w:lang w:val="en-US"/>
        </w:rPr>
        <w:t>, as described above</w:t>
      </w:r>
      <w:r w:rsidRPr="00DA0DCD">
        <w:rPr>
          <w:lang w:val="en-US"/>
        </w:rPr>
        <w:t>. Researchers like Kh</w:t>
      </w:r>
      <w:r w:rsidR="009E0419" w:rsidRPr="00DA0DCD">
        <w:rPr>
          <w:lang w:val="en-US"/>
        </w:rPr>
        <w:t xml:space="preserve">an </w:t>
      </w:r>
      <w:r w:rsidRPr="00DA0DCD">
        <w:rPr>
          <w:lang w:val="en-US"/>
        </w:rPr>
        <w:t xml:space="preserve">(2009) came with the same kind of conclusion on the pro-cyclical contagion. They find that the extent of fair value reporting has a positive relation with an increase in contagion </w:t>
      </w:r>
      <w:r w:rsidR="0077354B" w:rsidRPr="00DA0DCD">
        <w:rPr>
          <w:lang w:val="en-US"/>
        </w:rPr>
        <w:t>by</w:t>
      </w:r>
      <w:r w:rsidRPr="00DA0DCD">
        <w:rPr>
          <w:lang w:val="en-US"/>
        </w:rPr>
        <w:t xml:space="preserve"> banks. The increase is most powerful during periods of market illiquidity. They also suggest with their cross-sectional analyze that increased bank contagion related to fair-value is more likely spread to poorly </w:t>
      </w:r>
      <w:r w:rsidR="00646BDA" w:rsidRPr="00DA0DCD">
        <w:rPr>
          <w:lang w:val="en-US"/>
        </w:rPr>
        <w:t>capitalized banks</w:t>
      </w:r>
      <w:r w:rsidRPr="00DA0DCD">
        <w:rPr>
          <w:lang w:val="en-US"/>
        </w:rPr>
        <w:t xml:space="preserve"> (relatively high proportion of fair value). Also Amel-Zadeh et al.(2009) came approximately with a similar conclusion, they stated: “If the asset is to be held to maturity, if the bank is sure to survive to its maturity, and if the market for that asset is currently frozen. Then, we agree that if fair values are relied upon for valuing bank assets, pro-cyclical tendencies may be reinforced as collateral recorded at fair value swells and shrinks over the cycle”. In contrary, their analyses reinforces reporting in fair value especially at times of a financial crises. Because at times of a crisis</w:t>
      </w:r>
      <w:r w:rsidR="000C1275">
        <w:rPr>
          <w:lang w:val="en-US"/>
        </w:rPr>
        <w:t>,</w:t>
      </w:r>
      <w:r w:rsidRPr="00DA0DCD">
        <w:rPr>
          <w:lang w:val="en-US"/>
        </w:rPr>
        <w:t xml:space="preserve"> cash flow insolvency becomes dominate </w:t>
      </w:r>
      <w:r w:rsidR="000C1275">
        <w:rPr>
          <w:lang w:val="en-US"/>
        </w:rPr>
        <w:t>on</w:t>
      </w:r>
      <w:r w:rsidRPr="00DA0DCD">
        <w:rPr>
          <w:lang w:val="en-US"/>
        </w:rPr>
        <w:t xml:space="preserve"> the balance sheet. So, liquidation values become crucial in the decision whether a bank is going to continue operate and whether th</w:t>
      </w:r>
      <w:r w:rsidR="000C1275">
        <w:rPr>
          <w:lang w:val="en-US"/>
        </w:rPr>
        <w:t>e bank is reliable as counterparty</w:t>
      </w:r>
      <w:r w:rsidRPr="00DA0DCD">
        <w:rPr>
          <w:lang w:val="en-US"/>
        </w:rPr>
        <w:t>.</w:t>
      </w:r>
    </w:p>
    <w:p w:rsidR="00326B28" w:rsidRPr="00DA0DCD" w:rsidRDefault="00B9121C" w:rsidP="00326B28">
      <w:pPr>
        <w:rPr>
          <w:lang w:val="en-US"/>
        </w:rPr>
      </w:pPr>
      <w:r w:rsidRPr="00DA0DCD">
        <w:rPr>
          <w:lang w:val="en-US"/>
        </w:rPr>
        <w:lastRenderedPageBreak/>
        <w:t>During the financial crisis, researchers report about the problems of FVA and also try to find s</w:t>
      </w:r>
      <w:r w:rsidR="00192F67" w:rsidRPr="00DA0DCD">
        <w:rPr>
          <w:lang w:val="en-US"/>
        </w:rPr>
        <w:t>olution</w:t>
      </w:r>
      <w:r w:rsidRPr="00DA0DCD">
        <w:rPr>
          <w:lang w:val="en-US"/>
        </w:rPr>
        <w:t xml:space="preserve">s for these problems. </w:t>
      </w:r>
      <w:r w:rsidR="000C1275">
        <w:rPr>
          <w:lang w:val="en-US"/>
        </w:rPr>
        <w:t xml:space="preserve">For instance, </w:t>
      </w:r>
      <w:r w:rsidR="00326B28" w:rsidRPr="00DA0DCD">
        <w:rPr>
          <w:lang w:val="en-US"/>
        </w:rPr>
        <w:t>Sole et al. (2009)</w:t>
      </w:r>
      <w:r w:rsidRPr="00DA0DCD">
        <w:rPr>
          <w:lang w:val="en-US"/>
        </w:rPr>
        <w:t xml:space="preserve"> </w:t>
      </w:r>
      <w:r w:rsidR="000C1275">
        <w:rPr>
          <w:lang w:val="en-US"/>
        </w:rPr>
        <w:t>who did</w:t>
      </w:r>
      <w:r w:rsidR="00326B28" w:rsidRPr="00DA0DCD">
        <w:rPr>
          <w:lang w:val="en-US"/>
        </w:rPr>
        <w:t xml:space="preserve"> research to the embedded volatility and pro-cyclical aspects of the mixed model of FVA and historical cost accounting under IFRS and US GAAP. Therefore, they use financial statements of US and European banks at the end of 2006. They find that FVA introduce unintended pro-cyclicality. Despite the pro-cyclical effect, FVA is still the preferred framework for financial institutions. Sole et al. (2009) came also with a solution to mitigate the pro-cyclical effect. They describe that if market conditions negatively affect portfolios and there is evidence for asset impairment and a credit loss event, then write-offs must be recorded or the reporting values must be reassessed and loss provisions must be accrued. They state that in this sense the historical cost are subjected to a combination of backward looking assessment and pro-cyclical provisioning. </w:t>
      </w:r>
      <w:r w:rsidR="00402742" w:rsidRPr="00DA0DCD">
        <w:rPr>
          <w:lang w:val="en-US"/>
        </w:rPr>
        <w:t>This often goes</w:t>
      </w:r>
      <w:r w:rsidR="00326B28" w:rsidRPr="00DA0DCD">
        <w:rPr>
          <w:lang w:val="en-US"/>
        </w:rPr>
        <w:t xml:space="preserve"> together with </w:t>
      </w:r>
      <w:r w:rsidR="00402742" w:rsidRPr="00DA0DCD">
        <w:rPr>
          <w:lang w:val="en-US"/>
        </w:rPr>
        <w:t>an</w:t>
      </w:r>
      <w:r w:rsidR="00326B28" w:rsidRPr="00DA0DCD">
        <w:rPr>
          <w:lang w:val="en-US"/>
        </w:rPr>
        <w:t xml:space="preserve"> economic downturn. This </w:t>
      </w:r>
      <w:r w:rsidR="00402742">
        <w:rPr>
          <w:lang w:val="en-US"/>
        </w:rPr>
        <w:t xml:space="preserve">solution </w:t>
      </w:r>
      <w:r w:rsidR="00326B28" w:rsidRPr="00DA0DCD">
        <w:rPr>
          <w:lang w:val="en-US"/>
        </w:rPr>
        <w:t>is consistent with the finding of the financial stability forum (2009). They examines a report on the forces that contribute to pro-cyclicality in the financial system to develop options to mitigate the effect. In their report, they state that earlier recognition of loan losses could potentially have reduced the dampened cyclical moves during the current financial crisis. The current accounting requirements under IAS 39 are based on an incurred loss model. In this model a loan loss provision is only recognized when a loss impairment event have taken place. With earlier recognition, the loan losses are based on an expected loss model.</w:t>
      </w:r>
    </w:p>
    <w:p w:rsidR="00BA69CB" w:rsidRPr="00DA0DCD" w:rsidRDefault="00BA69CB" w:rsidP="00B9121C">
      <w:pPr>
        <w:rPr>
          <w:lang w:val="en-US"/>
        </w:rPr>
      </w:pPr>
      <w:r w:rsidRPr="00DA0DCD">
        <w:rPr>
          <w:lang w:val="en-US"/>
        </w:rPr>
        <w:t>So, as a general conclusion, different researches and banks argue that FVA</w:t>
      </w:r>
      <w:r w:rsidR="00A365AA" w:rsidRPr="00DA0DCD">
        <w:rPr>
          <w:lang w:val="en-US"/>
        </w:rPr>
        <w:t xml:space="preserve"> on financial instruments</w:t>
      </w:r>
      <w:r w:rsidRPr="00DA0DCD">
        <w:rPr>
          <w:lang w:val="en-US"/>
        </w:rPr>
        <w:t xml:space="preserve"> can also be designated as a possible cause of the pro-cyclical down turn.</w:t>
      </w:r>
    </w:p>
    <w:p w:rsidR="0080638F" w:rsidRPr="00DA0DCD" w:rsidRDefault="0080638F" w:rsidP="0080638F">
      <w:pPr>
        <w:pStyle w:val="Kop2"/>
        <w:numPr>
          <w:ilvl w:val="1"/>
          <w:numId w:val="14"/>
        </w:numPr>
        <w:rPr>
          <w:lang w:val="en-US"/>
        </w:rPr>
      </w:pPr>
      <w:bookmarkStart w:id="43" w:name="_Toc270770580"/>
      <w:r w:rsidRPr="00DA0DCD">
        <w:rPr>
          <w:lang w:val="en-US"/>
        </w:rPr>
        <w:t>Pro-cyclicality and capital</w:t>
      </w:r>
      <w:r w:rsidR="00B5608C" w:rsidRPr="00DA0DCD">
        <w:rPr>
          <w:lang w:val="en-US"/>
        </w:rPr>
        <w:t xml:space="preserve"> requirements</w:t>
      </w:r>
      <w:bookmarkEnd w:id="43"/>
    </w:p>
    <w:p w:rsidR="000E2E5B" w:rsidRPr="00DA0DCD" w:rsidRDefault="003A6EAD" w:rsidP="00D53795">
      <w:pPr>
        <w:rPr>
          <w:color w:val="FF0000"/>
          <w:lang w:val="en-US"/>
        </w:rPr>
      </w:pPr>
      <w:r w:rsidRPr="00DA0DCD">
        <w:rPr>
          <w:lang w:val="en-US"/>
        </w:rPr>
        <w:t xml:space="preserve">In </w:t>
      </w:r>
      <w:r w:rsidR="00947A7D" w:rsidRPr="00DA0DCD">
        <w:rPr>
          <w:lang w:val="en-US"/>
        </w:rPr>
        <w:t>paragraph</w:t>
      </w:r>
      <w:r w:rsidRPr="00DA0DCD">
        <w:rPr>
          <w:lang w:val="en-US"/>
        </w:rPr>
        <w:t xml:space="preserve"> 2.8 is mentioned that</w:t>
      </w:r>
      <w:r w:rsidR="006E66EE" w:rsidRPr="00DA0DCD">
        <w:rPr>
          <w:lang w:val="en-US"/>
        </w:rPr>
        <w:t xml:space="preserve"> there have been argued that</w:t>
      </w:r>
      <w:r w:rsidRPr="00DA0DCD">
        <w:rPr>
          <w:lang w:val="en-US"/>
        </w:rPr>
        <w:t xml:space="preserve"> capital requirements of financial institutions forced banks to sell their financial assets, to avoid the violation of capital adequacy requirements. </w:t>
      </w:r>
      <w:r w:rsidR="006E66EE" w:rsidRPr="00DA0DCD">
        <w:rPr>
          <w:lang w:val="en-US"/>
        </w:rPr>
        <w:t>This implies</w:t>
      </w:r>
      <w:r w:rsidRPr="00DA0DCD">
        <w:rPr>
          <w:lang w:val="en-US"/>
        </w:rPr>
        <w:t xml:space="preserve"> that capital requirements </w:t>
      </w:r>
      <w:r w:rsidR="006E66EE" w:rsidRPr="00DA0DCD">
        <w:rPr>
          <w:lang w:val="en-US"/>
        </w:rPr>
        <w:t xml:space="preserve">of financial institutions act pro-cyclical. </w:t>
      </w:r>
      <w:r w:rsidR="007B4573" w:rsidRPr="00DA0DCD">
        <w:rPr>
          <w:lang w:val="en-US"/>
        </w:rPr>
        <w:t xml:space="preserve">The pro-cyclicality is important to know for the expectations regarding the difference in capital market reaction between banks and insurance companies in the sample. </w:t>
      </w:r>
      <w:r w:rsidR="00E617A9" w:rsidRPr="00DA0DCD">
        <w:rPr>
          <w:lang w:val="en-US"/>
        </w:rPr>
        <w:t xml:space="preserve">As mentioned in </w:t>
      </w:r>
      <w:r w:rsidR="00947A7D" w:rsidRPr="00DA0DCD">
        <w:rPr>
          <w:lang w:val="en-US"/>
        </w:rPr>
        <w:t>paragraph</w:t>
      </w:r>
      <w:r w:rsidR="00E617A9" w:rsidRPr="00DA0DCD">
        <w:rPr>
          <w:lang w:val="en-US"/>
        </w:rPr>
        <w:t xml:space="preserve"> 2.8, banks have to meet Basel II and Insurance companies Solvency requirements. Sole et al. (2009) </w:t>
      </w:r>
      <w:r w:rsidR="006E7357" w:rsidRPr="00DA0DCD">
        <w:rPr>
          <w:lang w:val="en-US"/>
        </w:rPr>
        <w:t xml:space="preserve">of the IMF </w:t>
      </w:r>
      <w:r w:rsidR="00E617A9" w:rsidRPr="00DA0DCD">
        <w:rPr>
          <w:lang w:val="en-US"/>
        </w:rPr>
        <w:t xml:space="preserve">described that Basel II risk sensitivity is associated with the unintended </w:t>
      </w:r>
      <w:r w:rsidR="000E2E5B" w:rsidRPr="00DA0DCD">
        <w:rPr>
          <w:lang w:val="en-US"/>
        </w:rPr>
        <w:t xml:space="preserve">pro-cyclical </w:t>
      </w:r>
      <w:r w:rsidR="00E617A9" w:rsidRPr="00DA0DCD">
        <w:rPr>
          <w:lang w:val="en-US"/>
        </w:rPr>
        <w:t>effect</w:t>
      </w:r>
      <w:r w:rsidR="000E2E5B" w:rsidRPr="00DA0DCD">
        <w:rPr>
          <w:lang w:val="en-US"/>
        </w:rPr>
        <w:t>. The risk components of the approach to measure credit risk</w:t>
      </w:r>
      <w:r w:rsidR="00E617A9" w:rsidRPr="00DA0DCD">
        <w:rPr>
          <w:lang w:val="en-US"/>
        </w:rPr>
        <w:t xml:space="preserve"> </w:t>
      </w:r>
      <w:r w:rsidR="000E2E5B" w:rsidRPr="00DA0DCD">
        <w:rPr>
          <w:lang w:val="en-US"/>
        </w:rPr>
        <w:t>can give rise to a cyclical impact on the capital requirements of banks. Researchers also report on the pro-cyclical effect of Basel II requirements.</w:t>
      </w:r>
      <w:r w:rsidR="004B0006" w:rsidRPr="00DA0DCD">
        <w:rPr>
          <w:lang w:val="en-US"/>
        </w:rPr>
        <w:t xml:space="preserve"> For </w:t>
      </w:r>
      <w:r w:rsidR="00870D86" w:rsidRPr="00DA0DCD">
        <w:rPr>
          <w:lang w:val="en-US"/>
        </w:rPr>
        <w:t>instance,</w:t>
      </w:r>
      <w:r w:rsidR="004B0006" w:rsidRPr="00DA0DCD">
        <w:rPr>
          <w:lang w:val="en-US"/>
        </w:rPr>
        <w:t xml:space="preserve"> Kashyap and Stein (2003)</w:t>
      </w:r>
      <w:r w:rsidR="00870D86" w:rsidRPr="00DA0DCD">
        <w:rPr>
          <w:lang w:val="en-US"/>
        </w:rPr>
        <w:t xml:space="preserve"> </w:t>
      </w:r>
      <w:r w:rsidR="00251DCC" w:rsidRPr="00DA0DCD">
        <w:rPr>
          <w:lang w:val="en-US"/>
        </w:rPr>
        <w:t>examine</w:t>
      </w:r>
      <w:r w:rsidR="00870D86" w:rsidRPr="00DA0DCD">
        <w:rPr>
          <w:lang w:val="en-US"/>
        </w:rPr>
        <w:t xml:space="preserve"> the cyclicality aspects of the capital requirements in Basel II, using simulations of the credit risk model. They state</w:t>
      </w:r>
      <w:r w:rsidR="00BE254F" w:rsidRPr="00DA0DCD">
        <w:rPr>
          <w:lang w:val="en-US"/>
        </w:rPr>
        <w:t xml:space="preserve"> that their simulation suggest that the capital requirements of Basel II</w:t>
      </w:r>
      <w:r w:rsidR="00251DCC" w:rsidRPr="00DA0DCD">
        <w:rPr>
          <w:lang w:val="en-US"/>
        </w:rPr>
        <w:t xml:space="preserve"> may potentially create an amount of additional cyclicality in capital requirements. There analyses </w:t>
      </w:r>
      <w:r w:rsidR="00232A12" w:rsidRPr="00DA0DCD">
        <w:rPr>
          <w:lang w:val="en-US"/>
        </w:rPr>
        <w:t>emphasis the importance dealing with the issues of the credit risk models, because the issues can lead to cyclicality estimated that are substantially downward-biased.</w:t>
      </w:r>
      <w:r w:rsidR="007B4573" w:rsidRPr="00DA0DCD">
        <w:rPr>
          <w:lang w:val="en-US"/>
        </w:rPr>
        <w:t xml:space="preserve"> As m</w:t>
      </w:r>
      <w:r w:rsidR="00402742">
        <w:rPr>
          <w:lang w:val="en-US"/>
        </w:rPr>
        <w:t>en</w:t>
      </w:r>
      <w:r w:rsidR="007B4573" w:rsidRPr="00DA0DCD">
        <w:rPr>
          <w:lang w:val="en-US"/>
        </w:rPr>
        <w:t>tioned in chapter two, Repullo and Suarez (2008) research</w:t>
      </w:r>
      <w:r w:rsidR="00402742">
        <w:rPr>
          <w:lang w:val="en-US"/>
        </w:rPr>
        <w:t>ed</w:t>
      </w:r>
      <w:r w:rsidR="007B4573" w:rsidRPr="00DA0DCD">
        <w:rPr>
          <w:lang w:val="en-US"/>
        </w:rPr>
        <w:t xml:space="preserve"> the</w:t>
      </w:r>
      <w:r w:rsidR="0004075C" w:rsidRPr="00DA0DCD">
        <w:rPr>
          <w:lang w:val="en-US"/>
        </w:rPr>
        <w:t xml:space="preserve"> </w:t>
      </w:r>
      <w:r w:rsidR="007B4573" w:rsidRPr="00DA0DCD">
        <w:rPr>
          <w:lang w:val="en-US"/>
        </w:rPr>
        <w:t xml:space="preserve">pro-cyclicality of Basel II and find that in Basel II pro-cyclicality substantial increased compared with Basel I. </w:t>
      </w:r>
      <w:r w:rsidR="00D53795" w:rsidRPr="00DA0DCD">
        <w:rPr>
          <w:lang w:val="en-US"/>
        </w:rPr>
        <w:t xml:space="preserve">They state: “despite banks taking precautions and holding larger buffers during expansions in order to have a reserve of capital for the time when a recession comes (and capital requirements rise), the arrival of recessions is normally associated with a sizeable credit crunch, as capital constrained banks are induced to ration credit to some of their dependent borrowers.” </w:t>
      </w:r>
      <w:r w:rsidR="007B4573" w:rsidRPr="00DA0DCD">
        <w:rPr>
          <w:lang w:val="en-US"/>
        </w:rPr>
        <w:t>So, different researches came to the conclusion that Basel II includes an unintended pro-cyclical effect. In times of a financial crisis pro-cyclicality is a problem, because of the downward spiral.</w:t>
      </w:r>
      <w:r w:rsidR="00847C53" w:rsidRPr="00DA0DCD">
        <w:rPr>
          <w:lang w:val="en-US"/>
        </w:rPr>
        <w:t xml:space="preserve"> Paananen</w:t>
      </w:r>
      <w:r w:rsidR="00372C9B" w:rsidRPr="00DA0DCD">
        <w:rPr>
          <w:lang w:val="en-US"/>
        </w:rPr>
        <w:t xml:space="preserve"> et al.</w:t>
      </w:r>
      <w:r w:rsidR="00847C53" w:rsidRPr="00DA0DCD">
        <w:rPr>
          <w:lang w:val="en-US"/>
        </w:rPr>
        <w:t xml:space="preserve"> (2009) describes that the situation became more worse and therefore the Basel Committee on Banking Supervision </w:t>
      </w:r>
      <w:r w:rsidR="00847C53" w:rsidRPr="00DA0DCD">
        <w:rPr>
          <w:lang w:val="en-US"/>
        </w:rPr>
        <w:lastRenderedPageBreak/>
        <w:t>published</w:t>
      </w:r>
      <w:r w:rsidR="007B4573" w:rsidRPr="00DA0DCD">
        <w:rPr>
          <w:lang w:val="en-US"/>
        </w:rPr>
        <w:t xml:space="preserve"> </w:t>
      </w:r>
      <w:r w:rsidR="00847C53" w:rsidRPr="00DA0DCD">
        <w:rPr>
          <w:lang w:val="en-US"/>
        </w:rPr>
        <w:t xml:space="preserve">a proposal for expanding the scope of measuring the risk exposure of banks trading. This would be problematic for </w:t>
      </w:r>
      <w:r w:rsidR="00260AD3">
        <w:rPr>
          <w:lang w:val="en-US"/>
        </w:rPr>
        <w:t>banks</w:t>
      </w:r>
      <w:r w:rsidR="00847C53" w:rsidRPr="00DA0DCD">
        <w:rPr>
          <w:lang w:val="en-US"/>
        </w:rPr>
        <w:t>, because this would reduce the profitability and therefore could harm market liquidity. So, the combination of FVA and Basel II capital requirements act pro-cyclical for banks and had therefore a impact on the profitability of banks, what could lead to market illiquidity.</w:t>
      </w:r>
    </w:p>
    <w:p w:rsidR="00E617A9" w:rsidRDefault="00847C53" w:rsidP="00E617A9">
      <w:pPr>
        <w:rPr>
          <w:lang w:val="en-US"/>
        </w:rPr>
      </w:pPr>
      <w:r w:rsidRPr="00DA0DCD">
        <w:rPr>
          <w:lang w:val="en-US"/>
        </w:rPr>
        <w:t xml:space="preserve">What Basel II is for banks is Solvency for insurance companies. </w:t>
      </w:r>
      <w:r w:rsidR="00254B58" w:rsidRPr="00DA0DCD">
        <w:rPr>
          <w:lang w:val="en-US"/>
        </w:rPr>
        <w:t xml:space="preserve">As described in </w:t>
      </w:r>
      <w:r w:rsidR="00947A7D" w:rsidRPr="00DA0DCD">
        <w:rPr>
          <w:lang w:val="en-US"/>
        </w:rPr>
        <w:t>chapter</w:t>
      </w:r>
      <w:r w:rsidR="00254B58" w:rsidRPr="00DA0DCD">
        <w:rPr>
          <w:lang w:val="en-US"/>
        </w:rPr>
        <w:t xml:space="preserve"> 2, with Solvency</w:t>
      </w:r>
      <w:r w:rsidR="00260AD3">
        <w:rPr>
          <w:lang w:val="en-US"/>
        </w:rPr>
        <w:t xml:space="preserve"> requirements </w:t>
      </w:r>
      <w:r w:rsidR="00260AD3" w:rsidRPr="00DA0DCD">
        <w:rPr>
          <w:lang w:val="en-US"/>
        </w:rPr>
        <w:t>insurance</w:t>
      </w:r>
      <w:r w:rsidR="00254B58" w:rsidRPr="00DA0DCD">
        <w:rPr>
          <w:lang w:val="en-US"/>
        </w:rPr>
        <w:t xml:space="preserve"> companies are subjected to prudential </w:t>
      </w:r>
      <w:r w:rsidR="00260AD3" w:rsidRPr="00DA0DCD">
        <w:rPr>
          <w:lang w:val="en-US"/>
        </w:rPr>
        <w:t>filters, which</w:t>
      </w:r>
      <w:r w:rsidR="00254B58" w:rsidRPr="00DA0DCD">
        <w:rPr>
          <w:lang w:val="en-US"/>
        </w:rPr>
        <w:t xml:space="preserve"> limit the undesirable effects on the calculation of capital requirements, like fair value. This means in comparison with Basel II that the pro-cyclical effect of Solvency capital requirements is less significant. </w:t>
      </w:r>
      <w:r w:rsidR="00D53795" w:rsidRPr="00DA0DCD">
        <w:rPr>
          <w:lang w:val="en-US"/>
        </w:rPr>
        <w:t>Research on the pro-cyclicality of capital requirements o</w:t>
      </w:r>
      <w:r w:rsidR="00A9494C" w:rsidRPr="00DA0DCD">
        <w:rPr>
          <w:lang w:val="en-US"/>
        </w:rPr>
        <w:t>f</w:t>
      </w:r>
      <w:r w:rsidR="00D53795" w:rsidRPr="00DA0DCD">
        <w:rPr>
          <w:lang w:val="en-US"/>
        </w:rPr>
        <w:t xml:space="preserve"> insurance companies i</w:t>
      </w:r>
      <w:r w:rsidR="00A9494C" w:rsidRPr="00DA0DCD">
        <w:rPr>
          <w:lang w:val="en-US"/>
        </w:rPr>
        <w:t>s</w:t>
      </w:r>
      <w:r w:rsidR="00D53795" w:rsidRPr="00DA0DCD">
        <w:rPr>
          <w:lang w:val="en-US"/>
        </w:rPr>
        <w:t xml:space="preserve"> not yet found.</w:t>
      </w:r>
      <w:r w:rsidR="00A9494C" w:rsidRPr="00DA0DCD">
        <w:rPr>
          <w:lang w:val="en-US"/>
        </w:rPr>
        <w:t xml:space="preserve"> </w:t>
      </w:r>
      <w:r w:rsidR="00D53795" w:rsidRPr="00DA0DCD">
        <w:rPr>
          <w:lang w:val="en-US"/>
        </w:rPr>
        <w:t xml:space="preserve"> </w:t>
      </w:r>
      <w:r w:rsidR="00A9494C" w:rsidRPr="00DA0DCD">
        <w:rPr>
          <w:lang w:val="en-US"/>
        </w:rPr>
        <w:t xml:space="preserve">On account of the </w:t>
      </w:r>
      <w:r w:rsidR="00E30E28" w:rsidRPr="00DA0DCD">
        <w:rPr>
          <w:lang w:val="en-US"/>
        </w:rPr>
        <w:t xml:space="preserve">prudential filters, it is arguable that insurance companies experienced less pro-cyclicality than banks. </w:t>
      </w:r>
      <w:r w:rsidR="00E4251A" w:rsidRPr="00DA0DCD">
        <w:rPr>
          <w:lang w:val="en-US"/>
        </w:rPr>
        <w:t>For this reason, there could be a different capital market reaction between banks and insurance companies</w:t>
      </w:r>
      <w:r w:rsidR="00E30E28" w:rsidRPr="00DA0DCD">
        <w:rPr>
          <w:lang w:val="en-US"/>
        </w:rPr>
        <w:t>.</w:t>
      </w:r>
    </w:p>
    <w:p w:rsidR="00847C53" w:rsidRPr="00DA0DCD" w:rsidRDefault="00847C53" w:rsidP="00847C53">
      <w:pPr>
        <w:pStyle w:val="Kop2"/>
        <w:numPr>
          <w:ilvl w:val="1"/>
          <w:numId w:val="14"/>
        </w:numPr>
        <w:rPr>
          <w:lang w:val="en-US"/>
        </w:rPr>
      </w:pPr>
      <w:bookmarkStart w:id="44" w:name="_Toc270770581"/>
      <w:r w:rsidRPr="00DA0DCD">
        <w:rPr>
          <w:lang w:val="en-US"/>
        </w:rPr>
        <w:t>Economic consequences of reclassification option (Europe) and relaxation (US)</w:t>
      </w:r>
      <w:bookmarkEnd w:id="44"/>
    </w:p>
    <w:p w:rsidR="00847C53" w:rsidRPr="00DA0DCD" w:rsidRDefault="00847C53" w:rsidP="00082CB0">
      <w:pPr>
        <w:rPr>
          <w:color w:val="FF0000"/>
          <w:lang w:val="en-US"/>
        </w:rPr>
      </w:pPr>
      <w:r w:rsidRPr="00DA0DCD">
        <w:rPr>
          <w:lang w:val="en-US"/>
        </w:rPr>
        <w:t xml:space="preserve">The economic consequences of FVA during a crisis came at the attention of governments. As described above, the IASB </w:t>
      </w:r>
      <w:r w:rsidR="006432B1">
        <w:rPr>
          <w:lang w:val="en-US"/>
        </w:rPr>
        <w:t>had been</w:t>
      </w:r>
      <w:r w:rsidRPr="00DA0DCD">
        <w:rPr>
          <w:lang w:val="en-US"/>
        </w:rPr>
        <w:t xml:space="preserve"> asked to change standard IAS 39. The focus of this paper lies on the economic consequences of the introduction of the reclassification option under IAS 39 on the capital market in Europe</w:t>
      </w:r>
      <w:r w:rsidR="006432B1">
        <w:rPr>
          <w:lang w:val="en-US"/>
        </w:rPr>
        <w:t>.</w:t>
      </w:r>
      <w:r w:rsidRPr="00DA0DCD">
        <w:rPr>
          <w:lang w:val="en-US"/>
        </w:rPr>
        <w:t xml:space="preserve"> </w:t>
      </w:r>
      <w:r w:rsidR="006432B1">
        <w:rPr>
          <w:lang w:val="en-US"/>
        </w:rPr>
        <w:t>T</w:t>
      </w:r>
      <w:r w:rsidRPr="00DA0DCD">
        <w:rPr>
          <w:lang w:val="en-US"/>
        </w:rPr>
        <w:t xml:space="preserve">his </w:t>
      </w:r>
      <w:r w:rsidR="006432B1">
        <w:rPr>
          <w:lang w:val="en-US"/>
        </w:rPr>
        <w:t xml:space="preserve">has not </w:t>
      </w:r>
      <w:r w:rsidRPr="00DA0DCD">
        <w:rPr>
          <w:lang w:val="en-US"/>
        </w:rPr>
        <w:t xml:space="preserve">yet been researched. There </w:t>
      </w:r>
      <w:r w:rsidR="00BA7203" w:rsidRPr="00DA0DCD">
        <w:rPr>
          <w:lang w:val="en-US"/>
        </w:rPr>
        <w:t>has been research</w:t>
      </w:r>
      <w:r w:rsidRPr="00DA0DCD">
        <w:rPr>
          <w:lang w:val="en-US"/>
        </w:rPr>
        <w:t xml:space="preserve"> done on the economic consequences of the reclassification behavior of banks. Paananen et al. (2009) researched the determinants of the reclassification decisions of financial instruments by banks under the amendment of IAS 39 and consequences of reclassifications for the capital market. They find, using a </w:t>
      </w:r>
      <w:r w:rsidR="00B02F8D" w:rsidRPr="00DA0DCD">
        <w:rPr>
          <w:lang w:val="en-US"/>
        </w:rPr>
        <w:t xml:space="preserve">cross-sectional model and a </w:t>
      </w:r>
      <w:r w:rsidRPr="00DA0DCD">
        <w:rPr>
          <w:lang w:val="en-US"/>
        </w:rPr>
        <w:t xml:space="preserve">worldwide sample of </w:t>
      </w:r>
      <w:r w:rsidR="00BA7203">
        <w:rPr>
          <w:lang w:val="en-US"/>
        </w:rPr>
        <w:t>98 reclassifying companies</w:t>
      </w:r>
      <w:r w:rsidR="00655AE0" w:rsidRPr="00DA0DCD">
        <w:rPr>
          <w:lang w:val="en-US"/>
        </w:rPr>
        <w:t xml:space="preserve"> and 209 non-</w:t>
      </w:r>
      <w:r w:rsidR="00BA7203">
        <w:rPr>
          <w:lang w:val="en-US"/>
        </w:rPr>
        <w:t>reclassifying companies</w:t>
      </w:r>
      <w:r w:rsidR="00655AE0" w:rsidRPr="00DA0DCD">
        <w:rPr>
          <w:lang w:val="en-US"/>
        </w:rPr>
        <w:t xml:space="preserve"> (banks)</w:t>
      </w:r>
      <w:r w:rsidRPr="00DA0DCD">
        <w:rPr>
          <w:lang w:val="en-US"/>
        </w:rPr>
        <w:t xml:space="preserve">, that the majority of the sample did not reclassify their financial instruments. Their findings also indicate the banks that use the reclassification option had high level of financial instruments measured at fair value. Hence, large banks are more inclined to reclassify their financial instruments compared to small banks. There was no sign that banks reclassify because of low capital adequacy levels. This indicates that illiquidity is the main driver to reclassify. The </w:t>
      </w:r>
      <w:r w:rsidR="004F1C11" w:rsidRPr="00DA0DCD">
        <w:rPr>
          <w:lang w:val="en-US"/>
        </w:rPr>
        <w:t xml:space="preserve">reaction of the capital market </w:t>
      </w:r>
      <w:r w:rsidRPr="00DA0DCD">
        <w:rPr>
          <w:lang w:val="en-US"/>
        </w:rPr>
        <w:t xml:space="preserve">was an increase in reliance of reported earnings after reclassification and a decrease in reliance </w:t>
      </w:r>
      <w:r w:rsidR="00BA7203">
        <w:rPr>
          <w:lang w:val="en-US"/>
        </w:rPr>
        <w:t>on earnings of non-reclassifying banks</w:t>
      </w:r>
      <w:r w:rsidRPr="00DA0DCD">
        <w:rPr>
          <w:lang w:val="en-US"/>
        </w:rPr>
        <w:t>. Paananen et al.(2009) argued that despite the</w:t>
      </w:r>
      <w:r w:rsidR="004F1C11" w:rsidRPr="00DA0DCD">
        <w:rPr>
          <w:lang w:val="en-US"/>
        </w:rPr>
        <w:t xml:space="preserve"> increase of</w:t>
      </w:r>
      <w:r w:rsidRPr="00DA0DCD">
        <w:rPr>
          <w:lang w:val="en-US"/>
        </w:rPr>
        <w:t xml:space="preserve"> relia</w:t>
      </w:r>
      <w:r w:rsidR="00BA7203">
        <w:rPr>
          <w:lang w:val="en-US"/>
        </w:rPr>
        <w:t>nce on earnings of reclassifying banks</w:t>
      </w:r>
      <w:r w:rsidRPr="00DA0DCD">
        <w:rPr>
          <w:lang w:val="en-US"/>
        </w:rPr>
        <w:t xml:space="preserve"> , investors finds fair values more relevant, also during a financial crisis. Because</w:t>
      </w:r>
      <w:r w:rsidR="004F1C11" w:rsidRPr="00DA0DCD">
        <w:rPr>
          <w:lang w:val="en-US"/>
        </w:rPr>
        <w:t xml:space="preserve"> the</w:t>
      </w:r>
      <w:r w:rsidR="00251488" w:rsidRPr="00DA0DCD">
        <w:rPr>
          <w:lang w:val="en-US"/>
        </w:rPr>
        <w:t>y find that the</w:t>
      </w:r>
      <w:r w:rsidRPr="00DA0DCD">
        <w:rPr>
          <w:lang w:val="en-US"/>
        </w:rPr>
        <w:t xml:space="preserve"> reliance of investors on the earnings of non-r</w:t>
      </w:r>
      <w:r w:rsidR="00BA7203">
        <w:rPr>
          <w:lang w:val="en-US"/>
        </w:rPr>
        <w:t>eclassifying banks</w:t>
      </w:r>
      <w:r w:rsidR="00251488" w:rsidRPr="00DA0DCD">
        <w:rPr>
          <w:lang w:val="en-US"/>
        </w:rPr>
        <w:t xml:space="preserve"> was</w:t>
      </w:r>
      <w:r w:rsidRPr="00DA0DCD">
        <w:rPr>
          <w:lang w:val="en-US"/>
        </w:rPr>
        <w:t xml:space="preserve"> still </w:t>
      </w:r>
      <w:r w:rsidR="004F1C11" w:rsidRPr="00DA0DCD">
        <w:rPr>
          <w:lang w:val="en-US"/>
        </w:rPr>
        <w:t>significantly larger</w:t>
      </w:r>
      <w:r w:rsidRPr="00DA0DCD">
        <w:rPr>
          <w:lang w:val="en-US"/>
        </w:rPr>
        <w:t>.</w:t>
      </w:r>
      <w:r w:rsidR="00251488" w:rsidRPr="00DA0DCD">
        <w:rPr>
          <w:lang w:val="en-US"/>
        </w:rPr>
        <w:t xml:space="preserve"> </w:t>
      </w:r>
      <w:r w:rsidRPr="00DA0DCD">
        <w:rPr>
          <w:lang w:val="en-US"/>
        </w:rPr>
        <w:t xml:space="preserve">Kholmy and Ernstberger (2010) also researched the economic consequences of the reclassification option under IAS 39. They researched the consequences and determinants of the reclassification of financial instruments from fair value categories to </w:t>
      </w:r>
      <w:r w:rsidR="00BA7203" w:rsidRPr="00DA0DCD">
        <w:rPr>
          <w:lang w:val="en-US"/>
        </w:rPr>
        <w:t>categories</w:t>
      </w:r>
      <w:r w:rsidRPr="00DA0DCD">
        <w:rPr>
          <w:lang w:val="en-US"/>
        </w:rPr>
        <w:t xml:space="preserve"> measured at amortized costs by banks.</w:t>
      </w:r>
      <w:r w:rsidR="00082CB0" w:rsidRPr="00DA0DCD">
        <w:rPr>
          <w:lang w:val="en-US"/>
        </w:rPr>
        <w:t xml:space="preserve"> Using a cross sectional analyses of  a sample of 101 banks over 15 European countries, t</w:t>
      </w:r>
      <w:r w:rsidRPr="00DA0DCD">
        <w:rPr>
          <w:lang w:val="en-US"/>
        </w:rPr>
        <w:t xml:space="preserve">hey find that the use of the reclassification option is influenced by the size, profitability, analyst coverage and law tradition of the home country. </w:t>
      </w:r>
      <w:r w:rsidR="00BA7203">
        <w:rPr>
          <w:lang w:val="en-US"/>
        </w:rPr>
        <w:t>Hence</w:t>
      </w:r>
      <w:r w:rsidRPr="00DA0DCD">
        <w:rPr>
          <w:lang w:val="en-US"/>
        </w:rPr>
        <w:t xml:space="preserve">, they find some evidence that </w:t>
      </w:r>
      <w:r w:rsidR="00A731A4" w:rsidRPr="00DA0DCD">
        <w:rPr>
          <w:lang w:val="en-US"/>
        </w:rPr>
        <w:t>banks, which use the reclassification option,</w:t>
      </w:r>
      <w:r w:rsidRPr="00DA0DCD">
        <w:rPr>
          <w:lang w:val="en-US"/>
        </w:rPr>
        <w:t xml:space="preserve"> face higher bid and ask spreads after the</w:t>
      </w:r>
      <w:r w:rsidR="00082CB0" w:rsidRPr="00DA0DCD">
        <w:rPr>
          <w:lang w:val="en-US"/>
        </w:rPr>
        <w:t xml:space="preserve"> publication of their decision.</w:t>
      </w:r>
      <w:r w:rsidR="00623F91" w:rsidRPr="00DA0DCD">
        <w:rPr>
          <w:lang w:val="en-US"/>
        </w:rPr>
        <w:t xml:space="preserve"> </w:t>
      </w:r>
      <w:r w:rsidR="00EC40BD" w:rsidRPr="00DA0DCD">
        <w:rPr>
          <w:lang w:val="en-US"/>
        </w:rPr>
        <w:t xml:space="preserve">Further on, </w:t>
      </w:r>
      <w:r w:rsidR="00082CB0" w:rsidRPr="00DA0DCD">
        <w:rPr>
          <w:lang w:val="en-US"/>
        </w:rPr>
        <w:t xml:space="preserve">Fiechter and Unger (2009) </w:t>
      </w:r>
      <w:r w:rsidR="00EC40BD" w:rsidRPr="00DA0DCD">
        <w:rPr>
          <w:lang w:val="en-US"/>
        </w:rPr>
        <w:t>examine the influence of the amendment on the financial statements of 219 European banks. They define the variables: change in gain</w:t>
      </w:r>
      <w:r w:rsidR="00DA5CF9" w:rsidRPr="00DA0DCD">
        <w:rPr>
          <w:lang w:val="en-US"/>
        </w:rPr>
        <w:t>s</w:t>
      </w:r>
      <w:r w:rsidR="00EC40BD" w:rsidRPr="00DA0DCD">
        <w:rPr>
          <w:lang w:val="en-US"/>
        </w:rPr>
        <w:t xml:space="preserve"> and loss</w:t>
      </w:r>
      <w:r w:rsidR="00DA5CF9" w:rsidRPr="00DA0DCD">
        <w:rPr>
          <w:lang w:val="en-US"/>
        </w:rPr>
        <w:t>es</w:t>
      </w:r>
      <w:r w:rsidR="00EC40BD" w:rsidRPr="00DA0DCD">
        <w:rPr>
          <w:lang w:val="en-US"/>
        </w:rPr>
        <w:t xml:space="preserve">, change in other comprehensive income, net income divided by total assets (ROA) and net income divided by book value of equity (ROE). Their </w:t>
      </w:r>
      <w:r w:rsidR="00A731A4" w:rsidRPr="00DA0DCD">
        <w:rPr>
          <w:lang w:val="en-US"/>
        </w:rPr>
        <w:t>results indicate</w:t>
      </w:r>
      <w:r w:rsidR="00DA5CF9" w:rsidRPr="00DA0DCD">
        <w:rPr>
          <w:lang w:val="en-US"/>
        </w:rPr>
        <w:t xml:space="preserve"> </w:t>
      </w:r>
      <w:r w:rsidR="00EC40BD" w:rsidRPr="00DA0DCD">
        <w:rPr>
          <w:lang w:val="en-US"/>
        </w:rPr>
        <w:t xml:space="preserve">that </w:t>
      </w:r>
      <w:r w:rsidR="00EC40BD" w:rsidRPr="00DA0DCD">
        <w:rPr>
          <w:lang w:val="en-US"/>
        </w:rPr>
        <w:lastRenderedPageBreak/>
        <w:t xml:space="preserve">approximately one-third of the sample banks take advantage of the reclassification opportunity. </w:t>
      </w:r>
      <w:r w:rsidR="00DA5CF9" w:rsidRPr="00DA0DCD">
        <w:rPr>
          <w:lang w:val="en-US"/>
        </w:rPr>
        <w:t xml:space="preserve">Next, they provide evidence that the </w:t>
      </w:r>
      <w:r w:rsidR="00B46DFF" w:rsidRPr="00DA0DCD">
        <w:rPr>
          <w:lang w:val="en-US"/>
        </w:rPr>
        <w:t>mean of the return on equity (R</w:t>
      </w:r>
      <w:r w:rsidR="00DA5CF9" w:rsidRPr="00DA0DCD">
        <w:rPr>
          <w:lang w:val="en-US"/>
        </w:rPr>
        <w:t>O</w:t>
      </w:r>
      <w:r w:rsidR="00B46DFF" w:rsidRPr="00DA0DCD">
        <w:rPr>
          <w:lang w:val="en-US"/>
        </w:rPr>
        <w:t>E</w:t>
      </w:r>
      <w:r w:rsidR="00DA5CF9" w:rsidRPr="00DA0DCD">
        <w:rPr>
          <w:lang w:val="en-US"/>
        </w:rPr>
        <w:t xml:space="preserve">) ratio changed </w:t>
      </w:r>
      <w:r w:rsidR="000345FD" w:rsidRPr="00DA0DCD">
        <w:rPr>
          <w:lang w:val="en-US"/>
        </w:rPr>
        <w:t>from</w:t>
      </w:r>
      <w:r w:rsidR="00DA5CF9" w:rsidRPr="00DA0DCD">
        <w:rPr>
          <w:lang w:val="en-US"/>
        </w:rPr>
        <w:t xml:space="preserve"> negative ROE of -1,4% to a positive ROE of 1,3%. This means that the reclassification of financial instruments on average had a positive effect on</w:t>
      </w:r>
      <w:r w:rsidR="00623F91" w:rsidRPr="00DA0DCD">
        <w:rPr>
          <w:lang w:val="en-US"/>
        </w:rPr>
        <w:t xml:space="preserve"> the financial statements of</w:t>
      </w:r>
      <w:r w:rsidR="00DA5CF9" w:rsidRPr="00DA0DCD">
        <w:rPr>
          <w:lang w:val="en-US"/>
        </w:rPr>
        <w:t xml:space="preserve"> European banks within the sample.</w:t>
      </w:r>
      <w:r w:rsidR="00623F91" w:rsidRPr="00DA0DCD">
        <w:rPr>
          <w:lang w:val="en-US"/>
        </w:rPr>
        <w:t xml:space="preserve"> </w:t>
      </w:r>
      <w:r w:rsidR="00623F91" w:rsidRPr="00DA0DCD">
        <w:rPr>
          <w:lang w:val="en-US"/>
        </w:rPr>
        <w:br/>
      </w:r>
      <w:r w:rsidRPr="00DA0DCD">
        <w:rPr>
          <w:lang w:val="en-US"/>
        </w:rPr>
        <w:t>As a conclusion, illiquidity seems the main driver for the reclassification of financial instruments by banks and investors rely more on earnings of reclassif</w:t>
      </w:r>
      <w:r w:rsidR="00A731A4">
        <w:rPr>
          <w:lang w:val="en-US"/>
        </w:rPr>
        <w:t>ying banks</w:t>
      </w:r>
      <w:r w:rsidRPr="00DA0DCD">
        <w:rPr>
          <w:lang w:val="en-US"/>
        </w:rPr>
        <w:t xml:space="preserve">. </w:t>
      </w:r>
      <w:r w:rsidR="00A731A4" w:rsidRPr="00DA0DCD">
        <w:rPr>
          <w:lang w:val="en-US"/>
        </w:rPr>
        <w:t>However,</w:t>
      </w:r>
      <w:r w:rsidRPr="00DA0DCD">
        <w:rPr>
          <w:lang w:val="en-US"/>
        </w:rPr>
        <w:t xml:space="preserve"> fair value seems more value relevant even during a financial crisis. The decision of banks to reclassify is influenced by size, profitability, analyst coverage and law tradition. </w:t>
      </w:r>
      <w:r w:rsidR="00623F91" w:rsidRPr="00DA0DCD">
        <w:rPr>
          <w:lang w:val="en-US"/>
        </w:rPr>
        <w:t>On average has the reclassification option a positive effect on the financial statements, and therefore the financial ratios, of banks.</w:t>
      </w:r>
    </w:p>
    <w:p w:rsidR="00C222E4" w:rsidRPr="00DA0DCD" w:rsidRDefault="00847C53" w:rsidP="00847C53">
      <w:pPr>
        <w:rPr>
          <w:lang w:val="en-US"/>
        </w:rPr>
      </w:pPr>
      <w:r w:rsidRPr="00DA0DCD">
        <w:rPr>
          <w:lang w:val="en-US"/>
        </w:rPr>
        <w:t xml:space="preserve">The idea for an event study on the introduction of a relaxation </w:t>
      </w:r>
      <w:r w:rsidR="00A731A4" w:rsidRPr="00DA0DCD">
        <w:rPr>
          <w:lang w:val="en-US"/>
        </w:rPr>
        <w:t xml:space="preserve">of an </w:t>
      </w:r>
      <w:r w:rsidR="00A731A4">
        <w:rPr>
          <w:lang w:val="en-US"/>
        </w:rPr>
        <w:t>accounting standard is not new.</w:t>
      </w:r>
      <w:r w:rsidRPr="00DA0DCD">
        <w:rPr>
          <w:lang w:val="en-US"/>
        </w:rPr>
        <w:t xml:space="preserve"> </w:t>
      </w:r>
      <w:r w:rsidR="00A731A4">
        <w:rPr>
          <w:lang w:val="en-US"/>
        </w:rPr>
        <w:t>A</w:t>
      </w:r>
      <w:r w:rsidRPr="00DA0DCD">
        <w:rPr>
          <w:lang w:val="en-US"/>
        </w:rPr>
        <w:t>s described above</w:t>
      </w:r>
      <w:r w:rsidR="00A731A4">
        <w:rPr>
          <w:lang w:val="en-US"/>
        </w:rPr>
        <w:t>,</w:t>
      </w:r>
      <w:r w:rsidRPr="00DA0DCD">
        <w:rPr>
          <w:lang w:val="en-US"/>
        </w:rPr>
        <w:t xml:space="preserve"> there has been research focused on the market reaction of the announcement and adoption of FVA. There is also a recent research available that examines market reactions on the pronouncements of FVA relaxation. In the US, Bowen et al. (2010) examined the economic consequences of events during the financial crisis of 2008 and </w:t>
      </w:r>
      <w:r w:rsidR="00A731A4" w:rsidRPr="00DA0DCD">
        <w:rPr>
          <w:lang w:val="en-US"/>
        </w:rPr>
        <w:t>2009, which</w:t>
      </w:r>
      <w:r w:rsidRPr="00DA0DCD">
        <w:rPr>
          <w:lang w:val="en-US"/>
        </w:rPr>
        <w:t xml:space="preserve"> increased or decreased the possibility of relaxing FVA</w:t>
      </w:r>
      <w:r w:rsidR="00605F94" w:rsidRPr="00DA0DCD">
        <w:rPr>
          <w:lang w:val="en-US"/>
        </w:rPr>
        <w:t xml:space="preserve"> standard including impairment rules</w:t>
      </w:r>
      <w:r w:rsidRPr="00DA0DCD">
        <w:rPr>
          <w:lang w:val="en-US"/>
        </w:rPr>
        <w:t xml:space="preserve">, on the US stock market. Using </w:t>
      </w:r>
      <w:r w:rsidR="00C222E4" w:rsidRPr="00DA0DCD">
        <w:rPr>
          <w:lang w:val="en-US"/>
        </w:rPr>
        <w:t>the following</w:t>
      </w:r>
      <w:r w:rsidRPr="00DA0DCD">
        <w:rPr>
          <w:lang w:val="en-US"/>
        </w:rPr>
        <w:t xml:space="preserve"> two-factor mo</w:t>
      </w:r>
      <w:r w:rsidR="00C222E4" w:rsidRPr="00DA0DCD">
        <w:rPr>
          <w:lang w:val="en-US"/>
        </w:rPr>
        <w:t>del:</w:t>
      </w:r>
    </w:p>
    <w:p w:rsidR="00C222E4" w:rsidRPr="00A731A4" w:rsidRDefault="00C222E4" w:rsidP="00C222E4">
      <w:pPr>
        <w:autoSpaceDE w:val="0"/>
        <w:autoSpaceDN w:val="0"/>
        <w:adjustRightInd w:val="0"/>
        <w:spacing w:after="0" w:line="240" w:lineRule="auto"/>
        <w:rPr>
          <w:rFonts w:cs="Times New Roman"/>
          <w:lang w:val="en-US"/>
        </w:rPr>
      </w:pPr>
      <w:r w:rsidRPr="00A731A4">
        <w:rPr>
          <w:rFonts w:cs="Times New Roman"/>
          <w:lang w:val="en-US"/>
        </w:rPr>
        <w:t>RET</w:t>
      </w:r>
      <w:r w:rsidRPr="00A731A4">
        <w:rPr>
          <w:rFonts w:cs="Times New Roman"/>
          <w:sz w:val="14"/>
          <w:szCs w:val="14"/>
          <w:lang w:val="en-US"/>
        </w:rPr>
        <w:t xml:space="preserve">it </w:t>
      </w:r>
      <w:r w:rsidRPr="00A731A4">
        <w:rPr>
          <w:rFonts w:cs="Times New Roman"/>
          <w:lang w:val="en-US"/>
        </w:rPr>
        <w:t>= α</w:t>
      </w:r>
      <w:r w:rsidRPr="00A731A4">
        <w:rPr>
          <w:rFonts w:cs="Times New Roman"/>
          <w:sz w:val="14"/>
          <w:szCs w:val="14"/>
          <w:lang w:val="en-US"/>
        </w:rPr>
        <w:t xml:space="preserve">0 </w:t>
      </w:r>
      <w:r w:rsidRPr="00A731A4">
        <w:rPr>
          <w:rFonts w:cs="Times New Roman"/>
          <w:lang w:val="en-US"/>
        </w:rPr>
        <w:t>+ β</w:t>
      </w:r>
      <w:r w:rsidRPr="00A731A4">
        <w:rPr>
          <w:rFonts w:cs="Times New Roman"/>
          <w:sz w:val="14"/>
          <w:szCs w:val="14"/>
          <w:lang w:val="en-US"/>
        </w:rPr>
        <w:t xml:space="preserve">1 </w:t>
      </w:r>
      <w:r w:rsidRPr="00A731A4">
        <w:rPr>
          <w:rFonts w:cs="Times New Roman"/>
          <w:lang w:val="en-US"/>
        </w:rPr>
        <w:t>Mkt_Ret</w:t>
      </w:r>
      <w:r w:rsidRPr="00A731A4">
        <w:rPr>
          <w:rFonts w:cs="Times New Roman"/>
          <w:sz w:val="14"/>
          <w:szCs w:val="14"/>
          <w:lang w:val="en-US"/>
        </w:rPr>
        <w:t xml:space="preserve">t </w:t>
      </w:r>
      <w:r w:rsidRPr="00A731A4">
        <w:rPr>
          <w:rFonts w:cs="Times New Roman"/>
          <w:lang w:val="en-US"/>
        </w:rPr>
        <w:t>+ γ</w:t>
      </w:r>
      <w:r w:rsidRPr="00A731A4">
        <w:rPr>
          <w:rFonts w:cs="Times New Roman"/>
          <w:sz w:val="14"/>
          <w:szCs w:val="14"/>
          <w:lang w:val="en-US"/>
        </w:rPr>
        <w:t xml:space="preserve">1 </w:t>
      </w:r>
      <w:r w:rsidRPr="00A731A4">
        <w:rPr>
          <w:rFonts w:cs="Times New Roman"/>
          <w:lang w:val="en-US"/>
        </w:rPr>
        <w:t>ΔT-Bill</w:t>
      </w:r>
      <w:r w:rsidRPr="00A731A4">
        <w:rPr>
          <w:rFonts w:cs="Times New Roman"/>
          <w:sz w:val="14"/>
          <w:szCs w:val="14"/>
          <w:lang w:val="en-US"/>
        </w:rPr>
        <w:t xml:space="preserve">t </w:t>
      </w:r>
      <w:r w:rsidRPr="00A731A4">
        <w:rPr>
          <w:rFonts w:cs="Times New Roman"/>
          <w:lang w:val="en-US"/>
        </w:rPr>
        <w:t>+ δ</w:t>
      </w:r>
      <w:r w:rsidRPr="00A731A4">
        <w:rPr>
          <w:rFonts w:cs="Times New Roman"/>
          <w:sz w:val="14"/>
          <w:szCs w:val="14"/>
          <w:lang w:val="en-US"/>
        </w:rPr>
        <w:t xml:space="preserve">1 </w:t>
      </w:r>
      <w:r w:rsidRPr="00A731A4">
        <w:rPr>
          <w:rFonts w:cs="Times New Roman"/>
          <w:lang w:val="en-US"/>
        </w:rPr>
        <w:t>FV_Window</w:t>
      </w:r>
      <w:r w:rsidRPr="00A731A4">
        <w:rPr>
          <w:rFonts w:cs="Times New Roman"/>
          <w:sz w:val="14"/>
          <w:szCs w:val="14"/>
          <w:lang w:val="en-US"/>
        </w:rPr>
        <w:t xml:space="preserve">t </w:t>
      </w:r>
      <w:r w:rsidRPr="00A731A4">
        <w:rPr>
          <w:rFonts w:cs="Times New Roman"/>
          <w:lang w:val="en-US"/>
        </w:rPr>
        <w:t>+ ε</w:t>
      </w:r>
      <w:r w:rsidRPr="00A731A4">
        <w:rPr>
          <w:rFonts w:cs="Times New Roman"/>
          <w:sz w:val="14"/>
          <w:szCs w:val="14"/>
          <w:lang w:val="en-US"/>
        </w:rPr>
        <w:t xml:space="preserve">it </w:t>
      </w:r>
      <w:r w:rsidR="00A365AA" w:rsidRPr="00A731A4">
        <w:rPr>
          <w:rFonts w:cs="Times New Roman"/>
          <w:sz w:val="14"/>
          <w:szCs w:val="14"/>
          <w:lang w:val="en-US"/>
        </w:rPr>
        <w:tab/>
      </w:r>
      <w:r w:rsidR="00A365AA" w:rsidRPr="00A731A4">
        <w:rPr>
          <w:rFonts w:cs="Times New Roman"/>
          <w:sz w:val="14"/>
          <w:szCs w:val="14"/>
          <w:lang w:val="en-US"/>
        </w:rPr>
        <w:tab/>
      </w:r>
      <w:r w:rsidR="00A365AA" w:rsidRPr="00A731A4">
        <w:rPr>
          <w:rFonts w:cs="Times New Roman"/>
          <w:lang w:val="en-US"/>
        </w:rPr>
        <w:t>(4.3)</w:t>
      </w:r>
    </w:p>
    <w:p w:rsidR="00C222E4" w:rsidRPr="00DA0DCD" w:rsidRDefault="00C222E4" w:rsidP="00C222E4">
      <w:pPr>
        <w:autoSpaceDE w:val="0"/>
        <w:autoSpaceDN w:val="0"/>
        <w:adjustRightInd w:val="0"/>
        <w:spacing w:after="0" w:line="240" w:lineRule="auto"/>
        <w:rPr>
          <w:rFonts w:ascii="TimesNewRomanPSMT" w:hAnsi="TimesNewRomanPSMT" w:cs="TimesNewRomanPSMT"/>
          <w:lang w:val="en-US"/>
        </w:rPr>
      </w:pPr>
    </w:p>
    <w:p w:rsidR="00C222E4" w:rsidRPr="00DA0DCD" w:rsidRDefault="00C222E4" w:rsidP="00C222E4">
      <w:pPr>
        <w:pStyle w:val="Geenafstand"/>
        <w:rPr>
          <w:lang w:val="en-US"/>
        </w:rPr>
      </w:pPr>
      <w:r w:rsidRPr="00DA0DCD">
        <w:rPr>
          <w:lang w:val="en-US"/>
        </w:rPr>
        <w:t>Where</w:t>
      </w:r>
      <w:r w:rsidR="005354D2" w:rsidRPr="00DA0DCD">
        <w:rPr>
          <w:lang w:val="en-US"/>
        </w:rPr>
        <w:t>:</w:t>
      </w:r>
    </w:p>
    <w:p w:rsidR="00C222E4" w:rsidRPr="001E3A86" w:rsidRDefault="00C222E4" w:rsidP="005354D2">
      <w:pPr>
        <w:pStyle w:val="Geenafstand"/>
        <w:rPr>
          <w:lang w:val="en-US"/>
        </w:rPr>
      </w:pPr>
      <w:r w:rsidRPr="001E3A86">
        <w:rPr>
          <w:rFonts w:cs="TimesNewRomanPSMT"/>
          <w:lang w:val="en-US"/>
        </w:rPr>
        <w:t>RET</w:t>
      </w:r>
      <w:r w:rsidRPr="001E3A86">
        <w:rPr>
          <w:rFonts w:cs="TimesNewRomanPSMT"/>
          <w:sz w:val="14"/>
          <w:szCs w:val="14"/>
          <w:lang w:val="en-US"/>
        </w:rPr>
        <w:t xml:space="preserve">it </w:t>
      </w:r>
      <w:r w:rsidR="005354D2" w:rsidRPr="001E3A86">
        <w:rPr>
          <w:rFonts w:cs="TimesNewRomanPSMT"/>
          <w:sz w:val="14"/>
          <w:szCs w:val="14"/>
          <w:lang w:val="en-US"/>
        </w:rPr>
        <w:tab/>
      </w:r>
      <w:r w:rsidR="005354D2" w:rsidRPr="001E3A86">
        <w:rPr>
          <w:rFonts w:cs="TimesNewRomanPSMT"/>
          <w:sz w:val="14"/>
          <w:szCs w:val="14"/>
          <w:lang w:val="en-US"/>
        </w:rPr>
        <w:tab/>
      </w:r>
      <w:r w:rsidRPr="001E3A86">
        <w:rPr>
          <w:lang w:val="en-US"/>
        </w:rPr>
        <w:t xml:space="preserve">= daily stock return for </w:t>
      </w:r>
      <w:r w:rsidR="005354D2" w:rsidRPr="001E3A86">
        <w:rPr>
          <w:lang w:val="en-US"/>
        </w:rPr>
        <w:t xml:space="preserve">bank </w:t>
      </w:r>
      <w:r w:rsidR="00591B41" w:rsidRPr="001E3A86">
        <w:rPr>
          <w:lang w:val="en-US"/>
        </w:rPr>
        <w:t>i</w:t>
      </w:r>
      <w:r w:rsidR="005354D2" w:rsidRPr="001E3A86">
        <w:rPr>
          <w:lang w:val="en-US"/>
        </w:rPr>
        <w:t>;</w:t>
      </w:r>
    </w:p>
    <w:p w:rsidR="00C222E4" w:rsidRPr="001E3A86" w:rsidRDefault="00C222E4" w:rsidP="005354D2">
      <w:pPr>
        <w:pStyle w:val="Geenafstand"/>
        <w:rPr>
          <w:lang w:val="en-US"/>
        </w:rPr>
      </w:pPr>
      <w:r w:rsidRPr="001E3A86">
        <w:rPr>
          <w:lang w:val="en-US"/>
        </w:rPr>
        <w:t>Mkt_Ret</w:t>
      </w:r>
      <w:r w:rsidRPr="001E3A86">
        <w:rPr>
          <w:sz w:val="14"/>
          <w:szCs w:val="14"/>
          <w:lang w:val="en-US"/>
        </w:rPr>
        <w:t xml:space="preserve">t </w:t>
      </w:r>
      <w:r w:rsidR="005354D2" w:rsidRPr="001E3A86">
        <w:rPr>
          <w:sz w:val="14"/>
          <w:szCs w:val="14"/>
          <w:lang w:val="en-US"/>
        </w:rPr>
        <w:tab/>
      </w:r>
      <w:r w:rsidRPr="001E3A86">
        <w:rPr>
          <w:lang w:val="en-US"/>
        </w:rPr>
        <w:t>= equally-weighted daily</w:t>
      </w:r>
      <w:r w:rsidR="005354D2" w:rsidRPr="001E3A86">
        <w:rPr>
          <w:lang w:val="en-US"/>
        </w:rPr>
        <w:t xml:space="preserve"> index return;</w:t>
      </w:r>
    </w:p>
    <w:p w:rsidR="00C222E4" w:rsidRPr="001E3A86" w:rsidRDefault="00C222E4" w:rsidP="005354D2">
      <w:pPr>
        <w:pStyle w:val="Geenafstand"/>
        <w:rPr>
          <w:lang w:val="en-US"/>
        </w:rPr>
      </w:pPr>
      <w:r w:rsidRPr="001E3A86">
        <w:rPr>
          <w:lang w:val="en-US"/>
        </w:rPr>
        <w:t>ΔT-Bill</w:t>
      </w:r>
      <w:r w:rsidRPr="001E3A86">
        <w:rPr>
          <w:sz w:val="14"/>
          <w:szCs w:val="14"/>
          <w:lang w:val="en-US"/>
        </w:rPr>
        <w:t xml:space="preserve">t </w:t>
      </w:r>
      <w:r w:rsidR="005354D2" w:rsidRPr="001E3A86">
        <w:rPr>
          <w:sz w:val="14"/>
          <w:szCs w:val="14"/>
          <w:lang w:val="en-US"/>
        </w:rPr>
        <w:tab/>
      </w:r>
      <w:r w:rsidR="005354D2" w:rsidRPr="001E3A86">
        <w:rPr>
          <w:sz w:val="14"/>
          <w:szCs w:val="14"/>
          <w:lang w:val="en-US"/>
        </w:rPr>
        <w:tab/>
      </w:r>
      <w:r w:rsidRPr="001E3A86">
        <w:rPr>
          <w:lang w:val="en-US"/>
        </w:rPr>
        <w:t xml:space="preserve">= change in </w:t>
      </w:r>
      <w:r w:rsidR="005354D2" w:rsidRPr="001E3A86">
        <w:rPr>
          <w:lang w:val="en-US"/>
        </w:rPr>
        <w:t xml:space="preserve">the daily </w:t>
      </w:r>
      <w:r w:rsidRPr="001E3A86">
        <w:rPr>
          <w:lang w:val="en-US"/>
        </w:rPr>
        <w:t>3-month Trea</w:t>
      </w:r>
      <w:r w:rsidR="005354D2" w:rsidRPr="001E3A86">
        <w:rPr>
          <w:lang w:val="en-US"/>
        </w:rPr>
        <w:t>sury bill secondary market rate;</w:t>
      </w:r>
    </w:p>
    <w:p w:rsidR="00C222E4" w:rsidRPr="001E3A86" w:rsidRDefault="00C222E4" w:rsidP="005354D2">
      <w:pPr>
        <w:pStyle w:val="Geenafstand"/>
        <w:rPr>
          <w:lang w:val="en-US"/>
        </w:rPr>
      </w:pPr>
      <w:r w:rsidRPr="001E3A86">
        <w:rPr>
          <w:lang w:val="en-US"/>
        </w:rPr>
        <w:t>FV_Window</w:t>
      </w:r>
      <w:r w:rsidRPr="001E3A86">
        <w:rPr>
          <w:sz w:val="14"/>
          <w:szCs w:val="14"/>
          <w:lang w:val="en-US"/>
        </w:rPr>
        <w:t>t</w:t>
      </w:r>
      <w:r w:rsidRPr="001E3A86">
        <w:rPr>
          <w:szCs w:val="14"/>
          <w:lang w:val="en-US"/>
        </w:rPr>
        <w:t xml:space="preserve"> </w:t>
      </w:r>
      <w:r w:rsidR="005354D2" w:rsidRPr="001E3A86">
        <w:rPr>
          <w:szCs w:val="14"/>
          <w:lang w:val="en-US"/>
        </w:rPr>
        <w:tab/>
      </w:r>
      <w:r w:rsidRPr="001E3A86">
        <w:rPr>
          <w:lang w:val="en-US"/>
        </w:rPr>
        <w:t>= indicator variables that allow for mean shifts in returns o</w:t>
      </w:r>
      <w:r w:rsidR="00591B41" w:rsidRPr="001E3A86">
        <w:rPr>
          <w:lang w:val="en-US"/>
        </w:rPr>
        <w:t>n event days;</w:t>
      </w:r>
    </w:p>
    <w:p w:rsidR="005354D2" w:rsidRPr="001E3A86" w:rsidRDefault="005354D2" w:rsidP="005354D2">
      <w:pPr>
        <w:pStyle w:val="Geenafstand"/>
        <w:rPr>
          <w:lang w:val="en-US"/>
        </w:rPr>
      </w:pPr>
      <w:r w:rsidRPr="001E3A86">
        <w:rPr>
          <w:rFonts w:cs="Times New Roman"/>
          <w:lang w:val="en-US"/>
        </w:rPr>
        <w:t>α</w:t>
      </w:r>
      <w:r w:rsidRPr="001E3A86">
        <w:rPr>
          <w:rFonts w:cs="Times New Roman"/>
          <w:sz w:val="14"/>
          <w:szCs w:val="14"/>
          <w:lang w:val="en-US"/>
        </w:rPr>
        <w:t xml:space="preserve">0, </w:t>
      </w:r>
      <w:r w:rsidRPr="001E3A86">
        <w:rPr>
          <w:rFonts w:cs="Times New Roman"/>
          <w:lang w:val="en-US"/>
        </w:rPr>
        <w:t>β</w:t>
      </w:r>
      <w:r w:rsidRPr="001E3A86">
        <w:rPr>
          <w:rFonts w:cs="Times New Roman"/>
          <w:sz w:val="14"/>
          <w:szCs w:val="14"/>
          <w:lang w:val="en-US"/>
        </w:rPr>
        <w:t>1</w:t>
      </w:r>
      <w:r w:rsidRPr="001E3A86">
        <w:rPr>
          <w:rFonts w:cs="Times New Roman"/>
          <w:lang w:val="en-US"/>
        </w:rPr>
        <w:t>, γ</w:t>
      </w:r>
      <w:r w:rsidRPr="001E3A86">
        <w:rPr>
          <w:rFonts w:cs="Times New Roman"/>
          <w:sz w:val="14"/>
          <w:szCs w:val="14"/>
          <w:lang w:val="en-US"/>
        </w:rPr>
        <w:t xml:space="preserve"> 1</w:t>
      </w:r>
      <w:r w:rsidRPr="001E3A86">
        <w:rPr>
          <w:lang w:val="en-US"/>
        </w:rPr>
        <w:tab/>
        <w:t>= the coefficients of the regression model</w:t>
      </w:r>
      <w:r w:rsidR="00591B41" w:rsidRPr="001E3A86">
        <w:rPr>
          <w:lang w:val="en-US"/>
        </w:rPr>
        <w:t>;</w:t>
      </w:r>
    </w:p>
    <w:p w:rsidR="005354D2" w:rsidRPr="001E3A86" w:rsidRDefault="005354D2" w:rsidP="005354D2">
      <w:pPr>
        <w:pStyle w:val="Geenafstand"/>
        <w:rPr>
          <w:lang w:val="en-US"/>
        </w:rPr>
      </w:pPr>
      <w:r w:rsidRPr="001E3A86">
        <w:rPr>
          <w:rFonts w:cs="TimesNewRomanPSMT"/>
          <w:lang w:val="en-US"/>
        </w:rPr>
        <w:t>δ</w:t>
      </w:r>
      <w:r w:rsidRPr="001E3A86">
        <w:rPr>
          <w:rFonts w:cs="TimesNewRomanPSMT"/>
          <w:sz w:val="14"/>
          <w:szCs w:val="14"/>
          <w:lang w:val="en-US"/>
        </w:rPr>
        <w:t>1</w:t>
      </w:r>
      <w:r w:rsidRPr="001E3A86">
        <w:rPr>
          <w:rFonts w:cs="TimesNewRomanPSMT"/>
          <w:sz w:val="14"/>
          <w:szCs w:val="14"/>
          <w:lang w:val="en-US"/>
        </w:rPr>
        <w:tab/>
      </w:r>
      <w:r w:rsidRPr="001E3A86">
        <w:rPr>
          <w:rFonts w:cs="TimesNewRomanPSMT"/>
          <w:sz w:val="14"/>
          <w:szCs w:val="14"/>
          <w:lang w:val="en-US"/>
        </w:rPr>
        <w:tab/>
      </w:r>
      <w:r w:rsidRPr="001E3A86">
        <w:rPr>
          <w:rFonts w:cs="TimesNewRomanPSMT"/>
          <w:lang w:val="en-US"/>
        </w:rPr>
        <w:t>= effect of the events on banks</w:t>
      </w:r>
      <w:r w:rsidR="00591B41" w:rsidRPr="001E3A86">
        <w:rPr>
          <w:rFonts w:cs="TimesNewRomanPSMT"/>
          <w:lang w:val="en-US"/>
        </w:rPr>
        <w:t>;</w:t>
      </w:r>
    </w:p>
    <w:p w:rsidR="00C222E4" w:rsidRPr="001E3A86" w:rsidRDefault="005354D2" w:rsidP="00847C53">
      <w:pPr>
        <w:rPr>
          <w:lang w:val="en-US"/>
        </w:rPr>
      </w:pPr>
      <w:r w:rsidRPr="001E3A86">
        <w:rPr>
          <w:rFonts w:cs="Times New Roman"/>
          <w:lang w:val="en-US"/>
        </w:rPr>
        <w:t>ε</w:t>
      </w:r>
      <w:r w:rsidRPr="001E3A86">
        <w:rPr>
          <w:rFonts w:cs="Times New Roman"/>
          <w:sz w:val="14"/>
          <w:szCs w:val="14"/>
          <w:lang w:val="en-US"/>
        </w:rPr>
        <w:t>it</w:t>
      </w:r>
      <w:r w:rsidRPr="001E3A86">
        <w:rPr>
          <w:rFonts w:cs="Times New Roman"/>
          <w:sz w:val="14"/>
          <w:szCs w:val="14"/>
          <w:lang w:val="en-US"/>
        </w:rPr>
        <w:tab/>
      </w:r>
      <w:r w:rsidRPr="001E3A86">
        <w:rPr>
          <w:rFonts w:cs="Times New Roman"/>
          <w:sz w:val="14"/>
          <w:szCs w:val="14"/>
          <w:lang w:val="en-US"/>
        </w:rPr>
        <w:tab/>
      </w:r>
      <w:r w:rsidRPr="001E3A86">
        <w:rPr>
          <w:rFonts w:cs="Times New Roman"/>
          <w:lang w:val="en-US"/>
        </w:rPr>
        <w:t xml:space="preserve">= </w:t>
      </w:r>
      <w:r w:rsidR="00521732" w:rsidRPr="001E3A86">
        <w:rPr>
          <w:rFonts w:cs="Times New Roman"/>
          <w:lang w:val="en-US"/>
        </w:rPr>
        <w:t>error term</w:t>
      </w:r>
      <w:r w:rsidR="00591B41" w:rsidRPr="001E3A86">
        <w:rPr>
          <w:rFonts w:cs="Times New Roman"/>
          <w:lang w:val="en-US"/>
        </w:rPr>
        <w:t>.</w:t>
      </w:r>
    </w:p>
    <w:p w:rsidR="0060116B" w:rsidRPr="00DA0DCD" w:rsidRDefault="00521732" w:rsidP="00847C53">
      <w:pPr>
        <w:rPr>
          <w:lang w:val="en-US"/>
        </w:rPr>
      </w:pPr>
      <w:r w:rsidRPr="00A731A4">
        <w:rPr>
          <w:lang w:val="en-US"/>
        </w:rPr>
        <w:t>T</w:t>
      </w:r>
      <w:r w:rsidR="00847C53" w:rsidRPr="00A731A4">
        <w:rPr>
          <w:lang w:val="en-US"/>
        </w:rPr>
        <w:t>he first factor</w:t>
      </w:r>
      <w:r w:rsidRPr="00A731A4">
        <w:rPr>
          <w:lang w:val="en-US"/>
        </w:rPr>
        <w:t xml:space="preserve"> (</w:t>
      </w:r>
      <w:r w:rsidRPr="00A731A4">
        <w:rPr>
          <w:rFonts w:cs="Times New Roman"/>
          <w:lang w:val="en-US"/>
        </w:rPr>
        <w:t>Mkt_Ret</w:t>
      </w:r>
      <w:r w:rsidRPr="00A731A4">
        <w:rPr>
          <w:rFonts w:cs="Times New Roman"/>
          <w:sz w:val="14"/>
          <w:szCs w:val="14"/>
          <w:lang w:val="en-US"/>
        </w:rPr>
        <w:t>t</w:t>
      </w:r>
      <w:r w:rsidRPr="00A731A4">
        <w:rPr>
          <w:lang w:val="en-US"/>
        </w:rPr>
        <w:t xml:space="preserve">) </w:t>
      </w:r>
      <w:r w:rsidR="00847C53" w:rsidRPr="00A731A4">
        <w:rPr>
          <w:lang w:val="en-US"/>
        </w:rPr>
        <w:t>control the market return and the second factor</w:t>
      </w:r>
      <w:r w:rsidRPr="00A731A4">
        <w:rPr>
          <w:lang w:val="en-US"/>
        </w:rPr>
        <w:t xml:space="preserve"> (</w:t>
      </w:r>
      <w:r w:rsidRPr="00A731A4">
        <w:rPr>
          <w:rFonts w:cs="Times New Roman"/>
          <w:lang w:val="en-US"/>
        </w:rPr>
        <w:t>ΔT-Bill</w:t>
      </w:r>
      <w:r w:rsidRPr="00A731A4">
        <w:rPr>
          <w:rFonts w:cs="Times New Roman"/>
          <w:sz w:val="14"/>
          <w:szCs w:val="14"/>
          <w:lang w:val="en-US"/>
        </w:rPr>
        <w:t>t</w:t>
      </w:r>
      <w:r w:rsidRPr="00A731A4">
        <w:rPr>
          <w:lang w:val="en-US"/>
        </w:rPr>
        <w:t>)</w:t>
      </w:r>
      <w:r w:rsidR="00847C53" w:rsidRPr="00A731A4">
        <w:rPr>
          <w:lang w:val="en-US"/>
        </w:rPr>
        <w:t xml:space="preserve"> the interest rate changes (as described at the results of Flannery and James (1984) above in the footnote on page 13). </w:t>
      </w:r>
      <w:r w:rsidR="00A731A4">
        <w:rPr>
          <w:lang w:val="en-US"/>
        </w:rPr>
        <w:t>R</w:t>
      </w:r>
      <w:r w:rsidR="00847C53" w:rsidRPr="00A731A4">
        <w:rPr>
          <w:lang w:val="en-US"/>
        </w:rPr>
        <w:t>eturns</w:t>
      </w:r>
      <w:r w:rsidR="00A731A4">
        <w:rPr>
          <w:lang w:val="en-US"/>
        </w:rPr>
        <w:t xml:space="preserve"> of banks</w:t>
      </w:r>
      <w:r w:rsidR="00847C53" w:rsidRPr="00A731A4">
        <w:rPr>
          <w:lang w:val="en-US"/>
        </w:rPr>
        <w:t xml:space="preserve"> were regressed on the</w:t>
      </w:r>
      <w:r w:rsidRPr="00A731A4">
        <w:rPr>
          <w:lang w:val="en-US"/>
        </w:rPr>
        <w:t xml:space="preserve"> market return,</w:t>
      </w:r>
      <w:r w:rsidR="00847C53" w:rsidRPr="00A731A4">
        <w:rPr>
          <w:lang w:val="en-US"/>
        </w:rPr>
        <w:t xml:space="preserve"> interest rate changes and on 10 event dummy variables</w:t>
      </w:r>
      <w:r w:rsidRPr="00A731A4">
        <w:rPr>
          <w:lang w:val="en-US"/>
        </w:rPr>
        <w:t xml:space="preserve"> (</w:t>
      </w:r>
      <w:r w:rsidRPr="00A731A4">
        <w:rPr>
          <w:rFonts w:cs="Times New Roman"/>
          <w:lang w:val="en-US"/>
        </w:rPr>
        <w:t>FV_Window</w:t>
      </w:r>
      <w:r w:rsidRPr="00A731A4">
        <w:rPr>
          <w:rFonts w:cs="Times New Roman"/>
          <w:sz w:val="14"/>
          <w:szCs w:val="14"/>
          <w:lang w:val="en-US"/>
        </w:rPr>
        <w:t>t</w:t>
      </w:r>
      <w:r w:rsidRPr="00A731A4">
        <w:rPr>
          <w:lang w:val="en-US"/>
        </w:rPr>
        <w:t>)</w:t>
      </w:r>
      <w:r w:rsidR="00847C53" w:rsidRPr="00A731A4">
        <w:rPr>
          <w:lang w:val="en-US"/>
        </w:rPr>
        <w:t xml:space="preserve">. They find for a sample of </w:t>
      </w:r>
      <w:r w:rsidRPr="00A731A4">
        <w:rPr>
          <w:lang w:val="en-US"/>
        </w:rPr>
        <w:t xml:space="preserve">288 </w:t>
      </w:r>
      <w:r w:rsidR="00847C53" w:rsidRPr="00A731A4">
        <w:rPr>
          <w:lang w:val="en-US"/>
        </w:rPr>
        <w:t xml:space="preserve">banks that events </w:t>
      </w:r>
      <w:r w:rsidR="00A731A4">
        <w:rPr>
          <w:lang w:val="en-US"/>
        </w:rPr>
        <w:t>that</w:t>
      </w:r>
      <w:r w:rsidR="00847C53" w:rsidRPr="00A731A4">
        <w:rPr>
          <w:lang w:val="en-US"/>
        </w:rPr>
        <w:t xml:space="preserve"> signal an incr</w:t>
      </w:r>
      <w:r w:rsidR="00A731A4">
        <w:rPr>
          <w:lang w:val="en-US"/>
        </w:rPr>
        <w:t>ease of a possible relaxation of the</w:t>
      </w:r>
      <w:r w:rsidR="00847C53" w:rsidRPr="00A731A4">
        <w:rPr>
          <w:lang w:val="en-US"/>
        </w:rPr>
        <w:t xml:space="preserve"> FVA standard generally produce a positive abnormal stock price reaction. Adversely, a signal that decrease a possible relaxation produce a negative abnormal stock reaction. Further, as described </w:t>
      </w:r>
      <w:r w:rsidR="00A731A4">
        <w:rPr>
          <w:lang w:val="en-US"/>
        </w:rPr>
        <w:t>in paragraph 4.5</w:t>
      </w:r>
      <w:r w:rsidR="00847C53" w:rsidRPr="00A731A4">
        <w:rPr>
          <w:lang w:val="en-US"/>
        </w:rPr>
        <w:t>, they find that bank specific factors potentially contribute to the contagion. Next, they find that banks with a weak information environment (the absent of analyst coverage) had a less positive stock price reaction on the increased possibility of relaxation. Also Amel-Zadeh et al.(2009) report economic consequences of relaxation. They document that their</w:t>
      </w:r>
      <w:r w:rsidR="00847C53" w:rsidRPr="00DA0DCD">
        <w:rPr>
          <w:lang w:val="en-US"/>
        </w:rPr>
        <w:t xml:space="preserve"> sample of banks average market value responses to the relaxation of FVA. They argue that this reaction is consistent with the fact that relaxation reduces the risk of balance sheet insolvency or regulatory failure.</w:t>
      </w:r>
      <w:r w:rsidR="0060116B" w:rsidRPr="00DA0DCD">
        <w:rPr>
          <w:lang w:val="en-US"/>
        </w:rPr>
        <w:t xml:space="preserve"> The relaxation reached only the US accounting standards (US GAAP). This research focuses on the European situation and therefore t</w:t>
      </w:r>
      <w:r w:rsidR="00847C53" w:rsidRPr="00DA0DCD">
        <w:rPr>
          <w:lang w:val="en-US"/>
        </w:rPr>
        <w:t xml:space="preserve">he </w:t>
      </w:r>
      <w:r w:rsidR="0060116B" w:rsidRPr="00DA0DCD">
        <w:rPr>
          <w:lang w:val="en-US"/>
        </w:rPr>
        <w:t xml:space="preserve">following </w:t>
      </w:r>
      <w:r w:rsidR="00847C53" w:rsidRPr="00DA0DCD">
        <w:rPr>
          <w:lang w:val="en-US"/>
        </w:rPr>
        <w:t xml:space="preserve">question arise: </w:t>
      </w:r>
    </w:p>
    <w:p w:rsidR="00847C53" w:rsidRPr="00DA0DCD" w:rsidRDefault="00847C53" w:rsidP="0060116B">
      <w:pPr>
        <w:ind w:left="708"/>
        <w:rPr>
          <w:lang w:val="en-US"/>
        </w:rPr>
      </w:pPr>
      <w:r w:rsidRPr="00DA0DCD">
        <w:rPr>
          <w:lang w:val="en-US"/>
        </w:rPr>
        <w:t xml:space="preserve">“what </w:t>
      </w:r>
      <w:r w:rsidR="00B02F8D" w:rsidRPr="00DA0DCD">
        <w:rPr>
          <w:lang w:val="en-US"/>
        </w:rPr>
        <w:t>will be</w:t>
      </w:r>
      <w:r w:rsidRPr="00DA0DCD">
        <w:rPr>
          <w:lang w:val="en-US"/>
        </w:rPr>
        <w:t xml:space="preserve"> the economic consequences of announcements of </w:t>
      </w:r>
      <w:r w:rsidR="0060116B" w:rsidRPr="00DA0DCD">
        <w:rPr>
          <w:lang w:val="en-US"/>
        </w:rPr>
        <w:t xml:space="preserve">introducing </w:t>
      </w:r>
      <w:r w:rsidR="00623F91" w:rsidRPr="00DA0DCD">
        <w:rPr>
          <w:lang w:val="en-US"/>
        </w:rPr>
        <w:t>the reclassification option under IAS 39</w:t>
      </w:r>
      <w:r w:rsidRPr="00DA0DCD">
        <w:rPr>
          <w:lang w:val="en-US"/>
        </w:rPr>
        <w:t xml:space="preserve"> on the stock market in Europe?” </w:t>
      </w:r>
    </w:p>
    <w:p w:rsidR="00847C53" w:rsidRPr="00DA0DCD" w:rsidRDefault="0060116B" w:rsidP="00847C53">
      <w:pPr>
        <w:rPr>
          <w:lang w:val="en-US"/>
        </w:rPr>
      </w:pPr>
      <w:r w:rsidRPr="00DA0DCD">
        <w:rPr>
          <w:lang w:val="en-US"/>
        </w:rPr>
        <w:lastRenderedPageBreak/>
        <w:t>As already mentioned, t</w:t>
      </w:r>
      <w:r w:rsidR="00847C53" w:rsidRPr="00DA0DCD">
        <w:rPr>
          <w:lang w:val="en-US"/>
        </w:rPr>
        <w:t xml:space="preserve">his research will focus on the economic consequences of the introduction of the reclassification option </w:t>
      </w:r>
      <w:r w:rsidR="002F7977">
        <w:rPr>
          <w:lang w:val="en-US"/>
        </w:rPr>
        <w:t>in</w:t>
      </w:r>
      <w:r w:rsidR="00847C53" w:rsidRPr="00DA0DCD">
        <w:rPr>
          <w:lang w:val="en-US"/>
        </w:rPr>
        <w:t xml:space="preserve"> IAS 39 for financial institutions in Europe on the stock market. This research will be done using events, like</w:t>
      </w:r>
      <w:r w:rsidR="002F7977">
        <w:rPr>
          <w:lang w:val="en-US"/>
        </w:rPr>
        <w:t xml:space="preserve"> the research of</w:t>
      </w:r>
      <w:r w:rsidR="00847C53" w:rsidRPr="00DA0DCD">
        <w:rPr>
          <w:lang w:val="en-US"/>
        </w:rPr>
        <w:t xml:space="preserve"> Bowen et al. (2010). The events </w:t>
      </w:r>
      <w:r w:rsidR="002F7977">
        <w:rPr>
          <w:lang w:val="en-US"/>
        </w:rPr>
        <w:t xml:space="preserve">that will be used </w:t>
      </w:r>
      <w:r w:rsidR="00847C53" w:rsidRPr="00DA0DCD">
        <w:rPr>
          <w:lang w:val="en-US"/>
        </w:rPr>
        <w:t>are: policymaker recommendations, considerations and decisions</w:t>
      </w:r>
      <w:r w:rsidRPr="00DA0DCD">
        <w:rPr>
          <w:lang w:val="en-US"/>
        </w:rPr>
        <w:t xml:space="preserve"> (see </w:t>
      </w:r>
      <w:r w:rsidR="00947A7D" w:rsidRPr="00DA0DCD">
        <w:rPr>
          <w:lang w:val="en-US"/>
        </w:rPr>
        <w:t>chapter</w:t>
      </w:r>
      <w:r w:rsidRPr="00DA0DCD">
        <w:rPr>
          <w:lang w:val="en-US"/>
        </w:rPr>
        <w:t xml:space="preserve"> 6)</w:t>
      </w:r>
      <w:r w:rsidR="00847C53" w:rsidRPr="00DA0DCD">
        <w:rPr>
          <w:lang w:val="en-US"/>
        </w:rPr>
        <w:t xml:space="preserve">. The difference between the event study of Bowen et al.(2010) and </w:t>
      </w:r>
      <w:r w:rsidR="00623F91" w:rsidRPr="00DA0DCD">
        <w:rPr>
          <w:lang w:val="en-US"/>
        </w:rPr>
        <w:t>this research</w:t>
      </w:r>
      <w:r w:rsidR="00847C53" w:rsidRPr="00DA0DCD">
        <w:rPr>
          <w:lang w:val="en-US"/>
        </w:rPr>
        <w:t>, is th</w:t>
      </w:r>
      <w:r w:rsidR="00623F91" w:rsidRPr="00DA0DCD">
        <w:rPr>
          <w:lang w:val="en-US"/>
        </w:rPr>
        <w:t>e focus on Europe with a different situation</w:t>
      </w:r>
      <w:r w:rsidR="00847C53" w:rsidRPr="00DA0DCD">
        <w:rPr>
          <w:lang w:val="en-US"/>
        </w:rPr>
        <w:t xml:space="preserve">. As described in </w:t>
      </w:r>
      <w:r w:rsidR="00947A7D" w:rsidRPr="00DA0DCD">
        <w:rPr>
          <w:lang w:val="en-US"/>
        </w:rPr>
        <w:t>chapter</w:t>
      </w:r>
      <w:r w:rsidR="00847C53" w:rsidRPr="00DA0DCD">
        <w:rPr>
          <w:lang w:val="en-US"/>
        </w:rPr>
        <w:t xml:space="preserve"> </w:t>
      </w:r>
      <w:r w:rsidR="00623F91" w:rsidRPr="00DA0DCD">
        <w:rPr>
          <w:lang w:val="en-US"/>
        </w:rPr>
        <w:t xml:space="preserve">2 and </w:t>
      </w:r>
      <w:r w:rsidR="00947A7D" w:rsidRPr="00DA0DCD">
        <w:rPr>
          <w:lang w:val="en-US"/>
        </w:rPr>
        <w:t>paragraph</w:t>
      </w:r>
      <w:r w:rsidR="00623F91" w:rsidRPr="00DA0DCD">
        <w:rPr>
          <w:lang w:val="en-US"/>
        </w:rPr>
        <w:t xml:space="preserve"> 4.2</w:t>
      </w:r>
      <w:r w:rsidR="00847C53" w:rsidRPr="00DA0DCD">
        <w:rPr>
          <w:lang w:val="en-US"/>
        </w:rPr>
        <w:t xml:space="preserve">, there are differences to mention between the US and Europe. So, </w:t>
      </w:r>
      <w:r w:rsidR="00623F91" w:rsidRPr="00DA0DCD">
        <w:rPr>
          <w:lang w:val="en-US"/>
        </w:rPr>
        <w:t xml:space="preserve">therefore </w:t>
      </w:r>
      <w:r w:rsidR="00847C53" w:rsidRPr="00DA0DCD">
        <w:rPr>
          <w:lang w:val="en-US"/>
        </w:rPr>
        <w:t xml:space="preserve">also a market reaction on the possibility of </w:t>
      </w:r>
      <w:r w:rsidR="00623F91" w:rsidRPr="00DA0DCD">
        <w:rPr>
          <w:lang w:val="en-US"/>
        </w:rPr>
        <w:t xml:space="preserve">introducing the reclassification option </w:t>
      </w:r>
      <w:r w:rsidR="002F7977">
        <w:rPr>
          <w:lang w:val="en-US"/>
        </w:rPr>
        <w:t>under</w:t>
      </w:r>
      <w:r w:rsidR="00623F91" w:rsidRPr="00DA0DCD">
        <w:rPr>
          <w:lang w:val="en-US"/>
        </w:rPr>
        <w:t xml:space="preserve"> IAS 39 in Europe</w:t>
      </w:r>
      <w:r w:rsidR="002F7977" w:rsidRPr="002F7977">
        <w:rPr>
          <w:lang w:val="en-US"/>
        </w:rPr>
        <w:t xml:space="preserve"> </w:t>
      </w:r>
      <w:r w:rsidR="002F7977" w:rsidRPr="00DA0DCD">
        <w:rPr>
          <w:lang w:val="en-US"/>
        </w:rPr>
        <w:t>is expected</w:t>
      </w:r>
      <w:r w:rsidR="00623F91" w:rsidRPr="00DA0DCD">
        <w:rPr>
          <w:lang w:val="en-US"/>
        </w:rPr>
        <w:t>. B</w:t>
      </w:r>
      <w:r w:rsidR="00847C53" w:rsidRPr="00DA0DCD">
        <w:rPr>
          <w:lang w:val="en-US"/>
        </w:rPr>
        <w:t xml:space="preserve">ecause of the differences between the US and Europe, </w:t>
      </w:r>
      <w:r w:rsidR="00623F91" w:rsidRPr="00DA0DCD">
        <w:rPr>
          <w:lang w:val="en-US"/>
        </w:rPr>
        <w:t>there are</w:t>
      </w:r>
      <w:r w:rsidR="00847C53" w:rsidRPr="00DA0DCD">
        <w:rPr>
          <w:lang w:val="en-US"/>
        </w:rPr>
        <w:t xml:space="preserve"> different reactions</w:t>
      </w:r>
      <w:r w:rsidR="00623F91" w:rsidRPr="00DA0DCD">
        <w:rPr>
          <w:lang w:val="en-US"/>
        </w:rPr>
        <w:t xml:space="preserve"> expected</w:t>
      </w:r>
      <w:bookmarkStart w:id="45" w:name="_Toc251758940"/>
      <w:bookmarkStart w:id="46" w:name="_Toc254174495"/>
      <w:r w:rsidRPr="00DA0DCD">
        <w:rPr>
          <w:lang w:val="en-US"/>
        </w:rPr>
        <w:t xml:space="preserve"> (see </w:t>
      </w:r>
      <w:r w:rsidR="00947A7D" w:rsidRPr="00DA0DCD">
        <w:rPr>
          <w:lang w:val="en-US"/>
        </w:rPr>
        <w:t>chapter</w:t>
      </w:r>
      <w:r w:rsidRPr="00DA0DCD">
        <w:rPr>
          <w:lang w:val="en-US"/>
        </w:rPr>
        <w:t xml:space="preserve"> 5)</w:t>
      </w:r>
      <w:r w:rsidR="00B57539" w:rsidRPr="00DA0DCD">
        <w:rPr>
          <w:lang w:val="en-US"/>
        </w:rPr>
        <w:t>.</w:t>
      </w:r>
    </w:p>
    <w:p w:rsidR="00847C53" w:rsidRPr="00DA0DCD" w:rsidRDefault="00847C53" w:rsidP="00847C53">
      <w:pPr>
        <w:pStyle w:val="Kop2"/>
        <w:numPr>
          <w:ilvl w:val="1"/>
          <w:numId w:val="14"/>
        </w:numPr>
        <w:rPr>
          <w:szCs w:val="22"/>
          <w:lang w:val="en-US"/>
        </w:rPr>
      </w:pPr>
      <w:r w:rsidRPr="00DA0DCD">
        <w:rPr>
          <w:lang w:val="en-US"/>
        </w:rPr>
        <w:t xml:space="preserve"> </w:t>
      </w:r>
      <w:bookmarkStart w:id="47" w:name="_Toc270770582"/>
      <w:r w:rsidRPr="00DA0DCD">
        <w:rPr>
          <w:lang w:val="en-US"/>
        </w:rPr>
        <w:t xml:space="preserve">Criticism on the relaxing of </w:t>
      </w:r>
      <w:bookmarkEnd w:id="45"/>
      <w:bookmarkEnd w:id="46"/>
      <w:r w:rsidRPr="00DA0DCD">
        <w:rPr>
          <w:lang w:val="en-US"/>
        </w:rPr>
        <w:t>FVA</w:t>
      </w:r>
      <w:bookmarkEnd w:id="47"/>
    </w:p>
    <w:p w:rsidR="00847C53" w:rsidRPr="00DA0DCD" w:rsidRDefault="00847C53" w:rsidP="00847C53">
      <w:pPr>
        <w:rPr>
          <w:lang w:val="en-US"/>
        </w:rPr>
      </w:pPr>
      <w:r w:rsidRPr="00DA0DCD">
        <w:rPr>
          <w:lang w:val="en-US"/>
        </w:rPr>
        <w:t>Not everyone is satisfied with the relaxation of FVA. Ball (2008) for instance stated: “Fair value accounting is said by its critics to trigger a liquidity death spiral. (...) The current panic among investors is fueled by a lack of transparency and trust in what they are being told. Few seem confident they know where the toxic assets lie in the system, and what they are worth. So the appropriate response is to reduce transparency? To replace estimates of fair values with obsolete historical costs? This is what Japanese banks got away with for almost a decade. It encouraged them to invest unwisely and thereby inhibit economic recovery.” Ryan (2009) in turn gave policy recommendations that policymakers should support the existent FVA requirement to financial instruments. Further, Bowen et al.(2010) argue that several critics suggest that relaxation of FVA will lead to less timely and less disclosure information about the financial position of banks. This could extent the duration of the financial crisis. So, next to the positive stock price reaction and the embracing of the relaxation by banks, there are also critics who are against the relaxation of FVA for financial instruments.</w:t>
      </w:r>
    </w:p>
    <w:p w:rsidR="00847C53" w:rsidRPr="00DA0DCD" w:rsidRDefault="00847C53" w:rsidP="00847C53">
      <w:pPr>
        <w:pStyle w:val="Kop2"/>
        <w:numPr>
          <w:ilvl w:val="1"/>
          <w:numId w:val="14"/>
        </w:numPr>
        <w:rPr>
          <w:rFonts w:eastAsia="Calibri"/>
          <w:lang w:val="en-US"/>
        </w:rPr>
      </w:pPr>
      <w:bookmarkStart w:id="48" w:name="_Toc270770583"/>
      <w:r w:rsidRPr="00DA0DCD">
        <w:rPr>
          <w:rFonts w:eastAsia="Calibri"/>
          <w:lang w:val="en-US"/>
        </w:rPr>
        <w:t>Conclusion</w:t>
      </w:r>
      <w:bookmarkEnd w:id="48"/>
    </w:p>
    <w:p w:rsidR="00D72043" w:rsidRPr="00DA0DCD" w:rsidRDefault="00E65500" w:rsidP="00D72043">
      <w:pPr>
        <w:rPr>
          <w:lang w:val="en-US"/>
        </w:rPr>
      </w:pPr>
      <w:r w:rsidRPr="00DA0DCD">
        <w:rPr>
          <w:lang w:val="en-US"/>
        </w:rPr>
        <w:t>With the d</w:t>
      </w:r>
      <w:r w:rsidR="00D72043" w:rsidRPr="00DA0DCD">
        <w:rPr>
          <w:lang w:val="en-US"/>
        </w:rPr>
        <w:t>ifference</w:t>
      </w:r>
      <w:r w:rsidR="00576BFE" w:rsidRPr="00DA0DCD">
        <w:rPr>
          <w:lang w:val="en-US"/>
        </w:rPr>
        <w:t xml:space="preserve">s between Europe and the US </w:t>
      </w:r>
      <w:r w:rsidRPr="00DA0DCD">
        <w:rPr>
          <w:lang w:val="en-US"/>
        </w:rPr>
        <w:t>is started</w:t>
      </w:r>
      <w:r w:rsidR="00FF7C2A">
        <w:rPr>
          <w:lang w:val="en-US"/>
        </w:rPr>
        <w:t xml:space="preserve"> in this chapter</w:t>
      </w:r>
      <w:r w:rsidR="00576BFE" w:rsidRPr="00DA0DCD">
        <w:rPr>
          <w:lang w:val="en-US"/>
        </w:rPr>
        <w:t xml:space="preserve"> for</w:t>
      </w:r>
      <w:r w:rsidRPr="00DA0DCD">
        <w:rPr>
          <w:lang w:val="en-US"/>
        </w:rPr>
        <w:t xml:space="preserve"> the interpretation of the research done in the US into the European situation. Difference in situation, relaxation US and Reclassification option Europe, are presented in chapter two. </w:t>
      </w:r>
      <w:r w:rsidR="0071576B" w:rsidRPr="00DA0DCD">
        <w:rPr>
          <w:lang w:val="en-US"/>
        </w:rPr>
        <w:t>Researches</w:t>
      </w:r>
      <w:r w:rsidRPr="00DA0DCD">
        <w:rPr>
          <w:lang w:val="en-US"/>
        </w:rPr>
        <w:t xml:space="preserve"> </w:t>
      </w:r>
      <w:r w:rsidR="0071576B" w:rsidRPr="00DA0DCD">
        <w:rPr>
          <w:lang w:val="en-US"/>
        </w:rPr>
        <w:t xml:space="preserve">on difference in capital market reaction </w:t>
      </w:r>
      <w:r w:rsidRPr="00DA0DCD">
        <w:rPr>
          <w:lang w:val="en-US"/>
        </w:rPr>
        <w:t xml:space="preserve">shows </w:t>
      </w:r>
      <w:r w:rsidR="0071576B" w:rsidRPr="00DA0DCD">
        <w:rPr>
          <w:lang w:val="en-US"/>
        </w:rPr>
        <w:t>that t</w:t>
      </w:r>
      <w:r w:rsidR="00D72043" w:rsidRPr="00DA0DCD">
        <w:rPr>
          <w:lang w:val="en-US"/>
        </w:rPr>
        <w:t>he abnormal return in the US is significant higher compared to Europe.</w:t>
      </w:r>
      <w:r w:rsidR="0071576B" w:rsidRPr="00DA0DCD">
        <w:rPr>
          <w:lang w:val="en-US"/>
        </w:rPr>
        <w:t xml:space="preserve"> With this in mind, the prior research in the US could be interpret into the situation in Europe. </w:t>
      </w:r>
      <w:r w:rsidR="009C0E7F" w:rsidRPr="00DA0DCD">
        <w:rPr>
          <w:lang w:val="en-US"/>
        </w:rPr>
        <w:t xml:space="preserve">As a conclusion </w:t>
      </w:r>
      <w:r w:rsidR="003D6289">
        <w:rPr>
          <w:lang w:val="en-US"/>
        </w:rPr>
        <w:t>on</w:t>
      </w:r>
      <w:r w:rsidR="009C0E7F" w:rsidRPr="00DA0DCD">
        <w:rPr>
          <w:lang w:val="en-US"/>
        </w:rPr>
        <w:t xml:space="preserve"> prior research, the capital </w:t>
      </w:r>
      <w:r w:rsidR="003D6289" w:rsidRPr="00DA0DCD">
        <w:rPr>
          <w:lang w:val="en-US"/>
        </w:rPr>
        <w:t>market reacts</w:t>
      </w:r>
      <w:r w:rsidR="009C0E7F" w:rsidRPr="00DA0DCD">
        <w:rPr>
          <w:lang w:val="en-US"/>
        </w:rPr>
        <w:t xml:space="preserve"> negatively on the introduction of FVA in the US. Also IAS 39 (includes FVA) in Europe was not well received by the society. There was criticism by banks that profit and losses will be highly volatile and the balance sheet will be substantially weakened. Despite the criticism on the introduction IAS 39, the capital market react</w:t>
      </w:r>
      <w:r w:rsidR="003D6289">
        <w:rPr>
          <w:lang w:val="en-US"/>
        </w:rPr>
        <w:t>s</w:t>
      </w:r>
      <w:r w:rsidR="009C0E7F" w:rsidRPr="00DA0DCD">
        <w:rPr>
          <w:lang w:val="en-US"/>
        </w:rPr>
        <w:t xml:space="preserve"> positive</w:t>
      </w:r>
      <w:r w:rsidR="003D6289">
        <w:rPr>
          <w:lang w:val="en-US"/>
        </w:rPr>
        <w:t>ly</w:t>
      </w:r>
      <w:r w:rsidR="009C0E7F" w:rsidRPr="00DA0DCD">
        <w:rPr>
          <w:lang w:val="en-US"/>
        </w:rPr>
        <w:t xml:space="preserve"> on the introduction of </w:t>
      </w:r>
      <w:r w:rsidR="001C7D87" w:rsidRPr="00DA0DCD">
        <w:rPr>
          <w:lang w:val="en-US"/>
        </w:rPr>
        <w:t xml:space="preserve">mandatory IFRS in Europe. A number of </w:t>
      </w:r>
      <w:r w:rsidR="003D6289" w:rsidRPr="00DA0DCD">
        <w:rPr>
          <w:lang w:val="en-US"/>
        </w:rPr>
        <w:t>years</w:t>
      </w:r>
      <w:r w:rsidR="001C7D87" w:rsidRPr="00DA0DCD">
        <w:rPr>
          <w:lang w:val="en-US"/>
        </w:rPr>
        <w:t xml:space="preserve"> after the introduction of IFRS, the financial crisis </w:t>
      </w:r>
      <w:r w:rsidR="003D6289" w:rsidRPr="00DA0DCD">
        <w:rPr>
          <w:lang w:val="en-US"/>
        </w:rPr>
        <w:t>arise</w:t>
      </w:r>
      <w:r w:rsidR="001C7D87" w:rsidRPr="00DA0DCD">
        <w:rPr>
          <w:lang w:val="en-US"/>
        </w:rPr>
        <w:t xml:space="preserve"> in 2008. During the financial crisis, there has been argued that </w:t>
      </w:r>
      <w:r w:rsidR="00735D11" w:rsidRPr="00DA0DCD">
        <w:rPr>
          <w:lang w:val="en-US"/>
        </w:rPr>
        <w:t xml:space="preserve">FVA is problematic because of illiquidity of the capital market and the pro-cyclical effect. </w:t>
      </w:r>
      <w:r w:rsidR="006440DC" w:rsidRPr="00DA0DCD">
        <w:rPr>
          <w:lang w:val="en-US"/>
        </w:rPr>
        <w:t>Capital markets were temporarily inefficiency due to the financial crisis and therefore illiquid. When markets become illiquid, financial institution</w:t>
      </w:r>
      <w:r w:rsidR="003D6289">
        <w:rPr>
          <w:lang w:val="en-US"/>
        </w:rPr>
        <w:t>s</w:t>
      </w:r>
      <w:r w:rsidR="006440DC" w:rsidRPr="00DA0DCD">
        <w:rPr>
          <w:lang w:val="en-US"/>
        </w:rPr>
        <w:t xml:space="preserve"> have to write down their financial assets measured at fair value. </w:t>
      </w:r>
      <w:r w:rsidR="00C07270" w:rsidRPr="00DA0DCD">
        <w:rPr>
          <w:lang w:val="en-US"/>
        </w:rPr>
        <w:t>On that moment banks might face problems with their capital requirements, therefore they may</w:t>
      </w:r>
      <w:r w:rsidR="003D6289">
        <w:rPr>
          <w:lang w:val="en-US"/>
        </w:rPr>
        <w:t xml:space="preserve"> forced to</w:t>
      </w:r>
      <w:r w:rsidR="00C07270" w:rsidRPr="00DA0DCD">
        <w:rPr>
          <w:lang w:val="en-US"/>
        </w:rPr>
        <w:t xml:space="preserve"> sell their financial instruments. Then the circle starts again. This is called the pro-cyclical contagion of FVA. In research of for instance </w:t>
      </w:r>
      <w:r w:rsidR="00B26E3A" w:rsidRPr="00DA0DCD">
        <w:rPr>
          <w:lang w:val="en-US"/>
        </w:rPr>
        <w:t>K</w:t>
      </w:r>
      <w:r w:rsidR="00C07270" w:rsidRPr="00DA0DCD">
        <w:rPr>
          <w:lang w:val="en-US"/>
        </w:rPr>
        <w:t xml:space="preserve">han et al (2009) is shown a positive relation between fair value and pro-cyclical contagion. </w:t>
      </w:r>
      <w:r w:rsidR="003D6289" w:rsidRPr="00DA0DCD">
        <w:rPr>
          <w:lang w:val="en-US"/>
        </w:rPr>
        <w:t>Therefore,</w:t>
      </w:r>
      <w:r w:rsidR="00C07270" w:rsidRPr="00DA0DCD">
        <w:rPr>
          <w:lang w:val="en-US"/>
        </w:rPr>
        <w:t xml:space="preserve"> researchers, banks and politicians argue FVA as a possible cause of the pro-cyclical downturn. Next to the pro-cyclicality of FVA, </w:t>
      </w:r>
      <w:r w:rsidR="006B432A" w:rsidRPr="00DA0DCD">
        <w:rPr>
          <w:lang w:val="en-US"/>
        </w:rPr>
        <w:t xml:space="preserve">also capital requirements on banks </w:t>
      </w:r>
      <w:r w:rsidR="006B432A" w:rsidRPr="00DA0DCD">
        <w:rPr>
          <w:lang w:val="en-US"/>
        </w:rPr>
        <w:lastRenderedPageBreak/>
        <w:t>(Basel II) work</w:t>
      </w:r>
      <w:r w:rsidR="00C07270" w:rsidRPr="00DA0DCD">
        <w:rPr>
          <w:lang w:val="en-US"/>
        </w:rPr>
        <w:t xml:space="preserve"> pro-cyclical. For this </w:t>
      </w:r>
      <w:r w:rsidR="006B432A" w:rsidRPr="00DA0DCD">
        <w:rPr>
          <w:lang w:val="en-US"/>
        </w:rPr>
        <w:t>reason,</w:t>
      </w:r>
      <w:r w:rsidR="00C07270" w:rsidRPr="00DA0DCD">
        <w:rPr>
          <w:lang w:val="en-US"/>
        </w:rPr>
        <w:t xml:space="preserve"> there could be a different capital reaction on the introduction of reclassification option between banks and insurance companies within the sample.</w:t>
      </w:r>
      <w:r w:rsidR="00D72043" w:rsidRPr="00DA0DCD">
        <w:rPr>
          <w:lang w:val="en-US"/>
        </w:rPr>
        <w:t xml:space="preserve"> Standard setters in the US and Europe react on the problems with FVA. In the US the FASB relaxed FVA and impairment rules and in Europe the IASB introduced the reclassification option. Both amendments resulted in economic consequences. In the US, research of Bowen at al. (2010) find for a sample of banks that events which signals an increase (decrease) of a possible relaxation on FVA standard generally produce a positive (negative) abnormal stock price reaction. The stock price reaction in Europe will be examined in this research. Other economic consequences of the reclassification option in Europe are researched. Paananen et al. (2009) find that illiquidity seems the main driver for the reclassification of financial instruments by banks and investors rely more on earnings of </w:t>
      </w:r>
      <w:r w:rsidR="006B432A">
        <w:rPr>
          <w:lang w:val="en-US"/>
        </w:rPr>
        <w:t>reclassified banks</w:t>
      </w:r>
      <w:r w:rsidR="00D72043" w:rsidRPr="00DA0DCD">
        <w:rPr>
          <w:lang w:val="en-US"/>
        </w:rPr>
        <w:t xml:space="preserve">. </w:t>
      </w:r>
      <w:r w:rsidR="006B432A">
        <w:rPr>
          <w:lang w:val="en-US"/>
        </w:rPr>
        <w:t>However, f</w:t>
      </w:r>
      <w:r w:rsidR="00D72043" w:rsidRPr="00DA0DCD">
        <w:rPr>
          <w:lang w:val="en-US"/>
        </w:rPr>
        <w:t>air value seems more value relevant even during a financial crisis. Next, Kholmy and Ernstberger (2010</w:t>
      </w:r>
      <w:r w:rsidR="00A01455" w:rsidRPr="00DA0DCD">
        <w:rPr>
          <w:lang w:val="en-US"/>
        </w:rPr>
        <w:t>) find</w:t>
      </w:r>
      <w:r w:rsidR="00D72043" w:rsidRPr="00DA0DCD">
        <w:rPr>
          <w:lang w:val="en-US"/>
        </w:rPr>
        <w:t xml:space="preserve"> that the decision of banks to reclassify is influenced </w:t>
      </w:r>
      <w:r w:rsidR="00A01455" w:rsidRPr="00DA0DCD">
        <w:rPr>
          <w:lang w:val="en-US"/>
        </w:rPr>
        <w:t xml:space="preserve">by size, profitability, </w:t>
      </w:r>
      <w:r w:rsidR="00D72043" w:rsidRPr="00DA0DCD">
        <w:rPr>
          <w:lang w:val="en-US"/>
        </w:rPr>
        <w:t xml:space="preserve">analyst coverage and law tradition. At last, </w:t>
      </w:r>
      <w:r w:rsidR="00576BFE" w:rsidRPr="00DA0DCD">
        <w:rPr>
          <w:lang w:val="en-US"/>
        </w:rPr>
        <w:t>Fiechter and Unger (2009) find that the return on equity by banks increased after reclassifying financial instruments. Next to the economic consequences, researches also place criticism to the relaxation of FVA, like the reduction of transparency. So, FVA provides economic consequences by the introduction and amendment of the standard on FVA</w:t>
      </w:r>
      <w:r w:rsidR="009050BA" w:rsidRPr="00DA0DCD">
        <w:rPr>
          <w:lang w:val="en-US"/>
        </w:rPr>
        <w:t xml:space="preserve"> in the US and Europe</w:t>
      </w:r>
      <w:r w:rsidR="00576BFE" w:rsidRPr="00DA0DCD">
        <w:rPr>
          <w:lang w:val="en-US"/>
        </w:rPr>
        <w:t>.</w:t>
      </w:r>
      <w:r w:rsidR="009050BA" w:rsidRPr="00DA0DCD">
        <w:rPr>
          <w:lang w:val="en-US"/>
        </w:rPr>
        <w:t xml:space="preserve"> </w:t>
      </w:r>
      <w:r w:rsidR="00576BFE" w:rsidRPr="00DA0DCD">
        <w:rPr>
          <w:lang w:val="en-US"/>
        </w:rPr>
        <w:t>The presented results of prior research</w:t>
      </w:r>
      <w:r w:rsidR="009050BA" w:rsidRPr="00DA0DCD">
        <w:rPr>
          <w:lang w:val="en-US"/>
        </w:rPr>
        <w:t xml:space="preserve"> on this topic</w:t>
      </w:r>
      <w:r w:rsidR="00576BFE" w:rsidRPr="00DA0DCD">
        <w:rPr>
          <w:lang w:val="en-US"/>
        </w:rPr>
        <w:t xml:space="preserve"> will be used for the development of hypotheses in the next chapter.</w:t>
      </w:r>
    </w:p>
    <w:p w:rsidR="00377CCD" w:rsidRPr="00DA0DCD" w:rsidRDefault="00377CCD">
      <w:pPr>
        <w:rPr>
          <w:rFonts w:asciiTheme="majorHAnsi" w:eastAsiaTheme="majorEastAsia" w:hAnsiTheme="majorHAnsi" w:cstheme="majorBidi"/>
          <w:b/>
          <w:bCs/>
          <w:color w:val="365F91" w:themeColor="accent1" w:themeShade="BF"/>
          <w:sz w:val="28"/>
          <w:szCs w:val="28"/>
          <w:lang w:val="en-US"/>
        </w:rPr>
      </w:pPr>
      <w:r w:rsidRPr="00DA0DCD">
        <w:rPr>
          <w:lang w:val="en-US"/>
        </w:rPr>
        <w:br w:type="page"/>
      </w:r>
    </w:p>
    <w:p w:rsidR="00B24B49" w:rsidRPr="00DA0DCD" w:rsidRDefault="00B24B49" w:rsidP="00B24B49">
      <w:pPr>
        <w:pStyle w:val="Kop1"/>
        <w:numPr>
          <w:ilvl w:val="0"/>
          <w:numId w:val="14"/>
        </w:numPr>
        <w:rPr>
          <w:lang w:val="en-US"/>
        </w:rPr>
      </w:pPr>
      <w:bookmarkStart w:id="49" w:name="_Toc270770584"/>
      <w:r w:rsidRPr="00DA0DCD">
        <w:rPr>
          <w:lang w:val="en-US"/>
        </w:rPr>
        <w:lastRenderedPageBreak/>
        <w:t>Expectations and hypotheses</w:t>
      </w:r>
      <w:bookmarkEnd w:id="49"/>
    </w:p>
    <w:p w:rsidR="00B24B49" w:rsidRPr="00DA0DCD" w:rsidRDefault="00B24B49" w:rsidP="00B24B49">
      <w:pPr>
        <w:pStyle w:val="Kop2"/>
        <w:numPr>
          <w:ilvl w:val="1"/>
          <w:numId w:val="14"/>
        </w:numPr>
        <w:rPr>
          <w:lang w:val="en-US"/>
        </w:rPr>
      </w:pPr>
      <w:bookmarkStart w:id="50" w:name="_Toc270770585"/>
      <w:r w:rsidRPr="00DA0DCD">
        <w:rPr>
          <w:lang w:val="en-US"/>
        </w:rPr>
        <w:t>Introduction</w:t>
      </w:r>
      <w:bookmarkEnd w:id="50"/>
    </w:p>
    <w:p w:rsidR="00B24B49" w:rsidRPr="00DA0DCD" w:rsidRDefault="00B24B49" w:rsidP="00B24B49">
      <w:pPr>
        <w:rPr>
          <w:color w:val="FF0000"/>
          <w:lang w:val="en-US"/>
        </w:rPr>
      </w:pPr>
      <w:r w:rsidRPr="00DA0DCD">
        <w:rPr>
          <w:lang w:val="en-US"/>
        </w:rPr>
        <w:t>Judged by the efficient market hypothesis there would be expected no market reaction to the issuance of the reclassification amendment in IAS 39. An efficient market in its semi-strong form reflects according to Fama (1970) all public</w:t>
      </w:r>
      <w:r w:rsidR="003239B5" w:rsidRPr="00DA0DCD">
        <w:rPr>
          <w:lang w:val="en-US"/>
        </w:rPr>
        <w:t>ly</w:t>
      </w:r>
      <w:r w:rsidRPr="00DA0DCD">
        <w:rPr>
          <w:lang w:val="en-US"/>
        </w:rPr>
        <w:t xml:space="preserve"> available information in the stock prices. When an efficient market </w:t>
      </w:r>
      <w:r w:rsidR="001F7281" w:rsidRPr="00DA0DCD">
        <w:rPr>
          <w:lang w:val="en-US"/>
        </w:rPr>
        <w:t>exists,</w:t>
      </w:r>
      <w:r w:rsidRPr="00DA0DCD">
        <w:rPr>
          <w:lang w:val="en-US"/>
        </w:rPr>
        <w:t xml:space="preserve"> you would expect no reaction to </w:t>
      </w:r>
      <w:r w:rsidR="00543E69">
        <w:rPr>
          <w:lang w:val="en-US"/>
        </w:rPr>
        <w:t xml:space="preserve">a </w:t>
      </w:r>
      <w:r w:rsidRPr="00DA0DCD">
        <w:rPr>
          <w:lang w:val="en-US"/>
        </w:rPr>
        <w:t xml:space="preserve">re-measurement of the figures. A fully efficient market would not react to a change in accounting standards. Prior research however, as noted in </w:t>
      </w:r>
      <w:r w:rsidR="00947A7D" w:rsidRPr="00DA0DCD">
        <w:rPr>
          <w:lang w:val="en-US"/>
        </w:rPr>
        <w:t>chapter</w:t>
      </w:r>
      <w:r w:rsidRPr="00DA0DCD">
        <w:rPr>
          <w:lang w:val="en-US"/>
        </w:rPr>
        <w:t xml:space="preserve"> 4, states that there was a negative market reaction on the introduction of FVA and </w:t>
      </w:r>
      <w:r w:rsidR="003239B5" w:rsidRPr="00DA0DCD">
        <w:rPr>
          <w:lang w:val="en-US"/>
        </w:rPr>
        <w:t>a positive reaction on the relaxation of FVA and impairment rules in the US. For this reason there will also be a capital market reaction expected in Europe on the introduction of the reclas</w:t>
      </w:r>
      <w:r w:rsidR="001F7281">
        <w:rPr>
          <w:lang w:val="en-US"/>
        </w:rPr>
        <w:t>sification option in IAS 39. Thi</w:t>
      </w:r>
      <w:r w:rsidR="003239B5" w:rsidRPr="00DA0DCD">
        <w:rPr>
          <w:lang w:val="en-US"/>
        </w:rPr>
        <w:t xml:space="preserve">s expectation, which </w:t>
      </w:r>
      <w:r w:rsidR="001F7281">
        <w:rPr>
          <w:lang w:val="en-US"/>
        </w:rPr>
        <w:t>is</w:t>
      </w:r>
      <w:r w:rsidR="003239B5" w:rsidRPr="00DA0DCD">
        <w:rPr>
          <w:lang w:val="en-US"/>
        </w:rPr>
        <w:t xml:space="preserve"> derived from regulation (chapter 2) and prior research (chapter 4), are presented in this chapter.</w:t>
      </w:r>
    </w:p>
    <w:p w:rsidR="00B24B49" w:rsidRPr="00DA0DCD" w:rsidRDefault="00B24B49" w:rsidP="00B24B49">
      <w:pPr>
        <w:pStyle w:val="Kop2"/>
        <w:numPr>
          <w:ilvl w:val="1"/>
          <w:numId w:val="14"/>
        </w:numPr>
        <w:rPr>
          <w:lang w:val="en-US"/>
        </w:rPr>
      </w:pPr>
      <w:bookmarkStart w:id="51" w:name="_Toc270770586"/>
      <w:r w:rsidRPr="00DA0DCD">
        <w:rPr>
          <w:lang w:val="en-US"/>
        </w:rPr>
        <w:t>First Hypothesis</w:t>
      </w:r>
      <w:bookmarkEnd w:id="51"/>
    </w:p>
    <w:p w:rsidR="0039106B" w:rsidRPr="009702AD" w:rsidRDefault="00B24B49" w:rsidP="0039106B">
      <w:pPr>
        <w:rPr>
          <w:lang w:val="en-US"/>
        </w:rPr>
      </w:pPr>
      <w:r w:rsidRPr="00DA0DCD">
        <w:rPr>
          <w:lang w:val="en-US"/>
        </w:rPr>
        <w:t xml:space="preserve">The negative market reaction on the introduction of FVA and positive reaction on the relaxation of FVA and impairment rules in the US, could suggests that there will be a positive reaction on the introduction of reclassification option in IAS 39. This idea is reinforced by the fact that a lot of bankers and politicians blamed IAS 39 for the crisis. </w:t>
      </w:r>
      <w:r w:rsidR="00377CCD" w:rsidRPr="00DA0DCD">
        <w:rPr>
          <w:lang w:val="en-US"/>
        </w:rPr>
        <w:t xml:space="preserve">Also researches, as described in </w:t>
      </w:r>
      <w:r w:rsidR="00947A7D" w:rsidRPr="00DA0DCD">
        <w:rPr>
          <w:lang w:val="en-US"/>
        </w:rPr>
        <w:t>chapter</w:t>
      </w:r>
      <w:r w:rsidR="00377CCD" w:rsidRPr="00DA0DCD">
        <w:rPr>
          <w:lang w:val="en-US"/>
        </w:rPr>
        <w:t xml:space="preserve"> 4, shows that FVA of financial instruments during a financial crisis can work pro-cyclical. </w:t>
      </w:r>
      <w:r w:rsidRPr="00DA0DCD">
        <w:rPr>
          <w:lang w:val="en-US"/>
        </w:rPr>
        <w:t>If IAS 39 had such</w:t>
      </w:r>
      <w:r w:rsidR="00D86C41" w:rsidRPr="00DA0DCD">
        <w:rPr>
          <w:lang w:val="en-US"/>
        </w:rPr>
        <w:t xml:space="preserve"> a</w:t>
      </w:r>
      <w:r w:rsidRPr="00DA0DCD">
        <w:rPr>
          <w:lang w:val="en-US"/>
        </w:rPr>
        <w:t xml:space="preserve"> bad effects, you might expect a positive market return for a reclassification option in IAS 39. </w:t>
      </w:r>
      <w:r w:rsidR="00F751C4" w:rsidRPr="00DA0DCD">
        <w:rPr>
          <w:lang w:val="en-US"/>
        </w:rPr>
        <w:t>Because the reclassification option would reduce the pro-cyclical effect of FVA during the financial crisis and therefore market illiquidity would</w:t>
      </w:r>
      <w:r w:rsidR="00776002">
        <w:rPr>
          <w:lang w:val="en-US"/>
        </w:rPr>
        <w:t xml:space="preserve"> be</w:t>
      </w:r>
      <w:r w:rsidR="00F751C4" w:rsidRPr="00DA0DCD">
        <w:rPr>
          <w:lang w:val="en-US"/>
        </w:rPr>
        <w:t xml:space="preserve"> less problematic for financial institutions.</w:t>
      </w:r>
      <w:r w:rsidR="00521847" w:rsidRPr="00DA0DCD">
        <w:rPr>
          <w:lang w:val="en-US"/>
        </w:rPr>
        <w:t xml:space="preserve"> </w:t>
      </w:r>
      <w:r w:rsidR="008533C1" w:rsidRPr="00DA0DCD">
        <w:rPr>
          <w:lang w:val="en-US"/>
        </w:rPr>
        <w:t xml:space="preserve">Research of </w:t>
      </w:r>
      <w:r w:rsidR="00D86C41" w:rsidRPr="00DA0DCD">
        <w:rPr>
          <w:lang w:val="en-US"/>
        </w:rPr>
        <w:t xml:space="preserve">Fiechter and Unger (2009) </w:t>
      </w:r>
      <w:r w:rsidR="008533C1" w:rsidRPr="00DA0DCD">
        <w:rPr>
          <w:lang w:val="en-US"/>
        </w:rPr>
        <w:t>shows</w:t>
      </w:r>
      <w:r w:rsidR="00776002">
        <w:rPr>
          <w:lang w:val="en-US"/>
        </w:rPr>
        <w:t>,</w:t>
      </w:r>
      <w:r w:rsidR="00D86C41" w:rsidRPr="00DA0DCD">
        <w:rPr>
          <w:lang w:val="en-US"/>
        </w:rPr>
        <w:t xml:space="preserve"> </w:t>
      </w:r>
      <w:r w:rsidR="00776002" w:rsidRPr="00DA0DCD">
        <w:rPr>
          <w:lang w:val="en-US"/>
        </w:rPr>
        <w:t>by the increased ratio return on equity</w:t>
      </w:r>
      <w:r w:rsidR="00776002">
        <w:rPr>
          <w:lang w:val="en-US"/>
        </w:rPr>
        <w:t>,</w:t>
      </w:r>
      <w:r w:rsidR="00776002" w:rsidRPr="00DA0DCD">
        <w:rPr>
          <w:lang w:val="en-US"/>
        </w:rPr>
        <w:t xml:space="preserve"> </w:t>
      </w:r>
      <w:r w:rsidR="00D86C41" w:rsidRPr="00DA0DCD">
        <w:rPr>
          <w:lang w:val="en-US"/>
        </w:rPr>
        <w:t>that</w:t>
      </w:r>
      <w:r w:rsidR="008533C1" w:rsidRPr="00DA0DCD">
        <w:rPr>
          <w:lang w:val="en-US"/>
        </w:rPr>
        <w:t xml:space="preserve"> the reclassification option has a positive effect on the financial statements of European banks. This positive effect could also accompany with a positive market return. </w:t>
      </w:r>
      <w:r w:rsidR="00776002" w:rsidRPr="00DA0DCD">
        <w:rPr>
          <w:lang w:val="en-US"/>
        </w:rPr>
        <w:t>However,</w:t>
      </w:r>
      <w:r w:rsidRPr="00DA0DCD">
        <w:rPr>
          <w:lang w:val="en-US"/>
        </w:rPr>
        <w:t xml:space="preserve"> researches in Europe </w:t>
      </w:r>
      <w:r w:rsidR="008533C1" w:rsidRPr="00DA0DCD">
        <w:rPr>
          <w:lang w:val="en-US"/>
        </w:rPr>
        <w:t xml:space="preserve">could also </w:t>
      </w:r>
      <w:r w:rsidRPr="00DA0DCD">
        <w:rPr>
          <w:lang w:val="en-US"/>
        </w:rPr>
        <w:t xml:space="preserve">suggest a </w:t>
      </w:r>
      <w:r w:rsidR="008533C1" w:rsidRPr="00DA0DCD">
        <w:rPr>
          <w:lang w:val="en-US"/>
        </w:rPr>
        <w:t>less positively reaction</w:t>
      </w:r>
      <w:r w:rsidRPr="00DA0DCD">
        <w:rPr>
          <w:lang w:val="en-US"/>
        </w:rPr>
        <w:t xml:space="preserve">. Paananen et al. (2009) argue that their results imply that banks reclassify their financial instruments because of the market illiquidity. Moreover, they show that investors rely more on earnings of </w:t>
      </w:r>
      <w:r w:rsidR="00776002">
        <w:rPr>
          <w:lang w:val="en-US"/>
        </w:rPr>
        <w:t>banks</w:t>
      </w:r>
      <w:r w:rsidR="00201ECA">
        <w:rPr>
          <w:lang w:val="en-US"/>
        </w:rPr>
        <w:t xml:space="preserve"> that </w:t>
      </w:r>
      <w:r w:rsidRPr="00DA0DCD">
        <w:rPr>
          <w:lang w:val="en-US"/>
        </w:rPr>
        <w:t>reclassif</w:t>
      </w:r>
      <w:r w:rsidR="00201ECA">
        <w:rPr>
          <w:lang w:val="en-US"/>
        </w:rPr>
        <w:t>y their financial instruments</w:t>
      </w:r>
      <w:r w:rsidRPr="00DA0DCD">
        <w:rPr>
          <w:lang w:val="en-US"/>
        </w:rPr>
        <w:t xml:space="preserve">. </w:t>
      </w:r>
      <w:r w:rsidR="00201ECA" w:rsidRPr="00DA0DCD">
        <w:rPr>
          <w:lang w:val="en-US"/>
        </w:rPr>
        <w:t>However,</w:t>
      </w:r>
      <w:r w:rsidRPr="00DA0DCD">
        <w:rPr>
          <w:lang w:val="en-US"/>
        </w:rPr>
        <w:t xml:space="preserve"> the reliance of investors on the earnings of </w:t>
      </w:r>
      <w:r w:rsidR="00776002">
        <w:rPr>
          <w:lang w:val="en-US"/>
        </w:rPr>
        <w:t>banks</w:t>
      </w:r>
      <w:r w:rsidR="00201ECA">
        <w:rPr>
          <w:lang w:val="en-US"/>
        </w:rPr>
        <w:t xml:space="preserve"> that did not </w:t>
      </w:r>
      <w:r w:rsidRPr="00DA0DCD">
        <w:rPr>
          <w:lang w:val="en-US"/>
        </w:rPr>
        <w:t>reclassif</w:t>
      </w:r>
      <w:r w:rsidR="00201ECA">
        <w:rPr>
          <w:lang w:val="en-US"/>
        </w:rPr>
        <w:t>y their financial assets</w:t>
      </w:r>
      <w:r w:rsidRPr="00DA0DCD">
        <w:rPr>
          <w:lang w:val="en-US"/>
        </w:rPr>
        <w:t xml:space="preserve"> seems still larger in extent. So, despite the reliance of investors on earnings of reclassif</w:t>
      </w:r>
      <w:r w:rsidR="00776002">
        <w:rPr>
          <w:lang w:val="en-US"/>
        </w:rPr>
        <w:t>ying banks</w:t>
      </w:r>
      <w:r w:rsidRPr="00DA0DCD">
        <w:rPr>
          <w:lang w:val="en-US"/>
        </w:rPr>
        <w:t>, on average investors find fair values more relevant during the financial crisis</w:t>
      </w:r>
      <w:r w:rsidR="00094AD9" w:rsidRPr="00DA0DCD">
        <w:rPr>
          <w:lang w:val="en-US"/>
        </w:rPr>
        <w:t xml:space="preserve"> than reclassification to amortized costs</w:t>
      </w:r>
      <w:r w:rsidRPr="00DA0DCD">
        <w:rPr>
          <w:lang w:val="en-US"/>
        </w:rPr>
        <w:t>.</w:t>
      </w:r>
      <w:r w:rsidR="00094AD9" w:rsidRPr="00DA0DCD">
        <w:rPr>
          <w:lang w:val="en-US"/>
        </w:rPr>
        <w:t xml:space="preserve"> </w:t>
      </w:r>
      <w:r w:rsidRPr="00DA0DCD">
        <w:rPr>
          <w:lang w:val="en-US"/>
        </w:rPr>
        <w:t xml:space="preserve">This is consistent with the criticism on the relaxation of FVA as described in </w:t>
      </w:r>
      <w:r w:rsidR="00947A7D" w:rsidRPr="00DA0DCD">
        <w:rPr>
          <w:lang w:val="en-US"/>
        </w:rPr>
        <w:t>paragraph</w:t>
      </w:r>
      <w:r w:rsidRPr="00DA0DCD">
        <w:rPr>
          <w:lang w:val="en-US"/>
        </w:rPr>
        <w:t xml:space="preserve"> 4.8, that relaxation reduce the transparency (Ball 2008) and leads to less timely and less disclosure information about the financial position of banks (Bowen at al. 2010). </w:t>
      </w:r>
      <w:r w:rsidR="00201ECA" w:rsidRPr="00DA0DCD">
        <w:rPr>
          <w:lang w:val="en-US"/>
        </w:rPr>
        <w:t>Overall</w:t>
      </w:r>
      <w:r w:rsidRPr="00DA0DCD">
        <w:rPr>
          <w:lang w:val="en-US"/>
        </w:rPr>
        <w:t>, I expect in accordance with prior research</w:t>
      </w:r>
      <w:r w:rsidR="00377CCD" w:rsidRPr="00DA0DCD">
        <w:rPr>
          <w:lang w:val="en-US"/>
        </w:rPr>
        <w:t>,</w:t>
      </w:r>
      <w:r w:rsidRPr="00DA0DCD">
        <w:rPr>
          <w:lang w:val="en-US"/>
        </w:rPr>
        <w:t xml:space="preserve"> shown in chapter 4</w:t>
      </w:r>
      <w:r w:rsidR="00377CCD" w:rsidRPr="00DA0DCD">
        <w:rPr>
          <w:lang w:val="en-US"/>
        </w:rPr>
        <w:t>,</w:t>
      </w:r>
      <w:r w:rsidRPr="00DA0DCD">
        <w:rPr>
          <w:lang w:val="en-US"/>
        </w:rPr>
        <w:t xml:space="preserve"> that the capital market will react on the announcements concerning the probability of the introduction of reclassification option in IAS 39. </w:t>
      </w:r>
      <w:r w:rsidR="00377CCD" w:rsidRPr="00DA0DCD">
        <w:rPr>
          <w:lang w:val="en-US"/>
        </w:rPr>
        <w:t>G</w:t>
      </w:r>
      <w:r w:rsidRPr="00DA0DCD">
        <w:rPr>
          <w:lang w:val="en-US"/>
        </w:rPr>
        <w:t>iven prior research</w:t>
      </w:r>
      <w:r w:rsidR="00377CCD" w:rsidRPr="00DA0DCD">
        <w:rPr>
          <w:lang w:val="en-US"/>
        </w:rPr>
        <w:t xml:space="preserve"> this reaction</w:t>
      </w:r>
      <w:r w:rsidRPr="00DA0DCD">
        <w:rPr>
          <w:lang w:val="en-US"/>
        </w:rPr>
        <w:t xml:space="preserve"> is expected to be </w:t>
      </w:r>
      <w:r w:rsidR="00F751C4" w:rsidRPr="00DA0DCD">
        <w:rPr>
          <w:lang w:val="en-US"/>
        </w:rPr>
        <w:t>positive</w:t>
      </w:r>
      <w:r w:rsidRPr="00DA0DCD">
        <w:rPr>
          <w:lang w:val="en-US"/>
        </w:rPr>
        <w:t xml:space="preserve">. This means that I expect that events that had an increasing (decreasing) effect on the probability of the issuance of the reclassification option in IAS 39 will have </w:t>
      </w:r>
      <w:r w:rsidRPr="009702AD">
        <w:rPr>
          <w:lang w:val="en-US"/>
        </w:rPr>
        <w:t xml:space="preserve">a </w:t>
      </w:r>
      <w:r w:rsidR="008F6A39" w:rsidRPr="009702AD">
        <w:rPr>
          <w:lang w:val="en-US"/>
        </w:rPr>
        <w:t>positive (</w:t>
      </w:r>
      <w:r w:rsidRPr="009702AD">
        <w:rPr>
          <w:lang w:val="en-US"/>
        </w:rPr>
        <w:t>negative</w:t>
      </w:r>
      <w:r w:rsidR="008F6A39" w:rsidRPr="009702AD">
        <w:rPr>
          <w:lang w:val="en-US"/>
        </w:rPr>
        <w:t xml:space="preserve">) </w:t>
      </w:r>
      <w:r w:rsidRPr="009702AD">
        <w:rPr>
          <w:lang w:val="en-US"/>
        </w:rPr>
        <w:t>market return.</w:t>
      </w:r>
      <w:r w:rsidR="00E7385A" w:rsidRPr="009702AD">
        <w:rPr>
          <w:lang w:val="en-US"/>
        </w:rPr>
        <w:t xml:space="preserve"> </w:t>
      </w:r>
      <w:r w:rsidR="0039106B" w:rsidRPr="009702AD">
        <w:rPr>
          <w:lang w:val="en-US"/>
        </w:rPr>
        <w:t>Therefore,</w:t>
      </w:r>
      <w:r w:rsidR="00521847" w:rsidRPr="009702AD">
        <w:rPr>
          <w:lang w:val="en-US"/>
        </w:rPr>
        <w:t xml:space="preserve"> the</w:t>
      </w:r>
      <w:r w:rsidRPr="009702AD">
        <w:rPr>
          <w:lang w:val="en-US"/>
        </w:rPr>
        <w:t xml:space="preserve"> </w:t>
      </w:r>
      <w:r w:rsidR="00E7385A" w:rsidRPr="009702AD">
        <w:rPr>
          <w:lang w:val="en-US"/>
        </w:rPr>
        <w:t>following hypothesis could be stated</w:t>
      </w:r>
      <w:r w:rsidRPr="009702AD">
        <w:rPr>
          <w:lang w:val="en-US"/>
        </w:rPr>
        <w:t>:</w:t>
      </w:r>
    </w:p>
    <w:p w:rsidR="00B24B49" w:rsidRPr="009702AD" w:rsidRDefault="00B24B49" w:rsidP="0039106B">
      <w:pPr>
        <w:rPr>
          <w:i/>
          <w:lang w:val="en-US"/>
        </w:rPr>
      </w:pPr>
      <w:r w:rsidRPr="009702AD">
        <w:rPr>
          <w:i/>
          <w:lang w:val="en-US"/>
        </w:rPr>
        <w:t xml:space="preserve">Events that potentially increase (decrease) the probability of introducing the reclassification option in IAS 39 in the financial industry are associated with significant abnormal </w:t>
      </w:r>
      <w:r w:rsidR="00D86C41" w:rsidRPr="009702AD">
        <w:rPr>
          <w:i/>
          <w:lang w:val="en-US"/>
        </w:rPr>
        <w:t>positive</w:t>
      </w:r>
      <w:r w:rsidRPr="009702AD">
        <w:rPr>
          <w:i/>
          <w:lang w:val="en-US"/>
        </w:rPr>
        <w:t xml:space="preserve"> (</w:t>
      </w:r>
      <w:r w:rsidR="00D86C41" w:rsidRPr="009702AD">
        <w:rPr>
          <w:i/>
          <w:lang w:val="en-US"/>
        </w:rPr>
        <w:t>negative</w:t>
      </w:r>
      <w:r w:rsidRPr="009702AD">
        <w:rPr>
          <w:i/>
          <w:lang w:val="en-US"/>
        </w:rPr>
        <w:t xml:space="preserve">) stock price reactions </w:t>
      </w:r>
      <w:r w:rsidR="0077354B" w:rsidRPr="009702AD">
        <w:rPr>
          <w:i/>
          <w:lang w:val="en-US"/>
        </w:rPr>
        <w:t>by</w:t>
      </w:r>
      <w:r w:rsidRPr="009702AD">
        <w:rPr>
          <w:i/>
          <w:lang w:val="en-US"/>
        </w:rPr>
        <w:t xml:space="preserve"> financial institutions.</w:t>
      </w:r>
    </w:p>
    <w:p w:rsidR="0039106B" w:rsidRPr="009702AD" w:rsidRDefault="00E7385A" w:rsidP="00E7385A">
      <w:pPr>
        <w:jc w:val="both"/>
        <w:rPr>
          <w:lang w:val="en-US"/>
        </w:rPr>
      </w:pPr>
      <w:r w:rsidRPr="009702AD">
        <w:rPr>
          <w:lang w:val="en-US"/>
        </w:rPr>
        <w:lastRenderedPageBreak/>
        <w:t>However,</w:t>
      </w:r>
      <w:r w:rsidR="0039106B" w:rsidRPr="009702AD">
        <w:rPr>
          <w:lang w:val="en-US"/>
        </w:rPr>
        <w:t xml:space="preserve"> all the five events, as shown in paragraph 6.3, have a potentially increased effect on the probability of introducing the reclassification option in IAS 39. This means that there is predicted </w:t>
      </w:r>
      <w:r w:rsidR="009702AD" w:rsidRPr="009702AD">
        <w:rPr>
          <w:lang w:val="en-US"/>
        </w:rPr>
        <w:t xml:space="preserve">a positive stock price reaction during all the five event </w:t>
      </w:r>
      <w:r w:rsidR="0039106B" w:rsidRPr="009702AD">
        <w:rPr>
          <w:lang w:val="en-US"/>
        </w:rPr>
        <w:t xml:space="preserve">windows. </w:t>
      </w:r>
      <w:r w:rsidR="009702AD" w:rsidRPr="009702AD">
        <w:rPr>
          <w:lang w:val="en-US"/>
        </w:rPr>
        <w:t>Therefore</w:t>
      </w:r>
      <w:r w:rsidR="0039106B" w:rsidRPr="009702AD">
        <w:rPr>
          <w:lang w:val="en-US"/>
        </w:rPr>
        <w:t xml:space="preserve">, there are no </w:t>
      </w:r>
      <w:r w:rsidR="009702AD" w:rsidRPr="009702AD">
        <w:rPr>
          <w:lang w:val="en-US"/>
        </w:rPr>
        <w:t>events which</w:t>
      </w:r>
      <w:r w:rsidR="0039106B" w:rsidRPr="009702AD">
        <w:rPr>
          <w:lang w:val="en-US"/>
        </w:rPr>
        <w:t xml:space="preserve"> have a potentially increased effect on the probability of introducing the reclassification option in IAS 39. </w:t>
      </w:r>
    </w:p>
    <w:p w:rsidR="0039106B" w:rsidRPr="009702AD" w:rsidRDefault="0039106B" w:rsidP="00E7385A">
      <w:pPr>
        <w:jc w:val="both"/>
        <w:rPr>
          <w:lang w:val="en-US"/>
        </w:rPr>
      </w:pPr>
      <w:r w:rsidRPr="009702AD">
        <w:rPr>
          <w:lang w:val="en-US"/>
        </w:rPr>
        <w:t>Therefore the first and overall hypothesis is:</w:t>
      </w:r>
    </w:p>
    <w:p w:rsidR="0039106B" w:rsidRPr="009702AD" w:rsidRDefault="0039106B" w:rsidP="0039106B">
      <w:pPr>
        <w:ind w:left="360"/>
        <w:rPr>
          <w:i/>
          <w:lang w:val="en-US"/>
        </w:rPr>
      </w:pPr>
      <w:r w:rsidRPr="009702AD">
        <w:rPr>
          <w:i/>
          <w:lang w:val="en-US"/>
        </w:rPr>
        <w:t>Hypothesis 1: Events that potentially increase the probability of introducing the reclassification option in IAS 39 in the financial industry are associated with significant abnormal positive stock price reactions by financial institutions.</w:t>
      </w:r>
    </w:p>
    <w:p w:rsidR="00CF6BF4" w:rsidRPr="00DA0DCD" w:rsidRDefault="00CF6BF4" w:rsidP="00CF6BF4">
      <w:pPr>
        <w:pStyle w:val="Kop2"/>
        <w:numPr>
          <w:ilvl w:val="1"/>
          <w:numId w:val="14"/>
        </w:numPr>
        <w:rPr>
          <w:lang w:val="en-US"/>
        </w:rPr>
      </w:pPr>
      <w:bookmarkStart w:id="52" w:name="_Toc270770587"/>
      <w:r w:rsidRPr="00DA0DCD">
        <w:rPr>
          <w:lang w:val="en-US"/>
        </w:rPr>
        <w:t>Second hypothesis</w:t>
      </w:r>
      <w:bookmarkEnd w:id="52"/>
    </w:p>
    <w:p w:rsidR="009050E9" w:rsidRPr="00DA0DCD" w:rsidRDefault="00521847" w:rsidP="00B24B49">
      <w:pPr>
        <w:rPr>
          <w:lang w:val="en-US"/>
        </w:rPr>
      </w:pPr>
      <w:r w:rsidRPr="00DA0DCD">
        <w:rPr>
          <w:lang w:val="en-US"/>
        </w:rPr>
        <w:t>In research on</w:t>
      </w:r>
      <w:r w:rsidR="00543E69">
        <w:rPr>
          <w:lang w:val="en-US"/>
        </w:rPr>
        <w:t xml:space="preserve"> the effect of</w:t>
      </w:r>
      <w:r w:rsidRPr="00DA0DCD">
        <w:rPr>
          <w:lang w:val="en-US"/>
        </w:rPr>
        <w:t xml:space="preserve"> the relaxation of FVA and impairments rules in the US</w:t>
      </w:r>
      <w:r w:rsidR="00543E69">
        <w:rPr>
          <w:lang w:val="en-US"/>
        </w:rPr>
        <w:t xml:space="preserve"> on the capital market</w:t>
      </w:r>
      <w:r w:rsidRPr="00DA0DCD">
        <w:rPr>
          <w:lang w:val="en-US"/>
        </w:rPr>
        <w:t xml:space="preserve"> (</w:t>
      </w:r>
      <w:r w:rsidR="009B124C" w:rsidRPr="00DA0DCD">
        <w:rPr>
          <w:lang w:val="en-US"/>
        </w:rPr>
        <w:t xml:space="preserve">by </w:t>
      </w:r>
      <w:r w:rsidRPr="00DA0DCD">
        <w:rPr>
          <w:lang w:val="en-US"/>
        </w:rPr>
        <w:t xml:space="preserve">Bowen et al. 2010), was also a positive (negative) reaction expected </w:t>
      </w:r>
      <w:r w:rsidR="005835AE">
        <w:rPr>
          <w:lang w:val="en-US"/>
        </w:rPr>
        <w:t>during events that increased (decreased)</w:t>
      </w:r>
      <w:r w:rsidRPr="00DA0DCD">
        <w:rPr>
          <w:lang w:val="en-US"/>
        </w:rPr>
        <w:t xml:space="preserve"> the probability of relaxing FVA. </w:t>
      </w:r>
      <w:r w:rsidR="005835AE" w:rsidRPr="00DA0DCD">
        <w:rPr>
          <w:lang w:val="en-US"/>
        </w:rPr>
        <w:t>However,</w:t>
      </w:r>
      <w:r w:rsidR="009B124C" w:rsidRPr="00DA0DCD">
        <w:rPr>
          <w:lang w:val="en-US"/>
        </w:rPr>
        <w:t xml:space="preserve"> the </w:t>
      </w:r>
      <w:r w:rsidR="00543E69" w:rsidRPr="00DA0DCD">
        <w:rPr>
          <w:lang w:val="en-US"/>
        </w:rPr>
        <w:t>situation in the US differs</w:t>
      </w:r>
      <w:r w:rsidR="009B124C" w:rsidRPr="00DA0DCD">
        <w:rPr>
          <w:lang w:val="en-US"/>
        </w:rPr>
        <w:t xml:space="preserve"> from the situation in Europe. As presented in chapter two, the reclassification of financial instrument</w:t>
      </w:r>
      <w:r w:rsidR="00543E69">
        <w:rPr>
          <w:lang w:val="en-US"/>
        </w:rPr>
        <w:t>s</w:t>
      </w:r>
      <w:r w:rsidR="009B124C" w:rsidRPr="00DA0DCD">
        <w:rPr>
          <w:lang w:val="en-US"/>
        </w:rPr>
        <w:t xml:space="preserve"> were already possible in the US and the impairment rules were relaxed</w:t>
      </w:r>
      <w:r w:rsidR="005C6E98">
        <w:rPr>
          <w:lang w:val="en-US"/>
        </w:rPr>
        <w:t xml:space="preserve"> later on</w:t>
      </w:r>
      <w:r w:rsidR="009B124C" w:rsidRPr="00DA0DCD">
        <w:rPr>
          <w:lang w:val="en-US"/>
        </w:rPr>
        <w:t xml:space="preserve">. In Europe only </w:t>
      </w:r>
      <w:r w:rsidR="005C6E98">
        <w:rPr>
          <w:lang w:val="en-US"/>
        </w:rPr>
        <w:t>the reclassification option beca</w:t>
      </w:r>
      <w:r w:rsidR="009B124C" w:rsidRPr="00DA0DCD">
        <w:rPr>
          <w:lang w:val="en-US"/>
        </w:rPr>
        <w:t>me possible by the amendment in October 2008.  So, the rules in the US are more relaxed tha</w:t>
      </w:r>
      <w:r w:rsidR="00543E69">
        <w:rPr>
          <w:lang w:val="en-US"/>
        </w:rPr>
        <w:t>n</w:t>
      </w:r>
      <w:r w:rsidR="009B124C" w:rsidRPr="00DA0DCD">
        <w:rPr>
          <w:lang w:val="en-US"/>
        </w:rPr>
        <w:t xml:space="preserve"> the reclassification option under IAS39 in Europe. This suggests a less stronger capital market reaction in Europe compared with the capital market reaction in the US, as presented by Bowen et al. 2010. Another difference between the US and Europe</w:t>
      </w:r>
      <w:r w:rsidR="006873DA" w:rsidRPr="00DA0DCD">
        <w:rPr>
          <w:lang w:val="en-US"/>
        </w:rPr>
        <w:t xml:space="preserve"> </w:t>
      </w:r>
      <w:r w:rsidR="009050E9" w:rsidRPr="00DA0DCD">
        <w:rPr>
          <w:lang w:val="en-US"/>
        </w:rPr>
        <w:t xml:space="preserve">is </w:t>
      </w:r>
      <w:r w:rsidR="006873DA" w:rsidRPr="00DA0DCD">
        <w:rPr>
          <w:lang w:val="en-US"/>
        </w:rPr>
        <w:t>about the capital market reaction</w:t>
      </w:r>
      <w:r w:rsidR="009050E9" w:rsidRPr="00DA0DCD">
        <w:rPr>
          <w:lang w:val="en-US"/>
        </w:rPr>
        <w:t xml:space="preserve"> and</w:t>
      </w:r>
      <w:r w:rsidR="009B124C" w:rsidRPr="00DA0DCD">
        <w:rPr>
          <w:lang w:val="en-US"/>
        </w:rPr>
        <w:t xml:space="preserve"> is presented by researches in chapter 4. </w:t>
      </w:r>
      <w:r w:rsidR="006873DA" w:rsidRPr="00DA0DCD">
        <w:rPr>
          <w:lang w:val="en-US"/>
        </w:rPr>
        <w:t xml:space="preserve">These researches </w:t>
      </w:r>
      <w:r w:rsidR="009050E9" w:rsidRPr="00DA0DCD">
        <w:rPr>
          <w:lang w:val="en-US"/>
        </w:rPr>
        <w:t>of Scholtens and de Wit (2004) and Van Dijk an</w:t>
      </w:r>
      <w:r w:rsidR="0009294A" w:rsidRPr="00DA0DCD">
        <w:rPr>
          <w:lang w:val="en-US"/>
        </w:rPr>
        <w:t>d</w:t>
      </w:r>
      <w:r w:rsidR="009050E9" w:rsidRPr="00DA0DCD">
        <w:rPr>
          <w:lang w:val="en-US"/>
        </w:rPr>
        <w:t xml:space="preserve"> Roosenboom (2009) </w:t>
      </w:r>
      <w:r w:rsidR="00705F4D" w:rsidRPr="00DA0DCD">
        <w:rPr>
          <w:lang w:val="en-US"/>
        </w:rPr>
        <w:t>indicate</w:t>
      </w:r>
      <w:r w:rsidR="009050E9" w:rsidRPr="00DA0DCD">
        <w:rPr>
          <w:lang w:val="en-US"/>
        </w:rPr>
        <w:t xml:space="preserve"> that the capital market in the US react</w:t>
      </w:r>
      <w:r w:rsidR="006920C9" w:rsidRPr="00DA0DCD">
        <w:rPr>
          <w:lang w:val="en-US"/>
        </w:rPr>
        <w:t>s</w:t>
      </w:r>
      <w:r w:rsidR="009050E9" w:rsidRPr="00DA0DCD">
        <w:rPr>
          <w:lang w:val="en-US"/>
        </w:rPr>
        <w:t xml:space="preserve"> stronger on an</w:t>
      </w:r>
      <w:r w:rsidR="0009294A" w:rsidRPr="00DA0DCD">
        <w:rPr>
          <w:lang w:val="en-US"/>
        </w:rPr>
        <w:t>nouncements</w:t>
      </w:r>
      <w:r w:rsidR="00DC6A91" w:rsidRPr="00DA0DCD">
        <w:rPr>
          <w:lang w:val="en-US"/>
        </w:rPr>
        <w:t xml:space="preserve"> of </w:t>
      </w:r>
      <w:r w:rsidR="00705F4D" w:rsidRPr="00DA0DCD">
        <w:rPr>
          <w:lang w:val="en-US"/>
        </w:rPr>
        <w:t xml:space="preserve">a possible </w:t>
      </w:r>
      <w:r w:rsidR="00DC6A91" w:rsidRPr="00DA0DCD">
        <w:rPr>
          <w:lang w:val="en-US"/>
        </w:rPr>
        <w:t>relax</w:t>
      </w:r>
      <w:r w:rsidR="00705F4D" w:rsidRPr="00DA0DCD">
        <w:rPr>
          <w:lang w:val="en-US"/>
        </w:rPr>
        <w:t>ation of FVA</w:t>
      </w:r>
      <w:r w:rsidR="0009294A" w:rsidRPr="00DA0DCD">
        <w:rPr>
          <w:lang w:val="en-US"/>
        </w:rPr>
        <w:t xml:space="preserve"> compared to Europe. </w:t>
      </w:r>
      <w:r w:rsidR="001105A9" w:rsidRPr="00DA0DCD">
        <w:rPr>
          <w:lang w:val="en-US"/>
        </w:rPr>
        <w:t xml:space="preserve">A reason could be </w:t>
      </w:r>
      <w:r w:rsidR="005772AA" w:rsidRPr="00DA0DCD">
        <w:rPr>
          <w:lang w:val="en-US"/>
        </w:rPr>
        <w:t xml:space="preserve">the difference in </w:t>
      </w:r>
      <w:r w:rsidR="00FF74F3" w:rsidRPr="00DA0DCD">
        <w:rPr>
          <w:lang w:val="en-US"/>
        </w:rPr>
        <w:t xml:space="preserve">behavior of investors and/or </w:t>
      </w:r>
      <w:r w:rsidR="001105A9" w:rsidRPr="00DA0DCD">
        <w:rPr>
          <w:lang w:val="en-US"/>
        </w:rPr>
        <w:t>the difference in corporate</w:t>
      </w:r>
      <w:r w:rsidR="005772AA" w:rsidRPr="00DA0DCD">
        <w:rPr>
          <w:lang w:val="en-US"/>
        </w:rPr>
        <w:t xml:space="preserve"> </w:t>
      </w:r>
      <w:r w:rsidR="001105A9" w:rsidRPr="00DA0DCD">
        <w:rPr>
          <w:lang w:val="en-US"/>
        </w:rPr>
        <w:t xml:space="preserve">governance </w:t>
      </w:r>
      <w:r w:rsidR="008A5F78" w:rsidRPr="00DA0DCD">
        <w:rPr>
          <w:lang w:val="en-US"/>
        </w:rPr>
        <w:t>regulation</w:t>
      </w:r>
      <w:r w:rsidR="001105A9" w:rsidRPr="00DA0DCD">
        <w:rPr>
          <w:lang w:val="en-US"/>
        </w:rPr>
        <w:t xml:space="preserve"> as presented in chapter two</w:t>
      </w:r>
      <w:r w:rsidR="00FF74F3" w:rsidRPr="00DA0DCD">
        <w:rPr>
          <w:lang w:val="en-US"/>
        </w:rPr>
        <w:t xml:space="preserve"> (SOX)</w:t>
      </w:r>
      <w:r w:rsidR="001105A9" w:rsidRPr="00DA0DCD">
        <w:rPr>
          <w:lang w:val="en-US"/>
        </w:rPr>
        <w:t xml:space="preserve">. </w:t>
      </w:r>
      <w:r w:rsidR="0009294A" w:rsidRPr="00DA0DCD">
        <w:rPr>
          <w:lang w:val="en-US"/>
        </w:rPr>
        <w:t>This could indicate that the capital market in Europe will also react less stronger to the reclassification option</w:t>
      </w:r>
      <w:r w:rsidR="000940B5" w:rsidRPr="00DA0DCD">
        <w:rPr>
          <w:lang w:val="en-US"/>
        </w:rPr>
        <w:t xml:space="preserve"> events</w:t>
      </w:r>
      <w:r w:rsidR="0009294A" w:rsidRPr="00DA0DCD">
        <w:rPr>
          <w:lang w:val="en-US"/>
        </w:rPr>
        <w:t xml:space="preserve"> than the reaction of the capital market in the US on the relaxation</w:t>
      </w:r>
      <w:r w:rsidR="000940B5" w:rsidRPr="00DA0DCD">
        <w:rPr>
          <w:lang w:val="en-US"/>
        </w:rPr>
        <w:t xml:space="preserve"> events</w:t>
      </w:r>
      <w:r w:rsidR="0009294A" w:rsidRPr="00DA0DCD">
        <w:rPr>
          <w:lang w:val="en-US"/>
        </w:rPr>
        <w:t>.</w:t>
      </w:r>
    </w:p>
    <w:p w:rsidR="0009294A" w:rsidRPr="00DA0DCD" w:rsidRDefault="0009294A" w:rsidP="0009294A">
      <w:pPr>
        <w:rPr>
          <w:lang w:val="en-US"/>
        </w:rPr>
      </w:pPr>
      <w:r w:rsidRPr="00DA0DCD">
        <w:rPr>
          <w:lang w:val="en-US"/>
        </w:rPr>
        <w:t>Both the difference in situation and difference in market reaction are taken into account. These differences give</w:t>
      </w:r>
      <w:r w:rsidR="000940B5" w:rsidRPr="00DA0DCD">
        <w:rPr>
          <w:lang w:val="en-US"/>
        </w:rPr>
        <w:t xml:space="preserve"> both</w:t>
      </w:r>
      <w:r w:rsidRPr="00DA0DCD">
        <w:rPr>
          <w:lang w:val="en-US"/>
        </w:rPr>
        <w:t xml:space="preserve"> the indication that the capital markets in Europe will show an overall lower abnormal return on the announcements concerning the introduction of the reclassification option, than the capital market reaction on </w:t>
      </w:r>
      <w:r w:rsidR="00DB595A" w:rsidRPr="00DA0DCD">
        <w:rPr>
          <w:lang w:val="en-US"/>
        </w:rPr>
        <w:t xml:space="preserve">announcements </w:t>
      </w:r>
      <w:r w:rsidR="00DB595A">
        <w:rPr>
          <w:lang w:val="en-US"/>
        </w:rPr>
        <w:t xml:space="preserve">of a probable </w:t>
      </w:r>
      <w:r w:rsidRPr="00DA0DCD">
        <w:rPr>
          <w:lang w:val="en-US"/>
        </w:rPr>
        <w:t>relaxation</w:t>
      </w:r>
      <w:r w:rsidR="00DB595A">
        <w:rPr>
          <w:lang w:val="en-US"/>
        </w:rPr>
        <w:t xml:space="preserve"> of</w:t>
      </w:r>
      <w:r w:rsidRPr="00DA0DCD">
        <w:rPr>
          <w:lang w:val="en-US"/>
        </w:rPr>
        <w:t xml:space="preserve"> FVA</w:t>
      </w:r>
      <w:r w:rsidR="000940B5" w:rsidRPr="00DA0DCD">
        <w:rPr>
          <w:lang w:val="en-US"/>
        </w:rPr>
        <w:t xml:space="preserve"> (Bowen et al. 2010)</w:t>
      </w:r>
      <w:r w:rsidRPr="00DA0DCD">
        <w:rPr>
          <w:lang w:val="en-US"/>
        </w:rPr>
        <w:t xml:space="preserve"> in the US.</w:t>
      </w:r>
      <w:r w:rsidR="000940B5" w:rsidRPr="00DA0DCD">
        <w:rPr>
          <w:lang w:val="en-US"/>
        </w:rPr>
        <w:t xml:space="preserve"> For this </w:t>
      </w:r>
      <w:r w:rsidR="005C6E98" w:rsidRPr="00DA0DCD">
        <w:rPr>
          <w:lang w:val="en-US"/>
        </w:rPr>
        <w:t>reason,</w:t>
      </w:r>
      <w:r w:rsidR="000940B5" w:rsidRPr="00DA0DCD">
        <w:rPr>
          <w:lang w:val="en-US"/>
        </w:rPr>
        <w:t xml:space="preserve"> a less positive or weaker market reaction is expected in Europe compared to the US.</w:t>
      </w:r>
    </w:p>
    <w:p w:rsidR="000940B5" w:rsidRPr="00DA0DCD" w:rsidRDefault="008A5F78" w:rsidP="000940B5">
      <w:pPr>
        <w:rPr>
          <w:lang w:val="en-US"/>
        </w:rPr>
      </w:pPr>
      <w:r w:rsidRPr="00DA0DCD">
        <w:rPr>
          <w:lang w:val="en-US"/>
        </w:rPr>
        <w:t>The</w:t>
      </w:r>
      <w:r w:rsidR="000940B5" w:rsidRPr="00DA0DCD">
        <w:rPr>
          <w:lang w:val="en-US"/>
        </w:rPr>
        <w:t xml:space="preserve"> second </w:t>
      </w:r>
      <w:r w:rsidR="00DC6A91" w:rsidRPr="00DA0DCD">
        <w:rPr>
          <w:lang w:val="en-US"/>
        </w:rPr>
        <w:t>hypothesis is</w:t>
      </w:r>
      <w:r w:rsidR="000940B5" w:rsidRPr="00DA0DCD">
        <w:rPr>
          <w:lang w:val="en-US"/>
        </w:rPr>
        <w:t xml:space="preserve"> therefore:</w:t>
      </w:r>
    </w:p>
    <w:p w:rsidR="000940B5" w:rsidRPr="00DA0DCD" w:rsidRDefault="000940B5" w:rsidP="000940B5">
      <w:pPr>
        <w:ind w:left="360"/>
        <w:rPr>
          <w:rStyle w:val="longtext1"/>
          <w:rFonts w:cs="Times New Roman"/>
          <w:sz w:val="22"/>
          <w:szCs w:val="22"/>
          <w:shd w:val="clear" w:color="auto" w:fill="FFFFFF"/>
          <w:lang w:val="en-US"/>
        </w:rPr>
      </w:pPr>
      <w:r w:rsidRPr="00DA0DCD">
        <w:rPr>
          <w:rStyle w:val="longtext1"/>
          <w:rFonts w:cs="Times New Roman"/>
          <w:sz w:val="22"/>
          <w:szCs w:val="22"/>
          <w:shd w:val="clear" w:color="auto" w:fill="FFFFFF"/>
          <w:lang w:val="en-US"/>
        </w:rPr>
        <w:t xml:space="preserve">Hypothesis </w:t>
      </w:r>
      <w:r w:rsidR="008F6A39" w:rsidRPr="00DA0DCD">
        <w:rPr>
          <w:rStyle w:val="longtext1"/>
          <w:rFonts w:cs="Times New Roman"/>
          <w:sz w:val="22"/>
          <w:szCs w:val="22"/>
          <w:shd w:val="clear" w:color="auto" w:fill="FFFFFF"/>
          <w:lang w:val="en-US"/>
        </w:rPr>
        <w:t>2</w:t>
      </w:r>
      <w:r w:rsidRPr="00DA0DCD">
        <w:rPr>
          <w:rStyle w:val="longtext1"/>
          <w:rFonts w:cs="Times New Roman"/>
          <w:sz w:val="22"/>
          <w:szCs w:val="22"/>
          <w:shd w:val="clear" w:color="auto" w:fill="FFFFFF"/>
          <w:lang w:val="en-US"/>
        </w:rPr>
        <w:t xml:space="preserve">: </w:t>
      </w:r>
      <w:r w:rsidRPr="00DA0DCD">
        <w:rPr>
          <w:rStyle w:val="longtext1"/>
          <w:rFonts w:cs="Times New Roman"/>
          <w:i/>
          <w:sz w:val="22"/>
          <w:szCs w:val="22"/>
          <w:shd w:val="clear" w:color="auto" w:fill="FFFFFF"/>
          <w:lang w:val="en-US"/>
        </w:rPr>
        <w:t>The</w:t>
      </w:r>
      <w:r w:rsidR="008F6A39" w:rsidRPr="00DA0DCD">
        <w:rPr>
          <w:rStyle w:val="longtext1"/>
          <w:rFonts w:cs="Times New Roman"/>
          <w:i/>
          <w:sz w:val="22"/>
          <w:szCs w:val="22"/>
          <w:shd w:val="clear" w:color="auto" w:fill="FFFFFF"/>
          <w:lang w:val="en-US"/>
        </w:rPr>
        <w:t xml:space="preserve"> absolute value of the</w:t>
      </w:r>
      <w:r w:rsidRPr="00DA0DCD">
        <w:rPr>
          <w:rStyle w:val="longtext1"/>
          <w:rFonts w:cs="Times New Roman"/>
          <w:i/>
          <w:sz w:val="22"/>
          <w:szCs w:val="22"/>
          <w:shd w:val="clear" w:color="auto" w:fill="FFFFFF"/>
          <w:lang w:val="en-US"/>
        </w:rPr>
        <w:t xml:space="preserve"> stock price reactions </w:t>
      </w:r>
      <w:r w:rsidR="0077354B" w:rsidRPr="00DA0DCD">
        <w:rPr>
          <w:rStyle w:val="longtext1"/>
          <w:rFonts w:cs="Times New Roman"/>
          <w:i/>
          <w:sz w:val="22"/>
          <w:szCs w:val="22"/>
          <w:shd w:val="clear" w:color="auto" w:fill="FFFFFF"/>
          <w:lang w:val="en-US"/>
        </w:rPr>
        <w:t>of</w:t>
      </w:r>
      <w:r w:rsidRPr="00DA0DCD">
        <w:rPr>
          <w:rStyle w:val="longtext1"/>
          <w:rFonts w:cs="Times New Roman"/>
          <w:i/>
          <w:sz w:val="22"/>
          <w:szCs w:val="22"/>
          <w:shd w:val="clear" w:color="auto" w:fill="FFFFFF"/>
          <w:lang w:val="en-US"/>
        </w:rPr>
        <w:t xml:space="preserve"> </w:t>
      </w:r>
      <w:r w:rsidR="006A3C9B" w:rsidRPr="00DA0DCD">
        <w:rPr>
          <w:rStyle w:val="longtext1"/>
          <w:rFonts w:cs="Times New Roman"/>
          <w:i/>
          <w:sz w:val="22"/>
          <w:szCs w:val="22"/>
          <w:shd w:val="clear" w:color="auto" w:fill="FFFFFF"/>
          <w:lang w:val="en-US"/>
        </w:rPr>
        <w:t>banks</w:t>
      </w:r>
      <w:r w:rsidRPr="00DA0DCD">
        <w:rPr>
          <w:rStyle w:val="longtext1"/>
          <w:rFonts w:cs="Times New Roman"/>
          <w:i/>
          <w:sz w:val="22"/>
          <w:szCs w:val="22"/>
          <w:shd w:val="clear" w:color="auto" w:fill="FFFFFF"/>
          <w:lang w:val="en-US"/>
        </w:rPr>
        <w:t xml:space="preserve"> in Europe to the introduction of the reclassification option for financial instruments in IAS 39 is expected to be weaker than the reaction on the announcements relaxing FVA in the US.</w:t>
      </w:r>
    </w:p>
    <w:p w:rsidR="00B24B49" w:rsidRPr="00DA0DCD" w:rsidRDefault="00854A62" w:rsidP="00B24B49">
      <w:pPr>
        <w:pStyle w:val="Kop2"/>
        <w:numPr>
          <w:ilvl w:val="1"/>
          <w:numId w:val="14"/>
        </w:numPr>
        <w:rPr>
          <w:rStyle w:val="longtext1"/>
          <w:sz w:val="26"/>
          <w:szCs w:val="22"/>
          <w:shd w:val="clear" w:color="auto" w:fill="FFFFFF"/>
          <w:lang w:val="en-US"/>
        </w:rPr>
      </w:pPr>
      <w:bookmarkStart w:id="53" w:name="_Toc270770588"/>
      <w:r w:rsidRPr="00DA0DCD">
        <w:rPr>
          <w:rStyle w:val="longtext1"/>
          <w:sz w:val="26"/>
          <w:szCs w:val="22"/>
          <w:shd w:val="clear" w:color="auto" w:fill="FFFFFF"/>
          <w:lang w:val="en-US"/>
        </w:rPr>
        <w:t>Third</w:t>
      </w:r>
      <w:r w:rsidR="00B24B49" w:rsidRPr="00DA0DCD">
        <w:rPr>
          <w:rStyle w:val="longtext1"/>
          <w:sz w:val="26"/>
          <w:szCs w:val="22"/>
          <w:shd w:val="clear" w:color="auto" w:fill="FFFFFF"/>
          <w:lang w:val="en-US"/>
        </w:rPr>
        <w:t xml:space="preserve"> hypothesis</w:t>
      </w:r>
      <w:bookmarkEnd w:id="53"/>
    </w:p>
    <w:p w:rsidR="00B24B49" w:rsidRPr="00DA0DCD" w:rsidRDefault="007D1F44" w:rsidP="009A3F17">
      <w:pPr>
        <w:rPr>
          <w:rStyle w:val="longtext1"/>
          <w:rFonts w:cs="Times New Roman"/>
          <w:sz w:val="22"/>
          <w:szCs w:val="22"/>
          <w:shd w:val="clear" w:color="auto" w:fill="FFFFFF"/>
          <w:lang w:val="en-US"/>
        </w:rPr>
      </w:pPr>
      <w:r w:rsidRPr="00DA0DCD">
        <w:rPr>
          <w:rStyle w:val="longtext1"/>
          <w:rFonts w:cs="Times New Roman"/>
          <w:sz w:val="22"/>
          <w:szCs w:val="22"/>
          <w:shd w:val="clear" w:color="auto" w:fill="FFFFFF"/>
          <w:lang w:val="en-US"/>
        </w:rPr>
        <w:t xml:space="preserve">As described in </w:t>
      </w:r>
      <w:r w:rsidR="00947A7D" w:rsidRPr="00DA0DCD">
        <w:rPr>
          <w:rStyle w:val="longtext1"/>
          <w:rFonts w:cs="Times New Roman"/>
          <w:sz w:val="22"/>
          <w:szCs w:val="22"/>
          <w:shd w:val="clear" w:color="auto" w:fill="FFFFFF"/>
          <w:lang w:val="en-US"/>
        </w:rPr>
        <w:t>chapter</w:t>
      </w:r>
      <w:r w:rsidRPr="00DA0DCD">
        <w:rPr>
          <w:rStyle w:val="longtext1"/>
          <w:rFonts w:cs="Times New Roman"/>
          <w:sz w:val="22"/>
          <w:szCs w:val="22"/>
          <w:shd w:val="clear" w:color="auto" w:fill="FFFFFF"/>
          <w:lang w:val="en-US"/>
        </w:rPr>
        <w:t xml:space="preserve"> </w:t>
      </w:r>
      <w:r w:rsidR="00D73D41" w:rsidRPr="00DA0DCD">
        <w:rPr>
          <w:rStyle w:val="longtext1"/>
          <w:rFonts w:cs="Times New Roman"/>
          <w:sz w:val="22"/>
          <w:szCs w:val="22"/>
          <w:shd w:val="clear" w:color="auto" w:fill="FFFFFF"/>
          <w:lang w:val="en-US"/>
        </w:rPr>
        <w:t>two</w:t>
      </w:r>
      <w:r w:rsidRPr="00DA0DCD">
        <w:rPr>
          <w:rStyle w:val="longtext1"/>
          <w:rFonts w:cs="Times New Roman"/>
          <w:sz w:val="22"/>
          <w:szCs w:val="22"/>
          <w:shd w:val="clear" w:color="auto" w:fill="FFFFFF"/>
          <w:lang w:val="en-US"/>
        </w:rPr>
        <w:t xml:space="preserve"> there are differences in specific regulation</w:t>
      </w:r>
      <w:r w:rsidR="00543E69">
        <w:rPr>
          <w:rStyle w:val="longtext1"/>
          <w:rFonts w:cs="Times New Roman"/>
          <w:sz w:val="22"/>
          <w:szCs w:val="22"/>
          <w:shd w:val="clear" w:color="auto" w:fill="FFFFFF"/>
          <w:lang w:val="en-US"/>
        </w:rPr>
        <w:t>s</w:t>
      </w:r>
      <w:r w:rsidRPr="00DA0DCD">
        <w:rPr>
          <w:rStyle w:val="longtext1"/>
          <w:rFonts w:cs="Times New Roman"/>
          <w:sz w:val="22"/>
          <w:szCs w:val="22"/>
          <w:shd w:val="clear" w:color="auto" w:fill="FFFFFF"/>
          <w:lang w:val="en-US"/>
        </w:rPr>
        <w:t xml:space="preserve"> for banks and insurance companies</w:t>
      </w:r>
      <w:r w:rsidR="009A3F17" w:rsidRPr="00DA0DCD">
        <w:rPr>
          <w:rStyle w:val="longtext1"/>
          <w:rFonts w:cs="Times New Roman"/>
          <w:sz w:val="22"/>
          <w:szCs w:val="22"/>
          <w:shd w:val="clear" w:color="auto" w:fill="FFFFFF"/>
          <w:lang w:val="en-US"/>
        </w:rPr>
        <w:t xml:space="preserve"> in Europe</w:t>
      </w:r>
      <w:r w:rsidRPr="00DA0DCD">
        <w:rPr>
          <w:rStyle w:val="longtext1"/>
          <w:rFonts w:cs="Times New Roman"/>
          <w:sz w:val="22"/>
          <w:szCs w:val="22"/>
          <w:shd w:val="clear" w:color="auto" w:fill="FFFFFF"/>
          <w:lang w:val="en-US"/>
        </w:rPr>
        <w:t xml:space="preserve">. Banks have to deal with Basel II requirements and insurance companies </w:t>
      </w:r>
      <w:r w:rsidR="00B62E48" w:rsidRPr="00DA0DCD">
        <w:rPr>
          <w:rStyle w:val="longtext1"/>
          <w:rFonts w:cs="Times New Roman"/>
          <w:sz w:val="22"/>
          <w:szCs w:val="22"/>
          <w:shd w:val="clear" w:color="auto" w:fill="FFFFFF"/>
          <w:lang w:val="en-US"/>
        </w:rPr>
        <w:t>are</w:t>
      </w:r>
      <w:r w:rsidR="00B62E48" w:rsidRPr="00DA0DCD">
        <w:rPr>
          <w:rStyle w:val="longtext1"/>
          <w:rFonts w:cs="Times New Roman"/>
          <w:color w:val="FF0000"/>
          <w:sz w:val="22"/>
          <w:szCs w:val="22"/>
          <w:shd w:val="clear" w:color="auto" w:fill="FFFFFF"/>
          <w:lang w:val="en-US"/>
        </w:rPr>
        <w:t xml:space="preserve"> </w:t>
      </w:r>
      <w:r w:rsidR="00B62E48" w:rsidRPr="00DA0DCD">
        <w:rPr>
          <w:rStyle w:val="longtext1"/>
          <w:rFonts w:cs="Times New Roman"/>
          <w:sz w:val="22"/>
          <w:szCs w:val="22"/>
          <w:shd w:val="clear" w:color="auto" w:fill="FFFFFF"/>
          <w:lang w:val="en-US"/>
        </w:rPr>
        <w:t xml:space="preserve">subjected to </w:t>
      </w:r>
      <w:r w:rsidRPr="00DA0DCD">
        <w:rPr>
          <w:rStyle w:val="longtext1"/>
          <w:rFonts w:cs="Times New Roman"/>
          <w:sz w:val="22"/>
          <w:szCs w:val="22"/>
          <w:shd w:val="clear" w:color="auto" w:fill="FFFFFF"/>
          <w:lang w:val="en-US"/>
        </w:rPr>
        <w:t xml:space="preserve"> Solvency requirements. Under Basel II banks have to meet more stringent certain </w:t>
      </w:r>
      <w:r w:rsidRPr="00DA0DCD">
        <w:rPr>
          <w:rStyle w:val="longtext1"/>
          <w:rFonts w:cs="Times New Roman"/>
          <w:sz w:val="22"/>
          <w:szCs w:val="22"/>
          <w:shd w:val="clear" w:color="auto" w:fill="FFFFFF"/>
          <w:lang w:val="en-US"/>
        </w:rPr>
        <w:lastRenderedPageBreak/>
        <w:t xml:space="preserve">financial ratios than insurance companies under Solvency. As described in </w:t>
      </w:r>
      <w:r w:rsidR="00947A7D" w:rsidRPr="00DA0DCD">
        <w:rPr>
          <w:rStyle w:val="longtext1"/>
          <w:rFonts w:cs="Times New Roman"/>
          <w:sz w:val="22"/>
          <w:szCs w:val="22"/>
          <w:shd w:val="clear" w:color="auto" w:fill="FFFFFF"/>
          <w:lang w:val="en-US"/>
        </w:rPr>
        <w:t>paragraph</w:t>
      </w:r>
      <w:r w:rsidR="00DF05C8" w:rsidRPr="00DA0DCD">
        <w:rPr>
          <w:rStyle w:val="longtext1"/>
          <w:rFonts w:cs="Times New Roman"/>
          <w:sz w:val="22"/>
          <w:szCs w:val="22"/>
          <w:shd w:val="clear" w:color="auto" w:fill="FFFFFF"/>
          <w:lang w:val="en-US"/>
        </w:rPr>
        <w:t xml:space="preserve"> 4.5</w:t>
      </w:r>
      <w:r w:rsidRPr="00DA0DCD">
        <w:rPr>
          <w:rStyle w:val="longtext1"/>
          <w:rFonts w:cs="Times New Roman"/>
          <w:sz w:val="22"/>
          <w:szCs w:val="22"/>
          <w:shd w:val="clear" w:color="auto" w:fill="FFFFFF"/>
          <w:lang w:val="en-US"/>
        </w:rPr>
        <w:t>, FVA under IAS 39 has a negative effect on the ratios of financial institutions in times of a</w:t>
      </w:r>
      <w:r w:rsidR="00DF05C8" w:rsidRPr="00DA0DCD">
        <w:rPr>
          <w:rStyle w:val="longtext1"/>
          <w:rFonts w:cs="Times New Roman"/>
          <w:sz w:val="22"/>
          <w:szCs w:val="22"/>
          <w:shd w:val="clear" w:color="auto" w:fill="FFFFFF"/>
          <w:lang w:val="en-US"/>
        </w:rPr>
        <w:t xml:space="preserve"> financial</w:t>
      </w:r>
      <w:r w:rsidRPr="00DA0DCD">
        <w:rPr>
          <w:rStyle w:val="longtext1"/>
          <w:rFonts w:cs="Times New Roman"/>
          <w:sz w:val="22"/>
          <w:szCs w:val="22"/>
          <w:shd w:val="clear" w:color="auto" w:fill="FFFFFF"/>
          <w:lang w:val="en-US"/>
        </w:rPr>
        <w:t xml:space="preserve"> crisis.</w:t>
      </w:r>
      <w:r w:rsidR="00182C15" w:rsidRPr="00DA0DCD">
        <w:rPr>
          <w:rStyle w:val="longtext1"/>
          <w:rFonts w:cs="Times New Roman"/>
          <w:sz w:val="22"/>
          <w:szCs w:val="22"/>
          <w:shd w:val="clear" w:color="auto" w:fill="FFFFFF"/>
          <w:lang w:val="en-US"/>
        </w:rPr>
        <w:t xml:space="preserve"> </w:t>
      </w:r>
      <w:r w:rsidR="007D72A2">
        <w:rPr>
          <w:rStyle w:val="longtext1"/>
          <w:rFonts w:cs="Times New Roman"/>
          <w:sz w:val="22"/>
          <w:szCs w:val="22"/>
          <w:shd w:val="clear" w:color="auto" w:fill="FFFFFF"/>
          <w:lang w:val="en-US"/>
        </w:rPr>
        <w:t>D</w:t>
      </w:r>
      <w:r w:rsidR="00182C15" w:rsidRPr="00DA0DCD">
        <w:rPr>
          <w:rStyle w:val="longtext1"/>
          <w:rFonts w:cs="Times New Roman"/>
          <w:sz w:val="22"/>
          <w:szCs w:val="22"/>
          <w:shd w:val="clear" w:color="auto" w:fill="FFFFFF"/>
          <w:lang w:val="en-US"/>
        </w:rPr>
        <w:t xml:space="preserve">uring the financial </w:t>
      </w:r>
      <w:r w:rsidR="007D72A2" w:rsidRPr="00DA0DCD">
        <w:rPr>
          <w:rStyle w:val="longtext1"/>
          <w:rFonts w:cs="Times New Roman"/>
          <w:sz w:val="22"/>
          <w:szCs w:val="22"/>
          <w:shd w:val="clear" w:color="auto" w:fill="FFFFFF"/>
          <w:lang w:val="en-US"/>
        </w:rPr>
        <w:t>crisis,</w:t>
      </w:r>
      <w:r w:rsidR="00182C15" w:rsidRPr="00DA0DCD">
        <w:rPr>
          <w:rStyle w:val="longtext1"/>
          <w:rFonts w:cs="Times New Roman"/>
          <w:sz w:val="22"/>
          <w:szCs w:val="22"/>
          <w:shd w:val="clear" w:color="auto" w:fill="FFFFFF"/>
          <w:lang w:val="en-US"/>
        </w:rPr>
        <w:t xml:space="preserve"> t</w:t>
      </w:r>
      <w:r w:rsidR="00182C15" w:rsidRPr="00DA0DCD">
        <w:rPr>
          <w:lang w:val="en-US"/>
        </w:rPr>
        <w:t xml:space="preserve">he combination of liquidation prices and an increased supply reduces the price of financial assets. </w:t>
      </w:r>
      <w:r w:rsidR="007D72A2" w:rsidRPr="00DA0DCD">
        <w:rPr>
          <w:rStyle w:val="longtext1"/>
          <w:rFonts w:cs="Times New Roman"/>
          <w:sz w:val="22"/>
          <w:szCs w:val="22"/>
          <w:shd w:val="clear" w:color="auto" w:fill="FFFFFF"/>
          <w:lang w:val="en-US"/>
        </w:rPr>
        <w:t>Therefore,</w:t>
      </w:r>
      <w:r w:rsidR="00182C15" w:rsidRPr="00DA0DCD">
        <w:rPr>
          <w:rStyle w:val="longtext1"/>
          <w:rFonts w:cs="Times New Roman"/>
          <w:sz w:val="22"/>
          <w:szCs w:val="22"/>
          <w:shd w:val="clear" w:color="auto" w:fill="FFFFFF"/>
          <w:lang w:val="en-US"/>
        </w:rPr>
        <w:t xml:space="preserve"> financial institutions ha</w:t>
      </w:r>
      <w:r w:rsidR="007D72A2">
        <w:rPr>
          <w:rStyle w:val="longtext1"/>
          <w:rFonts w:cs="Times New Roman"/>
          <w:sz w:val="22"/>
          <w:szCs w:val="22"/>
          <w:shd w:val="clear" w:color="auto" w:fill="FFFFFF"/>
          <w:lang w:val="en-US"/>
        </w:rPr>
        <w:t>ve</w:t>
      </w:r>
      <w:r w:rsidR="00182C15" w:rsidRPr="00DA0DCD">
        <w:rPr>
          <w:rStyle w:val="longtext1"/>
          <w:rFonts w:cs="Times New Roman"/>
          <w:sz w:val="22"/>
          <w:szCs w:val="22"/>
          <w:shd w:val="clear" w:color="auto" w:fill="FFFFFF"/>
          <w:lang w:val="en-US"/>
        </w:rPr>
        <w:t xml:space="preserve"> to impair their financial instruments. At that moment banks </w:t>
      </w:r>
      <w:r w:rsidR="00182C15" w:rsidRPr="00DA0DCD">
        <w:rPr>
          <w:lang w:val="en-US"/>
        </w:rPr>
        <w:t xml:space="preserve">might face problems because of the risk-based capital (Basel II capital requirements). </w:t>
      </w:r>
      <w:r w:rsidR="00E94206" w:rsidRPr="00DA0DCD">
        <w:rPr>
          <w:lang w:val="en-US"/>
        </w:rPr>
        <w:t xml:space="preserve">This </w:t>
      </w:r>
      <w:r w:rsidR="007D72A2">
        <w:rPr>
          <w:lang w:val="en-US"/>
        </w:rPr>
        <w:t xml:space="preserve">is </w:t>
      </w:r>
      <w:r w:rsidR="00E94206" w:rsidRPr="00DA0DCD">
        <w:rPr>
          <w:lang w:val="en-US"/>
        </w:rPr>
        <w:t xml:space="preserve">consistent with research of for instance Kashyap and Stein (2003) and Repullo and Suarez (2008) who conclude that the capital </w:t>
      </w:r>
      <w:r w:rsidR="007D72A2" w:rsidRPr="00DA0DCD">
        <w:rPr>
          <w:lang w:val="en-US"/>
        </w:rPr>
        <w:t>requirement of Basel II includes</w:t>
      </w:r>
      <w:r w:rsidR="00E94206" w:rsidRPr="00DA0DCD">
        <w:rPr>
          <w:lang w:val="en-US"/>
        </w:rPr>
        <w:t xml:space="preserve"> unintended pro-cyclicality. </w:t>
      </w:r>
      <w:r w:rsidR="00B62E48" w:rsidRPr="00DA0DCD">
        <w:rPr>
          <w:lang w:val="en-US"/>
        </w:rPr>
        <w:t xml:space="preserve">As </w:t>
      </w:r>
      <w:r w:rsidR="001105A9" w:rsidRPr="00DA0DCD">
        <w:rPr>
          <w:lang w:val="en-US"/>
        </w:rPr>
        <w:t>argued</w:t>
      </w:r>
      <w:r w:rsidR="00B62E48" w:rsidRPr="00DA0DCD">
        <w:rPr>
          <w:lang w:val="en-US"/>
        </w:rPr>
        <w:t>,</w:t>
      </w:r>
      <w:r w:rsidR="001105A9" w:rsidRPr="00DA0DCD">
        <w:rPr>
          <w:lang w:val="en-US"/>
        </w:rPr>
        <w:t xml:space="preserve"> the</w:t>
      </w:r>
      <w:r w:rsidR="00182C15" w:rsidRPr="00DA0DCD">
        <w:rPr>
          <w:rStyle w:val="longtext1"/>
          <w:rFonts w:cs="Times New Roman"/>
          <w:sz w:val="22"/>
          <w:szCs w:val="22"/>
          <w:shd w:val="clear" w:color="auto" w:fill="FFFFFF"/>
          <w:lang w:val="en-US"/>
        </w:rPr>
        <w:t xml:space="preserve"> combination of FVA and capital requirements</w:t>
      </w:r>
      <w:r w:rsidR="00B62E48" w:rsidRPr="00DA0DCD">
        <w:rPr>
          <w:rStyle w:val="longtext1"/>
          <w:rFonts w:cs="Times New Roman"/>
          <w:sz w:val="22"/>
          <w:szCs w:val="22"/>
          <w:shd w:val="clear" w:color="auto" w:fill="FFFFFF"/>
          <w:lang w:val="en-US"/>
        </w:rPr>
        <w:t xml:space="preserve"> (Basel II) can cause p</w:t>
      </w:r>
      <w:r w:rsidRPr="00DA0DCD">
        <w:rPr>
          <w:rStyle w:val="longtext1"/>
          <w:rFonts w:cs="Times New Roman"/>
          <w:sz w:val="22"/>
          <w:szCs w:val="22"/>
          <w:shd w:val="clear" w:color="auto" w:fill="FFFFFF"/>
          <w:lang w:val="en-US"/>
        </w:rPr>
        <w:t>ro-cyclical contagion.</w:t>
      </w:r>
      <w:r w:rsidR="00B62E48" w:rsidRPr="00DA0DCD">
        <w:rPr>
          <w:rStyle w:val="longtext1"/>
          <w:rFonts w:cs="Times New Roman"/>
          <w:sz w:val="22"/>
          <w:szCs w:val="22"/>
          <w:shd w:val="clear" w:color="auto" w:fill="FFFFFF"/>
          <w:lang w:val="en-US"/>
        </w:rPr>
        <w:t xml:space="preserve"> Insurance companies do not have to meet Basel II capital requirements, but Solvency requirements (see chapter two). The Solvency requirements are subjected to prudential filters as described in </w:t>
      </w:r>
      <w:r w:rsidR="00947A7D" w:rsidRPr="00DA0DCD">
        <w:rPr>
          <w:rStyle w:val="longtext1"/>
          <w:rFonts w:cs="Times New Roman"/>
          <w:sz w:val="22"/>
          <w:szCs w:val="22"/>
          <w:shd w:val="clear" w:color="auto" w:fill="FFFFFF"/>
          <w:lang w:val="en-US"/>
        </w:rPr>
        <w:t>paragraph</w:t>
      </w:r>
      <w:r w:rsidR="00B62E48" w:rsidRPr="00DA0DCD">
        <w:rPr>
          <w:rStyle w:val="longtext1"/>
          <w:rFonts w:cs="Times New Roman"/>
          <w:sz w:val="22"/>
          <w:szCs w:val="22"/>
          <w:shd w:val="clear" w:color="auto" w:fill="FFFFFF"/>
          <w:lang w:val="en-US"/>
        </w:rPr>
        <w:t xml:space="preserve"> 4.6. These filters </w:t>
      </w:r>
      <w:r w:rsidR="00B62E48" w:rsidRPr="00DA0DCD">
        <w:rPr>
          <w:lang w:val="en-US"/>
        </w:rPr>
        <w:t>limit the undesirable effects on the calculation of capital requirements, like fair value.</w:t>
      </w:r>
      <w:r w:rsidR="00B62E48" w:rsidRPr="00DA0DCD">
        <w:rPr>
          <w:rStyle w:val="longtext1"/>
          <w:rFonts w:cs="Times New Roman"/>
          <w:sz w:val="22"/>
          <w:szCs w:val="22"/>
          <w:shd w:val="clear" w:color="auto" w:fill="FFFFFF"/>
          <w:lang w:val="en-US"/>
        </w:rPr>
        <w:t xml:space="preserve"> This means that the pro-cyclical effect of capital requirements is less significant for insurance companies. </w:t>
      </w:r>
      <w:r w:rsidR="007D72A2">
        <w:rPr>
          <w:rStyle w:val="longtext1"/>
          <w:rFonts w:cs="Times New Roman"/>
          <w:sz w:val="22"/>
          <w:szCs w:val="22"/>
          <w:shd w:val="clear" w:color="auto" w:fill="FFFFFF"/>
          <w:lang w:val="en-US"/>
        </w:rPr>
        <w:t>R</w:t>
      </w:r>
      <w:r w:rsidR="00B62E48" w:rsidRPr="00DA0DCD">
        <w:rPr>
          <w:rStyle w:val="longtext1"/>
          <w:rFonts w:cs="Times New Roman"/>
          <w:sz w:val="22"/>
          <w:szCs w:val="22"/>
          <w:shd w:val="clear" w:color="auto" w:fill="FFFFFF"/>
          <w:lang w:val="en-US"/>
        </w:rPr>
        <w:t xml:space="preserve">esearch </w:t>
      </w:r>
      <w:r w:rsidR="00B62E48" w:rsidRPr="00DA0DCD">
        <w:rPr>
          <w:lang w:val="en-US"/>
        </w:rPr>
        <w:t xml:space="preserve">on the pro-cyclicality of capital requirements of insurance companies </w:t>
      </w:r>
      <w:r w:rsidR="007D72A2">
        <w:rPr>
          <w:lang w:val="en-US"/>
        </w:rPr>
        <w:t>are</w:t>
      </w:r>
      <w:r w:rsidR="00B62E48" w:rsidRPr="00DA0DCD">
        <w:rPr>
          <w:lang w:val="en-US"/>
        </w:rPr>
        <w:t xml:space="preserve"> not found</w:t>
      </w:r>
      <w:r w:rsidR="007D72A2">
        <w:rPr>
          <w:lang w:val="en-US"/>
        </w:rPr>
        <w:t xml:space="preserve"> yet</w:t>
      </w:r>
      <w:r w:rsidR="00B62E48" w:rsidRPr="00DA0DCD">
        <w:rPr>
          <w:lang w:val="en-US"/>
        </w:rPr>
        <w:t xml:space="preserve">. So it is arguable that </w:t>
      </w:r>
      <w:r w:rsidR="007A7431" w:rsidRPr="00DA0DCD">
        <w:rPr>
          <w:lang w:val="en-US"/>
        </w:rPr>
        <w:t xml:space="preserve">insurance companies experienced less problems with the pro-cyclical effect of capital requirements compared to banks. For this </w:t>
      </w:r>
      <w:r w:rsidR="00E00105" w:rsidRPr="00DA0DCD">
        <w:rPr>
          <w:lang w:val="en-US"/>
        </w:rPr>
        <w:t>reason,</w:t>
      </w:r>
      <w:r w:rsidR="007A7431" w:rsidRPr="00DA0DCD">
        <w:rPr>
          <w:lang w:val="en-US"/>
        </w:rPr>
        <w:t xml:space="preserve"> </w:t>
      </w:r>
      <w:r w:rsidR="007A7431" w:rsidRPr="00DA0DCD">
        <w:rPr>
          <w:rStyle w:val="longtext1"/>
          <w:rFonts w:cs="Times New Roman"/>
          <w:sz w:val="22"/>
          <w:szCs w:val="22"/>
          <w:shd w:val="clear" w:color="auto" w:fill="FFFFFF"/>
          <w:lang w:val="en-US"/>
        </w:rPr>
        <w:t>it seems that banks benefit more from a reclassification option in IAS 39 than insurance companies.</w:t>
      </w:r>
      <w:r w:rsidR="009A3F17" w:rsidRPr="00DA0DCD">
        <w:rPr>
          <w:rStyle w:val="longtext1"/>
          <w:rFonts w:cs="Times New Roman"/>
          <w:sz w:val="22"/>
          <w:szCs w:val="22"/>
          <w:shd w:val="clear" w:color="auto" w:fill="FFFFFF"/>
          <w:lang w:val="en-US"/>
        </w:rPr>
        <w:t xml:space="preserve"> </w:t>
      </w:r>
      <w:r w:rsidR="007A7431" w:rsidRPr="00DA0DCD">
        <w:rPr>
          <w:rStyle w:val="longtext1"/>
          <w:rFonts w:cs="Times New Roman"/>
          <w:sz w:val="22"/>
          <w:szCs w:val="22"/>
          <w:shd w:val="clear" w:color="auto" w:fill="FFFFFF"/>
          <w:lang w:val="en-US"/>
        </w:rPr>
        <w:t xml:space="preserve">So, </w:t>
      </w:r>
      <w:r w:rsidR="009A3F17" w:rsidRPr="00DA0DCD">
        <w:rPr>
          <w:rStyle w:val="longtext1"/>
          <w:rFonts w:cs="Times New Roman"/>
          <w:sz w:val="22"/>
          <w:szCs w:val="22"/>
          <w:shd w:val="clear" w:color="auto" w:fill="FFFFFF"/>
          <w:lang w:val="en-US"/>
        </w:rPr>
        <w:t>a s</w:t>
      </w:r>
      <w:r w:rsidR="007A7431" w:rsidRPr="00DA0DCD">
        <w:rPr>
          <w:rStyle w:val="longtext1"/>
          <w:rFonts w:cs="Times New Roman"/>
          <w:sz w:val="22"/>
          <w:szCs w:val="22"/>
          <w:shd w:val="clear" w:color="auto" w:fill="FFFFFF"/>
          <w:lang w:val="en-US"/>
        </w:rPr>
        <w:t>tronger</w:t>
      </w:r>
      <w:r w:rsidR="009A3F17" w:rsidRPr="00DA0DCD">
        <w:rPr>
          <w:rStyle w:val="longtext1"/>
          <w:rFonts w:cs="Times New Roman"/>
          <w:sz w:val="22"/>
          <w:szCs w:val="22"/>
          <w:shd w:val="clear" w:color="auto" w:fill="FFFFFF"/>
          <w:lang w:val="en-US"/>
        </w:rPr>
        <w:t xml:space="preserve"> capital reaction is expected for banks in Europe. In other words the capital reaction on the events will be more positive for banks compared with insurance companies.</w:t>
      </w:r>
    </w:p>
    <w:p w:rsidR="00B24B49" w:rsidRPr="00DA0DCD" w:rsidRDefault="00B24B49" w:rsidP="00B24B49">
      <w:pPr>
        <w:rPr>
          <w:rStyle w:val="longtext1"/>
          <w:rFonts w:cs="Times New Roman"/>
          <w:sz w:val="22"/>
          <w:szCs w:val="22"/>
          <w:shd w:val="clear" w:color="auto" w:fill="FFFFFF"/>
          <w:lang w:val="en-US"/>
        </w:rPr>
      </w:pPr>
      <w:r w:rsidRPr="00DA0DCD">
        <w:rPr>
          <w:rStyle w:val="longtext1"/>
          <w:rFonts w:cs="Times New Roman"/>
          <w:sz w:val="22"/>
          <w:szCs w:val="22"/>
          <w:shd w:val="clear" w:color="auto" w:fill="FFFFFF"/>
          <w:lang w:val="en-US"/>
        </w:rPr>
        <w:t xml:space="preserve">The </w:t>
      </w:r>
      <w:r w:rsidR="0077354B" w:rsidRPr="00DA0DCD">
        <w:rPr>
          <w:rStyle w:val="longtext1"/>
          <w:rFonts w:cs="Times New Roman"/>
          <w:sz w:val="22"/>
          <w:szCs w:val="22"/>
          <w:shd w:val="clear" w:color="auto" w:fill="FFFFFF"/>
          <w:lang w:val="en-US"/>
        </w:rPr>
        <w:t>third</w:t>
      </w:r>
      <w:r w:rsidRPr="00DA0DCD">
        <w:rPr>
          <w:rStyle w:val="longtext1"/>
          <w:rFonts w:cs="Times New Roman"/>
          <w:sz w:val="22"/>
          <w:szCs w:val="22"/>
          <w:shd w:val="clear" w:color="auto" w:fill="FFFFFF"/>
          <w:lang w:val="en-US"/>
        </w:rPr>
        <w:t xml:space="preserve"> hypothesis is therefore:</w:t>
      </w:r>
    </w:p>
    <w:p w:rsidR="00B24B49" w:rsidRPr="00DA0DCD" w:rsidRDefault="00B24B49" w:rsidP="009A3F17">
      <w:pPr>
        <w:ind w:left="708"/>
        <w:rPr>
          <w:rStyle w:val="longtext1"/>
          <w:rFonts w:cs="Times New Roman"/>
          <w:sz w:val="22"/>
          <w:szCs w:val="22"/>
          <w:shd w:val="clear" w:color="auto" w:fill="FFFFFF"/>
          <w:lang w:val="en-US"/>
        </w:rPr>
      </w:pPr>
      <w:r w:rsidRPr="00DA0DCD">
        <w:rPr>
          <w:rStyle w:val="longtext1"/>
          <w:rFonts w:cs="Times New Roman"/>
          <w:sz w:val="22"/>
          <w:szCs w:val="22"/>
          <w:shd w:val="clear" w:color="auto" w:fill="FFFFFF"/>
          <w:lang w:val="en-US"/>
        </w:rPr>
        <w:t xml:space="preserve">Hypothesis </w:t>
      </w:r>
      <w:r w:rsidR="00854A62" w:rsidRPr="00DA0DCD">
        <w:rPr>
          <w:rStyle w:val="longtext1"/>
          <w:rFonts w:cs="Times New Roman"/>
          <w:sz w:val="22"/>
          <w:szCs w:val="22"/>
          <w:shd w:val="clear" w:color="auto" w:fill="FFFFFF"/>
          <w:lang w:val="en-US"/>
        </w:rPr>
        <w:t>3</w:t>
      </w:r>
      <w:r w:rsidRPr="00DA0DCD">
        <w:rPr>
          <w:rStyle w:val="longtext1"/>
          <w:rFonts w:cs="Times New Roman"/>
          <w:sz w:val="22"/>
          <w:szCs w:val="22"/>
          <w:shd w:val="clear" w:color="auto" w:fill="FFFFFF"/>
          <w:lang w:val="en-US"/>
        </w:rPr>
        <w:t xml:space="preserve">: </w:t>
      </w:r>
      <w:r w:rsidRPr="00DA0DCD">
        <w:rPr>
          <w:rStyle w:val="longtext1"/>
          <w:rFonts w:cs="Times New Roman"/>
          <w:i/>
          <w:sz w:val="22"/>
          <w:szCs w:val="22"/>
          <w:shd w:val="clear" w:color="auto" w:fill="FFFFFF"/>
          <w:lang w:val="en-US"/>
        </w:rPr>
        <w:t xml:space="preserve">The </w:t>
      </w:r>
      <w:r w:rsidR="00854A62" w:rsidRPr="00DA0DCD">
        <w:rPr>
          <w:rStyle w:val="longtext1"/>
          <w:rFonts w:cs="Times New Roman"/>
          <w:i/>
          <w:sz w:val="22"/>
          <w:szCs w:val="22"/>
          <w:shd w:val="clear" w:color="auto" w:fill="FFFFFF"/>
          <w:lang w:val="en-US"/>
        </w:rPr>
        <w:t xml:space="preserve">absolute value of the </w:t>
      </w:r>
      <w:r w:rsidRPr="00DA0DCD">
        <w:rPr>
          <w:rStyle w:val="longtext1"/>
          <w:rFonts w:cs="Times New Roman"/>
          <w:i/>
          <w:sz w:val="22"/>
          <w:szCs w:val="22"/>
          <w:shd w:val="clear" w:color="auto" w:fill="FFFFFF"/>
          <w:lang w:val="en-US"/>
        </w:rPr>
        <w:t>stock price reaction</w:t>
      </w:r>
      <w:r w:rsidR="009A3F17" w:rsidRPr="00DA0DCD">
        <w:rPr>
          <w:rStyle w:val="longtext1"/>
          <w:rFonts w:cs="Times New Roman"/>
          <w:i/>
          <w:sz w:val="22"/>
          <w:szCs w:val="22"/>
          <w:shd w:val="clear" w:color="auto" w:fill="FFFFFF"/>
          <w:lang w:val="en-US"/>
        </w:rPr>
        <w:t xml:space="preserve"> </w:t>
      </w:r>
      <w:r w:rsidR="0077354B" w:rsidRPr="00DA0DCD">
        <w:rPr>
          <w:rStyle w:val="longtext1"/>
          <w:rFonts w:cs="Times New Roman"/>
          <w:i/>
          <w:sz w:val="22"/>
          <w:szCs w:val="22"/>
          <w:shd w:val="clear" w:color="auto" w:fill="FFFFFF"/>
          <w:lang w:val="en-US"/>
        </w:rPr>
        <w:t>of</w:t>
      </w:r>
      <w:r w:rsidR="009A3F17" w:rsidRPr="00DA0DCD">
        <w:rPr>
          <w:rStyle w:val="longtext1"/>
          <w:rFonts w:cs="Times New Roman"/>
          <w:i/>
          <w:sz w:val="22"/>
          <w:szCs w:val="22"/>
          <w:shd w:val="clear" w:color="auto" w:fill="FFFFFF"/>
          <w:lang w:val="en-US"/>
        </w:rPr>
        <w:t xml:space="preserve"> banks on the event</w:t>
      </w:r>
      <w:r w:rsidRPr="00DA0DCD">
        <w:rPr>
          <w:rStyle w:val="longtext1"/>
          <w:rFonts w:cs="Times New Roman"/>
          <w:i/>
          <w:sz w:val="22"/>
          <w:szCs w:val="22"/>
          <w:shd w:val="clear" w:color="auto" w:fill="FFFFFF"/>
          <w:lang w:val="en-US"/>
        </w:rPr>
        <w:t xml:space="preserve">s in Europe will be </w:t>
      </w:r>
      <w:r w:rsidR="00854A62" w:rsidRPr="00DA0DCD">
        <w:rPr>
          <w:rStyle w:val="longtext1"/>
          <w:rFonts w:cs="Times New Roman"/>
          <w:i/>
          <w:sz w:val="22"/>
          <w:szCs w:val="22"/>
          <w:shd w:val="clear" w:color="auto" w:fill="FFFFFF"/>
          <w:lang w:val="en-US"/>
        </w:rPr>
        <w:t>stronger</w:t>
      </w:r>
      <w:r w:rsidRPr="00DA0DCD">
        <w:rPr>
          <w:rStyle w:val="longtext1"/>
          <w:rFonts w:cs="Times New Roman"/>
          <w:i/>
          <w:sz w:val="22"/>
          <w:szCs w:val="22"/>
          <w:shd w:val="clear" w:color="auto" w:fill="FFFFFF"/>
          <w:lang w:val="en-US"/>
        </w:rPr>
        <w:t xml:space="preserve"> than the</w:t>
      </w:r>
      <w:r w:rsidR="00854A62" w:rsidRPr="00DA0DCD">
        <w:rPr>
          <w:rStyle w:val="longtext1"/>
          <w:rFonts w:cs="Times New Roman"/>
          <w:i/>
          <w:sz w:val="22"/>
          <w:szCs w:val="22"/>
          <w:shd w:val="clear" w:color="auto" w:fill="FFFFFF"/>
          <w:lang w:val="en-US"/>
        </w:rPr>
        <w:t xml:space="preserve"> absolute value</w:t>
      </w:r>
      <w:r w:rsidRPr="00DA0DCD">
        <w:rPr>
          <w:rStyle w:val="longtext1"/>
          <w:rFonts w:cs="Times New Roman"/>
          <w:i/>
          <w:sz w:val="22"/>
          <w:szCs w:val="22"/>
          <w:shd w:val="clear" w:color="auto" w:fill="FFFFFF"/>
          <w:lang w:val="en-US"/>
        </w:rPr>
        <w:t xml:space="preserve"> stock price reactions </w:t>
      </w:r>
      <w:r w:rsidR="0077354B" w:rsidRPr="00DA0DCD">
        <w:rPr>
          <w:rStyle w:val="longtext1"/>
          <w:rFonts w:cs="Times New Roman"/>
          <w:i/>
          <w:sz w:val="22"/>
          <w:szCs w:val="22"/>
          <w:shd w:val="clear" w:color="auto" w:fill="FFFFFF"/>
          <w:lang w:val="en-US"/>
        </w:rPr>
        <w:t>of</w:t>
      </w:r>
      <w:r w:rsidRPr="00DA0DCD">
        <w:rPr>
          <w:rStyle w:val="longtext1"/>
          <w:rFonts w:cs="Times New Roman"/>
          <w:i/>
          <w:sz w:val="22"/>
          <w:szCs w:val="22"/>
          <w:shd w:val="clear" w:color="auto" w:fill="FFFFFF"/>
          <w:lang w:val="en-US"/>
        </w:rPr>
        <w:t xml:space="preserve"> insurance companies in Europe.</w:t>
      </w:r>
    </w:p>
    <w:p w:rsidR="00B24B49" w:rsidRPr="00DA0DCD" w:rsidRDefault="00B24B49" w:rsidP="00B24B49">
      <w:pPr>
        <w:rPr>
          <w:rStyle w:val="longtext1"/>
          <w:rFonts w:cs="Times New Roman"/>
          <w:sz w:val="22"/>
          <w:szCs w:val="22"/>
          <w:shd w:val="clear" w:color="auto" w:fill="FFFFFF"/>
          <w:lang w:val="en-US"/>
        </w:rPr>
      </w:pPr>
      <w:r w:rsidRPr="00DA0DCD">
        <w:rPr>
          <w:rStyle w:val="longtext1"/>
          <w:rFonts w:cs="Times New Roman"/>
          <w:sz w:val="22"/>
          <w:szCs w:val="22"/>
          <w:shd w:val="clear" w:color="auto" w:fill="FFFFFF"/>
          <w:lang w:val="en-US"/>
        </w:rPr>
        <w:t xml:space="preserve">To examine this hypothesis, the sample will be divided in banks, insurance companies and other financial institutions. There </w:t>
      </w:r>
      <w:r w:rsidR="00FA0ADC">
        <w:rPr>
          <w:rStyle w:val="longtext1"/>
          <w:rFonts w:cs="Times New Roman"/>
          <w:sz w:val="22"/>
          <w:szCs w:val="22"/>
          <w:shd w:val="clear" w:color="auto" w:fill="FFFFFF"/>
          <w:lang w:val="en-US"/>
        </w:rPr>
        <w:t>are</w:t>
      </w:r>
      <w:r w:rsidRPr="00DA0DCD">
        <w:rPr>
          <w:rStyle w:val="longtext1"/>
          <w:rFonts w:cs="Times New Roman"/>
          <w:sz w:val="22"/>
          <w:szCs w:val="22"/>
          <w:shd w:val="clear" w:color="auto" w:fill="FFFFFF"/>
          <w:lang w:val="en-US"/>
        </w:rPr>
        <w:t xml:space="preserve"> also group of companies that meet bank and insurer characteristics at the same time</w:t>
      </w:r>
      <w:r w:rsidR="00FA0ADC">
        <w:rPr>
          <w:rStyle w:val="longtext1"/>
          <w:rFonts w:cs="Times New Roman"/>
          <w:sz w:val="22"/>
          <w:szCs w:val="22"/>
          <w:shd w:val="clear" w:color="auto" w:fill="FFFFFF"/>
          <w:lang w:val="en-US"/>
        </w:rPr>
        <w:t>, f</w:t>
      </w:r>
      <w:r w:rsidRPr="00DA0DCD">
        <w:rPr>
          <w:rStyle w:val="longtext1"/>
          <w:rFonts w:cs="Times New Roman"/>
          <w:sz w:val="22"/>
          <w:szCs w:val="22"/>
          <w:shd w:val="clear" w:color="auto" w:fill="FFFFFF"/>
          <w:lang w:val="en-US"/>
        </w:rPr>
        <w:t xml:space="preserve">or instance a listed holding with banking and insurer activities. These companies will be eliminated from the sample when testing hypothesis </w:t>
      </w:r>
      <w:r w:rsidR="00E00105" w:rsidRPr="00DA0DCD">
        <w:rPr>
          <w:rStyle w:val="longtext1"/>
          <w:rFonts w:cs="Times New Roman"/>
          <w:sz w:val="22"/>
          <w:szCs w:val="22"/>
          <w:shd w:val="clear" w:color="auto" w:fill="FFFFFF"/>
          <w:lang w:val="en-US"/>
        </w:rPr>
        <w:t>two</w:t>
      </w:r>
      <w:r w:rsidRPr="00DA0DCD">
        <w:rPr>
          <w:rStyle w:val="longtext1"/>
          <w:rFonts w:cs="Times New Roman"/>
          <w:sz w:val="22"/>
          <w:szCs w:val="22"/>
          <w:shd w:val="clear" w:color="auto" w:fill="FFFFFF"/>
          <w:lang w:val="en-US"/>
        </w:rPr>
        <w:t>.</w:t>
      </w:r>
    </w:p>
    <w:p w:rsidR="00B24B49" w:rsidRPr="00DA0DCD" w:rsidRDefault="00854A62" w:rsidP="00B24B49">
      <w:pPr>
        <w:pStyle w:val="Kop2"/>
        <w:numPr>
          <w:ilvl w:val="1"/>
          <w:numId w:val="14"/>
        </w:numPr>
        <w:rPr>
          <w:lang w:val="en-US"/>
        </w:rPr>
      </w:pPr>
      <w:bookmarkStart w:id="54" w:name="_Toc270770589"/>
      <w:r w:rsidRPr="00DA0DCD">
        <w:rPr>
          <w:lang w:val="en-US"/>
        </w:rPr>
        <w:t>Fourth</w:t>
      </w:r>
      <w:r w:rsidR="00B24B49" w:rsidRPr="00DA0DCD">
        <w:rPr>
          <w:lang w:val="en-US"/>
        </w:rPr>
        <w:t xml:space="preserve"> hypothesis</w:t>
      </w:r>
      <w:bookmarkEnd w:id="54"/>
    </w:p>
    <w:p w:rsidR="00B379D4" w:rsidRPr="00DA0DCD" w:rsidRDefault="00D73D41" w:rsidP="00B24B49">
      <w:pPr>
        <w:rPr>
          <w:lang w:val="en-US"/>
        </w:rPr>
      </w:pPr>
      <w:r w:rsidRPr="00DA0DCD">
        <w:rPr>
          <w:lang w:val="en-US"/>
        </w:rPr>
        <w:t xml:space="preserve">In chapter two is shown that there are differences in </w:t>
      </w:r>
      <w:r w:rsidR="00910C25" w:rsidRPr="00DA0DCD">
        <w:rPr>
          <w:lang w:val="en-US"/>
        </w:rPr>
        <w:t xml:space="preserve">corporate governance regulation in the US and Europe. In the </w:t>
      </w:r>
      <w:r w:rsidR="00470B75" w:rsidRPr="00DA0DCD">
        <w:rPr>
          <w:lang w:val="en-US"/>
        </w:rPr>
        <w:t>US,</w:t>
      </w:r>
      <w:r w:rsidR="00910C25" w:rsidRPr="00DA0DCD">
        <w:rPr>
          <w:lang w:val="en-US"/>
        </w:rPr>
        <w:t xml:space="preserve"> corporate governance under SOX is mandatory for public firms and is enforced by law. In Europe, in many jurisdictions, the corporate governance code is not as mandatory as in the US.</w:t>
      </w:r>
      <w:r w:rsidR="00CB12F2" w:rsidRPr="00DA0DCD">
        <w:rPr>
          <w:lang w:val="en-US"/>
        </w:rPr>
        <w:t xml:space="preserve"> However, also in Europe there are differences between corporate governance codes and the enforcement of the code. In many European </w:t>
      </w:r>
      <w:r w:rsidR="00470B75" w:rsidRPr="00DA0DCD">
        <w:rPr>
          <w:lang w:val="en-US"/>
        </w:rPr>
        <w:t>countries,</w:t>
      </w:r>
      <w:r w:rsidR="00CB12F2" w:rsidRPr="00DA0DCD">
        <w:rPr>
          <w:lang w:val="en-US"/>
        </w:rPr>
        <w:t xml:space="preserve"> the code has a status of recommendations whereby most of the time there is no explicit support of the public authorities. However, in the UK the investors have traditionally strong legal rights and the </w:t>
      </w:r>
      <w:r w:rsidR="00705F4D" w:rsidRPr="00DA0DCD">
        <w:rPr>
          <w:lang w:val="en-US"/>
        </w:rPr>
        <w:t xml:space="preserve">Financial Service Authority (FSA) </w:t>
      </w:r>
      <w:r w:rsidR="00CB12F2" w:rsidRPr="00DA0DCD">
        <w:rPr>
          <w:lang w:val="en-US"/>
        </w:rPr>
        <w:t>monitors the enforcement of the corporate governance code.</w:t>
      </w:r>
      <w:r w:rsidR="0049426F" w:rsidRPr="00DA0DCD">
        <w:rPr>
          <w:lang w:val="en-US"/>
        </w:rPr>
        <w:t xml:space="preserve"> If </w:t>
      </w:r>
      <w:r w:rsidR="00543E69">
        <w:rPr>
          <w:lang w:val="en-US"/>
        </w:rPr>
        <w:t xml:space="preserve">a </w:t>
      </w:r>
      <w:r w:rsidR="0049426F" w:rsidRPr="00DA0DCD">
        <w:rPr>
          <w:lang w:val="en-US"/>
        </w:rPr>
        <w:t xml:space="preserve">difference in corporate governance regulation could indicate a difference in extent of the capital market reaction, </w:t>
      </w:r>
      <w:r w:rsidR="00E20204" w:rsidRPr="00DA0DCD">
        <w:rPr>
          <w:lang w:val="en-US"/>
        </w:rPr>
        <w:t>then there could be expected a weaker</w:t>
      </w:r>
      <w:r w:rsidR="0049426F" w:rsidRPr="00DA0DCD">
        <w:rPr>
          <w:lang w:val="en-US"/>
        </w:rPr>
        <w:t xml:space="preserve"> stock price reaction in the UK compared to other European countries. </w:t>
      </w:r>
      <w:r w:rsidR="00FF74F3" w:rsidRPr="00DA0DCD">
        <w:rPr>
          <w:lang w:val="en-US"/>
        </w:rPr>
        <w:t xml:space="preserve"> A weaker stock price reaction could be the result of the reliance of investors in the corporate governance of financial institutions. </w:t>
      </w:r>
    </w:p>
    <w:p w:rsidR="009044DD" w:rsidRDefault="009044DD" w:rsidP="00B24B49">
      <w:pPr>
        <w:rPr>
          <w:lang w:val="en-US"/>
        </w:rPr>
      </w:pPr>
    </w:p>
    <w:p w:rsidR="009044DD" w:rsidRDefault="009044DD" w:rsidP="00B24B49">
      <w:pPr>
        <w:rPr>
          <w:lang w:val="en-US"/>
        </w:rPr>
      </w:pPr>
    </w:p>
    <w:p w:rsidR="0049426F" w:rsidRPr="00DA0DCD" w:rsidRDefault="0049426F" w:rsidP="00B24B49">
      <w:pPr>
        <w:rPr>
          <w:lang w:val="en-US"/>
        </w:rPr>
      </w:pPr>
      <w:r w:rsidRPr="00DA0DCD">
        <w:rPr>
          <w:lang w:val="en-US"/>
        </w:rPr>
        <w:lastRenderedPageBreak/>
        <w:t>The third hypothesis is therefore:</w:t>
      </w:r>
    </w:p>
    <w:p w:rsidR="0049426F" w:rsidRPr="00DA0DCD" w:rsidRDefault="0049426F" w:rsidP="0049426F">
      <w:pPr>
        <w:ind w:left="708" w:firstLine="30"/>
        <w:rPr>
          <w:lang w:val="en-US"/>
        </w:rPr>
      </w:pPr>
      <w:r w:rsidRPr="00DA0DCD">
        <w:rPr>
          <w:rStyle w:val="longtext1"/>
          <w:rFonts w:cs="Times New Roman"/>
          <w:sz w:val="22"/>
          <w:szCs w:val="22"/>
          <w:shd w:val="clear" w:color="auto" w:fill="FFFFFF"/>
          <w:lang w:val="en-US"/>
        </w:rPr>
        <w:t xml:space="preserve">Hypothesis </w:t>
      </w:r>
      <w:r w:rsidR="00854A62" w:rsidRPr="00DA0DCD">
        <w:rPr>
          <w:rStyle w:val="longtext1"/>
          <w:rFonts w:cs="Times New Roman"/>
          <w:sz w:val="22"/>
          <w:szCs w:val="22"/>
          <w:shd w:val="clear" w:color="auto" w:fill="FFFFFF"/>
          <w:lang w:val="en-US"/>
        </w:rPr>
        <w:t>4</w:t>
      </w:r>
      <w:r w:rsidRPr="00DA0DCD">
        <w:rPr>
          <w:rStyle w:val="longtext1"/>
          <w:rFonts w:cs="Times New Roman"/>
          <w:sz w:val="22"/>
          <w:szCs w:val="22"/>
          <w:shd w:val="clear" w:color="auto" w:fill="FFFFFF"/>
          <w:lang w:val="en-US"/>
        </w:rPr>
        <w:t xml:space="preserve">: </w:t>
      </w:r>
      <w:r w:rsidRPr="00DA0DCD">
        <w:rPr>
          <w:rStyle w:val="longtext1"/>
          <w:rFonts w:cs="Times New Roman"/>
          <w:i/>
          <w:sz w:val="22"/>
          <w:szCs w:val="22"/>
          <w:shd w:val="clear" w:color="auto" w:fill="FFFFFF"/>
          <w:lang w:val="en-US"/>
        </w:rPr>
        <w:t>The</w:t>
      </w:r>
      <w:r w:rsidR="00854A62" w:rsidRPr="00DA0DCD">
        <w:rPr>
          <w:rStyle w:val="longtext1"/>
          <w:rFonts w:cs="Times New Roman"/>
          <w:i/>
          <w:sz w:val="22"/>
          <w:szCs w:val="22"/>
          <w:shd w:val="clear" w:color="auto" w:fill="FFFFFF"/>
          <w:lang w:val="en-US"/>
        </w:rPr>
        <w:t xml:space="preserve"> absolute value of</w:t>
      </w:r>
      <w:r w:rsidRPr="00DA0DCD">
        <w:rPr>
          <w:rStyle w:val="longtext1"/>
          <w:rFonts w:cs="Times New Roman"/>
          <w:i/>
          <w:sz w:val="22"/>
          <w:szCs w:val="22"/>
          <w:shd w:val="clear" w:color="auto" w:fill="FFFFFF"/>
          <w:lang w:val="en-US"/>
        </w:rPr>
        <w:t xml:space="preserve"> stock price reactions </w:t>
      </w:r>
      <w:r w:rsidR="0077354B" w:rsidRPr="00DA0DCD">
        <w:rPr>
          <w:rStyle w:val="longtext1"/>
          <w:rFonts w:cs="Times New Roman"/>
          <w:i/>
          <w:sz w:val="22"/>
          <w:szCs w:val="22"/>
          <w:shd w:val="clear" w:color="auto" w:fill="FFFFFF"/>
          <w:lang w:val="en-US"/>
        </w:rPr>
        <w:t>of</w:t>
      </w:r>
      <w:r w:rsidRPr="00DA0DCD">
        <w:rPr>
          <w:rStyle w:val="longtext1"/>
          <w:rFonts w:cs="Times New Roman"/>
          <w:i/>
          <w:sz w:val="22"/>
          <w:szCs w:val="22"/>
          <w:shd w:val="clear" w:color="auto" w:fill="FFFFFF"/>
          <w:lang w:val="en-US"/>
        </w:rPr>
        <w:t xml:space="preserve"> financial institutions in </w:t>
      </w:r>
      <w:r w:rsidR="008F6FD8" w:rsidRPr="00DA0DCD">
        <w:rPr>
          <w:rStyle w:val="longtext1"/>
          <w:rFonts w:cs="Times New Roman"/>
          <w:i/>
          <w:sz w:val="22"/>
          <w:szCs w:val="22"/>
          <w:shd w:val="clear" w:color="auto" w:fill="FFFFFF"/>
          <w:lang w:val="en-US"/>
        </w:rPr>
        <w:t xml:space="preserve">Great Britain and Ireland </w:t>
      </w:r>
      <w:r w:rsidRPr="00DA0DCD">
        <w:rPr>
          <w:rStyle w:val="longtext1"/>
          <w:rFonts w:cs="Times New Roman"/>
          <w:i/>
          <w:sz w:val="22"/>
          <w:szCs w:val="22"/>
          <w:shd w:val="clear" w:color="auto" w:fill="FFFFFF"/>
          <w:lang w:val="en-US"/>
        </w:rPr>
        <w:t xml:space="preserve">to the introduction of the reclassification option for financial instruments in IAS 39 is expected to </w:t>
      </w:r>
      <w:r w:rsidR="00E20204" w:rsidRPr="00DA0DCD">
        <w:rPr>
          <w:rStyle w:val="longtext1"/>
          <w:rFonts w:cs="Times New Roman"/>
          <w:i/>
          <w:sz w:val="22"/>
          <w:szCs w:val="22"/>
          <w:shd w:val="clear" w:color="auto" w:fill="FFFFFF"/>
          <w:lang w:val="en-US"/>
        </w:rPr>
        <w:t xml:space="preserve">be weaker </w:t>
      </w:r>
      <w:r w:rsidRPr="00DA0DCD">
        <w:rPr>
          <w:rStyle w:val="longtext1"/>
          <w:rFonts w:cs="Times New Roman"/>
          <w:i/>
          <w:sz w:val="22"/>
          <w:szCs w:val="22"/>
          <w:shd w:val="clear" w:color="auto" w:fill="FFFFFF"/>
          <w:lang w:val="en-US"/>
        </w:rPr>
        <w:t>than the</w:t>
      </w:r>
      <w:r w:rsidR="00854A62" w:rsidRPr="00DA0DCD">
        <w:rPr>
          <w:rStyle w:val="longtext1"/>
          <w:rFonts w:cs="Times New Roman"/>
          <w:i/>
          <w:sz w:val="22"/>
          <w:szCs w:val="22"/>
          <w:shd w:val="clear" w:color="auto" w:fill="FFFFFF"/>
          <w:lang w:val="en-US"/>
        </w:rPr>
        <w:t xml:space="preserve"> absolute value of</w:t>
      </w:r>
      <w:r w:rsidRPr="00DA0DCD">
        <w:rPr>
          <w:rStyle w:val="longtext1"/>
          <w:rFonts w:cs="Times New Roman"/>
          <w:i/>
          <w:sz w:val="22"/>
          <w:szCs w:val="22"/>
          <w:shd w:val="clear" w:color="auto" w:fill="FFFFFF"/>
          <w:lang w:val="en-US"/>
        </w:rPr>
        <w:t xml:space="preserve"> stock price reaction</w:t>
      </w:r>
      <w:r w:rsidR="00854A62" w:rsidRPr="00DA0DCD">
        <w:rPr>
          <w:rStyle w:val="longtext1"/>
          <w:rFonts w:cs="Times New Roman"/>
          <w:i/>
          <w:sz w:val="22"/>
          <w:szCs w:val="22"/>
          <w:shd w:val="clear" w:color="auto" w:fill="FFFFFF"/>
          <w:lang w:val="en-US"/>
        </w:rPr>
        <w:t>s</w:t>
      </w:r>
      <w:r w:rsidRPr="00DA0DCD">
        <w:rPr>
          <w:rStyle w:val="longtext1"/>
          <w:rFonts w:cs="Times New Roman"/>
          <w:i/>
          <w:sz w:val="22"/>
          <w:szCs w:val="22"/>
          <w:shd w:val="clear" w:color="auto" w:fill="FFFFFF"/>
          <w:lang w:val="en-US"/>
        </w:rPr>
        <w:t xml:space="preserve"> </w:t>
      </w:r>
      <w:r w:rsidR="0077354B" w:rsidRPr="00DA0DCD">
        <w:rPr>
          <w:rStyle w:val="longtext1"/>
          <w:rFonts w:cs="Times New Roman"/>
          <w:i/>
          <w:sz w:val="22"/>
          <w:szCs w:val="22"/>
          <w:shd w:val="clear" w:color="auto" w:fill="FFFFFF"/>
          <w:lang w:val="en-US"/>
        </w:rPr>
        <w:t>of</w:t>
      </w:r>
      <w:r w:rsidR="00705F4D" w:rsidRPr="00DA0DCD">
        <w:rPr>
          <w:rStyle w:val="longtext1"/>
          <w:rFonts w:cs="Times New Roman"/>
          <w:i/>
          <w:sz w:val="22"/>
          <w:szCs w:val="22"/>
          <w:shd w:val="clear" w:color="auto" w:fill="FFFFFF"/>
          <w:lang w:val="en-US"/>
        </w:rPr>
        <w:t xml:space="preserve"> </w:t>
      </w:r>
      <w:r w:rsidRPr="00DA0DCD">
        <w:rPr>
          <w:rStyle w:val="longtext1"/>
          <w:rFonts w:cs="Times New Roman"/>
          <w:i/>
          <w:sz w:val="22"/>
          <w:szCs w:val="22"/>
          <w:shd w:val="clear" w:color="auto" w:fill="FFFFFF"/>
          <w:lang w:val="en-US"/>
        </w:rPr>
        <w:t>financial institutions in other European countries.</w:t>
      </w:r>
    </w:p>
    <w:p w:rsidR="00B379D4" w:rsidRPr="00DA0DCD" w:rsidRDefault="0049426F" w:rsidP="00B24B49">
      <w:pPr>
        <w:rPr>
          <w:lang w:val="en-US"/>
        </w:rPr>
      </w:pPr>
      <w:r w:rsidRPr="00DA0DCD">
        <w:rPr>
          <w:lang w:val="en-US"/>
        </w:rPr>
        <w:t>To examine this hypothesis, the stock price reaction of financial institutions will be</w:t>
      </w:r>
      <w:r w:rsidR="00B64E1F" w:rsidRPr="00DA0DCD">
        <w:rPr>
          <w:lang w:val="en-US"/>
        </w:rPr>
        <w:t xml:space="preserve"> </w:t>
      </w:r>
      <w:r w:rsidR="00705F4D" w:rsidRPr="00DA0DCD">
        <w:rPr>
          <w:lang w:val="en-US"/>
        </w:rPr>
        <w:t>spit up</w:t>
      </w:r>
      <w:r w:rsidR="00B64E1F" w:rsidRPr="00DA0DCD">
        <w:rPr>
          <w:lang w:val="en-US"/>
        </w:rPr>
        <w:t xml:space="preserve"> into the (fourteen) different </w:t>
      </w:r>
      <w:r w:rsidRPr="00DA0DCD">
        <w:rPr>
          <w:lang w:val="en-US"/>
        </w:rPr>
        <w:t xml:space="preserve">European countries. </w:t>
      </w:r>
      <w:r w:rsidR="00B64E1F" w:rsidRPr="00DA0DCD">
        <w:rPr>
          <w:lang w:val="en-US"/>
        </w:rPr>
        <w:t>The</w:t>
      </w:r>
      <w:r w:rsidR="00A65FB6" w:rsidRPr="00DA0DCD">
        <w:rPr>
          <w:lang w:val="en-US"/>
        </w:rPr>
        <w:t xml:space="preserve"> reaction will be compared per country to evaluate whether the extent of the stock price reaction differs </w:t>
      </w:r>
      <w:r w:rsidR="0077354B" w:rsidRPr="00DA0DCD">
        <w:rPr>
          <w:lang w:val="en-US"/>
        </w:rPr>
        <w:t>between</w:t>
      </w:r>
      <w:r w:rsidR="00A65FB6" w:rsidRPr="00DA0DCD">
        <w:rPr>
          <w:lang w:val="en-US"/>
        </w:rPr>
        <w:t xml:space="preserve"> European countries.</w:t>
      </w:r>
    </w:p>
    <w:p w:rsidR="00B379D4" w:rsidRPr="00DA0DCD" w:rsidRDefault="0049426F" w:rsidP="0049426F">
      <w:pPr>
        <w:pStyle w:val="Kop2"/>
        <w:numPr>
          <w:ilvl w:val="1"/>
          <w:numId w:val="14"/>
        </w:numPr>
        <w:rPr>
          <w:lang w:val="en-US"/>
        </w:rPr>
      </w:pPr>
      <w:bookmarkStart w:id="55" w:name="_Toc270770590"/>
      <w:r w:rsidRPr="00DA0DCD">
        <w:rPr>
          <w:lang w:val="en-US"/>
        </w:rPr>
        <w:t>Conclusion</w:t>
      </w:r>
      <w:bookmarkEnd w:id="55"/>
    </w:p>
    <w:p w:rsidR="00A44E51" w:rsidRPr="00DA0DCD" w:rsidRDefault="00C22901" w:rsidP="00A44E51">
      <w:pPr>
        <w:rPr>
          <w:lang w:val="en-US"/>
        </w:rPr>
      </w:pPr>
      <w:r w:rsidRPr="00076E4E">
        <w:rPr>
          <w:lang w:val="en-US"/>
        </w:rPr>
        <w:t>From the described accounting standard and other regulation</w:t>
      </w:r>
      <w:r w:rsidR="00543E69">
        <w:rPr>
          <w:lang w:val="en-US"/>
        </w:rPr>
        <w:t>s</w:t>
      </w:r>
      <w:r w:rsidRPr="00076E4E">
        <w:rPr>
          <w:lang w:val="en-US"/>
        </w:rPr>
        <w:t xml:space="preserve"> in chapter two and the prior research presented in chapter four, are expectation concerning the stock price reaction on the introduction of the reclassification option in IAS 39</w:t>
      </w:r>
      <w:r w:rsidR="006920C9" w:rsidRPr="00076E4E">
        <w:rPr>
          <w:lang w:val="en-US"/>
        </w:rPr>
        <w:t xml:space="preserve"> are</w:t>
      </w:r>
      <w:r w:rsidRPr="00076E4E">
        <w:rPr>
          <w:lang w:val="en-US"/>
        </w:rPr>
        <w:t xml:space="preserve"> derived. This means that a positive stock price reaction on events concerning the introduction of a reclassification option</w:t>
      </w:r>
      <w:r w:rsidR="006920C9" w:rsidRPr="00076E4E">
        <w:rPr>
          <w:lang w:val="en-US"/>
        </w:rPr>
        <w:t xml:space="preserve"> is expected</w:t>
      </w:r>
      <w:r w:rsidRPr="00076E4E">
        <w:rPr>
          <w:lang w:val="en-US"/>
        </w:rPr>
        <w:t>. Thereby, given the difference between the US and Europe, a lower capital reaction compared to the capital reaction in the US on the relaxation of FVA and the impairment rules</w:t>
      </w:r>
      <w:r w:rsidR="006920C9" w:rsidRPr="00076E4E">
        <w:rPr>
          <w:lang w:val="en-US"/>
        </w:rPr>
        <w:t xml:space="preserve"> is expected</w:t>
      </w:r>
      <w:r w:rsidRPr="00076E4E">
        <w:rPr>
          <w:lang w:val="en-US"/>
        </w:rPr>
        <w:t xml:space="preserve">. Further on, between </w:t>
      </w:r>
      <w:r w:rsidR="00A44E51" w:rsidRPr="00076E4E">
        <w:rPr>
          <w:lang w:val="en-US"/>
        </w:rPr>
        <w:t>insurance</w:t>
      </w:r>
      <w:r w:rsidR="00A44E51" w:rsidRPr="00DA0DCD">
        <w:rPr>
          <w:lang w:val="en-US"/>
        </w:rPr>
        <w:t xml:space="preserve"> companies and banks</w:t>
      </w:r>
      <w:r w:rsidRPr="00DA0DCD">
        <w:rPr>
          <w:lang w:val="en-US"/>
        </w:rPr>
        <w:t xml:space="preserve"> is also a different capit</w:t>
      </w:r>
      <w:r w:rsidR="00A44E51" w:rsidRPr="00DA0DCD">
        <w:rPr>
          <w:lang w:val="en-US"/>
        </w:rPr>
        <w:t xml:space="preserve">al market reaction expected. Because of the pro-cyclicality of Basel II there is expected that banks will react more positively to the reclassification option compared to insurance companies. At last, given the differences between corporate governance regulation within Europe, there is expected a </w:t>
      </w:r>
      <w:r w:rsidR="00470B75">
        <w:rPr>
          <w:lang w:val="en-US"/>
        </w:rPr>
        <w:t>weaker</w:t>
      </w:r>
      <w:r w:rsidR="00A44E51" w:rsidRPr="00DA0DCD">
        <w:rPr>
          <w:lang w:val="en-US"/>
        </w:rPr>
        <w:t xml:space="preserve"> stock price reaction in the UK compared to other European countries. These expectations will be measured during this research. The research design and events will be described in the next chapter. </w:t>
      </w:r>
    </w:p>
    <w:p w:rsidR="004D2CCC" w:rsidRPr="00DA0DCD" w:rsidRDefault="004D2CCC">
      <w:pPr>
        <w:rPr>
          <w:rFonts w:asciiTheme="majorHAnsi" w:eastAsiaTheme="majorEastAsia" w:hAnsiTheme="majorHAnsi" w:cstheme="majorBidi"/>
          <w:b/>
          <w:bCs/>
          <w:color w:val="365F91" w:themeColor="accent1" w:themeShade="BF"/>
          <w:sz w:val="28"/>
          <w:szCs w:val="28"/>
          <w:lang w:val="en-US"/>
        </w:rPr>
      </w:pPr>
      <w:r w:rsidRPr="00DA0DCD">
        <w:rPr>
          <w:lang w:val="en-US"/>
        </w:rPr>
        <w:br w:type="page"/>
      </w:r>
    </w:p>
    <w:p w:rsidR="00C50C9F" w:rsidRPr="00DA0DCD" w:rsidRDefault="00C50C9F" w:rsidP="00847C53">
      <w:pPr>
        <w:pStyle w:val="Kop1"/>
        <w:numPr>
          <w:ilvl w:val="0"/>
          <w:numId w:val="14"/>
        </w:numPr>
        <w:rPr>
          <w:lang w:val="en-US"/>
        </w:rPr>
      </w:pPr>
      <w:bookmarkStart w:id="56" w:name="_Toc270770591"/>
      <w:r w:rsidRPr="00DA0DCD">
        <w:rPr>
          <w:lang w:val="en-US"/>
        </w:rPr>
        <w:lastRenderedPageBreak/>
        <w:t>Events and research design</w:t>
      </w:r>
      <w:bookmarkEnd w:id="56"/>
    </w:p>
    <w:p w:rsidR="00C50C9F" w:rsidRPr="00DA0DCD" w:rsidRDefault="00C50C9F" w:rsidP="00847C53">
      <w:pPr>
        <w:pStyle w:val="Kop2"/>
        <w:numPr>
          <w:ilvl w:val="1"/>
          <w:numId w:val="14"/>
        </w:numPr>
        <w:rPr>
          <w:lang w:val="en-US"/>
        </w:rPr>
      </w:pPr>
      <w:r w:rsidRPr="00DA0DCD">
        <w:rPr>
          <w:lang w:val="en-US"/>
        </w:rPr>
        <w:t xml:space="preserve"> </w:t>
      </w:r>
      <w:bookmarkStart w:id="57" w:name="_Toc270770592"/>
      <w:r w:rsidRPr="00DA0DCD">
        <w:rPr>
          <w:lang w:val="en-US"/>
        </w:rPr>
        <w:t>Introduction</w:t>
      </w:r>
      <w:bookmarkEnd w:id="57"/>
    </w:p>
    <w:p w:rsidR="001203F6" w:rsidRPr="009702AD" w:rsidRDefault="001758E8" w:rsidP="001203F6">
      <w:pPr>
        <w:rPr>
          <w:lang w:val="en-US"/>
        </w:rPr>
      </w:pPr>
      <w:r w:rsidRPr="009702AD">
        <w:rPr>
          <w:lang w:val="en-US"/>
        </w:rPr>
        <w:t xml:space="preserve">In this chapter the events (announcements) which increase the probability of introduction concerning the reclassification option in IAS 39 are presented. As described in chapter 5 is expected that the capital market </w:t>
      </w:r>
      <w:r w:rsidR="001203F6" w:rsidRPr="009702AD">
        <w:rPr>
          <w:lang w:val="en-US"/>
        </w:rPr>
        <w:t>react</w:t>
      </w:r>
      <w:r w:rsidRPr="009702AD">
        <w:rPr>
          <w:lang w:val="en-US"/>
        </w:rPr>
        <w:t xml:space="preserve"> on the</w:t>
      </w:r>
      <w:r w:rsidR="00125B56" w:rsidRPr="009702AD">
        <w:rPr>
          <w:lang w:val="en-US"/>
        </w:rPr>
        <w:t>se</w:t>
      </w:r>
      <w:r w:rsidRPr="009702AD">
        <w:rPr>
          <w:lang w:val="en-US"/>
        </w:rPr>
        <w:t xml:space="preserve"> announcements. </w:t>
      </w:r>
      <w:r w:rsidR="006A7BE9" w:rsidRPr="009702AD">
        <w:rPr>
          <w:lang w:val="en-US"/>
        </w:rPr>
        <w:t xml:space="preserve">There are criteria for distinguishing the </w:t>
      </w:r>
      <w:r w:rsidR="001203F6" w:rsidRPr="009702AD">
        <w:rPr>
          <w:lang w:val="en-US"/>
        </w:rPr>
        <w:t>events, which are</w:t>
      </w:r>
      <w:r w:rsidR="006A7BE9" w:rsidRPr="009702AD">
        <w:rPr>
          <w:lang w:val="en-US"/>
        </w:rPr>
        <w:t xml:space="preserve"> described in this </w:t>
      </w:r>
      <w:r w:rsidR="00947A7D" w:rsidRPr="009702AD">
        <w:rPr>
          <w:lang w:val="en-US"/>
        </w:rPr>
        <w:t>chapter</w:t>
      </w:r>
      <w:r w:rsidR="006A7BE9" w:rsidRPr="009702AD">
        <w:rPr>
          <w:lang w:val="en-US"/>
        </w:rPr>
        <w:t>. After the events and criteria, the design of this research will be extensively discussed. The research design includes a</w:t>
      </w:r>
      <w:r w:rsidR="00AE4A33" w:rsidRPr="009702AD">
        <w:rPr>
          <w:lang w:val="en-US"/>
        </w:rPr>
        <w:t>n</w:t>
      </w:r>
      <w:r w:rsidR="006A7BE9" w:rsidRPr="009702AD">
        <w:rPr>
          <w:lang w:val="en-US"/>
        </w:rPr>
        <w:t xml:space="preserve"> explanation of the sample, research model</w:t>
      </w:r>
      <w:r w:rsidR="00AE4A33" w:rsidRPr="009702AD">
        <w:rPr>
          <w:lang w:val="en-US"/>
        </w:rPr>
        <w:t xml:space="preserve"> and methodology </w:t>
      </w:r>
      <w:r w:rsidR="006A7BE9" w:rsidRPr="009702AD">
        <w:rPr>
          <w:lang w:val="en-US"/>
        </w:rPr>
        <w:t>and limitations.</w:t>
      </w:r>
      <w:r w:rsidR="001203F6" w:rsidRPr="009702AD">
        <w:rPr>
          <w:lang w:val="en-US"/>
        </w:rPr>
        <w:t xml:space="preserve"> This research design aims to test the described hypotheses in chapter 5, ultimately to give answer to the research question</w:t>
      </w:r>
      <w:r w:rsidR="009702AD" w:rsidRPr="009702AD">
        <w:rPr>
          <w:lang w:val="en-US"/>
        </w:rPr>
        <w:t xml:space="preserve"> of the research of this thesis</w:t>
      </w:r>
      <w:r w:rsidR="001203F6" w:rsidRPr="009702AD">
        <w:rPr>
          <w:lang w:val="en-US"/>
        </w:rPr>
        <w:t>: “</w:t>
      </w:r>
      <w:r w:rsidR="001203F6" w:rsidRPr="009702AD">
        <w:rPr>
          <w:i/>
          <w:lang w:val="en-US"/>
        </w:rPr>
        <w:t>How did the stock prices of listed banks, insurance companies and other financial institutions in Europe react to announcements concerning the probability of the introduction of reclassification option in IAS 39?”</w:t>
      </w:r>
    </w:p>
    <w:p w:rsidR="00C50C9F" w:rsidRPr="00DA0DCD" w:rsidRDefault="00FC399B" w:rsidP="00847C53">
      <w:pPr>
        <w:pStyle w:val="Kop2"/>
        <w:numPr>
          <w:ilvl w:val="1"/>
          <w:numId w:val="14"/>
        </w:numPr>
        <w:rPr>
          <w:lang w:val="en-US"/>
        </w:rPr>
      </w:pPr>
      <w:r w:rsidRPr="00DA0DCD">
        <w:rPr>
          <w:lang w:val="en-US"/>
        </w:rPr>
        <w:t xml:space="preserve"> </w:t>
      </w:r>
      <w:bookmarkStart w:id="58" w:name="_Toc270770593"/>
      <w:r w:rsidRPr="00DA0DCD">
        <w:rPr>
          <w:lang w:val="en-US"/>
        </w:rPr>
        <w:t>Criteria distinguishing events</w:t>
      </w:r>
      <w:bookmarkEnd w:id="58"/>
    </w:p>
    <w:p w:rsidR="00FC399B" w:rsidRPr="00DA0DCD" w:rsidRDefault="00C23FC6" w:rsidP="00FC399B">
      <w:pPr>
        <w:rPr>
          <w:rFonts w:cs="Times New Roman"/>
          <w:lang w:val="en-US"/>
        </w:rPr>
      </w:pPr>
      <w:r w:rsidRPr="00DA0DCD">
        <w:rPr>
          <w:rFonts w:cs="Times New Roman"/>
          <w:lang w:val="en-US"/>
        </w:rPr>
        <w:t>The</w:t>
      </w:r>
      <w:r w:rsidR="00FC399B" w:rsidRPr="00DA0DCD">
        <w:rPr>
          <w:rFonts w:cs="Times New Roman"/>
          <w:lang w:val="en-US"/>
        </w:rPr>
        <w:t xml:space="preserve"> events from the first moment that FVA became a ‘big’ issue in the financial crisis</w:t>
      </w:r>
      <w:r w:rsidRPr="00DA0DCD">
        <w:rPr>
          <w:rFonts w:cs="Times New Roman"/>
          <w:lang w:val="en-US"/>
        </w:rPr>
        <w:t xml:space="preserve"> are considered</w:t>
      </w:r>
      <w:r w:rsidR="00FC399B" w:rsidRPr="00DA0DCD">
        <w:rPr>
          <w:rFonts w:cs="Times New Roman"/>
          <w:lang w:val="en-US"/>
        </w:rPr>
        <w:t>.</w:t>
      </w:r>
      <w:r w:rsidR="006E56A7" w:rsidRPr="00DA0DCD">
        <w:rPr>
          <w:rFonts w:cs="Times New Roman"/>
          <w:lang w:val="en-US"/>
        </w:rPr>
        <w:t xml:space="preserve"> From that moment, banks, politicians, governments, researches and standard setters </w:t>
      </w:r>
      <w:r w:rsidR="00687940">
        <w:rPr>
          <w:rFonts w:cs="Times New Roman"/>
          <w:lang w:val="en-US"/>
        </w:rPr>
        <w:t xml:space="preserve">made </w:t>
      </w:r>
      <w:r w:rsidR="006E56A7" w:rsidRPr="009702AD">
        <w:rPr>
          <w:rFonts w:cs="Times New Roman"/>
          <w:lang w:val="en-US"/>
        </w:rPr>
        <w:t>state</w:t>
      </w:r>
      <w:r w:rsidR="00687940" w:rsidRPr="009702AD">
        <w:rPr>
          <w:rFonts w:cs="Times New Roman"/>
          <w:lang w:val="en-US"/>
        </w:rPr>
        <w:t>ments</w:t>
      </w:r>
      <w:r w:rsidR="006E56A7" w:rsidRPr="009702AD">
        <w:rPr>
          <w:rFonts w:cs="Times New Roman"/>
          <w:lang w:val="en-US"/>
        </w:rPr>
        <w:t xml:space="preserve"> or announce</w:t>
      </w:r>
      <w:r w:rsidR="00687940" w:rsidRPr="009702AD">
        <w:rPr>
          <w:rFonts w:cs="Times New Roman"/>
          <w:lang w:val="en-US"/>
        </w:rPr>
        <w:t>ments</w:t>
      </w:r>
      <w:r w:rsidR="006E56A7" w:rsidRPr="009702AD">
        <w:rPr>
          <w:rFonts w:cs="Times New Roman"/>
          <w:lang w:val="en-US"/>
        </w:rPr>
        <w:t xml:space="preserve"> about FVA</w:t>
      </w:r>
      <w:r w:rsidR="00687940" w:rsidRPr="009702AD">
        <w:rPr>
          <w:rFonts w:cs="Times New Roman"/>
          <w:lang w:val="en-US"/>
        </w:rPr>
        <w:t xml:space="preserve"> and changing FVA</w:t>
      </w:r>
      <w:r w:rsidR="009702AD" w:rsidRPr="009702AD">
        <w:rPr>
          <w:rFonts w:cs="Times New Roman"/>
          <w:lang w:val="en-US"/>
        </w:rPr>
        <w:t xml:space="preserve"> rules</w:t>
      </w:r>
      <w:r w:rsidR="00687940" w:rsidRPr="009702AD">
        <w:rPr>
          <w:rFonts w:cs="Times New Roman"/>
          <w:lang w:val="en-US"/>
        </w:rPr>
        <w:t xml:space="preserve"> </w:t>
      </w:r>
      <w:r w:rsidR="006E56A7" w:rsidRPr="009702AD">
        <w:rPr>
          <w:rFonts w:cs="Times New Roman"/>
          <w:lang w:val="en-US"/>
        </w:rPr>
        <w:t xml:space="preserve">during </w:t>
      </w:r>
      <w:r w:rsidR="00687940" w:rsidRPr="009702AD">
        <w:rPr>
          <w:rFonts w:cs="Times New Roman"/>
          <w:lang w:val="en-US"/>
        </w:rPr>
        <w:t>the</w:t>
      </w:r>
      <w:r w:rsidR="006E56A7" w:rsidRPr="009702AD">
        <w:rPr>
          <w:rFonts w:cs="Times New Roman"/>
          <w:lang w:val="en-US"/>
        </w:rPr>
        <w:t xml:space="preserve"> financial crisis.</w:t>
      </w:r>
      <w:r w:rsidR="006E56A7" w:rsidRPr="001203F6">
        <w:rPr>
          <w:rFonts w:cs="Times New Roman"/>
          <w:color w:val="FF0000"/>
          <w:lang w:val="en-US"/>
        </w:rPr>
        <w:t xml:space="preserve"> </w:t>
      </w:r>
      <w:r w:rsidR="00EC29DA" w:rsidRPr="00DA0DCD">
        <w:rPr>
          <w:rFonts w:cs="Times New Roman"/>
          <w:lang w:val="en-US"/>
        </w:rPr>
        <w:t>Announcements, which</w:t>
      </w:r>
      <w:r w:rsidR="006E56A7" w:rsidRPr="00DA0DCD">
        <w:rPr>
          <w:lang w:val="en-US"/>
        </w:rPr>
        <w:t xml:space="preserve"> increase or decrease the probability of introduction </w:t>
      </w:r>
      <w:r w:rsidR="00854A62" w:rsidRPr="00DA0DCD">
        <w:rPr>
          <w:lang w:val="en-US"/>
        </w:rPr>
        <w:t>of</w:t>
      </w:r>
      <w:r w:rsidR="006E56A7" w:rsidRPr="00DA0DCD">
        <w:rPr>
          <w:lang w:val="en-US"/>
        </w:rPr>
        <w:t xml:space="preserve"> the reclassification option in IAS </w:t>
      </w:r>
      <w:r w:rsidR="00687940" w:rsidRPr="00DA0DCD">
        <w:rPr>
          <w:lang w:val="en-US"/>
        </w:rPr>
        <w:t>39,</w:t>
      </w:r>
      <w:r w:rsidR="006E56A7" w:rsidRPr="00DA0DCD">
        <w:rPr>
          <w:lang w:val="en-US"/>
        </w:rPr>
        <w:t xml:space="preserve"> are taken into account. These are announcements of govern</w:t>
      </w:r>
      <w:r w:rsidR="00FF2D1D" w:rsidRPr="00DA0DCD">
        <w:rPr>
          <w:lang w:val="en-US"/>
        </w:rPr>
        <w:t>men</w:t>
      </w:r>
      <w:r w:rsidR="006E56A7" w:rsidRPr="00DA0DCD">
        <w:rPr>
          <w:lang w:val="en-US"/>
        </w:rPr>
        <w:t>ts,</w:t>
      </w:r>
      <w:r w:rsidR="00FF2D1D" w:rsidRPr="00DA0DCD">
        <w:rPr>
          <w:lang w:val="en-US"/>
        </w:rPr>
        <w:t xml:space="preserve"> politicians and other organizations which ha</w:t>
      </w:r>
      <w:r w:rsidR="00854A62" w:rsidRPr="00DA0DCD">
        <w:rPr>
          <w:lang w:val="en-US"/>
        </w:rPr>
        <w:t>ve</w:t>
      </w:r>
      <w:r w:rsidR="00FF2D1D" w:rsidRPr="00DA0DCD">
        <w:rPr>
          <w:lang w:val="en-US"/>
        </w:rPr>
        <w:t xml:space="preserve"> a direct influence on the standard setters process in Europe.</w:t>
      </w:r>
      <w:r w:rsidR="00FC399B" w:rsidRPr="00DA0DCD">
        <w:rPr>
          <w:rFonts w:cs="Times New Roman"/>
          <w:lang w:val="en-US"/>
        </w:rPr>
        <w:t xml:space="preserve"> </w:t>
      </w:r>
      <w:r w:rsidR="00FF2D1D" w:rsidRPr="00DA0DCD">
        <w:rPr>
          <w:rFonts w:cs="Times New Roman"/>
          <w:lang w:val="en-US"/>
        </w:rPr>
        <w:t>For each event is indicate</w:t>
      </w:r>
      <w:r w:rsidR="00EC29DA" w:rsidRPr="00DA0DCD">
        <w:rPr>
          <w:rFonts w:cs="Times New Roman"/>
          <w:lang w:val="en-US"/>
        </w:rPr>
        <w:t>d</w:t>
      </w:r>
      <w:r w:rsidR="00FF2D1D" w:rsidRPr="00DA0DCD">
        <w:rPr>
          <w:rFonts w:cs="Times New Roman"/>
          <w:lang w:val="en-US"/>
        </w:rPr>
        <w:t xml:space="preserve"> whether </w:t>
      </w:r>
      <w:r w:rsidR="00EC29DA" w:rsidRPr="00DA0DCD">
        <w:rPr>
          <w:rFonts w:cs="Times New Roman"/>
          <w:lang w:val="en-US"/>
        </w:rPr>
        <w:t>an</w:t>
      </w:r>
      <w:r w:rsidR="00FF2D1D" w:rsidRPr="00DA0DCD">
        <w:rPr>
          <w:rFonts w:cs="Times New Roman"/>
          <w:lang w:val="en-US"/>
        </w:rPr>
        <w:t xml:space="preserve"> event is likely to have an increasing or decreasing effect on the probability of introducing the reclassification option in IAS 39. </w:t>
      </w:r>
      <w:r w:rsidR="00FC399B" w:rsidRPr="00DA0DCD">
        <w:rPr>
          <w:rFonts w:cs="Times New Roman"/>
          <w:lang w:val="en-US"/>
        </w:rPr>
        <w:t>Th</w:t>
      </w:r>
      <w:r w:rsidR="00FF2D1D" w:rsidRPr="00DA0DCD">
        <w:rPr>
          <w:rFonts w:cs="Times New Roman"/>
          <w:lang w:val="en-US"/>
        </w:rPr>
        <w:t>e first announcement</w:t>
      </w:r>
      <w:r w:rsidR="00FC399B" w:rsidRPr="00DA0DCD">
        <w:rPr>
          <w:rFonts w:cs="Times New Roman"/>
          <w:lang w:val="en-US"/>
        </w:rPr>
        <w:t xml:space="preserve"> started when the </w:t>
      </w:r>
      <w:r w:rsidR="00FC399B" w:rsidRPr="00DA0DCD">
        <w:rPr>
          <w:lang w:val="en-US"/>
        </w:rPr>
        <w:t>Financial Stability Forum</w:t>
      </w:r>
      <w:r w:rsidR="00FC399B" w:rsidRPr="00DA0DCD">
        <w:rPr>
          <w:rFonts w:cs="Times New Roman"/>
          <w:lang w:val="en-US"/>
        </w:rPr>
        <w:t xml:space="preserve"> (FSF) recommended clarification on the FVA for financial instruments on April 7, 2008. </w:t>
      </w:r>
      <w:r w:rsidR="00FF74F3" w:rsidRPr="00DA0DCD">
        <w:rPr>
          <w:rFonts w:cs="Times New Roman"/>
          <w:lang w:val="en-US"/>
        </w:rPr>
        <w:t>The timeline</w:t>
      </w:r>
      <w:r w:rsidR="00FF74F3" w:rsidRPr="00DA0DCD">
        <w:rPr>
          <w:rFonts w:cs="Times New Roman"/>
          <w:color w:val="FF0000"/>
          <w:lang w:val="en-US"/>
        </w:rPr>
        <w:t xml:space="preserve"> </w:t>
      </w:r>
      <w:r w:rsidR="00FF74F3" w:rsidRPr="00DA0DCD">
        <w:rPr>
          <w:lang w:val="en-US"/>
        </w:rPr>
        <w:t>ends</w:t>
      </w:r>
      <w:r w:rsidR="00FF74F3" w:rsidRPr="00DA0DCD">
        <w:rPr>
          <w:rFonts w:cs="Times New Roman"/>
          <w:lang w:val="en-US"/>
        </w:rPr>
        <w:t xml:space="preserve"> </w:t>
      </w:r>
      <w:r w:rsidR="005772AA" w:rsidRPr="00DA0DCD">
        <w:rPr>
          <w:rFonts w:cs="Times New Roman"/>
          <w:lang w:val="en-US"/>
        </w:rPr>
        <w:t>at</w:t>
      </w:r>
      <w:r w:rsidR="00FF74F3" w:rsidRPr="00DA0DCD">
        <w:rPr>
          <w:rFonts w:cs="Times New Roman"/>
          <w:lang w:val="en-US"/>
        </w:rPr>
        <w:t xml:space="preserve"> the major point</w:t>
      </w:r>
      <w:r w:rsidR="005772AA" w:rsidRPr="00DA0DCD">
        <w:rPr>
          <w:rFonts w:cs="Times New Roman"/>
          <w:lang w:val="en-US"/>
        </w:rPr>
        <w:t xml:space="preserve"> of this thesis</w:t>
      </w:r>
      <w:r w:rsidR="00FF74F3" w:rsidRPr="00DA0DCD">
        <w:rPr>
          <w:rFonts w:cs="Times New Roman"/>
          <w:lang w:val="en-US"/>
        </w:rPr>
        <w:t xml:space="preserve">, </w:t>
      </w:r>
      <w:r w:rsidR="00FC399B" w:rsidRPr="00DA0DCD">
        <w:rPr>
          <w:rFonts w:cs="Times New Roman"/>
          <w:lang w:val="en-US"/>
        </w:rPr>
        <w:t xml:space="preserve">the amendment </w:t>
      </w:r>
      <w:r w:rsidR="00FF2D1D" w:rsidRPr="00DA0DCD">
        <w:rPr>
          <w:rFonts w:cs="Times New Roman"/>
          <w:lang w:val="en-US"/>
        </w:rPr>
        <w:t xml:space="preserve">made by </w:t>
      </w:r>
      <w:r w:rsidR="00FC399B" w:rsidRPr="00DA0DCD">
        <w:rPr>
          <w:rFonts w:cs="Times New Roman"/>
          <w:lang w:val="en-US"/>
        </w:rPr>
        <w:t>the IASB to IAS 39 on October 13, 2008</w:t>
      </w:r>
      <w:r w:rsidR="00FF2D1D" w:rsidRPr="00DA0DCD">
        <w:rPr>
          <w:rFonts w:cs="Times New Roman"/>
          <w:lang w:val="en-US"/>
        </w:rPr>
        <w:t>.</w:t>
      </w:r>
      <w:r w:rsidR="001A3637" w:rsidRPr="00DA0DCD">
        <w:rPr>
          <w:rFonts w:cs="Times New Roman"/>
          <w:lang w:val="en-US"/>
        </w:rPr>
        <w:t xml:space="preserve"> </w:t>
      </w:r>
      <w:r w:rsidR="00FF2D1D" w:rsidRPr="00DA0DCD">
        <w:rPr>
          <w:rFonts w:cs="Times New Roman"/>
          <w:lang w:val="en-US"/>
        </w:rPr>
        <w:t>The amendment</w:t>
      </w:r>
      <w:r w:rsidR="00FC399B" w:rsidRPr="00DA0DCD">
        <w:rPr>
          <w:rFonts w:cs="Times New Roman"/>
          <w:lang w:val="en-US"/>
        </w:rPr>
        <w:t xml:space="preserve"> made it possible for companies to reclassif</w:t>
      </w:r>
      <w:r w:rsidR="003B5FDA" w:rsidRPr="00DA0DCD">
        <w:rPr>
          <w:rFonts w:cs="Times New Roman"/>
          <w:lang w:val="en-US"/>
        </w:rPr>
        <w:t xml:space="preserve">y their financial instruments. </w:t>
      </w:r>
      <w:r w:rsidR="00AD2C83" w:rsidRPr="00DA0DCD">
        <w:rPr>
          <w:rFonts w:cs="Times New Roman"/>
          <w:lang w:val="en-US"/>
        </w:rPr>
        <w:t xml:space="preserve">The event information and data are derived from IASB, Financial Stability Board, Financial times and financial news websites. </w:t>
      </w:r>
      <w:r w:rsidR="00FC399B" w:rsidRPr="00DA0DCD">
        <w:rPr>
          <w:rFonts w:cs="Times New Roman"/>
          <w:lang w:val="en-US"/>
        </w:rPr>
        <w:t>The whole timeline</w:t>
      </w:r>
      <w:r w:rsidR="00AD2C83" w:rsidRPr="00DA0DCD">
        <w:rPr>
          <w:rFonts w:cs="Times New Roman"/>
          <w:lang w:val="en-US"/>
        </w:rPr>
        <w:t>, event</w:t>
      </w:r>
      <w:r w:rsidR="009122AA">
        <w:rPr>
          <w:rFonts w:cs="Times New Roman"/>
          <w:lang w:val="en-US"/>
        </w:rPr>
        <w:t>s, event</w:t>
      </w:r>
      <w:r w:rsidR="00AD2C83" w:rsidRPr="00DA0DCD">
        <w:rPr>
          <w:rFonts w:cs="Times New Roman"/>
          <w:lang w:val="en-US"/>
        </w:rPr>
        <w:t xml:space="preserve"> windows, sources and the prediction sign</w:t>
      </w:r>
      <w:r w:rsidR="00FC399B" w:rsidRPr="00DA0DCD">
        <w:rPr>
          <w:rFonts w:cs="Times New Roman"/>
          <w:lang w:val="en-US"/>
        </w:rPr>
        <w:t xml:space="preserve"> is summarized in appendix </w:t>
      </w:r>
      <w:r w:rsidR="00E20204" w:rsidRPr="00DA0DCD">
        <w:rPr>
          <w:rFonts w:cs="Times New Roman"/>
          <w:lang w:val="en-US"/>
        </w:rPr>
        <w:t>B</w:t>
      </w:r>
      <w:r w:rsidR="00FC399B" w:rsidRPr="00DA0DCD">
        <w:rPr>
          <w:rFonts w:cs="Times New Roman"/>
          <w:lang w:val="en-US"/>
        </w:rPr>
        <w:t xml:space="preserve">. </w:t>
      </w:r>
    </w:p>
    <w:p w:rsidR="00FC399B" w:rsidRPr="00511C37" w:rsidRDefault="00FC399B" w:rsidP="00511C37">
      <w:pPr>
        <w:pStyle w:val="Kop2"/>
        <w:numPr>
          <w:ilvl w:val="1"/>
          <w:numId w:val="14"/>
        </w:numPr>
        <w:rPr>
          <w:lang w:val="en-US"/>
        </w:rPr>
      </w:pPr>
      <w:bookmarkStart w:id="59" w:name="_Toc270770594"/>
      <w:r w:rsidRPr="00511C37">
        <w:rPr>
          <w:lang w:val="en-US"/>
        </w:rPr>
        <w:t xml:space="preserve">Events that </w:t>
      </w:r>
      <w:r w:rsidR="00A01455" w:rsidRPr="00511C37">
        <w:rPr>
          <w:lang w:val="en-US"/>
        </w:rPr>
        <w:t>may have</w:t>
      </w:r>
      <w:r w:rsidRPr="00511C37">
        <w:rPr>
          <w:lang w:val="en-US"/>
        </w:rPr>
        <w:t xml:space="preserve"> had an effect on the probability of introducing the reclassification option</w:t>
      </w:r>
      <w:r w:rsidR="00A27130" w:rsidRPr="00511C37">
        <w:rPr>
          <w:lang w:val="en-US"/>
        </w:rPr>
        <w:t xml:space="preserve"> (relaxation)</w:t>
      </w:r>
      <w:bookmarkEnd w:id="59"/>
    </w:p>
    <w:p w:rsidR="001A3637" w:rsidRPr="00DA0DCD" w:rsidRDefault="00A27130" w:rsidP="00A27130">
      <w:pPr>
        <w:rPr>
          <w:rFonts w:cs="Times New Roman"/>
          <w:lang w:val="en-US"/>
        </w:rPr>
      </w:pPr>
      <w:bookmarkStart w:id="60" w:name="_Toc254174500"/>
      <w:r w:rsidRPr="00DA0DCD">
        <w:rPr>
          <w:lang w:val="en-US"/>
        </w:rPr>
        <w:t xml:space="preserve">In this </w:t>
      </w:r>
      <w:r w:rsidR="00947A7D" w:rsidRPr="00DA0DCD">
        <w:rPr>
          <w:lang w:val="en-US"/>
        </w:rPr>
        <w:t>paragraph</w:t>
      </w:r>
      <w:r w:rsidRPr="00DA0DCD">
        <w:rPr>
          <w:lang w:val="en-US"/>
        </w:rPr>
        <w:t xml:space="preserve"> the announcements (events) that likely to have an effect on the probability of introducing a reclassification option for financial instruments are chronological presented. For each event is </w:t>
      </w:r>
      <w:r w:rsidR="00EC29DA" w:rsidRPr="00DA0DCD">
        <w:rPr>
          <w:rFonts w:cs="Times New Roman"/>
          <w:lang w:val="en-US"/>
        </w:rPr>
        <w:t>indicate</w:t>
      </w:r>
      <w:r w:rsidR="00F42AF4">
        <w:rPr>
          <w:rFonts w:cs="Times New Roman"/>
          <w:lang w:val="en-US"/>
        </w:rPr>
        <w:t>d</w:t>
      </w:r>
      <w:r w:rsidR="00EC29DA" w:rsidRPr="00DA0DCD">
        <w:rPr>
          <w:rFonts w:cs="Times New Roman"/>
          <w:lang w:val="en-US"/>
        </w:rPr>
        <w:t xml:space="preserve"> whether a event is likely to have an increasing or decreasing effect on the probability of introducing the reclassification option in IAS 39.</w:t>
      </w:r>
    </w:p>
    <w:p w:rsidR="00C23FC6" w:rsidRPr="00DA0DCD" w:rsidRDefault="00AE4A33" w:rsidP="00FF2D1D">
      <w:pPr>
        <w:pStyle w:val="Geenafstand"/>
        <w:rPr>
          <w:u w:val="single"/>
          <w:lang w:val="en-US"/>
        </w:rPr>
      </w:pPr>
      <w:r w:rsidRPr="00DA0DCD">
        <w:rPr>
          <w:u w:val="single"/>
          <w:lang w:val="en-US"/>
        </w:rPr>
        <w:t>First window</w:t>
      </w:r>
    </w:p>
    <w:p w:rsidR="001A7265" w:rsidRPr="00DA0DCD" w:rsidRDefault="00C23FC6" w:rsidP="00791CDB">
      <w:pPr>
        <w:rPr>
          <w:lang w:val="en-US"/>
        </w:rPr>
      </w:pPr>
      <w:r w:rsidRPr="00DA0DCD">
        <w:rPr>
          <w:lang w:val="en-US"/>
        </w:rPr>
        <w:t>The</w:t>
      </w:r>
      <w:r w:rsidR="001A7265" w:rsidRPr="00DA0DCD">
        <w:rPr>
          <w:lang w:val="en-US"/>
        </w:rPr>
        <w:t xml:space="preserve"> first event window is the period around the issuance of the report from the F</w:t>
      </w:r>
      <w:r w:rsidR="00687940">
        <w:rPr>
          <w:lang w:val="en-US"/>
        </w:rPr>
        <w:t xml:space="preserve">inancial </w:t>
      </w:r>
      <w:r w:rsidR="001A7265" w:rsidRPr="00DA0DCD">
        <w:rPr>
          <w:lang w:val="en-US"/>
        </w:rPr>
        <w:t>S</w:t>
      </w:r>
      <w:r w:rsidR="00687940">
        <w:rPr>
          <w:lang w:val="en-US"/>
        </w:rPr>
        <w:t xml:space="preserve">tability </w:t>
      </w:r>
      <w:r w:rsidR="001A7265" w:rsidRPr="00DA0DCD">
        <w:rPr>
          <w:lang w:val="en-US"/>
        </w:rPr>
        <w:t>F</w:t>
      </w:r>
      <w:r w:rsidR="00687940">
        <w:rPr>
          <w:lang w:val="en-US"/>
        </w:rPr>
        <w:t>orum (FSF)</w:t>
      </w:r>
      <w:r w:rsidR="001A7265" w:rsidRPr="00DA0DCD">
        <w:rPr>
          <w:lang w:val="en-US"/>
        </w:rPr>
        <w:t>, titled: ‘Enhancing Market and Institutional Resilience’</w:t>
      </w:r>
      <w:r w:rsidR="00687940">
        <w:rPr>
          <w:lang w:val="en-US"/>
        </w:rPr>
        <w:t xml:space="preserve"> on April 7, 2008</w:t>
      </w:r>
      <w:r w:rsidR="001A7265" w:rsidRPr="00DA0DCD">
        <w:rPr>
          <w:lang w:val="en-US"/>
        </w:rPr>
        <w:t xml:space="preserve">. The FSF (part of the Financial Stability Board) has been established in 1999 by the then G7 (nowadays the G8) to: ‘promote information exchange and co-ordination </w:t>
      </w:r>
      <w:r w:rsidR="0077354B" w:rsidRPr="00DA0DCD">
        <w:rPr>
          <w:lang w:val="en-US"/>
        </w:rPr>
        <w:t>of</w:t>
      </w:r>
      <w:r w:rsidR="001A7265" w:rsidRPr="00DA0DCD">
        <w:rPr>
          <w:lang w:val="en-US"/>
        </w:rPr>
        <w:t xml:space="preserve"> the national authorities, international institutions and international regulatory or experts' groupings with responsibilities for questions of international financial stability’.</w:t>
      </w:r>
      <w:r w:rsidR="001A7265" w:rsidRPr="00DA0DCD">
        <w:rPr>
          <w:rStyle w:val="Voetnootmarkering"/>
          <w:lang w:val="en-US"/>
        </w:rPr>
        <w:footnoteReference w:id="22"/>
      </w:r>
      <w:r w:rsidR="001A7265" w:rsidRPr="00DA0DCD">
        <w:rPr>
          <w:lang w:val="en-US"/>
        </w:rPr>
        <w:t xml:space="preserve"> As a result of the financial crisis, the FSF issued the report </w:t>
      </w:r>
      <w:r w:rsidR="001A7265" w:rsidRPr="00DA0DCD">
        <w:rPr>
          <w:lang w:val="en-US"/>
        </w:rPr>
        <w:lastRenderedPageBreak/>
        <w:t xml:space="preserve">mentioned above to give recommendations on, among others improvements for Financial Statements. One of their main recommendations towards the accounting standard setters is to give clarity about FVA in illiquid markets and to develop a better understandable standard. The probability of </w:t>
      </w:r>
      <w:r w:rsidR="0012664A" w:rsidRPr="00DA0DCD">
        <w:rPr>
          <w:lang w:val="en-US"/>
        </w:rPr>
        <w:t>introducing a reclassification option (relaxing FVA)</w:t>
      </w:r>
      <w:r w:rsidR="001A7265" w:rsidRPr="00DA0DCD">
        <w:rPr>
          <w:lang w:val="en-US"/>
        </w:rPr>
        <w:t xml:space="preserve"> increased because of this event.</w:t>
      </w:r>
    </w:p>
    <w:p w:rsidR="00AE4A33" w:rsidRPr="00DA0DCD" w:rsidRDefault="00AE4A33" w:rsidP="00FF2D1D">
      <w:pPr>
        <w:pStyle w:val="Geenafstand"/>
        <w:rPr>
          <w:rFonts w:cs="Times New Roman"/>
          <w:u w:val="single"/>
          <w:lang w:val="en-US"/>
        </w:rPr>
      </w:pPr>
      <w:r w:rsidRPr="00DA0DCD">
        <w:rPr>
          <w:u w:val="single"/>
          <w:lang w:val="en-US"/>
        </w:rPr>
        <w:t>Second window</w:t>
      </w:r>
    </w:p>
    <w:p w:rsidR="001A7265" w:rsidRPr="00DA0DCD" w:rsidRDefault="001A7265" w:rsidP="00791CDB">
      <w:pPr>
        <w:rPr>
          <w:lang w:val="en-US"/>
        </w:rPr>
      </w:pPr>
      <w:r w:rsidRPr="00DA0DCD">
        <w:rPr>
          <w:lang w:val="en-US"/>
        </w:rPr>
        <w:t xml:space="preserve">The second window is the IASB announcement on their meeting on May 20, 2008. They planned to form an expert advisory panel in response to the recommendations made by the FSF. The formation of this panel shows the willingness of the IASB to investigate the recommendations made by the FSF and maybe to implement those recommendations in the accounting standards. Because of the willingness of the IASB to investigate the recommendations it is likely that this event has an increasing effect on the probability of </w:t>
      </w:r>
      <w:r w:rsidR="0012664A" w:rsidRPr="00DA0DCD">
        <w:rPr>
          <w:lang w:val="en-US"/>
        </w:rPr>
        <w:t>introducing a reclassification option (</w:t>
      </w:r>
      <w:r w:rsidRPr="00DA0DCD">
        <w:rPr>
          <w:lang w:val="en-US"/>
        </w:rPr>
        <w:t>relaxation of FVA</w:t>
      </w:r>
      <w:r w:rsidR="0012664A" w:rsidRPr="00DA0DCD">
        <w:rPr>
          <w:lang w:val="en-US"/>
        </w:rPr>
        <w:t>)</w:t>
      </w:r>
      <w:r w:rsidRPr="00DA0DCD">
        <w:rPr>
          <w:lang w:val="en-US"/>
        </w:rPr>
        <w:t>.</w:t>
      </w:r>
    </w:p>
    <w:p w:rsidR="00AE4A33" w:rsidRPr="00DA0DCD" w:rsidRDefault="00AE4A33" w:rsidP="00FF2D1D">
      <w:pPr>
        <w:pStyle w:val="Geenafstand"/>
        <w:rPr>
          <w:u w:val="single"/>
          <w:lang w:val="en-US"/>
        </w:rPr>
      </w:pPr>
      <w:r w:rsidRPr="00DA0DCD">
        <w:rPr>
          <w:u w:val="single"/>
          <w:lang w:val="en-US"/>
        </w:rPr>
        <w:t>Third window</w:t>
      </w:r>
    </w:p>
    <w:p w:rsidR="001A7265" w:rsidRPr="00DA0DCD" w:rsidRDefault="001A7265" w:rsidP="00791CDB">
      <w:pPr>
        <w:rPr>
          <w:lang w:val="en-US"/>
        </w:rPr>
      </w:pPr>
      <w:r w:rsidRPr="00DA0DCD">
        <w:rPr>
          <w:lang w:val="en-US"/>
        </w:rPr>
        <w:t>The third window includes the issuance of the exposure draft from the IASB expert advisory panel on September 16, 2008. The exposure draft included a description of the measuring and disclosing of the fair value of financial instruments in markets that are no longer active. The exposure draft suggests a relaxing of FVA and therefore the probability of the definite introduction</w:t>
      </w:r>
      <w:r w:rsidR="00D6418F" w:rsidRPr="00DA0DCD">
        <w:rPr>
          <w:lang w:val="en-US"/>
        </w:rPr>
        <w:t xml:space="preserve"> </w:t>
      </w:r>
      <w:r w:rsidRPr="00DA0DCD">
        <w:rPr>
          <w:lang w:val="en-US"/>
        </w:rPr>
        <w:t xml:space="preserve">of a </w:t>
      </w:r>
      <w:r w:rsidR="0012664A" w:rsidRPr="00DA0DCD">
        <w:rPr>
          <w:lang w:val="en-US"/>
        </w:rPr>
        <w:t>reclassification option (relaxing FVA)</w:t>
      </w:r>
      <w:r w:rsidRPr="00DA0DCD">
        <w:rPr>
          <w:lang w:val="en-US"/>
        </w:rPr>
        <w:t xml:space="preserve"> has increased by this exposure draft.</w:t>
      </w:r>
    </w:p>
    <w:p w:rsidR="00AE4A33" w:rsidRPr="00DA0DCD" w:rsidRDefault="00AE4A33" w:rsidP="00FF2D1D">
      <w:pPr>
        <w:pStyle w:val="Geenafstand"/>
        <w:rPr>
          <w:u w:val="single"/>
          <w:lang w:val="en-US"/>
        </w:rPr>
      </w:pPr>
      <w:r w:rsidRPr="00DA0DCD">
        <w:rPr>
          <w:u w:val="single"/>
          <w:lang w:val="en-US"/>
        </w:rPr>
        <w:t>Fourth window</w:t>
      </w:r>
    </w:p>
    <w:p w:rsidR="001A7265" w:rsidRPr="00DA0DCD" w:rsidRDefault="001A7265" w:rsidP="00791CDB">
      <w:pPr>
        <w:rPr>
          <w:lang w:val="en-US"/>
        </w:rPr>
      </w:pPr>
      <w:r w:rsidRPr="00DA0DCD">
        <w:rPr>
          <w:lang w:val="en-US"/>
        </w:rPr>
        <w:t>As already said in the introduction, bankers and politicians were great lobbyists for a relaxation of FVA. They actually went one step further by blaming FVA to be a cause of the financial crisis. This lobby became a big issue in the media when the French President Nicolas Sarkozy summoned finance executives to discuss ways to reform FVA. He made this statement on September 30, 2008 and this moment is our fourth event window. Because of the power of the lobbyists and the attention it received in the media, Sarkozys’ statement is likely to have an increasing effect on the probability of the issuance of</w:t>
      </w:r>
      <w:r w:rsidR="0012664A" w:rsidRPr="00DA0DCD">
        <w:rPr>
          <w:lang w:val="en-US"/>
        </w:rPr>
        <w:t xml:space="preserve"> a reclassification option (relaxation FVA)</w:t>
      </w:r>
      <w:r w:rsidRPr="00DA0DCD">
        <w:rPr>
          <w:lang w:val="en-US"/>
        </w:rPr>
        <w:t>.</w:t>
      </w:r>
      <w:r w:rsidR="00C23FC6" w:rsidRPr="00DA0DCD">
        <w:rPr>
          <w:lang w:val="en-US"/>
        </w:rPr>
        <w:t xml:space="preserve"> </w:t>
      </w:r>
      <w:r w:rsidR="003B5FDA" w:rsidRPr="00DA0DCD">
        <w:rPr>
          <w:lang w:val="en-US"/>
        </w:rPr>
        <w:t>Therefore,</w:t>
      </w:r>
      <w:r w:rsidR="00C23FC6" w:rsidRPr="00DA0DCD">
        <w:rPr>
          <w:lang w:val="en-US"/>
        </w:rPr>
        <w:t xml:space="preserve"> this is the fourth event window.</w:t>
      </w:r>
    </w:p>
    <w:p w:rsidR="00AE4A33" w:rsidRPr="00DA0DCD" w:rsidRDefault="00AE4A33" w:rsidP="00FF2D1D">
      <w:pPr>
        <w:pStyle w:val="Geenafstand"/>
        <w:rPr>
          <w:u w:val="single"/>
          <w:lang w:val="en-US"/>
        </w:rPr>
      </w:pPr>
      <w:r w:rsidRPr="00DA0DCD">
        <w:rPr>
          <w:u w:val="single"/>
          <w:lang w:val="en-US"/>
        </w:rPr>
        <w:t>Fifth window</w:t>
      </w:r>
    </w:p>
    <w:p w:rsidR="001A7265" w:rsidRPr="00DA0DCD" w:rsidRDefault="001A7265" w:rsidP="00791CDB">
      <w:pPr>
        <w:rPr>
          <w:lang w:val="en-US"/>
        </w:rPr>
      </w:pPr>
      <w:r w:rsidRPr="00DA0DCD">
        <w:rPr>
          <w:lang w:val="en-US"/>
        </w:rPr>
        <w:t>The fifth window is a combination of three developments on respectively October 13, 14 and 15, 2008. On October 13 the IASB issued amendments to IAS 39 and IFRS 7 that permitted the reclassification of some financial instruments that would allow banks to avoid using fair value in reporting financial instruments. One day later the IASB provided an update on the application of using fair value when markets become illiquid. On October 15, 2008 the EU accepted the amendments made by the IASB on October 13. These three events are likely to have a positive effect on the probability of the issuance of</w:t>
      </w:r>
      <w:r w:rsidR="003B5FDA" w:rsidRPr="00DA0DCD">
        <w:rPr>
          <w:lang w:val="en-US"/>
        </w:rPr>
        <w:t xml:space="preserve"> the reclassification option (</w:t>
      </w:r>
      <w:r w:rsidRPr="00DA0DCD">
        <w:rPr>
          <w:lang w:val="en-US"/>
        </w:rPr>
        <w:t>relaxing FVA</w:t>
      </w:r>
      <w:r w:rsidR="003B5FDA" w:rsidRPr="00DA0DCD">
        <w:rPr>
          <w:lang w:val="en-US"/>
        </w:rPr>
        <w:t>)</w:t>
      </w:r>
      <w:r w:rsidRPr="00DA0DCD">
        <w:rPr>
          <w:lang w:val="en-US"/>
        </w:rPr>
        <w:t>.</w:t>
      </w:r>
    </w:p>
    <w:p w:rsidR="00125B56" w:rsidRPr="00DA0DCD" w:rsidRDefault="00125B56" w:rsidP="00791CDB">
      <w:pPr>
        <w:rPr>
          <w:lang w:val="en-US"/>
        </w:rPr>
      </w:pPr>
      <w:r w:rsidRPr="00DA0DCD">
        <w:rPr>
          <w:lang w:val="en-US"/>
        </w:rPr>
        <w:t>Th</w:t>
      </w:r>
      <w:r w:rsidR="00FF2D1D" w:rsidRPr="00DA0DCD">
        <w:rPr>
          <w:lang w:val="en-US"/>
        </w:rPr>
        <w:t>ese</w:t>
      </w:r>
      <w:r w:rsidRPr="00DA0DCD">
        <w:rPr>
          <w:lang w:val="en-US"/>
        </w:rPr>
        <w:t xml:space="preserve"> events increases or decreases the probability of introducing the reclassification option under IAS 39 in Europe. During these event days</w:t>
      </w:r>
      <w:r w:rsidR="00FF2D1D" w:rsidRPr="00DA0DCD">
        <w:rPr>
          <w:lang w:val="en-US"/>
        </w:rPr>
        <w:t xml:space="preserve"> the capital market reaction will be measured on the stock prices of financial institutions to make a conclusion on the impact of the events. The event windows will include the day before, the day of and the day after the event. The research approach of the event study will be further explained in </w:t>
      </w:r>
      <w:r w:rsidR="00947A7D" w:rsidRPr="00DA0DCD">
        <w:rPr>
          <w:lang w:val="en-US"/>
        </w:rPr>
        <w:t>paragraph</w:t>
      </w:r>
      <w:r w:rsidR="00FF2D1D" w:rsidRPr="00DA0DCD">
        <w:rPr>
          <w:lang w:val="en-US"/>
        </w:rPr>
        <w:t xml:space="preserve"> 6.5.</w:t>
      </w:r>
    </w:p>
    <w:p w:rsidR="00791CDB" w:rsidRPr="00DA0DCD" w:rsidRDefault="00791CDB" w:rsidP="00847C53">
      <w:pPr>
        <w:pStyle w:val="Kop2"/>
        <w:numPr>
          <w:ilvl w:val="1"/>
          <w:numId w:val="14"/>
        </w:numPr>
        <w:rPr>
          <w:lang w:val="en-US"/>
        </w:rPr>
      </w:pPr>
      <w:bookmarkStart w:id="61" w:name="_Toc270770595"/>
      <w:r w:rsidRPr="00DA0DCD">
        <w:rPr>
          <w:lang w:val="en-US"/>
        </w:rPr>
        <w:lastRenderedPageBreak/>
        <w:t>Sample</w:t>
      </w:r>
      <w:bookmarkEnd w:id="61"/>
    </w:p>
    <w:p w:rsidR="008F163C" w:rsidRPr="00DA0DCD" w:rsidRDefault="00A446C0" w:rsidP="008F163C">
      <w:pPr>
        <w:rPr>
          <w:lang w:val="en-US"/>
        </w:rPr>
      </w:pPr>
      <w:r w:rsidRPr="00DA0DCD">
        <w:rPr>
          <w:lang w:val="en-US"/>
        </w:rPr>
        <w:t>The</w:t>
      </w:r>
      <w:r w:rsidR="003B65F5" w:rsidRPr="00DA0DCD">
        <w:rPr>
          <w:lang w:val="en-US"/>
        </w:rPr>
        <w:t xml:space="preserve"> sample</w:t>
      </w:r>
      <w:r w:rsidRPr="00DA0DCD">
        <w:rPr>
          <w:lang w:val="en-US"/>
        </w:rPr>
        <w:t xml:space="preserve"> of </w:t>
      </w:r>
      <w:r w:rsidR="008748EE">
        <w:rPr>
          <w:lang w:val="en-US"/>
        </w:rPr>
        <w:t>the</w:t>
      </w:r>
      <w:r w:rsidRPr="00DA0DCD">
        <w:rPr>
          <w:lang w:val="en-US"/>
        </w:rPr>
        <w:t xml:space="preserve"> research</w:t>
      </w:r>
      <w:r w:rsidR="008748EE">
        <w:rPr>
          <w:lang w:val="en-US"/>
        </w:rPr>
        <w:t xml:space="preserve"> of this thesis</w:t>
      </w:r>
      <w:r w:rsidR="003B65F5" w:rsidRPr="00DA0DCD">
        <w:rPr>
          <w:lang w:val="en-US"/>
        </w:rPr>
        <w:t xml:space="preserve"> consist</w:t>
      </w:r>
      <w:r w:rsidR="008748EE">
        <w:rPr>
          <w:lang w:val="en-US"/>
        </w:rPr>
        <w:t>s</w:t>
      </w:r>
      <w:r w:rsidR="003B65F5" w:rsidRPr="00DA0DCD">
        <w:rPr>
          <w:lang w:val="en-US"/>
        </w:rPr>
        <w:t xml:space="preserve"> of financial institutions in the European Union</w:t>
      </w:r>
      <w:r w:rsidR="003B65F5" w:rsidRPr="00DA0DCD">
        <w:rPr>
          <w:rStyle w:val="Voetnootmarkering"/>
          <w:lang w:val="en-US"/>
        </w:rPr>
        <w:footnoteReference w:id="23"/>
      </w:r>
      <w:r w:rsidRPr="00DA0DCD">
        <w:rPr>
          <w:lang w:val="en-US"/>
        </w:rPr>
        <w:t xml:space="preserve"> </w:t>
      </w:r>
      <w:r w:rsidR="006920C9" w:rsidRPr="00DA0DCD">
        <w:rPr>
          <w:lang w:val="en-US"/>
        </w:rPr>
        <w:t>listed</w:t>
      </w:r>
      <w:r w:rsidR="003B65F5" w:rsidRPr="00DA0DCD">
        <w:rPr>
          <w:lang w:val="en-US"/>
        </w:rPr>
        <w:t xml:space="preserve"> at a European stock exchange market. </w:t>
      </w:r>
      <w:r w:rsidRPr="00DA0DCD">
        <w:rPr>
          <w:lang w:val="en-US"/>
        </w:rPr>
        <w:t xml:space="preserve">Not </w:t>
      </w:r>
      <w:r w:rsidR="00D65508" w:rsidRPr="00DA0DCD">
        <w:rPr>
          <w:lang w:val="en-US"/>
        </w:rPr>
        <w:t>all</w:t>
      </w:r>
      <w:r w:rsidRPr="00DA0DCD">
        <w:rPr>
          <w:lang w:val="en-US"/>
        </w:rPr>
        <w:t xml:space="preserve"> European Union countries are taken into the sample, only countries </w:t>
      </w:r>
      <w:r w:rsidR="009D117F" w:rsidRPr="00DA0DCD">
        <w:rPr>
          <w:lang w:val="en-US"/>
        </w:rPr>
        <w:t>that</w:t>
      </w:r>
      <w:r w:rsidRPr="00DA0DCD">
        <w:rPr>
          <w:lang w:val="en-US"/>
        </w:rPr>
        <w:t xml:space="preserve"> </w:t>
      </w:r>
      <w:r w:rsidR="00CB28F8" w:rsidRPr="00DA0DCD">
        <w:rPr>
          <w:lang w:val="en-US"/>
        </w:rPr>
        <w:t xml:space="preserve">were </w:t>
      </w:r>
      <w:r w:rsidRPr="00DA0DCD">
        <w:rPr>
          <w:lang w:val="en-US"/>
        </w:rPr>
        <w:t>member</w:t>
      </w:r>
      <w:r w:rsidR="009D117F" w:rsidRPr="00DA0DCD">
        <w:rPr>
          <w:lang w:val="en-US"/>
        </w:rPr>
        <w:t>s</w:t>
      </w:r>
      <w:r w:rsidRPr="00DA0DCD">
        <w:rPr>
          <w:lang w:val="en-US"/>
        </w:rPr>
        <w:t xml:space="preserve"> </w:t>
      </w:r>
      <w:r w:rsidR="009D117F" w:rsidRPr="00DA0DCD">
        <w:rPr>
          <w:lang w:val="en-US"/>
        </w:rPr>
        <w:t>in the year</w:t>
      </w:r>
      <w:r w:rsidRPr="00DA0DCD">
        <w:rPr>
          <w:lang w:val="en-US"/>
        </w:rPr>
        <w:t xml:space="preserve"> 1995</w:t>
      </w:r>
      <w:r w:rsidR="008748EE">
        <w:rPr>
          <w:lang w:val="en-US"/>
        </w:rPr>
        <w:t>, b</w:t>
      </w:r>
      <w:r w:rsidRPr="00DA0DCD">
        <w:rPr>
          <w:lang w:val="en-US"/>
        </w:rPr>
        <w:t>ecause th</w:t>
      </w:r>
      <w:r w:rsidR="009D117F" w:rsidRPr="00DA0DCD">
        <w:rPr>
          <w:lang w:val="en-US"/>
        </w:rPr>
        <w:t>e</w:t>
      </w:r>
      <w:r w:rsidRPr="00DA0DCD">
        <w:rPr>
          <w:lang w:val="en-US"/>
        </w:rPr>
        <w:t>s</w:t>
      </w:r>
      <w:r w:rsidR="009D117F" w:rsidRPr="00DA0DCD">
        <w:rPr>
          <w:lang w:val="en-US"/>
        </w:rPr>
        <w:t>e countries</w:t>
      </w:r>
      <w:r w:rsidRPr="00DA0DCD">
        <w:rPr>
          <w:lang w:val="en-US"/>
        </w:rPr>
        <w:t xml:space="preserve"> are the largest economies of the European Union. </w:t>
      </w:r>
      <w:r w:rsidR="003B65F5" w:rsidRPr="00DA0DCD">
        <w:rPr>
          <w:lang w:val="en-US"/>
        </w:rPr>
        <w:t xml:space="preserve">As stated in the introduction, </w:t>
      </w:r>
      <w:r w:rsidRPr="00DA0DCD">
        <w:rPr>
          <w:lang w:val="en-US"/>
        </w:rPr>
        <w:t>the</w:t>
      </w:r>
      <w:r w:rsidR="003B65F5" w:rsidRPr="00DA0DCD">
        <w:rPr>
          <w:lang w:val="en-US"/>
        </w:rPr>
        <w:t xml:space="preserve"> focus</w:t>
      </w:r>
      <w:r w:rsidRPr="00DA0DCD">
        <w:rPr>
          <w:lang w:val="en-US"/>
        </w:rPr>
        <w:t xml:space="preserve"> of this research will be</w:t>
      </w:r>
      <w:r w:rsidR="003B65F5" w:rsidRPr="00DA0DCD">
        <w:rPr>
          <w:lang w:val="en-US"/>
        </w:rPr>
        <w:t xml:space="preserve"> on financial institutions only</w:t>
      </w:r>
      <w:r w:rsidRPr="00DA0DCD">
        <w:rPr>
          <w:lang w:val="en-US"/>
        </w:rPr>
        <w:t>,</w:t>
      </w:r>
      <w:r w:rsidR="003B65F5" w:rsidRPr="00DA0DCD">
        <w:rPr>
          <w:lang w:val="en-US"/>
        </w:rPr>
        <w:t xml:space="preserve"> because financial instruments form a much larger part of the companies in this sector and the market reaction for changes in IAS 39 will therefore be easier to measure in this sector. The sample consists of approximately </w:t>
      </w:r>
      <w:r w:rsidR="00314047" w:rsidRPr="00DA0DCD">
        <w:rPr>
          <w:lang w:val="en-US"/>
        </w:rPr>
        <w:t>393</w:t>
      </w:r>
      <w:r w:rsidR="003B65F5" w:rsidRPr="00DA0DCD">
        <w:rPr>
          <w:lang w:val="en-US"/>
        </w:rPr>
        <w:t xml:space="preserve"> firms, namely </w:t>
      </w:r>
      <w:r w:rsidR="00D65508" w:rsidRPr="00DA0DCD">
        <w:rPr>
          <w:lang w:val="en-US"/>
        </w:rPr>
        <w:t xml:space="preserve">85 </w:t>
      </w:r>
      <w:r w:rsidR="003B65F5" w:rsidRPr="00DA0DCD">
        <w:rPr>
          <w:lang w:val="en-US"/>
        </w:rPr>
        <w:t>banks</w:t>
      </w:r>
      <w:r w:rsidR="0071741D" w:rsidRPr="00DA0DCD">
        <w:rPr>
          <w:lang w:val="en-US"/>
        </w:rPr>
        <w:t>, 58</w:t>
      </w:r>
      <w:r w:rsidR="00830285" w:rsidRPr="00DA0DCD">
        <w:rPr>
          <w:lang w:val="en-US"/>
        </w:rPr>
        <w:t xml:space="preserve"> insurance companies</w:t>
      </w:r>
      <w:r w:rsidR="003B65F5" w:rsidRPr="00DA0DCD">
        <w:rPr>
          <w:lang w:val="en-US"/>
        </w:rPr>
        <w:t xml:space="preserve"> and </w:t>
      </w:r>
      <w:r w:rsidR="0071741D" w:rsidRPr="00DA0DCD">
        <w:rPr>
          <w:lang w:val="en-US"/>
        </w:rPr>
        <w:t>250</w:t>
      </w:r>
      <w:r w:rsidR="00830285" w:rsidRPr="00DA0DCD">
        <w:rPr>
          <w:lang w:val="en-US"/>
        </w:rPr>
        <w:t xml:space="preserve"> other financial institutions.</w:t>
      </w:r>
      <w:r w:rsidR="0054214B" w:rsidRPr="00DA0DCD">
        <w:rPr>
          <w:lang w:val="en-US"/>
        </w:rPr>
        <w:t xml:space="preserve"> The total overview of the sample is presented in appendix B.</w:t>
      </w:r>
      <w:r w:rsidR="000769FF" w:rsidRPr="00DA0DCD">
        <w:rPr>
          <w:lang w:val="en-US"/>
        </w:rPr>
        <w:t xml:space="preserve"> </w:t>
      </w:r>
      <w:r w:rsidR="0054214B" w:rsidRPr="00DA0DCD">
        <w:rPr>
          <w:lang w:val="en-US"/>
        </w:rPr>
        <w:t>‘</w:t>
      </w:r>
      <w:r w:rsidR="00543597" w:rsidRPr="00DA0DCD">
        <w:rPr>
          <w:lang w:val="en-US"/>
        </w:rPr>
        <w:t>O</w:t>
      </w:r>
      <w:r w:rsidR="009F2D29" w:rsidRPr="00DA0DCD">
        <w:rPr>
          <w:lang w:val="en-US"/>
        </w:rPr>
        <w:t>ther</w:t>
      </w:r>
      <w:r w:rsidR="0054214B" w:rsidRPr="00DA0DCD">
        <w:rPr>
          <w:lang w:val="en-US"/>
        </w:rPr>
        <w:t>’</w:t>
      </w:r>
      <w:r w:rsidR="009F2D29" w:rsidRPr="00DA0DCD">
        <w:rPr>
          <w:lang w:val="en-US"/>
        </w:rPr>
        <w:t xml:space="preserve"> financial </w:t>
      </w:r>
      <w:r w:rsidR="00543597" w:rsidRPr="00DA0DCD">
        <w:rPr>
          <w:lang w:val="en-US"/>
        </w:rPr>
        <w:t xml:space="preserve">institutions </w:t>
      </w:r>
      <w:r w:rsidR="00BA5D31" w:rsidRPr="00DA0DCD">
        <w:rPr>
          <w:lang w:val="en-US"/>
        </w:rPr>
        <w:t>represents</w:t>
      </w:r>
      <w:r w:rsidR="00543597" w:rsidRPr="00DA0DCD">
        <w:rPr>
          <w:lang w:val="en-US"/>
        </w:rPr>
        <w:t xml:space="preserve"> pension funds, investment funds, trust companies, building societies, credit unions and mortgage loan companies</w:t>
      </w:r>
      <w:r w:rsidR="008F163C" w:rsidRPr="00DA0DCD">
        <w:rPr>
          <w:lang w:val="en-US"/>
        </w:rPr>
        <w:t>.</w:t>
      </w:r>
      <w:r w:rsidR="00543597" w:rsidRPr="00DA0DCD">
        <w:rPr>
          <w:lang w:val="en-US"/>
        </w:rPr>
        <w:t xml:space="preserve"> </w:t>
      </w:r>
      <w:r w:rsidR="003B65F5" w:rsidRPr="00DA0DCD">
        <w:rPr>
          <w:lang w:val="en-US"/>
        </w:rPr>
        <w:t>However this is the official segregation, there are lot of banks that have also insurance activities.</w:t>
      </w:r>
      <w:r w:rsidR="008A17D5" w:rsidRPr="00DA0DCD">
        <w:rPr>
          <w:lang w:val="en-US"/>
        </w:rPr>
        <w:t xml:space="preserve"> For hypothesis </w:t>
      </w:r>
      <w:r w:rsidR="008748EE">
        <w:rPr>
          <w:lang w:val="en-US"/>
        </w:rPr>
        <w:t>three</w:t>
      </w:r>
      <w:r w:rsidR="00543597" w:rsidRPr="00DA0DCD">
        <w:rPr>
          <w:lang w:val="en-US"/>
        </w:rPr>
        <w:t xml:space="preserve"> (</w:t>
      </w:r>
      <w:r w:rsidR="00947A7D" w:rsidRPr="00DA0DCD">
        <w:rPr>
          <w:lang w:val="en-US"/>
        </w:rPr>
        <w:t>paragraph</w:t>
      </w:r>
      <w:r w:rsidR="00543597" w:rsidRPr="00DA0DCD">
        <w:rPr>
          <w:lang w:val="en-US"/>
        </w:rPr>
        <w:t xml:space="preserve"> 5</w:t>
      </w:r>
      <w:r w:rsidR="008A17D5" w:rsidRPr="00DA0DCD">
        <w:rPr>
          <w:lang w:val="en-US"/>
        </w:rPr>
        <w:t>.</w:t>
      </w:r>
      <w:r w:rsidR="008748EE">
        <w:rPr>
          <w:lang w:val="en-US"/>
        </w:rPr>
        <w:t>4</w:t>
      </w:r>
      <w:r w:rsidR="008A17D5" w:rsidRPr="00DA0DCD">
        <w:rPr>
          <w:lang w:val="en-US"/>
        </w:rPr>
        <w:t>)</w:t>
      </w:r>
      <w:r w:rsidR="009026AF" w:rsidRPr="00DA0DCD">
        <w:rPr>
          <w:lang w:val="en-US"/>
        </w:rPr>
        <w:t>,</w:t>
      </w:r>
      <w:r w:rsidR="008A17D5" w:rsidRPr="00DA0DCD">
        <w:rPr>
          <w:lang w:val="en-US"/>
        </w:rPr>
        <w:t xml:space="preserve"> companies that run both</w:t>
      </w:r>
      <w:r w:rsidR="003B65F5" w:rsidRPr="00DA0DCD">
        <w:rPr>
          <w:lang w:val="en-US"/>
        </w:rPr>
        <w:t xml:space="preserve"> bank and insurance activities</w:t>
      </w:r>
      <w:r w:rsidR="008A17D5" w:rsidRPr="00DA0DCD">
        <w:rPr>
          <w:lang w:val="en-US"/>
        </w:rPr>
        <w:t xml:space="preserve"> will be eliminated</w:t>
      </w:r>
      <w:r w:rsidR="003B65F5" w:rsidRPr="00DA0DCD">
        <w:rPr>
          <w:lang w:val="en-US"/>
        </w:rPr>
        <w:t xml:space="preserve">.  </w:t>
      </w:r>
      <w:r w:rsidR="008A17D5" w:rsidRPr="00DA0DCD">
        <w:rPr>
          <w:lang w:val="en-US"/>
        </w:rPr>
        <w:t>DataStream will be used f</w:t>
      </w:r>
      <w:r w:rsidR="003B65F5" w:rsidRPr="00DA0DCD">
        <w:rPr>
          <w:lang w:val="en-US"/>
        </w:rPr>
        <w:t>or</w:t>
      </w:r>
      <w:r w:rsidR="002032E0" w:rsidRPr="00DA0DCD">
        <w:rPr>
          <w:lang w:val="en-US"/>
        </w:rPr>
        <w:t xml:space="preserve"> all</w:t>
      </w:r>
      <w:r w:rsidR="003B65F5" w:rsidRPr="00DA0DCD">
        <w:rPr>
          <w:lang w:val="en-US"/>
        </w:rPr>
        <w:t xml:space="preserve"> the data of the stock market reaction</w:t>
      </w:r>
      <w:r w:rsidR="008748EE">
        <w:rPr>
          <w:lang w:val="en-US"/>
        </w:rPr>
        <w:t>s</w:t>
      </w:r>
      <w:r w:rsidR="003B65F5" w:rsidRPr="00DA0DCD">
        <w:rPr>
          <w:lang w:val="en-US"/>
        </w:rPr>
        <w:t>.</w:t>
      </w:r>
      <w:r w:rsidR="008F163C" w:rsidRPr="00DA0DCD">
        <w:rPr>
          <w:lang w:val="en-US"/>
        </w:rPr>
        <w:t xml:space="preserve"> The sample is categorized by DataStream as </w:t>
      </w:r>
      <w:r w:rsidR="00306DFC" w:rsidRPr="00DA0DCD">
        <w:rPr>
          <w:lang w:val="en-US"/>
        </w:rPr>
        <w:t xml:space="preserve">constituent list </w:t>
      </w:r>
      <w:r w:rsidR="008F163C" w:rsidRPr="00DA0DCD">
        <w:rPr>
          <w:lang w:val="en-US"/>
        </w:rPr>
        <w:t>financials</w:t>
      </w:r>
      <w:r w:rsidR="00543597" w:rsidRPr="00DA0DCD">
        <w:rPr>
          <w:lang w:val="en-US"/>
        </w:rPr>
        <w:t xml:space="preserve"> (+ country code), </w:t>
      </w:r>
      <w:r w:rsidR="008F163C" w:rsidRPr="00DA0DCD">
        <w:rPr>
          <w:lang w:val="en-US"/>
        </w:rPr>
        <w:t>banks</w:t>
      </w:r>
      <w:r w:rsidR="00543597" w:rsidRPr="00DA0DCD">
        <w:rPr>
          <w:lang w:val="en-US"/>
        </w:rPr>
        <w:t xml:space="preserve"> (+ country code)</w:t>
      </w:r>
      <w:r w:rsidR="008F163C" w:rsidRPr="00DA0DCD">
        <w:rPr>
          <w:lang w:val="en-US"/>
        </w:rPr>
        <w:t xml:space="preserve"> and insurance</w:t>
      </w:r>
      <w:r w:rsidR="00306DFC" w:rsidRPr="00DA0DCD">
        <w:rPr>
          <w:lang w:val="en-US"/>
        </w:rPr>
        <w:t xml:space="preserve"> (+ country code)</w:t>
      </w:r>
      <w:r w:rsidR="008F163C" w:rsidRPr="00DA0DCD">
        <w:rPr>
          <w:lang w:val="en-US"/>
        </w:rPr>
        <w:t xml:space="preserve"> </w:t>
      </w:r>
      <w:r w:rsidR="00306DFC" w:rsidRPr="00DA0DCD">
        <w:rPr>
          <w:lang w:val="en-US"/>
        </w:rPr>
        <w:t xml:space="preserve">of the </w:t>
      </w:r>
      <w:r w:rsidR="008F163C" w:rsidRPr="00DA0DCD">
        <w:rPr>
          <w:lang w:val="en-US"/>
        </w:rPr>
        <w:t>fourteen</w:t>
      </w:r>
      <w:r w:rsidR="00A27130" w:rsidRPr="00DA0DCD">
        <w:rPr>
          <w:lang w:val="en-US"/>
        </w:rPr>
        <w:t xml:space="preserve"> </w:t>
      </w:r>
      <w:r w:rsidR="008F163C" w:rsidRPr="00DA0DCD">
        <w:rPr>
          <w:lang w:val="en-US"/>
        </w:rPr>
        <w:t xml:space="preserve">European </w:t>
      </w:r>
      <w:r w:rsidR="00306DFC" w:rsidRPr="00DA0DCD">
        <w:rPr>
          <w:lang w:val="en-US"/>
        </w:rPr>
        <w:t>Union members</w:t>
      </w:r>
      <w:r w:rsidR="008F163C" w:rsidRPr="00DA0DCD">
        <w:rPr>
          <w:lang w:val="en-US"/>
        </w:rPr>
        <w:t>.</w:t>
      </w:r>
    </w:p>
    <w:p w:rsidR="00791CDB" w:rsidRPr="00DA0DCD" w:rsidRDefault="00791CDB" w:rsidP="00847C53">
      <w:pPr>
        <w:pStyle w:val="Kop2"/>
        <w:numPr>
          <w:ilvl w:val="1"/>
          <w:numId w:val="14"/>
        </w:numPr>
        <w:rPr>
          <w:lang w:val="en-US"/>
        </w:rPr>
      </w:pPr>
      <w:r w:rsidRPr="00DA0DCD">
        <w:rPr>
          <w:lang w:val="en-US"/>
        </w:rPr>
        <w:t xml:space="preserve"> </w:t>
      </w:r>
      <w:bookmarkStart w:id="62" w:name="_Toc270770596"/>
      <w:r w:rsidRPr="00DA0DCD">
        <w:rPr>
          <w:lang w:val="en-US"/>
        </w:rPr>
        <w:t>Model selection and methodology</w:t>
      </w:r>
      <w:bookmarkEnd w:id="62"/>
    </w:p>
    <w:p w:rsidR="009D68B2" w:rsidRPr="00DA0DCD" w:rsidRDefault="003B65F5" w:rsidP="00C23FC6">
      <w:pPr>
        <w:rPr>
          <w:lang w:val="en-US"/>
        </w:rPr>
      </w:pPr>
      <w:r w:rsidRPr="00DA0DCD">
        <w:rPr>
          <w:lang w:val="en-US"/>
        </w:rPr>
        <w:t xml:space="preserve">In accordance with </w:t>
      </w:r>
      <w:r w:rsidR="007B18A0" w:rsidRPr="00DA0DCD">
        <w:rPr>
          <w:lang w:val="en-US"/>
        </w:rPr>
        <w:t>researchers like</w:t>
      </w:r>
      <w:r w:rsidRPr="00DA0DCD">
        <w:rPr>
          <w:lang w:val="en-US"/>
        </w:rPr>
        <w:t xml:space="preserve"> Cornett et al. (1996), Beatty et al.(1996) and Bowen et al.(2010) a multifactor model</w:t>
      </w:r>
      <w:r w:rsidR="00B83E1A" w:rsidRPr="00DA0DCD">
        <w:rPr>
          <w:lang w:val="en-US"/>
        </w:rPr>
        <w:t xml:space="preserve"> </w:t>
      </w:r>
      <w:r w:rsidR="008A17D5" w:rsidRPr="00DA0DCD">
        <w:rPr>
          <w:lang w:val="en-US"/>
        </w:rPr>
        <w:t xml:space="preserve">will be used </w:t>
      </w:r>
      <w:r w:rsidRPr="00DA0DCD">
        <w:rPr>
          <w:lang w:val="en-US"/>
        </w:rPr>
        <w:t>to investigate the economic con</w:t>
      </w:r>
      <w:r w:rsidR="008A17D5" w:rsidRPr="00DA0DCD">
        <w:rPr>
          <w:lang w:val="en-US"/>
        </w:rPr>
        <w:t>sequences</w:t>
      </w:r>
      <w:r w:rsidR="007B18A0" w:rsidRPr="00DA0DCD">
        <w:rPr>
          <w:lang w:val="en-US"/>
        </w:rPr>
        <w:t xml:space="preserve"> of a possible introduction of a reclassification option</w:t>
      </w:r>
      <w:r w:rsidR="008748EE">
        <w:rPr>
          <w:lang w:val="en-US"/>
        </w:rPr>
        <w:t xml:space="preserve"> in IAS 39</w:t>
      </w:r>
      <w:r w:rsidR="008A17D5" w:rsidRPr="00DA0DCD">
        <w:rPr>
          <w:lang w:val="en-US"/>
        </w:rPr>
        <w:t xml:space="preserve">. </w:t>
      </w:r>
      <w:r w:rsidR="00B83E1A" w:rsidRPr="00DA0DCD">
        <w:rPr>
          <w:lang w:val="en-US"/>
        </w:rPr>
        <w:t xml:space="preserve">The methodology used by these researchers is used to examine whether the stock market react on new available information (events). Cornett et al. </w:t>
      </w:r>
      <w:r w:rsidR="00605F94" w:rsidRPr="00DA0DCD">
        <w:rPr>
          <w:lang w:val="en-US"/>
        </w:rPr>
        <w:t>1996 examine the effect of</w:t>
      </w:r>
      <w:r w:rsidR="000A70C2" w:rsidRPr="00DA0DCD">
        <w:rPr>
          <w:lang w:val="en-US"/>
        </w:rPr>
        <w:t xml:space="preserve"> announcements, concerning the</w:t>
      </w:r>
      <w:r w:rsidR="00605F94" w:rsidRPr="00DA0DCD">
        <w:rPr>
          <w:lang w:val="en-US"/>
        </w:rPr>
        <w:t xml:space="preserve"> introduction FVA</w:t>
      </w:r>
      <w:r w:rsidR="000A70C2" w:rsidRPr="00DA0DCD">
        <w:rPr>
          <w:lang w:val="en-US"/>
        </w:rPr>
        <w:t>,</w:t>
      </w:r>
      <w:r w:rsidR="00605F94" w:rsidRPr="00DA0DCD">
        <w:rPr>
          <w:lang w:val="en-US"/>
        </w:rPr>
        <w:t xml:space="preserve"> on the stock prices of banks in the US</w:t>
      </w:r>
      <w:r w:rsidR="000A70C2" w:rsidRPr="00DA0DCD">
        <w:rPr>
          <w:lang w:val="en-US"/>
        </w:rPr>
        <w:t xml:space="preserve"> during</w:t>
      </w:r>
      <w:r w:rsidR="004A23A6" w:rsidRPr="00DA0DCD">
        <w:rPr>
          <w:lang w:val="en-US"/>
        </w:rPr>
        <w:t xml:space="preserve"> the period 1989 through 1993.</w:t>
      </w:r>
      <w:r w:rsidR="00605F94" w:rsidRPr="00DA0DCD">
        <w:rPr>
          <w:lang w:val="en-US"/>
        </w:rPr>
        <w:t xml:space="preserve"> </w:t>
      </w:r>
      <w:r w:rsidR="004A23A6" w:rsidRPr="00DA0DCD">
        <w:rPr>
          <w:lang w:val="en-US"/>
        </w:rPr>
        <w:t>U</w:t>
      </w:r>
      <w:r w:rsidR="00605F94" w:rsidRPr="00DA0DCD">
        <w:rPr>
          <w:lang w:val="en-US"/>
        </w:rPr>
        <w:t xml:space="preserve">sing 23 events and a multivariate regression model as described in </w:t>
      </w:r>
      <w:r w:rsidR="00947A7D" w:rsidRPr="00DA0DCD">
        <w:rPr>
          <w:lang w:val="en-US"/>
        </w:rPr>
        <w:t>paragraph</w:t>
      </w:r>
      <w:r w:rsidR="00605F94" w:rsidRPr="00DA0DCD">
        <w:rPr>
          <w:lang w:val="en-US"/>
        </w:rPr>
        <w:t xml:space="preserve"> 4.3. Also Beatty et al. (1996) researched the introduction of FVA. Using an event </w:t>
      </w:r>
      <w:r w:rsidR="004A23A6" w:rsidRPr="00DA0DCD">
        <w:rPr>
          <w:lang w:val="en-US"/>
        </w:rPr>
        <w:t>study and a multifactor model,</w:t>
      </w:r>
      <w:r w:rsidR="00605F94" w:rsidRPr="00DA0DCD">
        <w:rPr>
          <w:lang w:val="en-US"/>
        </w:rPr>
        <w:t xml:space="preserve"> they measure the effect of introduction</w:t>
      </w:r>
      <w:r w:rsidR="000A70C2" w:rsidRPr="00DA0DCD">
        <w:rPr>
          <w:lang w:val="en-US"/>
        </w:rPr>
        <w:t xml:space="preserve"> announcements</w:t>
      </w:r>
      <w:r w:rsidR="00605F94" w:rsidRPr="00DA0DCD">
        <w:rPr>
          <w:lang w:val="en-US"/>
        </w:rPr>
        <w:t xml:space="preserve"> on the stock prices of banks</w:t>
      </w:r>
      <w:r w:rsidR="004A23A6" w:rsidRPr="00DA0DCD">
        <w:rPr>
          <w:lang w:val="en-US"/>
        </w:rPr>
        <w:t xml:space="preserve"> and insurance companies</w:t>
      </w:r>
      <w:r w:rsidR="000A70C2" w:rsidRPr="00DA0DCD">
        <w:rPr>
          <w:lang w:val="en-US"/>
        </w:rPr>
        <w:t xml:space="preserve"> in the US over the period 1990 -1993</w:t>
      </w:r>
      <w:r w:rsidR="004A23A6" w:rsidRPr="00DA0DCD">
        <w:rPr>
          <w:lang w:val="en-US"/>
        </w:rPr>
        <w:t xml:space="preserve">, as mentioned in </w:t>
      </w:r>
      <w:r w:rsidR="00947A7D" w:rsidRPr="00DA0DCD">
        <w:rPr>
          <w:lang w:val="en-US"/>
        </w:rPr>
        <w:t>paragraph</w:t>
      </w:r>
      <w:r w:rsidR="004A23A6" w:rsidRPr="00DA0DCD">
        <w:rPr>
          <w:lang w:val="en-US"/>
        </w:rPr>
        <w:t xml:space="preserve"> 4.3. </w:t>
      </w:r>
      <w:r w:rsidR="000A70C2" w:rsidRPr="00DA0DCD">
        <w:rPr>
          <w:lang w:val="en-US"/>
        </w:rPr>
        <w:t>Some years later, Bowen et al. (2010) conducted during the financial crisis of 2008-2009 a similar kind of research. They examined the effect of announcements, concerning the relaxation of FVA and impairment rules, on the stock prices of banks in the US.</w:t>
      </w:r>
      <w:r w:rsidR="006B57C6" w:rsidRPr="00DA0DCD">
        <w:rPr>
          <w:lang w:val="en-US"/>
        </w:rPr>
        <w:t xml:space="preserve"> Also using event study and a multifactor model, as described in </w:t>
      </w:r>
      <w:r w:rsidR="00947A7D" w:rsidRPr="00DA0DCD">
        <w:rPr>
          <w:lang w:val="en-US"/>
        </w:rPr>
        <w:t>paragraph</w:t>
      </w:r>
      <w:r w:rsidR="006B57C6" w:rsidRPr="00DA0DCD">
        <w:rPr>
          <w:lang w:val="en-US"/>
        </w:rPr>
        <w:t xml:space="preserve"> 4.7. </w:t>
      </w:r>
    </w:p>
    <w:p w:rsidR="00724FAC" w:rsidRPr="00DA0DCD" w:rsidRDefault="006B57C6" w:rsidP="00C23FC6">
      <w:pPr>
        <w:rPr>
          <w:lang w:val="en-US"/>
        </w:rPr>
      </w:pPr>
      <w:r w:rsidRPr="00DA0DCD">
        <w:rPr>
          <w:lang w:val="en-US"/>
        </w:rPr>
        <w:t xml:space="preserve">All these researchers have proved there </w:t>
      </w:r>
      <w:r w:rsidR="00261B3B" w:rsidRPr="00DA0DCD">
        <w:rPr>
          <w:lang w:val="en-US"/>
        </w:rPr>
        <w:t>hypotheses using the multifactor model and therefore the model ha</w:t>
      </w:r>
      <w:r w:rsidR="00A13846">
        <w:rPr>
          <w:lang w:val="en-US"/>
        </w:rPr>
        <w:t>d been worthwhile</w:t>
      </w:r>
      <w:r w:rsidRPr="00DA0DCD">
        <w:rPr>
          <w:lang w:val="en-US"/>
        </w:rPr>
        <w:t>. The multifactor model is a multivariate regression</w:t>
      </w:r>
      <w:r w:rsidR="00261B3B">
        <w:rPr>
          <w:lang w:val="en-US"/>
        </w:rPr>
        <w:t>,</w:t>
      </w:r>
      <w:r w:rsidRPr="00DA0DCD">
        <w:rPr>
          <w:lang w:val="en-US"/>
        </w:rPr>
        <w:t xml:space="preserve"> which regress</w:t>
      </w:r>
      <w:r w:rsidR="00CB28F8" w:rsidRPr="00DA0DCD">
        <w:rPr>
          <w:lang w:val="en-US"/>
        </w:rPr>
        <w:t>es</w:t>
      </w:r>
      <w:r w:rsidRPr="00DA0DCD">
        <w:rPr>
          <w:lang w:val="en-US"/>
        </w:rPr>
        <w:t xml:space="preserve"> the return of a sample firm (dependent variable) against independent variables as market return, interest rate changes and events. In other </w:t>
      </w:r>
      <w:r w:rsidR="009D68B2" w:rsidRPr="00DA0DCD">
        <w:rPr>
          <w:lang w:val="en-US"/>
        </w:rPr>
        <w:t>words,</w:t>
      </w:r>
      <w:r w:rsidRPr="00DA0DCD">
        <w:rPr>
          <w:lang w:val="en-US"/>
        </w:rPr>
        <w:t xml:space="preserve"> the return of a sample firm</w:t>
      </w:r>
      <w:r w:rsidR="009D68B2" w:rsidRPr="00DA0DCD">
        <w:rPr>
          <w:lang w:val="en-US"/>
        </w:rPr>
        <w:t>s</w:t>
      </w:r>
      <w:r w:rsidRPr="00DA0DCD">
        <w:rPr>
          <w:lang w:val="en-US"/>
        </w:rPr>
        <w:t xml:space="preserve"> is corrected for the effect of the market return and interest rate changes to measure the effect of event</w:t>
      </w:r>
      <w:r w:rsidR="009D68B2" w:rsidRPr="00DA0DCD">
        <w:rPr>
          <w:lang w:val="en-US"/>
        </w:rPr>
        <w:t>s on the stock prices of sample firms</w:t>
      </w:r>
      <w:r w:rsidRPr="00DA0DCD">
        <w:rPr>
          <w:lang w:val="en-US"/>
        </w:rPr>
        <w:t>.</w:t>
      </w:r>
      <w:r w:rsidR="009D68B2" w:rsidRPr="00DA0DCD">
        <w:rPr>
          <w:lang w:val="en-US"/>
        </w:rPr>
        <w:t xml:space="preserve"> There is not yet criticism or major disadvantages found of this approach of measuring the effect of events on the stock prices of sample firms. </w:t>
      </w:r>
      <w:r w:rsidR="00A13846" w:rsidRPr="00DA0DCD">
        <w:rPr>
          <w:lang w:val="en-US"/>
        </w:rPr>
        <w:t>Furthermore,</w:t>
      </w:r>
      <w:r w:rsidR="009D68B2" w:rsidRPr="00DA0DCD">
        <w:rPr>
          <w:lang w:val="en-US"/>
        </w:rPr>
        <w:t xml:space="preserve"> the advantage of the multifactor model, as described in </w:t>
      </w:r>
      <w:r w:rsidR="00947A7D" w:rsidRPr="00DA0DCD">
        <w:rPr>
          <w:lang w:val="en-US"/>
        </w:rPr>
        <w:t>paragraph</w:t>
      </w:r>
      <w:r w:rsidR="009D68B2" w:rsidRPr="00DA0DCD">
        <w:rPr>
          <w:lang w:val="en-US"/>
        </w:rPr>
        <w:t xml:space="preserve"> 3.</w:t>
      </w:r>
      <w:r w:rsidR="00BE23F6" w:rsidRPr="00DA0DCD">
        <w:rPr>
          <w:lang w:val="en-US"/>
        </w:rPr>
        <w:t>3.3,</w:t>
      </w:r>
      <w:r w:rsidR="00261B3B">
        <w:rPr>
          <w:lang w:val="en-US"/>
        </w:rPr>
        <w:t xml:space="preserve"> is</w:t>
      </w:r>
      <w:r w:rsidR="00BE23F6" w:rsidRPr="00DA0DCD">
        <w:rPr>
          <w:lang w:val="en-US"/>
        </w:rPr>
        <w:t xml:space="preserve"> that the return of a fir</w:t>
      </w:r>
      <w:r w:rsidR="00CB28F8" w:rsidRPr="00DA0DCD">
        <w:rPr>
          <w:lang w:val="en-US"/>
        </w:rPr>
        <w:t>m is explained by more variable</w:t>
      </w:r>
      <w:r w:rsidR="00BE23F6" w:rsidRPr="00DA0DCD">
        <w:rPr>
          <w:lang w:val="en-US"/>
        </w:rPr>
        <w:t>s than in the market model. This means that the effect of the events is more accurately measured.</w:t>
      </w:r>
      <w:r w:rsidR="00724FAC" w:rsidRPr="00DA0DCD">
        <w:rPr>
          <w:lang w:val="en-US"/>
        </w:rPr>
        <w:t xml:space="preserve"> </w:t>
      </w:r>
      <w:r w:rsidR="00261B3B" w:rsidRPr="00DA0DCD">
        <w:rPr>
          <w:lang w:val="en-US"/>
        </w:rPr>
        <w:t>However</w:t>
      </w:r>
      <w:r w:rsidR="00724FAC" w:rsidRPr="00DA0DCD">
        <w:rPr>
          <w:lang w:val="en-US"/>
        </w:rPr>
        <w:t>, t</w:t>
      </w:r>
      <w:r w:rsidR="003B65F5" w:rsidRPr="00DA0DCD">
        <w:rPr>
          <w:lang w:val="en-US"/>
        </w:rPr>
        <w:t xml:space="preserve">here are some limitations of this </w:t>
      </w:r>
      <w:r w:rsidR="00261B3B" w:rsidRPr="00DA0DCD">
        <w:rPr>
          <w:lang w:val="en-US"/>
        </w:rPr>
        <w:t>method</w:t>
      </w:r>
      <w:r w:rsidR="00261B3B">
        <w:rPr>
          <w:lang w:val="en-US"/>
        </w:rPr>
        <w:t>,</w:t>
      </w:r>
      <w:r w:rsidR="003B65F5" w:rsidRPr="00DA0DCD">
        <w:rPr>
          <w:lang w:val="en-US"/>
        </w:rPr>
        <w:t xml:space="preserve"> these are described in </w:t>
      </w:r>
      <w:r w:rsidR="00947A7D" w:rsidRPr="00DA0DCD">
        <w:rPr>
          <w:lang w:val="en-US"/>
        </w:rPr>
        <w:t>paragraph</w:t>
      </w:r>
      <w:r w:rsidR="003B65F5" w:rsidRPr="00DA0DCD">
        <w:rPr>
          <w:lang w:val="en-US"/>
        </w:rPr>
        <w:t xml:space="preserve"> </w:t>
      </w:r>
      <w:r w:rsidR="000345FD" w:rsidRPr="00DA0DCD">
        <w:rPr>
          <w:lang w:val="en-US"/>
        </w:rPr>
        <w:t>6</w:t>
      </w:r>
      <w:r w:rsidR="003B65F5" w:rsidRPr="00DA0DCD">
        <w:rPr>
          <w:lang w:val="en-US"/>
        </w:rPr>
        <w:t>.</w:t>
      </w:r>
      <w:r w:rsidR="000345FD" w:rsidRPr="00DA0DCD">
        <w:rPr>
          <w:lang w:val="en-US"/>
        </w:rPr>
        <w:t>6</w:t>
      </w:r>
      <w:r w:rsidR="003B65F5" w:rsidRPr="00DA0DCD">
        <w:rPr>
          <w:lang w:val="en-US"/>
        </w:rPr>
        <w:t xml:space="preserve">. </w:t>
      </w:r>
    </w:p>
    <w:p w:rsidR="00DE604C" w:rsidRPr="00DA0DCD" w:rsidRDefault="00724FAC" w:rsidP="00C23FC6">
      <w:pPr>
        <w:rPr>
          <w:u w:val="single"/>
          <w:lang w:val="en-US"/>
        </w:rPr>
      </w:pPr>
      <w:r w:rsidRPr="00DA0DCD">
        <w:rPr>
          <w:lang w:val="en-US"/>
        </w:rPr>
        <w:lastRenderedPageBreak/>
        <w:t>So</w:t>
      </w:r>
      <w:r w:rsidR="003B65F5" w:rsidRPr="00DA0DCD">
        <w:rPr>
          <w:lang w:val="en-US"/>
        </w:rPr>
        <w:t>,</w:t>
      </w:r>
      <w:r w:rsidRPr="00DA0DCD">
        <w:rPr>
          <w:lang w:val="en-US"/>
        </w:rPr>
        <w:t xml:space="preserve"> the multifactor</w:t>
      </w:r>
      <w:r w:rsidR="00A13846">
        <w:rPr>
          <w:lang w:val="en-US"/>
        </w:rPr>
        <w:t xml:space="preserve"> model</w:t>
      </w:r>
      <w:r w:rsidRPr="00DA0DCD">
        <w:rPr>
          <w:lang w:val="en-US"/>
        </w:rPr>
        <w:t xml:space="preserve"> is widely used in the accounting research</w:t>
      </w:r>
      <w:r w:rsidR="00261B3B">
        <w:rPr>
          <w:lang w:val="en-US"/>
        </w:rPr>
        <w:t xml:space="preserve"> and</w:t>
      </w:r>
      <w:r w:rsidR="003B65F5" w:rsidRPr="00DA0DCD">
        <w:rPr>
          <w:lang w:val="en-US"/>
        </w:rPr>
        <w:t xml:space="preserve"> </w:t>
      </w:r>
      <w:r w:rsidR="005B44BF" w:rsidRPr="00DA0DCD">
        <w:rPr>
          <w:lang w:val="en-US"/>
        </w:rPr>
        <w:t xml:space="preserve">I </w:t>
      </w:r>
      <w:r w:rsidR="003B65F5" w:rsidRPr="00DA0DCD">
        <w:rPr>
          <w:lang w:val="en-US"/>
        </w:rPr>
        <w:t xml:space="preserve">will also use a multivariate model in accordance with Bowen et al.(2010), Beatty et al. (1996), Cornett et al.(1996) to give answer to </w:t>
      </w:r>
      <w:r w:rsidR="005B44BF" w:rsidRPr="00DA0DCD">
        <w:rPr>
          <w:lang w:val="en-US"/>
        </w:rPr>
        <w:t xml:space="preserve">the </w:t>
      </w:r>
      <w:r w:rsidR="003B65F5" w:rsidRPr="00DA0DCD">
        <w:rPr>
          <w:lang w:val="en-US"/>
        </w:rPr>
        <w:t xml:space="preserve">research question. </w:t>
      </w:r>
      <w:r w:rsidR="005B44BF" w:rsidRPr="00DA0DCD">
        <w:rPr>
          <w:lang w:val="en-US"/>
        </w:rPr>
        <w:t>The</w:t>
      </w:r>
      <w:r w:rsidR="003B65F5" w:rsidRPr="00DA0DCD">
        <w:rPr>
          <w:lang w:val="en-US"/>
        </w:rPr>
        <w:t xml:space="preserve"> </w:t>
      </w:r>
      <w:r w:rsidR="005B44BF" w:rsidRPr="00DA0DCD">
        <w:rPr>
          <w:lang w:val="en-US"/>
        </w:rPr>
        <w:t xml:space="preserve">multivariate model I will use </w:t>
      </w:r>
      <w:r w:rsidR="004A6C4C" w:rsidRPr="00DA0DCD">
        <w:rPr>
          <w:lang w:val="en-US"/>
        </w:rPr>
        <w:t xml:space="preserve">is </w:t>
      </w:r>
      <w:r w:rsidR="003B65F5" w:rsidRPr="00DA0DCD">
        <w:rPr>
          <w:lang w:val="en-US"/>
        </w:rPr>
        <w:t>consist</w:t>
      </w:r>
      <w:r w:rsidR="004A6C4C" w:rsidRPr="00DA0DCD">
        <w:rPr>
          <w:lang w:val="en-US"/>
        </w:rPr>
        <w:t>ent with</w:t>
      </w:r>
      <w:r w:rsidR="003B65F5" w:rsidRPr="00DA0DCD">
        <w:rPr>
          <w:lang w:val="en-US"/>
        </w:rPr>
        <w:t xml:space="preserve"> </w:t>
      </w:r>
      <w:r w:rsidR="004A6C4C" w:rsidRPr="00DA0DCD">
        <w:rPr>
          <w:lang w:val="en-US"/>
        </w:rPr>
        <w:t xml:space="preserve">the </w:t>
      </w:r>
      <w:r w:rsidR="003B65F5" w:rsidRPr="00DA0DCD">
        <w:rPr>
          <w:lang w:val="en-US"/>
        </w:rPr>
        <w:t>two factors</w:t>
      </w:r>
      <w:r w:rsidR="004A6C4C" w:rsidRPr="00DA0DCD">
        <w:rPr>
          <w:lang w:val="en-US"/>
        </w:rPr>
        <w:t xml:space="preserve"> of Bowen et al. (2010)</w:t>
      </w:r>
      <w:r w:rsidR="003B65F5" w:rsidRPr="00DA0DCD">
        <w:rPr>
          <w:lang w:val="en-US"/>
        </w:rPr>
        <w:t xml:space="preserve">, </w:t>
      </w:r>
      <w:r w:rsidR="002E4A5E" w:rsidRPr="00DA0DCD">
        <w:rPr>
          <w:lang w:val="en-US"/>
        </w:rPr>
        <w:t>which</w:t>
      </w:r>
      <w:r w:rsidR="003B65F5" w:rsidRPr="00DA0DCD">
        <w:rPr>
          <w:lang w:val="en-US"/>
        </w:rPr>
        <w:t xml:space="preserve"> controls for the interest rate changes and the stock market return. The first factor is the daily market return</w:t>
      </w:r>
      <w:r w:rsidR="00A82CAF" w:rsidRPr="00DA0DCD">
        <w:rPr>
          <w:lang w:val="en-US"/>
        </w:rPr>
        <w:t xml:space="preserve"> together with the</w:t>
      </w:r>
      <w:r w:rsidR="003B65F5" w:rsidRPr="00DA0DCD">
        <w:rPr>
          <w:lang w:val="en-US"/>
        </w:rPr>
        <w:t xml:space="preserve"> variable interest rate changes. Because Flannery and James (1984) found that for commercial banks and Savings and Loan stocks, the variable interest rate changes have a significant relation with the movements of stock prices. The second </w:t>
      </w:r>
      <w:r w:rsidR="00E00105" w:rsidRPr="00DA0DCD">
        <w:rPr>
          <w:lang w:val="en-US"/>
        </w:rPr>
        <w:t>factor is</w:t>
      </w:r>
      <w:r w:rsidR="00A82CAF" w:rsidRPr="00DA0DCD">
        <w:rPr>
          <w:lang w:val="en-US"/>
        </w:rPr>
        <w:t xml:space="preserve"> the</w:t>
      </w:r>
      <w:r w:rsidR="003B65F5" w:rsidRPr="00DA0DCD">
        <w:rPr>
          <w:lang w:val="en-US"/>
        </w:rPr>
        <w:t xml:space="preserve"> </w:t>
      </w:r>
      <w:r w:rsidR="00D65508" w:rsidRPr="00DA0DCD">
        <w:rPr>
          <w:lang w:val="en-US"/>
        </w:rPr>
        <w:t>five</w:t>
      </w:r>
      <w:r w:rsidR="003B65F5" w:rsidRPr="00DA0DCD">
        <w:rPr>
          <w:lang w:val="en-US"/>
        </w:rPr>
        <w:t xml:space="preserve"> event dummies. </w:t>
      </w:r>
      <w:r w:rsidR="00A82CAF" w:rsidRPr="00DA0DCD">
        <w:rPr>
          <w:lang w:val="en-US"/>
        </w:rPr>
        <w:t>This means that the firm specific daily returns are regressed on the daily market return, the variable interest rate changes and the event dummies.</w:t>
      </w:r>
    </w:p>
    <w:p w:rsidR="003B65F5" w:rsidRPr="00DA0DCD" w:rsidRDefault="00A82CAF" w:rsidP="00C23FC6">
      <w:pPr>
        <w:rPr>
          <w:lang w:val="en-US"/>
        </w:rPr>
      </w:pPr>
      <w:r w:rsidRPr="00DA0DCD">
        <w:rPr>
          <w:lang w:val="en-US"/>
        </w:rPr>
        <w:t>This result</w:t>
      </w:r>
      <w:r w:rsidR="00227C31">
        <w:rPr>
          <w:lang w:val="en-US"/>
        </w:rPr>
        <w:t>s</w:t>
      </w:r>
      <w:r w:rsidRPr="00DA0DCD">
        <w:rPr>
          <w:lang w:val="en-US"/>
        </w:rPr>
        <w:t xml:space="preserve"> in</w:t>
      </w:r>
      <w:r w:rsidR="003B65F5" w:rsidRPr="00DA0DCD">
        <w:rPr>
          <w:lang w:val="en-US"/>
        </w:rPr>
        <w:t xml:space="preserve"> the following </w:t>
      </w:r>
      <w:r w:rsidRPr="00DA0DCD">
        <w:rPr>
          <w:lang w:val="en-US"/>
        </w:rPr>
        <w:t>multifactor model</w:t>
      </w:r>
      <w:r w:rsidR="003B65F5" w:rsidRPr="00DA0DCD">
        <w:rPr>
          <w:lang w:val="en-US"/>
        </w:rPr>
        <w:t>:</w:t>
      </w:r>
    </w:p>
    <w:p w:rsidR="003B65F5" w:rsidRPr="00DA0DCD" w:rsidRDefault="003B65F5" w:rsidP="003B65F5">
      <w:pPr>
        <w:rPr>
          <w:rFonts w:ascii="Times New Roman" w:hAnsi="Times New Roman" w:cs="Times New Roman"/>
          <w:b/>
          <w:lang w:val="en-US" w:eastAsia="nl-NL"/>
        </w:rPr>
      </w:pPr>
      <w:r w:rsidRPr="00DA0DCD">
        <w:rPr>
          <w:rFonts w:ascii="Times New Roman" w:hAnsi="Times New Roman" w:cs="Times New Roman"/>
          <w:b/>
          <w:lang w:val="en-US" w:eastAsia="nl-NL"/>
        </w:rPr>
        <w:t>R</w:t>
      </w:r>
      <w:r w:rsidRPr="00DA0DCD">
        <w:rPr>
          <w:rFonts w:ascii="Times New Roman" w:hAnsi="Times New Roman" w:cs="Times New Roman"/>
          <w:b/>
          <w:sz w:val="18"/>
          <w:szCs w:val="18"/>
          <w:lang w:val="en-US" w:eastAsia="nl-NL"/>
        </w:rPr>
        <w:t>it</w:t>
      </w:r>
      <w:r w:rsidRPr="00DA0DCD">
        <w:rPr>
          <w:rFonts w:ascii="Times New Roman" w:hAnsi="Times New Roman" w:cs="Times New Roman"/>
          <w:b/>
          <w:lang w:val="en-US" w:eastAsia="nl-NL"/>
        </w:rPr>
        <w:t xml:space="preserve"> = </w:t>
      </w:r>
      <w:r w:rsidRPr="00DA0DCD">
        <w:rPr>
          <w:rFonts w:ascii="Times New Roman" w:hAnsi="Times New Roman" w:cs="Times New Roman"/>
          <w:b/>
          <w:sz w:val="26"/>
          <w:szCs w:val="26"/>
          <w:lang w:val="en-US" w:eastAsia="nl-NL"/>
        </w:rPr>
        <w:t>α</w:t>
      </w:r>
      <w:r w:rsidRPr="00DA0DCD">
        <w:rPr>
          <w:rFonts w:ascii="Times New Roman" w:hAnsi="Times New Roman" w:cs="Times New Roman"/>
          <w:b/>
          <w:lang w:val="en-US" w:eastAsia="nl-NL"/>
        </w:rPr>
        <w:t>i + βi (Rm</w:t>
      </w:r>
      <w:r w:rsidRPr="00DA0DCD">
        <w:rPr>
          <w:rFonts w:ascii="Times New Roman" w:hAnsi="Times New Roman" w:cs="Times New Roman"/>
          <w:b/>
          <w:sz w:val="18"/>
          <w:szCs w:val="18"/>
          <w:lang w:val="en-US" w:eastAsia="nl-NL"/>
        </w:rPr>
        <w:t>t)</w:t>
      </w:r>
      <w:r w:rsidRPr="00DA0DCD">
        <w:rPr>
          <w:rFonts w:ascii="Times New Roman" w:hAnsi="Times New Roman" w:cs="Times New Roman"/>
          <w:b/>
          <w:lang w:val="en-US" w:eastAsia="nl-NL"/>
        </w:rPr>
        <w:t xml:space="preserve"> + γi (Δ Int</w:t>
      </w:r>
      <w:r w:rsidRPr="00DA0DCD">
        <w:rPr>
          <w:rFonts w:ascii="Times New Roman" w:hAnsi="Times New Roman" w:cs="Times New Roman"/>
          <w:b/>
          <w:sz w:val="18"/>
          <w:szCs w:val="18"/>
          <w:lang w:val="en-US" w:eastAsia="nl-NL"/>
        </w:rPr>
        <w:t>t)</w:t>
      </w:r>
      <w:r w:rsidRPr="00DA0DCD">
        <w:rPr>
          <w:rFonts w:ascii="Times New Roman" w:hAnsi="Times New Roman" w:cs="Times New Roman"/>
          <w:b/>
          <w:lang w:val="en-US" w:eastAsia="nl-NL"/>
        </w:rPr>
        <w:t xml:space="preserve"> + δi (E_Window</w:t>
      </w:r>
      <w:r w:rsidRPr="00DA0DCD">
        <w:rPr>
          <w:rFonts w:ascii="Times New Roman" w:hAnsi="Times New Roman" w:cs="Times New Roman"/>
          <w:b/>
          <w:sz w:val="18"/>
          <w:szCs w:val="18"/>
          <w:lang w:val="en-US" w:eastAsia="nl-NL"/>
        </w:rPr>
        <w:t>t)</w:t>
      </w:r>
      <w:r w:rsidRPr="00DA0DCD">
        <w:rPr>
          <w:rFonts w:ascii="Times New Roman" w:hAnsi="Times New Roman" w:cs="Times New Roman"/>
          <w:b/>
          <w:lang w:val="en-US" w:eastAsia="nl-NL"/>
        </w:rPr>
        <w:t xml:space="preserve"> + ε</w:t>
      </w:r>
      <w:r w:rsidRPr="00DA0DCD">
        <w:rPr>
          <w:rFonts w:ascii="Times New Roman" w:hAnsi="Times New Roman" w:cs="Times New Roman"/>
          <w:b/>
          <w:sz w:val="18"/>
          <w:szCs w:val="18"/>
          <w:lang w:val="en-US" w:eastAsia="nl-NL"/>
        </w:rPr>
        <w:t>it</w:t>
      </w:r>
      <w:r w:rsidRPr="00DA0DCD">
        <w:rPr>
          <w:rFonts w:ascii="Times New Roman" w:hAnsi="Times New Roman" w:cs="Times New Roman"/>
          <w:b/>
          <w:lang w:val="en-US" w:eastAsia="nl-NL"/>
        </w:rPr>
        <w:t xml:space="preserve"> </w:t>
      </w:r>
      <w:r w:rsidRPr="00DA0DCD">
        <w:rPr>
          <w:rFonts w:ascii="Times New Roman" w:hAnsi="Times New Roman" w:cs="Times New Roman"/>
          <w:b/>
          <w:lang w:val="en-US" w:eastAsia="nl-NL"/>
        </w:rPr>
        <w:tab/>
      </w:r>
      <w:r w:rsidRPr="00DA0DCD">
        <w:rPr>
          <w:rFonts w:ascii="Times New Roman" w:hAnsi="Times New Roman" w:cs="Times New Roman"/>
          <w:b/>
          <w:lang w:val="en-US" w:eastAsia="nl-NL"/>
        </w:rPr>
        <w:tab/>
      </w:r>
      <w:r w:rsidRPr="00DA0DCD">
        <w:rPr>
          <w:rFonts w:ascii="Times New Roman" w:hAnsi="Times New Roman" w:cs="Times New Roman"/>
          <w:b/>
          <w:lang w:val="en-US" w:eastAsia="nl-NL"/>
        </w:rPr>
        <w:tab/>
      </w:r>
      <w:r w:rsidRPr="00DA0DCD">
        <w:rPr>
          <w:rFonts w:cs="Times New Roman"/>
          <w:lang w:val="en-US" w:eastAsia="nl-NL"/>
        </w:rPr>
        <w:t>(</w:t>
      </w:r>
      <w:r w:rsidR="00355097" w:rsidRPr="00DA0DCD">
        <w:rPr>
          <w:rFonts w:cs="Times New Roman"/>
          <w:lang w:val="en-US" w:eastAsia="nl-NL"/>
        </w:rPr>
        <w:t>6.</w:t>
      </w:r>
      <w:r w:rsidRPr="00DA0DCD">
        <w:rPr>
          <w:rFonts w:cs="Times New Roman"/>
          <w:lang w:val="en-US" w:eastAsia="nl-NL"/>
        </w:rPr>
        <w:t>1)</w:t>
      </w:r>
    </w:p>
    <w:p w:rsidR="003B65F5" w:rsidRPr="00DA0DCD" w:rsidRDefault="003B65F5" w:rsidP="003B65F5">
      <w:pPr>
        <w:pStyle w:val="Geenafstand"/>
        <w:rPr>
          <w:lang w:val="en-US"/>
        </w:rPr>
      </w:pPr>
      <w:r w:rsidRPr="00DA0DCD">
        <w:rPr>
          <w:lang w:val="en-US"/>
        </w:rPr>
        <w:t>Where:</w:t>
      </w:r>
    </w:p>
    <w:p w:rsidR="003B65F5" w:rsidRPr="00DA0DCD" w:rsidRDefault="003B65F5" w:rsidP="003B65F5">
      <w:pPr>
        <w:pStyle w:val="Geenafstand"/>
        <w:rPr>
          <w:lang w:val="en-US" w:eastAsia="nl-NL"/>
        </w:rPr>
      </w:pPr>
      <w:r w:rsidRPr="00DA0DCD">
        <w:rPr>
          <w:lang w:val="en-US" w:eastAsia="nl-NL"/>
        </w:rPr>
        <w:t xml:space="preserve">Rit </w:t>
      </w:r>
      <w:r w:rsidRPr="00DA0DCD">
        <w:rPr>
          <w:lang w:val="en-US" w:eastAsia="nl-NL"/>
        </w:rPr>
        <w:tab/>
      </w:r>
      <w:r w:rsidRPr="00DA0DCD">
        <w:rPr>
          <w:lang w:val="en-US" w:eastAsia="nl-NL"/>
        </w:rPr>
        <w:tab/>
        <w:t xml:space="preserve">= daily stock price return for firm </w:t>
      </w:r>
      <w:r w:rsidR="00EF41FA" w:rsidRPr="00DA0DCD">
        <w:rPr>
          <w:lang w:val="en-US" w:eastAsia="nl-NL"/>
        </w:rPr>
        <w:t xml:space="preserve">i over the period </w:t>
      </w:r>
      <w:r w:rsidR="002E4A5E" w:rsidRPr="00DA0DCD">
        <w:rPr>
          <w:lang w:val="en-US" w:eastAsia="nl-NL"/>
        </w:rPr>
        <w:t>t (</w:t>
      </w:r>
      <w:r w:rsidR="00A82CAF" w:rsidRPr="00DA0DCD">
        <w:rPr>
          <w:lang w:val="en-US" w:eastAsia="nl-NL"/>
        </w:rPr>
        <w:t>Q1 2008 trough Q2 2009</w:t>
      </w:r>
      <w:r w:rsidR="002E4A5E" w:rsidRPr="00DA0DCD">
        <w:rPr>
          <w:lang w:val="en-US" w:eastAsia="nl-NL"/>
        </w:rPr>
        <w:t>)</w:t>
      </w:r>
      <w:r w:rsidR="00591B41" w:rsidRPr="00DA0DCD">
        <w:rPr>
          <w:lang w:val="en-US" w:eastAsia="nl-NL"/>
        </w:rPr>
        <w:t>;</w:t>
      </w:r>
    </w:p>
    <w:p w:rsidR="003B65F5" w:rsidRPr="00DA0DCD" w:rsidRDefault="003B65F5" w:rsidP="003B65F5">
      <w:pPr>
        <w:pStyle w:val="Geenafstand"/>
        <w:rPr>
          <w:lang w:val="en-US" w:eastAsia="nl-NL"/>
        </w:rPr>
      </w:pPr>
      <w:r w:rsidRPr="00DA0DCD">
        <w:rPr>
          <w:lang w:val="en-US" w:eastAsia="nl-NL"/>
        </w:rPr>
        <w:t>αi</w:t>
      </w:r>
      <w:r w:rsidRPr="00DA0DCD">
        <w:rPr>
          <w:lang w:val="en-US" w:eastAsia="nl-NL"/>
        </w:rPr>
        <w:tab/>
      </w:r>
      <w:r w:rsidRPr="00DA0DCD">
        <w:rPr>
          <w:lang w:val="en-US" w:eastAsia="nl-NL"/>
        </w:rPr>
        <w:tab/>
        <w:t xml:space="preserve">= intercept coefficient for financial institutions </w:t>
      </w:r>
      <w:r w:rsidR="002E4A5E" w:rsidRPr="00DA0DCD">
        <w:rPr>
          <w:lang w:val="en-US" w:eastAsia="nl-NL"/>
        </w:rPr>
        <w:t>i (coefficient of the regression model)</w:t>
      </w:r>
      <w:r w:rsidR="00591B41" w:rsidRPr="00DA0DCD">
        <w:rPr>
          <w:lang w:val="en-US" w:eastAsia="nl-NL"/>
        </w:rPr>
        <w:t>;</w:t>
      </w:r>
    </w:p>
    <w:p w:rsidR="003B65F5" w:rsidRPr="00DA0DCD" w:rsidRDefault="003B65F5" w:rsidP="003B65F5">
      <w:pPr>
        <w:pStyle w:val="Geenafstand"/>
        <w:rPr>
          <w:lang w:val="en-US" w:eastAsia="nl-NL"/>
        </w:rPr>
      </w:pPr>
      <w:r w:rsidRPr="00DA0DCD">
        <w:rPr>
          <w:lang w:val="en-US" w:eastAsia="nl-NL"/>
        </w:rPr>
        <w:t>Rmt</w:t>
      </w:r>
      <w:r w:rsidRPr="00DA0DCD">
        <w:rPr>
          <w:lang w:val="en-US" w:eastAsia="nl-NL"/>
        </w:rPr>
        <w:tab/>
      </w:r>
      <w:r w:rsidRPr="00DA0DCD">
        <w:rPr>
          <w:lang w:val="en-US" w:eastAsia="nl-NL"/>
        </w:rPr>
        <w:tab/>
        <w:t>= daily market return for the whole stock market</w:t>
      </w:r>
      <w:r w:rsidR="00591B41" w:rsidRPr="00DA0DCD">
        <w:rPr>
          <w:lang w:val="en-US" w:eastAsia="nl-NL"/>
        </w:rPr>
        <w:t xml:space="preserve"> (index);</w:t>
      </w:r>
      <w:r w:rsidRPr="00DA0DCD">
        <w:rPr>
          <w:rStyle w:val="Voetnootmarkering"/>
          <w:rFonts w:cs="Times New Roman"/>
          <w:lang w:val="en-US" w:eastAsia="nl-NL"/>
        </w:rPr>
        <w:footnoteReference w:id="24"/>
      </w:r>
    </w:p>
    <w:p w:rsidR="003B65F5" w:rsidRPr="00DA0DCD" w:rsidRDefault="003B65F5" w:rsidP="003B65F5">
      <w:pPr>
        <w:pStyle w:val="Geenafstand"/>
        <w:ind w:left="1410" w:hanging="1410"/>
        <w:rPr>
          <w:lang w:val="en-US" w:eastAsia="nl-NL"/>
        </w:rPr>
      </w:pPr>
      <w:r w:rsidRPr="00DA0DCD">
        <w:rPr>
          <w:lang w:val="en-US" w:eastAsia="nl-NL"/>
        </w:rPr>
        <w:t>Δ Intt</w:t>
      </w:r>
      <w:r w:rsidRPr="00DA0DCD">
        <w:rPr>
          <w:lang w:val="en-US" w:eastAsia="nl-NL"/>
        </w:rPr>
        <w:tab/>
      </w:r>
      <w:r w:rsidRPr="00DA0DCD">
        <w:rPr>
          <w:lang w:val="en-US" w:eastAsia="nl-NL"/>
        </w:rPr>
        <w:tab/>
        <w:t>= daily changes in the</w:t>
      </w:r>
      <w:r w:rsidR="00955312" w:rsidRPr="00DA0DCD">
        <w:rPr>
          <w:lang w:val="en-US" w:eastAsia="nl-NL"/>
        </w:rPr>
        <w:t xml:space="preserve"> European</w:t>
      </w:r>
      <w:r w:rsidRPr="00DA0DCD">
        <w:rPr>
          <w:lang w:val="en-US" w:eastAsia="nl-NL"/>
        </w:rPr>
        <w:t xml:space="preserve"> interest rate</w:t>
      </w:r>
      <w:r w:rsidR="00955312" w:rsidRPr="00DA0DCD">
        <w:rPr>
          <w:lang w:val="en-US" w:eastAsia="nl-NL"/>
        </w:rPr>
        <w:t>s</w:t>
      </w:r>
      <w:r w:rsidRPr="00DA0DCD">
        <w:rPr>
          <w:lang w:val="en-US" w:eastAsia="nl-NL"/>
        </w:rPr>
        <w:t xml:space="preserve"> based on data from the National banks</w:t>
      </w:r>
      <w:r w:rsidR="002032E0" w:rsidRPr="00DA0DCD">
        <w:rPr>
          <w:lang w:val="en-US" w:eastAsia="nl-NL"/>
        </w:rPr>
        <w:t xml:space="preserve"> or ECB</w:t>
      </w:r>
      <w:r w:rsidR="00591B41" w:rsidRPr="00DA0DCD">
        <w:rPr>
          <w:lang w:val="en-US" w:eastAsia="nl-NL"/>
        </w:rPr>
        <w:t>;</w:t>
      </w:r>
      <w:r w:rsidR="002032E0" w:rsidRPr="00DA0DCD">
        <w:rPr>
          <w:rStyle w:val="Voetnootmarkering"/>
          <w:rFonts w:cs="Times New Roman"/>
          <w:lang w:val="en-US" w:eastAsia="nl-NL"/>
        </w:rPr>
        <w:footnoteReference w:id="25"/>
      </w:r>
    </w:p>
    <w:p w:rsidR="003B65F5" w:rsidRPr="009702AD" w:rsidRDefault="003B65F5" w:rsidP="009F2D29">
      <w:pPr>
        <w:pStyle w:val="Geenafstand"/>
        <w:ind w:left="1410" w:hanging="1410"/>
        <w:rPr>
          <w:lang w:val="en-US" w:eastAsia="nl-NL"/>
        </w:rPr>
      </w:pPr>
      <w:r w:rsidRPr="009702AD">
        <w:rPr>
          <w:lang w:val="en-US" w:eastAsia="nl-NL"/>
        </w:rPr>
        <w:t>E_window</w:t>
      </w:r>
      <w:r w:rsidRPr="009702AD">
        <w:rPr>
          <w:lang w:val="en-US" w:eastAsia="nl-NL"/>
        </w:rPr>
        <w:tab/>
        <w:t>= event dummy variables</w:t>
      </w:r>
      <w:r w:rsidR="00227C31" w:rsidRPr="009702AD">
        <w:rPr>
          <w:lang w:val="en-US" w:eastAsia="nl-NL"/>
        </w:rPr>
        <w:t xml:space="preserve">, which show the effect of the </w:t>
      </w:r>
      <w:r w:rsidR="00FA431C" w:rsidRPr="009702AD">
        <w:rPr>
          <w:lang w:val="en-US" w:eastAsia="nl-NL"/>
        </w:rPr>
        <w:t>five</w:t>
      </w:r>
      <w:r w:rsidR="00227C31" w:rsidRPr="009702AD">
        <w:rPr>
          <w:lang w:val="en-US" w:eastAsia="nl-NL"/>
        </w:rPr>
        <w:t xml:space="preserve"> individual</w:t>
      </w:r>
      <w:r w:rsidRPr="009702AD">
        <w:rPr>
          <w:lang w:val="en-US" w:eastAsia="nl-NL"/>
        </w:rPr>
        <w:t xml:space="preserve"> event windows</w:t>
      </w:r>
      <w:r w:rsidR="00591B41" w:rsidRPr="009702AD">
        <w:rPr>
          <w:lang w:val="en-US" w:eastAsia="nl-NL"/>
        </w:rPr>
        <w:t>;</w:t>
      </w:r>
    </w:p>
    <w:p w:rsidR="008F163C" w:rsidRPr="00DA0DCD" w:rsidRDefault="008F163C" w:rsidP="008F4D2A">
      <w:pPr>
        <w:pStyle w:val="Geenafstand"/>
        <w:rPr>
          <w:lang w:val="en-US"/>
        </w:rPr>
      </w:pPr>
      <w:r w:rsidRPr="00DA0DCD">
        <w:rPr>
          <w:rFonts w:ascii="Times New Roman" w:hAnsi="Times New Roman" w:cs="Times New Roman"/>
          <w:lang w:val="en-US" w:eastAsia="nl-NL"/>
        </w:rPr>
        <w:t>βi</w:t>
      </w:r>
      <w:r w:rsidR="00216C0A" w:rsidRPr="00DA0DCD">
        <w:rPr>
          <w:rFonts w:ascii="Times New Roman" w:hAnsi="Times New Roman" w:cs="Times New Roman"/>
          <w:lang w:val="en-US" w:eastAsia="nl-NL"/>
        </w:rPr>
        <w:t>, γi</w:t>
      </w:r>
      <w:r w:rsidRPr="00DA0DCD">
        <w:rPr>
          <w:rFonts w:ascii="Times New Roman" w:hAnsi="Times New Roman" w:cs="Times New Roman"/>
          <w:lang w:val="en-US" w:eastAsia="nl-NL"/>
        </w:rPr>
        <w:tab/>
      </w:r>
      <w:r w:rsidR="00A82CAF" w:rsidRPr="00DA0DCD">
        <w:rPr>
          <w:rFonts w:ascii="Times New Roman" w:hAnsi="Times New Roman" w:cs="Times New Roman"/>
          <w:lang w:val="en-US" w:eastAsia="nl-NL"/>
        </w:rPr>
        <w:tab/>
      </w:r>
      <w:r w:rsidRPr="00DA0DCD">
        <w:rPr>
          <w:lang w:val="en-US"/>
        </w:rPr>
        <w:t>=</w:t>
      </w:r>
      <w:r w:rsidR="00216C0A" w:rsidRPr="00DA0DCD">
        <w:rPr>
          <w:lang w:val="en-US"/>
        </w:rPr>
        <w:t xml:space="preserve"> the coefficients of the regression model</w:t>
      </w:r>
      <w:r w:rsidR="00591B41" w:rsidRPr="00DA0DCD">
        <w:rPr>
          <w:lang w:val="en-US"/>
        </w:rPr>
        <w:t>;</w:t>
      </w:r>
    </w:p>
    <w:p w:rsidR="008F163C" w:rsidRPr="00DA0DCD" w:rsidRDefault="008F163C" w:rsidP="009F2D29">
      <w:pPr>
        <w:pStyle w:val="Geenafstand"/>
        <w:ind w:left="1410" w:hanging="1410"/>
        <w:rPr>
          <w:lang w:val="en-US"/>
        </w:rPr>
      </w:pPr>
      <w:r w:rsidRPr="00DA0DCD">
        <w:rPr>
          <w:rFonts w:ascii="Times New Roman" w:hAnsi="Times New Roman" w:cs="Times New Roman"/>
          <w:lang w:val="en-US" w:eastAsia="nl-NL"/>
        </w:rPr>
        <w:t>δi</w:t>
      </w:r>
      <w:r w:rsidR="008F4D2A" w:rsidRPr="00DA0DCD">
        <w:rPr>
          <w:rFonts w:ascii="Times New Roman" w:hAnsi="Times New Roman" w:cs="Times New Roman"/>
          <w:lang w:val="en-US" w:eastAsia="nl-NL"/>
        </w:rPr>
        <w:tab/>
      </w:r>
      <w:r w:rsidR="008F4D2A" w:rsidRPr="00DA0DCD">
        <w:rPr>
          <w:lang w:val="en-US"/>
        </w:rPr>
        <w:t xml:space="preserve">= </w:t>
      </w:r>
      <w:r w:rsidR="00591B41" w:rsidRPr="00DA0DCD">
        <w:rPr>
          <w:lang w:val="en-US"/>
        </w:rPr>
        <w:t>the effect of the event windows on financial institutions (sample);</w:t>
      </w:r>
    </w:p>
    <w:p w:rsidR="003B65F5" w:rsidRPr="00DA0DCD" w:rsidRDefault="003B65F5" w:rsidP="003B65F5">
      <w:pPr>
        <w:pStyle w:val="Geenafstand"/>
        <w:rPr>
          <w:lang w:val="en-US" w:eastAsia="nl-NL"/>
        </w:rPr>
      </w:pPr>
      <w:r w:rsidRPr="00DA0DCD">
        <w:rPr>
          <w:lang w:val="en-US" w:eastAsia="nl-NL"/>
        </w:rPr>
        <w:t>ε</w:t>
      </w:r>
      <w:r w:rsidRPr="00DA0DCD">
        <w:rPr>
          <w:sz w:val="18"/>
          <w:szCs w:val="18"/>
          <w:lang w:val="en-US" w:eastAsia="nl-NL"/>
        </w:rPr>
        <w:t>it</w:t>
      </w:r>
      <w:r w:rsidRPr="00DA0DCD">
        <w:rPr>
          <w:sz w:val="18"/>
          <w:szCs w:val="18"/>
          <w:lang w:val="en-US" w:eastAsia="nl-NL"/>
        </w:rPr>
        <w:tab/>
      </w:r>
      <w:r w:rsidRPr="00DA0DCD">
        <w:rPr>
          <w:sz w:val="18"/>
          <w:szCs w:val="18"/>
          <w:lang w:val="en-US" w:eastAsia="nl-NL"/>
        </w:rPr>
        <w:tab/>
      </w:r>
      <w:r w:rsidRPr="00DA0DCD">
        <w:rPr>
          <w:lang w:val="en-US" w:eastAsia="nl-NL"/>
        </w:rPr>
        <w:t>= error</w:t>
      </w:r>
      <w:r w:rsidR="00334005" w:rsidRPr="00DA0DCD">
        <w:rPr>
          <w:lang w:val="en-US" w:eastAsia="nl-NL"/>
        </w:rPr>
        <w:t xml:space="preserve"> term</w:t>
      </w:r>
      <w:r w:rsidR="00591B41" w:rsidRPr="00DA0DCD">
        <w:rPr>
          <w:lang w:val="en-US" w:eastAsia="nl-NL"/>
        </w:rPr>
        <w:t>.</w:t>
      </w:r>
    </w:p>
    <w:p w:rsidR="00C23FC6" w:rsidRPr="00DA0DCD" w:rsidRDefault="00C23FC6" w:rsidP="003B65F5">
      <w:pPr>
        <w:pStyle w:val="Geenafstand"/>
        <w:rPr>
          <w:lang w:val="en-US"/>
        </w:rPr>
      </w:pPr>
    </w:p>
    <w:p w:rsidR="00FB6138" w:rsidRPr="00DA0DCD" w:rsidRDefault="003B65F5" w:rsidP="00FB6138">
      <w:pPr>
        <w:rPr>
          <w:rFonts w:cs="Times New Roman"/>
          <w:lang w:val="en-US" w:eastAsia="nl-NL"/>
        </w:rPr>
      </w:pPr>
      <w:r w:rsidRPr="00DA0DCD">
        <w:rPr>
          <w:lang w:val="en-US"/>
        </w:rPr>
        <w:t>For the daily stock returns (</w:t>
      </w:r>
      <w:r w:rsidRPr="00DA0DCD">
        <w:rPr>
          <w:lang w:val="en-US" w:eastAsia="nl-NL"/>
        </w:rPr>
        <w:t>R</w:t>
      </w:r>
      <w:r w:rsidRPr="00DA0DCD">
        <w:rPr>
          <w:sz w:val="18"/>
          <w:szCs w:val="18"/>
          <w:lang w:val="en-US" w:eastAsia="nl-NL"/>
        </w:rPr>
        <w:t xml:space="preserve">it) </w:t>
      </w:r>
      <w:r w:rsidRPr="00DA0DCD">
        <w:rPr>
          <w:lang w:val="en-US"/>
        </w:rPr>
        <w:t>of financial institutions (banks and insurance companies</w:t>
      </w:r>
      <w:r w:rsidR="00B043EC" w:rsidRPr="00DA0DCD">
        <w:rPr>
          <w:lang w:val="en-US"/>
        </w:rPr>
        <w:t xml:space="preserve"> and other financial </w:t>
      </w:r>
      <w:r w:rsidR="000769FF" w:rsidRPr="00DA0DCD">
        <w:rPr>
          <w:lang w:val="en-US"/>
        </w:rPr>
        <w:t>institutions</w:t>
      </w:r>
      <w:r w:rsidRPr="00DA0DCD">
        <w:rPr>
          <w:lang w:val="en-US"/>
        </w:rPr>
        <w:t xml:space="preserve">) in </w:t>
      </w:r>
      <w:r w:rsidR="00B043EC" w:rsidRPr="00DA0DCD">
        <w:rPr>
          <w:lang w:val="en-US"/>
        </w:rPr>
        <w:t>the</w:t>
      </w:r>
      <w:r w:rsidRPr="00DA0DCD">
        <w:rPr>
          <w:lang w:val="en-US"/>
        </w:rPr>
        <w:t xml:space="preserve"> sample, DataStream</w:t>
      </w:r>
      <w:r w:rsidR="00B043EC" w:rsidRPr="00DA0DCD">
        <w:rPr>
          <w:lang w:val="en-US"/>
        </w:rPr>
        <w:t xml:space="preserve"> is used</w:t>
      </w:r>
      <w:r w:rsidRPr="00DA0DCD">
        <w:rPr>
          <w:lang w:val="en-US"/>
        </w:rPr>
        <w:t xml:space="preserve">. </w:t>
      </w:r>
      <w:r w:rsidR="00355097" w:rsidRPr="00DA0DCD">
        <w:rPr>
          <w:lang w:val="en-US"/>
        </w:rPr>
        <w:t xml:space="preserve">The events occur in the first quarter of 2008 trough the </w:t>
      </w:r>
      <w:r w:rsidR="00261B3B">
        <w:rPr>
          <w:lang w:val="en-US"/>
        </w:rPr>
        <w:t>fourth</w:t>
      </w:r>
      <w:r w:rsidR="00355097" w:rsidRPr="00DA0DCD">
        <w:rPr>
          <w:lang w:val="en-US"/>
        </w:rPr>
        <w:t xml:space="preserve"> quarter of 200</w:t>
      </w:r>
      <w:r w:rsidR="00261B3B">
        <w:rPr>
          <w:lang w:val="en-US"/>
        </w:rPr>
        <w:t>8</w:t>
      </w:r>
      <w:r w:rsidR="00355097" w:rsidRPr="00DA0DCD">
        <w:rPr>
          <w:lang w:val="en-US"/>
        </w:rPr>
        <w:t xml:space="preserve">. Therefore, the daily stock returns are regressed from Q1 2008 trough Q2 2009. </w:t>
      </w:r>
      <w:r w:rsidRPr="00DA0DCD">
        <w:rPr>
          <w:lang w:val="en-US"/>
        </w:rPr>
        <w:t>This daily return will be regressed against the daily market return (</w:t>
      </w:r>
      <w:r w:rsidRPr="00DA0DCD">
        <w:rPr>
          <w:lang w:val="en-US" w:eastAsia="nl-NL"/>
        </w:rPr>
        <w:t>Rm</w:t>
      </w:r>
      <w:r w:rsidRPr="00DA0DCD">
        <w:rPr>
          <w:sz w:val="18"/>
          <w:szCs w:val="18"/>
          <w:lang w:val="en-US" w:eastAsia="nl-NL"/>
        </w:rPr>
        <w:t>t)</w:t>
      </w:r>
      <w:r w:rsidR="00355097" w:rsidRPr="00DA0DCD">
        <w:rPr>
          <w:lang w:val="en-US" w:eastAsia="nl-NL"/>
        </w:rPr>
        <w:t>, also t</w:t>
      </w:r>
      <w:r w:rsidR="00591B41" w:rsidRPr="00DA0DCD">
        <w:rPr>
          <w:lang w:val="en-US" w:eastAsia="nl-NL"/>
        </w:rPr>
        <w:t xml:space="preserve">aken from DataStream. The daily market return can be derived from the total index return per country in the sample. Thereby the daily interest rate </w:t>
      </w:r>
      <w:r w:rsidR="00C31FE7" w:rsidRPr="00DA0DCD">
        <w:rPr>
          <w:lang w:val="en-US" w:eastAsia="nl-NL"/>
        </w:rPr>
        <w:t>changes (Δ Int</w:t>
      </w:r>
      <w:r w:rsidR="00C31FE7" w:rsidRPr="00DA0DCD">
        <w:rPr>
          <w:sz w:val="18"/>
          <w:szCs w:val="18"/>
          <w:lang w:val="en-US" w:eastAsia="nl-NL"/>
        </w:rPr>
        <w:t>t</w:t>
      </w:r>
      <w:r w:rsidR="00C31FE7" w:rsidRPr="00DA0DCD">
        <w:rPr>
          <w:lang w:val="en-US" w:eastAsia="nl-NL"/>
        </w:rPr>
        <w:t>) are</w:t>
      </w:r>
      <w:r w:rsidR="00591B41" w:rsidRPr="00DA0DCD">
        <w:rPr>
          <w:lang w:val="en-US" w:eastAsia="nl-NL"/>
        </w:rPr>
        <w:t xml:space="preserve"> taken into account. </w:t>
      </w:r>
      <w:r w:rsidR="00AE4A33" w:rsidRPr="00DA0DCD">
        <w:rPr>
          <w:lang w:val="en-US" w:eastAsia="nl-NL"/>
        </w:rPr>
        <w:t>For the daily interest rate changes</w:t>
      </w:r>
      <w:r w:rsidR="00AE50FE" w:rsidRPr="00DA0DCD">
        <w:rPr>
          <w:lang w:val="en-US" w:eastAsia="nl-NL"/>
        </w:rPr>
        <w:t xml:space="preserve"> (percentage)</w:t>
      </w:r>
      <w:r w:rsidR="00AE4A33" w:rsidRPr="00DA0DCD">
        <w:rPr>
          <w:lang w:val="en-US" w:eastAsia="nl-NL"/>
        </w:rPr>
        <w:t>,</w:t>
      </w:r>
      <w:r w:rsidR="00591B41" w:rsidRPr="00DA0DCD">
        <w:rPr>
          <w:lang w:val="en-US" w:eastAsia="nl-NL"/>
        </w:rPr>
        <w:t xml:space="preserve"> Bowen et al. (2010) uses</w:t>
      </w:r>
      <w:r w:rsidR="00AE4A33" w:rsidRPr="00DA0DCD">
        <w:rPr>
          <w:lang w:val="en-US" w:eastAsia="nl-NL"/>
        </w:rPr>
        <w:t xml:space="preserve"> the </w:t>
      </w:r>
      <w:r w:rsidR="00591B41" w:rsidRPr="00DA0DCD">
        <w:rPr>
          <w:lang w:val="en-US" w:eastAsia="nl-NL"/>
        </w:rPr>
        <w:t xml:space="preserve">daily change in the 3-month </w:t>
      </w:r>
      <w:r w:rsidR="00AE4A33" w:rsidRPr="00DA0DCD">
        <w:rPr>
          <w:lang w:val="en-US" w:eastAsia="nl-NL"/>
        </w:rPr>
        <w:t>Treasury bill</w:t>
      </w:r>
      <w:r w:rsidR="00591B41" w:rsidRPr="00DA0DCD">
        <w:rPr>
          <w:lang w:val="en-US" w:eastAsia="nl-NL"/>
        </w:rPr>
        <w:t xml:space="preserve"> secondary market rate</w:t>
      </w:r>
      <w:r w:rsidR="008E2DD5" w:rsidRPr="00DA0DCD">
        <w:rPr>
          <w:lang w:val="en-US" w:eastAsia="nl-NL"/>
        </w:rPr>
        <w:t>s</w:t>
      </w:r>
      <w:r w:rsidR="00AE4A33" w:rsidRPr="00DA0DCD">
        <w:rPr>
          <w:lang w:val="en-US" w:eastAsia="nl-NL"/>
        </w:rPr>
        <w:t xml:space="preserve">. </w:t>
      </w:r>
      <w:r w:rsidR="008E2DD5" w:rsidRPr="00DA0DCD">
        <w:rPr>
          <w:lang w:val="en-US" w:eastAsia="nl-NL"/>
        </w:rPr>
        <w:t>These interest rates are</w:t>
      </w:r>
      <w:r w:rsidR="002B5471" w:rsidRPr="00DA0DCD">
        <w:rPr>
          <w:lang w:val="en-US" w:eastAsia="nl-NL"/>
        </w:rPr>
        <w:t xml:space="preserve"> short-time</w:t>
      </w:r>
      <w:r w:rsidR="008E2DD5" w:rsidRPr="00DA0DCD">
        <w:rPr>
          <w:lang w:val="en-US" w:eastAsia="nl-NL"/>
        </w:rPr>
        <w:t xml:space="preserve"> government </w:t>
      </w:r>
      <w:r w:rsidR="002B5471" w:rsidRPr="00DA0DCD">
        <w:rPr>
          <w:lang w:val="en-US" w:eastAsia="nl-NL"/>
        </w:rPr>
        <w:t>securities</w:t>
      </w:r>
      <w:r w:rsidR="00F01CCF" w:rsidRPr="00DA0DCD">
        <w:rPr>
          <w:lang w:val="en-US" w:eastAsia="nl-NL"/>
        </w:rPr>
        <w:t xml:space="preserve"> with a mature of 3-months and are issued by the </w:t>
      </w:r>
      <w:r w:rsidR="002B5471" w:rsidRPr="00DA0DCD">
        <w:rPr>
          <w:lang w:val="en-US" w:eastAsia="nl-NL"/>
        </w:rPr>
        <w:t>US Department of the Treasury</w:t>
      </w:r>
      <w:r w:rsidR="00B4588C" w:rsidRPr="00DA0DCD">
        <w:rPr>
          <w:lang w:val="en-US" w:eastAsia="nl-NL"/>
        </w:rPr>
        <w:t>. On the T-bills no interest is paid, they are like zero-coupon bonds.</w:t>
      </w:r>
      <w:r w:rsidR="002B5471" w:rsidRPr="00DA0DCD">
        <w:rPr>
          <w:rStyle w:val="Voetnootmarkering"/>
          <w:lang w:val="en-US" w:eastAsia="nl-NL"/>
        </w:rPr>
        <w:footnoteReference w:id="26"/>
      </w:r>
      <w:r w:rsidR="00B4588C" w:rsidRPr="00DA0DCD">
        <w:rPr>
          <w:lang w:val="en-US" w:eastAsia="nl-NL"/>
        </w:rPr>
        <w:t xml:space="preserve"> </w:t>
      </w:r>
      <w:r w:rsidR="002B5471" w:rsidRPr="00DA0DCD">
        <w:rPr>
          <w:lang w:val="en-US" w:eastAsia="nl-NL"/>
        </w:rPr>
        <w:t xml:space="preserve">The short-term </w:t>
      </w:r>
      <w:r w:rsidR="00854A62" w:rsidRPr="00DA0DCD">
        <w:rPr>
          <w:lang w:val="en-US" w:eastAsia="nl-NL"/>
        </w:rPr>
        <w:t xml:space="preserve">3-month </w:t>
      </w:r>
      <w:r w:rsidR="00B4588C" w:rsidRPr="00DA0DCD">
        <w:rPr>
          <w:lang w:val="en-US" w:eastAsia="nl-NL"/>
        </w:rPr>
        <w:t xml:space="preserve">T-bills are common used in research, like Bowen et al. (2010) and </w:t>
      </w:r>
      <w:r w:rsidR="00C31FE7">
        <w:rPr>
          <w:lang w:val="en-US" w:eastAsia="nl-NL"/>
        </w:rPr>
        <w:t>B</w:t>
      </w:r>
      <w:r w:rsidR="00B4588C" w:rsidRPr="00DA0DCD">
        <w:rPr>
          <w:lang w:val="en-US" w:eastAsia="nl-NL"/>
        </w:rPr>
        <w:t xml:space="preserve">eatty et al. (1996), as risk free interest rates. So, </w:t>
      </w:r>
      <w:r w:rsidR="00FA431C" w:rsidRPr="00DA0DCD">
        <w:rPr>
          <w:lang w:val="en-US" w:eastAsia="nl-NL"/>
        </w:rPr>
        <w:t>T-bills</w:t>
      </w:r>
      <w:r w:rsidR="00B4588C" w:rsidRPr="00DA0DCD">
        <w:rPr>
          <w:lang w:val="en-US" w:eastAsia="nl-NL"/>
        </w:rPr>
        <w:t xml:space="preserve"> are a good measure </w:t>
      </w:r>
      <w:r w:rsidR="00774B59" w:rsidRPr="00DA0DCD">
        <w:rPr>
          <w:lang w:val="en-US" w:eastAsia="nl-NL"/>
        </w:rPr>
        <w:t>for the variable interest rate changes in the</w:t>
      </w:r>
      <w:r w:rsidR="00B4588C" w:rsidRPr="00DA0DCD">
        <w:rPr>
          <w:lang w:val="en-US" w:eastAsia="nl-NL"/>
        </w:rPr>
        <w:t xml:space="preserve"> US.</w:t>
      </w:r>
      <w:r w:rsidR="00B4588C" w:rsidRPr="00DA0DCD">
        <w:rPr>
          <w:color w:val="FF0000"/>
          <w:lang w:val="en-US" w:eastAsia="nl-NL"/>
        </w:rPr>
        <w:t xml:space="preserve"> </w:t>
      </w:r>
      <w:r w:rsidR="00B4588C" w:rsidRPr="00DA0DCD">
        <w:rPr>
          <w:lang w:val="en-US" w:eastAsia="nl-NL"/>
        </w:rPr>
        <w:t xml:space="preserve">This research is about the European situation. Also in Europe there are short-term government Treasury Bills. These are gathered from DataStream. However, there are countries in the </w:t>
      </w:r>
      <w:r w:rsidR="00261EDD" w:rsidRPr="00DA0DCD">
        <w:rPr>
          <w:lang w:val="en-US" w:eastAsia="nl-NL"/>
        </w:rPr>
        <w:t>sample, which</w:t>
      </w:r>
      <w:r w:rsidR="00B4588C" w:rsidRPr="00DA0DCD">
        <w:rPr>
          <w:lang w:val="en-US" w:eastAsia="nl-NL"/>
        </w:rPr>
        <w:t xml:space="preserve"> do not issue </w:t>
      </w:r>
      <w:r w:rsidR="00854A62" w:rsidRPr="00DA0DCD">
        <w:rPr>
          <w:lang w:val="en-US" w:eastAsia="nl-NL"/>
        </w:rPr>
        <w:t xml:space="preserve">3-month </w:t>
      </w:r>
      <w:r w:rsidR="00B4588C" w:rsidRPr="00DA0DCD">
        <w:rPr>
          <w:lang w:val="en-US" w:eastAsia="nl-NL"/>
        </w:rPr>
        <w:t xml:space="preserve">T-bills or </w:t>
      </w:r>
      <w:r w:rsidR="00261EDD" w:rsidRPr="00DA0DCD">
        <w:rPr>
          <w:lang w:val="en-US" w:eastAsia="nl-NL"/>
        </w:rPr>
        <w:t>it is</w:t>
      </w:r>
      <w:r w:rsidR="00B4588C" w:rsidRPr="00DA0DCD">
        <w:rPr>
          <w:lang w:val="en-US" w:eastAsia="nl-NL"/>
        </w:rPr>
        <w:t xml:space="preserve"> not available in DataStream. </w:t>
      </w:r>
      <w:r w:rsidR="005E6299" w:rsidRPr="00DA0DCD">
        <w:rPr>
          <w:lang w:val="en-US" w:eastAsia="nl-NL"/>
        </w:rPr>
        <w:t>Therefore</w:t>
      </w:r>
      <w:r w:rsidR="00B4588C" w:rsidRPr="00DA0DCD">
        <w:rPr>
          <w:lang w:val="en-US" w:eastAsia="nl-NL"/>
        </w:rPr>
        <w:t xml:space="preserve">, </w:t>
      </w:r>
      <w:r w:rsidR="00AE4A33" w:rsidRPr="00DA0DCD">
        <w:rPr>
          <w:lang w:val="en-US" w:eastAsia="nl-NL"/>
        </w:rPr>
        <w:t>the interbank 3-month daily interest rate</w:t>
      </w:r>
      <w:r w:rsidR="00B043EC" w:rsidRPr="00DA0DCD">
        <w:rPr>
          <w:lang w:val="en-US" w:eastAsia="nl-NL"/>
        </w:rPr>
        <w:t xml:space="preserve"> from the central banks</w:t>
      </w:r>
      <w:r w:rsidR="00AE4A33" w:rsidRPr="00DA0DCD">
        <w:rPr>
          <w:lang w:val="en-US" w:eastAsia="nl-NL"/>
        </w:rPr>
        <w:t xml:space="preserve"> is used.</w:t>
      </w:r>
      <w:r w:rsidR="00B043EC" w:rsidRPr="00DA0DCD">
        <w:rPr>
          <w:lang w:val="en-US" w:eastAsia="nl-NL"/>
        </w:rPr>
        <w:t xml:space="preserve"> If the national interbank daily rate is not available</w:t>
      </w:r>
      <w:r w:rsidR="00B4588C" w:rsidRPr="00DA0DCD">
        <w:rPr>
          <w:lang w:val="en-US" w:eastAsia="nl-NL"/>
        </w:rPr>
        <w:t xml:space="preserve"> for that country in DataStream</w:t>
      </w:r>
      <w:r w:rsidR="00B043EC" w:rsidRPr="00DA0DCD">
        <w:rPr>
          <w:lang w:val="en-US" w:eastAsia="nl-NL"/>
        </w:rPr>
        <w:t xml:space="preserve">, </w:t>
      </w:r>
      <w:r w:rsidR="00774B59" w:rsidRPr="00DA0DCD">
        <w:rPr>
          <w:lang w:val="en-US" w:eastAsia="nl-NL"/>
        </w:rPr>
        <w:t xml:space="preserve">3-month </w:t>
      </w:r>
      <w:r w:rsidR="00B043EC" w:rsidRPr="00DA0DCD">
        <w:rPr>
          <w:lang w:val="en-US" w:eastAsia="nl-NL"/>
        </w:rPr>
        <w:t>Euribor from the ECB is used.</w:t>
      </w:r>
      <w:r w:rsidR="00AE4A33" w:rsidRPr="00DA0DCD">
        <w:rPr>
          <w:lang w:val="en-US" w:eastAsia="nl-NL"/>
        </w:rPr>
        <w:t xml:space="preserve"> </w:t>
      </w:r>
      <w:r w:rsidR="00DA2A1F" w:rsidRPr="00DA0DCD">
        <w:rPr>
          <w:lang w:val="en-US" w:eastAsia="nl-NL"/>
        </w:rPr>
        <w:t>I</w:t>
      </w:r>
      <w:r w:rsidR="00261EDD" w:rsidRPr="00DA0DCD">
        <w:rPr>
          <w:lang w:val="en-US" w:eastAsia="nl-NL"/>
        </w:rPr>
        <w:t xml:space="preserve">n this </w:t>
      </w:r>
      <w:r w:rsidR="00423626" w:rsidRPr="00DA0DCD">
        <w:rPr>
          <w:lang w:val="en-US" w:eastAsia="nl-NL"/>
        </w:rPr>
        <w:t>way</w:t>
      </w:r>
      <w:r w:rsidR="00DA2A1F" w:rsidRPr="00DA0DCD">
        <w:rPr>
          <w:lang w:val="en-US" w:eastAsia="nl-NL"/>
        </w:rPr>
        <w:t>,</w:t>
      </w:r>
      <w:r w:rsidR="00261EDD" w:rsidRPr="00DA0DCD">
        <w:rPr>
          <w:lang w:val="en-US" w:eastAsia="nl-NL"/>
        </w:rPr>
        <w:t xml:space="preserve"> the variable interest rates in Europe are measured.</w:t>
      </w:r>
      <w:r w:rsidR="00DA2A1F" w:rsidRPr="00DA0DCD">
        <w:rPr>
          <w:lang w:val="en-US" w:eastAsia="nl-NL"/>
        </w:rPr>
        <w:t xml:space="preserve"> </w:t>
      </w:r>
      <w:r w:rsidR="004869D7" w:rsidRPr="00DA0DCD">
        <w:rPr>
          <w:lang w:val="en-US" w:eastAsia="nl-NL"/>
        </w:rPr>
        <w:lastRenderedPageBreak/>
        <w:t>Further, the event windows (E_window) are taken into the regression.</w:t>
      </w:r>
      <w:r w:rsidR="00AE50FE" w:rsidRPr="00DA0DCD">
        <w:rPr>
          <w:lang w:val="en-US" w:eastAsia="nl-NL"/>
        </w:rPr>
        <w:t xml:space="preserve"> In total</w:t>
      </w:r>
      <w:r w:rsidR="004869D7" w:rsidRPr="00DA0DCD">
        <w:rPr>
          <w:lang w:val="en-US" w:eastAsia="nl-NL"/>
        </w:rPr>
        <w:t xml:space="preserve"> </w:t>
      </w:r>
      <w:r w:rsidR="00C31FE7">
        <w:rPr>
          <w:lang w:val="en-US" w:eastAsia="nl-NL"/>
        </w:rPr>
        <w:t>five</w:t>
      </w:r>
      <w:r w:rsidR="00AE50FE" w:rsidRPr="00DA0DCD">
        <w:rPr>
          <w:lang w:val="en-US" w:eastAsia="nl-NL"/>
        </w:rPr>
        <w:t xml:space="preserve"> event windows are regressed leading to a possible reclassification option (relaxation) in IAS 39. </w:t>
      </w:r>
      <w:r w:rsidR="004869D7" w:rsidRPr="00DA0DCD">
        <w:rPr>
          <w:lang w:val="en-US" w:eastAsia="nl-NL"/>
        </w:rPr>
        <w:t xml:space="preserve">The event windows consist of one day before, day(s) at and one day after the event. </w:t>
      </w:r>
      <w:r w:rsidR="00C31FE7">
        <w:rPr>
          <w:lang w:val="en-US" w:eastAsia="nl-NL"/>
        </w:rPr>
        <w:t>O</w:t>
      </w:r>
      <w:r w:rsidR="00C31FE7" w:rsidRPr="00DA0DCD">
        <w:rPr>
          <w:lang w:val="en-US" w:eastAsia="nl-NL"/>
        </w:rPr>
        <w:t>ne day before the event is taken</w:t>
      </w:r>
      <w:r w:rsidR="00C31FE7">
        <w:rPr>
          <w:lang w:val="en-US" w:eastAsia="nl-NL"/>
        </w:rPr>
        <w:t>, b</w:t>
      </w:r>
      <w:r w:rsidR="00C31FE7" w:rsidRPr="00DA0DCD">
        <w:rPr>
          <w:lang w:val="en-US" w:eastAsia="nl-NL"/>
        </w:rPr>
        <w:t>ecause</w:t>
      </w:r>
      <w:r w:rsidR="00C31FE7">
        <w:rPr>
          <w:lang w:val="en-US" w:eastAsia="nl-NL"/>
        </w:rPr>
        <w:t xml:space="preserve"> </w:t>
      </w:r>
      <w:r w:rsidR="00C31FE7" w:rsidRPr="00DA0DCD">
        <w:rPr>
          <w:lang w:val="en-US" w:eastAsia="nl-NL"/>
        </w:rPr>
        <w:t>there are often a lot of rumors</w:t>
      </w:r>
      <w:r w:rsidR="00C31FE7" w:rsidRPr="00C31FE7">
        <w:rPr>
          <w:lang w:val="en-US" w:eastAsia="nl-NL"/>
        </w:rPr>
        <w:t xml:space="preserve"> </w:t>
      </w:r>
      <w:r w:rsidR="00C31FE7">
        <w:rPr>
          <w:lang w:val="en-US" w:eastAsia="nl-NL"/>
        </w:rPr>
        <w:t>b</w:t>
      </w:r>
      <w:r w:rsidR="00C31FE7" w:rsidRPr="00DA0DCD">
        <w:rPr>
          <w:lang w:val="en-US" w:eastAsia="nl-NL"/>
        </w:rPr>
        <w:t>efore an announcement is made.</w:t>
      </w:r>
      <w:r w:rsidR="00C31FE7">
        <w:rPr>
          <w:lang w:val="en-US" w:eastAsia="nl-NL"/>
        </w:rPr>
        <w:t xml:space="preserve"> </w:t>
      </w:r>
      <w:r w:rsidR="004869D7" w:rsidRPr="00DA0DCD">
        <w:rPr>
          <w:lang w:val="en-US" w:eastAsia="nl-NL"/>
        </w:rPr>
        <w:t xml:space="preserve">On event window days, the E_window factor assumes a value of one and a value of zero on </w:t>
      </w:r>
      <w:r w:rsidR="00AE50FE" w:rsidRPr="00DA0DCD">
        <w:rPr>
          <w:lang w:val="en-US" w:eastAsia="nl-NL"/>
        </w:rPr>
        <w:t>non-event</w:t>
      </w:r>
      <w:r w:rsidR="004869D7" w:rsidRPr="00DA0DCD">
        <w:rPr>
          <w:lang w:val="en-US" w:eastAsia="nl-NL"/>
        </w:rPr>
        <w:t xml:space="preserve"> wi</w:t>
      </w:r>
      <w:r w:rsidR="00AE50FE" w:rsidRPr="00DA0DCD">
        <w:rPr>
          <w:lang w:val="en-US" w:eastAsia="nl-NL"/>
        </w:rPr>
        <w:t>n</w:t>
      </w:r>
      <w:r w:rsidR="004869D7" w:rsidRPr="00DA0DCD">
        <w:rPr>
          <w:lang w:val="en-US" w:eastAsia="nl-NL"/>
        </w:rPr>
        <w:t>dow days.</w:t>
      </w:r>
      <w:r w:rsidR="00423626" w:rsidRPr="00DA0DCD">
        <w:rPr>
          <w:lang w:val="en-US" w:eastAsia="nl-NL"/>
        </w:rPr>
        <w:t xml:space="preserve"> This makes this research comparable with Bowen et al. (2010), which also use one day before, day(s) at and one day after the event</w:t>
      </w:r>
      <w:r w:rsidR="00C31FE7">
        <w:rPr>
          <w:lang w:val="en-US" w:eastAsia="nl-NL"/>
        </w:rPr>
        <w:t>.</w:t>
      </w:r>
      <w:r w:rsidR="00423626" w:rsidRPr="00DA0DCD">
        <w:rPr>
          <w:lang w:val="en-US" w:eastAsia="nl-NL"/>
        </w:rPr>
        <w:t xml:space="preserve"> </w:t>
      </w:r>
      <w:r w:rsidR="00C31FE7">
        <w:rPr>
          <w:lang w:val="en-US" w:eastAsia="nl-NL"/>
        </w:rPr>
        <w:t>I</w:t>
      </w:r>
      <w:r w:rsidR="00423626" w:rsidRPr="00DA0DCD">
        <w:rPr>
          <w:lang w:val="en-US" w:eastAsia="nl-NL"/>
        </w:rPr>
        <w:t xml:space="preserve">t ensures that the market reaction of the event is measured. Sometimes announcements are made at the end of a day, so than the next day is also taken into account to measure the whole market reaction. The event window will not be longer than three days, because by an event window of for instance five or more days, the influence of other factors on the market prices will be higher. </w:t>
      </w:r>
      <w:r w:rsidR="004869D7" w:rsidRPr="00DA0DCD">
        <w:rPr>
          <w:lang w:val="en-US" w:eastAsia="nl-NL"/>
        </w:rPr>
        <w:t>When events overlap, the event window is in accordance with Bowen et al.</w:t>
      </w:r>
      <w:r w:rsidR="00AE50FE" w:rsidRPr="00DA0DCD">
        <w:rPr>
          <w:lang w:val="en-US" w:eastAsia="nl-NL"/>
        </w:rPr>
        <w:t xml:space="preserve"> </w:t>
      </w:r>
      <w:r w:rsidR="004869D7" w:rsidRPr="00DA0DCD">
        <w:rPr>
          <w:lang w:val="en-US" w:eastAsia="nl-NL"/>
        </w:rPr>
        <w:t xml:space="preserve">(2010) and Beatty et al. (1996) extended from the day before the first event to the day </w:t>
      </w:r>
      <w:r w:rsidR="004869D7" w:rsidRPr="006D4BE8">
        <w:rPr>
          <w:lang w:val="en-US" w:eastAsia="nl-NL"/>
        </w:rPr>
        <w:t>after the last event.</w:t>
      </w:r>
      <w:r w:rsidR="00AE50FE" w:rsidRPr="006D4BE8">
        <w:rPr>
          <w:lang w:val="en-US" w:eastAsia="nl-NL"/>
        </w:rPr>
        <w:t xml:space="preserve"> </w:t>
      </w:r>
      <w:r w:rsidR="00227C31" w:rsidRPr="006D4BE8">
        <w:rPr>
          <w:lang w:val="en-US" w:eastAsia="nl-NL"/>
        </w:rPr>
        <w:t>T</w:t>
      </w:r>
      <w:r w:rsidR="00AE50FE" w:rsidRPr="006D4BE8">
        <w:rPr>
          <w:lang w:val="en-US" w:eastAsia="nl-NL"/>
        </w:rPr>
        <w:t xml:space="preserve">he </w:t>
      </w:r>
      <w:r w:rsidR="00AE50FE" w:rsidRPr="006D4BE8">
        <w:rPr>
          <w:rFonts w:ascii="Times New Roman" w:hAnsi="Times New Roman" w:cs="Times New Roman"/>
          <w:lang w:val="en-US" w:eastAsia="nl-NL"/>
        </w:rPr>
        <w:t xml:space="preserve">δi </w:t>
      </w:r>
      <w:r w:rsidR="00AE50FE" w:rsidRPr="006D4BE8">
        <w:rPr>
          <w:rFonts w:cs="Times New Roman"/>
          <w:lang w:val="en-US" w:eastAsia="nl-NL"/>
        </w:rPr>
        <w:t xml:space="preserve">coefficient </w:t>
      </w:r>
      <w:r w:rsidR="00651423" w:rsidRPr="006D4BE8">
        <w:rPr>
          <w:rFonts w:cs="Times New Roman"/>
          <w:lang w:val="en-US" w:eastAsia="nl-NL"/>
        </w:rPr>
        <w:t>measures the effect of the</w:t>
      </w:r>
      <w:r w:rsidR="00AE50FE" w:rsidRPr="006D4BE8">
        <w:rPr>
          <w:rFonts w:cs="Times New Roman"/>
          <w:lang w:val="en-US" w:eastAsia="nl-NL"/>
        </w:rPr>
        <w:t xml:space="preserve"> </w:t>
      </w:r>
      <w:r w:rsidR="000D7B4A" w:rsidRPr="006D4BE8">
        <w:rPr>
          <w:rFonts w:cs="Times New Roman"/>
          <w:lang w:val="en-US" w:eastAsia="nl-NL"/>
        </w:rPr>
        <w:t>five</w:t>
      </w:r>
      <w:r w:rsidR="00AE50FE" w:rsidRPr="006D4BE8">
        <w:rPr>
          <w:rFonts w:cs="Times New Roman"/>
          <w:lang w:val="en-US" w:eastAsia="nl-NL"/>
        </w:rPr>
        <w:t xml:space="preserve"> </w:t>
      </w:r>
      <w:r w:rsidR="00651423" w:rsidRPr="006D4BE8">
        <w:rPr>
          <w:rFonts w:cs="Times New Roman"/>
          <w:lang w:val="en-US" w:eastAsia="nl-NL"/>
        </w:rPr>
        <w:t>individual</w:t>
      </w:r>
      <w:r w:rsidR="00AE50FE" w:rsidRPr="006D4BE8">
        <w:rPr>
          <w:rFonts w:cs="Times New Roman"/>
          <w:lang w:val="en-US" w:eastAsia="nl-NL"/>
        </w:rPr>
        <w:t xml:space="preserve"> event windows and</w:t>
      </w:r>
      <w:r w:rsidR="00AE50FE" w:rsidRPr="00DA0DCD">
        <w:rPr>
          <w:rFonts w:cs="Times New Roman"/>
          <w:lang w:val="en-US" w:eastAsia="nl-NL"/>
        </w:rPr>
        <w:t xml:space="preserve"> therefore the stock price reaction per event window is reported. The regression of all these variables </w:t>
      </w:r>
      <w:r w:rsidR="00FB6138" w:rsidRPr="00DA0DCD">
        <w:rPr>
          <w:rFonts w:cs="Times New Roman"/>
          <w:lang w:val="en-US" w:eastAsia="nl-NL"/>
        </w:rPr>
        <w:t>results in the regression coefficients (</w:t>
      </w:r>
      <w:r w:rsidR="00FB6138" w:rsidRPr="00DA0DCD">
        <w:rPr>
          <w:lang w:val="en-US" w:eastAsia="nl-NL"/>
        </w:rPr>
        <w:t xml:space="preserve">αi, </w:t>
      </w:r>
      <w:r w:rsidR="00FB6138" w:rsidRPr="00DA0DCD">
        <w:rPr>
          <w:rFonts w:ascii="Times New Roman" w:hAnsi="Times New Roman" w:cs="Times New Roman"/>
          <w:lang w:val="en-US" w:eastAsia="nl-NL"/>
        </w:rPr>
        <w:t xml:space="preserve">βi, γi, δi) </w:t>
      </w:r>
      <w:r w:rsidR="00FB6138" w:rsidRPr="00DA0DCD">
        <w:rPr>
          <w:rFonts w:cs="Times New Roman"/>
          <w:lang w:val="en-US" w:eastAsia="nl-NL"/>
        </w:rPr>
        <w:t xml:space="preserve">and the significance of these coefficients, measured by the t-statistic and p-value. Thereby, </w:t>
      </w:r>
      <w:r w:rsidR="00FB6138" w:rsidRPr="00DA0DCD">
        <w:rPr>
          <w:lang w:val="en-US" w:eastAsia="nl-NL"/>
        </w:rPr>
        <w:t xml:space="preserve">the </w:t>
      </w:r>
      <w:r w:rsidR="00FB6138" w:rsidRPr="00DA0DCD">
        <w:rPr>
          <w:rFonts w:ascii="Times New Roman" w:hAnsi="Times New Roman" w:cs="Times New Roman"/>
          <w:lang w:val="en-US" w:eastAsia="nl-NL"/>
        </w:rPr>
        <w:t xml:space="preserve">δi </w:t>
      </w:r>
      <w:r w:rsidR="00FB6138" w:rsidRPr="00DA0DCD">
        <w:rPr>
          <w:rFonts w:cs="Times New Roman"/>
          <w:lang w:val="en-US" w:eastAsia="nl-NL"/>
        </w:rPr>
        <w:t>coefficient measures the impact of the events on the stock prices of sample firms</w:t>
      </w:r>
      <w:r w:rsidR="000D7B4A">
        <w:rPr>
          <w:rFonts w:cs="Times New Roman"/>
          <w:lang w:val="en-US" w:eastAsia="nl-NL"/>
        </w:rPr>
        <w:t xml:space="preserve"> (abnormal return)</w:t>
      </w:r>
      <w:r w:rsidR="00FB6138" w:rsidRPr="00DA0DCD">
        <w:rPr>
          <w:rFonts w:cs="Times New Roman"/>
          <w:lang w:val="en-US" w:eastAsia="nl-NL"/>
        </w:rPr>
        <w:t>.</w:t>
      </w:r>
    </w:p>
    <w:p w:rsidR="000279BF" w:rsidRPr="00DA0DCD" w:rsidRDefault="000279BF" w:rsidP="00FB6138">
      <w:pPr>
        <w:rPr>
          <w:lang w:val="en-US" w:eastAsia="nl-NL"/>
        </w:rPr>
      </w:pPr>
      <w:r w:rsidRPr="00DA0DCD">
        <w:rPr>
          <w:rFonts w:cs="Times New Roman"/>
          <w:lang w:val="en-US" w:eastAsia="nl-NL"/>
        </w:rPr>
        <w:t>Next</w:t>
      </w:r>
      <w:r w:rsidR="000D7B4A">
        <w:rPr>
          <w:rFonts w:cs="Times New Roman"/>
          <w:lang w:val="en-US" w:eastAsia="nl-NL"/>
        </w:rPr>
        <w:t>,</w:t>
      </w:r>
      <w:r w:rsidRPr="00DA0DCD">
        <w:rPr>
          <w:rFonts w:cs="Times New Roman"/>
          <w:lang w:val="en-US" w:eastAsia="nl-NL"/>
        </w:rPr>
        <w:t xml:space="preserve"> to measuring the stock price reaction per </w:t>
      </w:r>
      <w:r w:rsidR="009F640B">
        <w:rPr>
          <w:rFonts w:cs="Times New Roman"/>
          <w:lang w:val="en-US" w:eastAsia="nl-NL"/>
        </w:rPr>
        <w:t xml:space="preserve">individual </w:t>
      </w:r>
      <w:r w:rsidRPr="00DA0DCD">
        <w:rPr>
          <w:rFonts w:cs="Times New Roman"/>
          <w:lang w:val="en-US" w:eastAsia="nl-NL"/>
        </w:rPr>
        <w:t xml:space="preserve">event window, also the impact of all the aggregated events together is measured. </w:t>
      </w:r>
      <w:r w:rsidR="00012558">
        <w:rPr>
          <w:rFonts w:cs="Times New Roman"/>
          <w:lang w:val="en-US" w:eastAsia="nl-NL"/>
        </w:rPr>
        <w:t xml:space="preserve">This means that the events that have a probable increased or decreased effect on the introduction of the reclassification option in IAS 39 are added together, to measure the effect over the whole period. </w:t>
      </w:r>
      <w:r w:rsidRPr="00DA0DCD">
        <w:rPr>
          <w:rFonts w:cs="Times New Roman"/>
          <w:lang w:val="en-US" w:eastAsia="nl-NL"/>
        </w:rPr>
        <w:t xml:space="preserve">By measuring the aggregated event together, the regression model looks the same except for the </w:t>
      </w:r>
      <w:r w:rsidRPr="00DA0DCD">
        <w:rPr>
          <w:lang w:val="en-US" w:eastAsia="nl-NL"/>
        </w:rPr>
        <w:t>E_window variable. The E_window variable is changed into the E_window_</w:t>
      </w:r>
      <w:r w:rsidR="000D7B4A">
        <w:rPr>
          <w:lang w:val="en-US" w:eastAsia="nl-NL"/>
        </w:rPr>
        <w:t>combined</w:t>
      </w:r>
      <w:r w:rsidRPr="00DA0DCD">
        <w:rPr>
          <w:lang w:val="en-US" w:eastAsia="nl-NL"/>
        </w:rPr>
        <w:t xml:space="preserve"> variable, which measures the impact of all the events aggregated together.  </w:t>
      </w:r>
    </w:p>
    <w:p w:rsidR="00FB6138" w:rsidRPr="00DA0DCD" w:rsidRDefault="000279BF" w:rsidP="00FB6138">
      <w:pPr>
        <w:rPr>
          <w:lang w:val="en-US" w:eastAsia="nl-NL"/>
        </w:rPr>
      </w:pPr>
      <w:r w:rsidRPr="00DA0DCD">
        <w:rPr>
          <w:lang w:val="en-US" w:eastAsia="nl-NL"/>
        </w:rPr>
        <w:t>Therefore the model will be changed into the following model:</w:t>
      </w:r>
    </w:p>
    <w:p w:rsidR="000279BF" w:rsidRPr="00DA0DCD" w:rsidRDefault="000279BF" w:rsidP="000279BF">
      <w:pPr>
        <w:rPr>
          <w:rFonts w:ascii="Times New Roman" w:hAnsi="Times New Roman" w:cs="Times New Roman"/>
          <w:b/>
          <w:lang w:val="en-US" w:eastAsia="nl-NL"/>
        </w:rPr>
      </w:pPr>
      <w:r w:rsidRPr="00DA0DCD">
        <w:rPr>
          <w:rFonts w:ascii="Times New Roman" w:hAnsi="Times New Roman" w:cs="Times New Roman"/>
          <w:b/>
          <w:lang w:val="en-US" w:eastAsia="nl-NL"/>
        </w:rPr>
        <w:t>R</w:t>
      </w:r>
      <w:r w:rsidRPr="00DA0DCD">
        <w:rPr>
          <w:rFonts w:ascii="Times New Roman" w:hAnsi="Times New Roman" w:cs="Times New Roman"/>
          <w:b/>
          <w:sz w:val="18"/>
          <w:szCs w:val="18"/>
          <w:lang w:val="en-US" w:eastAsia="nl-NL"/>
        </w:rPr>
        <w:t>it</w:t>
      </w:r>
      <w:r w:rsidRPr="00DA0DCD">
        <w:rPr>
          <w:rFonts w:ascii="Times New Roman" w:hAnsi="Times New Roman" w:cs="Times New Roman"/>
          <w:b/>
          <w:lang w:val="en-US" w:eastAsia="nl-NL"/>
        </w:rPr>
        <w:t xml:space="preserve"> = </w:t>
      </w:r>
      <w:r w:rsidRPr="00DA0DCD">
        <w:rPr>
          <w:rFonts w:ascii="Times New Roman" w:hAnsi="Times New Roman" w:cs="Times New Roman"/>
          <w:b/>
          <w:sz w:val="26"/>
          <w:szCs w:val="26"/>
          <w:lang w:val="en-US" w:eastAsia="nl-NL"/>
        </w:rPr>
        <w:t>α</w:t>
      </w:r>
      <w:r w:rsidRPr="00DA0DCD">
        <w:rPr>
          <w:rFonts w:ascii="Times New Roman" w:hAnsi="Times New Roman" w:cs="Times New Roman"/>
          <w:b/>
          <w:lang w:val="en-US" w:eastAsia="nl-NL"/>
        </w:rPr>
        <w:t>i + βi (Rm</w:t>
      </w:r>
      <w:r w:rsidRPr="00DA0DCD">
        <w:rPr>
          <w:rFonts w:ascii="Times New Roman" w:hAnsi="Times New Roman" w:cs="Times New Roman"/>
          <w:b/>
          <w:sz w:val="18"/>
          <w:szCs w:val="18"/>
          <w:lang w:val="en-US" w:eastAsia="nl-NL"/>
        </w:rPr>
        <w:t>t)</w:t>
      </w:r>
      <w:r w:rsidRPr="00DA0DCD">
        <w:rPr>
          <w:rFonts w:ascii="Times New Roman" w:hAnsi="Times New Roman" w:cs="Times New Roman"/>
          <w:b/>
          <w:lang w:val="en-US" w:eastAsia="nl-NL"/>
        </w:rPr>
        <w:t xml:space="preserve"> + γi (Δ Int</w:t>
      </w:r>
      <w:r w:rsidRPr="00DA0DCD">
        <w:rPr>
          <w:rFonts w:ascii="Times New Roman" w:hAnsi="Times New Roman" w:cs="Times New Roman"/>
          <w:b/>
          <w:sz w:val="18"/>
          <w:szCs w:val="18"/>
          <w:lang w:val="en-US" w:eastAsia="nl-NL"/>
        </w:rPr>
        <w:t>t)</w:t>
      </w:r>
      <w:r w:rsidRPr="00DA0DCD">
        <w:rPr>
          <w:rFonts w:ascii="Times New Roman" w:hAnsi="Times New Roman" w:cs="Times New Roman"/>
          <w:b/>
          <w:lang w:val="en-US" w:eastAsia="nl-NL"/>
        </w:rPr>
        <w:t xml:space="preserve"> + δi (E_Window_</w:t>
      </w:r>
      <w:r w:rsidR="000D7B4A">
        <w:rPr>
          <w:rFonts w:ascii="Times New Roman" w:hAnsi="Times New Roman" w:cs="Times New Roman"/>
          <w:b/>
          <w:lang w:val="en-US" w:eastAsia="nl-NL"/>
        </w:rPr>
        <w:t>combined</w:t>
      </w:r>
      <w:r w:rsidRPr="00DA0DCD">
        <w:rPr>
          <w:rFonts w:ascii="Times New Roman" w:hAnsi="Times New Roman" w:cs="Times New Roman"/>
          <w:b/>
          <w:sz w:val="18"/>
          <w:szCs w:val="18"/>
          <w:lang w:val="en-US" w:eastAsia="nl-NL"/>
        </w:rPr>
        <w:t>t)</w:t>
      </w:r>
      <w:r w:rsidRPr="00DA0DCD">
        <w:rPr>
          <w:rFonts w:ascii="Times New Roman" w:hAnsi="Times New Roman" w:cs="Times New Roman"/>
          <w:b/>
          <w:lang w:val="en-US" w:eastAsia="nl-NL"/>
        </w:rPr>
        <w:t xml:space="preserve"> + ε</w:t>
      </w:r>
      <w:r w:rsidRPr="00DA0DCD">
        <w:rPr>
          <w:rFonts w:ascii="Times New Roman" w:hAnsi="Times New Roman" w:cs="Times New Roman"/>
          <w:b/>
          <w:sz w:val="18"/>
          <w:szCs w:val="18"/>
          <w:lang w:val="en-US" w:eastAsia="nl-NL"/>
        </w:rPr>
        <w:t>it</w:t>
      </w:r>
      <w:r w:rsidRPr="00DA0DCD">
        <w:rPr>
          <w:rFonts w:ascii="Times New Roman" w:hAnsi="Times New Roman" w:cs="Times New Roman"/>
          <w:b/>
          <w:lang w:val="en-US" w:eastAsia="nl-NL"/>
        </w:rPr>
        <w:t xml:space="preserve"> </w:t>
      </w:r>
      <w:r w:rsidRPr="00DA0DCD">
        <w:rPr>
          <w:rFonts w:ascii="Times New Roman" w:hAnsi="Times New Roman" w:cs="Times New Roman"/>
          <w:b/>
          <w:lang w:val="en-US" w:eastAsia="nl-NL"/>
        </w:rPr>
        <w:tab/>
      </w:r>
      <w:r w:rsidRPr="00DA0DCD">
        <w:rPr>
          <w:rFonts w:ascii="Times New Roman" w:hAnsi="Times New Roman" w:cs="Times New Roman"/>
          <w:b/>
          <w:lang w:val="en-US" w:eastAsia="nl-NL"/>
        </w:rPr>
        <w:tab/>
      </w:r>
      <w:r w:rsidRPr="00DA0DCD">
        <w:rPr>
          <w:rFonts w:ascii="Times New Roman" w:hAnsi="Times New Roman" w:cs="Times New Roman"/>
          <w:b/>
          <w:lang w:val="en-US" w:eastAsia="nl-NL"/>
        </w:rPr>
        <w:tab/>
      </w:r>
      <w:r w:rsidRPr="00DA0DCD">
        <w:rPr>
          <w:rFonts w:cs="Times New Roman"/>
          <w:lang w:val="en-US" w:eastAsia="nl-NL"/>
        </w:rPr>
        <w:t>(6.2)</w:t>
      </w:r>
    </w:p>
    <w:p w:rsidR="000279BF" w:rsidRPr="00DA0DCD" w:rsidRDefault="002C2D67" w:rsidP="00FB6138">
      <w:pPr>
        <w:rPr>
          <w:lang w:val="en-US"/>
        </w:rPr>
      </w:pPr>
      <w:r w:rsidRPr="00DA0DCD">
        <w:rPr>
          <w:lang w:val="en-US"/>
        </w:rPr>
        <w:t xml:space="preserve">The </w:t>
      </w:r>
      <w:r w:rsidRPr="00DA0DCD">
        <w:rPr>
          <w:lang w:val="en-US" w:eastAsia="nl-NL"/>
        </w:rPr>
        <w:t>E_window_</w:t>
      </w:r>
      <w:r w:rsidR="000D7B4A">
        <w:rPr>
          <w:lang w:val="en-US" w:eastAsia="nl-NL"/>
        </w:rPr>
        <w:t>combined</w:t>
      </w:r>
      <w:r w:rsidRPr="00DA0DCD">
        <w:rPr>
          <w:lang w:val="en-US" w:eastAsia="nl-NL"/>
        </w:rPr>
        <w:t xml:space="preserve"> variable will have a</w:t>
      </w:r>
      <w:r w:rsidR="00056EC2" w:rsidRPr="00DA0DCD">
        <w:rPr>
          <w:lang w:val="en-US" w:eastAsia="nl-NL"/>
        </w:rPr>
        <w:t xml:space="preserve"> value of 1 (-1) during events that have a</w:t>
      </w:r>
      <w:r w:rsidR="00DB305A">
        <w:rPr>
          <w:lang w:val="en-US" w:eastAsia="nl-NL"/>
        </w:rPr>
        <w:t xml:space="preserve"> probable</w:t>
      </w:r>
      <w:r w:rsidR="00056EC2" w:rsidRPr="00DA0DCD">
        <w:rPr>
          <w:lang w:val="en-US" w:eastAsia="nl-NL"/>
        </w:rPr>
        <w:t xml:space="preserve"> increasing (decreasing) </w:t>
      </w:r>
      <w:r w:rsidR="00DB305A">
        <w:rPr>
          <w:lang w:val="en-US" w:eastAsia="nl-NL"/>
        </w:rPr>
        <w:t>effect</w:t>
      </w:r>
      <w:r w:rsidR="00056EC2" w:rsidRPr="00DA0DCD">
        <w:rPr>
          <w:lang w:val="en-US" w:eastAsia="nl-NL"/>
        </w:rPr>
        <w:t xml:space="preserve"> on the introduction of a reclassification option (relaxation) under IAS 39 and otherwise a value of zero. In this </w:t>
      </w:r>
      <w:r w:rsidR="00423626" w:rsidRPr="00DA0DCD">
        <w:rPr>
          <w:lang w:val="en-US" w:eastAsia="nl-NL"/>
        </w:rPr>
        <w:t>way</w:t>
      </w:r>
      <w:r w:rsidR="00056EC2" w:rsidRPr="00DA0DCD">
        <w:rPr>
          <w:lang w:val="en-US" w:eastAsia="nl-NL"/>
        </w:rPr>
        <w:t xml:space="preserve">, </w:t>
      </w:r>
      <w:r w:rsidR="00423626" w:rsidRPr="00DA0DCD">
        <w:rPr>
          <w:lang w:val="en-US" w:eastAsia="nl-NL"/>
        </w:rPr>
        <w:t xml:space="preserve">the positive and negative </w:t>
      </w:r>
      <w:r w:rsidR="00DB305A" w:rsidRPr="00DA0DCD">
        <w:rPr>
          <w:lang w:val="en-US" w:eastAsia="nl-NL"/>
        </w:rPr>
        <w:t>effects are</w:t>
      </w:r>
      <w:r w:rsidR="00423626" w:rsidRPr="00DA0DCD">
        <w:rPr>
          <w:lang w:val="en-US" w:eastAsia="nl-NL"/>
        </w:rPr>
        <w:t xml:space="preserve"> aggregated and measured together to give a conclusion over the total events. </w:t>
      </w:r>
      <w:r w:rsidR="000279BF" w:rsidRPr="00DA0DCD">
        <w:rPr>
          <w:lang w:val="en-US"/>
        </w:rPr>
        <w:t xml:space="preserve">Also this </w:t>
      </w:r>
      <w:r w:rsidR="00423626" w:rsidRPr="00DA0DCD">
        <w:rPr>
          <w:lang w:val="en-US"/>
        </w:rPr>
        <w:t xml:space="preserve">regression </w:t>
      </w:r>
      <w:r w:rsidR="000279BF" w:rsidRPr="00DA0DCD">
        <w:rPr>
          <w:lang w:val="en-US"/>
        </w:rPr>
        <w:t xml:space="preserve">model measures the regression </w:t>
      </w:r>
      <w:r w:rsidR="004C7745" w:rsidRPr="00DA0DCD">
        <w:rPr>
          <w:lang w:val="en-US"/>
        </w:rPr>
        <w:t>coefficients (</w:t>
      </w:r>
      <w:r w:rsidR="000279BF" w:rsidRPr="00DA0DCD">
        <w:rPr>
          <w:lang w:val="en-US" w:eastAsia="nl-NL"/>
        </w:rPr>
        <w:t xml:space="preserve">αi, </w:t>
      </w:r>
      <w:r w:rsidR="000279BF" w:rsidRPr="00DA0DCD">
        <w:rPr>
          <w:rFonts w:ascii="Times New Roman" w:hAnsi="Times New Roman" w:cs="Times New Roman"/>
          <w:lang w:val="en-US" w:eastAsia="nl-NL"/>
        </w:rPr>
        <w:t xml:space="preserve">βi, γi, δi), </w:t>
      </w:r>
      <w:r w:rsidR="000279BF" w:rsidRPr="00DA0DCD">
        <w:rPr>
          <w:rFonts w:cs="Times New Roman"/>
          <w:lang w:val="en-US" w:eastAsia="nl-NL"/>
        </w:rPr>
        <w:t xml:space="preserve">whereby </w:t>
      </w:r>
      <w:r w:rsidRPr="00DA0DCD">
        <w:rPr>
          <w:rFonts w:cs="Times New Roman"/>
          <w:lang w:val="en-US" w:eastAsia="nl-NL"/>
        </w:rPr>
        <w:t>t-statistic and p-value of the</w:t>
      </w:r>
      <w:r w:rsidR="000279BF" w:rsidRPr="00DA0DCD">
        <w:rPr>
          <w:rFonts w:cs="Times New Roman"/>
          <w:lang w:val="en-US" w:eastAsia="nl-NL"/>
        </w:rPr>
        <w:t xml:space="preserve"> δi</w:t>
      </w:r>
      <w:r w:rsidRPr="00DA0DCD">
        <w:rPr>
          <w:rFonts w:cs="Times New Roman"/>
          <w:lang w:val="en-US" w:eastAsia="nl-NL"/>
        </w:rPr>
        <w:t xml:space="preserve"> coefficients measures the impact of all the aggregated event together to the stock prices of sample firms.</w:t>
      </w:r>
      <w:r w:rsidR="00423626" w:rsidRPr="00DA0DCD">
        <w:rPr>
          <w:rFonts w:cs="Times New Roman"/>
          <w:lang w:val="en-US" w:eastAsia="nl-NL"/>
        </w:rPr>
        <w:t xml:space="preserve"> </w:t>
      </w:r>
      <w:r w:rsidR="00423626" w:rsidRPr="00DA0DCD">
        <w:rPr>
          <w:lang w:val="en-US" w:eastAsia="nl-NL"/>
        </w:rPr>
        <w:t xml:space="preserve">To </w:t>
      </w:r>
      <w:r w:rsidR="00AE6640">
        <w:rPr>
          <w:lang w:val="en-US" w:eastAsia="nl-NL"/>
        </w:rPr>
        <w:t xml:space="preserve">give a </w:t>
      </w:r>
      <w:r w:rsidR="00423626" w:rsidRPr="00DA0DCD">
        <w:rPr>
          <w:lang w:val="en-US" w:eastAsia="nl-NL"/>
        </w:rPr>
        <w:t>conclu</w:t>
      </w:r>
      <w:r w:rsidR="00AE6640">
        <w:rPr>
          <w:lang w:val="en-US" w:eastAsia="nl-NL"/>
        </w:rPr>
        <w:t>sion</w:t>
      </w:r>
      <w:r w:rsidR="00423626" w:rsidRPr="00DA0DCD">
        <w:rPr>
          <w:lang w:val="en-US" w:eastAsia="nl-NL"/>
        </w:rPr>
        <w:t xml:space="preserve"> over the whole period whether there is a positive or negative market reaction in Europe.</w:t>
      </w:r>
    </w:p>
    <w:p w:rsidR="00B83E1A" w:rsidRPr="00DA0DCD" w:rsidRDefault="00B83E1A" w:rsidP="00B83E1A">
      <w:pPr>
        <w:pStyle w:val="Kop3"/>
        <w:numPr>
          <w:ilvl w:val="2"/>
          <w:numId w:val="14"/>
        </w:numPr>
        <w:rPr>
          <w:lang w:val="en-US" w:eastAsia="nl-NL"/>
        </w:rPr>
      </w:pPr>
      <w:bookmarkStart w:id="63" w:name="_Toc270770597"/>
      <w:r w:rsidRPr="00DA0DCD">
        <w:rPr>
          <w:lang w:val="en-US" w:eastAsia="nl-NL"/>
        </w:rPr>
        <w:t>Measuring the first</w:t>
      </w:r>
      <w:r w:rsidR="00D65508" w:rsidRPr="00DA0DCD">
        <w:rPr>
          <w:lang w:val="en-US" w:eastAsia="nl-NL"/>
        </w:rPr>
        <w:t xml:space="preserve"> hypothesi</w:t>
      </w:r>
      <w:r w:rsidRPr="00DA0DCD">
        <w:rPr>
          <w:lang w:val="en-US" w:eastAsia="nl-NL"/>
        </w:rPr>
        <w:t>s</w:t>
      </w:r>
      <w:bookmarkEnd w:id="63"/>
      <w:r w:rsidR="003B65F5" w:rsidRPr="00DA0DCD">
        <w:rPr>
          <w:lang w:val="en-US" w:eastAsia="nl-NL"/>
        </w:rPr>
        <w:tab/>
      </w:r>
    </w:p>
    <w:p w:rsidR="00B83E1A" w:rsidRPr="00DA0DCD" w:rsidRDefault="004C7745" w:rsidP="003B65F5">
      <w:pPr>
        <w:rPr>
          <w:lang w:val="en-US" w:eastAsia="nl-NL"/>
        </w:rPr>
      </w:pPr>
      <w:r w:rsidRPr="00DA0DCD">
        <w:rPr>
          <w:lang w:val="en-US" w:eastAsia="nl-NL"/>
        </w:rPr>
        <w:t>In the first part of the overall hypotheses is state</w:t>
      </w:r>
      <w:r w:rsidR="00854A62" w:rsidRPr="00DA0DCD">
        <w:rPr>
          <w:lang w:val="en-US" w:eastAsia="nl-NL"/>
        </w:rPr>
        <w:t>d</w:t>
      </w:r>
      <w:r w:rsidRPr="00DA0DCD">
        <w:rPr>
          <w:lang w:val="en-US" w:eastAsia="nl-NL"/>
        </w:rPr>
        <w:t xml:space="preserve"> that the stock prices</w:t>
      </w:r>
      <w:r w:rsidR="00D608E1" w:rsidRPr="00DA0DCD">
        <w:rPr>
          <w:lang w:val="en-US" w:eastAsia="nl-NL"/>
        </w:rPr>
        <w:t xml:space="preserve"> of financial institutions</w:t>
      </w:r>
      <w:r w:rsidRPr="00DA0DCD">
        <w:rPr>
          <w:lang w:val="en-US" w:eastAsia="nl-NL"/>
        </w:rPr>
        <w:t xml:space="preserve"> will </w:t>
      </w:r>
      <w:r w:rsidR="00D608E1" w:rsidRPr="00DA0DCD">
        <w:rPr>
          <w:lang w:val="en-US" w:eastAsia="nl-NL"/>
        </w:rPr>
        <w:t xml:space="preserve">positively </w:t>
      </w:r>
      <w:r w:rsidRPr="00DA0DCD">
        <w:rPr>
          <w:lang w:val="en-US" w:eastAsia="nl-NL"/>
        </w:rPr>
        <w:t>react</w:t>
      </w:r>
      <w:r w:rsidR="00D608E1" w:rsidRPr="00DA0DCD">
        <w:rPr>
          <w:lang w:val="en-US" w:eastAsia="nl-NL"/>
        </w:rPr>
        <w:t xml:space="preserve"> on the increased </w:t>
      </w:r>
      <w:r w:rsidR="004D2CCC" w:rsidRPr="00DA0DCD">
        <w:rPr>
          <w:lang w:val="en-US" w:eastAsia="nl-NL"/>
        </w:rPr>
        <w:t>possibility</w:t>
      </w:r>
      <w:r w:rsidR="00D608E1" w:rsidRPr="00DA0DCD">
        <w:rPr>
          <w:lang w:val="en-US" w:eastAsia="nl-NL"/>
        </w:rPr>
        <w:t xml:space="preserve"> of introduction the reclassification option (relaxation) in IAS 39. This reaction will be measured using Eq.(6.1</w:t>
      </w:r>
      <w:r w:rsidR="00847BA1" w:rsidRPr="00DA0DCD">
        <w:rPr>
          <w:lang w:val="en-US" w:eastAsia="nl-NL"/>
        </w:rPr>
        <w:t>)</w:t>
      </w:r>
      <w:r w:rsidR="00D608E1" w:rsidRPr="00DA0DCD">
        <w:rPr>
          <w:lang w:val="en-US" w:eastAsia="nl-NL"/>
        </w:rPr>
        <w:t xml:space="preserve"> </w:t>
      </w:r>
      <w:r w:rsidR="00847BA1" w:rsidRPr="00DA0DCD">
        <w:rPr>
          <w:lang w:val="en-US" w:eastAsia="nl-NL"/>
        </w:rPr>
        <w:t>f</w:t>
      </w:r>
      <w:r w:rsidR="00D608E1" w:rsidRPr="00DA0DCD">
        <w:rPr>
          <w:lang w:val="en-US" w:eastAsia="nl-NL"/>
        </w:rPr>
        <w:t xml:space="preserve">or all sample financial institutions </w:t>
      </w:r>
      <w:r w:rsidR="00847BA1" w:rsidRPr="00DA0DCD">
        <w:rPr>
          <w:lang w:val="en-US" w:eastAsia="nl-NL"/>
        </w:rPr>
        <w:t>during the period Q1 2008 trough Q2 2009. First, the effect of all separate events</w:t>
      </w:r>
      <w:r w:rsidR="00D608E1" w:rsidRPr="00DA0DCD">
        <w:rPr>
          <w:lang w:val="en-US" w:eastAsia="nl-NL"/>
        </w:rPr>
        <w:t xml:space="preserve"> </w:t>
      </w:r>
      <w:r w:rsidR="00847BA1" w:rsidRPr="00DA0DCD">
        <w:rPr>
          <w:lang w:val="en-US" w:eastAsia="nl-NL"/>
        </w:rPr>
        <w:t xml:space="preserve">will be measured by allowing </w:t>
      </w:r>
      <w:r w:rsidR="00847BA1" w:rsidRPr="00DA0DCD">
        <w:rPr>
          <w:rFonts w:ascii="Times New Roman" w:hAnsi="Times New Roman" w:cs="Times New Roman"/>
          <w:lang w:val="en-US" w:eastAsia="nl-NL"/>
        </w:rPr>
        <w:t xml:space="preserve">δi </w:t>
      </w:r>
      <w:r w:rsidR="00847BA1" w:rsidRPr="00DA0DCD">
        <w:rPr>
          <w:rFonts w:cs="Times New Roman"/>
          <w:lang w:val="en-US" w:eastAsia="nl-NL"/>
        </w:rPr>
        <w:t xml:space="preserve">coefficient to vary during the </w:t>
      </w:r>
      <w:r w:rsidR="00704D03">
        <w:rPr>
          <w:rFonts w:cs="Times New Roman"/>
          <w:lang w:val="en-US" w:eastAsia="nl-NL"/>
        </w:rPr>
        <w:t>five</w:t>
      </w:r>
      <w:r w:rsidR="00847BA1" w:rsidRPr="00DA0DCD">
        <w:rPr>
          <w:rFonts w:cs="Times New Roman"/>
          <w:lang w:val="en-US" w:eastAsia="nl-NL"/>
        </w:rPr>
        <w:t xml:space="preserve"> different event windows. This will measure the stock price reactions of all separate </w:t>
      </w:r>
      <w:r w:rsidR="00704D03">
        <w:rPr>
          <w:rFonts w:cs="Times New Roman"/>
          <w:lang w:val="en-US" w:eastAsia="nl-NL"/>
        </w:rPr>
        <w:t>five</w:t>
      </w:r>
      <w:r w:rsidR="00847BA1" w:rsidRPr="00DA0DCD">
        <w:rPr>
          <w:rFonts w:cs="Times New Roman"/>
          <w:lang w:val="en-US" w:eastAsia="nl-NL"/>
        </w:rPr>
        <w:t xml:space="preserve"> events for the whole sample. Second, the impact of all the aggregated events together is measured using Eq.(6.2). </w:t>
      </w:r>
      <w:r w:rsidR="006E1254">
        <w:rPr>
          <w:rFonts w:cs="Times New Roman"/>
          <w:lang w:val="en-US" w:eastAsia="nl-NL"/>
        </w:rPr>
        <w:t xml:space="preserve">The reason for measuring the effect of the event </w:t>
      </w:r>
      <w:r w:rsidR="006E1254">
        <w:rPr>
          <w:rFonts w:cs="Times New Roman"/>
          <w:lang w:val="en-US" w:eastAsia="nl-NL"/>
        </w:rPr>
        <w:lastRenderedPageBreak/>
        <w:t xml:space="preserve">windows together is to show the effect of the whole process leading to the introduction of the reclassification option in IAS 39 on the capital market in Europe. </w:t>
      </w:r>
      <w:r w:rsidR="00847BA1" w:rsidRPr="00DA0DCD">
        <w:rPr>
          <w:rFonts w:cs="Times New Roman"/>
          <w:lang w:val="en-US" w:eastAsia="nl-NL"/>
        </w:rPr>
        <w:t>For both regressions the coefficients</w:t>
      </w:r>
      <w:r w:rsidR="005F6BD7">
        <w:rPr>
          <w:rFonts w:cs="Times New Roman"/>
          <w:lang w:val="en-US" w:eastAsia="nl-NL"/>
        </w:rPr>
        <w:t xml:space="preserve"> (betas)</w:t>
      </w:r>
      <w:r w:rsidR="00847BA1" w:rsidRPr="00DA0DCD">
        <w:rPr>
          <w:rFonts w:cs="Times New Roman"/>
          <w:lang w:val="en-US" w:eastAsia="nl-NL"/>
        </w:rPr>
        <w:t>, t-statistic and p-value will be reported. From the t-statistic and p-value</w:t>
      </w:r>
      <w:r w:rsidR="009026AF" w:rsidRPr="00DA0DCD">
        <w:rPr>
          <w:rFonts w:cs="Times New Roman"/>
          <w:lang w:val="en-US" w:eastAsia="nl-NL"/>
        </w:rPr>
        <w:t>,</w:t>
      </w:r>
      <w:r w:rsidR="00847BA1" w:rsidRPr="00DA0DCD">
        <w:rPr>
          <w:rFonts w:cs="Times New Roman"/>
          <w:lang w:val="en-US" w:eastAsia="nl-NL"/>
        </w:rPr>
        <w:t xml:space="preserve"> the significan</w:t>
      </w:r>
      <w:r w:rsidR="009026AF" w:rsidRPr="00DA0DCD">
        <w:rPr>
          <w:rFonts w:cs="Times New Roman"/>
          <w:lang w:val="en-US" w:eastAsia="nl-NL"/>
        </w:rPr>
        <w:t xml:space="preserve">ce of the impact of the events is </w:t>
      </w:r>
      <w:r w:rsidR="00847BA1" w:rsidRPr="00DA0DCD">
        <w:rPr>
          <w:rFonts w:cs="Times New Roman"/>
          <w:lang w:val="en-US" w:eastAsia="nl-NL"/>
        </w:rPr>
        <w:t>be derived</w:t>
      </w:r>
      <w:r w:rsidR="009026AF" w:rsidRPr="00DA0DCD">
        <w:rPr>
          <w:rFonts w:cs="Times New Roman"/>
          <w:lang w:val="en-US" w:eastAsia="nl-NL"/>
        </w:rPr>
        <w:t>.</w:t>
      </w:r>
    </w:p>
    <w:p w:rsidR="00D65508" w:rsidRPr="00DA0DCD" w:rsidRDefault="00D65508" w:rsidP="00D65508">
      <w:pPr>
        <w:pStyle w:val="Kop3"/>
        <w:numPr>
          <w:ilvl w:val="2"/>
          <w:numId w:val="14"/>
        </w:numPr>
        <w:rPr>
          <w:lang w:val="en-US" w:eastAsia="nl-NL"/>
        </w:rPr>
      </w:pPr>
      <w:bookmarkStart w:id="64" w:name="_Toc270770598"/>
      <w:r w:rsidRPr="00DA0DCD">
        <w:rPr>
          <w:lang w:val="en-US" w:eastAsia="nl-NL"/>
        </w:rPr>
        <w:t>Measuring the second hypothesis</w:t>
      </w:r>
      <w:bookmarkEnd w:id="64"/>
    </w:p>
    <w:p w:rsidR="009026AF" w:rsidRPr="00DA0DCD" w:rsidRDefault="006E1254" w:rsidP="003B65F5">
      <w:pPr>
        <w:rPr>
          <w:lang w:val="en-US" w:eastAsia="nl-NL"/>
        </w:rPr>
      </w:pPr>
      <w:r>
        <w:rPr>
          <w:lang w:val="en-US" w:eastAsia="nl-NL"/>
        </w:rPr>
        <w:t>In t</w:t>
      </w:r>
      <w:r w:rsidR="009026AF" w:rsidRPr="00DA0DCD">
        <w:rPr>
          <w:lang w:val="en-US" w:eastAsia="nl-NL"/>
        </w:rPr>
        <w:t>he second hypothes</w:t>
      </w:r>
      <w:r>
        <w:rPr>
          <w:lang w:val="en-US" w:eastAsia="nl-NL"/>
        </w:rPr>
        <w:t>is is</w:t>
      </w:r>
      <w:r w:rsidR="009026AF" w:rsidRPr="00DA0DCD">
        <w:rPr>
          <w:lang w:val="en-US" w:eastAsia="nl-NL"/>
        </w:rPr>
        <w:t xml:space="preserve"> assume</w:t>
      </w:r>
      <w:r>
        <w:rPr>
          <w:lang w:val="en-US" w:eastAsia="nl-NL"/>
        </w:rPr>
        <w:t>d</w:t>
      </w:r>
      <w:r w:rsidR="009026AF" w:rsidRPr="00DA0DCD">
        <w:rPr>
          <w:lang w:val="en-US" w:eastAsia="nl-NL"/>
        </w:rPr>
        <w:t xml:space="preserve"> that the capital market reaction, on the announcements of introducing the reclassification option in IAS 39, in Europe will be lower (weaker) than the capital reaction in the US on the relaxation of FVA and impairment rules. Th</w:t>
      </w:r>
      <w:r w:rsidR="0093631E">
        <w:rPr>
          <w:lang w:val="en-US" w:eastAsia="nl-NL"/>
        </w:rPr>
        <w:t xml:space="preserve">e difference in absolute value of stock price reaction </w:t>
      </w:r>
      <w:r w:rsidR="009026AF" w:rsidRPr="00DA0DCD">
        <w:rPr>
          <w:lang w:val="en-US" w:eastAsia="nl-NL"/>
        </w:rPr>
        <w:t>will be measured by first comparing the</w:t>
      </w:r>
      <w:r w:rsidR="0093631E">
        <w:rPr>
          <w:lang w:val="en-US" w:eastAsia="nl-NL"/>
        </w:rPr>
        <w:t xml:space="preserve"> </w:t>
      </w:r>
      <w:r w:rsidR="005F6BD7">
        <w:rPr>
          <w:lang w:val="en-US" w:eastAsia="nl-NL"/>
        </w:rPr>
        <w:t>coefficients (betas), t-statistic</w:t>
      </w:r>
      <w:r w:rsidR="004D2CCC" w:rsidRPr="00DA0DCD">
        <w:rPr>
          <w:lang w:val="en-US" w:eastAsia="nl-NL"/>
        </w:rPr>
        <w:t xml:space="preserve"> and p-value of the events </w:t>
      </w:r>
      <w:r w:rsidR="009026AF" w:rsidRPr="00DA0DCD">
        <w:rPr>
          <w:lang w:val="en-US" w:eastAsia="nl-NL"/>
        </w:rPr>
        <w:t xml:space="preserve">in this research and </w:t>
      </w:r>
      <w:r w:rsidR="004D2CCC" w:rsidRPr="00DA0DCD">
        <w:rPr>
          <w:lang w:val="en-US" w:eastAsia="nl-NL"/>
        </w:rPr>
        <w:t xml:space="preserve">the events used in the </w:t>
      </w:r>
      <w:r w:rsidR="009026AF" w:rsidRPr="00DA0DCD">
        <w:rPr>
          <w:lang w:val="en-US" w:eastAsia="nl-NL"/>
        </w:rPr>
        <w:t xml:space="preserve">research of Bowen et al. (2010). </w:t>
      </w:r>
      <w:r w:rsidR="00D64CF0">
        <w:rPr>
          <w:lang w:val="en-US" w:eastAsia="nl-NL"/>
        </w:rPr>
        <w:t xml:space="preserve">In both studies, the research of this thesis and research of Bowen et al. (2010), the reclassification option in IAS 39 is included as an event. </w:t>
      </w:r>
      <w:r w:rsidR="00586171" w:rsidRPr="00DA0DCD">
        <w:rPr>
          <w:lang w:val="en-US" w:eastAsia="nl-NL"/>
        </w:rPr>
        <w:t>T</w:t>
      </w:r>
      <w:r w:rsidR="004D2CCC" w:rsidRPr="00DA0DCD">
        <w:rPr>
          <w:lang w:val="en-US" w:eastAsia="nl-NL"/>
        </w:rPr>
        <w:t xml:space="preserve">he </w:t>
      </w:r>
      <w:r w:rsidR="00586171" w:rsidRPr="00DA0DCD">
        <w:rPr>
          <w:lang w:val="en-US" w:eastAsia="nl-NL"/>
        </w:rPr>
        <w:t xml:space="preserve">fifth event </w:t>
      </w:r>
      <w:r w:rsidR="004D2CCC" w:rsidRPr="00DA0DCD">
        <w:rPr>
          <w:lang w:val="en-US" w:eastAsia="nl-NL"/>
        </w:rPr>
        <w:t xml:space="preserve">of </w:t>
      </w:r>
      <w:r w:rsidR="00586171" w:rsidRPr="00DA0DCD">
        <w:rPr>
          <w:lang w:val="en-US" w:eastAsia="nl-NL"/>
        </w:rPr>
        <w:t xml:space="preserve">the research of </w:t>
      </w:r>
      <w:r w:rsidR="004D2CCC" w:rsidRPr="00DA0DCD">
        <w:rPr>
          <w:lang w:val="en-US" w:eastAsia="nl-NL"/>
        </w:rPr>
        <w:t>this thesis</w:t>
      </w:r>
      <w:r w:rsidR="00586171" w:rsidRPr="00DA0DCD">
        <w:rPr>
          <w:lang w:val="en-US" w:eastAsia="nl-NL"/>
        </w:rPr>
        <w:t xml:space="preserve"> </w:t>
      </w:r>
      <w:r w:rsidR="004D2CCC" w:rsidRPr="00DA0DCD">
        <w:rPr>
          <w:lang w:val="en-US" w:eastAsia="nl-NL"/>
        </w:rPr>
        <w:t xml:space="preserve">and </w:t>
      </w:r>
      <w:r w:rsidR="00586171" w:rsidRPr="00DA0DCD">
        <w:rPr>
          <w:lang w:val="en-US" w:eastAsia="nl-NL"/>
        </w:rPr>
        <w:t xml:space="preserve">the second event </w:t>
      </w:r>
      <w:r w:rsidR="004D2CCC" w:rsidRPr="00DA0DCD">
        <w:rPr>
          <w:lang w:val="en-US" w:eastAsia="nl-NL"/>
        </w:rPr>
        <w:t>of Bowen et al. (2010)</w:t>
      </w:r>
      <w:r w:rsidR="00586171" w:rsidRPr="00DA0DCD">
        <w:rPr>
          <w:lang w:val="en-US" w:eastAsia="nl-NL"/>
        </w:rPr>
        <w:t xml:space="preserve"> represent the reclassification option</w:t>
      </w:r>
      <w:r w:rsidR="00D64CF0">
        <w:rPr>
          <w:lang w:val="en-US" w:eastAsia="nl-NL"/>
        </w:rPr>
        <w:t xml:space="preserve">. The </w:t>
      </w:r>
      <w:r w:rsidR="00BC178C">
        <w:rPr>
          <w:lang w:val="en-US" w:eastAsia="nl-NL"/>
        </w:rPr>
        <w:t xml:space="preserve">stock price reaction on the </w:t>
      </w:r>
      <w:r w:rsidR="00D64CF0">
        <w:rPr>
          <w:lang w:val="en-US" w:eastAsia="nl-NL"/>
        </w:rPr>
        <w:t xml:space="preserve">reclassification option in </w:t>
      </w:r>
      <w:r w:rsidR="00BC178C">
        <w:rPr>
          <w:lang w:val="en-US" w:eastAsia="nl-NL"/>
        </w:rPr>
        <w:t>the US is interesting to know. However, the reclassification is not a major point of the relaxation</w:t>
      </w:r>
      <w:r w:rsidR="00BC178C" w:rsidRPr="00BC178C">
        <w:rPr>
          <w:lang w:val="en-US" w:eastAsia="nl-NL"/>
        </w:rPr>
        <w:t xml:space="preserve"> </w:t>
      </w:r>
      <w:r w:rsidR="00BC178C" w:rsidRPr="00DA0DCD">
        <w:rPr>
          <w:lang w:val="en-US" w:eastAsia="nl-NL"/>
        </w:rPr>
        <w:t>of FVA</w:t>
      </w:r>
      <w:r w:rsidR="005C00BB">
        <w:rPr>
          <w:lang w:val="en-US" w:eastAsia="nl-NL"/>
        </w:rPr>
        <w:t xml:space="preserve"> in the US</w:t>
      </w:r>
      <w:r w:rsidR="00BC178C" w:rsidRPr="00DA0DCD">
        <w:rPr>
          <w:lang w:val="en-US" w:eastAsia="nl-NL"/>
        </w:rPr>
        <w:t xml:space="preserve"> </w:t>
      </w:r>
      <w:r w:rsidR="00BC178C">
        <w:rPr>
          <w:lang w:val="en-US" w:eastAsia="nl-NL"/>
        </w:rPr>
        <w:t xml:space="preserve">in the research of Bowen et al. (2010). Therefore, the stock price reaction in Europe to the introduction of the reclassification option in IAS 39 (fifth event of the research of this thesis) </w:t>
      </w:r>
      <w:r w:rsidR="005C00BB">
        <w:rPr>
          <w:lang w:val="en-US" w:eastAsia="nl-NL"/>
        </w:rPr>
        <w:t>is</w:t>
      </w:r>
      <w:r w:rsidR="00BC178C">
        <w:rPr>
          <w:lang w:val="en-US" w:eastAsia="nl-NL"/>
        </w:rPr>
        <w:t xml:space="preserve"> compared with the introduction of the relaxation </w:t>
      </w:r>
      <w:r w:rsidR="00BC178C" w:rsidRPr="00DA0DCD">
        <w:rPr>
          <w:lang w:val="en-US" w:eastAsia="nl-NL"/>
        </w:rPr>
        <w:t>of FVA and impairment rules</w:t>
      </w:r>
      <w:r w:rsidR="00BC178C">
        <w:rPr>
          <w:lang w:val="en-US" w:eastAsia="nl-NL"/>
        </w:rPr>
        <w:t xml:space="preserve"> in the US (the tenth event of the research of Bowen et al. (2010)). </w:t>
      </w:r>
      <w:r w:rsidR="009026AF" w:rsidRPr="00DA0DCD">
        <w:rPr>
          <w:lang w:val="en-US" w:eastAsia="nl-NL"/>
        </w:rPr>
        <w:t xml:space="preserve">Second, the </w:t>
      </w:r>
      <w:r w:rsidR="009026AF" w:rsidRPr="00DA0DCD">
        <w:rPr>
          <w:rFonts w:cs="Times New Roman"/>
          <w:lang w:val="en-US" w:eastAsia="nl-NL"/>
        </w:rPr>
        <w:t>impact of all the aggregated events together in Europe is compared with the t-statistic and p-value of aggregated events in the US (Bowen et al. 2010)</w:t>
      </w:r>
      <w:r w:rsidR="00704D03">
        <w:rPr>
          <w:rFonts w:cs="Times New Roman"/>
          <w:lang w:val="en-US" w:eastAsia="nl-NL"/>
        </w:rPr>
        <w:t>.</w:t>
      </w:r>
    </w:p>
    <w:p w:rsidR="00B26E3A" w:rsidRPr="00DA0DCD" w:rsidRDefault="00B14350" w:rsidP="00B14350">
      <w:pPr>
        <w:pStyle w:val="Kop3"/>
        <w:numPr>
          <w:ilvl w:val="2"/>
          <w:numId w:val="14"/>
        </w:numPr>
        <w:rPr>
          <w:lang w:val="en-US" w:eastAsia="nl-NL"/>
        </w:rPr>
      </w:pPr>
      <w:bookmarkStart w:id="65" w:name="_Toc270770599"/>
      <w:r w:rsidRPr="00DA0DCD">
        <w:rPr>
          <w:lang w:val="en-US" w:eastAsia="nl-NL"/>
        </w:rPr>
        <w:t>Measuring th</w:t>
      </w:r>
      <w:r w:rsidR="00D65508" w:rsidRPr="00DA0DCD">
        <w:rPr>
          <w:lang w:val="en-US" w:eastAsia="nl-NL"/>
        </w:rPr>
        <w:t>e third hypothesi</w:t>
      </w:r>
      <w:r w:rsidRPr="00DA0DCD">
        <w:rPr>
          <w:lang w:val="en-US" w:eastAsia="nl-NL"/>
        </w:rPr>
        <w:t>s</w:t>
      </w:r>
      <w:bookmarkEnd w:id="65"/>
    </w:p>
    <w:p w:rsidR="00423626" w:rsidRPr="00DA0DCD" w:rsidRDefault="006E1254" w:rsidP="00423626">
      <w:pPr>
        <w:rPr>
          <w:color w:val="FF0000"/>
          <w:lang w:val="en-US"/>
        </w:rPr>
      </w:pPr>
      <w:r>
        <w:rPr>
          <w:lang w:val="en-US" w:eastAsia="nl-NL"/>
        </w:rPr>
        <w:t>In h</w:t>
      </w:r>
      <w:r w:rsidR="009026AF" w:rsidRPr="00DA0DCD">
        <w:rPr>
          <w:lang w:val="en-US" w:eastAsia="nl-NL"/>
        </w:rPr>
        <w:t>ypothe</w:t>
      </w:r>
      <w:r>
        <w:rPr>
          <w:lang w:val="en-US" w:eastAsia="nl-NL"/>
        </w:rPr>
        <w:t>si</w:t>
      </w:r>
      <w:r w:rsidR="009026AF" w:rsidRPr="00DA0DCD">
        <w:rPr>
          <w:lang w:val="en-US" w:eastAsia="nl-NL"/>
        </w:rPr>
        <w:t xml:space="preserve">s </w:t>
      </w:r>
      <w:r w:rsidR="00D65508" w:rsidRPr="00DA0DCD">
        <w:rPr>
          <w:lang w:val="en-US" w:eastAsia="nl-NL"/>
        </w:rPr>
        <w:t>three</w:t>
      </w:r>
      <w:r>
        <w:rPr>
          <w:lang w:val="en-US" w:eastAsia="nl-NL"/>
        </w:rPr>
        <w:t xml:space="preserve"> is</w:t>
      </w:r>
      <w:r w:rsidR="009026AF" w:rsidRPr="00DA0DCD">
        <w:rPr>
          <w:lang w:val="en-US" w:eastAsia="nl-NL"/>
        </w:rPr>
        <w:t xml:space="preserve"> assume</w:t>
      </w:r>
      <w:r>
        <w:rPr>
          <w:lang w:val="en-US" w:eastAsia="nl-NL"/>
        </w:rPr>
        <w:t>d</w:t>
      </w:r>
      <w:r w:rsidR="009026AF" w:rsidRPr="00DA0DCD">
        <w:rPr>
          <w:lang w:val="en-US" w:eastAsia="nl-NL"/>
        </w:rPr>
        <w:t xml:space="preserve"> that </w:t>
      </w:r>
      <w:r w:rsidR="00E00105" w:rsidRPr="00DA0DCD">
        <w:rPr>
          <w:lang w:val="en-US" w:eastAsia="nl-NL"/>
        </w:rPr>
        <w:t xml:space="preserve">the stock price reaction </w:t>
      </w:r>
      <w:r w:rsidR="0077354B" w:rsidRPr="00DA0DCD">
        <w:rPr>
          <w:lang w:val="en-US" w:eastAsia="nl-NL"/>
        </w:rPr>
        <w:t>of</w:t>
      </w:r>
      <w:r w:rsidR="00E00105" w:rsidRPr="00DA0DCD">
        <w:rPr>
          <w:lang w:val="en-US" w:eastAsia="nl-NL"/>
        </w:rPr>
        <w:t xml:space="preserve"> </w:t>
      </w:r>
      <w:r w:rsidR="009026AF" w:rsidRPr="00DA0DCD">
        <w:rPr>
          <w:lang w:val="en-US" w:eastAsia="nl-NL"/>
        </w:rPr>
        <w:t xml:space="preserve">banks will </w:t>
      </w:r>
      <w:r w:rsidR="00E00105" w:rsidRPr="00DA0DCD">
        <w:rPr>
          <w:lang w:val="en-US" w:eastAsia="nl-NL"/>
        </w:rPr>
        <w:t>be more positive tha</w:t>
      </w:r>
      <w:r w:rsidR="00704D03">
        <w:rPr>
          <w:lang w:val="en-US" w:eastAsia="nl-NL"/>
        </w:rPr>
        <w:t>n</w:t>
      </w:r>
      <w:r w:rsidR="00E00105" w:rsidRPr="00DA0DCD">
        <w:rPr>
          <w:lang w:val="en-US" w:eastAsia="nl-NL"/>
        </w:rPr>
        <w:t xml:space="preserve"> the stock price reaction </w:t>
      </w:r>
      <w:r w:rsidR="0077354B" w:rsidRPr="00DA0DCD">
        <w:rPr>
          <w:lang w:val="en-US" w:eastAsia="nl-NL"/>
        </w:rPr>
        <w:t xml:space="preserve">of </w:t>
      </w:r>
      <w:r w:rsidR="00E00105" w:rsidRPr="00DA0DCD">
        <w:rPr>
          <w:lang w:val="en-US" w:eastAsia="nl-NL"/>
        </w:rPr>
        <w:t>insurance companies. Testing this hypothesis, the sample financial institutions will be divided in</w:t>
      </w:r>
      <w:r w:rsidR="00704D03">
        <w:rPr>
          <w:lang w:val="en-US" w:eastAsia="nl-NL"/>
        </w:rPr>
        <w:t>to</w:t>
      </w:r>
      <w:r w:rsidR="00E00105" w:rsidRPr="00DA0DCD">
        <w:rPr>
          <w:lang w:val="en-US" w:eastAsia="nl-NL"/>
        </w:rPr>
        <w:t xml:space="preserve"> banks and insurance companies. </w:t>
      </w:r>
      <w:r w:rsidR="00E00105" w:rsidRPr="00DA0DCD">
        <w:rPr>
          <w:rStyle w:val="longtext1"/>
          <w:rFonts w:cs="Times New Roman"/>
          <w:sz w:val="22"/>
          <w:szCs w:val="22"/>
          <w:shd w:val="clear" w:color="auto" w:fill="FFFFFF"/>
          <w:lang w:val="en-US"/>
        </w:rPr>
        <w:t xml:space="preserve">There is a group of companies that meet bank and insurer characteristics at the same time, for instance a listed holding with banking and insurer activities. These companies will be eliminated from the sample. </w:t>
      </w:r>
      <w:r w:rsidR="00423626" w:rsidRPr="00DA0DCD">
        <w:rPr>
          <w:lang w:val="en-US" w:eastAsia="nl-NL"/>
        </w:rPr>
        <w:t xml:space="preserve">To measure hypotheses </w:t>
      </w:r>
      <w:r w:rsidR="00E00105" w:rsidRPr="00DA0DCD">
        <w:rPr>
          <w:lang w:val="en-US" w:eastAsia="nl-NL"/>
        </w:rPr>
        <w:t>two</w:t>
      </w:r>
      <w:r w:rsidR="00423626" w:rsidRPr="00DA0DCD">
        <w:rPr>
          <w:lang w:val="en-US" w:eastAsia="nl-NL"/>
        </w:rPr>
        <w:t>, Eq.(6.1)</w:t>
      </w:r>
      <w:r w:rsidR="00E00105" w:rsidRPr="00DA0DCD">
        <w:rPr>
          <w:lang w:val="en-US" w:eastAsia="nl-NL"/>
        </w:rPr>
        <w:t xml:space="preserve"> and Eq.(6.2)</w:t>
      </w:r>
      <w:r w:rsidR="00423626" w:rsidRPr="00DA0DCD">
        <w:rPr>
          <w:lang w:val="en-US" w:eastAsia="nl-NL"/>
        </w:rPr>
        <w:t xml:space="preserve"> will be measured for the</w:t>
      </w:r>
      <w:r w:rsidR="005F6BD7">
        <w:rPr>
          <w:lang w:val="en-US" w:eastAsia="nl-NL"/>
        </w:rPr>
        <w:t xml:space="preserve"> absolute value of the</w:t>
      </w:r>
      <w:r w:rsidR="00423626" w:rsidRPr="00DA0DCD">
        <w:rPr>
          <w:lang w:val="en-US" w:eastAsia="nl-NL"/>
        </w:rPr>
        <w:t xml:space="preserve"> total daily stock returns of only banks and for only insurance companies. The outcomes of the regression</w:t>
      </w:r>
      <w:r w:rsidR="00E00105" w:rsidRPr="00DA0DCD">
        <w:rPr>
          <w:lang w:val="en-US" w:eastAsia="nl-NL"/>
        </w:rPr>
        <w:t>s</w:t>
      </w:r>
      <w:r w:rsidR="00423626" w:rsidRPr="00DA0DCD">
        <w:rPr>
          <w:lang w:val="en-US" w:eastAsia="nl-NL"/>
        </w:rPr>
        <w:t xml:space="preserve"> will be compared</w:t>
      </w:r>
      <w:r w:rsidR="00E00105" w:rsidRPr="00DA0DCD">
        <w:rPr>
          <w:lang w:val="en-US" w:eastAsia="nl-NL"/>
        </w:rPr>
        <w:t xml:space="preserve"> to each other.</w:t>
      </w:r>
      <w:r w:rsidR="00423626" w:rsidRPr="00DA0DCD">
        <w:rPr>
          <w:lang w:val="en-US" w:eastAsia="nl-NL"/>
        </w:rPr>
        <w:t xml:space="preserve"> </w:t>
      </w:r>
      <w:r w:rsidR="00E00105" w:rsidRPr="00DA0DCD">
        <w:rPr>
          <w:lang w:val="en-US" w:eastAsia="nl-NL"/>
        </w:rPr>
        <w:t xml:space="preserve"> This means that for the separate events and for the aggregated event together the</w:t>
      </w:r>
      <w:r w:rsidR="0093631E">
        <w:rPr>
          <w:lang w:val="en-US" w:eastAsia="nl-NL"/>
        </w:rPr>
        <w:t xml:space="preserve"> absolute value of the stock price reaction </w:t>
      </w:r>
      <w:r w:rsidR="005F6BD7">
        <w:rPr>
          <w:lang w:val="en-US" w:eastAsia="nl-NL"/>
        </w:rPr>
        <w:t xml:space="preserve">is measured by the coefficients (betas), </w:t>
      </w:r>
      <w:r w:rsidR="005F6BD7" w:rsidRPr="00DA0DCD">
        <w:rPr>
          <w:lang w:val="en-US" w:eastAsia="nl-NL"/>
        </w:rPr>
        <w:t>t-statistic</w:t>
      </w:r>
      <w:r w:rsidR="00E00105" w:rsidRPr="00DA0DCD">
        <w:rPr>
          <w:lang w:val="en-US" w:eastAsia="nl-NL"/>
        </w:rPr>
        <w:t xml:space="preserve"> and p-value of the regressions</w:t>
      </w:r>
      <w:r w:rsidR="003658C9" w:rsidRPr="00DA0DCD">
        <w:rPr>
          <w:lang w:val="en-US" w:eastAsia="nl-NL"/>
        </w:rPr>
        <w:t xml:space="preserve"> of only banks and only insurance companies</w:t>
      </w:r>
      <w:r w:rsidR="00E00105" w:rsidRPr="00DA0DCD">
        <w:rPr>
          <w:lang w:val="en-US" w:eastAsia="nl-NL"/>
        </w:rPr>
        <w:t xml:space="preserve"> will be compared</w:t>
      </w:r>
      <w:r w:rsidR="003658C9" w:rsidRPr="00DA0DCD">
        <w:rPr>
          <w:lang w:val="en-US" w:eastAsia="nl-NL"/>
        </w:rPr>
        <w:t xml:space="preserve"> to each other, </w:t>
      </w:r>
      <w:r w:rsidR="00E00105" w:rsidRPr="00DA0DCD">
        <w:rPr>
          <w:lang w:val="en-US" w:eastAsia="nl-NL"/>
        </w:rPr>
        <w:t>to report the differences in reaction.</w:t>
      </w:r>
    </w:p>
    <w:p w:rsidR="00B14350" w:rsidRPr="00DA0DCD" w:rsidRDefault="00D65508" w:rsidP="00B14350">
      <w:pPr>
        <w:pStyle w:val="Kop3"/>
        <w:numPr>
          <w:ilvl w:val="2"/>
          <w:numId w:val="14"/>
        </w:numPr>
        <w:rPr>
          <w:lang w:val="en-US" w:eastAsia="nl-NL"/>
        </w:rPr>
      </w:pPr>
      <w:bookmarkStart w:id="66" w:name="_Toc270770600"/>
      <w:r w:rsidRPr="00DA0DCD">
        <w:rPr>
          <w:lang w:val="en-US" w:eastAsia="nl-NL"/>
        </w:rPr>
        <w:t>Measuring the fourth hypothesi</w:t>
      </w:r>
      <w:r w:rsidR="00B14350" w:rsidRPr="00DA0DCD">
        <w:rPr>
          <w:lang w:val="en-US" w:eastAsia="nl-NL"/>
        </w:rPr>
        <w:t>s</w:t>
      </w:r>
      <w:bookmarkEnd w:id="66"/>
    </w:p>
    <w:p w:rsidR="00B14350" w:rsidRPr="00DA0DCD" w:rsidRDefault="006E1254" w:rsidP="00B14350">
      <w:pPr>
        <w:rPr>
          <w:lang w:val="en-US" w:eastAsia="nl-NL"/>
        </w:rPr>
      </w:pPr>
      <w:r>
        <w:rPr>
          <w:lang w:val="en-US" w:eastAsia="nl-NL"/>
        </w:rPr>
        <w:t>In t</w:t>
      </w:r>
      <w:r w:rsidR="003658C9" w:rsidRPr="00DA0DCD">
        <w:rPr>
          <w:lang w:val="en-US" w:eastAsia="nl-NL"/>
        </w:rPr>
        <w:t xml:space="preserve">he </w:t>
      </w:r>
      <w:r w:rsidR="00D65508" w:rsidRPr="00DA0DCD">
        <w:rPr>
          <w:lang w:val="en-US" w:eastAsia="nl-NL"/>
        </w:rPr>
        <w:t>fourth</w:t>
      </w:r>
      <w:r>
        <w:rPr>
          <w:lang w:val="en-US" w:eastAsia="nl-NL"/>
        </w:rPr>
        <w:t xml:space="preserve"> and last hypothesi</w:t>
      </w:r>
      <w:r w:rsidR="003658C9" w:rsidRPr="00DA0DCD">
        <w:rPr>
          <w:lang w:val="en-US" w:eastAsia="nl-NL"/>
        </w:rPr>
        <w:t>s</w:t>
      </w:r>
      <w:r>
        <w:rPr>
          <w:lang w:val="en-US" w:eastAsia="nl-NL"/>
        </w:rPr>
        <w:t xml:space="preserve"> is</w:t>
      </w:r>
      <w:r w:rsidR="003658C9" w:rsidRPr="00DA0DCD">
        <w:rPr>
          <w:lang w:val="en-US" w:eastAsia="nl-NL"/>
        </w:rPr>
        <w:t xml:space="preserve"> assume</w:t>
      </w:r>
      <w:r>
        <w:rPr>
          <w:lang w:val="en-US" w:eastAsia="nl-NL"/>
        </w:rPr>
        <w:t>d</w:t>
      </w:r>
      <w:r w:rsidR="003658C9" w:rsidRPr="00DA0DCD">
        <w:rPr>
          <w:lang w:val="en-US" w:eastAsia="nl-NL"/>
        </w:rPr>
        <w:t xml:space="preserve"> that the sample financial institutions in the UK (Great Britain and Ireland together) will react </w:t>
      </w:r>
      <w:r w:rsidR="00704D03">
        <w:rPr>
          <w:lang w:val="en-US" w:eastAsia="nl-NL"/>
        </w:rPr>
        <w:t>weaker</w:t>
      </w:r>
      <w:r w:rsidR="003658C9" w:rsidRPr="00DA0DCD">
        <w:rPr>
          <w:lang w:val="en-US" w:eastAsia="nl-NL"/>
        </w:rPr>
        <w:t>, to the events of introducing the reclassification option under IAS 39, than the other sample European countries. To measure this expectation, Eq.(6.</w:t>
      </w:r>
      <w:r w:rsidR="00FA431C" w:rsidRPr="00DA0DCD">
        <w:rPr>
          <w:lang w:val="en-US" w:eastAsia="nl-NL"/>
        </w:rPr>
        <w:t>1</w:t>
      </w:r>
      <w:r w:rsidR="003658C9" w:rsidRPr="00DA0DCD">
        <w:rPr>
          <w:lang w:val="en-US" w:eastAsia="nl-NL"/>
        </w:rPr>
        <w:t xml:space="preserve">) will be </w:t>
      </w:r>
      <w:r w:rsidR="00926116" w:rsidRPr="00DA0DCD">
        <w:rPr>
          <w:lang w:val="en-US" w:eastAsia="nl-NL"/>
        </w:rPr>
        <w:t xml:space="preserve">measured separately for each country. This means that </w:t>
      </w:r>
      <w:r w:rsidR="003658C9" w:rsidRPr="00DA0DCD">
        <w:rPr>
          <w:lang w:val="en-US" w:eastAsia="nl-NL"/>
        </w:rPr>
        <w:t>the</w:t>
      </w:r>
      <w:r w:rsidR="005F6BD7">
        <w:rPr>
          <w:lang w:val="en-US" w:eastAsia="nl-NL"/>
        </w:rPr>
        <w:t xml:space="preserve"> absolute value of the</w:t>
      </w:r>
      <w:r w:rsidR="003658C9" w:rsidRPr="00DA0DCD">
        <w:rPr>
          <w:lang w:val="en-US" w:eastAsia="nl-NL"/>
        </w:rPr>
        <w:t xml:space="preserve"> total daily stock returns of financial institutions during all </w:t>
      </w:r>
      <w:r w:rsidR="00704D03">
        <w:rPr>
          <w:lang w:val="en-US" w:eastAsia="nl-NL"/>
        </w:rPr>
        <w:t>individual</w:t>
      </w:r>
      <w:r w:rsidR="003658C9" w:rsidRPr="00DA0DCD">
        <w:rPr>
          <w:lang w:val="en-US" w:eastAsia="nl-NL"/>
        </w:rPr>
        <w:t xml:space="preserve"> events </w:t>
      </w:r>
      <w:r w:rsidR="00926116" w:rsidRPr="00DA0DCD">
        <w:rPr>
          <w:lang w:val="en-US" w:eastAsia="nl-NL"/>
        </w:rPr>
        <w:t>is measured per country. The results of the regression, in the form of coefficients</w:t>
      </w:r>
      <w:r w:rsidR="005F6BD7">
        <w:rPr>
          <w:lang w:val="en-US" w:eastAsia="nl-NL"/>
        </w:rPr>
        <w:t xml:space="preserve"> (betas)</w:t>
      </w:r>
      <w:r w:rsidR="00926116" w:rsidRPr="00DA0DCD">
        <w:rPr>
          <w:lang w:val="en-US" w:eastAsia="nl-NL"/>
        </w:rPr>
        <w:t xml:space="preserve">, t-statistic and p-value will be compared to each other, to report the differences in reaction </w:t>
      </w:r>
      <w:r w:rsidR="0077354B" w:rsidRPr="00DA0DCD">
        <w:rPr>
          <w:lang w:val="en-US" w:eastAsia="nl-NL"/>
        </w:rPr>
        <w:t>between</w:t>
      </w:r>
      <w:r w:rsidR="00926116" w:rsidRPr="00DA0DCD">
        <w:rPr>
          <w:lang w:val="en-US" w:eastAsia="nl-NL"/>
        </w:rPr>
        <w:t xml:space="preserve"> countries.</w:t>
      </w:r>
    </w:p>
    <w:p w:rsidR="003B65F5" w:rsidRPr="00DA0DCD" w:rsidRDefault="00484D7B" w:rsidP="00847C53">
      <w:pPr>
        <w:pStyle w:val="Kop2"/>
        <w:numPr>
          <w:ilvl w:val="1"/>
          <w:numId w:val="14"/>
        </w:numPr>
        <w:rPr>
          <w:lang w:val="en-US"/>
        </w:rPr>
      </w:pPr>
      <w:r w:rsidRPr="00DA0DCD">
        <w:rPr>
          <w:lang w:val="en-US"/>
        </w:rPr>
        <w:lastRenderedPageBreak/>
        <w:t xml:space="preserve"> </w:t>
      </w:r>
      <w:bookmarkStart w:id="67" w:name="_Toc270770601"/>
      <w:r w:rsidR="003B65F5" w:rsidRPr="00DA0DCD">
        <w:rPr>
          <w:lang w:val="en-US"/>
        </w:rPr>
        <w:t>Limitations</w:t>
      </w:r>
      <w:bookmarkEnd w:id="67"/>
    </w:p>
    <w:p w:rsidR="003B65F5" w:rsidRPr="00DA0DCD" w:rsidRDefault="003B65F5" w:rsidP="003B65F5">
      <w:pPr>
        <w:rPr>
          <w:lang w:val="en-US" w:eastAsia="nl-NL"/>
        </w:rPr>
      </w:pPr>
      <w:r w:rsidRPr="00DA0DCD">
        <w:rPr>
          <w:lang w:val="en-US" w:eastAsia="nl-NL"/>
        </w:rPr>
        <w:t xml:space="preserve">There is according to Leftwich (1981) one fundamental limitation associated with </w:t>
      </w:r>
      <w:r w:rsidR="007D2B58" w:rsidRPr="00DA0DCD">
        <w:rPr>
          <w:lang w:val="en-US" w:eastAsia="nl-NL"/>
        </w:rPr>
        <w:t>this</w:t>
      </w:r>
      <w:r w:rsidRPr="00DA0DCD">
        <w:rPr>
          <w:lang w:val="en-US" w:eastAsia="nl-NL"/>
        </w:rPr>
        <w:t xml:space="preserve"> empirical research on the impact </w:t>
      </w:r>
      <w:r w:rsidR="00704D03" w:rsidRPr="00DA0DCD">
        <w:rPr>
          <w:lang w:val="en-US" w:eastAsia="nl-NL"/>
        </w:rPr>
        <w:t>of announcements</w:t>
      </w:r>
      <w:r w:rsidRPr="00DA0DCD">
        <w:rPr>
          <w:lang w:val="en-US" w:eastAsia="nl-NL"/>
        </w:rPr>
        <w:t xml:space="preserve"> of </w:t>
      </w:r>
      <w:r w:rsidR="00484D7B" w:rsidRPr="00DA0DCD">
        <w:rPr>
          <w:lang w:val="en-US" w:eastAsia="nl-NL"/>
        </w:rPr>
        <w:t>introducing the reclassification option (</w:t>
      </w:r>
      <w:r w:rsidRPr="00DA0DCD">
        <w:rPr>
          <w:lang w:val="en-US" w:eastAsia="nl-NL"/>
        </w:rPr>
        <w:t>relaxing</w:t>
      </w:r>
      <w:r w:rsidR="00484D7B" w:rsidRPr="00DA0DCD">
        <w:rPr>
          <w:lang w:val="en-US" w:eastAsia="nl-NL"/>
        </w:rPr>
        <w:t>) in</w:t>
      </w:r>
      <w:r w:rsidRPr="00DA0DCD">
        <w:rPr>
          <w:lang w:val="en-US" w:eastAsia="nl-NL"/>
        </w:rPr>
        <w:t xml:space="preserve"> IAS 39 to the stock value of </w:t>
      </w:r>
      <w:r w:rsidR="00484D7B" w:rsidRPr="00DA0DCD">
        <w:rPr>
          <w:lang w:val="en-US" w:eastAsia="nl-NL"/>
        </w:rPr>
        <w:t>financial institutions</w:t>
      </w:r>
      <w:r w:rsidRPr="00DA0DCD">
        <w:rPr>
          <w:lang w:val="en-US" w:eastAsia="nl-NL"/>
        </w:rPr>
        <w:t xml:space="preserve">. </w:t>
      </w:r>
      <w:r w:rsidR="0012425F" w:rsidRPr="00DA0DCD">
        <w:rPr>
          <w:lang w:val="en-US" w:eastAsia="nl-NL"/>
        </w:rPr>
        <w:t>The used</w:t>
      </w:r>
      <w:r w:rsidRPr="00DA0DCD">
        <w:rPr>
          <w:lang w:val="en-US" w:eastAsia="nl-NL"/>
        </w:rPr>
        <w:t xml:space="preserve"> model</w:t>
      </w:r>
      <w:r w:rsidR="00484D7B" w:rsidRPr="00DA0DCD">
        <w:rPr>
          <w:lang w:val="en-US" w:eastAsia="nl-NL"/>
        </w:rPr>
        <w:t>s</w:t>
      </w:r>
      <w:r w:rsidRPr="00DA0DCD">
        <w:rPr>
          <w:lang w:val="en-US" w:eastAsia="nl-NL"/>
        </w:rPr>
        <w:t xml:space="preserve"> consist of an E_win</w:t>
      </w:r>
      <w:r w:rsidR="0012425F" w:rsidRPr="00DA0DCD">
        <w:rPr>
          <w:lang w:val="en-US" w:eastAsia="nl-NL"/>
        </w:rPr>
        <w:t xml:space="preserve">dow (event windows) </w:t>
      </w:r>
      <w:r w:rsidR="00484D7B" w:rsidRPr="00DA0DCD">
        <w:rPr>
          <w:lang w:val="en-US" w:eastAsia="nl-NL"/>
        </w:rPr>
        <w:t>or E_window _</w:t>
      </w:r>
      <w:r w:rsidR="00704D03">
        <w:rPr>
          <w:lang w:val="en-US" w:eastAsia="nl-NL"/>
        </w:rPr>
        <w:t>combined</w:t>
      </w:r>
      <w:r w:rsidR="00484D7B" w:rsidRPr="00DA0DCD">
        <w:rPr>
          <w:lang w:val="en-US" w:eastAsia="nl-NL"/>
        </w:rPr>
        <w:t xml:space="preserve"> </w:t>
      </w:r>
      <w:r w:rsidR="00704D03" w:rsidRPr="00DA0DCD">
        <w:rPr>
          <w:lang w:val="en-US" w:eastAsia="nl-NL"/>
        </w:rPr>
        <w:t>variable, which</w:t>
      </w:r>
      <w:r w:rsidRPr="00DA0DCD">
        <w:rPr>
          <w:lang w:val="en-US" w:eastAsia="nl-NL"/>
        </w:rPr>
        <w:t xml:space="preserve"> examine the abnormal </w:t>
      </w:r>
      <w:r w:rsidR="00484D7B" w:rsidRPr="00DA0DCD">
        <w:rPr>
          <w:lang w:val="en-US" w:eastAsia="nl-NL"/>
        </w:rPr>
        <w:t>reactions</w:t>
      </w:r>
      <w:r w:rsidRPr="00DA0DCD">
        <w:rPr>
          <w:lang w:val="en-US" w:eastAsia="nl-NL"/>
        </w:rPr>
        <w:t xml:space="preserve"> during the period of th</w:t>
      </w:r>
      <w:r w:rsidR="00A01455" w:rsidRPr="00DA0DCD">
        <w:rPr>
          <w:lang w:val="en-US" w:eastAsia="nl-NL"/>
        </w:rPr>
        <w:t>e events. This technique relies</w:t>
      </w:r>
      <w:r w:rsidRPr="00DA0DCD">
        <w:rPr>
          <w:lang w:val="en-US" w:eastAsia="nl-NL"/>
        </w:rPr>
        <w:t xml:space="preserve"> on some variation of the cumulative average residual. This technique is developed by Fama et al. (1969). </w:t>
      </w:r>
      <w:r w:rsidR="0012425F" w:rsidRPr="00DA0DCD">
        <w:rPr>
          <w:lang w:val="en-US" w:eastAsia="nl-NL"/>
        </w:rPr>
        <w:t>A</w:t>
      </w:r>
      <w:r w:rsidRPr="00DA0DCD">
        <w:rPr>
          <w:lang w:val="en-US" w:eastAsia="nl-NL"/>
        </w:rPr>
        <w:t>pply</w:t>
      </w:r>
      <w:r w:rsidR="0012425F" w:rsidRPr="00DA0DCD">
        <w:rPr>
          <w:lang w:val="en-US" w:eastAsia="nl-NL"/>
        </w:rPr>
        <w:t>ing</w:t>
      </w:r>
      <w:r w:rsidRPr="00DA0DCD">
        <w:rPr>
          <w:lang w:val="en-US" w:eastAsia="nl-NL"/>
        </w:rPr>
        <w:t xml:space="preserve"> this technique not </w:t>
      </w:r>
      <w:r w:rsidR="00704D03" w:rsidRPr="00DA0DCD">
        <w:rPr>
          <w:lang w:val="en-US" w:eastAsia="nl-NL"/>
        </w:rPr>
        <w:t>only,</w:t>
      </w:r>
      <w:r w:rsidRPr="00DA0DCD">
        <w:rPr>
          <w:lang w:val="en-US" w:eastAsia="nl-NL"/>
        </w:rPr>
        <w:t xml:space="preserve"> the impact of events</w:t>
      </w:r>
      <w:r w:rsidR="0012425F" w:rsidRPr="00DA0DCD">
        <w:rPr>
          <w:lang w:val="en-US" w:eastAsia="nl-NL"/>
        </w:rPr>
        <w:t xml:space="preserve"> is measured</w:t>
      </w:r>
      <w:r w:rsidR="00704D03">
        <w:rPr>
          <w:lang w:val="en-US" w:eastAsia="nl-NL"/>
        </w:rPr>
        <w:t>,</w:t>
      </w:r>
      <w:r w:rsidRPr="00DA0DCD">
        <w:rPr>
          <w:lang w:val="en-US" w:eastAsia="nl-NL"/>
        </w:rPr>
        <w:t xml:space="preserve"> but also the effect of any other </w:t>
      </w:r>
      <w:r w:rsidR="00704D03" w:rsidRPr="00DA0DCD">
        <w:rPr>
          <w:lang w:val="en-US" w:eastAsia="nl-NL"/>
        </w:rPr>
        <w:t>information that</w:t>
      </w:r>
      <w:r w:rsidRPr="00DA0DCD">
        <w:rPr>
          <w:lang w:val="en-US" w:eastAsia="nl-NL"/>
        </w:rPr>
        <w:t xml:space="preserve"> </w:t>
      </w:r>
      <w:r w:rsidR="00704D03" w:rsidRPr="00DA0DCD">
        <w:rPr>
          <w:lang w:val="en-US" w:eastAsia="nl-NL"/>
        </w:rPr>
        <w:t>is</w:t>
      </w:r>
      <w:r w:rsidRPr="00DA0DCD">
        <w:rPr>
          <w:lang w:val="en-US" w:eastAsia="nl-NL"/>
        </w:rPr>
        <w:t xml:space="preserve"> released during the calendar days of the events.</w:t>
      </w:r>
    </w:p>
    <w:p w:rsidR="00A86FD3" w:rsidRPr="00DA0DCD" w:rsidRDefault="003B65F5">
      <w:pPr>
        <w:rPr>
          <w:lang w:val="en-US"/>
        </w:rPr>
      </w:pPr>
      <w:r w:rsidRPr="00DA0DCD">
        <w:rPr>
          <w:lang w:val="en-US" w:eastAsia="nl-NL"/>
        </w:rPr>
        <w:t>Hence, it is possible that also the impact of announcements of</w:t>
      </w:r>
      <w:r w:rsidR="006E1254">
        <w:rPr>
          <w:lang w:val="en-US" w:eastAsia="nl-NL"/>
        </w:rPr>
        <w:t xml:space="preserve"> for instance</w:t>
      </w:r>
      <w:r w:rsidRPr="00DA0DCD">
        <w:rPr>
          <w:lang w:val="en-US" w:eastAsia="nl-NL"/>
        </w:rPr>
        <w:t xml:space="preserve"> capital injections and the injections itself by governments during the financial crisis</w:t>
      </w:r>
      <w:r w:rsidR="0012425F" w:rsidRPr="00DA0DCD">
        <w:rPr>
          <w:lang w:val="en-US" w:eastAsia="nl-NL"/>
        </w:rPr>
        <w:t xml:space="preserve"> are measured</w:t>
      </w:r>
      <w:r w:rsidRPr="00DA0DCD">
        <w:rPr>
          <w:lang w:val="en-US" w:eastAsia="nl-NL"/>
        </w:rPr>
        <w:t xml:space="preserve">. The capital injections has economic consequences for stock price of banks. This could also determine the abnormal </w:t>
      </w:r>
      <w:r w:rsidR="00484D7B" w:rsidRPr="00DA0DCD">
        <w:rPr>
          <w:lang w:val="en-US" w:eastAsia="nl-NL"/>
        </w:rPr>
        <w:t>reactions</w:t>
      </w:r>
      <w:r w:rsidRPr="00DA0DCD">
        <w:rPr>
          <w:lang w:val="en-US" w:eastAsia="nl-NL"/>
        </w:rPr>
        <w:t xml:space="preserve">. During </w:t>
      </w:r>
      <w:r w:rsidR="0012425F" w:rsidRPr="00DA0DCD">
        <w:rPr>
          <w:lang w:val="en-US" w:eastAsia="nl-NL"/>
        </w:rPr>
        <w:t xml:space="preserve">the </w:t>
      </w:r>
      <w:r w:rsidRPr="00DA0DCD">
        <w:rPr>
          <w:lang w:val="en-US" w:eastAsia="nl-NL"/>
        </w:rPr>
        <w:t xml:space="preserve">research </w:t>
      </w:r>
      <w:r w:rsidR="0012425F" w:rsidRPr="00DA0DCD">
        <w:rPr>
          <w:lang w:val="en-US" w:eastAsia="nl-NL"/>
        </w:rPr>
        <w:t xml:space="preserve">there </w:t>
      </w:r>
      <w:r w:rsidRPr="00DA0DCD">
        <w:rPr>
          <w:lang w:val="en-US" w:eastAsia="nl-NL"/>
        </w:rPr>
        <w:t>will</w:t>
      </w:r>
      <w:r w:rsidR="0012425F" w:rsidRPr="00DA0DCD">
        <w:rPr>
          <w:lang w:val="en-US" w:eastAsia="nl-NL"/>
        </w:rPr>
        <w:t xml:space="preserve"> be</w:t>
      </w:r>
      <w:r w:rsidRPr="00DA0DCD">
        <w:rPr>
          <w:lang w:val="en-US" w:eastAsia="nl-NL"/>
        </w:rPr>
        <w:t xml:space="preserve"> investigate</w:t>
      </w:r>
      <w:r w:rsidR="0012425F" w:rsidRPr="00DA0DCD">
        <w:rPr>
          <w:lang w:val="en-US" w:eastAsia="nl-NL"/>
        </w:rPr>
        <w:t>d</w:t>
      </w:r>
      <w:r w:rsidRPr="00DA0DCD">
        <w:rPr>
          <w:lang w:val="en-US" w:eastAsia="nl-NL"/>
        </w:rPr>
        <w:t xml:space="preserve"> whether the (announcements) capital injections plays a role in the same period. If so, th</w:t>
      </w:r>
      <w:r w:rsidR="0012425F" w:rsidRPr="00DA0DCD">
        <w:rPr>
          <w:lang w:val="en-US" w:eastAsia="nl-NL"/>
        </w:rPr>
        <w:t>e</w:t>
      </w:r>
      <w:r w:rsidRPr="00DA0DCD">
        <w:rPr>
          <w:lang w:val="en-US" w:eastAsia="nl-NL"/>
        </w:rPr>
        <w:t xml:space="preserve"> event from </w:t>
      </w:r>
      <w:r w:rsidR="0012425F" w:rsidRPr="00DA0DCD">
        <w:rPr>
          <w:lang w:val="en-US" w:eastAsia="nl-NL"/>
        </w:rPr>
        <w:t>this</w:t>
      </w:r>
      <w:r w:rsidRPr="00DA0DCD">
        <w:rPr>
          <w:lang w:val="en-US" w:eastAsia="nl-NL"/>
        </w:rPr>
        <w:t xml:space="preserve"> research</w:t>
      </w:r>
      <w:r w:rsidR="0012425F" w:rsidRPr="00DA0DCD">
        <w:rPr>
          <w:lang w:val="en-US" w:eastAsia="nl-NL"/>
        </w:rPr>
        <w:t xml:space="preserve"> </w:t>
      </w:r>
      <w:r w:rsidR="006E1254">
        <w:rPr>
          <w:lang w:val="en-US" w:eastAsia="nl-NL"/>
        </w:rPr>
        <w:t>should have been</w:t>
      </w:r>
      <w:r w:rsidR="0012425F" w:rsidRPr="00DA0DCD">
        <w:rPr>
          <w:lang w:val="en-US" w:eastAsia="nl-NL"/>
        </w:rPr>
        <w:t xml:space="preserve"> eliminated</w:t>
      </w:r>
      <w:r w:rsidRPr="00DA0DCD">
        <w:rPr>
          <w:lang w:val="en-US" w:eastAsia="nl-NL"/>
        </w:rPr>
        <w:t xml:space="preserve">, because it might bias </w:t>
      </w:r>
      <w:r w:rsidR="0012425F" w:rsidRPr="00DA0DCD">
        <w:rPr>
          <w:lang w:val="en-US" w:eastAsia="nl-NL"/>
        </w:rPr>
        <w:t>the</w:t>
      </w:r>
      <w:r w:rsidRPr="00DA0DCD">
        <w:rPr>
          <w:lang w:val="en-US" w:eastAsia="nl-NL"/>
        </w:rPr>
        <w:t xml:space="preserve"> result.</w:t>
      </w:r>
    </w:p>
    <w:bookmarkEnd w:id="60"/>
    <w:p w:rsidR="000A0F4A" w:rsidRPr="00DA0DCD" w:rsidRDefault="000A0F4A">
      <w:pPr>
        <w:rPr>
          <w:rFonts w:asciiTheme="majorHAnsi" w:eastAsiaTheme="majorEastAsia" w:hAnsiTheme="majorHAnsi" w:cstheme="majorBidi"/>
          <w:b/>
          <w:bCs/>
          <w:color w:val="365F91" w:themeColor="accent1" w:themeShade="BF"/>
          <w:sz w:val="28"/>
          <w:szCs w:val="28"/>
          <w:lang w:val="en-US"/>
        </w:rPr>
      </w:pPr>
      <w:r w:rsidRPr="00DA0DCD">
        <w:rPr>
          <w:lang w:val="en-US"/>
        </w:rPr>
        <w:br w:type="page"/>
      </w:r>
    </w:p>
    <w:p w:rsidR="00C23FC6" w:rsidRPr="00DA0DCD" w:rsidRDefault="000A0F4A" w:rsidP="00847C53">
      <w:pPr>
        <w:pStyle w:val="Kop1"/>
        <w:numPr>
          <w:ilvl w:val="0"/>
          <w:numId w:val="14"/>
        </w:numPr>
        <w:rPr>
          <w:lang w:val="en-US"/>
        </w:rPr>
      </w:pPr>
      <w:bookmarkStart w:id="68" w:name="_Toc270770602"/>
      <w:r w:rsidRPr="00DA0DCD">
        <w:rPr>
          <w:lang w:val="en-US"/>
        </w:rPr>
        <w:lastRenderedPageBreak/>
        <w:t>Statistical r</w:t>
      </w:r>
      <w:r w:rsidR="00C23FC6" w:rsidRPr="00DA0DCD">
        <w:rPr>
          <w:lang w:val="en-US"/>
        </w:rPr>
        <w:t>esults</w:t>
      </w:r>
      <w:bookmarkEnd w:id="68"/>
    </w:p>
    <w:p w:rsidR="00FA201D" w:rsidRPr="00DA0DCD" w:rsidRDefault="00F73FE0" w:rsidP="00F73FE0">
      <w:pPr>
        <w:pStyle w:val="Kop2"/>
        <w:numPr>
          <w:ilvl w:val="1"/>
          <w:numId w:val="14"/>
        </w:numPr>
        <w:rPr>
          <w:lang w:val="en-US"/>
        </w:rPr>
      </w:pPr>
      <w:bookmarkStart w:id="69" w:name="_Toc270770603"/>
      <w:r w:rsidRPr="00DA0DCD">
        <w:rPr>
          <w:lang w:val="en-US"/>
        </w:rPr>
        <w:t>Introduction</w:t>
      </w:r>
      <w:bookmarkEnd w:id="69"/>
    </w:p>
    <w:p w:rsidR="00561AB3" w:rsidRPr="00DA0DCD" w:rsidRDefault="00197C58" w:rsidP="00561AB3">
      <w:pPr>
        <w:rPr>
          <w:b/>
          <w:lang w:val="en-US"/>
        </w:rPr>
      </w:pPr>
      <w:r w:rsidRPr="00DA0DCD">
        <w:rPr>
          <w:lang w:val="en-US"/>
        </w:rPr>
        <w:t xml:space="preserve">The results of the </w:t>
      </w:r>
      <w:r w:rsidR="00D2489E">
        <w:rPr>
          <w:lang w:val="en-US"/>
        </w:rPr>
        <w:t>tested</w:t>
      </w:r>
      <w:r w:rsidR="00CB28F8" w:rsidRPr="00DA0DCD">
        <w:rPr>
          <w:lang w:val="en-US"/>
        </w:rPr>
        <w:t xml:space="preserve"> </w:t>
      </w:r>
      <w:r w:rsidRPr="00DA0DCD">
        <w:rPr>
          <w:lang w:val="en-US"/>
        </w:rPr>
        <w:t>hypothes</w:t>
      </w:r>
      <w:r w:rsidR="00CB28F8" w:rsidRPr="00DA0DCD">
        <w:rPr>
          <w:lang w:val="en-US"/>
        </w:rPr>
        <w:t>e</w:t>
      </w:r>
      <w:r w:rsidRPr="00DA0DCD">
        <w:rPr>
          <w:lang w:val="en-US"/>
        </w:rPr>
        <w:t xml:space="preserve">s are presented and carried out in this chapter. </w:t>
      </w:r>
      <w:r w:rsidR="00561AB3" w:rsidRPr="00DA0DCD">
        <w:rPr>
          <w:lang w:val="en-US"/>
        </w:rPr>
        <w:t xml:space="preserve">The hypothesis are </w:t>
      </w:r>
      <w:r w:rsidR="00D2489E">
        <w:rPr>
          <w:lang w:val="en-US"/>
        </w:rPr>
        <w:t>tested</w:t>
      </w:r>
      <w:r w:rsidR="00561AB3" w:rsidRPr="00DA0DCD">
        <w:rPr>
          <w:lang w:val="en-US"/>
        </w:rPr>
        <w:t xml:space="preserve"> using the multifactor models Eq.(6.1) and (6.2), as presented in chapter six</w:t>
      </w:r>
      <w:r w:rsidR="00D2489E">
        <w:rPr>
          <w:lang w:val="en-US"/>
        </w:rPr>
        <w:t>,</w:t>
      </w:r>
      <w:r w:rsidR="00561AB3" w:rsidRPr="00DA0DCD">
        <w:rPr>
          <w:lang w:val="en-US"/>
        </w:rPr>
        <w:t xml:space="preserve"> </w:t>
      </w:r>
      <w:r w:rsidR="00D2489E">
        <w:rPr>
          <w:lang w:val="en-US"/>
        </w:rPr>
        <w:t>t</w:t>
      </w:r>
      <w:r w:rsidR="00561AB3" w:rsidRPr="00DA0DCD">
        <w:rPr>
          <w:lang w:val="en-US"/>
        </w:rPr>
        <w:t xml:space="preserve">o give answer to the research question. This means that in this chapter will be answered whether the stock prices </w:t>
      </w:r>
      <w:r w:rsidR="0077354B" w:rsidRPr="00DA0DCD">
        <w:rPr>
          <w:lang w:val="en-US"/>
        </w:rPr>
        <w:t>of</w:t>
      </w:r>
      <w:r w:rsidR="00561AB3" w:rsidRPr="00DA0DCD">
        <w:rPr>
          <w:lang w:val="en-US"/>
        </w:rPr>
        <w:t xml:space="preserve"> listed banks, insurance companies and other financial institutions in Europe react to announcements concerning the probability of the introduction of </w:t>
      </w:r>
      <w:r w:rsidR="00D2489E">
        <w:rPr>
          <w:lang w:val="en-US"/>
        </w:rPr>
        <w:t xml:space="preserve">the </w:t>
      </w:r>
      <w:r w:rsidR="00561AB3" w:rsidRPr="00DA0DCD">
        <w:rPr>
          <w:lang w:val="en-US"/>
        </w:rPr>
        <w:t xml:space="preserve">reclassification option in IAS 39. </w:t>
      </w:r>
      <w:r w:rsidR="00D2489E" w:rsidRPr="00DA0DCD">
        <w:rPr>
          <w:lang w:val="en-US"/>
        </w:rPr>
        <w:t>First,</w:t>
      </w:r>
      <w:r w:rsidR="00561AB3" w:rsidRPr="00DA0DCD">
        <w:rPr>
          <w:lang w:val="en-US"/>
        </w:rPr>
        <w:t xml:space="preserve"> </w:t>
      </w:r>
      <w:r w:rsidR="005E4647" w:rsidRPr="00DA0DCD">
        <w:rPr>
          <w:lang w:val="en-US"/>
        </w:rPr>
        <w:t xml:space="preserve">there </w:t>
      </w:r>
      <w:r w:rsidR="00561AB3" w:rsidRPr="00DA0DCD">
        <w:rPr>
          <w:lang w:val="en-US"/>
        </w:rPr>
        <w:t>will</w:t>
      </w:r>
      <w:r w:rsidR="005E4647" w:rsidRPr="00DA0DCD">
        <w:rPr>
          <w:lang w:val="en-US"/>
        </w:rPr>
        <w:t xml:space="preserve"> be</w:t>
      </w:r>
      <w:r w:rsidR="00561AB3" w:rsidRPr="00DA0DCD">
        <w:rPr>
          <w:lang w:val="en-US"/>
        </w:rPr>
        <w:t xml:space="preserve"> start</w:t>
      </w:r>
      <w:r w:rsidR="005E4647" w:rsidRPr="00DA0DCD">
        <w:rPr>
          <w:lang w:val="en-US"/>
        </w:rPr>
        <w:t>ed</w:t>
      </w:r>
      <w:r w:rsidR="00561AB3" w:rsidRPr="00DA0DCD">
        <w:rPr>
          <w:lang w:val="en-US"/>
        </w:rPr>
        <w:t xml:space="preserve"> with the evaluation of the</w:t>
      </w:r>
      <w:r w:rsidR="009005B0" w:rsidRPr="00DA0DCD">
        <w:rPr>
          <w:lang w:val="en-US"/>
        </w:rPr>
        <w:t xml:space="preserve"> outcome of the</w:t>
      </w:r>
      <w:r w:rsidR="00561AB3" w:rsidRPr="00DA0DCD">
        <w:rPr>
          <w:lang w:val="en-US"/>
        </w:rPr>
        <w:t xml:space="preserve"> multifactor model (regression model) and thereafter the r</w:t>
      </w:r>
      <w:r w:rsidR="001D4338" w:rsidRPr="00DA0DCD">
        <w:rPr>
          <w:lang w:val="en-US"/>
        </w:rPr>
        <w:t>esults of the</w:t>
      </w:r>
      <w:r w:rsidR="00D2489E">
        <w:rPr>
          <w:lang w:val="en-US"/>
        </w:rPr>
        <w:t xml:space="preserve"> tested</w:t>
      </w:r>
      <w:r w:rsidR="001D4338" w:rsidRPr="00DA0DCD">
        <w:rPr>
          <w:lang w:val="en-US"/>
        </w:rPr>
        <w:t xml:space="preserve"> hypotheses are presented and carried out.</w:t>
      </w:r>
    </w:p>
    <w:p w:rsidR="00F73FE0" w:rsidRPr="00DA0DCD" w:rsidRDefault="00F73FE0" w:rsidP="00F73FE0">
      <w:pPr>
        <w:pStyle w:val="Kop2"/>
        <w:numPr>
          <w:ilvl w:val="1"/>
          <w:numId w:val="14"/>
        </w:numPr>
        <w:rPr>
          <w:lang w:val="en-US"/>
        </w:rPr>
      </w:pPr>
      <w:r w:rsidRPr="00DA0DCD">
        <w:rPr>
          <w:lang w:val="en-US"/>
        </w:rPr>
        <w:t xml:space="preserve"> </w:t>
      </w:r>
      <w:bookmarkStart w:id="70" w:name="_Toc270770604"/>
      <w:r w:rsidR="00197C58" w:rsidRPr="00DA0DCD">
        <w:rPr>
          <w:lang w:val="en-US"/>
        </w:rPr>
        <w:t>Evaluating</w:t>
      </w:r>
      <w:r w:rsidRPr="00DA0DCD">
        <w:rPr>
          <w:lang w:val="en-US"/>
        </w:rPr>
        <w:t xml:space="preserve"> the regression model</w:t>
      </w:r>
      <w:bookmarkEnd w:id="70"/>
    </w:p>
    <w:p w:rsidR="00FA6192" w:rsidRPr="00DA0DCD" w:rsidRDefault="00D27665" w:rsidP="00832BAF">
      <w:pPr>
        <w:rPr>
          <w:lang w:val="en-US"/>
        </w:rPr>
      </w:pPr>
      <w:r w:rsidRPr="00DA0DCD">
        <w:rPr>
          <w:lang w:val="en-US"/>
        </w:rPr>
        <w:t xml:space="preserve">The </w:t>
      </w:r>
      <w:r w:rsidR="000A0F4A" w:rsidRPr="00DA0DCD">
        <w:rPr>
          <w:lang w:val="en-US"/>
        </w:rPr>
        <w:t>stock price reactions</w:t>
      </w:r>
      <w:r w:rsidR="006F5B1B" w:rsidRPr="00DA0DCD">
        <w:rPr>
          <w:lang w:val="en-US"/>
        </w:rPr>
        <w:t xml:space="preserve"> during the</w:t>
      </w:r>
      <w:r w:rsidR="00DF36F3">
        <w:rPr>
          <w:lang w:val="en-US"/>
        </w:rPr>
        <w:t xml:space="preserve"> individual</w:t>
      </w:r>
      <w:r w:rsidR="006F5B1B" w:rsidRPr="00DA0DCD">
        <w:rPr>
          <w:lang w:val="en-US"/>
        </w:rPr>
        <w:t xml:space="preserve"> events and event combined</w:t>
      </w:r>
      <w:r w:rsidR="000A0F4A" w:rsidRPr="00DA0DCD">
        <w:rPr>
          <w:lang w:val="en-US"/>
        </w:rPr>
        <w:t xml:space="preserve"> are measured using the </w:t>
      </w:r>
      <w:r w:rsidRPr="00DA0DCD">
        <w:rPr>
          <w:lang w:val="en-US"/>
        </w:rPr>
        <w:t>multifactor model</w:t>
      </w:r>
      <w:r w:rsidR="00F6798D" w:rsidRPr="00DA0DCD">
        <w:rPr>
          <w:lang w:val="en-US"/>
        </w:rPr>
        <w:t>s</w:t>
      </w:r>
      <w:r w:rsidRPr="00DA0DCD">
        <w:rPr>
          <w:lang w:val="en-US"/>
        </w:rPr>
        <w:t xml:space="preserve"> </w:t>
      </w:r>
      <w:r w:rsidR="00BD4FF0" w:rsidRPr="00DA0DCD">
        <w:rPr>
          <w:lang w:val="en-US"/>
        </w:rPr>
        <w:t xml:space="preserve">(multiple regression) </w:t>
      </w:r>
      <w:r w:rsidRPr="00DA0DCD">
        <w:rPr>
          <w:lang w:val="en-US"/>
        </w:rPr>
        <w:t xml:space="preserve">as presented in chapter six </w:t>
      </w:r>
      <w:r w:rsidR="00BD4FF0" w:rsidRPr="00DA0DCD">
        <w:rPr>
          <w:lang w:val="en-US"/>
        </w:rPr>
        <w:t>(Eq. 6.1 and Eq.6.2)</w:t>
      </w:r>
      <w:r w:rsidR="000A0F4A" w:rsidRPr="00DA0DCD">
        <w:rPr>
          <w:lang w:val="en-US"/>
        </w:rPr>
        <w:t>. The stock price reactions</w:t>
      </w:r>
      <w:r w:rsidR="00BD4FF0" w:rsidRPr="00DA0DCD">
        <w:rPr>
          <w:lang w:val="en-US"/>
        </w:rPr>
        <w:t xml:space="preserve"> </w:t>
      </w:r>
      <w:r w:rsidRPr="00DA0DCD">
        <w:rPr>
          <w:lang w:val="en-US"/>
        </w:rPr>
        <w:t xml:space="preserve">are </w:t>
      </w:r>
      <w:r w:rsidR="00BD4FF0" w:rsidRPr="00DA0DCD">
        <w:rPr>
          <w:lang w:val="en-US"/>
        </w:rPr>
        <w:t xml:space="preserve">measured </w:t>
      </w:r>
      <w:r w:rsidR="005E4647" w:rsidRPr="00DA0DCD">
        <w:rPr>
          <w:lang w:val="en-US"/>
        </w:rPr>
        <w:t>per</w:t>
      </w:r>
      <w:r w:rsidR="00BD4FF0" w:rsidRPr="00DA0DCD">
        <w:rPr>
          <w:lang w:val="en-US"/>
        </w:rPr>
        <w:t xml:space="preserve"> total sample, banks plus insurance companies</w:t>
      </w:r>
      <w:r w:rsidR="00F6798D" w:rsidRPr="00DA0DCD">
        <w:rPr>
          <w:lang w:val="en-US"/>
        </w:rPr>
        <w:t xml:space="preserve"> sample</w:t>
      </w:r>
      <w:r w:rsidR="00BD4FF0" w:rsidRPr="00DA0DCD">
        <w:rPr>
          <w:lang w:val="en-US"/>
        </w:rPr>
        <w:t>, only banks</w:t>
      </w:r>
      <w:r w:rsidR="00F6798D" w:rsidRPr="00DA0DCD">
        <w:rPr>
          <w:lang w:val="en-US"/>
        </w:rPr>
        <w:t xml:space="preserve"> sample</w:t>
      </w:r>
      <w:r w:rsidR="00BD4FF0" w:rsidRPr="00DA0DCD">
        <w:rPr>
          <w:lang w:val="en-US"/>
        </w:rPr>
        <w:t>, only insurance companies</w:t>
      </w:r>
      <w:r w:rsidR="00F6798D" w:rsidRPr="00DA0DCD">
        <w:rPr>
          <w:lang w:val="en-US"/>
        </w:rPr>
        <w:t xml:space="preserve"> sample</w:t>
      </w:r>
      <w:r w:rsidR="00BD4FF0" w:rsidRPr="00DA0DCD">
        <w:rPr>
          <w:lang w:val="en-US"/>
        </w:rPr>
        <w:t xml:space="preserve"> and only ‘other’ financial institutions</w:t>
      </w:r>
      <w:r w:rsidR="00F6798D" w:rsidRPr="00DA0DCD">
        <w:rPr>
          <w:lang w:val="en-US"/>
        </w:rPr>
        <w:t xml:space="preserve"> sample</w:t>
      </w:r>
      <w:r w:rsidR="00BD4FF0" w:rsidRPr="00DA0DCD">
        <w:rPr>
          <w:lang w:val="en-US"/>
        </w:rPr>
        <w:t xml:space="preserve">. </w:t>
      </w:r>
      <w:r w:rsidR="006F5B1B" w:rsidRPr="00DA0DCD">
        <w:rPr>
          <w:lang w:val="en-US"/>
        </w:rPr>
        <w:t>The stock price reactions of the separate European sample country are measured using</w:t>
      </w:r>
      <w:r w:rsidR="00BD4FF0" w:rsidRPr="00DA0DCD">
        <w:rPr>
          <w:lang w:val="en-US"/>
        </w:rPr>
        <w:t xml:space="preserve"> </w:t>
      </w:r>
      <w:r w:rsidR="006F5B1B" w:rsidRPr="00DA0DCD">
        <w:rPr>
          <w:lang w:val="en-US"/>
        </w:rPr>
        <w:t xml:space="preserve">model </w:t>
      </w:r>
      <w:r w:rsidR="00BD4FF0" w:rsidRPr="00DA0DCD">
        <w:rPr>
          <w:lang w:val="en-US"/>
        </w:rPr>
        <w:t>Eq. 6.1</w:t>
      </w:r>
      <w:r w:rsidR="00D9176E" w:rsidRPr="00DA0DCD">
        <w:rPr>
          <w:lang w:val="en-US"/>
        </w:rPr>
        <w:t>. Ultimately, to test the hypotheses and therefore giving answer to the research question. Before presenting the results</w:t>
      </w:r>
      <w:r w:rsidR="005E4647" w:rsidRPr="00DA0DCD">
        <w:rPr>
          <w:lang w:val="en-US"/>
        </w:rPr>
        <w:t xml:space="preserve"> of these tests</w:t>
      </w:r>
      <w:r w:rsidR="00D9176E" w:rsidRPr="00DA0DCD">
        <w:rPr>
          <w:lang w:val="en-US"/>
        </w:rPr>
        <w:t xml:space="preserve">, the </w:t>
      </w:r>
      <w:r w:rsidR="00F6798D" w:rsidRPr="00DA0DCD">
        <w:rPr>
          <w:lang w:val="en-US"/>
        </w:rPr>
        <w:t xml:space="preserve">significance of the regression models are evaluated. This means that </w:t>
      </w:r>
      <w:r w:rsidR="005E4647" w:rsidRPr="00DA0DCD">
        <w:rPr>
          <w:lang w:val="en-US"/>
        </w:rPr>
        <w:t xml:space="preserve">some assumptions must be true for </w:t>
      </w:r>
      <w:r w:rsidR="00F6798D" w:rsidRPr="00DA0DCD">
        <w:rPr>
          <w:lang w:val="en-US"/>
        </w:rPr>
        <w:t>a proper</w:t>
      </w:r>
      <w:r w:rsidR="00832BAF" w:rsidRPr="00DA0DCD">
        <w:rPr>
          <w:lang w:val="en-US"/>
        </w:rPr>
        <w:t xml:space="preserve"> underlying interpretation of the significance test of the regression and for the generalization of the r</w:t>
      </w:r>
      <w:r w:rsidR="005E4647" w:rsidRPr="00DA0DCD">
        <w:rPr>
          <w:lang w:val="en-US"/>
        </w:rPr>
        <w:t xml:space="preserve">esults over a wider population </w:t>
      </w:r>
      <w:r w:rsidR="00832BAF" w:rsidRPr="00DA0DCD">
        <w:rPr>
          <w:lang w:val="en-US"/>
        </w:rPr>
        <w:t xml:space="preserve">(Field, 2009). In this </w:t>
      </w:r>
      <w:r w:rsidR="00FA6192" w:rsidRPr="00DA0DCD">
        <w:rPr>
          <w:lang w:val="en-US"/>
        </w:rPr>
        <w:t>case,</w:t>
      </w:r>
      <w:r w:rsidR="00832BAF" w:rsidRPr="00DA0DCD">
        <w:rPr>
          <w:lang w:val="en-US"/>
        </w:rPr>
        <w:t xml:space="preserve"> the following assumption</w:t>
      </w:r>
      <w:r w:rsidR="005E4647" w:rsidRPr="00DA0DCD">
        <w:rPr>
          <w:lang w:val="en-US"/>
        </w:rPr>
        <w:t>s</w:t>
      </w:r>
      <w:r w:rsidR="00832BAF" w:rsidRPr="00DA0DCD">
        <w:rPr>
          <w:lang w:val="en-US"/>
        </w:rPr>
        <w:t xml:space="preserve"> </w:t>
      </w:r>
      <w:r w:rsidR="00FA6192" w:rsidRPr="00DA0DCD">
        <w:rPr>
          <w:lang w:val="en-US"/>
        </w:rPr>
        <w:t>are</w:t>
      </w:r>
      <w:r w:rsidR="00832BAF" w:rsidRPr="00DA0DCD">
        <w:rPr>
          <w:lang w:val="en-US"/>
        </w:rPr>
        <w:t xml:space="preserve"> evaluated: multicollinearity,</w:t>
      </w:r>
      <w:r w:rsidR="009B7793" w:rsidRPr="00DA0DCD">
        <w:rPr>
          <w:lang w:val="en-US"/>
        </w:rPr>
        <w:t xml:space="preserve"> </w:t>
      </w:r>
      <w:r w:rsidR="00FA6192" w:rsidRPr="00DA0DCD">
        <w:rPr>
          <w:lang w:val="en-US"/>
        </w:rPr>
        <w:t>homo</w:t>
      </w:r>
      <w:r w:rsidR="00105611" w:rsidRPr="00DA0DCD">
        <w:rPr>
          <w:lang w:val="en-US"/>
        </w:rPr>
        <w:t>-/ hetero</w:t>
      </w:r>
      <w:r w:rsidR="00FA6192" w:rsidRPr="00DA0DCD">
        <w:rPr>
          <w:lang w:val="en-US"/>
        </w:rPr>
        <w:t xml:space="preserve">scedasticity, normality and linearity. </w:t>
      </w:r>
      <w:r w:rsidR="005E4647" w:rsidRPr="00DA0DCD">
        <w:rPr>
          <w:lang w:val="en-US"/>
        </w:rPr>
        <w:t xml:space="preserve">Also the </w:t>
      </w:r>
      <w:r w:rsidR="00FA6192" w:rsidRPr="00DA0DCD">
        <w:rPr>
          <w:lang w:val="en-US"/>
        </w:rPr>
        <w:t xml:space="preserve"> </w:t>
      </w:r>
      <w:r w:rsidR="005E4647" w:rsidRPr="00DA0DCD">
        <w:rPr>
          <w:lang w:val="en-US"/>
        </w:rPr>
        <w:t xml:space="preserve">influentual cases are evaluated in this </w:t>
      </w:r>
      <w:r w:rsidR="00947A7D" w:rsidRPr="00DA0DCD">
        <w:rPr>
          <w:lang w:val="en-US"/>
        </w:rPr>
        <w:t>paragraph</w:t>
      </w:r>
      <w:r w:rsidR="005E4647" w:rsidRPr="00DA0DCD">
        <w:rPr>
          <w:lang w:val="en-US"/>
        </w:rPr>
        <w:t>.</w:t>
      </w:r>
      <w:r w:rsidR="00FA6192" w:rsidRPr="00DA0DCD">
        <w:rPr>
          <w:lang w:val="en-US"/>
        </w:rPr>
        <w:t xml:space="preserve"> </w:t>
      </w:r>
      <w:r w:rsidR="009B7793" w:rsidRPr="00DA0DCD">
        <w:rPr>
          <w:lang w:val="en-US"/>
        </w:rPr>
        <w:t>These are</w:t>
      </w:r>
      <w:r w:rsidR="00FA6192" w:rsidRPr="00DA0DCD">
        <w:rPr>
          <w:lang w:val="en-US"/>
        </w:rPr>
        <w:t xml:space="preserve"> </w:t>
      </w:r>
      <w:r w:rsidR="009B7793" w:rsidRPr="00DA0DCD">
        <w:rPr>
          <w:lang w:val="en-US"/>
        </w:rPr>
        <w:t>casus, which</w:t>
      </w:r>
      <w:r w:rsidR="00FA6192" w:rsidRPr="00DA0DCD">
        <w:rPr>
          <w:lang w:val="en-US"/>
        </w:rPr>
        <w:t xml:space="preserve"> exert undue influence over the parameters of the model</w:t>
      </w:r>
      <w:r w:rsidR="009B7793" w:rsidRPr="00DA0DCD">
        <w:rPr>
          <w:lang w:val="en-US"/>
        </w:rPr>
        <w:t>, like outliers</w:t>
      </w:r>
      <w:r w:rsidR="00FA6192" w:rsidRPr="00DA0DCD">
        <w:rPr>
          <w:lang w:val="en-US"/>
        </w:rPr>
        <w:t xml:space="preserve"> (Field, 2009).</w:t>
      </w:r>
    </w:p>
    <w:p w:rsidR="00105611" w:rsidRPr="00DA0DCD" w:rsidRDefault="00105611" w:rsidP="00105611">
      <w:pPr>
        <w:pStyle w:val="Kop3"/>
        <w:numPr>
          <w:ilvl w:val="2"/>
          <w:numId w:val="14"/>
        </w:numPr>
        <w:rPr>
          <w:lang w:val="en-US"/>
        </w:rPr>
      </w:pPr>
      <w:bookmarkStart w:id="71" w:name="_Toc270770605"/>
      <w:r w:rsidRPr="00DA0DCD">
        <w:rPr>
          <w:lang w:val="en-US"/>
        </w:rPr>
        <w:t>Homo-/heterocedasticity, linearity and outliers</w:t>
      </w:r>
      <w:bookmarkEnd w:id="71"/>
      <w:r w:rsidRPr="00DA0DCD">
        <w:rPr>
          <w:lang w:val="en-US"/>
        </w:rPr>
        <w:t xml:space="preserve"> </w:t>
      </w:r>
    </w:p>
    <w:p w:rsidR="00062FAA" w:rsidRPr="00DA0DCD" w:rsidRDefault="00105611" w:rsidP="00F73FE0">
      <w:pPr>
        <w:rPr>
          <w:lang w:val="en-US"/>
        </w:rPr>
      </w:pPr>
      <w:r w:rsidRPr="00DA0DCD">
        <w:rPr>
          <w:lang w:val="en-US"/>
        </w:rPr>
        <w:t>When the residuals at each level of the</w:t>
      </w:r>
      <w:r w:rsidR="005C1D59" w:rsidRPr="00DA0DCD">
        <w:rPr>
          <w:lang w:val="en-US"/>
        </w:rPr>
        <w:t xml:space="preserve"> independent variables</w:t>
      </w:r>
      <w:r w:rsidRPr="00DA0DCD">
        <w:rPr>
          <w:lang w:val="en-US"/>
        </w:rPr>
        <w:t xml:space="preserve"> </w:t>
      </w:r>
      <w:r w:rsidR="005C1D59" w:rsidRPr="00DA0DCD">
        <w:rPr>
          <w:lang w:val="en-US"/>
        </w:rPr>
        <w:t>(</w:t>
      </w:r>
      <w:r w:rsidRPr="00DA0DCD">
        <w:rPr>
          <w:lang w:val="en-US"/>
        </w:rPr>
        <w:t>predictors</w:t>
      </w:r>
      <w:r w:rsidR="005C1D59" w:rsidRPr="00DA0DCD">
        <w:rPr>
          <w:lang w:val="en-US"/>
        </w:rPr>
        <w:t>)</w:t>
      </w:r>
      <w:r w:rsidRPr="00DA0DCD">
        <w:rPr>
          <w:lang w:val="en-US"/>
        </w:rPr>
        <w:t xml:space="preserve"> have a</w:t>
      </w:r>
      <w:r w:rsidR="006E1254">
        <w:rPr>
          <w:lang w:val="en-US"/>
        </w:rPr>
        <w:t>n</w:t>
      </w:r>
      <w:r w:rsidRPr="00DA0DCD">
        <w:rPr>
          <w:lang w:val="en-US"/>
        </w:rPr>
        <w:t xml:space="preserve"> equal level of variance, than there is homoscedaticity. If the </w:t>
      </w:r>
      <w:r w:rsidR="006E1254" w:rsidRPr="00DA0DCD">
        <w:rPr>
          <w:lang w:val="en-US"/>
        </w:rPr>
        <w:t>variances are</w:t>
      </w:r>
      <w:r w:rsidRPr="00DA0DCD">
        <w:rPr>
          <w:lang w:val="en-US"/>
        </w:rPr>
        <w:t xml:space="preserve"> not the same at </w:t>
      </w:r>
      <w:r w:rsidR="006E1254">
        <w:rPr>
          <w:lang w:val="en-US"/>
        </w:rPr>
        <w:t>each</w:t>
      </w:r>
      <w:r w:rsidRPr="00DA0DCD">
        <w:rPr>
          <w:lang w:val="en-US"/>
        </w:rPr>
        <w:t xml:space="preserve"> level, then we talk about heteroscedasticity (Field, 2009). The scatterplots of the tests are presented in table </w:t>
      </w:r>
      <w:r w:rsidR="00C96FD7" w:rsidRPr="00DA0DCD">
        <w:rPr>
          <w:lang w:val="en-US"/>
        </w:rPr>
        <w:t>C</w:t>
      </w:r>
      <w:r w:rsidRPr="00DA0DCD">
        <w:rPr>
          <w:lang w:val="en-US"/>
        </w:rPr>
        <w:t>.</w:t>
      </w:r>
      <w:r w:rsidR="00C96FD7" w:rsidRPr="00DA0DCD">
        <w:rPr>
          <w:lang w:val="en-US"/>
        </w:rPr>
        <w:t>1</w:t>
      </w:r>
      <w:r w:rsidRPr="00DA0DCD">
        <w:rPr>
          <w:lang w:val="en-US"/>
        </w:rPr>
        <w:t xml:space="preserve"> </w:t>
      </w:r>
      <w:r w:rsidR="0077522F" w:rsidRPr="00DA0DCD">
        <w:rPr>
          <w:lang w:val="en-US"/>
        </w:rPr>
        <w:t>(</w:t>
      </w:r>
      <w:r w:rsidR="00735782" w:rsidRPr="00DA0DCD">
        <w:rPr>
          <w:lang w:val="en-US"/>
        </w:rPr>
        <w:t>a</w:t>
      </w:r>
      <w:r w:rsidR="00C96FD7" w:rsidRPr="00DA0DCD">
        <w:rPr>
          <w:lang w:val="en-US"/>
        </w:rPr>
        <w:t>ppendix C</w:t>
      </w:r>
      <w:r w:rsidR="0077522F" w:rsidRPr="00DA0DCD">
        <w:rPr>
          <w:lang w:val="en-US"/>
        </w:rPr>
        <w:t xml:space="preserve">) </w:t>
      </w:r>
      <w:r w:rsidRPr="00DA0DCD">
        <w:rPr>
          <w:lang w:val="en-US"/>
        </w:rPr>
        <w:t xml:space="preserve">These scatterplots show that almost all the cases  are randomly and almost evenly dispersed </w:t>
      </w:r>
      <w:r w:rsidR="00062FAA" w:rsidRPr="00DA0DCD">
        <w:rPr>
          <w:lang w:val="en-US"/>
        </w:rPr>
        <w:t xml:space="preserve">in </w:t>
      </w:r>
      <w:r w:rsidRPr="00DA0DCD">
        <w:rPr>
          <w:lang w:val="en-US"/>
        </w:rPr>
        <w:t>the scatterplots. These patterns indicate that the assumption of linearity and homoscedasticity</w:t>
      </w:r>
      <w:r w:rsidR="009005B0" w:rsidRPr="00DA0DCD">
        <w:rPr>
          <w:lang w:val="en-US"/>
        </w:rPr>
        <w:t xml:space="preserve"> is met</w:t>
      </w:r>
      <w:r w:rsidRPr="00DA0DCD">
        <w:rPr>
          <w:lang w:val="en-US"/>
        </w:rPr>
        <w:t xml:space="preserve">. </w:t>
      </w:r>
      <w:r w:rsidR="00062FAA" w:rsidRPr="00DA0DCD">
        <w:rPr>
          <w:lang w:val="en-US"/>
        </w:rPr>
        <w:t xml:space="preserve">Linearity can be explained in accordance with Field (2009) as the main values of the outcome variable that lie along the straight line for each increase of the predictors. </w:t>
      </w:r>
      <w:r w:rsidR="00C96FD7" w:rsidRPr="00DA0DCD">
        <w:rPr>
          <w:lang w:val="en-US"/>
        </w:rPr>
        <w:t>It</w:t>
      </w:r>
      <w:r w:rsidR="00062FAA" w:rsidRPr="00DA0DCD">
        <w:rPr>
          <w:lang w:val="en-US"/>
        </w:rPr>
        <w:t xml:space="preserve"> is also visible in the scatterplots in table </w:t>
      </w:r>
      <w:r w:rsidR="00C96FD7" w:rsidRPr="00DA0DCD">
        <w:rPr>
          <w:lang w:val="en-US"/>
        </w:rPr>
        <w:t>C</w:t>
      </w:r>
      <w:r w:rsidR="00062FAA" w:rsidRPr="00DA0DCD">
        <w:rPr>
          <w:lang w:val="en-US"/>
        </w:rPr>
        <w:t>.</w:t>
      </w:r>
      <w:r w:rsidR="00C96FD7" w:rsidRPr="00DA0DCD">
        <w:rPr>
          <w:lang w:val="en-US"/>
        </w:rPr>
        <w:t>1</w:t>
      </w:r>
      <w:r w:rsidR="0077522F" w:rsidRPr="00DA0DCD">
        <w:rPr>
          <w:lang w:val="en-US"/>
        </w:rPr>
        <w:t xml:space="preserve"> (</w:t>
      </w:r>
      <w:r w:rsidR="00735782" w:rsidRPr="00DA0DCD">
        <w:rPr>
          <w:lang w:val="en-US"/>
        </w:rPr>
        <w:t>a</w:t>
      </w:r>
      <w:r w:rsidR="0077522F" w:rsidRPr="00DA0DCD">
        <w:rPr>
          <w:lang w:val="en-US"/>
        </w:rPr>
        <w:t xml:space="preserve">ppendix </w:t>
      </w:r>
      <w:r w:rsidR="00C96FD7" w:rsidRPr="00DA0DCD">
        <w:rPr>
          <w:lang w:val="en-US"/>
        </w:rPr>
        <w:t>C</w:t>
      </w:r>
      <w:r w:rsidR="0077522F" w:rsidRPr="00DA0DCD">
        <w:rPr>
          <w:lang w:val="en-US"/>
        </w:rPr>
        <w:t>)</w:t>
      </w:r>
      <w:r w:rsidR="00062FAA" w:rsidRPr="00DA0DCD">
        <w:rPr>
          <w:lang w:val="en-US"/>
        </w:rPr>
        <w:t xml:space="preserve"> that the residuals </w:t>
      </w:r>
      <w:r w:rsidR="0077522F" w:rsidRPr="00DA0DCD">
        <w:rPr>
          <w:lang w:val="en-US"/>
        </w:rPr>
        <w:t xml:space="preserve">are </w:t>
      </w:r>
      <w:r w:rsidR="00062FAA" w:rsidRPr="00DA0DCD">
        <w:rPr>
          <w:lang w:val="en-US"/>
        </w:rPr>
        <w:t xml:space="preserve">roughly </w:t>
      </w:r>
      <w:r w:rsidR="0077522F" w:rsidRPr="00DA0DCD">
        <w:rPr>
          <w:lang w:val="en-US"/>
        </w:rPr>
        <w:t>distributed and most points are concentrated along the zero line (centre).</w:t>
      </w:r>
    </w:p>
    <w:p w:rsidR="00062FAA" w:rsidRPr="00DA0DCD" w:rsidRDefault="0077522F" w:rsidP="00F73FE0">
      <w:pPr>
        <w:rPr>
          <w:lang w:val="en-US"/>
        </w:rPr>
      </w:pPr>
      <w:r w:rsidRPr="00DA0DCD">
        <w:rPr>
          <w:lang w:val="en-US"/>
        </w:rPr>
        <w:t xml:space="preserve">Outliers are </w:t>
      </w:r>
      <w:r w:rsidR="00DF36F3" w:rsidRPr="00DA0DCD">
        <w:rPr>
          <w:lang w:val="en-US"/>
        </w:rPr>
        <w:t>cases that differ</w:t>
      </w:r>
      <w:r w:rsidRPr="00DA0DCD">
        <w:rPr>
          <w:lang w:val="en-US"/>
        </w:rPr>
        <w:t xml:space="preserve"> substantially from the main trend of the total sample</w:t>
      </w:r>
      <w:r w:rsidR="00735782" w:rsidRPr="00DA0DCD">
        <w:rPr>
          <w:lang w:val="en-US"/>
        </w:rPr>
        <w:t>. These values can bias the regression coefficients of the model</w:t>
      </w:r>
      <w:r w:rsidRPr="00DA0DCD">
        <w:rPr>
          <w:lang w:val="en-US"/>
        </w:rPr>
        <w:t xml:space="preserve"> (Field, 2009).</w:t>
      </w:r>
      <w:r w:rsidR="00735782" w:rsidRPr="00DA0DCD">
        <w:rPr>
          <w:lang w:val="en-US"/>
        </w:rPr>
        <w:t xml:space="preserve"> For </w:t>
      </w:r>
      <w:r w:rsidR="00DF36F3">
        <w:rPr>
          <w:lang w:val="en-US"/>
        </w:rPr>
        <w:t xml:space="preserve">the research of this </w:t>
      </w:r>
      <w:r w:rsidR="00735782" w:rsidRPr="00DA0DCD">
        <w:rPr>
          <w:lang w:val="en-US"/>
        </w:rPr>
        <w:t>thesis this means that the effect of the event windows can be biased.</w:t>
      </w:r>
      <w:r w:rsidRPr="00DA0DCD">
        <w:rPr>
          <w:lang w:val="en-US"/>
        </w:rPr>
        <w:t xml:space="preserve"> </w:t>
      </w:r>
      <w:r w:rsidR="00735782" w:rsidRPr="00DA0DCD">
        <w:rPr>
          <w:lang w:val="en-US"/>
        </w:rPr>
        <w:t>T</w:t>
      </w:r>
      <w:r w:rsidRPr="00DA0DCD">
        <w:rPr>
          <w:lang w:val="en-US"/>
        </w:rPr>
        <w:t xml:space="preserve">he scatterplots in </w:t>
      </w:r>
      <w:r w:rsidR="00C96FD7" w:rsidRPr="00DA0DCD">
        <w:rPr>
          <w:lang w:val="en-US"/>
        </w:rPr>
        <w:t xml:space="preserve">table C.1 (appendix C) </w:t>
      </w:r>
      <w:r w:rsidR="00735782" w:rsidRPr="00DA0DCD">
        <w:rPr>
          <w:lang w:val="en-US"/>
        </w:rPr>
        <w:t xml:space="preserve">also </w:t>
      </w:r>
      <w:r w:rsidRPr="00DA0DCD">
        <w:rPr>
          <w:lang w:val="en-US"/>
        </w:rPr>
        <w:t>shows the ca</w:t>
      </w:r>
      <w:r w:rsidR="00F25564">
        <w:rPr>
          <w:lang w:val="en-US"/>
        </w:rPr>
        <w:t xml:space="preserve">ses which substantially differ, in other words the outliers. However, </w:t>
      </w:r>
      <w:r w:rsidR="00DF36F3">
        <w:rPr>
          <w:lang w:val="en-US"/>
        </w:rPr>
        <w:t xml:space="preserve">the number of </w:t>
      </w:r>
      <w:r w:rsidR="00735782" w:rsidRPr="00DA0DCD">
        <w:rPr>
          <w:lang w:val="en-US"/>
        </w:rPr>
        <w:t xml:space="preserve">cases is </w:t>
      </w:r>
      <w:r w:rsidR="00F25564">
        <w:rPr>
          <w:lang w:val="en-US"/>
        </w:rPr>
        <w:t xml:space="preserve">very </w:t>
      </w:r>
      <w:r w:rsidR="00735782" w:rsidRPr="00DA0DCD">
        <w:rPr>
          <w:lang w:val="en-US"/>
        </w:rPr>
        <w:t>large (from 22.272 insurance companies</w:t>
      </w:r>
      <w:r w:rsidR="00DF36F3">
        <w:rPr>
          <w:lang w:val="en-US"/>
        </w:rPr>
        <w:t xml:space="preserve"> cases to 150.912 total sample). </w:t>
      </w:r>
      <w:r w:rsidR="00F25564">
        <w:rPr>
          <w:lang w:val="en-US"/>
        </w:rPr>
        <w:t>This means that</w:t>
      </w:r>
      <w:r w:rsidR="00735782" w:rsidRPr="00DA0DCD">
        <w:rPr>
          <w:lang w:val="en-US"/>
        </w:rPr>
        <w:t xml:space="preserve"> the outliers will not </w:t>
      </w:r>
      <w:r w:rsidR="006A3C9B" w:rsidRPr="00DA0DCD">
        <w:rPr>
          <w:lang w:val="en-US"/>
        </w:rPr>
        <w:t>affect</w:t>
      </w:r>
      <w:r w:rsidR="00735782" w:rsidRPr="00DA0DCD">
        <w:rPr>
          <w:lang w:val="en-US"/>
        </w:rPr>
        <w:t xml:space="preserve"> the regression coefficient and </w:t>
      </w:r>
      <w:r w:rsidR="00F25564">
        <w:rPr>
          <w:lang w:val="en-US"/>
        </w:rPr>
        <w:t>therefore</w:t>
      </w:r>
      <w:r w:rsidR="00DF36F3">
        <w:rPr>
          <w:lang w:val="en-US"/>
        </w:rPr>
        <w:t xml:space="preserve"> </w:t>
      </w:r>
      <w:r w:rsidR="00735782" w:rsidRPr="00DA0DCD">
        <w:rPr>
          <w:lang w:val="en-US"/>
        </w:rPr>
        <w:t>no action was ne</w:t>
      </w:r>
      <w:r w:rsidR="009D6274" w:rsidRPr="00DA0DCD">
        <w:rPr>
          <w:lang w:val="en-US"/>
        </w:rPr>
        <w:t xml:space="preserve">cessary. Further I checked whether there are cases (including outliers) having influence on the results of the whole regression model. Field (2009) describe that the Cook’s distance statistic measure the overall influence of a case. Cases with values larger than 1 are a potential problem. The maximum Cook’s </w:t>
      </w:r>
      <w:r w:rsidR="009D6274" w:rsidRPr="00DA0DCD">
        <w:rPr>
          <w:lang w:val="en-US"/>
        </w:rPr>
        <w:lastRenderedPageBreak/>
        <w:t xml:space="preserve">distance values are shown in the residual statistics of </w:t>
      </w:r>
      <w:r w:rsidR="003A2492" w:rsidRPr="00DA0DCD">
        <w:rPr>
          <w:lang w:val="en-US"/>
        </w:rPr>
        <w:t xml:space="preserve">table </w:t>
      </w:r>
      <w:r w:rsidR="00C96FD7" w:rsidRPr="00DA0DCD">
        <w:rPr>
          <w:lang w:val="en-US"/>
        </w:rPr>
        <w:t>D8</w:t>
      </w:r>
      <w:r w:rsidR="003A2492" w:rsidRPr="00DA0DCD">
        <w:rPr>
          <w:lang w:val="en-US"/>
        </w:rPr>
        <w:t>,</w:t>
      </w:r>
      <w:r w:rsidR="00C96FD7" w:rsidRPr="00DA0DCD">
        <w:rPr>
          <w:lang w:val="en-US"/>
        </w:rPr>
        <w:t xml:space="preserve"> 16</w:t>
      </w:r>
      <w:r w:rsidR="003A2492" w:rsidRPr="00DA0DCD">
        <w:rPr>
          <w:lang w:val="en-US"/>
        </w:rPr>
        <w:t>,</w:t>
      </w:r>
      <w:r w:rsidR="00C96FD7" w:rsidRPr="00DA0DCD">
        <w:rPr>
          <w:lang w:val="en-US"/>
        </w:rPr>
        <w:t xml:space="preserve"> 32 and 40</w:t>
      </w:r>
      <w:r w:rsidR="003A2492" w:rsidRPr="00DA0DCD">
        <w:rPr>
          <w:lang w:val="en-US"/>
        </w:rPr>
        <w:t xml:space="preserve"> </w:t>
      </w:r>
      <w:r w:rsidR="00C96FD7" w:rsidRPr="00DA0DCD">
        <w:rPr>
          <w:lang w:val="en-US"/>
        </w:rPr>
        <w:t>(</w:t>
      </w:r>
      <w:r w:rsidR="009D6274" w:rsidRPr="00DA0DCD">
        <w:rPr>
          <w:lang w:val="en-US"/>
        </w:rPr>
        <w:t>appendix</w:t>
      </w:r>
      <w:r w:rsidR="00C96FD7" w:rsidRPr="00DA0DCD">
        <w:rPr>
          <w:lang w:val="en-US"/>
        </w:rPr>
        <w:t xml:space="preserve"> D</w:t>
      </w:r>
      <w:r w:rsidR="009D6274" w:rsidRPr="00DA0DCD">
        <w:rPr>
          <w:lang w:val="en-US"/>
        </w:rPr>
        <w:t>) and shows values of respectively 0,028 (total sample); 0,087 (banks and insurance companies sample); 0,040 (banks sample)</w:t>
      </w:r>
      <w:r w:rsidR="003A2492" w:rsidRPr="00DA0DCD">
        <w:rPr>
          <w:lang w:val="en-US"/>
        </w:rPr>
        <w:t xml:space="preserve">; 0,221 (insurance companies sample) and </w:t>
      </w:r>
      <w:r w:rsidR="0025452A" w:rsidRPr="00DA0DCD">
        <w:rPr>
          <w:lang w:val="en-US"/>
        </w:rPr>
        <w:t>0,023 (‘other’ financial institutions sample). So, the cook’s distance values are less than one and therefore individual cases do not have undue influence on the regression model.</w:t>
      </w:r>
    </w:p>
    <w:p w:rsidR="00F73FE0" w:rsidRPr="00DA0DCD" w:rsidRDefault="00105611" w:rsidP="00F73FE0">
      <w:pPr>
        <w:pStyle w:val="Kop3"/>
        <w:numPr>
          <w:ilvl w:val="2"/>
          <w:numId w:val="14"/>
        </w:numPr>
        <w:rPr>
          <w:lang w:val="en-US"/>
        </w:rPr>
      </w:pPr>
      <w:bookmarkStart w:id="72" w:name="_Toc270770606"/>
      <w:r w:rsidRPr="00DA0DCD">
        <w:rPr>
          <w:lang w:val="en-US"/>
        </w:rPr>
        <w:t>Normality</w:t>
      </w:r>
      <w:bookmarkEnd w:id="72"/>
    </w:p>
    <w:p w:rsidR="00105611" w:rsidRPr="00DA0DCD" w:rsidRDefault="00C30150" w:rsidP="00105611">
      <w:pPr>
        <w:rPr>
          <w:lang w:val="en-US"/>
        </w:rPr>
      </w:pPr>
      <w:r w:rsidRPr="00DA0DCD">
        <w:rPr>
          <w:lang w:val="en-US"/>
        </w:rPr>
        <w:t>Normality means in accordance with Field (2009) that the residuals of the regression model are norma</w:t>
      </w:r>
      <w:r w:rsidR="009005B0" w:rsidRPr="00DA0DCD">
        <w:rPr>
          <w:lang w:val="en-US"/>
        </w:rPr>
        <w:t>l</w:t>
      </w:r>
      <w:r w:rsidRPr="00DA0DCD">
        <w:rPr>
          <w:lang w:val="en-US"/>
        </w:rPr>
        <w:t>l</w:t>
      </w:r>
      <w:r w:rsidR="009005B0" w:rsidRPr="00DA0DCD">
        <w:rPr>
          <w:lang w:val="en-US"/>
        </w:rPr>
        <w:t>y</w:t>
      </w:r>
      <w:r w:rsidRPr="00DA0DCD">
        <w:rPr>
          <w:lang w:val="en-US"/>
        </w:rPr>
        <w:t xml:space="preserve"> distributed with a mean of zero. This means that the differences between the observed</w:t>
      </w:r>
      <w:r w:rsidR="00787512" w:rsidRPr="00DA0DCD">
        <w:rPr>
          <w:lang w:val="en-US"/>
        </w:rPr>
        <w:t xml:space="preserve"> data</w:t>
      </w:r>
      <w:r w:rsidRPr="00DA0DCD">
        <w:rPr>
          <w:lang w:val="en-US"/>
        </w:rPr>
        <w:t xml:space="preserve"> and </w:t>
      </w:r>
      <w:r w:rsidR="00787512" w:rsidRPr="00DA0DCD">
        <w:rPr>
          <w:lang w:val="en-US"/>
        </w:rPr>
        <w:t xml:space="preserve">the model are very close to zero. </w:t>
      </w:r>
      <w:r w:rsidRPr="00DA0DCD">
        <w:rPr>
          <w:lang w:val="en-US"/>
        </w:rPr>
        <w:t>The Normal Probability P</w:t>
      </w:r>
      <w:r w:rsidR="0077522F" w:rsidRPr="00DA0DCD">
        <w:rPr>
          <w:lang w:val="en-US"/>
        </w:rPr>
        <w:t>lot (P-P)</w:t>
      </w:r>
      <w:r w:rsidR="00787512" w:rsidRPr="00DA0DCD">
        <w:rPr>
          <w:lang w:val="en-US"/>
        </w:rPr>
        <w:t xml:space="preserve"> gives a presentation of normality. The Normal Probability Plot (P-P</w:t>
      </w:r>
      <w:r w:rsidR="008217B4" w:rsidRPr="00DA0DCD">
        <w:rPr>
          <w:lang w:val="en-US"/>
        </w:rPr>
        <w:t>) of</w:t>
      </w:r>
      <w:r w:rsidR="00787512" w:rsidRPr="00DA0DCD">
        <w:rPr>
          <w:lang w:val="en-US"/>
        </w:rPr>
        <w:t xml:space="preserve"> the </w:t>
      </w:r>
      <w:r w:rsidR="008217B4" w:rsidRPr="00DA0DCD">
        <w:rPr>
          <w:lang w:val="en-US"/>
        </w:rPr>
        <w:t xml:space="preserve">regression </w:t>
      </w:r>
      <w:r w:rsidR="00787512" w:rsidRPr="00DA0DCD">
        <w:rPr>
          <w:lang w:val="en-US"/>
        </w:rPr>
        <w:t xml:space="preserve">tests are presented in table </w:t>
      </w:r>
      <w:r w:rsidR="00C96FD7" w:rsidRPr="00DA0DCD">
        <w:rPr>
          <w:lang w:val="en-US"/>
        </w:rPr>
        <w:t>C.2</w:t>
      </w:r>
      <w:r w:rsidR="00787512" w:rsidRPr="00DA0DCD">
        <w:rPr>
          <w:lang w:val="en-US"/>
        </w:rPr>
        <w:t xml:space="preserve"> (appendix </w:t>
      </w:r>
      <w:r w:rsidR="00C96FD7" w:rsidRPr="00DA0DCD">
        <w:rPr>
          <w:lang w:val="en-US"/>
        </w:rPr>
        <w:t>C</w:t>
      </w:r>
      <w:r w:rsidR="00787512" w:rsidRPr="00DA0DCD">
        <w:rPr>
          <w:lang w:val="en-US"/>
        </w:rPr>
        <w:t xml:space="preserve">).  These plots shows that the points lie </w:t>
      </w:r>
      <w:r w:rsidR="007561EE" w:rsidRPr="00DA0DCD">
        <w:rPr>
          <w:lang w:val="en-US"/>
        </w:rPr>
        <w:t xml:space="preserve">around the diagonal line from bottom left to top right, so the </w:t>
      </w:r>
      <w:r w:rsidR="00787512" w:rsidRPr="00DA0DCD">
        <w:rPr>
          <w:lang w:val="en-US"/>
        </w:rPr>
        <w:t xml:space="preserve"> residuals are almost normally distributed.</w:t>
      </w:r>
      <w:r w:rsidR="007561EE" w:rsidRPr="00DA0DCD">
        <w:rPr>
          <w:lang w:val="en-US"/>
        </w:rPr>
        <w:t xml:space="preserve"> Which indicates a deviation from normality.</w:t>
      </w:r>
    </w:p>
    <w:p w:rsidR="005149E1" w:rsidRPr="00DA0DCD" w:rsidRDefault="00105611" w:rsidP="005149E1">
      <w:pPr>
        <w:pStyle w:val="Kop3"/>
        <w:numPr>
          <w:ilvl w:val="2"/>
          <w:numId w:val="14"/>
        </w:numPr>
        <w:rPr>
          <w:lang w:val="en-US"/>
        </w:rPr>
      </w:pPr>
      <w:bookmarkStart w:id="73" w:name="_Toc270770607"/>
      <w:r w:rsidRPr="00DA0DCD">
        <w:rPr>
          <w:lang w:val="en-US"/>
        </w:rPr>
        <w:t>Multicollinearity</w:t>
      </w:r>
      <w:bookmarkEnd w:id="73"/>
    </w:p>
    <w:p w:rsidR="005C1D59" w:rsidRPr="00DA0DCD" w:rsidRDefault="005C1D59" w:rsidP="00C95E58">
      <w:pPr>
        <w:rPr>
          <w:lang w:val="en-US"/>
        </w:rPr>
      </w:pPr>
      <w:r w:rsidRPr="00DA0DCD">
        <w:rPr>
          <w:lang w:val="en-US"/>
        </w:rPr>
        <w:t xml:space="preserve">Independent variables (market return, interest </w:t>
      </w:r>
      <w:r w:rsidR="00EF34AB" w:rsidRPr="00DA0DCD">
        <w:rPr>
          <w:lang w:val="en-US"/>
        </w:rPr>
        <w:t>rate changes</w:t>
      </w:r>
      <w:r w:rsidRPr="00DA0DCD">
        <w:rPr>
          <w:lang w:val="en-US"/>
        </w:rPr>
        <w:t>, dummy variables) should have at least some relation with the dependent variable (return of the financial institution). The relations are shown in the correlations table as Pearson Correlation</w:t>
      </w:r>
      <w:r w:rsidR="007D43DC" w:rsidRPr="00DA0DCD">
        <w:rPr>
          <w:lang w:val="en-US"/>
        </w:rPr>
        <w:t xml:space="preserve"> (table </w:t>
      </w:r>
      <w:r w:rsidR="008217B4" w:rsidRPr="00DA0DCD">
        <w:rPr>
          <w:lang w:val="en-US"/>
        </w:rPr>
        <w:t>D.2, 10, 18, 26, 34</w:t>
      </w:r>
      <w:r w:rsidR="007D43DC" w:rsidRPr="00DA0DCD">
        <w:rPr>
          <w:lang w:val="en-US"/>
        </w:rPr>
        <w:t xml:space="preserve">). </w:t>
      </w:r>
      <w:r w:rsidR="008217B4" w:rsidRPr="00DA0DCD">
        <w:rPr>
          <w:lang w:val="en-US"/>
        </w:rPr>
        <w:t xml:space="preserve">The bold </w:t>
      </w:r>
      <w:r w:rsidR="008B3AA5" w:rsidRPr="00DA0DCD">
        <w:rPr>
          <w:lang w:val="en-US"/>
        </w:rPr>
        <w:t>values in these tables show</w:t>
      </w:r>
      <w:r w:rsidR="008217B4" w:rsidRPr="00DA0DCD">
        <w:rPr>
          <w:lang w:val="en-US"/>
        </w:rPr>
        <w:t xml:space="preserve"> the correlation between </w:t>
      </w:r>
      <w:r w:rsidR="008B3AA5" w:rsidRPr="00DA0DCD">
        <w:rPr>
          <w:lang w:val="en-US"/>
        </w:rPr>
        <w:t xml:space="preserve">the independent variables (market return, interest rate changes and event windows) and the dependent variable (return of the financial institution). </w:t>
      </w:r>
      <w:r w:rsidRPr="00DA0DCD">
        <w:rPr>
          <w:lang w:val="en-US"/>
        </w:rPr>
        <w:t xml:space="preserve">The </w:t>
      </w:r>
      <w:r w:rsidR="00B90626">
        <w:rPr>
          <w:lang w:val="en-US"/>
        </w:rPr>
        <w:t xml:space="preserve">mutual </w:t>
      </w:r>
      <w:r w:rsidRPr="00DA0DCD">
        <w:rPr>
          <w:lang w:val="en-US"/>
        </w:rPr>
        <w:t>relation between independent variables (predictors) should not perfectly linear, this means no multicollinearity</w:t>
      </w:r>
      <w:r w:rsidR="008B3AA5" w:rsidRPr="00DA0DCD">
        <w:rPr>
          <w:lang w:val="en-US"/>
        </w:rPr>
        <w:t xml:space="preserve"> </w:t>
      </w:r>
      <w:r w:rsidRPr="00DA0DCD">
        <w:rPr>
          <w:lang w:val="en-US"/>
        </w:rPr>
        <w:t xml:space="preserve">(Field, 2009). </w:t>
      </w:r>
      <w:r w:rsidR="007D43DC" w:rsidRPr="00DA0DCD">
        <w:rPr>
          <w:lang w:val="en-US"/>
        </w:rPr>
        <w:t>Multicolli</w:t>
      </w:r>
      <w:r w:rsidR="00706820" w:rsidRPr="00DA0DCD">
        <w:rPr>
          <w:lang w:val="en-US"/>
        </w:rPr>
        <w:t>n</w:t>
      </w:r>
      <w:r w:rsidR="007D43DC" w:rsidRPr="00DA0DCD">
        <w:rPr>
          <w:lang w:val="en-US"/>
        </w:rPr>
        <w:t xml:space="preserve">earity can be measured by two indicators, </w:t>
      </w:r>
      <w:r w:rsidR="00E614BB" w:rsidRPr="00DA0DCD">
        <w:rPr>
          <w:lang w:val="en-US"/>
        </w:rPr>
        <w:t>T</w:t>
      </w:r>
      <w:r w:rsidR="007D43DC" w:rsidRPr="00DA0DCD">
        <w:rPr>
          <w:lang w:val="en-US"/>
        </w:rPr>
        <w:t xml:space="preserve">olerance and </w:t>
      </w:r>
      <w:r w:rsidR="00E614BB" w:rsidRPr="00DA0DCD">
        <w:rPr>
          <w:lang w:val="en-US"/>
        </w:rPr>
        <w:t>Variance Inflation Factor (</w:t>
      </w:r>
      <w:r w:rsidR="007D43DC" w:rsidRPr="00DA0DCD">
        <w:rPr>
          <w:lang w:val="en-US"/>
        </w:rPr>
        <w:t>VIF</w:t>
      </w:r>
      <w:r w:rsidR="00E614BB" w:rsidRPr="00DA0DCD">
        <w:rPr>
          <w:lang w:val="en-US"/>
        </w:rPr>
        <w:t>)</w:t>
      </w:r>
      <w:r w:rsidR="007D43DC" w:rsidRPr="00DA0DCD">
        <w:rPr>
          <w:lang w:val="en-US"/>
        </w:rPr>
        <w:t xml:space="preserve">. Tolerance shows how much of the </w:t>
      </w:r>
      <w:r w:rsidR="00E614BB" w:rsidRPr="00DA0DCD">
        <w:rPr>
          <w:lang w:val="en-US"/>
        </w:rPr>
        <w:t>variability of the independent variables is not explained by the other independent variables. When the value of Tolerance is very small, with less than 0,10, than the multiple correlation with other independent variables is</w:t>
      </w:r>
      <w:r w:rsidR="00706820" w:rsidRPr="00DA0DCD">
        <w:rPr>
          <w:lang w:val="en-US"/>
        </w:rPr>
        <w:t xml:space="preserve"> high, suggesting multicollinearity (</w:t>
      </w:r>
      <w:r w:rsidR="006A3C9B" w:rsidRPr="00DA0DCD">
        <w:rPr>
          <w:lang w:val="en-US"/>
        </w:rPr>
        <w:t>Pallant, 2007</w:t>
      </w:r>
      <w:r w:rsidR="00706820" w:rsidRPr="00DA0DCD">
        <w:rPr>
          <w:lang w:val="en-US"/>
        </w:rPr>
        <w:t xml:space="preserve">). VIF  </w:t>
      </w:r>
      <w:r w:rsidR="00F946FC" w:rsidRPr="00DA0DCD">
        <w:rPr>
          <w:lang w:val="en-US"/>
        </w:rPr>
        <w:t>is the inverse of the tolerance value (1 divided by Tolerance). VIF values above 10 indicates the presence of multicollinearity</w:t>
      </w:r>
      <w:r w:rsidR="00D363CD" w:rsidRPr="00DA0DCD">
        <w:rPr>
          <w:lang w:val="en-US"/>
        </w:rPr>
        <w:t xml:space="preserve"> (</w:t>
      </w:r>
      <w:r w:rsidR="006A3C9B" w:rsidRPr="00DA0DCD">
        <w:rPr>
          <w:lang w:val="en-US"/>
        </w:rPr>
        <w:t>Pallant, 2007</w:t>
      </w:r>
      <w:r w:rsidR="00D363CD" w:rsidRPr="00DA0DCD">
        <w:rPr>
          <w:lang w:val="en-US"/>
        </w:rPr>
        <w:t>)</w:t>
      </w:r>
      <w:r w:rsidR="00F946FC" w:rsidRPr="00DA0DCD">
        <w:rPr>
          <w:lang w:val="en-US"/>
        </w:rPr>
        <w:t xml:space="preserve">. </w:t>
      </w:r>
      <w:r w:rsidR="00C80E58" w:rsidRPr="00DA0DCD">
        <w:rPr>
          <w:lang w:val="en-US"/>
        </w:rPr>
        <w:t>The results of the Tolerance and VIF indicators are presented in table</w:t>
      </w:r>
      <w:r w:rsidR="00EF34AB" w:rsidRPr="00DA0DCD">
        <w:rPr>
          <w:lang w:val="en-US"/>
        </w:rPr>
        <w:t xml:space="preserve"> named</w:t>
      </w:r>
      <w:r w:rsidR="00C80E58" w:rsidRPr="00DA0DCD">
        <w:rPr>
          <w:lang w:val="en-US"/>
        </w:rPr>
        <w:t xml:space="preserve"> coefficients under collinearity Statistics</w:t>
      </w:r>
      <w:r w:rsidR="00EF34AB" w:rsidRPr="00DA0DCD">
        <w:rPr>
          <w:lang w:val="en-US"/>
        </w:rPr>
        <w:t xml:space="preserve"> of tables D5-</w:t>
      </w:r>
      <w:r w:rsidR="006D4BE8">
        <w:rPr>
          <w:lang w:val="en-US"/>
        </w:rPr>
        <w:t>6</w:t>
      </w:r>
      <w:r w:rsidR="00EF34AB" w:rsidRPr="00DA0DCD">
        <w:rPr>
          <w:lang w:val="en-US"/>
        </w:rPr>
        <w:t>, 13-1</w:t>
      </w:r>
      <w:r w:rsidR="006D4BE8">
        <w:rPr>
          <w:lang w:val="en-US"/>
        </w:rPr>
        <w:t>4</w:t>
      </w:r>
      <w:r w:rsidR="00EF34AB" w:rsidRPr="00DA0DCD">
        <w:rPr>
          <w:lang w:val="en-US"/>
        </w:rPr>
        <w:t>, 21-2</w:t>
      </w:r>
      <w:r w:rsidR="006D4BE8">
        <w:rPr>
          <w:lang w:val="en-US"/>
        </w:rPr>
        <w:t>2</w:t>
      </w:r>
      <w:r w:rsidR="00EF34AB" w:rsidRPr="00DA0DCD">
        <w:rPr>
          <w:lang w:val="en-US"/>
        </w:rPr>
        <w:t>, 29-3</w:t>
      </w:r>
      <w:r w:rsidR="006D4BE8">
        <w:rPr>
          <w:lang w:val="en-US"/>
        </w:rPr>
        <w:t>0</w:t>
      </w:r>
      <w:r w:rsidR="00EF34AB" w:rsidRPr="00DA0DCD">
        <w:rPr>
          <w:lang w:val="en-US"/>
        </w:rPr>
        <w:t>,37-3</w:t>
      </w:r>
      <w:r w:rsidR="006D4BE8">
        <w:rPr>
          <w:lang w:val="en-US"/>
        </w:rPr>
        <w:t>8</w:t>
      </w:r>
      <w:r w:rsidR="00EF34AB" w:rsidRPr="00DA0DCD">
        <w:rPr>
          <w:lang w:val="en-US"/>
        </w:rPr>
        <w:t xml:space="preserve"> and F3, 6, 9, 12, 15, 18, 21, 24, 27, 30, 33, 36, 39, 42 (appendix D and F)</w:t>
      </w:r>
      <w:r w:rsidR="00C80E58" w:rsidRPr="00DA0DCD">
        <w:rPr>
          <w:lang w:val="en-US"/>
        </w:rPr>
        <w:t>. The Tolerance values</w:t>
      </w:r>
      <w:r w:rsidR="008B218D" w:rsidRPr="00DA0DCD">
        <w:rPr>
          <w:lang w:val="en-US"/>
        </w:rPr>
        <w:t xml:space="preserve"> of the regression models</w:t>
      </w:r>
      <w:r w:rsidR="00C80E58" w:rsidRPr="00DA0DCD">
        <w:rPr>
          <w:lang w:val="en-US"/>
        </w:rPr>
        <w:t xml:space="preserve"> vary between 0,9</w:t>
      </w:r>
      <w:r w:rsidR="008B218D" w:rsidRPr="00DA0DCD">
        <w:rPr>
          <w:lang w:val="en-US"/>
        </w:rPr>
        <w:t>43</w:t>
      </w:r>
      <w:r w:rsidR="00C80E58" w:rsidRPr="00DA0DCD">
        <w:rPr>
          <w:lang w:val="en-US"/>
        </w:rPr>
        <w:t xml:space="preserve"> - 0,999 and the VIF value vary </w:t>
      </w:r>
      <w:r w:rsidR="008B218D" w:rsidRPr="00DA0DCD">
        <w:rPr>
          <w:lang w:val="en-US"/>
        </w:rPr>
        <w:t xml:space="preserve">from 1,061 </w:t>
      </w:r>
      <w:r w:rsidR="008B3AA5" w:rsidRPr="00DA0DCD">
        <w:rPr>
          <w:lang w:val="en-US"/>
        </w:rPr>
        <w:t>through</w:t>
      </w:r>
      <w:r w:rsidR="008B218D" w:rsidRPr="00DA0DCD">
        <w:rPr>
          <w:lang w:val="en-US"/>
        </w:rPr>
        <w:t xml:space="preserve"> 1,001. So, there is no sign for suggesting multicollinearity between independent variables.</w:t>
      </w:r>
    </w:p>
    <w:p w:rsidR="00F73FE0" w:rsidRPr="00DA0DCD" w:rsidRDefault="007D43DC" w:rsidP="007D43DC">
      <w:pPr>
        <w:pStyle w:val="Kop3"/>
        <w:numPr>
          <w:ilvl w:val="2"/>
          <w:numId w:val="14"/>
        </w:numPr>
        <w:rPr>
          <w:lang w:val="en-US"/>
        </w:rPr>
      </w:pPr>
      <w:bookmarkStart w:id="74" w:name="_Toc270770608"/>
      <w:r w:rsidRPr="00DA0DCD">
        <w:rPr>
          <w:lang w:val="en-US"/>
        </w:rPr>
        <w:t>Evaluating the model (R-square and ANOVA)</w:t>
      </w:r>
      <w:bookmarkEnd w:id="74"/>
    </w:p>
    <w:p w:rsidR="00907FAC" w:rsidRPr="00DA0DCD" w:rsidRDefault="008D3D02">
      <w:pPr>
        <w:rPr>
          <w:lang w:val="en-US"/>
        </w:rPr>
      </w:pPr>
      <w:r w:rsidRPr="00DA0DCD">
        <w:rPr>
          <w:lang w:val="en-US"/>
        </w:rPr>
        <w:t>The evaluation of the model is necessary to know how much of the varia</w:t>
      </w:r>
      <w:r w:rsidR="00907FAC" w:rsidRPr="00DA0DCD">
        <w:rPr>
          <w:lang w:val="en-US"/>
        </w:rPr>
        <w:t>nce in the dependent variable (r</w:t>
      </w:r>
      <w:r w:rsidRPr="00DA0DCD">
        <w:rPr>
          <w:lang w:val="en-US"/>
        </w:rPr>
        <w:t xml:space="preserve">eturn of the financial institution) is explained by the regression models (Eq. 6.1 and Eq. 6.2). </w:t>
      </w:r>
      <w:r w:rsidR="00390762" w:rsidRPr="00DA0DCD">
        <w:rPr>
          <w:lang w:val="en-US"/>
        </w:rPr>
        <w:t xml:space="preserve">The </w:t>
      </w:r>
      <w:r w:rsidR="005C5328" w:rsidRPr="00DA0DCD">
        <w:rPr>
          <w:lang w:val="en-US"/>
        </w:rPr>
        <w:t>indicators, which express the degree of explanation of the model,</w:t>
      </w:r>
      <w:r w:rsidR="00390762" w:rsidRPr="00DA0DCD">
        <w:rPr>
          <w:lang w:val="en-US"/>
        </w:rPr>
        <w:t xml:space="preserve"> is the R, R-square and the Adjusted R-square. In table </w:t>
      </w:r>
      <w:r w:rsidR="0042195C" w:rsidRPr="00DA0DCD">
        <w:rPr>
          <w:lang w:val="en-US"/>
        </w:rPr>
        <w:t>7</w:t>
      </w:r>
      <w:r w:rsidR="00390762" w:rsidRPr="00DA0DCD">
        <w:rPr>
          <w:lang w:val="en-US"/>
        </w:rPr>
        <w:t>.</w:t>
      </w:r>
      <w:r w:rsidR="0042195C" w:rsidRPr="00DA0DCD">
        <w:rPr>
          <w:lang w:val="en-US"/>
        </w:rPr>
        <w:t>1</w:t>
      </w:r>
      <w:r w:rsidR="00390762" w:rsidRPr="00DA0DCD">
        <w:rPr>
          <w:lang w:val="en-US"/>
        </w:rPr>
        <w:t xml:space="preserve"> </w:t>
      </w:r>
      <w:r w:rsidR="00854807" w:rsidRPr="00DA0DCD">
        <w:rPr>
          <w:lang w:val="en-US"/>
        </w:rPr>
        <w:t xml:space="preserve">are these indicators </w:t>
      </w:r>
      <w:r w:rsidR="00907FAC" w:rsidRPr="00DA0DCD">
        <w:rPr>
          <w:lang w:val="en-US"/>
        </w:rPr>
        <w:t>presented</w:t>
      </w:r>
      <w:r w:rsidR="00854807" w:rsidRPr="00DA0DCD">
        <w:rPr>
          <w:lang w:val="en-US"/>
        </w:rPr>
        <w:t>.</w:t>
      </w:r>
      <w:r w:rsidR="00390762" w:rsidRPr="00DA0DCD">
        <w:rPr>
          <w:lang w:val="en-US"/>
        </w:rPr>
        <w:t xml:space="preserve"> </w:t>
      </w:r>
      <w:r w:rsidR="000A141F" w:rsidRPr="00DA0DCD">
        <w:rPr>
          <w:lang w:val="en-US"/>
        </w:rPr>
        <w:t>R</w:t>
      </w:r>
      <w:r w:rsidR="006C6B31" w:rsidRPr="00DA0DCD">
        <w:rPr>
          <w:lang w:val="en-US"/>
        </w:rPr>
        <w:t>-square</w:t>
      </w:r>
      <w:r w:rsidR="000A141F" w:rsidRPr="00DA0DCD">
        <w:rPr>
          <w:vertAlign w:val="superscript"/>
          <w:lang w:val="en-US"/>
        </w:rPr>
        <w:t xml:space="preserve"> </w:t>
      </w:r>
      <w:r w:rsidR="000A141F" w:rsidRPr="00DA0DCD">
        <w:rPr>
          <w:lang w:val="en-US"/>
        </w:rPr>
        <w:t>explain</w:t>
      </w:r>
      <w:r w:rsidR="00907FAC" w:rsidRPr="00DA0DCD">
        <w:rPr>
          <w:lang w:val="en-US"/>
        </w:rPr>
        <w:t>s</w:t>
      </w:r>
      <w:r w:rsidR="000A141F" w:rsidRPr="00DA0DCD">
        <w:rPr>
          <w:lang w:val="en-US"/>
        </w:rPr>
        <w:t xml:space="preserve"> in accordance with Field (2009)</w:t>
      </w:r>
      <w:r w:rsidR="00CA029D" w:rsidRPr="00DA0DCD">
        <w:rPr>
          <w:lang w:val="en-US"/>
        </w:rPr>
        <w:t xml:space="preserve"> </w:t>
      </w:r>
      <w:r w:rsidR="006C6B31" w:rsidRPr="00DA0DCD">
        <w:rPr>
          <w:lang w:val="en-US"/>
        </w:rPr>
        <w:t>how much of the varia</w:t>
      </w:r>
      <w:r w:rsidR="00907FAC" w:rsidRPr="00DA0DCD">
        <w:rPr>
          <w:lang w:val="en-US"/>
        </w:rPr>
        <w:t>nce in the dependent variable (r</w:t>
      </w:r>
      <w:r w:rsidR="006C6B31" w:rsidRPr="00DA0DCD">
        <w:rPr>
          <w:lang w:val="en-US"/>
        </w:rPr>
        <w:t>eturn of the financial institution)is explained by the model if the model is derived from the whole population of the sample.</w:t>
      </w:r>
      <w:r w:rsidR="00AA2435" w:rsidRPr="00DA0DCD">
        <w:rPr>
          <w:lang w:val="en-US"/>
        </w:rPr>
        <w:t xml:space="preserve"> This value can be expressed in a percentage.</w:t>
      </w:r>
      <w:r w:rsidR="00015AA5" w:rsidRPr="00DA0DCD">
        <w:rPr>
          <w:lang w:val="en-US"/>
        </w:rPr>
        <w:t xml:space="preserve"> The adjusted R-square </w:t>
      </w:r>
      <w:r w:rsidR="008552EE" w:rsidRPr="00DA0DCD">
        <w:rPr>
          <w:lang w:val="en-US"/>
        </w:rPr>
        <w:t>‘</w:t>
      </w:r>
      <w:r w:rsidR="00015AA5" w:rsidRPr="00DA0DCD">
        <w:rPr>
          <w:lang w:val="en-US"/>
        </w:rPr>
        <w:t>corrects</w:t>
      </w:r>
      <w:r w:rsidR="008552EE" w:rsidRPr="00DA0DCD">
        <w:rPr>
          <w:lang w:val="en-US"/>
        </w:rPr>
        <w:t>’</w:t>
      </w:r>
      <w:r w:rsidR="00015AA5" w:rsidRPr="00DA0DCD">
        <w:rPr>
          <w:lang w:val="en-US"/>
        </w:rPr>
        <w:t xml:space="preserve"> for </w:t>
      </w:r>
      <w:r w:rsidR="008552EE" w:rsidRPr="00DA0DCD">
        <w:rPr>
          <w:lang w:val="en-US"/>
        </w:rPr>
        <w:t>optimistic overestimation</w:t>
      </w:r>
      <w:r w:rsidR="007C66D7" w:rsidRPr="00DA0DCD">
        <w:rPr>
          <w:lang w:val="en-US"/>
        </w:rPr>
        <w:t xml:space="preserve"> of the true value in the population (</w:t>
      </w:r>
      <w:r w:rsidR="006A3C9B" w:rsidRPr="00DA0DCD">
        <w:rPr>
          <w:lang w:val="en-US"/>
        </w:rPr>
        <w:t>Pallant, 2007</w:t>
      </w:r>
      <w:r w:rsidR="007C66D7" w:rsidRPr="00DA0DCD">
        <w:rPr>
          <w:lang w:val="en-US"/>
        </w:rPr>
        <w:t>). This value is more relevant for a small sample. The models regressed a large sample (from 22.272 insurance companies cases to 150.912 total sample), so the R-square and perc</w:t>
      </w:r>
      <w:r w:rsidR="0042195C" w:rsidRPr="00DA0DCD">
        <w:rPr>
          <w:lang w:val="en-US"/>
        </w:rPr>
        <w:t>entage is most relevant. Table 7</w:t>
      </w:r>
      <w:r w:rsidR="007C66D7" w:rsidRPr="00DA0DCD">
        <w:rPr>
          <w:lang w:val="en-US"/>
        </w:rPr>
        <w:t>.</w:t>
      </w:r>
      <w:r w:rsidR="0042195C" w:rsidRPr="00DA0DCD">
        <w:rPr>
          <w:lang w:val="en-US"/>
        </w:rPr>
        <w:t>1</w:t>
      </w:r>
      <w:r w:rsidR="007C66D7" w:rsidRPr="00DA0DCD">
        <w:rPr>
          <w:lang w:val="en-US"/>
        </w:rPr>
        <w:t xml:space="preserve"> under give an overview of the R-square and percentage per sample. </w:t>
      </w:r>
    </w:p>
    <w:p w:rsidR="005C5328" w:rsidRDefault="005C5328" w:rsidP="00502FF6">
      <w:pPr>
        <w:spacing w:after="0"/>
        <w:rPr>
          <w:lang w:val="en-US"/>
        </w:rPr>
      </w:pPr>
    </w:p>
    <w:p w:rsidR="008C6755" w:rsidRPr="00DA0DCD" w:rsidRDefault="008C6755" w:rsidP="00502FF6">
      <w:pPr>
        <w:spacing w:after="0"/>
        <w:rPr>
          <w:lang w:val="en-US"/>
        </w:rPr>
      </w:pPr>
      <w:r w:rsidRPr="00DA0DCD">
        <w:rPr>
          <w:lang w:val="en-US"/>
        </w:rPr>
        <w:lastRenderedPageBreak/>
        <w:t>Model Summary</w:t>
      </w:r>
      <w:r w:rsidRPr="00DA0DCD">
        <w:rPr>
          <w:vertAlign w:val="superscript"/>
          <w:lang w:val="en-US"/>
        </w:rPr>
        <w:t>b</w:t>
      </w:r>
    </w:p>
    <w:tbl>
      <w:tblPr>
        <w:tblW w:w="9214" w:type="dxa"/>
        <w:tblInd w:w="3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30" w:type="dxa"/>
          <w:right w:w="30" w:type="dxa"/>
        </w:tblCellMar>
        <w:tblLook w:val="0000"/>
      </w:tblPr>
      <w:tblGrid>
        <w:gridCol w:w="1560"/>
        <w:gridCol w:w="567"/>
        <w:gridCol w:w="708"/>
        <w:gridCol w:w="567"/>
        <w:gridCol w:w="851"/>
        <w:gridCol w:w="1276"/>
        <w:gridCol w:w="850"/>
        <w:gridCol w:w="992"/>
        <w:gridCol w:w="851"/>
        <w:gridCol w:w="992"/>
      </w:tblGrid>
      <w:tr w:rsidR="008C6755" w:rsidRPr="00DA0DCD" w:rsidTr="00390762">
        <w:trPr>
          <w:cantSplit/>
          <w:tblHeader/>
        </w:trPr>
        <w:tc>
          <w:tcPr>
            <w:tcW w:w="1560" w:type="dxa"/>
            <w:shd w:val="clear" w:color="auto" w:fill="FFFFFF"/>
            <w:tcMar>
              <w:top w:w="30" w:type="dxa"/>
              <w:left w:w="30" w:type="dxa"/>
              <w:bottom w:w="30" w:type="dxa"/>
              <w:right w:w="30" w:type="dxa"/>
            </w:tcMar>
            <w:vAlign w:val="bottom"/>
          </w:tcPr>
          <w:p w:rsidR="008C6755" w:rsidRPr="00DA0DCD" w:rsidRDefault="007C66D7" w:rsidP="00390762">
            <w:pPr>
              <w:pStyle w:val="Geenafstand"/>
              <w:rPr>
                <w:b/>
                <w:sz w:val="18"/>
                <w:szCs w:val="18"/>
                <w:lang w:val="en-US"/>
              </w:rPr>
            </w:pPr>
            <w:r w:rsidRPr="00DA0DCD">
              <w:rPr>
                <w:b/>
                <w:sz w:val="18"/>
                <w:szCs w:val="18"/>
                <w:lang w:val="en-US"/>
              </w:rPr>
              <w:t>Sample</w:t>
            </w:r>
          </w:p>
        </w:tc>
        <w:tc>
          <w:tcPr>
            <w:tcW w:w="567" w:type="dxa"/>
            <w:shd w:val="clear" w:color="auto" w:fill="FFFFFF"/>
            <w:tcMar>
              <w:top w:w="30" w:type="dxa"/>
              <w:left w:w="30" w:type="dxa"/>
              <w:bottom w:w="30" w:type="dxa"/>
              <w:right w:w="30" w:type="dxa"/>
            </w:tcMar>
            <w:vAlign w:val="bottom"/>
          </w:tcPr>
          <w:p w:rsidR="008C6755" w:rsidRPr="00DA0DCD" w:rsidRDefault="008C6755" w:rsidP="00390762">
            <w:pPr>
              <w:pStyle w:val="Geenafstand"/>
              <w:rPr>
                <w:b/>
                <w:sz w:val="18"/>
                <w:szCs w:val="18"/>
                <w:lang w:val="en-US"/>
              </w:rPr>
            </w:pPr>
            <w:r w:rsidRPr="00DA0DCD">
              <w:rPr>
                <w:b/>
                <w:sz w:val="18"/>
                <w:szCs w:val="18"/>
                <w:lang w:val="en-US"/>
              </w:rPr>
              <w:t>R</w:t>
            </w:r>
          </w:p>
        </w:tc>
        <w:tc>
          <w:tcPr>
            <w:tcW w:w="708" w:type="dxa"/>
            <w:shd w:val="clear" w:color="auto" w:fill="FFFFFF"/>
            <w:tcMar>
              <w:top w:w="30" w:type="dxa"/>
              <w:left w:w="30" w:type="dxa"/>
              <w:bottom w:w="30" w:type="dxa"/>
              <w:right w:w="30" w:type="dxa"/>
            </w:tcMar>
            <w:vAlign w:val="bottom"/>
          </w:tcPr>
          <w:p w:rsidR="008C6755" w:rsidRPr="00DA0DCD" w:rsidRDefault="008C6755" w:rsidP="00390762">
            <w:pPr>
              <w:pStyle w:val="Geenafstand"/>
              <w:rPr>
                <w:b/>
                <w:sz w:val="18"/>
                <w:szCs w:val="18"/>
                <w:lang w:val="en-US"/>
              </w:rPr>
            </w:pPr>
            <w:r w:rsidRPr="00DA0DCD">
              <w:rPr>
                <w:b/>
                <w:sz w:val="18"/>
                <w:szCs w:val="18"/>
                <w:lang w:val="en-US"/>
              </w:rPr>
              <w:t>R Square</w:t>
            </w:r>
          </w:p>
        </w:tc>
        <w:tc>
          <w:tcPr>
            <w:tcW w:w="567" w:type="dxa"/>
            <w:shd w:val="clear" w:color="auto" w:fill="FFFFFF"/>
            <w:tcMar>
              <w:top w:w="30" w:type="dxa"/>
              <w:left w:w="30" w:type="dxa"/>
              <w:bottom w:w="30" w:type="dxa"/>
              <w:right w:w="30" w:type="dxa"/>
            </w:tcMar>
            <w:vAlign w:val="bottom"/>
          </w:tcPr>
          <w:p w:rsidR="008C6755" w:rsidRPr="00DA0DCD" w:rsidRDefault="008C6755" w:rsidP="00390762">
            <w:pPr>
              <w:pStyle w:val="Geenafstand"/>
              <w:rPr>
                <w:b/>
                <w:sz w:val="18"/>
                <w:szCs w:val="18"/>
                <w:lang w:val="en-US"/>
              </w:rPr>
            </w:pPr>
            <w:r w:rsidRPr="00DA0DCD">
              <w:rPr>
                <w:b/>
                <w:sz w:val="18"/>
                <w:szCs w:val="18"/>
                <w:lang w:val="en-US"/>
              </w:rPr>
              <w:t>%</w:t>
            </w:r>
          </w:p>
        </w:tc>
        <w:tc>
          <w:tcPr>
            <w:tcW w:w="851" w:type="dxa"/>
            <w:tcBorders>
              <w:right w:val="single" w:sz="12" w:space="0" w:color="auto"/>
            </w:tcBorders>
            <w:shd w:val="clear" w:color="auto" w:fill="FFFFFF"/>
            <w:tcMar>
              <w:top w:w="30" w:type="dxa"/>
              <w:left w:w="30" w:type="dxa"/>
              <w:bottom w:w="30" w:type="dxa"/>
              <w:right w:w="30" w:type="dxa"/>
            </w:tcMar>
            <w:vAlign w:val="bottom"/>
          </w:tcPr>
          <w:p w:rsidR="008C6755" w:rsidRPr="00DA0DCD" w:rsidRDefault="008C6755" w:rsidP="00390762">
            <w:pPr>
              <w:pStyle w:val="Geenafstand"/>
              <w:rPr>
                <w:b/>
                <w:sz w:val="18"/>
                <w:szCs w:val="18"/>
                <w:lang w:val="en-US"/>
              </w:rPr>
            </w:pPr>
            <w:r w:rsidRPr="00DA0DCD">
              <w:rPr>
                <w:b/>
                <w:sz w:val="18"/>
                <w:szCs w:val="18"/>
                <w:lang w:val="en-US"/>
              </w:rPr>
              <w:t>Adjusted R Square</w:t>
            </w:r>
          </w:p>
        </w:tc>
        <w:tc>
          <w:tcPr>
            <w:tcW w:w="1276" w:type="dxa"/>
            <w:tcBorders>
              <w:left w:val="single" w:sz="12" w:space="0" w:color="auto"/>
            </w:tcBorders>
            <w:shd w:val="clear" w:color="auto" w:fill="FFFFFF"/>
            <w:tcMar>
              <w:top w:w="30" w:type="dxa"/>
              <w:left w:w="30" w:type="dxa"/>
              <w:bottom w:w="30" w:type="dxa"/>
              <w:right w:w="30" w:type="dxa"/>
            </w:tcMar>
            <w:vAlign w:val="bottom"/>
          </w:tcPr>
          <w:p w:rsidR="008C6755" w:rsidRPr="00DA0DCD" w:rsidRDefault="007C66D7" w:rsidP="00390762">
            <w:pPr>
              <w:pStyle w:val="Geenafstand"/>
              <w:rPr>
                <w:b/>
                <w:sz w:val="18"/>
                <w:szCs w:val="18"/>
                <w:lang w:val="en-US"/>
              </w:rPr>
            </w:pPr>
            <w:r w:rsidRPr="00DA0DCD">
              <w:rPr>
                <w:b/>
                <w:sz w:val="18"/>
                <w:szCs w:val="18"/>
                <w:lang w:val="en-US"/>
              </w:rPr>
              <w:t>Sample</w:t>
            </w:r>
          </w:p>
        </w:tc>
        <w:tc>
          <w:tcPr>
            <w:tcW w:w="850" w:type="dxa"/>
            <w:shd w:val="clear" w:color="auto" w:fill="FFFFFF"/>
            <w:vAlign w:val="bottom"/>
          </w:tcPr>
          <w:p w:rsidR="008C6755" w:rsidRPr="00DA0DCD" w:rsidRDefault="008C6755" w:rsidP="00390762">
            <w:pPr>
              <w:pStyle w:val="Geenafstand"/>
              <w:rPr>
                <w:b/>
                <w:sz w:val="18"/>
                <w:szCs w:val="18"/>
                <w:lang w:val="en-US"/>
              </w:rPr>
            </w:pPr>
            <w:r w:rsidRPr="00DA0DCD">
              <w:rPr>
                <w:b/>
                <w:sz w:val="18"/>
                <w:szCs w:val="18"/>
                <w:lang w:val="en-US"/>
              </w:rPr>
              <w:t>R</w:t>
            </w:r>
          </w:p>
        </w:tc>
        <w:tc>
          <w:tcPr>
            <w:tcW w:w="992" w:type="dxa"/>
            <w:shd w:val="clear" w:color="auto" w:fill="FFFFFF"/>
            <w:vAlign w:val="bottom"/>
          </w:tcPr>
          <w:p w:rsidR="008C6755" w:rsidRPr="00DA0DCD" w:rsidRDefault="008C6755" w:rsidP="00390762">
            <w:pPr>
              <w:pStyle w:val="Geenafstand"/>
              <w:rPr>
                <w:b/>
                <w:sz w:val="18"/>
                <w:szCs w:val="18"/>
                <w:lang w:val="en-US"/>
              </w:rPr>
            </w:pPr>
            <w:r w:rsidRPr="00DA0DCD">
              <w:rPr>
                <w:b/>
                <w:sz w:val="18"/>
                <w:szCs w:val="18"/>
                <w:lang w:val="en-US"/>
              </w:rPr>
              <w:t>R Square</w:t>
            </w:r>
          </w:p>
        </w:tc>
        <w:tc>
          <w:tcPr>
            <w:tcW w:w="851" w:type="dxa"/>
            <w:shd w:val="clear" w:color="auto" w:fill="FFFFFF"/>
            <w:vAlign w:val="bottom"/>
          </w:tcPr>
          <w:p w:rsidR="008C6755" w:rsidRPr="00DA0DCD" w:rsidRDefault="008C6755" w:rsidP="00390762">
            <w:pPr>
              <w:pStyle w:val="Geenafstand"/>
              <w:rPr>
                <w:b/>
                <w:sz w:val="18"/>
                <w:szCs w:val="18"/>
                <w:lang w:val="en-US"/>
              </w:rPr>
            </w:pPr>
            <w:r w:rsidRPr="00DA0DCD">
              <w:rPr>
                <w:b/>
                <w:sz w:val="18"/>
                <w:szCs w:val="18"/>
                <w:lang w:val="en-US"/>
              </w:rPr>
              <w:t>%</w:t>
            </w:r>
          </w:p>
        </w:tc>
        <w:tc>
          <w:tcPr>
            <w:tcW w:w="992" w:type="dxa"/>
            <w:shd w:val="clear" w:color="auto" w:fill="FFFFFF"/>
            <w:vAlign w:val="bottom"/>
          </w:tcPr>
          <w:p w:rsidR="008C6755" w:rsidRPr="00DA0DCD" w:rsidRDefault="008C6755" w:rsidP="00390762">
            <w:pPr>
              <w:pStyle w:val="Geenafstand"/>
              <w:rPr>
                <w:b/>
                <w:sz w:val="18"/>
                <w:szCs w:val="18"/>
                <w:lang w:val="en-US"/>
              </w:rPr>
            </w:pPr>
            <w:r w:rsidRPr="00DA0DCD">
              <w:rPr>
                <w:b/>
                <w:sz w:val="18"/>
                <w:szCs w:val="18"/>
                <w:lang w:val="en-US"/>
              </w:rPr>
              <w:t>Adjusted R Square</w:t>
            </w:r>
          </w:p>
        </w:tc>
      </w:tr>
      <w:tr w:rsidR="008C6755" w:rsidRPr="00DA0DCD" w:rsidTr="00390762">
        <w:trPr>
          <w:cantSplit/>
          <w:tblHeader/>
        </w:trPr>
        <w:tc>
          <w:tcPr>
            <w:tcW w:w="1560" w:type="dxa"/>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Total sample</w:t>
            </w:r>
          </w:p>
        </w:tc>
        <w:tc>
          <w:tcPr>
            <w:tcW w:w="567" w:type="dxa"/>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0,408</w:t>
            </w:r>
            <w:r w:rsidRPr="00DA0DCD">
              <w:rPr>
                <w:sz w:val="18"/>
                <w:szCs w:val="18"/>
                <w:vertAlign w:val="superscript"/>
                <w:lang w:val="en-US"/>
              </w:rPr>
              <w:t>a</w:t>
            </w:r>
          </w:p>
        </w:tc>
        <w:tc>
          <w:tcPr>
            <w:tcW w:w="708" w:type="dxa"/>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0,167</w:t>
            </w:r>
          </w:p>
        </w:tc>
        <w:tc>
          <w:tcPr>
            <w:tcW w:w="567" w:type="dxa"/>
            <w:shd w:val="clear" w:color="auto" w:fill="FFFFFF"/>
            <w:tcMar>
              <w:top w:w="30" w:type="dxa"/>
              <w:left w:w="30" w:type="dxa"/>
              <w:bottom w:w="30" w:type="dxa"/>
              <w:right w:w="30" w:type="dxa"/>
            </w:tcMar>
            <w:vAlign w:val="center"/>
          </w:tcPr>
          <w:p w:rsidR="008C6755" w:rsidRPr="00DA0DCD" w:rsidRDefault="008C6755" w:rsidP="00390762">
            <w:pPr>
              <w:pStyle w:val="Geenafstand"/>
              <w:rPr>
                <w:b/>
                <w:sz w:val="18"/>
                <w:szCs w:val="18"/>
                <w:lang w:val="en-US"/>
              </w:rPr>
            </w:pPr>
            <w:r w:rsidRPr="00DA0DCD">
              <w:rPr>
                <w:b/>
                <w:sz w:val="18"/>
                <w:szCs w:val="18"/>
                <w:lang w:val="en-US"/>
              </w:rPr>
              <w:t>16,7</w:t>
            </w:r>
          </w:p>
        </w:tc>
        <w:tc>
          <w:tcPr>
            <w:tcW w:w="851" w:type="dxa"/>
            <w:tcBorders>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0,166</w:t>
            </w: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Belgium</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0,377</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0,142</w:t>
            </w:r>
          </w:p>
        </w:tc>
        <w:tc>
          <w:tcPr>
            <w:tcW w:w="851" w:type="dxa"/>
            <w:shd w:val="clear" w:color="auto" w:fill="FFFFFF"/>
            <w:vAlign w:val="center"/>
          </w:tcPr>
          <w:p w:rsidR="008C6755" w:rsidRPr="00DA0DCD" w:rsidRDefault="008C6755" w:rsidP="00390762">
            <w:pPr>
              <w:pStyle w:val="Geenafstand"/>
              <w:rPr>
                <w:b/>
                <w:sz w:val="18"/>
                <w:szCs w:val="18"/>
                <w:lang w:val="en-US"/>
              </w:rPr>
            </w:pPr>
            <w:r w:rsidRPr="00DA0DCD">
              <w:rPr>
                <w:b/>
                <w:sz w:val="18"/>
                <w:szCs w:val="18"/>
                <w:lang w:val="en-US"/>
              </w:rPr>
              <w:t>14,2</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0,142</w:t>
            </w:r>
          </w:p>
        </w:tc>
      </w:tr>
      <w:tr w:rsidR="008C6755" w:rsidRPr="00DA0DCD" w:rsidTr="00390762">
        <w:trPr>
          <w:cantSplit/>
          <w:tblHeader/>
        </w:trPr>
        <w:tc>
          <w:tcPr>
            <w:tcW w:w="1560" w:type="dxa"/>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Banks and Insurance sample</w:t>
            </w:r>
          </w:p>
        </w:tc>
        <w:tc>
          <w:tcPr>
            <w:tcW w:w="567" w:type="dxa"/>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0,512</w:t>
            </w:r>
            <w:r w:rsidRPr="00DA0DCD">
              <w:rPr>
                <w:sz w:val="18"/>
                <w:szCs w:val="18"/>
                <w:vertAlign w:val="superscript"/>
                <w:lang w:val="en-US"/>
              </w:rPr>
              <w:t>a</w:t>
            </w:r>
          </w:p>
        </w:tc>
        <w:tc>
          <w:tcPr>
            <w:tcW w:w="708" w:type="dxa"/>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0,262</w:t>
            </w:r>
          </w:p>
        </w:tc>
        <w:tc>
          <w:tcPr>
            <w:tcW w:w="567" w:type="dxa"/>
            <w:shd w:val="clear" w:color="auto" w:fill="FFFFFF"/>
            <w:tcMar>
              <w:top w:w="30" w:type="dxa"/>
              <w:left w:w="30" w:type="dxa"/>
              <w:bottom w:w="30" w:type="dxa"/>
              <w:right w:w="30" w:type="dxa"/>
            </w:tcMar>
            <w:vAlign w:val="center"/>
          </w:tcPr>
          <w:p w:rsidR="008C6755" w:rsidRPr="00DA0DCD" w:rsidRDefault="008C6755" w:rsidP="00390762">
            <w:pPr>
              <w:pStyle w:val="Geenafstand"/>
              <w:rPr>
                <w:b/>
                <w:sz w:val="18"/>
                <w:szCs w:val="18"/>
                <w:lang w:val="en-US"/>
              </w:rPr>
            </w:pPr>
            <w:r w:rsidRPr="00DA0DCD">
              <w:rPr>
                <w:b/>
                <w:sz w:val="18"/>
                <w:szCs w:val="18"/>
                <w:lang w:val="en-US"/>
              </w:rPr>
              <w:t>26,2</w:t>
            </w:r>
          </w:p>
        </w:tc>
        <w:tc>
          <w:tcPr>
            <w:tcW w:w="851" w:type="dxa"/>
            <w:tcBorders>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0,262</w:t>
            </w: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Denmark</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0,526</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0,277</w:t>
            </w:r>
          </w:p>
        </w:tc>
        <w:tc>
          <w:tcPr>
            <w:tcW w:w="851" w:type="dxa"/>
            <w:shd w:val="clear" w:color="auto" w:fill="FFFFFF"/>
            <w:vAlign w:val="center"/>
          </w:tcPr>
          <w:p w:rsidR="008C6755" w:rsidRPr="00DA0DCD" w:rsidRDefault="008C6755" w:rsidP="00390762">
            <w:pPr>
              <w:pStyle w:val="Geenafstand"/>
              <w:rPr>
                <w:b/>
                <w:sz w:val="18"/>
                <w:szCs w:val="18"/>
                <w:lang w:val="en-US"/>
              </w:rPr>
            </w:pPr>
            <w:r w:rsidRPr="00DA0DCD">
              <w:rPr>
                <w:b/>
                <w:sz w:val="18"/>
                <w:szCs w:val="18"/>
                <w:lang w:val="en-US"/>
              </w:rPr>
              <w:t>27,7</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0,276</w:t>
            </w:r>
          </w:p>
        </w:tc>
      </w:tr>
      <w:tr w:rsidR="008C6755" w:rsidRPr="00DA0DCD" w:rsidTr="00390762">
        <w:trPr>
          <w:cantSplit/>
          <w:tblHeader/>
        </w:trPr>
        <w:tc>
          <w:tcPr>
            <w:tcW w:w="1560" w:type="dxa"/>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Banks sample</w:t>
            </w:r>
          </w:p>
        </w:tc>
        <w:tc>
          <w:tcPr>
            <w:tcW w:w="567" w:type="dxa"/>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0,520</w:t>
            </w:r>
            <w:r w:rsidRPr="00DA0DCD">
              <w:rPr>
                <w:sz w:val="18"/>
                <w:szCs w:val="18"/>
                <w:vertAlign w:val="superscript"/>
                <w:lang w:val="en-US"/>
              </w:rPr>
              <w:t>a</w:t>
            </w:r>
          </w:p>
        </w:tc>
        <w:tc>
          <w:tcPr>
            <w:tcW w:w="708" w:type="dxa"/>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0,270</w:t>
            </w:r>
          </w:p>
        </w:tc>
        <w:tc>
          <w:tcPr>
            <w:tcW w:w="567" w:type="dxa"/>
            <w:shd w:val="clear" w:color="auto" w:fill="FFFFFF"/>
            <w:tcMar>
              <w:top w:w="30" w:type="dxa"/>
              <w:left w:w="30" w:type="dxa"/>
              <w:bottom w:w="30" w:type="dxa"/>
              <w:right w:w="30" w:type="dxa"/>
            </w:tcMar>
            <w:vAlign w:val="center"/>
          </w:tcPr>
          <w:p w:rsidR="008C6755" w:rsidRPr="00DA0DCD" w:rsidRDefault="008C6755" w:rsidP="00390762">
            <w:pPr>
              <w:pStyle w:val="Geenafstand"/>
              <w:rPr>
                <w:b/>
                <w:sz w:val="18"/>
                <w:szCs w:val="18"/>
                <w:lang w:val="en-US"/>
              </w:rPr>
            </w:pPr>
            <w:r w:rsidRPr="00DA0DCD">
              <w:rPr>
                <w:b/>
                <w:sz w:val="18"/>
                <w:szCs w:val="18"/>
                <w:lang w:val="en-US"/>
              </w:rPr>
              <w:t>27,0</w:t>
            </w:r>
          </w:p>
        </w:tc>
        <w:tc>
          <w:tcPr>
            <w:tcW w:w="851" w:type="dxa"/>
            <w:tcBorders>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0,270</w:t>
            </w: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 xml:space="preserve">Germany </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0,306</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0,093</w:t>
            </w:r>
          </w:p>
        </w:tc>
        <w:tc>
          <w:tcPr>
            <w:tcW w:w="851" w:type="dxa"/>
            <w:shd w:val="clear" w:color="auto" w:fill="FFFFFF"/>
            <w:vAlign w:val="center"/>
          </w:tcPr>
          <w:p w:rsidR="008C6755" w:rsidRPr="00DA0DCD" w:rsidRDefault="008C6755" w:rsidP="00390762">
            <w:pPr>
              <w:pStyle w:val="Geenafstand"/>
              <w:rPr>
                <w:b/>
                <w:color w:val="FF0000"/>
                <w:sz w:val="18"/>
                <w:szCs w:val="18"/>
                <w:lang w:val="en-US"/>
              </w:rPr>
            </w:pPr>
            <w:r w:rsidRPr="00DA0DCD">
              <w:rPr>
                <w:b/>
                <w:color w:val="FF0000"/>
                <w:sz w:val="18"/>
                <w:szCs w:val="18"/>
                <w:lang w:val="en-US"/>
              </w:rPr>
              <w:t>9,3</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0,093</w:t>
            </w:r>
          </w:p>
        </w:tc>
      </w:tr>
      <w:tr w:rsidR="008C6755" w:rsidRPr="00DA0DCD" w:rsidTr="003F6056">
        <w:trPr>
          <w:cantSplit/>
          <w:trHeight w:val="341"/>
          <w:tblHeader/>
        </w:trPr>
        <w:tc>
          <w:tcPr>
            <w:tcW w:w="1560" w:type="dxa"/>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Insurance companies sample</w:t>
            </w:r>
          </w:p>
        </w:tc>
        <w:tc>
          <w:tcPr>
            <w:tcW w:w="567" w:type="dxa"/>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0,501</w:t>
            </w:r>
            <w:r w:rsidRPr="00DA0DCD">
              <w:rPr>
                <w:sz w:val="18"/>
                <w:szCs w:val="18"/>
                <w:vertAlign w:val="superscript"/>
                <w:lang w:val="en-US"/>
              </w:rPr>
              <w:t>a</w:t>
            </w:r>
          </w:p>
        </w:tc>
        <w:tc>
          <w:tcPr>
            <w:tcW w:w="708" w:type="dxa"/>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0,251</w:t>
            </w:r>
          </w:p>
        </w:tc>
        <w:tc>
          <w:tcPr>
            <w:tcW w:w="567" w:type="dxa"/>
            <w:shd w:val="clear" w:color="auto" w:fill="FFFFFF"/>
            <w:tcMar>
              <w:top w:w="30" w:type="dxa"/>
              <w:left w:w="30" w:type="dxa"/>
              <w:bottom w:w="30" w:type="dxa"/>
              <w:right w:w="30" w:type="dxa"/>
            </w:tcMar>
            <w:vAlign w:val="center"/>
          </w:tcPr>
          <w:p w:rsidR="008C6755" w:rsidRPr="00DA0DCD" w:rsidRDefault="008C6755" w:rsidP="00390762">
            <w:pPr>
              <w:pStyle w:val="Geenafstand"/>
              <w:rPr>
                <w:b/>
                <w:sz w:val="18"/>
                <w:szCs w:val="18"/>
                <w:lang w:val="en-US"/>
              </w:rPr>
            </w:pPr>
            <w:r w:rsidRPr="00DA0DCD">
              <w:rPr>
                <w:b/>
                <w:sz w:val="18"/>
                <w:szCs w:val="18"/>
                <w:lang w:val="en-US"/>
              </w:rPr>
              <w:t>25,1</w:t>
            </w:r>
          </w:p>
        </w:tc>
        <w:tc>
          <w:tcPr>
            <w:tcW w:w="851" w:type="dxa"/>
            <w:tcBorders>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0,251</w:t>
            </w: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Finland</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0,545</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0,297</w:t>
            </w:r>
          </w:p>
        </w:tc>
        <w:tc>
          <w:tcPr>
            <w:tcW w:w="851" w:type="dxa"/>
            <w:shd w:val="clear" w:color="auto" w:fill="FFFFFF"/>
            <w:vAlign w:val="center"/>
          </w:tcPr>
          <w:p w:rsidR="008C6755" w:rsidRPr="00DA0DCD" w:rsidRDefault="008C6755" w:rsidP="00390762">
            <w:pPr>
              <w:pStyle w:val="Geenafstand"/>
              <w:rPr>
                <w:b/>
                <w:sz w:val="18"/>
                <w:szCs w:val="18"/>
                <w:lang w:val="en-US"/>
              </w:rPr>
            </w:pPr>
            <w:r w:rsidRPr="00DA0DCD">
              <w:rPr>
                <w:b/>
                <w:sz w:val="18"/>
                <w:szCs w:val="18"/>
                <w:lang w:val="en-US"/>
              </w:rPr>
              <w:t>29,7</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0,293</w:t>
            </w:r>
          </w:p>
        </w:tc>
      </w:tr>
      <w:tr w:rsidR="008C6755" w:rsidRPr="00DA0DCD" w:rsidTr="00390762">
        <w:trPr>
          <w:cantSplit/>
          <w:tblHeader/>
        </w:trPr>
        <w:tc>
          <w:tcPr>
            <w:tcW w:w="1560" w:type="dxa"/>
            <w:tcBorders>
              <w:bottom w:val="single" w:sz="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‘Other’ financial institutions sample</w:t>
            </w:r>
          </w:p>
        </w:tc>
        <w:tc>
          <w:tcPr>
            <w:tcW w:w="567" w:type="dxa"/>
            <w:tcBorders>
              <w:bottom w:val="single" w:sz="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0,350</w:t>
            </w:r>
            <w:r w:rsidRPr="00DA0DCD">
              <w:rPr>
                <w:sz w:val="18"/>
                <w:szCs w:val="18"/>
                <w:vertAlign w:val="superscript"/>
                <w:lang w:val="en-US"/>
              </w:rPr>
              <w:t>a</w:t>
            </w:r>
          </w:p>
        </w:tc>
        <w:tc>
          <w:tcPr>
            <w:tcW w:w="708" w:type="dxa"/>
            <w:tcBorders>
              <w:bottom w:val="single" w:sz="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0,123</w:t>
            </w:r>
          </w:p>
        </w:tc>
        <w:tc>
          <w:tcPr>
            <w:tcW w:w="567" w:type="dxa"/>
            <w:tcBorders>
              <w:bottom w:val="single" w:sz="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b/>
                <w:sz w:val="18"/>
                <w:szCs w:val="18"/>
                <w:lang w:val="en-US"/>
              </w:rPr>
            </w:pPr>
            <w:r w:rsidRPr="00DA0DCD">
              <w:rPr>
                <w:b/>
                <w:sz w:val="18"/>
                <w:szCs w:val="18"/>
                <w:lang w:val="en-US"/>
              </w:rPr>
              <w:t>12,3</w:t>
            </w:r>
          </w:p>
        </w:tc>
        <w:tc>
          <w:tcPr>
            <w:tcW w:w="851" w:type="dxa"/>
            <w:tcBorders>
              <w:bottom w:val="single" w:sz="2" w:space="0" w:color="auto"/>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r w:rsidRPr="00DA0DCD">
              <w:rPr>
                <w:sz w:val="18"/>
                <w:szCs w:val="18"/>
                <w:lang w:val="en-US"/>
              </w:rPr>
              <w:t>0,123</w:t>
            </w: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France</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0,314</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0,099</w:t>
            </w:r>
          </w:p>
        </w:tc>
        <w:tc>
          <w:tcPr>
            <w:tcW w:w="851" w:type="dxa"/>
            <w:shd w:val="clear" w:color="auto" w:fill="FFFFFF"/>
            <w:vAlign w:val="center"/>
          </w:tcPr>
          <w:p w:rsidR="008C6755" w:rsidRPr="00DA0DCD" w:rsidRDefault="008C6755" w:rsidP="00390762">
            <w:pPr>
              <w:pStyle w:val="Geenafstand"/>
              <w:rPr>
                <w:b/>
                <w:color w:val="FF0000"/>
                <w:sz w:val="18"/>
                <w:szCs w:val="18"/>
                <w:lang w:val="en-US"/>
              </w:rPr>
            </w:pPr>
            <w:r w:rsidRPr="00DA0DCD">
              <w:rPr>
                <w:b/>
                <w:color w:val="FF0000"/>
                <w:sz w:val="18"/>
                <w:szCs w:val="18"/>
                <w:lang w:val="en-US"/>
              </w:rPr>
              <w:t>9,9</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0,098</w:t>
            </w:r>
          </w:p>
        </w:tc>
      </w:tr>
      <w:tr w:rsidR="008C6755" w:rsidRPr="00DA0DCD" w:rsidTr="00390762">
        <w:trPr>
          <w:cantSplit/>
          <w:tblHeader/>
        </w:trPr>
        <w:tc>
          <w:tcPr>
            <w:tcW w:w="1560" w:type="dxa"/>
            <w:tcBorders>
              <w:top w:val="single" w:sz="2" w:space="0" w:color="auto"/>
              <w:left w:val="single" w:sz="2" w:space="0" w:color="auto"/>
              <w:bottom w:val="nil"/>
              <w:right w:val="nil"/>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p>
        </w:tc>
        <w:tc>
          <w:tcPr>
            <w:tcW w:w="567" w:type="dxa"/>
            <w:tcBorders>
              <w:top w:val="single" w:sz="2" w:space="0" w:color="auto"/>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708" w:type="dxa"/>
            <w:tcBorders>
              <w:top w:val="single" w:sz="2" w:space="0" w:color="auto"/>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567" w:type="dxa"/>
            <w:tcBorders>
              <w:top w:val="single" w:sz="2" w:space="0" w:color="auto"/>
              <w:left w:val="nil"/>
              <w:bottom w:val="nil"/>
              <w:right w:val="nil"/>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p>
        </w:tc>
        <w:tc>
          <w:tcPr>
            <w:tcW w:w="851" w:type="dxa"/>
            <w:tcBorders>
              <w:top w:val="single" w:sz="2" w:space="0" w:color="auto"/>
              <w:left w:val="nil"/>
              <w:bottom w:val="nil"/>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 xml:space="preserve">Ireland </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0,374</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0,140</w:t>
            </w:r>
          </w:p>
        </w:tc>
        <w:tc>
          <w:tcPr>
            <w:tcW w:w="851" w:type="dxa"/>
            <w:shd w:val="clear" w:color="auto" w:fill="FFFFFF"/>
            <w:vAlign w:val="center"/>
          </w:tcPr>
          <w:p w:rsidR="008C6755" w:rsidRPr="00DA0DCD" w:rsidRDefault="008C6755" w:rsidP="00390762">
            <w:pPr>
              <w:pStyle w:val="Geenafstand"/>
              <w:rPr>
                <w:b/>
                <w:sz w:val="18"/>
                <w:szCs w:val="18"/>
                <w:lang w:val="en-US"/>
              </w:rPr>
            </w:pPr>
            <w:r w:rsidRPr="00DA0DCD">
              <w:rPr>
                <w:b/>
                <w:sz w:val="18"/>
                <w:szCs w:val="18"/>
                <w:lang w:val="en-US"/>
              </w:rPr>
              <w:t>14,0</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0,138</w:t>
            </w:r>
          </w:p>
        </w:tc>
      </w:tr>
      <w:tr w:rsidR="008C6755" w:rsidRPr="00DA0DCD" w:rsidTr="00390762">
        <w:trPr>
          <w:cantSplit/>
          <w:tblHeader/>
        </w:trPr>
        <w:tc>
          <w:tcPr>
            <w:tcW w:w="1560" w:type="dxa"/>
            <w:tcBorders>
              <w:top w:val="nil"/>
              <w:left w:val="single" w:sz="2" w:space="0" w:color="auto"/>
              <w:bottom w:val="nil"/>
              <w:right w:val="nil"/>
            </w:tcBorders>
            <w:shd w:val="clear" w:color="auto" w:fill="FFFFFF"/>
            <w:tcMar>
              <w:top w:w="30" w:type="dxa"/>
              <w:left w:w="30" w:type="dxa"/>
              <w:bottom w:w="30" w:type="dxa"/>
              <w:right w:w="30" w:type="dxa"/>
            </w:tcMar>
          </w:tcPr>
          <w:p w:rsidR="008C6755" w:rsidRPr="00DA0DCD" w:rsidRDefault="008C6755" w:rsidP="00390762">
            <w:pPr>
              <w:pStyle w:val="Geenafstand"/>
              <w:rPr>
                <w:b/>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bottom"/>
          </w:tcPr>
          <w:p w:rsidR="008C6755" w:rsidRPr="00DA0DCD" w:rsidRDefault="008C6755" w:rsidP="00390762">
            <w:pPr>
              <w:pStyle w:val="Geenafstand"/>
              <w:rPr>
                <w:b/>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vAlign w:val="bottom"/>
          </w:tcPr>
          <w:p w:rsidR="008C6755" w:rsidRPr="00DA0DCD" w:rsidRDefault="008C6755" w:rsidP="00390762">
            <w:pPr>
              <w:pStyle w:val="Geenafstand"/>
              <w:rPr>
                <w:b/>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8C6755" w:rsidRPr="00DA0DCD" w:rsidRDefault="008C6755" w:rsidP="00390762">
            <w:pPr>
              <w:pStyle w:val="Geenafstand"/>
              <w:rPr>
                <w:b/>
                <w:sz w:val="18"/>
                <w:szCs w:val="18"/>
                <w:lang w:val="en-US"/>
              </w:rPr>
            </w:pPr>
          </w:p>
        </w:tc>
        <w:tc>
          <w:tcPr>
            <w:tcW w:w="851" w:type="dxa"/>
            <w:tcBorders>
              <w:top w:val="nil"/>
              <w:left w:val="nil"/>
              <w:bottom w:val="nil"/>
              <w:right w:val="single" w:sz="12" w:space="0" w:color="auto"/>
            </w:tcBorders>
            <w:shd w:val="clear" w:color="auto" w:fill="FFFFFF"/>
            <w:tcMar>
              <w:top w:w="30" w:type="dxa"/>
              <w:left w:w="30" w:type="dxa"/>
              <w:bottom w:w="30" w:type="dxa"/>
              <w:right w:w="30" w:type="dxa"/>
            </w:tcMar>
            <w:vAlign w:val="bottom"/>
          </w:tcPr>
          <w:p w:rsidR="008C6755" w:rsidRPr="00DA0DCD" w:rsidRDefault="008C6755" w:rsidP="00390762">
            <w:pPr>
              <w:pStyle w:val="Geenafstand"/>
              <w:rPr>
                <w:b/>
                <w:sz w:val="18"/>
                <w:szCs w:val="18"/>
                <w:lang w:val="en-US"/>
              </w:rPr>
            </w:pP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 xml:space="preserve">Italy </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0,519</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0,269</w:t>
            </w:r>
          </w:p>
        </w:tc>
        <w:tc>
          <w:tcPr>
            <w:tcW w:w="851" w:type="dxa"/>
            <w:shd w:val="clear" w:color="auto" w:fill="FFFFFF"/>
            <w:vAlign w:val="center"/>
          </w:tcPr>
          <w:p w:rsidR="008C6755" w:rsidRPr="00DA0DCD" w:rsidRDefault="008C6755" w:rsidP="00390762">
            <w:pPr>
              <w:pStyle w:val="Geenafstand"/>
              <w:rPr>
                <w:b/>
                <w:sz w:val="18"/>
                <w:szCs w:val="18"/>
                <w:lang w:val="en-US"/>
              </w:rPr>
            </w:pPr>
            <w:r w:rsidRPr="00DA0DCD">
              <w:rPr>
                <w:b/>
                <w:sz w:val="18"/>
                <w:szCs w:val="18"/>
                <w:lang w:val="en-US"/>
              </w:rPr>
              <w:t>26,9</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0,269</w:t>
            </w:r>
          </w:p>
        </w:tc>
      </w:tr>
      <w:tr w:rsidR="008C6755" w:rsidRPr="00DA0DCD" w:rsidTr="00390762">
        <w:trPr>
          <w:cantSplit/>
          <w:tblHeader/>
        </w:trPr>
        <w:tc>
          <w:tcPr>
            <w:tcW w:w="1560" w:type="dxa"/>
            <w:tcBorders>
              <w:top w:val="nil"/>
              <w:left w:val="single" w:sz="2" w:space="0" w:color="auto"/>
              <w:bottom w:val="nil"/>
              <w:right w:val="nil"/>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851" w:type="dxa"/>
            <w:tcBorders>
              <w:top w:val="nil"/>
              <w:left w:val="nil"/>
              <w:bottom w:val="nil"/>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Luxembourg</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0,137</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0,019</w:t>
            </w:r>
          </w:p>
        </w:tc>
        <w:tc>
          <w:tcPr>
            <w:tcW w:w="851" w:type="dxa"/>
            <w:shd w:val="clear" w:color="auto" w:fill="FFFFFF"/>
            <w:vAlign w:val="center"/>
          </w:tcPr>
          <w:p w:rsidR="008C6755" w:rsidRPr="00DA0DCD" w:rsidRDefault="008C6755" w:rsidP="00390762">
            <w:pPr>
              <w:pStyle w:val="Geenafstand"/>
              <w:rPr>
                <w:b/>
                <w:color w:val="FF0000"/>
                <w:sz w:val="18"/>
                <w:szCs w:val="18"/>
                <w:lang w:val="en-US"/>
              </w:rPr>
            </w:pPr>
            <w:r w:rsidRPr="00DA0DCD">
              <w:rPr>
                <w:b/>
                <w:color w:val="FF0000"/>
                <w:sz w:val="18"/>
                <w:szCs w:val="18"/>
                <w:lang w:val="en-US"/>
              </w:rPr>
              <w:t>1,9</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0,017</w:t>
            </w:r>
          </w:p>
        </w:tc>
      </w:tr>
      <w:tr w:rsidR="008C6755" w:rsidRPr="00DA0DCD" w:rsidTr="00390762">
        <w:trPr>
          <w:cantSplit/>
          <w:tblHeader/>
        </w:trPr>
        <w:tc>
          <w:tcPr>
            <w:tcW w:w="1560" w:type="dxa"/>
            <w:tcBorders>
              <w:top w:val="nil"/>
              <w:left w:val="single" w:sz="2" w:space="0" w:color="auto"/>
              <w:bottom w:val="nil"/>
              <w:right w:val="nil"/>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851" w:type="dxa"/>
            <w:tcBorders>
              <w:top w:val="nil"/>
              <w:left w:val="nil"/>
              <w:bottom w:val="nil"/>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 xml:space="preserve">Netherlands </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0,433</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0,188</w:t>
            </w:r>
          </w:p>
        </w:tc>
        <w:tc>
          <w:tcPr>
            <w:tcW w:w="851" w:type="dxa"/>
            <w:shd w:val="clear" w:color="auto" w:fill="FFFFFF"/>
            <w:vAlign w:val="center"/>
          </w:tcPr>
          <w:p w:rsidR="008C6755" w:rsidRPr="00DA0DCD" w:rsidRDefault="008C6755" w:rsidP="00390762">
            <w:pPr>
              <w:pStyle w:val="Geenafstand"/>
              <w:rPr>
                <w:b/>
                <w:sz w:val="18"/>
                <w:szCs w:val="18"/>
                <w:lang w:val="en-US"/>
              </w:rPr>
            </w:pPr>
            <w:r w:rsidRPr="00DA0DCD">
              <w:rPr>
                <w:b/>
                <w:sz w:val="18"/>
                <w:szCs w:val="18"/>
                <w:lang w:val="en-US"/>
              </w:rPr>
              <w:t>18,8</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0,187</w:t>
            </w:r>
          </w:p>
        </w:tc>
      </w:tr>
      <w:tr w:rsidR="008C6755" w:rsidRPr="00DA0DCD" w:rsidTr="00390762">
        <w:trPr>
          <w:cantSplit/>
          <w:tblHeader/>
        </w:trPr>
        <w:tc>
          <w:tcPr>
            <w:tcW w:w="1560" w:type="dxa"/>
            <w:tcBorders>
              <w:top w:val="nil"/>
              <w:left w:val="single" w:sz="2" w:space="0" w:color="auto"/>
              <w:bottom w:val="nil"/>
              <w:right w:val="nil"/>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851" w:type="dxa"/>
            <w:tcBorders>
              <w:top w:val="nil"/>
              <w:left w:val="nil"/>
              <w:bottom w:val="nil"/>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Austria</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0,445</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0,198</w:t>
            </w:r>
          </w:p>
        </w:tc>
        <w:tc>
          <w:tcPr>
            <w:tcW w:w="851" w:type="dxa"/>
            <w:shd w:val="clear" w:color="auto" w:fill="FFFFFF"/>
            <w:vAlign w:val="center"/>
          </w:tcPr>
          <w:p w:rsidR="008C6755" w:rsidRPr="00DA0DCD" w:rsidRDefault="008C6755" w:rsidP="00390762">
            <w:pPr>
              <w:pStyle w:val="Geenafstand"/>
              <w:rPr>
                <w:b/>
                <w:sz w:val="18"/>
                <w:szCs w:val="18"/>
                <w:lang w:val="en-US"/>
              </w:rPr>
            </w:pPr>
            <w:r w:rsidRPr="00DA0DCD">
              <w:rPr>
                <w:b/>
                <w:sz w:val="18"/>
                <w:szCs w:val="18"/>
                <w:lang w:val="en-US"/>
              </w:rPr>
              <w:t>19,8</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0,197</w:t>
            </w:r>
          </w:p>
        </w:tc>
      </w:tr>
      <w:tr w:rsidR="008C6755" w:rsidRPr="00DA0DCD" w:rsidTr="00390762">
        <w:trPr>
          <w:cantSplit/>
          <w:tblHeader/>
        </w:trPr>
        <w:tc>
          <w:tcPr>
            <w:tcW w:w="1560" w:type="dxa"/>
            <w:tcBorders>
              <w:top w:val="nil"/>
              <w:left w:val="single" w:sz="2" w:space="0" w:color="auto"/>
              <w:bottom w:val="nil"/>
              <w:right w:val="nil"/>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851" w:type="dxa"/>
            <w:tcBorders>
              <w:top w:val="nil"/>
              <w:left w:val="nil"/>
              <w:bottom w:val="nil"/>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Portugal</w:t>
            </w:r>
          </w:p>
        </w:tc>
        <w:tc>
          <w:tcPr>
            <w:tcW w:w="850" w:type="dxa"/>
            <w:shd w:val="clear" w:color="auto" w:fill="FFFFFF"/>
            <w:vAlign w:val="center"/>
          </w:tcPr>
          <w:p w:rsidR="008C6755" w:rsidRPr="00DA0DCD" w:rsidRDefault="008C6755" w:rsidP="00390762">
            <w:pPr>
              <w:pStyle w:val="Geenafstand"/>
              <w:rPr>
                <w:rFonts w:cs="Arial"/>
                <w:sz w:val="18"/>
                <w:szCs w:val="18"/>
                <w:lang w:val="en-US"/>
              </w:rPr>
            </w:pPr>
            <w:r w:rsidRPr="00DA0DCD">
              <w:rPr>
                <w:rFonts w:cs="Arial"/>
                <w:sz w:val="18"/>
                <w:szCs w:val="18"/>
                <w:lang w:val="en-US"/>
              </w:rPr>
              <w:t>0,200</w:t>
            </w:r>
            <w:r w:rsidRPr="00DA0DCD">
              <w:rPr>
                <w:rFonts w:cs="Arial"/>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rFonts w:cs="Arial"/>
                <w:sz w:val="18"/>
                <w:szCs w:val="18"/>
                <w:lang w:val="en-US"/>
              </w:rPr>
            </w:pPr>
            <w:r w:rsidRPr="00DA0DCD">
              <w:rPr>
                <w:rFonts w:cs="Arial"/>
                <w:sz w:val="18"/>
                <w:szCs w:val="18"/>
                <w:lang w:val="en-US"/>
              </w:rPr>
              <w:t>0,040</w:t>
            </w:r>
          </w:p>
        </w:tc>
        <w:tc>
          <w:tcPr>
            <w:tcW w:w="851" w:type="dxa"/>
            <w:shd w:val="clear" w:color="auto" w:fill="FFFFFF"/>
            <w:vAlign w:val="center"/>
          </w:tcPr>
          <w:p w:rsidR="008C6755" w:rsidRPr="00DA0DCD" w:rsidRDefault="008C6755" w:rsidP="00390762">
            <w:pPr>
              <w:pStyle w:val="Geenafstand"/>
              <w:rPr>
                <w:rFonts w:cs="Arial"/>
                <w:b/>
                <w:color w:val="FF0000"/>
                <w:sz w:val="18"/>
                <w:szCs w:val="18"/>
                <w:lang w:val="en-US"/>
              </w:rPr>
            </w:pPr>
            <w:r w:rsidRPr="00DA0DCD">
              <w:rPr>
                <w:rFonts w:cs="Arial"/>
                <w:b/>
                <w:color w:val="FF0000"/>
                <w:sz w:val="18"/>
                <w:szCs w:val="18"/>
                <w:lang w:val="en-US"/>
              </w:rPr>
              <w:t>4,0</w:t>
            </w:r>
          </w:p>
        </w:tc>
        <w:tc>
          <w:tcPr>
            <w:tcW w:w="992" w:type="dxa"/>
            <w:shd w:val="clear" w:color="auto" w:fill="FFFFFF"/>
            <w:vAlign w:val="center"/>
          </w:tcPr>
          <w:p w:rsidR="008C6755" w:rsidRPr="00DA0DCD" w:rsidRDefault="008C6755" w:rsidP="00390762">
            <w:pPr>
              <w:pStyle w:val="Geenafstand"/>
              <w:rPr>
                <w:rFonts w:cs="Arial"/>
                <w:sz w:val="18"/>
                <w:szCs w:val="18"/>
                <w:lang w:val="en-US"/>
              </w:rPr>
            </w:pPr>
            <w:r w:rsidRPr="00DA0DCD">
              <w:rPr>
                <w:rFonts w:cs="Arial"/>
                <w:sz w:val="18"/>
                <w:szCs w:val="18"/>
                <w:lang w:val="en-US"/>
              </w:rPr>
              <w:t>0,037</w:t>
            </w:r>
          </w:p>
        </w:tc>
      </w:tr>
      <w:tr w:rsidR="008C6755" w:rsidRPr="00DA0DCD" w:rsidTr="00390762">
        <w:trPr>
          <w:cantSplit/>
          <w:tblHeader/>
        </w:trPr>
        <w:tc>
          <w:tcPr>
            <w:tcW w:w="1560" w:type="dxa"/>
            <w:tcBorders>
              <w:top w:val="nil"/>
              <w:left w:val="single" w:sz="2" w:space="0" w:color="auto"/>
              <w:bottom w:val="nil"/>
              <w:right w:val="nil"/>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851" w:type="dxa"/>
            <w:tcBorders>
              <w:top w:val="nil"/>
              <w:left w:val="nil"/>
              <w:bottom w:val="nil"/>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Spain</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0,430</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0,185</w:t>
            </w:r>
          </w:p>
        </w:tc>
        <w:tc>
          <w:tcPr>
            <w:tcW w:w="851" w:type="dxa"/>
            <w:shd w:val="clear" w:color="auto" w:fill="FFFFFF"/>
            <w:vAlign w:val="center"/>
          </w:tcPr>
          <w:p w:rsidR="008C6755" w:rsidRPr="00DA0DCD" w:rsidRDefault="008C6755" w:rsidP="00390762">
            <w:pPr>
              <w:pStyle w:val="Geenafstand"/>
              <w:rPr>
                <w:b/>
                <w:sz w:val="18"/>
                <w:szCs w:val="18"/>
                <w:lang w:val="en-US"/>
              </w:rPr>
            </w:pPr>
            <w:r w:rsidRPr="00DA0DCD">
              <w:rPr>
                <w:b/>
                <w:sz w:val="18"/>
                <w:szCs w:val="18"/>
                <w:lang w:val="en-US"/>
              </w:rPr>
              <w:t>18,5</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0,184</w:t>
            </w:r>
          </w:p>
        </w:tc>
      </w:tr>
      <w:tr w:rsidR="008C6755" w:rsidRPr="00DA0DCD" w:rsidTr="00390762">
        <w:trPr>
          <w:cantSplit/>
          <w:tblHeader/>
        </w:trPr>
        <w:tc>
          <w:tcPr>
            <w:tcW w:w="1560" w:type="dxa"/>
            <w:tcBorders>
              <w:top w:val="nil"/>
              <w:left w:val="single" w:sz="2" w:space="0" w:color="auto"/>
              <w:bottom w:val="nil"/>
              <w:right w:val="nil"/>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851" w:type="dxa"/>
            <w:tcBorders>
              <w:top w:val="nil"/>
              <w:left w:val="nil"/>
              <w:bottom w:val="nil"/>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 xml:space="preserve">United kingdom </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0,424</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0,180</w:t>
            </w:r>
          </w:p>
        </w:tc>
        <w:tc>
          <w:tcPr>
            <w:tcW w:w="851" w:type="dxa"/>
            <w:shd w:val="clear" w:color="auto" w:fill="FFFFFF"/>
            <w:vAlign w:val="center"/>
          </w:tcPr>
          <w:p w:rsidR="008C6755" w:rsidRPr="00DA0DCD" w:rsidRDefault="008C6755" w:rsidP="00390762">
            <w:pPr>
              <w:pStyle w:val="Geenafstand"/>
              <w:rPr>
                <w:b/>
                <w:sz w:val="18"/>
                <w:szCs w:val="18"/>
                <w:lang w:val="en-US"/>
              </w:rPr>
            </w:pPr>
            <w:r w:rsidRPr="00DA0DCD">
              <w:rPr>
                <w:b/>
                <w:sz w:val="18"/>
                <w:szCs w:val="18"/>
                <w:lang w:val="en-US"/>
              </w:rPr>
              <w:t>18,0</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0,180</w:t>
            </w:r>
          </w:p>
        </w:tc>
      </w:tr>
      <w:tr w:rsidR="008C6755" w:rsidRPr="00DA0DCD" w:rsidTr="00390762">
        <w:trPr>
          <w:cantSplit/>
          <w:tblHeader/>
        </w:trPr>
        <w:tc>
          <w:tcPr>
            <w:tcW w:w="1560" w:type="dxa"/>
            <w:tcBorders>
              <w:top w:val="nil"/>
              <w:left w:val="single" w:sz="2" w:space="0" w:color="auto"/>
              <w:bottom w:val="single" w:sz="2" w:space="0" w:color="auto"/>
              <w:right w:val="nil"/>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p>
        </w:tc>
        <w:tc>
          <w:tcPr>
            <w:tcW w:w="567" w:type="dxa"/>
            <w:tcBorders>
              <w:top w:val="nil"/>
              <w:left w:val="nil"/>
              <w:bottom w:val="single" w:sz="2" w:space="0" w:color="auto"/>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708" w:type="dxa"/>
            <w:tcBorders>
              <w:top w:val="nil"/>
              <w:left w:val="nil"/>
              <w:bottom w:val="single" w:sz="2" w:space="0" w:color="auto"/>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567" w:type="dxa"/>
            <w:tcBorders>
              <w:top w:val="nil"/>
              <w:left w:val="nil"/>
              <w:bottom w:val="single" w:sz="2" w:space="0" w:color="auto"/>
              <w:right w:val="nil"/>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851" w:type="dxa"/>
            <w:tcBorders>
              <w:top w:val="nil"/>
              <w:left w:val="nil"/>
              <w:bottom w:val="single" w:sz="2" w:space="0" w:color="auto"/>
              <w:right w:val="single" w:sz="12" w:space="0" w:color="auto"/>
            </w:tcBorders>
            <w:shd w:val="clear" w:color="auto" w:fill="FFFFFF"/>
            <w:tcMar>
              <w:top w:w="30" w:type="dxa"/>
              <w:left w:w="30" w:type="dxa"/>
              <w:bottom w:w="30" w:type="dxa"/>
              <w:right w:w="30" w:type="dxa"/>
            </w:tcMar>
            <w:vAlign w:val="center"/>
          </w:tcPr>
          <w:p w:rsidR="008C6755" w:rsidRPr="00DA0DCD" w:rsidRDefault="008C6755" w:rsidP="00390762">
            <w:pPr>
              <w:pStyle w:val="Geenafstand"/>
              <w:rPr>
                <w:sz w:val="18"/>
                <w:szCs w:val="18"/>
                <w:lang w:val="en-US"/>
              </w:rPr>
            </w:pPr>
          </w:p>
        </w:tc>
        <w:tc>
          <w:tcPr>
            <w:tcW w:w="1276" w:type="dxa"/>
            <w:tcBorders>
              <w:left w:val="single" w:sz="12" w:space="0" w:color="auto"/>
            </w:tcBorders>
            <w:shd w:val="clear" w:color="auto" w:fill="FFFFFF"/>
            <w:tcMar>
              <w:top w:w="30" w:type="dxa"/>
              <w:left w:w="30" w:type="dxa"/>
              <w:bottom w:w="30" w:type="dxa"/>
              <w:right w:w="30" w:type="dxa"/>
            </w:tcMar>
          </w:tcPr>
          <w:p w:rsidR="008C6755" w:rsidRPr="00DA0DCD" w:rsidRDefault="008C6755" w:rsidP="00390762">
            <w:pPr>
              <w:pStyle w:val="Geenafstand"/>
              <w:rPr>
                <w:sz w:val="18"/>
                <w:szCs w:val="18"/>
                <w:lang w:val="en-US"/>
              </w:rPr>
            </w:pPr>
            <w:r w:rsidRPr="00DA0DCD">
              <w:rPr>
                <w:sz w:val="18"/>
                <w:szCs w:val="18"/>
                <w:lang w:val="en-US"/>
              </w:rPr>
              <w:t xml:space="preserve">Sweden </w:t>
            </w:r>
          </w:p>
        </w:tc>
        <w:tc>
          <w:tcPr>
            <w:tcW w:w="850"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0,665</w:t>
            </w:r>
            <w:r w:rsidRPr="00DA0DCD">
              <w:rPr>
                <w:sz w:val="18"/>
                <w:szCs w:val="18"/>
                <w:vertAlign w:val="superscript"/>
                <w:lang w:val="en-US"/>
              </w:rPr>
              <w:t>a</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0,442</w:t>
            </w:r>
          </w:p>
        </w:tc>
        <w:tc>
          <w:tcPr>
            <w:tcW w:w="851" w:type="dxa"/>
            <w:shd w:val="clear" w:color="auto" w:fill="FFFFFF"/>
            <w:vAlign w:val="center"/>
          </w:tcPr>
          <w:p w:rsidR="008C6755" w:rsidRPr="00DA0DCD" w:rsidRDefault="008C6755" w:rsidP="00390762">
            <w:pPr>
              <w:pStyle w:val="Geenafstand"/>
              <w:rPr>
                <w:b/>
                <w:sz w:val="18"/>
                <w:szCs w:val="18"/>
                <w:lang w:val="en-US"/>
              </w:rPr>
            </w:pPr>
            <w:r w:rsidRPr="00DA0DCD">
              <w:rPr>
                <w:b/>
                <w:sz w:val="18"/>
                <w:szCs w:val="18"/>
                <w:lang w:val="en-US"/>
              </w:rPr>
              <w:t>44,2</w:t>
            </w:r>
          </w:p>
        </w:tc>
        <w:tc>
          <w:tcPr>
            <w:tcW w:w="992" w:type="dxa"/>
            <w:shd w:val="clear" w:color="auto" w:fill="FFFFFF"/>
            <w:vAlign w:val="center"/>
          </w:tcPr>
          <w:p w:rsidR="008C6755" w:rsidRPr="00DA0DCD" w:rsidRDefault="008C6755" w:rsidP="00390762">
            <w:pPr>
              <w:pStyle w:val="Geenafstand"/>
              <w:rPr>
                <w:sz w:val="18"/>
                <w:szCs w:val="18"/>
                <w:lang w:val="en-US"/>
              </w:rPr>
            </w:pPr>
            <w:r w:rsidRPr="00DA0DCD">
              <w:rPr>
                <w:sz w:val="18"/>
                <w:szCs w:val="18"/>
                <w:lang w:val="en-US"/>
              </w:rPr>
              <w:t>0,442</w:t>
            </w:r>
          </w:p>
        </w:tc>
      </w:tr>
      <w:tr w:rsidR="008C6755" w:rsidRPr="00872F8A" w:rsidTr="00390762">
        <w:trPr>
          <w:cantSplit/>
          <w:tblHeader/>
        </w:trPr>
        <w:tc>
          <w:tcPr>
            <w:tcW w:w="9214" w:type="dxa"/>
            <w:gridSpan w:val="10"/>
            <w:tcBorders>
              <w:right w:val="single" w:sz="2" w:space="0" w:color="auto"/>
            </w:tcBorders>
            <w:shd w:val="clear" w:color="auto" w:fill="FFFFFF"/>
          </w:tcPr>
          <w:p w:rsidR="008C6755" w:rsidRPr="00DA0DCD" w:rsidRDefault="008C6755" w:rsidP="00390762">
            <w:pPr>
              <w:pStyle w:val="Geenafstand"/>
              <w:rPr>
                <w:b/>
                <w:sz w:val="18"/>
                <w:szCs w:val="18"/>
                <w:lang w:val="en-US"/>
              </w:rPr>
            </w:pPr>
            <w:r w:rsidRPr="00DA0DCD">
              <w:rPr>
                <w:b/>
                <w:sz w:val="16"/>
                <w:szCs w:val="16"/>
                <w:lang w:val="en-US"/>
              </w:rPr>
              <w:t>a. Predictors: (Constant), E_window5, E_window4, E_window3, E_window2, E_window1, Intt, Rmt</w:t>
            </w:r>
          </w:p>
        </w:tc>
      </w:tr>
      <w:tr w:rsidR="008C6755" w:rsidRPr="00DA0DCD" w:rsidTr="00390762">
        <w:trPr>
          <w:cantSplit/>
        </w:trPr>
        <w:tc>
          <w:tcPr>
            <w:tcW w:w="9214" w:type="dxa"/>
            <w:gridSpan w:val="10"/>
            <w:tcBorders>
              <w:bottom w:val="single" w:sz="2" w:space="0" w:color="auto"/>
              <w:right w:val="single" w:sz="2" w:space="0" w:color="auto"/>
            </w:tcBorders>
            <w:shd w:val="clear" w:color="auto" w:fill="FFFFFF"/>
          </w:tcPr>
          <w:p w:rsidR="008C6755" w:rsidRPr="00DA0DCD" w:rsidRDefault="008C6755" w:rsidP="00390762">
            <w:pPr>
              <w:pStyle w:val="Geenafstand"/>
              <w:rPr>
                <w:b/>
                <w:sz w:val="18"/>
                <w:szCs w:val="18"/>
                <w:lang w:val="en-US"/>
              </w:rPr>
            </w:pPr>
            <w:r w:rsidRPr="00DA0DCD">
              <w:rPr>
                <w:b/>
                <w:sz w:val="16"/>
                <w:szCs w:val="16"/>
                <w:lang w:val="en-US"/>
              </w:rPr>
              <w:t>b. Dependent Variable: Rit</w:t>
            </w:r>
          </w:p>
        </w:tc>
      </w:tr>
    </w:tbl>
    <w:p w:rsidR="008B218D" w:rsidRPr="00DA0DCD" w:rsidRDefault="0042195C" w:rsidP="007D43DC">
      <w:pPr>
        <w:rPr>
          <w:sz w:val="20"/>
          <w:szCs w:val="20"/>
          <w:lang w:val="en-US"/>
        </w:rPr>
      </w:pPr>
      <w:r w:rsidRPr="00DA0DCD">
        <w:rPr>
          <w:sz w:val="20"/>
          <w:szCs w:val="20"/>
          <w:lang w:val="en-US"/>
        </w:rPr>
        <w:t>Table 7.1</w:t>
      </w:r>
      <w:r w:rsidR="00EB6A3D" w:rsidRPr="00DA0DCD">
        <w:rPr>
          <w:sz w:val="20"/>
          <w:szCs w:val="20"/>
          <w:lang w:val="en-US"/>
        </w:rPr>
        <w:t xml:space="preserve"> Model summary regression models</w:t>
      </w:r>
    </w:p>
    <w:p w:rsidR="007C66D7" w:rsidRPr="00DA0DCD" w:rsidRDefault="00502FF6" w:rsidP="007D43DC">
      <w:pPr>
        <w:rPr>
          <w:lang w:val="en-US"/>
        </w:rPr>
      </w:pPr>
      <w:r w:rsidRPr="00DA0DCD">
        <w:rPr>
          <w:lang w:val="en-US"/>
        </w:rPr>
        <w:t xml:space="preserve">In this table </w:t>
      </w:r>
      <w:r w:rsidR="00907FAC" w:rsidRPr="00DA0DCD">
        <w:rPr>
          <w:lang w:val="en-US"/>
        </w:rPr>
        <w:t>is shown</w:t>
      </w:r>
      <w:r w:rsidRPr="00DA0DCD">
        <w:rPr>
          <w:lang w:val="en-US"/>
        </w:rPr>
        <w:t xml:space="preserve"> that the R-square percentage of the total sample, banks and insurance companies, banks, insurance companies and ‘other’</w:t>
      </w:r>
      <w:r w:rsidR="00907FAC" w:rsidRPr="00DA0DCD">
        <w:rPr>
          <w:lang w:val="en-US"/>
        </w:rPr>
        <w:t xml:space="preserve"> </w:t>
      </w:r>
      <w:r w:rsidRPr="00DA0DCD">
        <w:rPr>
          <w:lang w:val="en-US"/>
        </w:rPr>
        <w:t>financial institutions varies between 12,3% and 27,0%. This means that the variance</w:t>
      </w:r>
      <w:r w:rsidR="00907FAC" w:rsidRPr="00DA0DCD">
        <w:rPr>
          <w:lang w:val="en-US"/>
        </w:rPr>
        <w:t xml:space="preserve"> in of the dependent variable (r</w:t>
      </w:r>
      <w:r w:rsidRPr="00DA0DCD">
        <w:rPr>
          <w:lang w:val="en-US"/>
        </w:rPr>
        <w:t xml:space="preserve">eturn of the financial institution) is between 12,3% and 27,0% explained by the regression models (Eq. 6.1 and Eq. 6.2). </w:t>
      </w:r>
      <w:r w:rsidR="00907FAC" w:rsidRPr="00DA0DCD">
        <w:rPr>
          <w:lang w:val="en-US"/>
        </w:rPr>
        <w:t>By regressing the</w:t>
      </w:r>
      <w:r w:rsidRPr="00DA0DCD">
        <w:rPr>
          <w:lang w:val="en-US"/>
        </w:rPr>
        <w:t xml:space="preserve"> total sample per co</w:t>
      </w:r>
      <w:r w:rsidR="00907FAC" w:rsidRPr="00DA0DCD">
        <w:rPr>
          <w:lang w:val="en-US"/>
        </w:rPr>
        <w:t>untry, the</w:t>
      </w:r>
      <w:r w:rsidRPr="00DA0DCD">
        <w:rPr>
          <w:lang w:val="en-US"/>
        </w:rPr>
        <w:t xml:space="preserve"> R-square percentage </w:t>
      </w:r>
      <w:r w:rsidR="00907FAC" w:rsidRPr="00DA0DCD">
        <w:rPr>
          <w:lang w:val="en-US"/>
        </w:rPr>
        <w:t xml:space="preserve">varies </w:t>
      </w:r>
      <w:r w:rsidRPr="00DA0DCD">
        <w:rPr>
          <w:lang w:val="en-US"/>
        </w:rPr>
        <w:t>more. Noticeable is that the R-square percentage is very low in the countries Luxembourg and Portugal</w:t>
      </w:r>
      <w:r w:rsidR="00BF5B85" w:rsidRPr="00DA0DCD">
        <w:rPr>
          <w:lang w:val="en-US"/>
        </w:rPr>
        <w:t xml:space="preserve"> with a value of respectively 0,019 and 0,040</w:t>
      </w:r>
      <w:r w:rsidRPr="00DA0DCD">
        <w:rPr>
          <w:lang w:val="en-US"/>
        </w:rPr>
        <w:t xml:space="preserve">. </w:t>
      </w:r>
      <w:r w:rsidR="00907FAC" w:rsidRPr="00DA0DCD">
        <w:rPr>
          <w:lang w:val="en-US"/>
        </w:rPr>
        <w:t xml:space="preserve">This means that the independent </w:t>
      </w:r>
      <w:r w:rsidR="00DD39B2" w:rsidRPr="00DA0DCD">
        <w:rPr>
          <w:lang w:val="en-US"/>
        </w:rPr>
        <w:t>variables (market return, interest rate changes and event windows) explain</w:t>
      </w:r>
      <w:r w:rsidR="00907FAC" w:rsidRPr="00DA0DCD">
        <w:rPr>
          <w:lang w:val="en-US"/>
        </w:rPr>
        <w:t xml:space="preserve"> for a small percentage the variance of the dependent variable in these countries.  Next, I compare the R-square of this thesis with prior research. </w:t>
      </w:r>
      <w:r w:rsidR="005916C5" w:rsidRPr="00DA0DCD">
        <w:rPr>
          <w:lang w:val="en-US"/>
        </w:rPr>
        <w:t>The R-square for the</w:t>
      </w:r>
      <w:r w:rsidR="00A04D7B" w:rsidRPr="00DA0DCD">
        <w:rPr>
          <w:lang w:val="en-US"/>
        </w:rPr>
        <w:t xml:space="preserve"> regression of the event windows of the </w:t>
      </w:r>
      <w:r w:rsidR="005916C5" w:rsidRPr="00DA0DCD">
        <w:rPr>
          <w:lang w:val="en-US"/>
        </w:rPr>
        <w:t>total sample</w:t>
      </w:r>
      <w:r w:rsidR="00A04D7B" w:rsidRPr="00DA0DCD">
        <w:rPr>
          <w:lang w:val="en-US"/>
        </w:rPr>
        <w:t xml:space="preserve"> of this thesis have</w:t>
      </w:r>
      <w:r w:rsidR="005916C5" w:rsidRPr="00DA0DCD">
        <w:rPr>
          <w:lang w:val="en-US"/>
        </w:rPr>
        <w:t xml:space="preserve"> a value of 0.17</w:t>
      </w:r>
      <w:r w:rsidR="00A04D7B" w:rsidRPr="00DA0DCD">
        <w:rPr>
          <w:lang w:val="en-US"/>
        </w:rPr>
        <w:t xml:space="preserve"> (16,7%). This value is</w:t>
      </w:r>
      <w:r w:rsidR="005916C5" w:rsidRPr="00DA0DCD">
        <w:rPr>
          <w:lang w:val="en-US"/>
        </w:rPr>
        <w:t xml:space="preserve"> lower than the R-square of Bowen et al. (2010) with</w:t>
      </w:r>
      <w:r w:rsidR="00A04D7B" w:rsidRPr="00DA0DCD">
        <w:rPr>
          <w:lang w:val="en-US"/>
        </w:rPr>
        <w:t xml:space="preserve"> a value of</w:t>
      </w:r>
      <w:r w:rsidR="005916C5" w:rsidRPr="00DA0DCD">
        <w:rPr>
          <w:lang w:val="en-US"/>
        </w:rPr>
        <w:t xml:space="preserve"> 0,18 and Cornett et al. (1996) with a value of 0,1</w:t>
      </w:r>
      <w:r w:rsidR="00A04D7B" w:rsidRPr="00DA0DCD">
        <w:rPr>
          <w:lang w:val="en-US"/>
        </w:rPr>
        <w:t>9</w:t>
      </w:r>
      <w:r w:rsidR="005916C5" w:rsidRPr="00DA0DCD">
        <w:rPr>
          <w:lang w:val="en-US"/>
        </w:rPr>
        <w:t xml:space="preserve">. </w:t>
      </w:r>
      <w:r w:rsidR="00DD39B2" w:rsidRPr="00DA0DCD">
        <w:rPr>
          <w:lang w:val="en-US"/>
        </w:rPr>
        <w:t>However,</w:t>
      </w:r>
      <w:r w:rsidR="005916C5" w:rsidRPr="00DA0DCD">
        <w:rPr>
          <w:lang w:val="en-US"/>
        </w:rPr>
        <w:t xml:space="preserve"> researches of Bowen et al. (2010) and Cornett et al. (1996) only </w:t>
      </w:r>
      <w:r w:rsidR="00A04D7B" w:rsidRPr="00DA0DCD">
        <w:rPr>
          <w:lang w:val="en-US"/>
        </w:rPr>
        <w:t>use</w:t>
      </w:r>
      <w:r w:rsidR="005916C5" w:rsidRPr="00DA0DCD">
        <w:rPr>
          <w:lang w:val="en-US"/>
        </w:rPr>
        <w:t xml:space="preserve"> banks in there sample. </w:t>
      </w:r>
      <w:r w:rsidR="00A04D7B" w:rsidRPr="00DA0DCD">
        <w:rPr>
          <w:lang w:val="en-US"/>
        </w:rPr>
        <w:t xml:space="preserve">The R-square of the regression of event windows of only banks in this thesis is higher with a value of 0,27 (27%). This means that </w:t>
      </w:r>
      <w:r w:rsidR="00CA029D" w:rsidRPr="00DA0DCD">
        <w:rPr>
          <w:lang w:val="en-US"/>
        </w:rPr>
        <w:t>the varia</w:t>
      </w:r>
      <w:r w:rsidR="00907FAC" w:rsidRPr="00DA0DCD">
        <w:rPr>
          <w:lang w:val="en-US"/>
        </w:rPr>
        <w:t>nce in the dependent variable (r</w:t>
      </w:r>
      <w:r w:rsidR="00CA029D" w:rsidRPr="00DA0DCD">
        <w:rPr>
          <w:lang w:val="en-US"/>
        </w:rPr>
        <w:t xml:space="preserve">eturn of banks) is explained more in this thesis than by the regression models of Bowen et al. (2010) and Beatty et al. (1996).  </w:t>
      </w:r>
    </w:p>
    <w:p w:rsidR="006D4BE8" w:rsidRDefault="007C66D7" w:rsidP="006D4BE8">
      <w:pPr>
        <w:rPr>
          <w:lang w:val="en-US"/>
        </w:rPr>
      </w:pPr>
      <w:r w:rsidRPr="00DA0DCD">
        <w:rPr>
          <w:lang w:val="en-US"/>
        </w:rPr>
        <w:t xml:space="preserve">ANOVA test whether the value of the multiple R in the population is equal to zero (null-hypotheses). If the null-hypotheses is true then </w:t>
      </w:r>
      <w:r w:rsidR="00E25C1B" w:rsidRPr="00DA0DCD">
        <w:rPr>
          <w:lang w:val="en-US"/>
        </w:rPr>
        <w:t xml:space="preserve">the regression model is not significant </w:t>
      </w:r>
      <w:r w:rsidR="00E03344" w:rsidRPr="00DA0DCD">
        <w:rPr>
          <w:lang w:val="en-US"/>
        </w:rPr>
        <w:t>in</w:t>
      </w:r>
      <w:r w:rsidR="00E25C1B" w:rsidRPr="00DA0DCD">
        <w:rPr>
          <w:lang w:val="en-US"/>
        </w:rPr>
        <w:t xml:space="preserve"> predicting the outcome of the model (Field, 2009). </w:t>
      </w:r>
    </w:p>
    <w:p w:rsidR="007D43DC" w:rsidRDefault="007D43DC" w:rsidP="003F6056">
      <w:pPr>
        <w:pStyle w:val="Geenafstand"/>
        <w:rPr>
          <w:lang w:val="en-US"/>
        </w:rPr>
      </w:pPr>
      <w:r w:rsidRPr="00DA0DCD">
        <w:rPr>
          <w:lang w:val="en-US"/>
        </w:rPr>
        <w:t>ANOVA</w:t>
      </w:r>
    </w:p>
    <w:tbl>
      <w:tblPr>
        <w:tblStyle w:val="Tabelraster"/>
        <w:tblW w:w="0" w:type="auto"/>
        <w:tblLook w:val="04A0"/>
      </w:tblPr>
      <w:tblGrid>
        <w:gridCol w:w="2943"/>
        <w:gridCol w:w="1134"/>
        <w:gridCol w:w="1134"/>
        <w:gridCol w:w="1560"/>
        <w:gridCol w:w="1275"/>
        <w:gridCol w:w="1242"/>
      </w:tblGrid>
      <w:tr w:rsidR="0030599D" w:rsidTr="00E42971">
        <w:tc>
          <w:tcPr>
            <w:tcW w:w="2943" w:type="dxa"/>
            <w:vAlign w:val="bottom"/>
          </w:tcPr>
          <w:p w:rsidR="0030599D" w:rsidRPr="006E1783" w:rsidRDefault="0030599D" w:rsidP="00E42971">
            <w:pPr>
              <w:pStyle w:val="Geenafstand"/>
              <w:rPr>
                <w:b/>
                <w:sz w:val="18"/>
                <w:szCs w:val="18"/>
              </w:rPr>
            </w:pPr>
            <w:r w:rsidRPr="006E1783">
              <w:rPr>
                <w:b/>
                <w:sz w:val="18"/>
                <w:szCs w:val="18"/>
              </w:rPr>
              <w:t>Model</w:t>
            </w:r>
          </w:p>
        </w:tc>
        <w:tc>
          <w:tcPr>
            <w:tcW w:w="1134" w:type="dxa"/>
            <w:vAlign w:val="bottom"/>
          </w:tcPr>
          <w:p w:rsidR="0030599D" w:rsidRPr="007D7190" w:rsidRDefault="0030599D" w:rsidP="00E42971">
            <w:pPr>
              <w:pStyle w:val="Geenafstand"/>
              <w:rPr>
                <w:b/>
                <w:sz w:val="18"/>
                <w:szCs w:val="18"/>
              </w:rPr>
            </w:pPr>
            <w:r w:rsidRPr="007D7190">
              <w:rPr>
                <w:b/>
                <w:sz w:val="18"/>
                <w:szCs w:val="18"/>
              </w:rPr>
              <w:t>F</w:t>
            </w:r>
          </w:p>
        </w:tc>
        <w:tc>
          <w:tcPr>
            <w:tcW w:w="1134" w:type="dxa"/>
            <w:vAlign w:val="bottom"/>
          </w:tcPr>
          <w:p w:rsidR="0030599D" w:rsidRPr="007D7190" w:rsidRDefault="0030599D" w:rsidP="00E42971">
            <w:pPr>
              <w:pStyle w:val="Geenafstand"/>
              <w:rPr>
                <w:b/>
                <w:sz w:val="18"/>
                <w:szCs w:val="18"/>
              </w:rPr>
            </w:pPr>
            <w:r w:rsidRPr="007D7190">
              <w:rPr>
                <w:b/>
                <w:sz w:val="18"/>
                <w:szCs w:val="18"/>
              </w:rPr>
              <w:t>Sig.</w:t>
            </w:r>
          </w:p>
        </w:tc>
        <w:tc>
          <w:tcPr>
            <w:tcW w:w="1560" w:type="dxa"/>
          </w:tcPr>
          <w:p w:rsidR="0030599D" w:rsidRDefault="0030599D" w:rsidP="00E42971">
            <w:r w:rsidRPr="006E1783">
              <w:rPr>
                <w:b/>
                <w:sz w:val="18"/>
                <w:szCs w:val="18"/>
              </w:rPr>
              <w:t>Model</w:t>
            </w:r>
          </w:p>
        </w:tc>
        <w:tc>
          <w:tcPr>
            <w:tcW w:w="1275" w:type="dxa"/>
            <w:vAlign w:val="bottom"/>
          </w:tcPr>
          <w:p w:rsidR="0030599D" w:rsidRPr="00011205" w:rsidRDefault="0030599D" w:rsidP="00E42971">
            <w:pPr>
              <w:pStyle w:val="Geenafstand"/>
              <w:rPr>
                <w:sz w:val="18"/>
                <w:szCs w:val="18"/>
              </w:rPr>
            </w:pPr>
            <w:r w:rsidRPr="00011205">
              <w:rPr>
                <w:sz w:val="18"/>
                <w:szCs w:val="18"/>
              </w:rPr>
              <w:t>F</w:t>
            </w:r>
          </w:p>
        </w:tc>
        <w:tc>
          <w:tcPr>
            <w:tcW w:w="1242" w:type="dxa"/>
            <w:vAlign w:val="bottom"/>
          </w:tcPr>
          <w:p w:rsidR="0030599D" w:rsidRPr="00011205" w:rsidRDefault="0030599D" w:rsidP="00E42971">
            <w:pPr>
              <w:pStyle w:val="Geenafstand"/>
              <w:rPr>
                <w:sz w:val="18"/>
                <w:szCs w:val="18"/>
              </w:rPr>
            </w:pPr>
            <w:r w:rsidRPr="00011205">
              <w:rPr>
                <w:sz w:val="18"/>
                <w:szCs w:val="18"/>
              </w:rPr>
              <w:t>Sig.</w:t>
            </w:r>
          </w:p>
        </w:tc>
      </w:tr>
      <w:tr w:rsidR="0030599D" w:rsidTr="00E42971">
        <w:tc>
          <w:tcPr>
            <w:tcW w:w="2943" w:type="dxa"/>
          </w:tcPr>
          <w:p w:rsidR="0030599D" w:rsidRPr="00A55F49" w:rsidRDefault="0030599D" w:rsidP="00E42971">
            <w:pPr>
              <w:pStyle w:val="Geenafstand"/>
              <w:rPr>
                <w:sz w:val="18"/>
                <w:szCs w:val="18"/>
              </w:rPr>
            </w:pPr>
            <w:r>
              <w:rPr>
                <w:sz w:val="18"/>
                <w:szCs w:val="18"/>
              </w:rPr>
              <w:t>Total sample</w:t>
            </w:r>
          </w:p>
        </w:tc>
        <w:tc>
          <w:tcPr>
            <w:tcW w:w="1134" w:type="dxa"/>
            <w:vAlign w:val="center"/>
          </w:tcPr>
          <w:p w:rsidR="0030599D" w:rsidRPr="00A55F49" w:rsidRDefault="0030599D" w:rsidP="00E42971">
            <w:pPr>
              <w:pStyle w:val="Geenafstand"/>
              <w:rPr>
                <w:sz w:val="18"/>
                <w:szCs w:val="18"/>
              </w:rPr>
            </w:pPr>
            <w:r w:rsidRPr="00A55F49">
              <w:rPr>
                <w:sz w:val="18"/>
                <w:szCs w:val="18"/>
              </w:rPr>
              <w:t>4307,038</w:t>
            </w:r>
          </w:p>
        </w:tc>
        <w:tc>
          <w:tcPr>
            <w:tcW w:w="1134" w:type="dxa"/>
            <w:vAlign w:val="center"/>
          </w:tcPr>
          <w:p w:rsidR="0030599D" w:rsidRPr="00A55F49" w:rsidRDefault="0030599D" w:rsidP="00E42971">
            <w:pPr>
              <w:pStyle w:val="Geenafstand"/>
              <w:rPr>
                <w:sz w:val="18"/>
                <w:szCs w:val="18"/>
              </w:rPr>
            </w:pPr>
            <w:r>
              <w:rPr>
                <w:sz w:val="18"/>
                <w:szCs w:val="18"/>
              </w:rPr>
              <w:t>0</w:t>
            </w:r>
            <w:r w:rsidRPr="00A55F49">
              <w:rPr>
                <w:sz w:val="18"/>
                <w:szCs w:val="18"/>
              </w:rPr>
              <w:t>,000</w:t>
            </w:r>
            <w:r w:rsidRPr="00A55F49">
              <w:rPr>
                <w:sz w:val="18"/>
                <w:szCs w:val="18"/>
                <w:vertAlign w:val="superscript"/>
              </w:rPr>
              <w:t>a</w:t>
            </w:r>
          </w:p>
        </w:tc>
        <w:tc>
          <w:tcPr>
            <w:tcW w:w="1560" w:type="dxa"/>
          </w:tcPr>
          <w:p w:rsidR="0030599D" w:rsidRPr="00A55F49" w:rsidRDefault="0030599D" w:rsidP="00E42971">
            <w:pPr>
              <w:pStyle w:val="Geenafstand"/>
              <w:rPr>
                <w:sz w:val="18"/>
                <w:szCs w:val="18"/>
              </w:rPr>
            </w:pPr>
            <w:r>
              <w:rPr>
                <w:sz w:val="18"/>
                <w:szCs w:val="18"/>
              </w:rPr>
              <w:t>Belgium</w:t>
            </w:r>
          </w:p>
        </w:tc>
        <w:tc>
          <w:tcPr>
            <w:tcW w:w="1275" w:type="dxa"/>
            <w:vAlign w:val="center"/>
          </w:tcPr>
          <w:p w:rsidR="0030599D" w:rsidRPr="00011205" w:rsidRDefault="0030599D" w:rsidP="00E42971">
            <w:pPr>
              <w:pStyle w:val="Geenafstand"/>
              <w:rPr>
                <w:sz w:val="18"/>
                <w:szCs w:val="18"/>
              </w:rPr>
            </w:pPr>
            <w:r w:rsidRPr="00011205">
              <w:rPr>
                <w:sz w:val="18"/>
                <w:szCs w:val="18"/>
              </w:rPr>
              <w:t>300,600</w:t>
            </w:r>
          </w:p>
        </w:tc>
        <w:tc>
          <w:tcPr>
            <w:tcW w:w="1242" w:type="dxa"/>
            <w:vAlign w:val="center"/>
          </w:tcPr>
          <w:p w:rsidR="0030599D" w:rsidRPr="00011205" w:rsidRDefault="0030599D" w:rsidP="00E42971">
            <w:pPr>
              <w:pStyle w:val="Geenafstand"/>
              <w:rPr>
                <w:sz w:val="18"/>
                <w:szCs w:val="18"/>
              </w:rPr>
            </w:pPr>
            <w:r>
              <w:rPr>
                <w:sz w:val="18"/>
                <w:szCs w:val="18"/>
              </w:rPr>
              <w:t>0</w:t>
            </w:r>
            <w:r w:rsidRPr="00011205">
              <w:rPr>
                <w:sz w:val="18"/>
                <w:szCs w:val="18"/>
              </w:rPr>
              <w:t>,000</w:t>
            </w:r>
            <w:r w:rsidRPr="00011205">
              <w:rPr>
                <w:sz w:val="18"/>
                <w:szCs w:val="18"/>
                <w:vertAlign w:val="superscript"/>
              </w:rPr>
              <w:t>a</w:t>
            </w:r>
          </w:p>
        </w:tc>
      </w:tr>
      <w:tr w:rsidR="0030599D" w:rsidTr="00E42971">
        <w:tc>
          <w:tcPr>
            <w:tcW w:w="2943" w:type="dxa"/>
          </w:tcPr>
          <w:p w:rsidR="0030599D" w:rsidRPr="00A55F49" w:rsidRDefault="0030599D" w:rsidP="00E42971">
            <w:pPr>
              <w:pStyle w:val="Geenafstand"/>
              <w:rPr>
                <w:sz w:val="18"/>
                <w:szCs w:val="18"/>
              </w:rPr>
            </w:pPr>
            <w:r>
              <w:rPr>
                <w:sz w:val="18"/>
                <w:szCs w:val="18"/>
              </w:rPr>
              <w:t>Banks and Insurance sample</w:t>
            </w:r>
          </w:p>
        </w:tc>
        <w:tc>
          <w:tcPr>
            <w:tcW w:w="1134" w:type="dxa"/>
            <w:vAlign w:val="center"/>
          </w:tcPr>
          <w:p w:rsidR="0030599D" w:rsidRPr="001F40B8" w:rsidRDefault="0030599D" w:rsidP="00E42971">
            <w:pPr>
              <w:pStyle w:val="Geenafstand"/>
              <w:rPr>
                <w:sz w:val="18"/>
                <w:szCs w:val="18"/>
              </w:rPr>
            </w:pPr>
            <w:r w:rsidRPr="001F40B8">
              <w:rPr>
                <w:sz w:val="18"/>
                <w:szCs w:val="18"/>
              </w:rPr>
              <w:t>2790,347</w:t>
            </w:r>
          </w:p>
        </w:tc>
        <w:tc>
          <w:tcPr>
            <w:tcW w:w="1134" w:type="dxa"/>
            <w:vAlign w:val="center"/>
          </w:tcPr>
          <w:p w:rsidR="0030599D" w:rsidRPr="001F40B8" w:rsidRDefault="0030599D" w:rsidP="00E42971">
            <w:pPr>
              <w:pStyle w:val="Geenafstand"/>
              <w:rPr>
                <w:sz w:val="18"/>
                <w:szCs w:val="18"/>
              </w:rPr>
            </w:pPr>
            <w:r>
              <w:rPr>
                <w:sz w:val="18"/>
                <w:szCs w:val="18"/>
              </w:rPr>
              <w:t>0</w:t>
            </w:r>
            <w:r w:rsidRPr="001F40B8">
              <w:rPr>
                <w:sz w:val="18"/>
                <w:szCs w:val="18"/>
              </w:rPr>
              <w:t>,000</w:t>
            </w:r>
            <w:r w:rsidRPr="001F40B8">
              <w:rPr>
                <w:sz w:val="18"/>
                <w:szCs w:val="18"/>
                <w:vertAlign w:val="superscript"/>
              </w:rPr>
              <w:t>a</w:t>
            </w:r>
          </w:p>
        </w:tc>
        <w:tc>
          <w:tcPr>
            <w:tcW w:w="1560" w:type="dxa"/>
          </w:tcPr>
          <w:p w:rsidR="0030599D" w:rsidRPr="00A55F49" w:rsidRDefault="0030599D" w:rsidP="00E42971">
            <w:pPr>
              <w:pStyle w:val="Geenafstand"/>
              <w:rPr>
                <w:sz w:val="18"/>
                <w:szCs w:val="18"/>
              </w:rPr>
            </w:pPr>
            <w:r>
              <w:rPr>
                <w:sz w:val="18"/>
                <w:szCs w:val="18"/>
              </w:rPr>
              <w:t>Denmark</w:t>
            </w:r>
          </w:p>
        </w:tc>
        <w:tc>
          <w:tcPr>
            <w:tcW w:w="1275" w:type="dxa"/>
            <w:vAlign w:val="center"/>
          </w:tcPr>
          <w:p w:rsidR="0030599D" w:rsidRPr="001B402D" w:rsidRDefault="0030599D" w:rsidP="00E42971">
            <w:pPr>
              <w:pStyle w:val="Geenafstand"/>
              <w:rPr>
                <w:sz w:val="18"/>
                <w:szCs w:val="18"/>
              </w:rPr>
            </w:pPr>
            <w:r w:rsidRPr="001B402D">
              <w:rPr>
                <w:sz w:val="18"/>
                <w:szCs w:val="18"/>
              </w:rPr>
              <w:t>356,491</w:t>
            </w:r>
          </w:p>
        </w:tc>
        <w:tc>
          <w:tcPr>
            <w:tcW w:w="1242" w:type="dxa"/>
            <w:vAlign w:val="center"/>
          </w:tcPr>
          <w:p w:rsidR="0030599D" w:rsidRPr="001B402D" w:rsidRDefault="0030599D" w:rsidP="00E42971">
            <w:pPr>
              <w:pStyle w:val="Geenafstand"/>
              <w:rPr>
                <w:sz w:val="18"/>
                <w:szCs w:val="18"/>
              </w:rPr>
            </w:pPr>
            <w:r>
              <w:rPr>
                <w:sz w:val="18"/>
                <w:szCs w:val="18"/>
              </w:rPr>
              <w:t>0</w:t>
            </w:r>
            <w:r w:rsidRPr="001B402D">
              <w:rPr>
                <w:sz w:val="18"/>
                <w:szCs w:val="18"/>
              </w:rPr>
              <w:t>,000</w:t>
            </w:r>
            <w:r w:rsidRPr="001B402D">
              <w:rPr>
                <w:sz w:val="18"/>
                <w:szCs w:val="18"/>
                <w:vertAlign w:val="superscript"/>
              </w:rPr>
              <w:t>a</w:t>
            </w:r>
          </w:p>
        </w:tc>
      </w:tr>
      <w:tr w:rsidR="0030599D" w:rsidTr="00E42971">
        <w:tc>
          <w:tcPr>
            <w:tcW w:w="2943" w:type="dxa"/>
          </w:tcPr>
          <w:p w:rsidR="0030599D" w:rsidRPr="00A55F49" w:rsidRDefault="0030599D" w:rsidP="00E42971">
            <w:pPr>
              <w:pStyle w:val="Geenafstand"/>
              <w:rPr>
                <w:sz w:val="18"/>
                <w:szCs w:val="18"/>
              </w:rPr>
            </w:pPr>
            <w:r>
              <w:rPr>
                <w:sz w:val="18"/>
                <w:szCs w:val="18"/>
              </w:rPr>
              <w:t>Banks sample</w:t>
            </w:r>
          </w:p>
        </w:tc>
        <w:tc>
          <w:tcPr>
            <w:tcW w:w="1134" w:type="dxa"/>
            <w:vAlign w:val="center"/>
          </w:tcPr>
          <w:p w:rsidR="0030599D" w:rsidRPr="00D47BCC" w:rsidRDefault="0030599D" w:rsidP="00E42971">
            <w:pPr>
              <w:pStyle w:val="Geenafstand"/>
              <w:rPr>
                <w:sz w:val="18"/>
                <w:szCs w:val="18"/>
              </w:rPr>
            </w:pPr>
            <w:r w:rsidRPr="00D47BCC">
              <w:rPr>
                <w:sz w:val="18"/>
                <w:szCs w:val="18"/>
              </w:rPr>
              <w:t>1725,203</w:t>
            </w:r>
          </w:p>
        </w:tc>
        <w:tc>
          <w:tcPr>
            <w:tcW w:w="1134" w:type="dxa"/>
            <w:vAlign w:val="center"/>
          </w:tcPr>
          <w:p w:rsidR="0030599D" w:rsidRPr="00D47BCC" w:rsidRDefault="0030599D" w:rsidP="00E42971">
            <w:pPr>
              <w:pStyle w:val="Geenafstand"/>
              <w:rPr>
                <w:sz w:val="18"/>
                <w:szCs w:val="18"/>
              </w:rPr>
            </w:pPr>
            <w:r>
              <w:rPr>
                <w:sz w:val="18"/>
                <w:szCs w:val="18"/>
              </w:rPr>
              <w:t>0</w:t>
            </w:r>
            <w:r w:rsidRPr="00D47BCC">
              <w:rPr>
                <w:sz w:val="18"/>
                <w:szCs w:val="18"/>
              </w:rPr>
              <w:t>,000</w:t>
            </w:r>
            <w:r w:rsidRPr="00D47BCC">
              <w:rPr>
                <w:sz w:val="18"/>
                <w:szCs w:val="18"/>
                <w:vertAlign w:val="superscript"/>
              </w:rPr>
              <w:t>a</w:t>
            </w:r>
          </w:p>
        </w:tc>
        <w:tc>
          <w:tcPr>
            <w:tcW w:w="1560" w:type="dxa"/>
          </w:tcPr>
          <w:p w:rsidR="0030599D" w:rsidRPr="00A55F49" w:rsidRDefault="0030599D" w:rsidP="00E42971">
            <w:pPr>
              <w:pStyle w:val="Geenafstand"/>
              <w:rPr>
                <w:sz w:val="18"/>
                <w:szCs w:val="18"/>
              </w:rPr>
            </w:pPr>
            <w:r>
              <w:rPr>
                <w:sz w:val="18"/>
                <w:szCs w:val="18"/>
              </w:rPr>
              <w:t xml:space="preserve">Germany </w:t>
            </w:r>
          </w:p>
        </w:tc>
        <w:tc>
          <w:tcPr>
            <w:tcW w:w="1275" w:type="dxa"/>
            <w:vAlign w:val="center"/>
          </w:tcPr>
          <w:p w:rsidR="0030599D" w:rsidRPr="009238B9" w:rsidRDefault="0030599D" w:rsidP="00E42971">
            <w:pPr>
              <w:pStyle w:val="Geenafstand"/>
              <w:rPr>
                <w:sz w:val="18"/>
                <w:szCs w:val="18"/>
              </w:rPr>
            </w:pPr>
            <w:r w:rsidRPr="009238B9">
              <w:rPr>
                <w:sz w:val="18"/>
                <w:szCs w:val="18"/>
              </w:rPr>
              <w:t>243,144</w:t>
            </w:r>
          </w:p>
        </w:tc>
        <w:tc>
          <w:tcPr>
            <w:tcW w:w="1242" w:type="dxa"/>
            <w:vAlign w:val="center"/>
          </w:tcPr>
          <w:p w:rsidR="0030599D" w:rsidRPr="009238B9" w:rsidRDefault="0030599D" w:rsidP="00E42971">
            <w:pPr>
              <w:pStyle w:val="Geenafstand"/>
              <w:rPr>
                <w:sz w:val="18"/>
                <w:szCs w:val="18"/>
              </w:rPr>
            </w:pPr>
            <w:r>
              <w:rPr>
                <w:sz w:val="18"/>
                <w:szCs w:val="18"/>
              </w:rPr>
              <w:t>0</w:t>
            </w:r>
            <w:r w:rsidRPr="009238B9">
              <w:rPr>
                <w:sz w:val="18"/>
                <w:szCs w:val="18"/>
              </w:rPr>
              <w:t>,000</w:t>
            </w:r>
            <w:r w:rsidRPr="009238B9">
              <w:rPr>
                <w:sz w:val="18"/>
                <w:szCs w:val="18"/>
                <w:vertAlign w:val="superscript"/>
              </w:rPr>
              <w:t>a</w:t>
            </w:r>
          </w:p>
        </w:tc>
      </w:tr>
      <w:tr w:rsidR="0030599D" w:rsidTr="00E42971">
        <w:tc>
          <w:tcPr>
            <w:tcW w:w="2943" w:type="dxa"/>
          </w:tcPr>
          <w:p w:rsidR="0030599D" w:rsidRPr="00A55F49" w:rsidRDefault="0030599D" w:rsidP="00E42971">
            <w:pPr>
              <w:pStyle w:val="Geenafstand"/>
              <w:rPr>
                <w:sz w:val="18"/>
                <w:szCs w:val="18"/>
              </w:rPr>
            </w:pPr>
            <w:r>
              <w:rPr>
                <w:sz w:val="18"/>
                <w:szCs w:val="18"/>
              </w:rPr>
              <w:lastRenderedPageBreak/>
              <w:t>Insurance companies sample</w:t>
            </w:r>
          </w:p>
        </w:tc>
        <w:tc>
          <w:tcPr>
            <w:tcW w:w="1134" w:type="dxa"/>
            <w:vAlign w:val="center"/>
          </w:tcPr>
          <w:p w:rsidR="0030599D" w:rsidRPr="008935C7" w:rsidRDefault="0030599D" w:rsidP="00E42971">
            <w:pPr>
              <w:pStyle w:val="Geenafstand"/>
              <w:rPr>
                <w:sz w:val="18"/>
                <w:szCs w:val="18"/>
              </w:rPr>
            </w:pPr>
            <w:r w:rsidRPr="008935C7">
              <w:rPr>
                <w:sz w:val="18"/>
                <w:szCs w:val="18"/>
              </w:rPr>
              <w:t>1067,272</w:t>
            </w:r>
          </w:p>
        </w:tc>
        <w:tc>
          <w:tcPr>
            <w:tcW w:w="1134" w:type="dxa"/>
            <w:vAlign w:val="center"/>
          </w:tcPr>
          <w:p w:rsidR="0030599D" w:rsidRPr="008935C7" w:rsidRDefault="0030599D" w:rsidP="00E42971">
            <w:pPr>
              <w:pStyle w:val="Geenafstand"/>
              <w:rPr>
                <w:sz w:val="18"/>
                <w:szCs w:val="18"/>
              </w:rPr>
            </w:pPr>
            <w:r>
              <w:rPr>
                <w:sz w:val="18"/>
                <w:szCs w:val="18"/>
              </w:rPr>
              <w:t>0</w:t>
            </w:r>
            <w:r w:rsidRPr="008935C7">
              <w:rPr>
                <w:sz w:val="18"/>
                <w:szCs w:val="18"/>
              </w:rPr>
              <w:t>,000</w:t>
            </w:r>
            <w:r w:rsidRPr="008935C7">
              <w:rPr>
                <w:sz w:val="18"/>
                <w:szCs w:val="18"/>
                <w:vertAlign w:val="superscript"/>
              </w:rPr>
              <w:t>a</w:t>
            </w:r>
          </w:p>
        </w:tc>
        <w:tc>
          <w:tcPr>
            <w:tcW w:w="1560" w:type="dxa"/>
          </w:tcPr>
          <w:p w:rsidR="0030599D" w:rsidRPr="00A55F49" w:rsidRDefault="0030599D" w:rsidP="00E42971">
            <w:pPr>
              <w:pStyle w:val="Geenafstand"/>
              <w:rPr>
                <w:sz w:val="18"/>
                <w:szCs w:val="18"/>
              </w:rPr>
            </w:pPr>
            <w:r>
              <w:rPr>
                <w:sz w:val="18"/>
                <w:szCs w:val="18"/>
              </w:rPr>
              <w:t>Finland</w:t>
            </w:r>
          </w:p>
        </w:tc>
        <w:tc>
          <w:tcPr>
            <w:tcW w:w="1275" w:type="dxa"/>
            <w:vAlign w:val="center"/>
          </w:tcPr>
          <w:p w:rsidR="0030599D" w:rsidRPr="00B821AE" w:rsidRDefault="0030599D" w:rsidP="00E42971">
            <w:pPr>
              <w:pStyle w:val="Geenafstand"/>
              <w:rPr>
                <w:sz w:val="18"/>
                <w:szCs w:val="18"/>
              </w:rPr>
            </w:pPr>
            <w:r w:rsidRPr="00B821AE">
              <w:rPr>
                <w:sz w:val="18"/>
                <w:szCs w:val="18"/>
              </w:rPr>
              <w:t>92,058</w:t>
            </w:r>
          </w:p>
        </w:tc>
        <w:tc>
          <w:tcPr>
            <w:tcW w:w="1242" w:type="dxa"/>
            <w:vAlign w:val="center"/>
          </w:tcPr>
          <w:p w:rsidR="0030599D" w:rsidRPr="00B821AE" w:rsidRDefault="0030599D" w:rsidP="00E42971">
            <w:pPr>
              <w:pStyle w:val="Geenafstand"/>
              <w:rPr>
                <w:sz w:val="18"/>
                <w:szCs w:val="18"/>
              </w:rPr>
            </w:pPr>
            <w:r>
              <w:rPr>
                <w:sz w:val="18"/>
                <w:szCs w:val="18"/>
              </w:rPr>
              <w:t>0</w:t>
            </w:r>
            <w:r w:rsidRPr="00B821AE">
              <w:rPr>
                <w:sz w:val="18"/>
                <w:szCs w:val="18"/>
              </w:rPr>
              <w:t>,000</w:t>
            </w:r>
            <w:r w:rsidRPr="00B821AE">
              <w:rPr>
                <w:sz w:val="18"/>
                <w:szCs w:val="18"/>
                <w:vertAlign w:val="superscript"/>
              </w:rPr>
              <w:t>a</w:t>
            </w:r>
          </w:p>
        </w:tc>
      </w:tr>
      <w:tr w:rsidR="0030599D" w:rsidTr="00E42971">
        <w:tc>
          <w:tcPr>
            <w:tcW w:w="2943" w:type="dxa"/>
            <w:tcBorders>
              <w:bottom w:val="single" w:sz="4" w:space="0" w:color="auto"/>
            </w:tcBorders>
          </w:tcPr>
          <w:p w:rsidR="0030599D" w:rsidRPr="00A55F49" w:rsidRDefault="0030599D" w:rsidP="00E42971">
            <w:pPr>
              <w:pStyle w:val="Geenafstand"/>
              <w:rPr>
                <w:sz w:val="18"/>
                <w:szCs w:val="18"/>
              </w:rPr>
            </w:pPr>
            <w:r>
              <w:rPr>
                <w:sz w:val="18"/>
                <w:szCs w:val="18"/>
              </w:rPr>
              <w:t>‘Other’ financial institutions sample</w:t>
            </w:r>
          </w:p>
        </w:tc>
        <w:tc>
          <w:tcPr>
            <w:tcW w:w="1134" w:type="dxa"/>
            <w:tcBorders>
              <w:bottom w:val="single" w:sz="4" w:space="0" w:color="auto"/>
            </w:tcBorders>
            <w:vAlign w:val="center"/>
          </w:tcPr>
          <w:p w:rsidR="0030599D" w:rsidRPr="009D6A17" w:rsidRDefault="0030599D" w:rsidP="00E42971">
            <w:pPr>
              <w:pStyle w:val="Geenafstand"/>
              <w:rPr>
                <w:sz w:val="18"/>
                <w:szCs w:val="18"/>
              </w:rPr>
            </w:pPr>
            <w:r w:rsidRPr="009D6A17">
              <w:rPr>
                <w:sz w:val="18"/>
                <w:szCs w:val="18"/>
              </w:rPr>
              <w:t>1918,927</w:t>
            </w:r>
          </w:p>
        </w:tc>
        <w:tc>
          <w:tcPr>
            <w:tcW w:w="1134" w:type="dxa"/>
            <w:tcBorders>
              <w:bottom w:val="single" w:sz="4" w:space="0" w:color="auto"/>
            </w:tcBorders>
            <w:vAlign w:val="center"/>
          </w:tcPr>
          <w:p w:rsidR="0030599D" w:rsidRPr="009D6A17" w:rsidRDefault="0030599D" w:rsidP="00E42971">
            <w:pPr>
              <w:pStyle w:val="Geenafstand"/>
              <w:rPr>
                <w:sz w:val="18"/>
                <w:szCs w:val="18"/>
              </w:rPr>
            </w:pPr>
            <w:r>
              <w:rPr>
                <w:sz w:val="18"/>
                <w:szCs w:val="18"/>
              </w:rPr>
              <w:t>0</w:t>
            </w:r>
            <w:r w:rsidRPr="009D6A17">
              <w:rPr>
                <w:sz w:val="18"/>
                <w:szCs w:val="18"/>
              </w:rPr>
              <w:t>,000</w:t>
            </w:r>
            <w:r w:rsidRPr="009D6A17">
              <w:rPr>
                <w:sz w:val="18"/>
                <w:szCs w:val="18"/>
                <w:vertAlign w:val="superscript"/>
              </w:rPr>
              <w:t>a</w:t>
            </w:r>
          </w:p>
        </w:tc>
        <w:tc>
          <w:tcPr>
            <w:tcW w:w="1560" w:type="dxa"/>
          </w:tcPr>
          <w:p w:rsidR="0030599D" w:rsidRPr="00A55F49" w:rsidRDefault="0030599D" w:rsidP="00E42971">
            <w:pPr>
              <w:pStyle w:val="Geenafstand"/>
              <w:rPr>
                <w:sz w:val="18"/>
                <w:szCs w:val="18"/>
              </w:rPr>
            </w:pPr>
            <w:r>
              <w:rPr>
                <w:sz w:val="18"/>
                <w:szCs w:val="18"/>
              </w:rPr>
              <w:t>France</w:t>
            </w:r>
          </w:p>
        </w:tc>
        <w:tc>
          <w:tcPr>
            <w:tcW w:w="1275" w:type="dxa"/>
            <w:vAlign w:val="center"/>
          </w:tcPr>
          <w:p w:rsidR="0030599D" w:rsidRPr="00B821AE" w:rsidRDefault="0030599D" w:rsidP="00E42971">
            <w:pPr>
              <w:pStyle w:val="Geenafstand"/>
              <w:rPr>
                <w:sz w:val="18"/>
                <w:szCs w:val="18"/>
              </w:rPr>
            </w:pPr>
            <w:r w:rsidRPr="00B821AE">
              <w:rPr>
                <w:sz w:val="18"/>
                <w:szCs w:val="18"/>
              </w:rPr>
              <w:t>324,026</w:t>
            </w:r>
          </w:p>
        </w:tc>
        <w:tc>
          <w:tcPr>
            <w:tcW w:w="1242" w:type="dxa"/>
            <w:vAlign w:val="center"/>
          </w:tcPr>
          <w:p w:rsidR="0030599D" w:rsidRPr="00B821AE" w:rsidRDefault="0030599D" w:rsidP="00E42971">
            <w:pPr>
              <w:pStyle w:val="Geenafstand"/>
              <w:rPr>
                <w:sz w:val="18"/>
                <w:szCs w:val="18"/>
              </w:rPr>
            </w:pPr>
            <w:r>
              <w:rPr>
                <w:sz w:val="18"/>
                <w:szCs w:val="18"/>
              </w:rPr>
              <w:t>0</w:t>
            </w:r>
            <w:r w:rsidRPr="00B821AE">
              <w:rPr>
                <w:sz w:val="18"/>
                <w:szCs w:val="18"/>
              </w:rPr>
              <w:t>,000</w:t>
            </w:r>
            <w:r w:rsidRPr="00B821AE">
              <w:rPr>
                <w:sz w:val="18"/>
                <w:szCs w:val="18"/>
                <w:vertAlign w:val="superscript"/>
              </w:rPr>
              <w:t>a</w:t>
            </w:r>
          </w:p>
        </w:tc>
      </w:tr>
      <w:tr w:rsidR="0030599D" w:rsidTr="00E42971">
        <w:tc>
          <w:tcPr>
            <w:tcW w:w="2943" w:type="dxa"/>
            <w:tcBorders>
              <w:top w:val="single" w:sz="4" w:space="0" w:color="auto"/>
              <w:left w:val="single" w:sz="4" w:space="0" w:color="auto"/>
              <w:bottom w:val="nil"/>
              <w:right w:val="nil"/>
            </w:tcBorders>
          </w:tcPr>
          <w:p w:rsidR="0030599D" w:rsidRDefault="0030599D" w:rsidP="00E42971">
            <w:pPr>
              <w:pStyle w:val="Geenafstand"/>
              <w:rPr>
                <w:sz w:val="18"/>
                <w:szCs w:val="18"/>
              </w:rPr>
            </w:pPr>
          </w:p>
        </w:tc>
        <w:tc>
          <w:tcPr>
            <w:tcW w:w="1134" w:type="dxa"/>
            <w:tcBorders>
              <w:top w:val="single" w:sz="4" w:space="0" w:color="auto"/>
              <w:left w:val="nil"/>
              <w:bottom w:val="nil"/>
              <w:right w:val="nil"/>
            </w:tcBorders>
            <w:vAlign w:val="center"/>
          </w:tcPr>
          <w:p w:rsidR="0030599D" w:rsidRPr="009D6A17" w:rsidRDefault="0030599D" w:rsidP="00E42971">
            <w:pPr>
              <w:pStyle w:val="Geenafstand"/>
              <w:rPr>
                <w:sz w:val="18"/>
                <w:szCs w:val="18"/>
              </w:rPr>
            </w:pPr>
          </w:p>
        </w:tc>
        <w:tc>
          <w:tcPr>
            <w:tcW w:w="1134" w:type="dxa"/>
            <w:tcBorders>
              <w:top w:val="single" w:sz="4" w:space="0" w:color="auto"/>
              <w:left w:val="nil"/>
              <w:bottom w:val="nil"/>
              <w:right w:val="single" w:sz="4" w:space="0" w:color="auto"/>
            </w:tcBorders>
            <w:vAlign w:val="center"/>
          </w:tcPr>
          <w:p w:rsidR="0030599D" w:rsidRPr="009D6A17" w:rsidRDefault="0030599D" w:rsidP="00E42971">
            <w:pPr>
              <w:pStyle w:val="Geenafstand"/>
              <w:rPr>
                <w:sz w:val="18"/>
                <w:szCs w:val="18"/>
              </w:rPr>
            </w:pPr>
          </w:p>
        </w:tc>
        <w:tc>
          <w:tcPr>
            <w:tcW w:w="1560" w:type="dxa"/>
            <w:tcBorders>
              <w:left w:val="single" w:sz="4" w:space="0" w:color="auto"/>
            </w:tcBorders>
          </w:tcPr>
          <w:p w:rsidR="0030599D" w:rsidRPr="00A55F49" w:rsidRDefault="0030599D" w:rsidP="00E42971">
            <w:pPr>
              <w:pStyle w:val="Geenafstand"/>
              <w:rPr>
                <w:sz w:val="18"/>
                <w:szCs w:val="18"/>
              </w:rPr>
            </w:pPr>
            <w:r>
              <w:rPr>
                <w:sz w:val="18"/>
                <w:szCs w:val="18"/>
              </w:rPr>
              <w:t xml:space="preserve">Ireland </w:t>
            </w:r>
          </w:p>
        </w:tc>
        <w:tc>
          <w:tcPr>
            <w:tcW w:w="1275" w:type="dxa"/>
            <w:vAlign w:val="center"/>
          </w:tcPr>
          <w:p w:rsidR="0030599D" w:rsidRPr="00384794" w:rsidRDefault="0030599D" w:rsidP="00E42971">
            <w:pPr>
              <w:pStyle w:val="Geenafstand"/>
              <w:rPr>
                <w:sz w:val="18"/>
                <w:szCs w:val="18"/>
              </w:rPr>
            </w:pPr>
            <w:r w:rsidRPr="00384794">
              <w:rPr>
                <w:sz w:val="18"/>
                <w:szCs w:val="18"/>
              </w:rPr>
              <w:t>62,427</w:t>
            </w:r>
          </w:p>
        </w:tc>
        <w:tc>
          <w:tcPr>
            <w:tcW w:w="1242" w:type="dxa"/>
            <w:vAlign w:val="center"/>
          </w:tcPr>
          <w:p w:rsidR="0030599D" w:rsidRPr="00384794" w:rsidRDefault="0030599D" w:rsidP="00E42971">
            <w:pPr>
              <w:pStyle w:val="Geenafstand"/>
              <w:rPr>
                <w:sz w:val="18"/>
                <w:szCs w:val="18"/>
              </w:rPr>
            </w:pPr>
            <w:r>
              <w:rPr>
                <w:sz w:val="18"/>
                <w:szCs w:val="18"/>
              </w:rPr>
              <w:t>0</w:t>
            </w:r>
            <w:r w:rsidRPr="00384794">
              <w:rPr>
                <w:sz w:val="18"/>
                <w:szCs w:val="18"/>
              </w:rPr>
              <w:t>,000</w:t>
            </w:r>
            <w:r w:rsidRPr="00384794">
              <w:rPr>
                <w:sz w:val="18"/>
                <w:szCs w:val="18"/>
                <w:vertAlign w:val="superscript"/>
              </w:rPr>
              <w:t>a</w:t>
            </w:r>
          </w:p>
        </w:tc>
      </w:tr>
      <w:tr w:rsidR="0030599D" w:rsidTr="00E42971">
        <w:tc>
          <w:tcPr>
            <w:tcW w:w="2943" w:type="dxa"/>
            <w:tcBorders>
              <w:top w:val="nil"/>
              <w:left w:val="single" w:sz="4" w:space="0" w:color="auto"/>
              <w:bottom w:val="nil"/>
              <w:right w:val="nil"/>
            </w:tcBorders>
          </w:tcPr>
          <w:p w:rsidR="0030599D" w:rsidRDefault="0030599D" w:rsidP="00E42971">
            <w:pPr>
              <w:pStyle w:val="Geenafstand"/>
              <w:rPr>
                <w:sz w:val="18"/>
                <w:szCs w:val="18"/>
              </w:rPr>
            </w:pPr>
          </w:p>
        </w:tc>
        <w:tc>
          <w:tcPr>
            <w:tcW w:w="1134" w:type="dxa"/>
            <w:tcBorders>
              <w:top w:val="nil"/>
              <w:left w:val="nil"/>
              <w:bottom w:val="nil"/>
              <w:right w:val="nil"/>
            </w:tcBorders>
            <w:vAlign w:val="center"/>
          </w:tcPr>
          <w:p w:rsidR="0030599D" w:rsidRPr="009D6A17" w:rsidRDefault="0030599D" w:rsidP="00E42971">
            <w:pPr>
              <w:pStyle w:val="Geenafstand"/>
              <w:rPr>
                <w:sz w:val="18"/>
                <w:szCs w:val="18"/>
              </w:rPr>
            </w:pPr>
          </w:p>
        </w:tc>
        <w:tc>
          <w:tcPr>
            <w:tcW w:w="1134" w:type="dxa"/>
            <w:tcBorders>
              <w:top w:val="nil"/>
              <w:left w:val="nil"/>
              <w:bottom w:val="nil"/>
              <w:right w:val="single" w:sz="4" w:space="0" w:color="auto"/>
            </w:tcBorders>
            <w:vAlign w:val="center"/>
          </w:tcPr>
          <w:p w:rsidR="0030599D" w:rsidRPr="009D6A17" w:rsidRDefault="0030599D" w:rsidP="00E42971">
            <w:pPr>
              <w:pStyle w:val="Geenafstand"/>
              <w:rPr>
                <w:sz w:val="18"/>
                <w:szCs w:val="18"/>
              </w:rPr>
            </w:pPr>
          </w:p>
        </w:tc>
        <w:tc>
          <w:tcPr>
            <w:tcW w:w="1560" w:type="dxa"/>
            <w:tcBorders>
              <w:left w:val="single" w:sz="4" w:space="0" w:color="auto"/>
            </w:tcBorders>
          </w:tcPr>
          <w:p w:rsidR="0030599D" w:rsidRPr="00A55F49" w:rsidRDefault="0030599D" w:rsidP="00E42971">
            <w:pPr>
              <w:pStyle w:val="Geenafstand"/>
              <w:rPr>
                <w:sz w:val="18"/>
                <w:szCs w:val="18"/>
              </w:rPr>
            </w:pPr>
            <w:r>
              <w:rPr>
                <w:sz w:val="18"/>
                <w:szCs w:val="18"/>
              </w:rPr>
              <w:t xml:space="preserve">Italy </w:t>
            </w:r>
          </w:p>
        </w:tc>
        <w:tc>
          <w:tcPr>
            <w:tcW w:w="1275" w:type="dxa"/>
            <w:vAlign w:val="center"/>
          </w:tcPr>
          <w:p w:rsidR="0030599D" w:rsidRPr="00384794" w:rsidRDefault="0030599D" w:rsidP="00E42971">
            <w:pPr>
              <w:pStyle w:val="Geenafstand"/>
              <w:rPr>
                <w:sz w:val="18"/>
                <w:szCs w:val="18"/>
              </w:rPr>
            </w:pPr>
            <w:r w:rsidRPr="00384794">
              <w:rPr>
                <w:sz w:val="18"/>
                <w:szCs w:val="18"/>
              </w:rPr>
              <w:t>968,393</w:t>
            </w:r>
          </w:p>
        </w:tc>
        <w:tc>
          <w:tcPr>
            <w:tcW w:w="1242" w:type="dxa"/>
            <w:vAlign w:val="center"/>
          </w:tcPr>
          <w:p w:rsidR="0030599D" w:rsidRPr="00384794" w:rsidRDefault="0030599D" w:rsidP="00E42971">
            <w:pPr>
              <w:pStyle w:val="Geenafstand"/>
              <w:rPr>
                <w:sz w:val="18"/>
                <w:szCs w:val="18"/>
              </w:rPr>
            </w:pPr>
            <w:r>
              <w:rPr>
                <w:sz w:val="18"/>
                <w:szCs w:val="18"/>
              </w:rPr>
              <w:t>0</w:t>
            </w:r>
            <w:r w:rsidRPr="00384794">
              <w:rPr>
                <w:sz w:val="18"/>
                <w:szCs w:val="18"/>
              </w:rPr>
              <w:t>,000</w:t>
            </w:r>
            <w:r w:rsidRPr="00384794">
              <w:rPr>
                <w:sz w:val="18"/>
                <w:szCs w:val="18"/>
                <w:vertAlign w:val="superscript"/>
              </w:rPr>
              <w:t>a</w:t>
            </w:r>
          </w:p>
        </w:tc>
      </w:tr>
      <w:tr w:rsidR="0030599D" w:rsidTr="00E42971">
        <w:tc>
          <w:tcPr>
            <w:tcW w:w="2943" w:type="dxa"/>
            <w:tcBorders>
              <w:top w:val="nil"/>
              <w:left w:val="single" w:sz="4" w:space="0" w:color="auto"/>
              <w:bottom w:val="nil"/>
              <w:right w:val="nil"/>
            </w:tcBorders>
          </w:tcPr>
          <w:p w:rsidR="0030599D" w:rsidRDefault="0030599D" w:rsidP="00E42971">
            <w:pPr>
              <w:pStyle w:val="Geenafstand"/>
              <w:rPr>
                <w:sz w:val="18"/>
                <w:szCs w:val="18"/>
              </w:rPr>
            </w:pPr>
          </w:p>
        </w:tc>
        <w:tc>
          <w:tcPr>
            <w:tcW w:w="1134" w:type="dxa"/>
            <w:tcBorders>
              <w:top w:val="nil"/>
              <w:left w:val="nil"/>
              <w:bottom w:val="nil"/>
              <w:right w:val="nil"/>
            </w:tcBorders>
            <w:vAlign w:val="center"/>
          </w:tcPr>
          <w:p w:rsidR="0030599D" w:rsidRPr="009D6A17" w:rsidRDefault="0030599D" w:rsidP="00E42971">
            <w:pPr>
              <w:pStyle w:val="Geenafstand"/>
              <w:rPr>
                <w:sz w:val="18"/>
                <w:szCs w:val="18"/>
              </w:rPr>
            </w:pPr>
          </w:p>
        </w:tc>
        <w:tc>
          <w:tcPr>
            <w:tcW w:w="1134" w:type="dxa"/>
            <w:tcBorders>
              <w:top w:val="nil"/>
              <w:left w:val="nil"/>
              <w:bottom w:val="nil"/>
              <w:right w:val="single" w:sz="4" w:space="0" w:color="auto"/>
            </w:tcBorders>
            <w:vAlign w:val="center"/>
          </w:tcPr>
          <w:p w:rsidR="0030599D" w:rsidRPr="009D6A17" w:rsidRDefault="0030599D" w:rsidP="00E42971">
            <w:pPr>
              <w:pStyle w:val="Geenafstand"/>
              <w:rPr>
                <w:sz w:val="18"/>
                <w:szCs w:val="18"/>
              </w:rPr>
            </w:pPr>
          </w:p>
        </w:tc>
        <w:tc>
          <w:tcPr>
            <w:tcW w:w="1560" w:type="dxa"/>
            <w:tcBorders>
              <w:left w:val="single" w:sz="4" w:space="0" w:color="auto"/>
            </w:tcBorders>
          </w:tcPr>
          <w:p w:rsidR="0030599D" w:rsidRPr="00A55F49" w:rsidRDefault="0030599D" w:rsidP="00E42971">
            <w:pPr>
              <w:pStyle w:val="Geenafstand"/>
              <w:rPr>
                <w:sz w:val="18"/>
                <w:szCs w:val="18"/>
              </w:rPr>
            </w:pPr>
            <w:r>
              <w:rPr>
                <w:sz w:val="18"/>
                <w:szCs w:val="18"/>
              </w:rPr>
              <w:t>Luxembourg</w:t>
            </w:r>
          </w:p>
        </w:tc>
        <w:tc>
          <w:tcPr>
            <w:tcW w:w="1275" w:type="dxa"/>
            <w:vAlign w:val="center"/>
          </w:tcPr>
          <w:p w:rsidR="0030599D" w:rsidRPr="00384794" w:rsidRDefault="0030599D" w:rsidP="00E42971">
            <w:pPr>
              <w:pStyle w:val="Geenafstand"/>
              <w:rPr>
                <w:sz w:val="18"/>
                <w:szCs w:val="18"/>
              </w:rPr>
            </w:pPr>
            <w:r w:rsidRPr="00384794">
              <w:rPr>
                <w:sz w:val="18"/>
                <w:szCs w:val="18"/>
              </w:rPr>
              <w:t>12,536</w:t>
            </w:r>
          </w:p>
        </w:tc>
        <w:tc>
          <w:tcPr>
            <w:tcW w:w="1242" w:type="dxa"/>
            <w:vAlign w:val="center"/>
          </w:tcPr>
          <w:p w:rsidR="0030599D" w:rsidRPr="00384794" w:rsidRDefault="0030599D" w:rsidP="00E42971">
            <w:pPr>
              <w:pStyle w:val="Geenafstand"/>
              <w:rPr>
                <w:sz w:val="18"/>
                <w:szCs w:val="18"/>
              </w:rPr>
            </w:pPr>
            <w:r>
              <w:rPr>
                <w:sz w:val="18"/>
                <w:szCs w:val="18"/>
              </w:rPr>
              <w:t>0</w:t>
            </w:r>
            <w:r w:rsidRPr="00384794">
              <w:rPr>
                <w:sz w:val="18"/>
                <w:szCs w:val="18"/>
              </w:rPr>
              <w:t>,000</w:t>
            </w:r>
            <w:r w:rsidRPr="00384794">
              <w:rPr>
                <w:sz w:val="18"/>
                <w:szCs w:val="18"/>
                <w:vertAlign w:val="superscript"/>
              </w:rPr>
              <w:t>a</w:t>
            </w:r>
          </w:p>
        </w:tc>
      </w:tr>
      <w:tr w:rsidR="0030599D" w:rsidTr="00E42971">
        <w:tc>
          <w:tcPr>
            <w:tcW w:w="2943" w:type="dxa"/>
            <w:tcBorders>
              <w:top w:val="nil"/>
              <w:left w:val="single" w:sz="4" w:space="0" w:color="auto"/>
              <w:bottom w:val="nil"/>
              <w:right w:val="nil"/>
            </w:tcBorders>
          </w:tcPr>
          <w:p w:rsidR="0030599D" w:rsidRDefault="0030599D" w:rsidP="00E42971">
            <w:pPr>
              <w:pStyle w:val="Geenafstand"/>
              <w:rPr>
                <w:sz w:val="18"/>
                <w:szCs w:val="18"/>
              </w:rPr>
            </w:pPr>
          </w:p>
        </w:tc>
        <w:tc>
          <w:tcPr>
            <w:tcW w:w="1134" w:type="dxa"/>
            <w:tcBorders>
              <w:top w:val="nil"/>
              <w:left w:val="nil"/>
              <w:bottom w:val="nil"/>
              <w:right w:val="nil"/>
            </w:tcBorders>
            <w:vAlign w:val="center"/>
          </w:tcPr>
          <w:p w:rsidR="0030599D" w:rsidRPr="009D6A17" w:rsidRDefault="0030599D" w:rsidP="00E42971">
            <w:pPr>
              <w:pStyle w:val="Geenafstand"/>
              <w:rPr>
                <w:sz w:val="18"/>
                <w:szCs w:val="18"/>
              </w:rPr>
            </w:pPr>
          </w:p>
        </w:tc>
        <w:tc>
          <w:tcPr>
            <w:tcW w:w="1134" w:type="dxa"/>
            <w:tcBorders>
              <w:top w:val="nil"/>
              <w:left w:val="nil"/>
              <w:bottom w:val="nil"/>
              <w:right w:val="single" w:sz="4" w:space="0" w:color="auto"/>
            </w:tcBorders>
            <w:vAlign w:val="center"/>
          </w:tcPr>
          <w:p w:rsidR="0030599D" w:rsidRPr="009D6A17" w:rsidRDefault="0030599D" w:rsidP="00E42971">
            <w:pPr>
              <w:pStyle w:val="Geenafstand"/>
              <w:rPr>
                <w:sz w:val="18"/>
                <w:szCs w:val="18"/>
              </w:rPr>
            </w:pPr>
          </w:p>
        </w:tc>
        <w:tc>
          <w:tcPr>
            <w:tcW w:w="1560" w:type="dxa"/>
            <w:tcBorders>
              <w:left w:val="single" w:sz="4" w:space="0" w:color="auto"/>
            </w:tcBorders>
          </w:tcPr>
          <w:p w:rsidR="0030599D" w:rsidRPr="00A55F49" w:rsidRDefault="0030599D" w:rsidP="00E42971">
            <w:pPr>
              <w:pStyle w:val="Geenafstand"/>
              <w:rPr>
                <w:sz w:val="18"/>
                <w:szCs w:val="18"/>
              </w:rPr>
            </w:pPr>
            <w:r>
              <w:rPr>
                <w:sz w:val="18"/>
                <w:szCs w:val="18"/>
              </w:rPr>
              <w:t xml:space="preserve">Netherlands </w:t>
            </w:r>
          </w:p>
        </w:tc>
        <w:tc>
          <w:tcPr>
            <w:tcW w:w="1275" w:type="dxa"/>
            <w:vAlign w:val="center"/>
          </w:tcPr>
          <w:p w:rsidR="0030599D" w:rsidRPr="008855F7" w:rsidRDefault="0030599D" w:rsidP="00E42971">
            <w:pPr>
              <w:pStyle w:val="Geenafstand"/>
              <w:rPr>
                <w:sz w:val="18"/>
                <w:szCs w:val="18"/>
              </w:rPr>
            </w:pPr>
            <w:r w:rsidRPr="008855F7">
              <w:rPr>
                <w:sz w:val="18"/>
                <w:szCs w:val="18"/>
              </w:rPr>
              <w:t>278,857</w:t>
            </w:r>
          </w:p>
        </w:tc>
        <w:tc>
          <w:tcPr>
            <w:tcW w:w="1242" w:type="dxa"/>
            <w:vAlign w:val="center"/>
          </w:tcPr>
          <w:p w:rsidR="0030599D" w:rsidRPr="008855F7" w:rsidRDefault="0030599D" w:rsidP="00E42971">
            <w:pPr>
              <w:pStyle w:val="Geenafstand"/>
              <w:rPr>
                <w:sz w:val="18"/>
                <w:szCs w:val="18"/>
              </w:rPr>
            </w:pPr>
            <w:r>
              <w:rPr>
                <w:sz w:val="18"/>
                <w:szCs w:val="18"/>
              </w:rPr>
              <w:t>0</w:t>
            </w:r>
            <w:r w:rsidRPr="008855F7">
              <w:rPr>
                <w:sz w:val="18"/>
                <w:szCs w:val="18"/>
              </w:rPr>
              <w:t>,000</w:t>
            </w:r>
            <w:r w:rsidRPr="008855F7">
              <w:rPr>
                <w:sz w:val="18"/>
                <w:szCs w:val="18"/>
                <w:vertAlign w:val="superscript"/>
              </w:rPr>
              <w:t>a</w:t>
            </w:r>
          </w:p>
        </w:tc>
      </w:tr>
      <w:tr w:rsidR="0030599D" w:rsidTr="00E42971">
        <w:tc>
          <w:tcPr>
            <w:tcW w:w="2943" w:type="dxa"/>
            <w:tcBorders>
              <w:top w:val="nil"/>
              <w:left w:val="single" w:sz="4" w:space="0" w:color="auto"/>
              <w:bottom w:val="nil"/>
              <w:right w:val="nil"/>
            </w:tcBorders>
          </w:tcPr>
          <w:p w:rsidR="0030599D" w:rsidRDefault="0030599D" w:rsidP="00E42971">
            <w:pPr>
              <w:pStyle w:val="Geenafstand"/>
              <w:rPr>
                <w:sz w:val="18"/>
                <w:szCs w:val="18"/>
              </w:rPr>
            </w:pPr>
          </w:p>
        </w:tc>
        <w:tc>
          <w:tcPr>
            <w:tcW w:w="1134" w:type="dxa"/>
            <w:tcBorders>
              <w:top w:val="nil"/>
              <w:left w:val="nil"/>
              <w:bottom w:val="nil"/>
              <w:right w:val="nil"/>
            </w:tcBorders>
            <w:vAlign w:val="center"/>
          </w:tcPr>
          <w:p w:rsidR="0030599D" w:rsidRPr="009D6A17" w:rsidRDefault="0030599D" w:rsidP="00E42971">
            <w:pPr>
              <w:pStyle w:val="Geenafstand"/>
              <w:rPr>
                <w:sz w:val="18"/>
                <w:szCs w:val="18"/>
              </w:rPr>
            </w:pPr>
          </w:p>
        </w:tc>
        <w:tc>
          <w:tcPr>
            <w:tcW w:w="1134" w:type="dxa"/>
            <w:tcBorders>
              <w:top w:val="nil"/>
              <w:left w:val="nil"/>
              <w:bottom w:val="nil"/>
              <w:right w:val="single" w:sz="4" w:space="0" w:color="auto"/>
            </w:tcBorders>
            <w:vAlign w:val="center"/>
          </w:tcPr>
          <w:p w:rsidR="0030599D" w:rsidRPr="009D6A17" w:rsidRDefault="0030599D" w:rsidP="00E42971">
            <w:pPr>
              <w:pStyle w:val="Geenafstand"/>
              <w:rPr>
                <w:sz w:val="18"/>
                <w:szCs w:val="18"/>
              </w:rPr>
            </w:pPr>
          </w:p>
        </w:tc>
        <w:tc>
          <w:tcPr>
            <w:tcW w:w="1560" w:type="dxa"/>
            <w:tcBorders>
              <w:left w:val="single" w:sz="4" w:space="0" w:color="auto"/>
            </w:tcBorders>
          </w:tcPr>
          <w:p w:rsidR="0030599D" w:rsidRPr="00A55F49" w:rsidRDefault="0030599D" w:rsidP="00E42971">
            <w:pPr>
              <w:pStyle w:val="Geenafstand"/>
              <w:rPr>
                <w:sz w:val="18"/>
                <w:szCs w:val="18"/>
              </w:rPr>
            </w:pPr>
            <w:r>
              <w:rPr>
                <w:sz w:val="18"/>
                <w:szCs w:val="18"/>
              </w:rPr>
              <w:t>Austria</w:t>
            </w:r>
          </w:p>
        </w:tc>
        <w:tc>
          <w:tcPr>
            <w:tcW w:w="1275" w:type="dxa"/>
            <w:vAlign w:val="center"/>
          </w:tcPr>
          <w:p w:rsidR="0030599D" w:rsidRPr="008855F7" w:rsidRDefault="0030599D" w:rsidP="00E42971">
            <w:pPr>
              <w:pStyle w:val="Geenafstand"/>
              <w:rPr>
                <w:sz w:val="18"/>
                <w:szCs w:val="18"/>
              </w:rPr>
            </w:pPr>
            <w:r w:rsidRPr="008855F7">
              <w:rPr>
                <w:sz w:val="18"/>
                <w:szCs w:val="18"/>
              </w:rPr>
              <w:t>216,819</w:t>
            </w:r>
          </w:p>
        </w:tc>
        <w:tc>
          <w:tcPr>
            <w:tcW w:w="1242" w:type="dxa"/>
            <w:vAlign w:val="center"/>
          </w:tcPr>
          <w:p w:rsidR="0030599D" w:rsidRPr="008855F7" w:rsidRDefault="0030599D" w:rsidP="00E42971">
            <w:pPr>
              <w:pStyle w:val="Geenafstand"/>
              <w:rPr>
                <w:sz w:val="18"/>
                <w:szCs w:val="18"/>
              </w:rPr>
            </w:pPr>
            <w:r>
              <w:rPr>
                <w:sz w:val="18"/>
                <w:szCs w:val="18"/>
              </w:rPr>
              <w:t>0</w:t>
            </w:r>
            <w:r w:rsidRPr="008855F7">
              <w:rPr>
                <w:sz w:val="18"/>
                <w:szCs w:val="18"/>
              </w:rPr>
              <w:t>,000</w:t>
            </w:r>
            <w:r w:rsidRPr="008855F7">
              <w:rPr>
                <w:sz w:val="18"/>
                <w:szCs w:val="18"/>
                <w:vertAlign w:val="superscript"/>
              </w:rPr>
              <w:t>a</w:t>
            </w:r>
          </w:p>
        </w:tc>
      </w:tr>
      <w:tr w:rsidR="0030599D" w:rsidTr="00E42971">
        <w:tc>
          <w:tcPr>
            <w:tcW w:w="2943" w:type="dxa"/>
            <w:tcBorders>
              <w:top w:val="nil"/>
              <w:left w:val="single" w:sz="4" w:space="0" w:color="auto"/>
              <w:bottom w:val="nil"/>
              <w:right w:val="nil"/>
            </w:tcBorders>
          </w:tcPr>
          <w:p w:rsidR="0030599D" w:rsidRDefault="0030599D" w:rsidP="00E42971">
            <w:pPr>
              <w:pStyle w:val="Geenafstand"/>
              <w:rPr>
                <w:sz w:val="18"/>
                <w:szCs w:val="18"/>
              </w:rPr>
            </w:pPr>
          </w:p>
        </w:tc>
        <w:tc>
          <w:tcPr>
            <w:tcW w:w="1134" w:type="dxa"/>
            <w:tcBorders>
              <w:top w:val="nil"/>
              <w:left w:val="nil"/>
              <w:bottom w:val="nil"/>
              <w:right w:val="nil"/>
            </w:tcBorders>
          </w:tcPr>
          <w:p w:rsidR="0030599D" w:rsidRDefault="0030599D" w:rsidP="00E42971"/>
        </w:tc>
        <w:tc>
          <w:tcPr>
            <w:tcW w:w="1134" w:type="dxa"/>
            <w:tcBorders>
              <w:top w:val="nil"/>
              <w:left w:val="nil"/>
              <w:bottom w:val="nil"/>
              <w:right w:val="single" w:sz="4" w:space="0" w:color="auto"/>
            </w:tcBorders>
          </w:tcPr>
          <w:p w:rsidR="0030599D" w:rsidRDefault="0030599D" w:rsidP="00E42971"/>
        </w:tc>
        <w:tc>
          <w:tcPr>
            <w:tcW w:w="1560" w:type="dxa"/>
            <w:tcBorders>
              <w:left w:val="single" w:sz="4" w:space="0" w:color="auto"/>
            </w:tcBorders>
          </w:tcPr>
          <w:p w:rsidR="0030599D" w:rsidRPr="00A55F49" w:rsidRDefault="0030599D" w:rsidP="00E42971">
            <w:pPr>
              <w:pStyle w:val="Geenafstand"/>
              <w:rPr>
                <w:sz w:val="18"/>
                <w:szCs w:val="18"/>
              </w:rPr>
            </w:pPr>
            <w:r>
              <w:rPr>
                <w:sz w:val="18"/>
                <w:szCs w:val="18"/>
              </w:rPr>
              <w:t>Portugal</w:t>
            </w:r>
          </w:p>
        </w:tc>
        <w:tc>
          <w:tcPr>
            <w:tcW w:w="1275" w:type="dxa"/>
            <w:vAlign w:val="center"/>
          </w:tcPr>
          <w:p w:rsidR="0030599D" w:rsidRPr="00527B48" w:rsidRDefault="0030599D" w:rsidP="00E42971">
            <w:pPr>
              <w:pStyle w:val="Geenafstand"/>
              <w:rPr>
                <w:sz w:val="18"/>
                <w:szCs w:val="18"/>
              </w:rPr>
            </w:pPr>
            <w:r w:rsidRPr="00527B48">
              <w:rPr>
                <w:sz w:val="18"/>
                <w:szCs w:val="18"/>
              </w:rPr>
              <w:t>13,725</w:t>
            </w:r>
          </w:p>
        </w:tc>
        <w:tc>
          <w:tcPr>
            <w:tcW w:w="1242" w:type="dxa"/>
            <w:vAlign w:val="center"/>
          </w:tcPr>
          <w:p w:rsidR="0030599D" w:rsidRPr="00527B48" w:rsidRDefault="0030599D" w:rsidP="00E42971">
            <w:pPr>
              <w:pStyle w:val="Geenafstand"/>
              <w:rPr>
                <w:sz w:val="18"/>
                <w:szCs w:val="18"/>
              </w:rPr>
            </w:pPr>
            <w:r>
              <w:rPr>
                <w:sz w:val="18"/>
                <w:szCs w:val="18"/>
              </w:rPr>
              <w:t>0</w:t>
            </w:r>
            <w:r w:rsidRPr="00527B48">
              <w:rPr>
                <w:sz w:val="18"/>
                <w:szCs w:val="18"/>
              </w:rPr>
              <w:t>,000</w:t>
            </w:r>
            <w:r w:rsidRPr="003D54CF">
              <w:rPr>
                <w:sz w:val="18"/>
                <w:szCs w:val="18"/>
                <w:vertAlign w:val="superscript"/>
              </w:rPr>
              <w:t>a</w:t>
            </w:r>
          </w:p>
        </w:tc>
      </w:tr>
      <w:tr w:rsidR="0030599D" w:rsidTr="00E42971">
        <w:tc>
          <w:tcPr>
            <w:tcW w:w="2943" w:type="dxa"/>
            <w:tcBorders>
              <w:top w:val="nil"/>
              <w:left w:val="single" w:sz="4" w:space="0" w:color="auto"/>
              <w:bottom w:val="nil"/>
              <w:right w:val="nil"/>
            </w:tcBorders>
          </w:tcPr>
          <w:p w:rsidR="0030599D" w:rsidRDefault="0030599D" w:rsidP="00E42971">
            <w:pPr>
              <w:pStyle w:val="Geenafstand"/>
              <w:rPr>
                <w:sz w:val="18"/>
                <w:szCs w:val="18"/>
              </w:rPr>
            </w:pPr>
          </w:p>
        </w:tc>
        <w:tc>
          <w:tcPr>
            <w:tcW w:w="1134" w:type="dxa"/>
            <w:tcBorders>
              <w:top w:val="nil"/>
              <w:left w:val="nil"/>
              <w:bottom w:val="nil"/>
              <w:right w:val="nil"/>
            </w:tcBorders>
          </w:tcPr>
          <w:p w:rsidR="0030599D" w:rsidRDefault="0030599D" w:rsidP="00E42971"/>
        </w:tc>
        <w:tc>
          <w:tcPr>
            <w:tcW w:w="1134" w:type="dxa"/>
            <w:tcBorders>
              <w:top w:val="nil"/>
              <w:left w:val="nil"/>
              <w:bottom w:val="nil"/>
              <w:right w:val="single" w:sz="4" w:space="0" w:color="auto"/>
            </w:tcBorders>
          </w:tcPr>
          <w:p w:rsidR="0030599D" w:rsidRDefault="0030599D" w:rsidP="00E42971"/>
        </w:tc>
        <w:tc>
          <w:tcPr>
            <w:tcW w:w="1560" w:type="dxa"/>
            <w:tcBorders>
              <w:left w:val="single" w:sz="4" w:space="0" w:color="auto"/>
            </w:tcBorders>
          </w:tcPr>
          <w:p w:rsidR="0030599D" w:rsidRPr="00A55F49" w:rsidRDefault="0030599D" w:rsidP="00E42971">
            <w:pPr>
              <w:pStyle w:val="Geenafstand"/>
              <w:rPr>
                <w:sz w:val="18"/>
                <w:szCs w:val="18"/>
              </w:rPr>
            </w:pPr>
            <w:r>
              <w:rPr>
                <w:sz w:val="18"/>
                <w:szCs w:val="18"/>
              </w:rPr>
              <w:t>Spain</w:t>
            </w:r>
          </w:p>
        </w:tc>
        <w:tc>
          <w:tcPr>
            <w:tcW w:w="1275" w:type="dxa"/>
            <w:vAlign w:val="center"/>
          </w:tcPr>
          <w:p w:rsidR="0030599D" w:rsidRPr="00A35E08" w:rsidRDefault="0030599D" w:rsidP="00E42971">
            <w:pPr>
              <w:pStyle w:val="Geenafstand"/>
              <w:rPr>
                <w:sz w:val="18"/>
                <w:szCs w:val="18"/>
              </w:rPr>
            </w:pPr>
            <w:r w:rsidRPr="00A35E08">
              <w:rPr>
                <w:sz w:val="18"/>
                <w:szCs w:val="18"/>
              </w:rPr>
              <w:t>323,187</w:t>
            </w:r>
          </w:p>
        </w:tc>
        <w:tc>
          <w:tcPr>
            <w:tcW w:w="1242" w:type="dxa"/>
            <w:vAlign w:val="center"/>
          </w:tcPr>
          <w:p w:rsidR="0030599D" w:rsidRPr="00A35E08" w:rsidRDefault="0030599D" w:rsidP="00E42971">
            <w:pPr>
              <w:pStyle w:val="Geenafstand"/>
              <w:rPr>
                <w:sz w:val="18"/>
                <w:szCs w:val="18"/>
              </w:rPr>
            </w:pPr>
            <w:r>
              <w:rPr>
                <w:sz w:val="18"/>
                <w:szCs w:val="18"/>
              </w:rPr>
              <w:t>0</w:t>
            </w:r>
            <w:r w:rsidRPr="00A35E08">
              <w:rPr>
                <w:sz w:val="18"/>
                <w:szCs w:val="18"/>
              </w:rPr>
              <w:t>,000</w:t>
            </w:r>
            <w:r w:rsidRPr="00A35E08">
              <w:rPr>
                <w:sz w:val="18"/>
                <w:szCs w:val="18"/>
                <w:vertAlign w:val="superscript"/>
              </w:rPr>
              <w:t>a</w:t>
            </w:r>
          </w:p>
        </w:tc>
      </w:tr>
      <w:tr w:rsidR="0030599D" w:rsidTr="00E42971">
        <w:tc>
          <w:tcPr>
            <w:tcW w:w="2943" w:type="dxa"/>
            <w:tcBorders>
              <w:top w:val="nil"/>
              <w:left w:val="single" w:sz="4" w:space="0" w:color="auto"/>
              <w:bottom w:val="nil"/>
              <w:right w:val="nil"/>
            </w:tcBorders>
          </w:tcPr>
          <w:p w:rsidR="0030599D" w:rsidRDefault="0030599D" w:rsidP="00E42971">
            <w:pPr>
              <w:pStyle w:val="Geenafstand"/>
              <w:rPr>
                <w:sz w:val="18"/>
                <w:szCs w:val="18"/>
              </w:rPr>
            </w:pPr>
          </w:p>
        </w:tc>
        <w:tc>
          <w:tcPr>
            <w:tcW w:w="1134" w:type="dxa"/>
            <w:tcBorders>
              <w:top w:val="nil"/>
              <w:left w:val="nil"/>
              <w:bottom w:val="nil"/>
              <w:right w:val="nil"/>
            </w:tcBorders>
          </w:tcPr>
          <w:p w:rsidR="0030599D" w:rsidRDefault="0030599D" w:rsidP="00E42971"/>
        </w:tc>
        <w:tc>
          <w:tcPr>
            <w:tcW w:w="1134" w:type="dxa"/>
            <w:tcBorders>
              <w:top w:val="nil"/>
              <w:left w:val="nil"/>
              <w:bottom w:val="nil"/>
              <w:right w:val="single" w:sz="4" w:space="0" w:color="auto"/>
            </w:tcBorders>
          </w:tcPr>
          <w:p w:rsidR="0030599D" w:rsidRDefault="0030599D" w:rsidP="00E42971"/>
        </w:tc>
        <w:tc>
          <w:tcPr>
            <w:tcW w:w="1560" w:type="dxa"/>
            <w:tcBorders>
              <w:left w:val="single" w:sz="4" w:space="0" w:color="auto"/>
            </w:tcBorders>
          </w:tcPr>
          <w:p w:rsidR="0030599D" w:rsidRPr="00A55F49" w:rsidRDefault="0030599D" w:rsidP="00E42971">
            <w:pPr>
              <w:pStyle w:val="Geenafstand"/>
              <w:rPr>
                <w:sz w:val="18"/>
                <w:szCs w:val="18"/>
              </w:rPr>
            </w:pPr>
            <w:r>
              <w:rPr>
                <w:sz w:val="18"/>
                <w:szCs w:val="18"/>
              </w:rPr>
              <w:t xml:space="preserve">United kingdom </w:t>
            </w:r>
          </w:p>
        </w:tc>
        <w:tc>
          <w:tcPr>
            <w:tcW w:w="1275" w:type="dxa"/>
            <w:vAlign w:val="center"/>
          </w:tcPr>
          <w:p w:rsidR="0030599D" w:rsidRPr="00A35E08" w:rsidRDefault="0030599D" w:rsidP="00E42971">
            <w:pPr>
              <w:pStyle w:val="Geenafstand"/>
              <w:rPr>
                <w:sz w:val="18"/>
                <w:szCs w:val="18"/>
              </w:rPr>
            </w:pPr>
            <w:r w:rsidRPr="00A35E08">
              <w:rPr>
                <w:sz w:val="18"/>
                <w:szCs w:val="18"/>
              </w:rPr>
              <w:t>988,010</w:t>
            </w:r>
          </w:p>
        </w:tc>
        <w:tc>
          <w:tcPr>
            <w:tcW w:w="1242" w:type="dxa"/>
            <w:vAlign w:val="center"/>
          </w:tcPr>
          <w:p w:rsidR="0030599D" w:rsidRPr="00A35E08" w:rsidRDefault="0030599D" w:rsidP="00E42971">
            <w:pPr>
              <w:pStyle w:val="Geenafstand"/>
              <w:rPr>
                <w:sz w:val="18"/>
                <w:szCs w:val="18"/>
              </w:rPr>
            </w:pPr>
            <w:r>
              <w:rPr>
                <w:sz w:val="18"/>
                <w:szCs w:val="18"/>
              </w:rPr>
              <w:t>0</w:t>
            </w:r>
            <w:r w:rsidRPr="00A35E08">
              <w:rPr>
                <w:sz w:val="18"/>
                <w:szCs w:val="18"/>
              </w:rPr>
              <w:t>,000</w:t>
            </w:r>
            <w:r w:rsidRPr="00A35E08">
              <w:rPr>
                <w:sz w:val="18"/>
                <w:szCs w:val="18"/>
                <w:vertAlign w:val="superscript"/>
              </w:rPr>
              <w:t>a</w:t>
            </w:r>
          </w:p>
        </w:tc>
      </w:tr>
      <w:tr w:rsidR="0030599D" w:rsidTr="00E42971">
        <w:tc>
          <w:tcPr>
            <w:tcW w:w="2943" w:type="dxa"/>
            <w:tcBorders>
              <w:top w:val="nil"/>
              <w:left w:val="single" w:sz="4" w:space="0" w:color="auto"/>
              <w:bottom w:val="single" w:sz="4" w:space="0" w:color="auto"/>
              <w:right w:val="nil"/>
            </w:tcBorders>
          </w:tcPr>
          <w:p w:rsidR="0030599D" w:rsidRDefault="0030599D" w:rsidP="00E42971">
            <w:pPr>
              <w:pStyle w:val="Geenafstand"/>
              <w:rPr>
                <w:sz w:val="18"/>
                <w:szCs w:val="18"/>
              </w:rPr>
            </w:pPr>
          </w:p>
        </w:tc>
        <w:tc>
          <w:tcPr>
            <w:tcW w:w="1134" w:type="dxa"/>
            <w:tcBorders>
              <w:top w:val="nil"/>
              <w:left w:val="nil"/>
              <w:bottom w:val="single" w:sz="4" w:space="0" w:color="auto"/>
              <w:right w:val="nil"/>
            </w:tcBorders>
          </w:tcPr>
          <w:p w:rsidR="0030599D" w:rsidRDefault="0030599D" w:rsidP="00E42971"/>
        </w:tc>
        <w:tc>
          <w:tcPr>
            <w:tcW w:w="1134" w:type="dxa"/>
            <w:tcBorders>
              <w:top w:val="nil"/>
              <w:left w:val="nil"/>
              <w:bottom w:val="single" w:sz="4" w:space="0" w:color="auto"/>
              <w:right w:val="single" w:sz="4" w:space="0" w:color="auto"/>
            </w:tcBorders>
          </w:tcPr>
          <w:p w:rsidR="0030599D" w:rsidRDefault="0030599D" w:rsidP="00E42971"/>
        </w:tc>
        <w:tc>
          <w:tcPr>
            <w:tcW w:w="1560" w:type="dxa"/>
            <w:tcBorders>
              <w:left w:val="single" w:sz="4" w:space="0" w:color="auto"/>
            </w:tcBorders>
          </w:tcPr>
          <w:p w:rsidR="0030599D" w:rsidRPr="00A55F49" w:rsidRDefault="0030599D" w:rsidP="00E42971">
            <w:pPr>
              <w:pStyle w:val="Geenafstand"/>
              <w:rPr>
                <w:sz w:val="18"/>
                <w:szCs w:val="18"/>
              </w:rPr>
            </w:pPr>
            <w:r>
              <w:rPr>
                <w:sz w:val="18"/>
                <w:szCs w:val="18"/>
              </w:rPr>
              <w:t xml:space="preserve">Sweden </w:t>
            </w:r>
          </w:p>
        </w:tc>
        <w:tc>
          <w:tcPr>
            <w:tcW w:w="1275" w:type="dxa"/>
            <w:vAlign w:val="center"/>
          </w:tcPr>
          <w:p w:rsidR="0030599D" w:rsidRPr="00293CAA" w:rsidRDefault="0030599D" w:rsidP="00E42971">
            <w:pPr>
              <w:pStyle w:val="Geenafstand"/>
              <w:rPr>
                <w:sz w:val="18"/>
                <w:szCs w:val="18"/>
              </w:rPr>
            </w:pPr>
            <w:r w:rsidRPr="00293CAA">
              <w:rPr>
                <w:sz w:val="18"/>
                <w:szCs w:val="18"/>
              </w:rPr>
              <w:t>999,613</w:t>
            </w:r>
          </w:p>
        </w:tc>
        <w:tc>
          <w:tcPr>
            <w:tcW w:w="1242" w:type="dxa"/>
            <w:vAlign w:val="center"/>
          </w:tcPr>
          <w:p w:rsidR="0030599D" w:rsidRPr="00293CAA" w:rsidRDefault="0030599D" w:rsidP="00E42971">
            <w:pPr>
              <w:pStyle w:val="Geenafstand"/>
              <w:rPr>
                <w:sz w:val="18"/>
                <w:szCs w:val="18"/>
              </w:rPr>
            </w:pPr>
            <w:r>
              <w:rPr>
                <w:sz w:val="18"/>
                <w:szCs w:val="18"/>
              </w:rPr>
              <w:t>0</w:t>
            </w:r>
            <w:r w:rsidRPr="00293CAA">
              <w:rPr>
                <w:sz w:val="18"/>
                <w:szCs w:val="18"/>
              </w:rPr>
              <w:t>,000</w:t>
            </w:r>
            <w:r w:rsidRPr="00293CAA">
              <w:rPr>
                <w:sz w:val="18"/>
                <w:szCs w:val="18"/>
                <w:vertAlign w:val="superscript"/>
              </w:rPr>
              <w:t>a</w:t>
            </w:r>
          </w:p>
        </w:tc>
      </w:tr>
      <w:tr w:rsidR="0030599D" w:rsidRPr="00872F8A" w:rsidTr="00E42971">
        <w:tc>
          <w:tcPr>
            <w:tcW w:w="9288" w:type="dxa"/>
            <w:gridSpan w:val="6"/>
          </w:tcPr>
          <w:p w:rsidR="0030599D" w:rsidRPr="008C6755" w:rsidRDefault="0030599D" w:rsidP="00E42971">
            <w:pPr>
              <w:rPr>
                <w:sz w:val="16"/>
                <w:szCs w:val="16"/>
                <w:lang w:val="en-US"/>
              </w:rPr>
            </w:pPr>
            <w:r w:rsidRPr="008C6755">
              <w:rPr>
                <w:sz w:val="16"/>
                <w:szCs w:val="16"/>
                <w:lang w:val="en-US"/>
              </w:rPr>
              <w:t>a. Predictors: (Constant), E_window5, E_window4, E_window3, E_window2, E_window1, Intt, Rmt</w:t>
            </w:r>
          </w:p>
        </w:tc>
      </w:tr>
      <w:tr w:rsidR="0030599D" w:rsidTr="00E42971">
        <w:trPr>
          <w:trHeight w:val="69"/>
        </w:trPr>
        <w:tc>
          <w:tcPr>
            <w:tcW w:w="9288" w:type="dxa"/>
            <w:gridSpan w:val="6"/>
          </w:tcPr>
          <w:p w:rsidR="0030599D" w:rsidRPr="003D54CF" w:rsidRDefault="0030599D" w:rsidP="00E42971">
            <w:pPr>
              <w:rPr>
                <w:sz w:val="16"/>
                <w:szCs w:val="16"/>
              </w:rPr>
            </w:pPr>
            <w:r w:rsidRPr="003D54CF">
              <w:rPr>
                <w:sz w:val="16"/>
                <w:szCs w:val="16"/>
              </w:rPr>
              <w:t>b. Dependent Variable: Rit</w:t>
            </w:r>
          </w:p>
        </w:tc>
      </w:tr>
    </w:tbl>
    <w:p w:rsidR="008C6755" w:rsidRPr="00DA0DCD" w:rsidRDefault="00502FF6" w:rsidP="007D43DC">
      <w:pPr>
        <w:rPr>
          <w:sz w:val="20"/>
          <w:szCs w:val="20"/>
          <w:lang w:val="en-US"/>
        </w:rPr>
      </w:pPr>
      <w:r w:rsidRPr="00DA0DCD">
        <w:rPr>
          <w:sz w:val="20"/>
          <w:szCs w:val="20"/>
          <w:lang w:val="en-US"/>
        </w:rPr>
        <w:t xml:space="preserve">Table </w:t>
      </w:r>
      <w:r w:rsidR="0042195C" w:rsidRPr="00DA0DCD">
        <w:rPr>
          <w:sz w:val="20"/>
          <w:szCs w:val="20"/>
          <w:lang w:val="en-US"/>
        </w:rPr>
        <w:t>7</w:t>
      </w:r>
      <w:r w:rsidRPr="00DA0DCD">
        <w:rPr>
          <w:sz w:val="20"/>
          <w:szCs w:val="20"/>
          <w:lang w:val="en-US"/>
        </w:rPr>
        <w:t>.</w:t>
      </w:r>
      <w:r w:rsidR="0042195C" w:rsidRPr="00DA0DCD">
        <w:rPr>
          <w:sz w:val="20"/>
          <w:szCs w:val="20"/>
          <w:lang w:val="en-US"/>
        </w:rPr>
        <w:t>2</w:t>
      </w:r>
      <w:r w:rsidRPr="00DA0DCD">
        <w:rPr>
          <w:sz w:val="20"/>
          <w:szCs w:val="20"/>
          <w:lang w:val="en-US"/>
        </w:rPr>
        <w:t xml:space="preserve"> ANOVA</w:t>
      </w:r>
    </w:p>
    <w:p w:rsidR="00EB6A3D" w:rsidRPr="00DA0DCD" w:rsidRDefault="00537F68" w:rsidP="007D43DC">
      <w:pPr>
        <w:rPr>
          <w:b/>
          <w:lang w:val="en-US"/>
        </w:rPr>
      </w:pPr>
      <w:r w:rsidRPr="00DA0DCD">
        <w:rPr>
          <w:lang w:val="en-US"/>
        </w:rPr>
        <w:t xml:space="preserve">In this table is shown that no models are equal to zero and therefore the null-hypothesis is not true. This means that the regression models are significant predicting the outcome of the model. </w:t>
      </w:r>
      <w:r w:rsidR="00025867" w:rsidRPr="00DA0DCD">
        <w:rPr>
          <w:lang w:val="en-US"/>
        </w:rPr>
        <w:t>So, the independent variables (</w:t>
      </w:r>
      <w:r w:rsidR="008A7026">
        <w:rPr>
          <w:lang w:val="en-US"/>
        </w:rPr>
        <w:t>market return, interest rate changes and even</w:t>
      </w:r>
      <w:r w:rsidR="007920FD">
        <w:rPr>
          <w:lang w:val="en-US"/>
        </w:rPr>
        <w:t>t</w:t>
      </w:r>
      <w:r w:rsidR="008A7026">
        <w:rPr>
          <w:lang w:val="en-US"/>
        </w:rPr>
        <w:t xml:space="preserve"> windows</w:t>
      </w:r>
      <w:r w:rsidR="00025867" w:rsidRPr="00DA0DCD">
        <w:rPr>
          <w:lang w:val="en-US"/>
        </w:rPr>
        <w:t>) are significant in predicting the dependent variable</w:t>
      </w:r>
      <w:r w:rsidR="008A7026">
        <w:rPr>
          <w:lang w:val="en-US"/>
        </w:rPr>
        <w:t xml:space="preserve"> (return of the financial institution)</w:t>
      </w:r>
      <w:r w:rsidR="00025867" w:rsidRPr="00DA0DCD">
        <w:rPr>
          <w:lang w:val="en-US"/>
        </w:rPr>
        <w:t xml:space="preserve">. </w:t>
      </w:r>
      <w:r w:rsidRPr="00DA0DCD">
        <w:rPr>
          <w:lang w:val="en-US"/>
        </w:rPr>
        <w:t>Noticeable is that the countries Portugal</w:t>
      </w:r>
      <w:r w:rsidR="008A7026">
        <w:rPr>
          <w:lang w:val="en-US"/>
        </w:rPr>
        <w:t>, Luxembourg and Ireland</w:t>
      </w:r>
      <w:r w:rsidRPr="00DA0DCD">
        <w:rPr>
          <w:lang w:val="en-US"/>
        </w:rPr>
        <w:t xml:space="preserve"> have a lower F value compared with the other countries. The regression model is significant as shown under</w:t>
      </w:r>
      <w:r w:rsidR="00E03344" w:rsidRPr="00DA0DCD">
        <w:rPr>
          <w:lang w:val="en-US"/>
        </w:rPr>
        <w:t xml:space="preserve"> the heading</w:t>
      </w:r>
      <w:r w:rsidRPr="00DA0DCD">
        <w:rPr>
          <w:lang w:val="en-US"/>
        </w:rPr>
        <w:t xml:space="preserve"> sig. but lower compared with the other countries. </w:t>
      </w:r>
    </w:p>
    <w:p w:rsidR="00F73FE0" w:rsidRPr="00DA0DCD" w:rsidRDefault="00F73FE0" w:rsidP="00F73FE0">
      <w:pPr>
        <w:pStyle w:val="Kop2"/>
        <w:numPr>
          <w:ilvl w:val="1"/>
          <w:numId w:val="14"/>
        </w:numPr>
        <w:rPr>
          <w:lang w:val="en-US"/>
        </w:rPr>
      </w:pPr>
      <w:r w:rsidRPr="00DA0DCD">
        <w:rPr>
          <w:lang w:val="en-US"/>
        </w:rPr>
        <w:t xml:space="preserve"> </w:t>
      </w:r>
      <w:bookmarkStart w:id="75" w:name="_Toc270770609"/>
      <w:r w:rsidRPr="00DA0DCD">
        <w:rPr>
          <w:lang w:val="en-US"/>
        </w:rPr>
        <w:t xml:space="preserve">The results </w:t>
      </w:r>
      <w:r w:rsidR="00BA5D31" w:rsidRPr="00DA0DCD">
        <w:rPr>
          <w:lang w:val="en-US"/>
        </w:rPr>
        <w:t>using the</w:t>
      </w:r>
      <w:r w:rsidRPr="00DA0DCD">
        <w:rPr>
          <w:lang w:val="en-US"/>
        </w:rPr>
        <w:t xml:space="preserve"> multi-factor model (multiple regression)</w:t>
      </w:r>
      <w:bookmarkEnd w:id="75"/>
    </w:p>
    <w:p w:rsidR="005149E1" w:rsidRDefault="008821D5" w:rsidP="005149E1">
      <w:pPr>
        <w:rPr>
          <w:lang w:val="en-US"/>
        </w:rPr>
      </w:pPr>
      <w:r w:rsidRPr="00DA0DCD">
        <w:rPr>
          <w:lang w:val="en-US"/>
        </w:rPr>
        <w:t xml:space="preserve">In this </w:t>
      </w:r>
      <w:r w:rsidR="000C4206" w:rsidRPr="00DA0DCD">
        <w:rPr>
          <w:lang w:val="en-US"/>
        </w:rPr>
        <w:t>paragraph,</w:t>
      </w:r>
      <w:r w:rsidRPr="00DA0DCD">
        <w:rPr>
          <w:lang w:val="en-US"/>
        </w:rPr>
        <w:t xml:space="preserve"> the results of the </w:t>
      </w:r>
      <w:r w:rsidR="00B90626">
        <w:rPr>
          <w:lang w:val="en-US"/>
        </w:rPr>
        <w:t>tests of the</w:t>
      </w:r>
      <w:r w:rsidR="00E03344" w:rsidRPr="00DA0DCD">
        <w:rPr>
          <w:lang w:val="en-US"/>
        </w:rPr>
        <w:t xml:space="preserve"> </w:t>
      </w:r>
      <w:r w:rsidRPr="00DA0DCD">
        <w:rPr>
          <w:lang w:val="en-US"/>
        </w:rPr>
        <w:t>hypotheses</w:t>
      </w:r>
      <w:r w:rsidR="00B90626">
        <w:rPr>
          <w:lang w:val="en-US"/>
        </w:rPr>
        <w:t xml:space="preserve">, </w:t>
      </w:r>
      <w:r w:rsidRPr="00DA0DCD">
        <w:rPr>
          <w:lang w:val="en-US"/>
        </w:rPr>
        <w:t xml:space="preserve">as presented in chapter </w:t>
      </w:r>
      <w:r w:rsidR="00B90626" w:rsidRPr="00DA0DCD">
        <w:rPr>
          <w:lang w:val="en-US"/>
        </w:rPr>
        <w:t>five</w:t>
      </w:r>
      <w:r w:rsidR="00B90626">
        <w:rPr>
          <w:lang w:val="en-US"/>
        </w:rPr>
        <w:t>,</w:t>
      </w:r>
      <w:r w:rsidRPr="00DA0DCD">
        <w:rPr>
          <w:lang w:val="en-US"/>
        </w:rPr>
        <w:t xml:space="preserve"> </w:t>
      </w:r>
      <w:r w:rsidR="000C4206" w:rsidRPr="00DA0DCD">
        <w:rPr>
          <w:lang w:val="en-US"/>
        </w:rPr>
        <w:t xml:space="preserve">are </w:t>
      </w:r>
      <w:r w:rsidRPr="00DA0DCD">
        <w:rPr>
          <w:lang w:val="en-US"/>
        </w:rPr>
        <w:t>presented</w:t>
      </w:r>
      <w:r w:rsidR="00101E14" w:rsidRPr="00DA0DCD">
        <w:rPr>
          <w:lang w:val="en-US"/>
        </w:rPr>
        <w:t>.</w:t>
      </w:r>
      <w:r w:rsidRPr="00DA0DCD">
        <w:rPr>
          <w:lang w:val="en-US"/>
        </w:rPr>
        <w:t xml:space="preserve"> </w:t>
      </w:r>
    </w:p>
    <w:p w:rsidR="005149E1" w:rsidRPr="00DA0DCD" w:rsidRDefault="005149E1" w:rsidP="005149E1">
      <w:pPr>
        <w:pStyle w:val="Kop3"/>
        <w:numPr>
          <w:ilvl w:val="2"/>
          <w:numId w:val="14"/>
        </w:numPr>
        <w:rPr>
          <w:lang w:val="en-US"/>
        </w:rPr>
      </w:pPr>
      <w:bookmarkStart w:id="76" w:name="_Toc270770610"/>
      <w:r w:rsidRPr="00DA0DCD">
        <w:rPr>
          <w:lang w:val="en-US"/>
        </w:rPr>
        <w:t>Results of the first hypothesis</w:t>
      </w:r>
      <w:bookmarkEnd w:id="76"/>
    </w:p>
    <w:p w:rsidR="000C4206" w:rsidRPr="005F2D2D" w:rsidRDefault="000C4206" w:rsidP="000C4206">
      <w:pPr>
        <w:rPr>
          <w:i/>
          <w:lang w:val="en-US"/>
        </w:rPr>
      </w:pPr>
      <w:r w:rsidRPr="005F2D2D">
        <w:rPr>
          <w:lang w:val="en-US"/>
        </w:rPr>
        <w:t xml:space="preserve">Hypothesis 1: </w:t>
      </w:r>
      <w:r w:rsidR="0039106B" w:rsidRPr="005F2D2D">
        <w:rPr>
          <w:i/>
          <w:lang w:val="en-US"/>
        </w:rPr>
        <w:t>Events that potentially increase the probability of introducing the reclassification option in IAS 39 in the financial industry are associated with significant abnormal positive stock price reactions by financial institutions.</w:t>
      </w:r>
    </w:p>
    <w:p w:rsidR="00631C86" w:rsidRPr="00DA0DCD" w:rsidRDefault="00631C86" w:rsidP="0054214B">
      <w:pPr>
        <w:spacing w:after="0"/>
        <w:rPr>
          <w:lang w:val="en-US"/>
        </w:rPr>
      </w:pPr>
      <w:r w:rsidRPr="00DA0DCD">
        <w:rPr>
          <w:lang w:val="en-US"/>
        </w:rPr>
        <w:t>This hypothesis is tested by regressing Eq. (6.1) and Eq.(6.2) on the total sample with financial institutions. The outcome of these regressions is presented in table 7.3.</w:t>
      </w:r>
      <w:r w:rsidR="0054214B" w:rsidRPr="00DA0DCD">
        <w:rPr>
          <w:lang w:val="en-US"/>
        </w:rPr>
        <w:t xml:space="preserve"> The standardized coefficient (beta) represents the contribution in return of financial institutions</w:t>
      </w:r>
      <w:r w:rsidR="008A7026">
        <w:rPr>
          <w:lang w:val="en-US"/>
        </w:rPr>
        <w:t xml:space="preserve"> (dependent variable)</w:t>
      </w:r>
      <w:r w:rsidR="0054214B" w:rsidRPr="00DA0DCD">
        <w:rPr>
          <w:lang w:val="en-US"/>
        </w:rPr>
        <w:t>. The t-value and p-value represents the significance of the independent variables in the regression model.</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04"/>
        <w:gridCol w:w="4536"/>
      </w:tblGrid>
      <w:tr w:rsidR="006E5034" w:rsidRPr="00DA0DCD" w:rsidTr="00AA1369">
        <w:tc>
          <w:tcPr>
            <w:tcW w:w="5104" w:type="dxa"/>
          </w:tcPr>
          <w:p w:rsidR="006E5034" w:rsidRPr="003F6056" w:rsidRDefault="006E5034" w:rsidP="00434B68">
            <w:pPr>
              <w:pStyle w:val="Geenafstand"/>
              <w:rPr>
                <w:b/>
                <w:sz w:val="18"/>
                <w:szCs w:val="18"/>
                <w:lang w:val="en-US"/>
              </w:rPr>
            </w:pPr>
            <w:r w:rsidRPr="003F6056">
              <w:rPr>
                <w:b/>
                <w:sz w:val="18"/>
                <w:szCs w:val="18"/>
                <w:lang w:val="en-US"/>
              </w:rPr>
              <w:t>Total sample windows</w:t>
            </w:r>
          </w:p>
        </w:tc>
        <w:tc>
          <w:tcPr>
            <w:tcW w:w="4536" w:type="dxa"/>
          </w:tcPr>
          <w:p w:rsidR="006E5034" w:rsidRPr="003F6056" w:rsidRDefault="006E5034" w:rsidP="00434B68">
            <w:pPr>
              <w:pStyle w:val="Geenafstand"/>
              <w:rPr>
                <w:b/>
                <w:sz w:val="18"/>
                <w:szCs w:val="18"/>
                <w:lang w:val="en-US"/>
              </w:rPr>
            </w:pPr>
            <w:r w:rsidRPr="003F6056">
              <w:rPr>
                <w:b/>
                <w:sz w:val="18"/>
                <w:szCs w:val="18"/>
                <w:lang w:val="en-US"/>
              </w:rPr>
              <w:t>Total sample windows_combined</w:t>
            </w:r>
          </w:p>
        </w:tc>
      </w:tr>
      <w:tr w:rsidR="00C26413" w:rsidRPr="00DA0DCD" w:rsidTr="006D4BE8">
        <w:trPr>
          <w:trHeight w:val="69"/>
        </w:trPr>
        <w:tc>
          <w:tcPr>
            <w:tcW w:w="5104" w:type="dxa"/>
          </w:tcPr>
          <w:tbl>
            <w:tblPr>
              <w:tblW w:w="494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2"/>
              <w:gridCol w:w="912"/>
              <w:gridCol w:w="647"/>
              <w:gridCol w:w="709"/>
              <w:gridCol w:w="567"/>
              <w:gridCol w:w="743"/>
              <w:gridCol w:w="709"/>
              <w:gridCol w:w="567"/>
            </w:tblGrid>
            <w:tr w:rsidR="00C26413" w:rsidRPr="00DA0DCD" w:rsidTr="00434B68">
              <w:trPr>
                <w:cantSplit/>
                <w:tblHeader/>
              </w:trPr>
              <w:tc>
                <w:tcPr>
                  <w:tcW w:w="100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 xml:space="preserve">  Model</w:t>
                  </w:r>
                </w:p>
              </w:tc>
              <w:tc>
                <w:tcPr>
                  <w:tcW w:w="1356"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Unstandardized Coefficients</w:t>
                  </w:r>
                </w:p>
              </w:tc>
              <w:tc>
                <w:tcPr>
                  <w:tcW w:w="567" w:type="dxa"/>
                  <w:tcBorders>
                    <w:top w:val="single" w:sz="16" w:space="0" w:color="000000"/>
                  </w:tcBorders>
                  <w:shd w:val="clear" w:color="auto" w:fill="FFFFFF"/>
                  <w:tcMar>
                    <w:top w:w="30" w:type="dxa"/>
                    <w:left w:w="30" w:type="dxa"/>
                    <w:bottom w:w="30" w:type="dxa"/>
                    <w:right w:w="30" w:type="dxa"/>
                  </w:tcMar>
                </w:tcPr>
                <w:p w:rsidR="00C26413" w:rsidRPr="003F6056" w:rsidRDefault="00C26413" w:rsidP="00434B68">
                  <w:pPr>
                    <w:pStyle w:val="Geenafstand"/>
                    <w:rPr>
                      <w:sz w:val="16"/>
                      <w:szCs w:val="16"/>
                      <w:lang w:val="en-US"/>
                    </w:rPr>
                  </w:pPr>
                  <w:r w:rsidRPr="003F6056">
                    <w:rPr>
                      <w:sz w:val="16"/>
                      <w:szCs w:val="16"/>
                      <w:lang w:val="en-US"/>
                    </w:rPr>
                    <w:t>Pre- dicted sign</w:t>
                  </w:r>
                </w:p>
              </w:tc>
              <w:tc>
                <w:tcPr>
                  <w:tcW w:w="743" w:type="dxa"/>
                  <w:tcBorders>
                    <w:top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St</w:t>
                  </w:r>
                  <w:r w:rsidR="00434B68" w:rsidRPr="003F6056">
                    <w:rPr>
                      <w:sz w:val="16"/>
                      <w:szCs w:val="16"/>
                      <w:lang w:val="en-US"/>
                    </w:rPr>
                    <w:t>.</w:t>
                  </w:r>
                  <w:r w:rsidRPr="003F6056">
                    <w:rPr>
                      <w:sz w:val="16"/>
                      <w:szCs w:val="16"/>
                      <w:lang w:val="en-US"/>
                    </w:rPr>
                    <w:t>Co</w:t>
                  </w:r>
                  <w:r w:rsidR="00434B68" w:rsidRPr="003F6056">
                    <w:rPr>
                      <w:sz w:val="16"/>
                      <w:szCs w:val="16"/>
                      <w:lang w:val="en-US"/>
                    </w:rPr>
                    <w:t>-</w:t>
                  </w:r>
                  <w:r w:rsidRPr="003F6056">
                    <w:rPr>
                      <w:sz w:val="16"/>
                      <w:szCs w:val="16"/>
                      <w:lang w:val="en-US"/>
                    </w:rPr>
                    <w:t>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Sig.</w:t>
                  </w:r>
                </w:p>
              </w:tc>
            </w:tr>
            <w:tr w:rsidR="00C26413" w:rsidRPr="00DA0DCD" w:rsidTr="00434B68">
              <w:trPr>
                <w:cantSplit/>
                <w:tblHeader/>
              </w:trPr>
              <w:tc>
                <w:tcPr>
                  <w:tcW w:w="100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26413" w:rsidRPr="00DA0DCD" w:rsidRDefault="00C26413" w:rsidP="00434B68">
                  <w:pPr>
                    <w:pStyle w:val="Geenafstand"/>
                    <w:rPr>
                      <w:sz w:val="18"/>
                      <w:szCs w:val="18"/>
                      <w:lang w:val="en-US"/>
                    </w:rPr>
                  </w:pPr>
                </w:p>
              </w:tc>
              <w:tc>
                <w:tcPr>
                  <w:tcW w:w="64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B</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Std. Error</w:t>
                  </w:r>
                </w:p>
              </w:tc>
              <w:tc>
                <w:tcPr>
                  <w:tcW w:w="567" w:type="dxa"/>
                  <w:tcBorders>
                    <w:bottom w:val="single" w:sz="16" w:space="0" w:color="000000"/>
                  </w:tcBorders>
                  <w:shd w:val="clear" w:color="auto" w:fill="FFFFFF"/>
                  <w:tcMar>
                    <w:top w:w="30" w:type="dxa"/>
                    <w:left w:w="30" w:type="dxa"/>
                    <w:bottom w:w="30" w:type="dxa"/>
                    <w:right w:w="30" w:type="dxa"/>
                  </w:tcMar>
                </w:tcPr>
                <w:p w:rsidR="00C26413" w:rsidRPr="003F6056" w:rsidRDefault="00C26413" w:rsidP="00434B68">
                  <w:pPr>
                    <w:pStyle w:val="Geenafstand"/>
                    <w:rPr>
                      <w:sz w:val="16"/>
                      <w:szCs w:val="16"/>
                      <w:lang w:val="en-US"/>
                    </w:rPr>
                  </w:pPr>
                </w:p>
              </w:tc>
              <w:tc>
                <w:tcPr>
                  <w:tcW w:w="743" w:type="dxa"/>
                  <w:tcBorders>
                    <w:bottom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26413" w:rsidRPr="00DA0DCD" w:rsidRDefault="00C26413" w:rsidP="00434B68">
                  <w:pPr>
                    <w:pStyle w:val="Geenafstand"/>
                    <w:rPr>
                      <w:sz w:val="18"/>
                      <w:szCs w:val="18"/>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26413" w:rsidRPr="00DA0DCD" w:rsidRDefault="00C26413" w:rsidP="00434B68">
                  <w:pPr>
                    <w:pStyle w:val="Geenafstand"/>
                    <w:rPr>
                      <w:sz w:val="18"/>
                      <w:szCs w:val="18"/>
                      <w:lang w:val="en-US"/>
                    </w:rPr>
                  </w:pPr>
                </w:p>
              </w:tc>
            </w:tr>
            <w:tr w:rsidR="00C26413" w:rsidRPr="00DA0DCD" w:rsidTr="006D4BE8">
              <w:trPr>
                <w:cantSplit/>
                <w:trHeight w:val="172"/>
                <w:tblHeader/>
              </w:trPr>
              <w:tc>
                <w:tcPr>
                  <w:tcW w:w="9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91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C26413" w:rsidRPr="006D4BE8" w:rsidRDefault="00C26413" w:rsidP="00434B68">
                  <w:pPr>
                    <w:pStyle w:val="Geenafstand"/>
                    <w:rPr>
                      <w:sz w:val="18"/>
                      <w:szCs w:val="18"/>
                      <w:lang w:val="en-US"/>
                    </w:rPr>
                  </w:pPr>
                  <w:r w:rsidRPr="006D4BE8">
                    <w:rPr>
                      <w:sz w:val="18"/>
                      <w:szCs w:val="18"/>
                      <w:lang w:val="en-US"/>
                    </w:rPr>
                    <w:t>(Constant)</w:t>
                  </w:r>
                </w:p>
              </w:tc>
              <w:tc>
                <w:tcPr>
                  <w:tcW w:w="64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0,000</w:t>
                  </w:r>
                </w:p>
              </w:tc>
              <w:tc>
                <w:tcPr>
                  <w:tcW w:w="567" w:type="dxa"/>
                  <w:tcBorders>
                    <w:top w:val="single" w:sz="16" w:space="0" w:color="000000"/>
                    <w:bottom w:val="nil"/>
                  </w:tcBorders>
                  <w:shd w:val="clear" w:color="auto" w:fill="FFFFFF"/>
                  <w:tcMar>
                    <w:top w:w="30" w:type="dxa"/>
                    <w:left w:w="30" w:type="dxa"/>
                    <w:bottom w:w="30" w:type="dxa"/>
                    <w:right w:w="30" w:type="dxa"/>
                  </w:tcMar>
                </w:tcPr>
                <w:p w:rsidR="00C26413" w:rsidRPr="006D4BE8" w:rsidRDefault="00C26413" w:rsidP="00434B68">
                  <w:pPr>
                    <w:pStyle w:val="Geenafstand"/>
                    <w:rPr>
                      <w:rFonts w:cs="Times New Roman"/>
                      <w:sz w:val="18"/>
                      <w:szCs w:val="18"/>
                      <w:lang w:val="en-US"/>
                    </w:rPr>
                  </w:pPr>
                </w:p>
              </w:tc>
              <w:tc>
                <w:tcPr>
                  <w:tcW w:w="743" w:type="dxa"/>
                  <w:tcBorders>
                    <w:top w:val="single" w:sz="16" w:space="0" w:color="000000"/>
                    <w:bottom w:val="nil"/>
                  </w:tcBorders>
                  <w:shd w:val="clear" w:color="auto" w:fill="FFFFFF"/>
                  <w:tcMar>
                    <w:top w:w="30" w:type="dxa"/>
                    <w:left w:w="30" w:type="dxa"/>
                    <w:bottom w:w="30" w:type="dxa"/>
                    <w:right w:w="30" w:type="dxa"/>
                  </w:tcMar>
                </w:tcPr>
                <w:p w:rsidR="00C26413" w:rsidRPr="006D4BE8" w:rsidRDefault="00C26413" w:rsidP="00434B68">
                  <w:pPr>
                    <w:pStyle w:val="Geenafstand"/>
                    <w:rPr>
                      <w:rFonts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-1,134</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w:t>
                  </w:r>
                  <w:r w:rsidR="008908AA" w:rsidRPr="006D4BE8">
                    <w:rPr>
                      <w:sz w:val="18"/>
                      <w:szCs w:val="18"/>
                      <w:lang w:val="en-US"/>
                    </w:rPr>
                    <w:t>257</w:t>
                  </w:r>
                </w:p>
              </w:tc>
            </w:tr>
            <w:tr w:rsidR="00C26413" w:rsidRPr="00DA0DCD" w:rsidTr="00434B68">
              <w:trPr>
                <w:cantSplit/>
                <w:tblHeader/>
              </w:trPr>
              <w:tc>
                <w:tcPr>
                  <w:tcW w:w="9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rFonts w:ascii="Times New Roman" w:hAnsi="Times New Roman" w:cs="Times New Roman"/>
                      <w:sz w:val="18"/>
                      <w:szCs w:val="18"/>
                      <w:lang w:val="en-US"/>
                    </w:rPr>
                  </w:pPr>
                </w:p>
              </w:tc>
              <w:tc>
                <w:tcPr>
                  <w:tcW w:w="912" w:type="dxa"/>
                  <w:tcBorders>
                    <w:top w:val="nil"/>
                    <w:left w:val="nil"/>
                    <w:bottom w:val="nil"/>
                    <w:right w:val="single" w:sz="16" w:space="0" w:color="000000"/>
                  </w:tcBorders>
                  <w:shd w:val="clear" w:color="auto" w:fill="FFFFFF"/>
                  <w:tcMar>
                    <w:top w:w="30" w:type="dxa"/>
                    <w:left w:w="30" w:type="dxa"/>
                    <w:bottom w:w="30" w:type="dxa"/>
                    <w:right w:w="30" w:type="dxa"/>
                  </w:tcMar>
                </w:tcPr>
                <w:p w:rsidR="00C26413" w:rsidRPr="006D4BE8" w:rsidRDefault="00C26413" w:rsidP="00434B68">
                  <w:pPr>
                    <w:pStyle w:val="Geenafstand"/>
                    <w:rPr>
                      <w:sz w:val="18"/>
                      <w:szCs w:val="18"/>
                      <w:lang w:val="en-US"/>
                    </w:rPr>
                  </w:pPr>
                  <w:r w:rsidRPr="006D4BE8">
                    <w:rPr>
                      <w:sz w:val="18"/>
                      <w:szCs w:val="18"/>
                      <w:lang w:val="en-US"/>
                    </w:rPr>
                    <w:t>Rmt</w:t>
                  </w:r>
                </w:p>
              </w:tc>
              <w:tc>
                <w:tcPr>
                  <w:tcW w:w="647" w:type="dxa"/>
                  <w:tcBorders>
                    <w:top w:val="nil"/>
                    <w:left w:val="single" w:sz="16" w:space="0" w:color="000000"/>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0,760</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0,004</w:t>
                  </w:r>
                </w:p>
              </w:tc>
              <w:tc>
                <w:tcPr>
                  <w:tcW w:w="567" w:type="dxa"/>
                  <w:tcBorders>
                    <w:top w:val="nil"/>
                    <w:bottom w:val="nil"/>
                  </w:tcBorders>
                  <w:shd w:val="clear" w:color="auto" w:fill="FFFFFF"/>
                  <w:tcMar>
                    <w:top w:w="30" w:type="dxa"/>
                    <w:left w:w="30" w:type="dxa"/>
                    <w:bottom w:w="30" w:type="dxa"/>
                    <w:right w:w="30" w:type="dxa"/>
                  </w:tcMar>
                </w:tcPr>
                <w:p w:rsidR="00C26413" w:rsidRPr="006D4BE8" w:rsidRDefault="00C26413" w:rsidP="00434B68">
                  <w:pPr>
                    <w:pStyle w:val="Geenafstand"/>
                    <w:rPr>
                      <w:b/>
                      <w:sz w:val="18"/>
                      <w:szCs w:val="18"/>
                      <w:lang w:val="en-US"/>
                    </w:rPr>
                  </w:pPr>
                  <w:r w:rsidRPr="006D4BE8">
                    <w:rPr>
                      <w:b/>
                      <w:sz w:val="18"/>
                      <w:szCs w:val="18"/>
                      <w:lang w:val="en-US"/>
                    </w:rPr>
                    <w:t>+</w:t>
                  </w:r>
                </w:p>
              </w:tc>
              <w:tc>
                <w:tcPr>
                  <w:tcW w:w="743"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0,408</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171,789</w:t>
                  </w:r>
                </w:p>
              </w:tc>
              <w:tc>
                <w:tcPr>
                  <w:tcW w:w="567"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w:t>
                  </w:r>
                  <w:r w:rsidR="008908AA" w:rsidRPr="006D4BE8">
                    <w:rPr>
                      <w:b/>
                      <w:sz w:val="18"/>
                      <w:szCs w:val="18"/>
                      <w:lang w:val="en-US"/>
                    </w:rPr>
                    <w:t>000</w:t>
                  </w:r>
                </w:p>
              </w:tc>
            </w:tr>
            <w:tr w:rsidR="00C26413" w:rsidRPr="00DA0DCD" w:rsidTr="00434B68">
              <w:trPr>
                <w:cantSplit/>
                <w:tblHeader/>
              </w:trPr>
              <w:tc>
                <w:tcPr>
                  <w:tcW w:w="9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912" w:type="dxa"/>
                  <w:tcBorders>
                    <w:top w:val="nil"/>
                    <w:left w:val="nil"/>
                    <w:bottom w:val="nil"/>
                    <w:right w:val="single" w:sz="16" w:space="0" w:color="000000"/>
                  </w:tcBorders>
                  <w:shd w:val="clear" w:color="auto" w:fill="FFFFFF"/>
                  <w:tcMar>
                    <w:top w:w="30" w:type="dxa"/>
                    <w:left w:w="30" w:type="dxa"/>
                    <w:bottom w:w="30" w:type="dxa"/>
                    <w:right w:w="30" w:type="dxa"/>
                  </w:tcMar>
                </w:tcPr>
                <w:p w:rsidR="00C26413" w:rsidRPr="006D4BE8" w:rsidRDefault="00C26413" w:rsidP="00434B68">
                  <w:pPr>
                    <w:pStyle w:val="Geenafstand"/>
                    <w:rPr>
                      <w:sz w:val="18"/>
                      <w:szCs w:val="18"/>
                      <w:lang w:val="en-US"/>
                    </w:rPr>
                  </w:pPr>
                  <w:r w:rsidRPr="006D4BE8">
                    <w:rPr>
                      <w:sz w:val="18"/>
                      <w:szCs w:val="18"/>
                      <w:lang w:val="en-US"/>
                    </w:rPr>
                    <w:t>Intt</w:t>
                  </w:r>
                </w:p>
              </w:tc>
              <w:tc>
                <w:tcPr>
                  <w:tcW w:w="647" w:type="dxa"/>
                  <w:tcBorders>
                    <w:top w:val="nil"/>
                    <w:left w:val="single" w:sz="16" w:space="0" w:color="000000"/>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-0,022</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0,007</w:t>
                  </w:r>
                </w:p>
              </w:tc>
              <w:tc>
                <w:tcPr>
                  <w:tcW w:w="567" w:type="dxa"/>
                  <w:tcBorders>
                    <w:top w:val="nil"/>
                    <w:bottom w:val="nil"/>
                  </w:tcBorders>
                  <w:shd w:val="clear" w:color="auto" w:fill="FFFFFF"/>
                  <w:tcMar>
                    <w:top w:w="30" w:type="dxa"/>
                    <w:left w:w="30" w:type="dxa"/>
                    <w:bottom w:w="30" w:type="dxa"/>
                    <w:right w:w="30" w:type="dxa"/>
                  </w:tcMar>
                </w:tcPr>
                <w:p w:rsidR="00C26413" w:rsidRPr="006D4BE8" w:rsidRDefault="00C26413" w:rsidP="00434B68">
                  <w:pPr>
                    <w:pStyle w:val="Geenafstand"/>
                    <w:rPr>
                      <w:b/>
                      <w:sz w:val="18"/>
                      <w:szCs w:val="18"/>
                      <w:lang w:val="en-US"/>
                    </w:rPr>
                  </w:pPr>
                </w:p>
              </w:tc>
              <w:tc>
                <w:tcPr>
                  <w:tcW w:w="743"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-0,008</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-3,305</w:t>
                  </w:r>
                </w:p>
              </w:tc>
              <w:tc>
                <w:tcPr>
                  <w:tcW w:w="567"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w:t>
                  </w:r>
                  <w:r w:rsidR="008908AA" w:rsidRPr="006D4BE8">
                    <w:rPr>
                      <w:b/>
                      <w:sz w:val="18"/>
                      <w:szCs w:val="18"/>
                      <w:lang w:val="en-US"/>
                    </w:rPr>
                    <w:t>,001</w:t>
                  </w:r>
                </w:p>
              </w:tc>
            </w:tr>
            <w:tr w:rsidR="00C26413" w:rsidRPr="00DA0DCD" w:rsidTr="00183FB4">
              <w:trPr>
                <w:cantSplit/>
                <w:trHeight w:val="58"/>
                <w:tblHeader/>
              </w:trPr>
              <w:tc>
                <w:tcPr>
                  <w:tcW w:w="9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912" w:type="dxa"/>
                  <w:tcBorders>
                    <w:top w:val="nil"/>
                    <w:left w:val="nil"/>
                    <w:bottom w:val="nil"/>
                    <w:right w:val="single" w:sz="16" w:space="0" w:color="000000"/>
                  </w:tcBorders>
                  <w:shd w:val="clear" w:color="auto" w:fill="FFFFFF"/>
                  <w:tcMar>
                    <w:top w:w="30" w:type="dxa"/>
                    <w:left w:w="30" w:type="dxa"/>
                    <w:bottom w:w="30" w:type="dxa"/>
                    <w:right w:w="30" w:type="dxa"/>
                  </w:tcMar>
                </w:tcPr>
                <w:p w:rsidR="00C26413" w:rsidRPr="006D4BE8" w:rsidRDefault="00C26413" w:rsidP="00434B68">
                  <w:pPr>
                    <w:pStyle w:val="Geenafstand"/>
                    <w:rPr>
                      <w:sz w:val="18"/>
                      <w:szCs w:val="18"/>
                      <w:lang w:val="en-US"/>
                    </w:rPr>
                  </w:pPr>
                  <w:r w:rsidRPr="006D4BE8">
                    <w:rPr>
                      <w:sz w:val="18"/>
                      <w:szCs w:val="18"/>
                      <w:lang w:val="en-US"/>
                    </w:rPr>
                    <w:t>E_window1</w:t>
                  </w:r>
                </w:p>
              </w:tc>
              <w:tc>
                <w:tcPr>
                  <w:tcW w:w="647" w:type="dxa"/>
                  <w:tcBorders>
                    <w:top w:val="nil"/>
                    <w:left w:val="single" w:sz="16" w:space="0" w:color="000000"/>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-0,002</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0,001</w:t>
                  </w:r>
                </w:p>
              </w:tc>
              <w:tc>
                <w:tcPr>
                  <w:tcW w:w="567" w:type="dxa"/>
                  <w:tcBorders>
                    <w:top w:val="nil"/>
                    <w:bottom w:val="nil"/>
                  </w:tcBorders>
                  <w:shd w:val="clear" w:color="auto" w:fill="FFFFFF"/>
                  <w:tcMar>
                    <w:top w:w="30" w:type="dxa"/>
                    <w:left w:w="30" w:type="dxa"/>
                    <w:bottom w:w="30" w:type="dxa"/>
                    <w:right w:w="30" w:type="dxa"/>
                  </w:tcMar>
                </w:tcPr>
                <w:p w:rsidR="00C26413" w:rsidRPr="006D4BE8" w:rsidRDefault="00C26413" w:rsidP="00434B68">
                  <w:pPr>
                    <w:pStyle w:val="Geenafstand"/>
                    <w:rPr>
                      <w:b/>
                      <w:sz w:val="18"/>
                      <w:szCs w:val="18"/>
                      <w:lang w:val="en-US"/>
                    </w:rPr>
                  </w:pPr>
                  <w:r w:rsidRPr="006D4BE8">
                    <w:rPr>
                      <w:b/>
                      <w:sz w:val="18"/>
                      <w:szCs w:val="18"/>
                      <w:lang w:val="en-US"/>
                    </w:rPr>
                    <w:t>+</w:t>
                  </w:r>
                </w:p>
              </w:tc>
              <w:tc>
                <w:tcPr>
                  <w:tcW w:w="743"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-0,005</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-2,134</w:t>
                  </w:r>
                </w:p>
              </w:tc>
              <w:tc>
                <w:tcPr>
                  <w:tcW w:w="567"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0,0</w:t>
                  </w:r>
                  <w:r w:rsidR="008908AA" w:rsidRPr="006D4BE8">
                    <w:rPr>
                      <w:b/>
                      <w:sz w:val="18"/>
                      <w:szCs w:val="18"/>
                      <w:lang w:val="en-US"/>
                    </w:rPr>
                    <w:t>33</w:t>
                  </w:r>
                </w:p>
              </w:tc>
            </w:tr>
            <w:tr w:rsidR="00C26413" w:rsidRPr="00DA0DCD" w:rsidTr="00434B68">
              <w:trPr>
                <w:cantSplit/>
                <w:tblHeader/>
              </w:trPr>
              <w:tc>
                <w:tcPr>
                  <w:tcW w:w="9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912" w:type="dxa"/>
                  <w:tcBorders>
                    <w:top w:val="nil"/>
                    <w:left w:val="nil"/>
                    <w:bottom w:val="nil"/>
                    <w:right w:val="single" w:sz="16" w:space="0" w:color="000000"/>
                  </w:tcBorders>
                  <w:shd w:val="clear" w:color="auto" w:fill="FFFFFF"/>
                  <w:tcMar>
                    <w:top w:w="30" w:type="dxa"/>
                    <w:left w:w="30" w:type="dxa"/>
                    <w:bottom w:w="30" w:type="dxa"/>
                    <w:right w:w="30" w:type="dxa"/>
                  </w:tcMar>
                </w:tcPr>
                <w:p w:rsidR="00C26413" w:rsidRPr="006D4BE8" w:rsidRDefault="00C26413" w:rsidP="00434B68">
                  <w:pPr>
                    <w:pStyle w:val="Geenafstand"/>
                    <w:rPr>
                      <w:sz w:val="18"/>
                      <w:szCs w:val="18"/>
                      <w:lang w:val="en-US"/>
                    </w:rPr>
                  </w:pPr>
                  <w:r w:rsidRPr="006D4BE8">
                    <w:rPr>
                      <w:sz w:val="18"/>
                      <w:szCs w:val="18"/>
                      <w:lang w:val="en-US"/>
                    </w:rPr>
                    <w:t>E_window2</w:t>
                  </w:r>
                </w:p>
              </w:tc>
              <w:tc>
                <w:tcPr>
                  <w:tcW w:w="647" w:type="dxa"/>
                  <w:tcBorders>
                    <w:top w:val="nil"/>
                    <w:left w:val="single" w:sz="16" w:space="0" w:color="000000"/>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-0,003</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0,001</w:t>
                  </w:r>
                </w:p>
              </w:tc>
              <w:tc>
                <w:tcPr>
                  <w:tcW w:w="567" w:type="dxa"/>
                  <w:tcBorders>
                    <w:top w:val="nil"/>
                    <w:bottom w:val="nil"/>
                  </w:tcBorders>
                  <w:shd w:val="clear" w:color="auto" w:fill="FFFFFF"/>
                  <w:tcMar>
                    <w:top w:w="30" w:type="dxa"/>
                    <w:left w:w="30" w:type="dxa"/>
                    <w:bottom w:w="30" w:type="dxa"/>
                    <w:right w:w="30" w:type="dxa"/>
                  </w:tcMar>
                </w:tcPr>
                <w:p w:rsidR="00C26413" w:rsidRPr="006D4BE8" w:rsidRDefault="00C26413" w:rsidP="00434B68">
                  <w:pPr>
                    <w:pStyle w:val="Geenafstand"/>
                    <w:rPr>
                      <w:b/>
                      <w:sz w:val="18"/>
                      <w:szCs w:val="18"/>
                      <w:lang w:val="en-US"/>
                    </w:rPr>
                  </w:pPr>
                  <w:r w:rsidRPr="006D4BE8">
                    <w:rPr>
                      <w:b/>
                      <w:sz w:val="18"/>
                      <w:szCs w:val="18"/>
                      <w:lang w:val="en-US"/>
                    </w:rPr>
                    <w:t>+</w:t>
                  </w:r>
                </w:p>
              </w:tc>
              <w:tc>
                <w:tcPr>
                  <w:tcW w:w="743"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-0,006</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-2,423</w:t>
                  </w:r>
                </w:p>
              </w:tc>
              <w:tc>
                <w:tcPr>
                  <w:tcW w:w="567"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0,015</w:t>
                  </w:r>
                </w:p>
              </w:tc>
            </w:tr>
            <w:tr w:rsidR="00C26413" w:rsidRPr="00DA0DCD" w:rsidTr="00434B68">
              <w:trPr>
                <w:cantSplit/>
                <w:tblHeader/>
              </w:trPr>
              <w:tc>
                <w:tcPr>
                  <w:tcW w:w="9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912" w:type="dxa"/>
                  <w:tcBorders>
                    <w:top w:val="nil"/>
                    <w:left w:val="nil"/>
                    <w:bottom w:val="nil"/>
                    <w:right w:val="single" w:sz="16" w:space="0" w:color="000000"/>
                  </w:tcBorders>
                  <w:shd w:val="clear" w:color="auto" w:fill="FFFFFF"/>
                  <w:tcMar>
                    <w:top w:w="30" w:type="dxa"/>
                    <w:left w:w="30" w:type="dxa"/>
                    <w:bottom w:w="30" w:type="dxa"/>
                    <w:right w:w="30" w:type="dxa"/>
                  </w:tcMar>
                </w:tcPr>
                <w:p w:rsidR="00C26413" w:rsidRPr="006D4BE8" w:rsidRDefault="00C26413" w:rsidP="00434B68">
                  <w:pPr>
                    <w:pStyle w:val="Geenafstand"/>
                    <w:rPr>
                      <w:sz w:val="18"/>
                      <w:szCs w:val="18"/>
                      <w:lang w:val="en-US"/>
                    </w:rPr>
                  </w:pPr>
                  <w:r w:rsidRPr="006D4BE8">
                    <w:rPr>
                      <w:sz w:val="18"/>
                      <w:szCs w:val="18"/>
                      <w:lang w:val="en-US"/>
                    </w:rPr>
                    <w:t>E_window3</w:t>
                  </w:r>
                </w:p>
              </w:tc>
              <w:tc>
                <w:tcPr>
                  <w:tcW w:w="647" w:type="dxa"/>
                  <w:tcBorders>
                    <w:top w:val="nil"/>
                    <w:left w:val="single" w:sz="16" w:space="0" w:color="000000"/>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-0,001</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0,001</w:t>
                  </w:r>
                </w:p>
              </w:tc>
              <w:tc>
                <w:tcPr>
                  <w:tcW w:w="567" w:type="dxa"/>
                  <w:tcBorders>
                    <w:top w:val="nil"/>
                    <w:bottom w:val="nil"/>
                  </w:tcBorders>
                  <w:shd w:val="clear" w:color="auto" w:fill="FFFFFF"/>
                  <w:tcMar>
                    <w:top w:w="30" w:type="dxa"/>
                    <w:left w:w="30" w:type="dxa"/>
                    <w:bottom w:w="30" w:type="dxa"/>
                    <w:right w:w="30" w:type="dxa"/>
                  </w:tcMar>
                </w:tcPr>
                <w:p w:rsidR="00C26413" w:rsidRPr="006D4BE8" w:rsidRDefault="00C26413" w:rsidP="00434B68">
                  <w:pPr>
                    <w:pStyle w:val="Geenafstand"/>
                    <w:rPr>
                      <w:sz w:val="18"/>
                      <w:szCs w:val="18"/>
                      <w:lang w:val="en-US"/>
                    </w:rPr>
                  </w:pPr>
                  <w:r w:rsidRPr="006D4BE8">
                    <w:rPr>
                      <w:sz w:val="18"/>
                      <w:szCs w:val="18"/>
                      <w:lang w:val="en-US"/>
                    </w:rPr>
                    <w:t>+</w:t>
                  </w:r>
                </w:p>
              </w:tc>
              <w:tc>
                <w:tcPr>
                  <w:tcW w:w="743"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-0,003</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-1,137</w:t>
                  </w:r>
                </w:p>
              </w:tc>
              <w:tc>
                <w:tcPr>
                  <w:tcW w:w="567"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0,255</w:t>
                  </w:r>
                </w:p>
              </w:tc>
            </w:tr>
            <w:tr w:rsidR="00C26413" w:rsidRPr="00DA0DCD" w:rsidTr="00434B68">
              <w:trPr>
                <w:cantSplit/>
                <w:tblHeader/>
              </w:trPr>
              <w:tc>
                <w:tcPr>
                  <w:tcW w:w="9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912" w:type="dxa"/>
                  <w:tcBorders>
                    <w:top w:val="nil"/>
                    <w:left w:val="nil"/>
                    <w:bottom w:val="nil"/>
                    <w:right w:val="single" w:sz="16" w:space="0" w:color="000000"/>
                  </w:tcBorders>
                  <w:shd w:val="clear" w:color="auto" w:fill="FFFFFF"/>
                  <w:tcMar>
                    <w:top w:w="30" w:type="dxa"/>
                    <w:left w:w="30" w:type="dxa"/>
                    <w:bottom w:w="30" w:type="dxa"/>
                    <w:right w:w="30" w:type="dxa"/>
                  </w:tcMar>
                </w:tcPr>
                <w:p w:rsidR="00C26413" w:rsidRPr="006D4BE8" w:rsidRDefault="00C26413" w:rsidP="00434B68">
                  <w:pPr>
                    <w:pStyle w:val="Geenafstand"/>
                    <w:rPr>
                      <w:sz w:val="18"/>
                      <w:szCs w:val="18"/>
                      <w:lang w:val="en-US"/>
                    </w:rPr>
                  </w:pPr>
                  <w:r w:rsidRPr="006D4BE8">
                    <w:rPr>
                      <w:sz w:val="18"/>
                      <w:szCs w:val="18"/>
                      <w:lang w:val="en-US"/>
                    </w:rPr>
                    <w:t>E_window4</w:t>
                  </w:r>
                </w:p>
              </w:tc>
              <w:tc>
                <w:tcPr>
                  <w:tcW w:w="647" w:type="dxa"/>
                  <w:tcBorders>
                    <w:top w:val="nil"/>
                    <w:left w:val="single" w:sz="16" w:space="0" w:color="000000"/>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-0,004</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0,001</w:t>
                  </w:r>
                </w:p>
              </w:tc>
              <w:tc>
                <w:tcPr>
                  <w:tcW w:w="567" w:type="dxa"/>
                  <w:tcBorders>
                    <w:top w:val="nil"/>
                    <w:bottom w:val="nil"/>
                  </w:tcBorders>
                  <w:shd w:val="clear" w:color="auto" w:fill="FFFFFF"/>
                  <w:tcMar>
                    <w:top w:w="30" w:type="dxa"/>
                    <w:left w:w="30" w:type="dxa"/>
                    <w:bottom w:w="30" w:type="dxa"/>
                    <w:right w:w="30" w:type="dxa"/>
                  </w:tcMar>
                </w:tcPr>
                <w:p w:rsidR="00C26413" w:rsidRPr="006D4BE8" w:rsidRDefault="00C26413" w:rsidP="00434B68">
                  <w:pPr>
                    <w:pStyle w:val="Geenafstand"/>
                    <w:rPr>
                      <w:b/>
                      <w:sz w:val="18"/>
                      <w:szCs w:val="18"/>
                      <w:lang w:val="en-US"/>
                    </w:rPr>
                  </w:pPr>
                  <w:r w:rsidRPr="006D4BE8">
                    <w:rPr>
                      <w:b/>
                      <w:sz w:val="18"/>
                      <w:szCs w:val="18"/>
                      <w:lang w:val="en-US"/>
                    </w:rPr>
                    <w:t>+</w:t>
                  </w:r>
                </w:p>
              </w:tc>
              <w:tc>
                <w:tcPr>
                  <w:tcW w:w="743"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-0,009</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-3,901</w:t>
                  </w:r>
                </w:p>
              </w:tc>
              <w:tc>
                <w:tcPr>
                  <w:tcW w:w="567" w:type="dxa"/>
                  <w:tcBorders>
                    <w:top w:val="nil"/>
                    <w:bottom w:val="nil"/>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0,000</w:t>
                  </w:r>
                </w:p>
              </w:tc>
            </w:tr>
            <w:tr w:rsidR="00C26413" w:rsidRPr="006D4BE8" w:rsidTr="00434B68">
              <w:trPr>
                <w:cantSplit/>
                <w:tblHeader/>
              </w:trPr>
              <w:tc>
                <w:tcPr>
                  <w:tcW w:w="9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91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C26413" w:rsidRPr="006D4BE8" w:rsidRDefault="00C26413" w:rsidP="00434B68">
                  <w:pPr>
                    <w:pStyle w:val="Geenafstand"/>
                    <w:rPr>
                      <w:sz w:val="18"/>
                      <w:szCs w:val="18"/>
                      <w:lang w:val="en-US"/>
                    </w:rPr>
                  </w:pPr>
                  <w:r w:rsidRPr="006D4BE8">
                    <w:rPr>
                      <w:sz w:val="18"/>
                      <w:szCs w:val="18"/>
                      <w:lang w:val="en-US"/>
                    </w:rPr>
                    <w:t>E_window5</w:t>
                  </w:r>
                </w:p>
              </w:tc>
              <w:tc>
                <w:tcPr>
                  <w:tcW w:w="64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0,006</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C26413" w:rsidRPr="006D4BE8" w:rsidRDefault="00C26413" w:rsidP="00434B68">
                  <w:pPr>
                    <w:pStyle w:val="Geenafstand"/>
                    <w:rPr>
                      <w:sz w:val="18"/>
                      <w:szCs w:val="18"/>
                      <w:lang w:val="en-US"/>
                    </w:rPr>
                  </w:pPr>
                  <w:r w:rsidRPr="006D4BE8">
                    <w:rPr>
                      <w:sz w:val="18"/>
                      <w:szCs w:val="18"/>
                      <w:lang w:val="en-US"/>
                    </w:rPr>
                    <w:t>0,001</w:t>
                  </w:r>
                </w:p>
              </w:tc>
              <w:tc>
                <w:tcPr>
                  <w:tcW w:w="567" w:type="dxa"/>
                  <w:tcBorders>
                    <w:top w:val="nil"/>
                    <w:bottom w:val="single" w:sz="16" w:space="0" w:color="000000"/>
                  </w:tcBorders>
                  <w:shd w:val="clear" w:color="auto" w:fill="FFFFFF"/>
                  <w:tcMar>
                    <w:top w:w="30" w:type="dxa"/>
                    <w:left w:w="30" w:type="dxa"/>
                    <w:bottom w:w="30" w:type="dxa"/>
                    <w:right w:w="30" w:type="dxa"/>
                  </w:tcMar>
                </w:tcPr>
                <w:p w:rsidR="00C26413" w:rsidRPr="006D4BE8" w:rsidRDefault="00C26413" w:rsidP="00434B68">
                  <w:pPr>
                    <w:pStyle w:val="Geenafstand"/>
                    <w:rPr>
                      <w:b/>
                      <w:sz w:val="18"/>
                      <w:szCs w:val="18"/>
                      <w:lang w:val="en-US"/>
                    </w:rPr>
                  </w:pPr>
                  <w:r w:rsidRPr="006D4BE8">
                    <w:rPr>
                      <w:b/>
                      <w:sz w:val="18"/>
                      <w:szCs w:val="18"/>
                      <w:lang w:val="en-US"/>
                    </w:rPr>
                    <w:t>+</w:t>
                  </w:r>
                </w:p>
              </w:tc>
              <w:tc>
                <w:tcPr>
                  <w:tcW w:w="743" w:type="dxa"/>
                  <w:tcBorders>
                    <w:top w:val="nil"/>
                    <w:bottom w:val="single" w:sz="16" w:space="0" w:color="000000"/>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0,018</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7,429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C26413" w:rsidRPr="006D4BE8" w:rsidRDefault="00C26413" w:rsidP="00434B68">
                  <w:pPr>
                    <w:pStyle w:val="Geenafstand"/>
                    <w:rPr>
                      <w:b/>
                      <w:sz w:val="18"/>
                      <w:szCs w:val="18"/>
                      <w:lang w:val="en-US"/>
                    </w:rPr>
                  </w:pPr>
                  <w:r w:rsidRPr="006D4BE8">
                    <w:rPr>
                      <w:b/>
                      <w:sz w:val="18"/>
                      <w:szCs w:val="18"/>
                      <w:lang w:val="en-US"/>
                    </w:rPr>
                    <w:t>0,000</w:t>
                  </w:r>
                </w:p>
              </w:tc>
            </w:tr>
          </w:tbl>
          <w:p w:rsidR="00C26413" w:rsidRPr="00DA0DCD" w:rsidRDefault="00C26413" w:rsidP="000C4206">
            <w:pPr>
              <w:rPr>
                <w:lang w:val="en-US"/>
              </w:rPr>
            </w:pPr>
          </w:p>
        </w:tc>
        <w:tc>
          <w:tcPr>
            <w:tcW w:w="4536" w:type="dxa"/>
          </w:tcPr>
          <w:tbl>
            <w:tblPr>
              <w:tblW w:w="454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6"/>
              <w:gridCol w:w="850"/>
              <w:gridCol w:w="567"/>
              <w:gridCol w:w="709"/>
              <w:gridCol w:w="850"/>
              <w:gridCol w:w="709"/>
              <w:gridCol w:w="709"/>
            </w:tblGrid>
            <w:tr w:rsidR="00C26413" w:rsidRPr="00DA0DCD" w:rsidTr="00AA1369">
              <w:trPr>
                <w:cantSplit/>
                <w:tblHeader/>
              </w:trPr>
              <w:tc>
                <w:tcPr>
                  <w:tcW w:w="99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Model</w:t>
                  </w:r>
                </w:p>
              </w:tc>
              <w:tc>
                <w:tcPr>
                  <w:tcW w:w="1276"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Unstandardized Coefficients</w:t>
                  </w:r>
                </w:p>
              </w:tc>
              <w:tc>
                <w:tcPr>
                  <w:tcW w:w="850" w:type="dxa"/>
                  <w:tcBorders>
                    <w:top w:val="single" w:sz="16" w:space="0" w:color="000000"/>
                  </w:tcBorders>
                  <w:shd w:val="clear" w:color="auto" w:fill="FFFFFF"/>
                  <w:tcMar>
                    <w:top w:w="30" w:type="dxa"/>
                    <w:left w:w="30" w:type="dxa"/>
                    <w:bottom w:w="30" w:type="dxa"/>
                    <w:right w:w="30" w:type="dxa"/>
                  </w:tcMar>
                  <w:vAlign w:val="bottom"/>
                </w:tcPr>
                <w:p w:rsidR="00C26413" w:rsidRPr="003F6056" w:rsidRDefault="00C26413" w:rsidP="00AA1369">
                  <w:pPr>
                    <w:pStyle w:val="Geenafstand"/>
                    <w:rPr>
                      <w:sz w:val="16"/>
                      <w:szCs w:val="16"/>
                      <w:lang w:val="en-US"/>
                    </w:rPr>
                  </w:pPr>
                  <w:r w:rsidRPr="003F6056">
                    <w:rPr>
                      <w:sz w:val="16"/>
                      <w:szCs w:val="16"/>
                      <w:lang w:val="en-US"/>
                    </w:rPr>
                    <w:t>St</w:t>
                  </w:r>
                  <w:r w:rsidR="00AA1369" w:rsidRPr="003F6056">
                    <w:rPr>
                      <w:sz w:val="16"/>
                      <w:szCs w:val="16"/>
                      <w:lang w:val="en-US"/>
                    </w:rPr>
                    <w:t xml:space="preserve">. </w:t>
                  </w:r>
                  <w:r w:rsidRPr="003F6056">
                    <w:rPr>
                      <w:sz w:val="16"/>
                      <w:szCs w:val="16"/>
                      <w:lang w:val="en-US"/>
                    </w:rPr>
                    <w:t>Co</w:t>
                  </w:r>
                  <w:r w:rsidR="00AA1369" w:rsidRPr="003F6056">
                    <w:rPr>
                      <w:sz w:val="16"/>
                      <w:szCs w:val="16"/>
                      <w:lang w:val="en-US"/>
                    </w:rPr>
                    <w:t xml:space="preserve">- </w:t>
                  </w:r>
                  <w:r w:rsidRPr="003F6056">
                    <w:rPr>
                      <w:sz w:val="16"/>
                      <w:szCs w:val="16"/>
                      <w:lang w:val="en-US"/>
                    </w:rPr>
                    <w:t>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t</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Sig.</w:t>
                  </w:r>
                </w:p>
              </w:tc>
            </w:tr>
            <w:tr w:rsidR="00C26413" w:rsidRPr="00DA0DCD" w:rsidTr="00AA1369">
              <w:trPr>
                <w:cantSplit/>
                <w:tblHeader/>
              </w:trPr>
              <w:tc>
                <w:tcPr>
                  <w:tcW w:w="99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26413" w:rsidRPr="00DA0DCD" w:rsidRDefault="00C26413" w:rsidP="00434B68">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B</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Std. Error</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C26413" w:rsidRPr="003F6056" w:rsidRDefault="00C26413" w:rsidP="00434B68">
                  <w:pPr>
                    <w:pStyle w:val="Geenafstand"/>
                    <w:rPr>
                      <w:sz w:val="16"/>
                      <w:szCs w:val="16"/>
                      <w:lang w:val="en-US"/>
                    </w:rPr>
                  </w:pPr>
                  <w:r w:rsidRPr="003F6056">
                    <w:rPr>
                      <w:sz w:val="16"/>
                      <w:szCs w:val="16"/>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26413" w:rsidRPr="00DA0DCD" w:rsidRDefault="00C26413" w:rsidP="00434B68">
                  <w:pPr>
                    <w:pStyle w:val="Geenafstand"/>
                    <w:rPr>
                      <w:sz w:val="18"/>
                      <w:szCs w:val="18"/>
                      <w:lang w:val="en-US"/>
                    </w:rPr>
                  </w:pP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26413" w:rsidRPr="00DA0DCD" w:rsidRDefault="00C26413" w:rsidP="00434B68">
                  <w:pPr>
                    <w:pStyle w:val="Geenafstand"/>
                    <w:rPr>
                      <w:sz w:val="18"/>
                      <w:szCs w:val="18"/>
                      <w:lang w:val="en-US"/>
                    </w:rPr>
                  </w:pPr>
                </w:p>
              </w:tc>
            </w:tr>
            <w:tr w:rsidR="00C26413" w:rsidRPr="00DA0DCD" w:rsidTr="00AA1369">
              <w:trPr>
                <w:cantSplit/>
                <w:tblHeader/>
              </w:trPr>
              <w:tc>
                <w:tcPr>
                  <w:tcW w:w="146"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85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0,000</w:t>
                  </w:r>
                </w:p>
              </w:tc>
              <w:tc>
                <w:tcPr>
                  <w:tcW w:w="850" w:type="dxa"/>
                  <w:tcBorders>
                    <w:top w:val="single" w:sz="16" w:space="0" w:color="000000"/>
                    <w:bottom w:val="nil"/>
                  </w:tcBorders>
                  <w:shd w:val="clear" w:color="auto" w:fill="FFFFFF"/>
                  <w:tcMar>
                    <w:top w:w="30" w:type="dxa"/>
                    <w:left w:w="30" w:type="dxa"/>
                    <w:bottom w:w="30" w:type="dxa"/>
                    <w:right w:w="30" w:type="dxa"/>
                  </w:tcMar>
                </w:tcPr>
                <w:p w:rsidR="00C26413" w:rsidRPr="00DA0DCD" w:rsidRDefault="00C26413" w:rsidP="00434B68">
                  <w:pPr>
                    <w:pStyle w:val="Geenafstand"/>
                    <w:rPr>
                      <w:rFonts w:ascii="Times New Roman" w:hAnsi="Times New Roman"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-1,320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0,187</w:t>
                  </w:r>
                </w:p>
              </w:tc>
            </w:tr>
            <w:tr w:rsidR="00C26413" w:rsidRPr="00DA0DCD" w:rsidTr="00AA1369">
              <w:trPr>
                <w:cantSplit/>
                <w:tblHeader/>
              </w:trPr>
              <w:tc>
                <w:tcPr>
                  <w:tcW w:w="14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rFonts w:ascii="Times New Roman" w:hAnsi="Times New Roman" w:cs="Times New Roman"/>
                      <w:sz w:val="18"/>
                      <w:szCs w:val="18"/>
                      <w:lang w:val="en-US"/>
                    </w:rPr>
                  </w:pPr>
                </w:p>
              </w:tc>
              <w:tc>
                <w:tcPr>
                  <w:tcW w:w="850" w:type="dxa"/>
                  <w:tcBorders>
                    <w:top w:val="nil"/>
                    <w:left w:val="nil"/>
                    <w:bottom w:val="nil"/>
                    <w:right w:val="single" w:sz="16" w:space="0" w:color="000000"/>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0,759</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0,004</w:t>
                  </w:r>
                </w:p>
              </w:tc>
              <w:tc>
                <w:tcPr>
                  <w:tcW w:w="850" w:type="dxa"/>
                  <w:tcBorders>
                    <w:top w:val="nil"/>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0,407</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172,307</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0,000</w:t>
                  </w:r>
                </w:p>
              </w:tc>
            </w:tr>
            <w:tr w:rsidR="00C26413" w:rsidRPr="00DA0DCD" w:rsidTr="00AA1369">
              <w:trPr>
                <w:cantSplit/>
                <w:tblHeader/>
              </w:trPr>
              <w:tc>
                <w:tcPr>
                  <w:tcW w:w="14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850" w:type="dxa"/>
                  <w:tcBorders>
                    <w:top w:val="nil"/>
                    <w:left w:val="nil"/>
                    <w:bottom w:val="nil"/>
                    <w:right w:val="single" w:sz="16" w:space="0" w:color="000000"/>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-0,027</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0,007</w:t>
                  </w:r>
                </w:p>
              </w:tc>
              <w:tc>
                <w:tcPr>
                  <w:tcW w:w="850" w:type="dxa"/>
                  <w:tcBorders>
                    <w:top w:val="nil"/>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-0,009</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-4,017</w:t>
                  </w:r>
                </w:p>
              </w:tc>
              <w:tc>
                <w:tcPr>
                  <w:tcW w:w="709" w:type="dxa"/>
                  <w:tcBorders>
                    <w:top w:val="nil"/>
                    <w:bottom w:val="nil"/>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0,000</w:t>
                  </w:r>
                </w:p>
              </w:tc>
            </w:tr>
            <w:tr w:rsidR="00C26413" w:rsidRPr="00DA0DCD" w:rsidTr="00AA1369">
              <w:trPr>
                <w:cantSplit/>
                <w:tblHeader/>
              </w:trPr>
              <w:tc>
                <w:tcPr>
                  <w:tcW w:w="14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85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r w:rsidRPr="00DA0DCD">
                    <w:rPr>
                      <w:sz w:val="18"/>
                      <w:szCs w:val="18"/>
                      <w:lang w:val="en-US"/>
                    </w:rPr>
                    <w:t>Windows_Combined</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0,000</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0,000</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0,000</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0,029</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C26413" w:rsidRPr="00DA0DCD" w:rsidRDefault="00C26413" w:rsidP="00434B68">
                  <w:pPr>
                    <w:pStyle w:val="Geenafstand"/>
                    <w:rPr>
                      <w:sz w:val="18"/>
                      <w:szCs w:val="18"/>
                      <w:lang w:val="en-US"/>
                    </w:rPr>
                  </w:pPr>
                  <w:r w:rsidRPr="00DA0DCD">
                    <w:rPr>
                      <w:sz w:val="18"/>
                      <w:szCs w:val="18"/>
                      <w:lang w:val="en-US"/>
                    </w:rPr>
                    <w:t>0,977</w:t>
                  </w:r>
                </w:p>
              </w:tc>
            </w:tr>
            <w:tr w:rsidR="00C26413" w:rsidRPr="00DA0DCD" w:rsidTr="00AA1369">
              <w:trPr>
                <w:cantSplit/>
              </w:trPr>
              <w:tc>
                <w:tcPr>
                  <w:tcW w:w="1563" w:type="dxa"/>
                  <w:gridSpan w:val="3"/>
                  <w:tcBorders>
                    <w:top w:val="nil"/>
                    <w:left w:val="nil"/>
                    <w:bottom w:val="nil"/>
                    <w:right w:val="nil"/>
                  </w:tcBorders>
                  <w:shd w:val="clear" w:color="auto" w:fill="FFFFFF"/>
                  <w:tcMar>
                    <w:top w:w="30" w:type="dxa"/>
                    <w:left w:w="30" w:type="dxa"/>
                    <w:bottom w:w="30" w:type="dxa"/>
                    <w:right w:w="30" w:type="dxa"/>
                  </w:tcMar>
                </w:tcPr>
                <w:p w:rsidR="00C26413" w:rsidRPr="00DA0DCD" w:rsidRDefault="00C26413" w:rsidP="00434B68">
                  <w:pPr>
                    <w:pStyle w:val="Geenafstand"/>
                    <w:rPr>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C26413" w:rsidRPr="00DA0DCD" w:rsidRDefault="00C26413" w:rsidP="00434B68">
                  <w:pPr>
                    <w:pStyle w:val="Geenafstand"/>
                    <w:rPr>
                      <w:rFonts w:ascii="Times New Roman" w:hAnsi="Times New Roman" w:cs="Times New Roman"/>
                      <w:sz w:val="18"/>
                      <w:szCs w:val="18"/>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C26413" w:rsidRPr="00DA0DCD" w:rsidRDefault="00C26413" w:rsidP="00434B68">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C26413" w:rsidRPr="00DA0DCD" w:rsidRDefault="00C26413" w:rsidP="00434B68">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C26413" w:rsidRPr="00DA0DCD" w:rsidRDefault="00C26413" w:rsidP="00434B68">
                  <w:pPr>
                    <w:pStyle w:val="Geenafstand"/>
                    <w:rPr>
                      <w:rFonts w:ascii="Times New Roman" w:hAnsi="Times New Roman" w:cs="Times New Roman"/>
                      <w:sz w:val="18"/>
                      <w:szCs w:val="18"/>
                      <w:lang w:val="en-US"/>
                    </w:rPr>
                  </w:pPr>
                </w:p>
              </w:tc>
            </w:tr>
          </w:tbl>
          <w:p w:rsidR="00C26413" w:rsidRPr="00DA0DCD" w:rsidRDefault="00C26413" w:rsidP="000C4206">
            <w:pPr>
              <w:rPr>
                <w:lang w:val="en-US"/>
              </w:rPr>
            </w:pPr>
          </w:p>
        </w:tc>
      </w:tr>
    </w:tbl>
    <w:p w:rsidR="00C26413" w:rsidRPr="00DA0DCD" w:rsidRDefault="00C26413" w:rsidP="000C4206">
      <w:pPr>
        <w:rPr>
          <w:sz w:val="20"/>
          <w:szCs w:val="20"/>
          <w:lang w:val="en-US"/>
        </w:rPr>
      </w:pPr>
      <w:r w:rsidRPr="00DA0DCD">
        <w:rPr>
          <w:sz w:val="20"/>
          <w:szCs w:val="20"/>
          <w:lang w:val="en-US"/>
        </w:rPr>
        <w:t xml:space="preserve">Table </w:t>
      </w:r>
      <w:r w:rsidR="0042195C" w:rsidRPr="00DA0DCD">
        <w:rPr>
          <w:sz w:val="20"/>
          <w:szCs w:val="20"/>
          <w:lang w:val="en-US"/>
        </w:rPr>
        <w:t>7.3</w:t>
      </w:r>
      <w:r w:rsidRPr="00DA0DCD">
        <w:rPr>
          <w:sz w:val="20"/>
          <w:szCs w:val="20"/>
          <w:lang w:val="en-US"/>
        </w:rPr>
        <w:t xml:space="preserve"> Outcome total sample windows and windows_combined </w:t>
      </w:r>
    </w:p>
    <w:p w:rsidR="00764D80" w:rsidRPr="00DA0DCD" w:rsidRDefault="00101E14" w:rsidP="000C4206">
      <w:pPr>
        <w:rPr>
          <w:color w:val="000000" w:themeColor="text1"/>
          <w:lang w:val="en-US"/>
        </w:rPr>
      </w:pPr>
      <w:r w:rsidRPr="00DA0DCD">
        <w:rPr>
          <w:lang w:val="en-US"/>
        </w:rPr>
        <w:lastRenderedPageBreak/>
        <w:t>The res</w:t>
      </w:r>
      <w:r w:rsidR="00CF77E6" w:rsidRPr="00DA0DCD">
        <w:rPr>
          <w:lang w:val="en-US"/>
        </w:rPr>
        <w:t xml:space="preserve">ults of the individual event windows are </w:t>
      </w:r>
      <w:r w:rsidR="00431DC1" w:rsidRPr="00DA0DCD">
        <w:rPr>
          <w:lang w:val="en-US"/>
        </w:rPr>
        <w:t xml:space="preserve">shown on the left side of table 7.3. </w:t>
      </w:r>
      <w:r w:rsidR="008908AA" w:rsidRPr="00DA0DCD">
        <w:rPr>
          <w:lang w:val="en-US"/>
        </w:rPr>
        <w:t xml:space="preserve">The first through </w:t>
      </w:r>
      <w:r w:rsidR="00434B68" w:rsidRPr="00DA0DCD">
        <w:rPr>
          <w:lang w:val="en-US"/>
        </w:rPr>
        <w:t xml:space="preserve">fourth </w:t>
      </w:r>
      <w:r w:rsidR="00BA0C43" w:rsidRPr="00DA0DCD">
        <w:rPr>
          <w:lang w:val="en-US"/>
        </w:rPr>
        <w:t xml:space="preserve">event </w:t>
      </w:r>
      <w:r w:rsidR="00434B68" w:rsidRPr="00DA0DCD">
        <w:rPr>
          <w:lang w:val="en-US"/>
        </w:rPr>
        <w:t>window show a negative beta of respectively -0,00</w:t>
      </w:r>
      <w:r w:rsidR="008908AA" w:rsidRPr="00DA0DCD">
        <w:rPr>
          <w:lang w:val="en-US"/>
        </w:rPr>
        <w:t xml:space="preserve">5/ -0,006/ -0,003 and -0.009. </w:t>
      </w:r>
      <w:r w:rsidR="008A7026" w:rsidRPr="00DA0DCD">
        <w:rPr>
          <w:lang w:val="en-US"/>
        </w:rPr>
        <w:t>This indicates</w:t>
      </w:r>
      <w:r w:rsidR="008908AA" w:rsidRPr="00DA0DCD">
        <w:rPr>
          <w:lang w:val="en-US"/>
        </w:rPr>
        <w:t xml:space="preserve"> a negative reaction during these event windows. The betas of all the independent variables</w:t>
      </w:r>
      <w:r w:rsidR="00E03344" w:rsidRPr="00DA0DCD">
        <w:rPr>
          <w:lang w:val="en-US"/>
        </w:rPr>
        <w:t xml:space="preserve"> (market return, interest rate changes</w:t>
      </w:r>
      <w:r w:rsidR="006143D3">
        <w:rPr>
          <w:lang w:val="en-US"/>
        </w:rPr>
        <w:t xml:space="preserve"> and</w:t>
      </w:r>
      <w:r w:rsidR="00E03344" w:rsidRPr="00DA0DCD">
        <w:rPr>
          <w:lang w:val="en-US"/>
        </w:rPr>
        <w:t xml:space="preserve"> event windows)</w:t>
      </w:r>
      <w:r w:rsidR="008908AA" w:rsidRPr="00DA0DCD">
        <w:rPr>
          <w:lang w:val="en-US"/>
        </w:rPr>
        <w:t xml:space="preserve"> are sig</w:t>
      </w:r>
      <w:r w:rsidR="00E66937" w:rsidRPr="00DA0DCD">
        <w:rPr>
          <w:lang w:val="en-US"/>
        </w:rPr>
        <w:t xml:space="preserve">nificant, </w:t>
      </w:r>
      <w:r w:rsidR="008A7026">
        <w:rPr>
          <w:lang w:val="en-US"/>
        </w:rPr>
        <w:t>except for</w:t>
      </w:r>
      <w:r w:rsidR="00E66937" w:rsidRPr="00DA0DCD">
        <w:rPr>
          <w:lang w:val="en-US"/>
        </w:rPr>
        <w:t xml:space="preserve"> </w:t>
      </w:r>
      <w:r w:rsidR="00E66937" w:rsidRPr="00DA0DCD">
        <w:rPr>
          <w:color w:val="000000" w:themeColor="text1"/>
          <w:lang w:val="en-US"/>
        </w:rPr>
        <w:t>event window three</w:t>
      </w:r>
      <w:r w:rsidR="008908AA" w:rsidRPr="00DA0DCD">
        <w:rPr>
          <w:color w:val="000000" w:themeColor="text1"/>
          <w:lang w:val="en-US"/>
        </w:rPr>
        <w:t xml:space="preserve"> with a </w:t>
      </w:r>
      <w:r w:rsidR="00B71690" w:rsidRPr="00DA0DCD">
        <w:rPr>
          <w:color w:val="000000" w:themeColor="text1"/>
          <w:lang w:val="en-US"/>
        </w:rPr>
        <w:t>p-value</w:t>
      </w:r>
      <w:r w:rsidR="008908AA" w:rsidRPr="00DA0DCD">
        <w:rPr>
          <w:color w:val="000000" w:themeColor="text1"/>
          <w:lang w:val="en-US"/>
        </w:rPr>
        <w:t xml:space="preserve"> value of 0.255. </w:t>
      </w:r>
      <w:r w:rsidR="00764D80" w:rsidRPr="00DA0DCD">
        <w:rPr>
          <w:color w:val="000000" w:themeColor="text1"/>
          <w:lang w:val="en-US"/>
        </w:rPr>
        <w:t>Event window five, a major point during the event windows (amendment</w:t>
      </w:r>
      <w:r w:rsidR="008A7026">
        <w:rPr>
          <w:color w:val="000000" w:themeColor="text1"/>
          <w:lang w:val="en-US"/>
        </w:rPr>
        <w:t xml:space="preserve"> of</w:t>
      </w:r>
      <w:r w:rsidR="00764D80" w:rsidRPr="00DA0DCD">
        <w:rPr>
          <w:color w:val="000000" w:themeColor="text1"/>
          <w:lang w:val="en-US"/>
        </w:rPr>
        <w:t xml:space="preserve"> IAS39), give</w:t>
      </w:r>
      <w:r w:rsidR="006143D3">
        <w:rPr>
          <w:color w:val="000000" w:themeColor="text1"/>
          <w:lang w:val="en-US"/>
        </w:rPr>
        <w:t>s</w:t>
      </w:r>
      <w:r w:rsidR="00764D80" w:rsidRPr="00DA0DCD">
        <w:rPr>
          <w:color w:val="000000" w:themeColor="text1"/>
          <w:lang w:val="en-US"/>
        </w:rPr>
        <w:t xml:space="preserve"> with a beta of 0,018 a positive sign and is consistent with the first hypothesis.</w:t>
      </w:r>
    </w:p>
    <w:p w:rsidR="002640F9" w:rsidRDefault="00BA0C43" w:rsidP="005149E1">
      <w:pPr>
        <w:rPr>
          <w:lang w:val="en-US"/>
        </w:rPr>
      </w:pPr>
      <w:r w:rsidRPr="00DA0DCD">
        <w:rPr>
          <w:lang w:val="en-US"/>
        </w:rPr>
        <w:t xml:space="preserve">The outcome of all events </w:t>
      </w:r>
      <w:r w:rsidR="00E03344" w:rsidRPr="00DA0DCD">
        <w:rPr>
          <w:lang w:val="en-US"/>
        </w:rPr>
        <w:t xml:space="preserve">aggregated </w:t>
      </w:r>
      <w:r w:rsidRPr="00DA0DCD">
        <w:rPr>
          <w:lang w:val="en-US"/>
        </w:rPr>
        <w:t xml:space="preserve">together (Eq. </w:t>
      </w:r>
      <w:r w:rsidR="008908AA" w:rsidRPr="00DA0DCD">
        <w:rPr>
          <w:lang w:val="en-US"/>
        </w:rPr>
        <w:t xml:space="preserve">6.2) is shown on the right side of table </w:t>
      </w:r>
      <w:r w:rsidR="00E10883" w:rsidRPr="00DA0DCD">
        <w:rPr>
          <w:lang w:val="en-US"/>
        </w:rPr>
        <w:t>7.3</w:t>
      </w:r>
      <w:r w:rsidR="00281061" w:rsidRPr="00DA0DCD">
        <w:rPr>
          <w:lang w:val="en-US"/>
        </w:rPr>
        <w:t>. The independent variable</w:t>
      </w:r>
      <w:r w:rsidR="009C49AE">
        <w:rPr>
          <w:lang w:val="en-US"/>
        </w:rPr>
        <w:t xml:space="preserve"> windows_</w:t>
      </w:r>
      <w:r w:rsidRPr="00DA0DCD">
        <w:rPr>
          <w:lang w:val="en-US"/>
        </w:rPr>
        <w:t>combined</w:t>
      </w:r>
      <w:r w:rsidR="00281061" w:rsidRPr="00DA0DCD">
        <w:rPr>
          <w:lang w:val="en-US"/>
        </w:rPr>
        <w:t xml:space="preserve"> </w:t>
      </w:r>
      <w:r w:rsidR="00434B68" w:rsidRPr="00DA0DCD">
        <w:rPr>
          <w:lang w:val="en-US"/>
        </w:rPr>
        <w:t xml:space="preserve">gives a beta of zero and is not </w:t>
      </w:r>
      <w:r w:rsidR="008908AA" w:rsidRPr="00DA0DCD">
        <w:rPr>
          <w:lang w:val="en-US"/>
        </w:rPr>
        <w:t>significant</w:t>
      </w:r>
      <w:r w:rsidR="00281061" w:rsidRPr="00DA0DCD">
        <w:rPr>
          <w:lang w:val="en-US"/>
        </w:rPr>
        <w:t xml:space="preserve"> </w:t>
      </w:r>
      <w:r w:rsidRPr="00DA0DCD">
        <w:rPr>
          <w:lang w:val="en-US"/>
        </w:rPr>
        <w:t>wit a p-value of 0,977.</w:t>
      </w:r>
      <w:r w:rsidR="00B71690" w:rsidRPr="00DA0DCD">
        <w:rPr>
          <w:lang w:val="en-US"/>
        </w:rPr>
        <w:t xml:space="preserve"> </w:t>
      </w:r>
      <w:r w:rsidRPr="00DA0DCD">
        <w:rPr>
          <w:lang w:val="en-US"/>
        </w:rPr>
        <w:t xml:space="preserve">An explanation </w:t>
      </w:r>
      <w:r w:rsidR="00764D80" w:rsidRPr="00DA0DCD">
        <w:rPr>
          <w:lang w:val="en-US"/>
        </w:rPr>
        <w:t xml:space="preserve">for the non-significant </w:t>
      </w:r>
      <w:r w:rsidR="006143D3">
        <w:rPr>
          <w:lang w:val="en-US"/>
        </w:rPr>
        <w:t>low beta</w:t>
      </w:r>
      <w:r w:rsidR="00764D80" w:rsidRPr="00DA0DCD">
        <w:rPr>
          <w:lang w:val="en-US"/>
        </w:rPr>
        <w:t xml:space="preserve"> </w:t>
      </w:r>
      <w:r w:rsidRPr="00DA0DCD">
        <w:rPr>
          <w:lang w:val="en-US"/>
        </w:rPr>
        <w:t>is the</w:t>
      </w:r>
      <w:r w:rsidR="00183FB4">
        <w:rPr>
          <w:lang w:val="en-US"/>
        </w:rPr>
        <w:t xml:space="preserve"> </w:t>
      </w:r>
      <w:r w:rsidR="006143D3">
        <w:rPr>
          <w:lang w:val="en-US"/>
        </w:rPr>
        <w:t xml:space="preserve">negative betas during the </w:t>
      </w:r>
      <w:r w:rsidRPr="00DA0DCD">
        <w:rPr>
          <w:lang w:val="en-US"/>
        </w:rPr>
        <w:t>fi</w:t>
      </w:r>
      <w:r w:rsidR="00183FB4">
        <w:rPr>
          <w:lang w:val="en-US"/>
        </w:rPr>
        <w:t>rst through fourth event window</w:t>
      </w:r>
      <w:r w:rsidRPr="00DA0DCD">
        <w:rPr>
          <w:lang w:val="en-US"/>
        </w:rPr>
        <w:t>.</w:t>
      </w:r>
      <w:r w:rsidR="00183FB4">
        <w:rPr>
          <w:lang w:val="en-US"/>
        </w:rPr>
        <w:t xml:space="preserve"> This means that the negative beta during the first through fourth event window plus the positive beta during the fifth eve</w:t>
      </w:r>
      <w:r w:rsidR="009C49AE">
        <w:rPr>
          <w:lang w:val="en-US"/>
        </w:rPr>
        <w:t xml:space="preserve">nt window resulted in a windows </w:t>
      </w:r>
      <w:r w:rsidR="00183FB4">
        <w:rPr>
          <w:lang w:val="en-US"/>
        </w:rPr>
        <w:t>combined non-significant beta of zero.</w:t>
      </w:r>
    </w:p>
    <w:p w:rsidR="00C00D5B" w:rsidRPr="00DA0DCD" w:rsidRDefault="00C00D5B" w:rsidP="005149E1">
      <w:pPr>
        <w:rPr>
          <w:sz w:val="20"/>
          <w:szCs w:val="20"/>
          <w:lang w:val="en-US"/>
        </w:rPr>
      </w:pPr>
      <w:r>
        <w:rPr>
          <w:lang w:val="en-US"/>
        </w:rPr>
        <w:t>This means that based on the positive significant beta of the fifth event window</w:t>
      </w:r>
      <w:r w:rsidR="00DC28E1">
        <w:rPr>
          <w:lang w:val="en-US"/>
        </w:rPr>
        <w:t xml:space="preserve"> (major point), hypothesis one is accepted. However, based on the non-significant beta of zero during the event windows</w:t>
      </w:r>
      <w:r w:rsidR="009C49AE">
        <w:rPr>
          <w:lang w:val="en-US"/>
        </w:rPr>
        <w:t xml:space="preserve"> </w:t>
      </w:r>
      <w:r w:rsidR="006143D3">
        <w:rPr>
          <w:lang w:val="en-US"/>
        </w:rPr>
        <w:t>combined, hypothesis one cannot be accepted</w:t>
      </w:r>
      <w:r w:rsidR="00DC28E1">
        <w:rPr>
          <w:lang w:val="en-US"/>
        </w:rPr>
        <w:t>.</w:t>
      </w:r>
    </w:p>
    <w:p w:rsidR="005149E1" w:rsidRPr="00DA0DCD" w:rsidRDefault="0087717C" w:rsidP="0087717C">
      <w:pPr>
        <w:pStyle w:val="Kop3"/>
        <w:numPr>
          <w:ilvl w:val="2"/>
          <w:numId w:val="14"/>
        </w:numPr>
        <w:rPr>
          <w:lang w:val="en-US"/>
        </w:rPr>
      </w:pPr>
      <w:bookmarkStart w:id="77" w:name="_Toc270770611"/>
      <w:r w:rsidRPr="00DA0DCD">
        <w:rPr>
          <w:lang w:val="en-US"/>
        </w:rPr>
        <w:t>Results of the second hypothesis</w:t>
      </w:r>
      <w:bookmarkEnd w:id="77"/>
    </w:p>
    <w:p w:rsidR="000C4206" w:rsidRPr="00DA0DCD" w:rsidRDefault="000C4206" w:rsidP="000C4206">
      <w:pPr>
        <w:rPr>
          <w:rStyle w:val="longtext1"/>
          <w:rFonts w:cs="Times New Roman"/>
          <w:i/>
          <w:sz w:val="22"/>
          <w:szCs w:val="22"/>
          <w:shd w:val="clear" w:color="auto" w:fill="FFFFFF"/>
          <w:lang w:val="en-US"/>
        </w:rPr>
      </w:pPr>
      <w:r w:rsidRPr="00DA0DCD">
        <w:rPr>
          <w:rStyle w:val="longtext1"/>
          <w:rFonts w:cs="Times New Roman"/>
          <w:sz w:val="22"/>
          <w:szCs w:val="22"/>
          <w:shd w:val="clear" w:color="auto" w:fill="FFFFFF"/>
          <w:lang w:val="en-US"/>
        </w:rPr>
        <w:t xml:space="preserve">Hypothesis 2: </w:t>
      </w:r>
      <w:r w:rsidRPr="00DA0DCD">
        <w:rPr>
          <w:rStyle w:val="longtext1"/>
          <w:rFonts w:cs="Times New Roman"/>
          <w:i/>
          <w:sz w:val="22"/>
          <w:szCs w:val="22"/>
          <w:shd w:val="clear" w:color="auto" w:fill="FFFFFF"/>
          <w:lang w:val="en-US"/>
        </w:rPr>
        <w:t xml:space="preserve">The absolute value of the stock price reactions </w:t>
      </w:r>
      <w:r w:rsidR="0077354B" w:rsidRPr="00DA0DCD">
        <w:rPr>
          <w:rStyle w:val="longtext1"/>
          <w:rFonts w:cs="Times New Roman"/>
          <w:i/>
          <w:sz w:val="22"/>
          <w:szCs w:val="22"/>
          <w:shd w:val="clear" w:color="auto" w:fill="FFFFFF"/>
          <w:lang w:val="en-US"/>
        </w:rPr>
        <w:t>of</w:t>
      </w:r>
      <w:r w:rsidRPr="00DA0DCD">
        <w:rPr>
          <w:rStyle w:val="longtext1"/>
          <w:rFonts w:cs="Times New Roman"/>
          <w:i/>
          <w:sz w:val="22"/>
          <w:szCs w:val="22"/>
          <w:shd w:val="clear" w:color="auto" w:fill="FFFFFF"/>
          <w:lang w:val="en-US"/>
        </w:rPr>
        <w:t xml:space="preserve"> </w:t>
      </w:r>
      <w:r w:rsidR="002E3302" w:rsidRPr="00DA0DCD">
        <w:rPr>
          <w:rStyle w:val="longtext1"/>
          <w:rFonts w:cs="Times New Roman"/>
          <w:i/>
          <w:sz w:val="22"/>
          <w:szCs w:val="22"/>
          <w:shd w:val="clear" w:color="auto" w:fill="FFFFFF"/>
          <w:lang w:val="en-US"/>
        </w:rPr>
        <w:t>banks</w:t>
      </w:r>
      <w:r w:rsidRPr="00DA0DCD">
        <w:rPr>
          <w:rStyle w:val="longtext1"/>
          <w:rFonts w:cs="Times New Roman"/>
          <w:i/>
          <w:sz w:val="22"/>
          <w:szCs w:val="22"/>
          <w:shd w:val="clear" w:color="auto" w:fill="FFFFFF"/>
          <w:lang w:val="en-US"/>
        </w:rPr>
        <w:t xml:space="preserve"> in Europe to the introduction of the reclassification option for financial instruments in IAS 39 is expected to be weaker than the reaction on the announcements relaxing FVA in the US.</w:t>
      </w:r>
    </w:p>
    <w:p w:rsidR="00974546" w:rsidRDefault="00FC122D" w:rsidP="000C4206">
      <w:pPr>
        <w:rPr>
          <w:rStyle w:val="longtext1"/>
          <w:rFonts w:cs="Times New Roman"/>
          <w:sz w:val="22"/>
          <w:szCs w:val="22"/>
          <w:shd w:val="clear" w:color="auto" w:fill="FFFFFF"/>
          <w:lang w:val="en-US"/>
        </w:rPr>
      </w:pPr>
      <w:r w:rsidRPr="00DA0DCD">
        <w:rPr>
          <w:rStyle w:val="longtext1"/>
          <w:rFonts w:cs="Times New Roman"/>
          <w:sz w:val="22"/>
          <w:szCs w:val="22"/>
          <w:shd w:val="clear" w:color="auto" w:fill="FFFFFF"/>
          <w:lang w:val="en-US"/>
        </w:rPr>
        <w:t>The second hypothesis is tested by measuring Eq. (6.1) and Eq. (6.2) for the sample of only banks</w:t>
      </w:r>
      <w:r w:rsidR="00974546" w:rsidRPr="00DA0DCD">
        <w:rPr>
          <w:rStyle w:val="longtext1"/>
          <w:rFonts w:cs="Times New Roman"/>
          <w:sz w:val="22"/>
          <w:szCs w:val="22"/>
          <w:shd w:val="clear" w:color="auto" w:fill="FFFFFF"/>
          <w:lang w:val="en-US"/>
        </w:rPr>
        <w:t>. T</w:t>
      </w:r>
      <w:r w:rsidR="00533652" w:rsidRPr="00DA0DCD">
        <w:rPr>
          <w:rStyle w:val="longtext1"/>
          <w:rFonts w:cs="Times New Roman"/>
          <w:sz w:val="22"/>
          <w:szCs w:val="22"/>
          <w:shd w:val="clear" w:color="auto" w:fill="FFFFFF"/>
          <w:lang w:val="en-US"/>
        </w:rPr>
        <w:t xml:space="preserve">he results of the </w:t>
      </w:r>
      <w:r w:rsidRPr="00DA0DCD">
        <w:rPr>
          <w:rStyle w:val="longtext1"/>
          <w:rFonts w:cs="Times New Roman"/>
          <w:sz w:val="22"/>
          <w:szCs w:val="22"/>
          <w:shd w:val="clear" w:color="auto" w:fill="FFFFFF"/>
          <w:lang w:val="en-US"/>
        </w:rPr>
        <w:t>outcome of the banks sample</w:t>
      </w:r>
      <w:r w:rsidR="00533652" w:rsidRPr="00DA0DCD">
        <w:rPr>
          <w:rStyle w:val="longtext1"/>
          <w:rFonts w:cs="Times New Roman"/>
          <w:sz w:val="22"/>
          <w:szCs w:val="22"/>
          <w:shd w:val="clear" w:color="auto" w:fill="FFFFFF"/>
          <w:lang w:val="en-US"/>
        </w:rPr>
        <w:t xml:space="preserve"> </w:t>
      </w:r>
      <w:r w:rsidR="00150B8E" w:rsidRPr="00DA0DCD">
        <w:rPr>
          <w:rStyle w:val="longtext1"/>
          <w:rFonts w:cs="Times New Roman"/>
          <w:sz w:val="22"/>
          <w:szCs w:val="22"/>
          <w:shd w:val="clear" w:color="auto" w:fill="FFFFFF"/>
          <w:lang w:val="en-US"/>
        </w:rPr>
        <w:t>are</w:t>
      </w:r>
      <w:r w:rsidR="00533652" w:rsidRPr="00DA0DCD">
        <w:rPr>
          <w:rStyle w:val="longtext1"/>
          <w:rFonts w:cs="Times New Roman"/>
          <w:sz w:val="22"/>
          <w:szCs w:val="22"/>
          <w:shd w:val="clear" w:color="auto" w:fill="FFFFFF"/>
          <w:lang w:val="en-US"/>
        </w:rPr>
        <w:t xml:space="preserve"> compared with the results of Bowen et al. (2010)</w:t>
      </w:r>
      <w:r w:rsidR="00150B8E" w:rsidRPr="00DA0DCD">
        <w:rPr>
          <w:rStyle w:val="longtext1"/>
          <w:rFonts w:cs="Times New Roman"/>
          <w:sz w:val="22"/>
          <w:szCs w:val="22"/>
          <w:shd w:val="clear" w:color="auto" w:fill="FFFFFF"/>
          <w:lang w:val="en-US"/>
        </w:rPr>
        <w:t xml:space="preserve">. </w:t>
      </w:r>
      <w:r w:rsidR="00764D80" w:rsidRPr="00DA0DCD">
        <w:rPr>
          <w:rStyle w:val="longtext1"/>
          <w:rFonts w:cs="Times New Roman"/>
          <w:sz w:val="22"/>
          <w:szCs w:val="22"/>
          <w:shd w:val="clear" w:color="auto" w:fill="FFFFFF"/>
          <w:lang w:val="en-US"/>
        </w:rPr>
        <w:t>Bowen et al. (2010)</w:t>
      </w:r>
      <w:r w:rsidR="00150B8E" w:rsidRPr="00DA0DCD">
        <w:rPr>
          <w:rStyle w:val="longtext1"/>
          <w:rFonts w:cs="Times New Roman"/>
          <w:sz w:val="22"/>
          <w:szCs w:val="22"/>
          <w:shd w:val="clear" w:color="auto" w:fill="FFFFFF"/>
          <w:lang w:val="en-US"/>
        </w:rPr>
        <w:t xml:space="preserve"> measured the stock price reaction of banks during events that</w:t>
      </w:r>
      <w:r w:rsidR="001C0862">
        <w:rPr>
          <w:rStyle w:val="longtext1"/>
          <w:rFonts w:cs="Times New Roman"/>
          <w:sz w:val="22"/>
          <w:szCs w:val="22"/>
          <w:shd w:val="clear" w:color="auto" w:fill="FFFFFF"/>
          <w:lang w:val="en-US"/>
        </w:rPr>
        <w:t xml:space="preserve"> have had an</w:t>
      </w:r>
      <w:r w:rsidR="00150B8E" w:rsidRPr="00DA0DCD">
        <w:rPr>
          <w:rStyle w:val="longtext1"/>
          <w:rFonts w:cs="Times New Roman"/>
          <w:sz w:val="22"/>
          <w:szCs w:val="22"/>
          <w:shd w:val="clear" w:color="auto" w:fill="FFFFFF"/>
          <w:lang w:val="en-US"/>
        </w:rPr>
        <w:t xml:space="preserve"> increase</w:t>
      </w:r>
      <w:r w:rsidR="001C0862">
        <w:rPr>
          <w:rStyle w:val="longtext1"/>
          <w:rFonts w:cs="Times New Roman"/>
          <w:sz w:val="22"/>
          <w:szCs w:val="22"/>
          <w:shd w:val="clear" w:color="auto" w:fill="FFFFFF"/>
          <w:lang w:val="en-US"/>
        </w:rPr>
        <w:t>d</w:t>
      </w:r>
      <w:r w:rsidR="00150B8E" w:rsidRPr="00DA0DCD">
        <w:rPr>
          <w:rStyle w:val="longtext1"/>
          <w:rFonts w:cs="Times New Roman"/>
          <w:sz w:val="22"/>
          <w:szCs w:val="22"/>
          <w:shd w:val="clear" w:color="auto" w:fill="FFFFFF"/>
          <w:lang w:val="en-US"/>
        </w:rPr>
        <w:t xml:space="preserve"> or decrease</w:t>
      </w:r>
      <w:r w:rsidR="001C0862">
        <w:rPr>
          <w:rStyle w:val="longtext1"/>
          <w:rFonts w:cs="Times New Roman"/>
          <w:sz w:val="22"/>
          <w:szCs w:val="22"/>
          <w:shd w:val="clear" w:color="auto" w:fill="FFFFFF"/>
          <w:lang w:val="en-US"/>
        </w:rPr>
        <w:t xml:space="preserve">d effect on </w:t>
      </w:r>
      <w:r w:rsidR="00150B8E" w:rsidRPr="00DA0DCD">
        <w:rPr>
          <w:rStyle w:val="longtext1"/>
          <w:rFonts w:cs="Times New Roman"/>
          <w:sz w:val="22"/>
          <w:szCs w:val="22"/>
          <w:shd w:val="clear" w:color="auto" w:fill="FFFFFF"/>
          <w:lang w:val="en-US"/>
        </w:rPr>
        <w:t>the possibility of relaxing FVA</w:t>
      </w:r>
      <w:r w:rsidR="00764D80" w:rsidRPr="00DA0DCD">
        <w:rPr>
          <w:rStyle w:val="longtext1"/>
          <w:rFonts w:cs="Times New Roman"/>
          <w:sz w:val="22"/>
          <w:szCs w:val="22"/>
          <w:shd w:val="clear" w:color="auto" w:fill="FFFFFF"/>
          <w:lang w:val="en-US"/>
        </w:rPr>
        <w:t xml:space="preserve"> in the US</w:t>
      </w:r>
      <w:r w:rsidR="00150B8E" w:rsidRPr="00DA0DCD">
        <w:rPr>
          <w:rStyle w:val="longtext1"/>
          <w:rFonts w:cs="Times New Roman"/>
          <w:sz w:val="22"/>
          <w:szCs w:val="22"/>
          <w:shd w:val="clear" w:color="auto" w:fill="FFFFFF"/>
          <w:lang w:val="en-US"/>
        </w:rPr>
        <w:t xml:space="preserve">. </w:t>
      </w:r>
      <w:r w:rsidR="00974546" w:rsidRPr="00DA0DCD">
        <w:rPr>
          <w:rStyle w:val="longtext1"/>
          <w:rFonts w:cs="Times New Roman"/>
          <w:sz w:val="22"/>
          <w:szCs w:val="22"/>
          <w:shd w:val="clear" w:color="auto" w:fill="FFFFFF"/>
          <w:lang w:val="en-US"/>
        </w:rPr>
        <w:t>They</w:t>
      </w:r>
      <w:r w:rsidR="001353E4" w:rsidRPr="00DA0DCD">
        <w:rPr>
          <w:rStyle w:val="longtext1"/>
          <w:rFonts w:cs="Times New Roman"/>
          <w:sz w:val="22"/>
          <w:szCs w:val="22"/>
          <w:shd w:val="clear" w:color="auto" w:fill="FFFFFF"/>
          <w:lang w:val="en-US"/>
        </w:rPr>
        <w:t xml:space="preserve"> find</w:t>
      </w:r>
      <w:r w:rsidR="00DD0223" w:rsidRPr="00DA0DCD">
        <w:rPr>
          <w:rStyle w:val="longtext1"/>
          <w:rFonts w:cs="Times New Roman"/>
          <w:sz w:val="22"/>
          <w:szCs w:val="22"/>
          <w:shd w:val="clear" w:color="auto" w:fill="FFFFFF"/>
          <w:lang w:val="en-US"/>
        </w:rPr>
        <w:t xml:space="preserve">, as shown on the left side of table 7.5, that banks </w:t>
      </w:r>
      <w:r w:rsidR="006143D3" w:rsidRPr="00DA0DCD">
        <w:rPr>
          <w:rStyle w:val="longtext1"/>
          <w:rFonts w:cs="Times New Roman"/>
          <w:sz w:val="22"/>
          <w:szCs w:val="22"/>
          <w:shd w:val="clear" w:color="auto" w:fill="FFFFFF"/>
          <w:lang w:val="en-US"/>
        </w:rPr>
        <w:t xml:space="preserve">in the US </w:t>
      </w:r>
      <w:r w:rsidR="00DD0223" w:rsidRPr="00DA0DCD">
        <w:rPr>
          <w:rStyle w:val="longtext1"/>
          <w:rFonts w:cs="Times New Roman"/>
          <w:sz w:val="22"/>
          <w:szCs w:val="22"/>
          <w:shd w:val="clear" w:color="auto" w:fill="FFFFFF"/>
          <w:lang w:val="en-US"/>
        </w:rPr>
        <w:t xml:space="preserve">react positively (negatively) on events that increase (decrease) the possibility of introducing a relaxation of FVA. </w:t>
      </w:r>
      <w:r w:rsidR="001353E4" w:rsidRPr="00DA0DCD">
        <w:rPr>
          <w:rStyle w:val="longtext1"/>
          <w:rFonts w:cs="Times New Roman"/>
          <w:sz w:val="22"/>
          <w:szCs w:val="22"/>
          <w:shd w:val="clear" w:color="auto" w:fill="FFFFFF"/>
          <w:lang w:val="en-US"/>
        </w:rPr>
        <w:t>By comparing th</w:t>
      </w:r>
      <w:r w:rsidR="00DD0223" w:rsidRPr="00DA0DCD">
        <w:rPr>
          <w:rStyle w:val="longtext1"/>
          <w:rFonts w:cs="Times New Roman"/>
          <w:sz w:val="22"/>
          <w:szCs w:val="22"/>
          <w:shd w:val="clear" w:color="auto" w:fill="FFFFFF"/>
          <w:lang w:val="en-US"/>
        </w:rPr>
        <w:t>is</w:t>
      </w:r>
      <w:r w:rsidR="00974546" w:rsidRPr="00DA0DCD">
        <w:rPr>
          <w:rStyle w:val="longtext1"/>
          <w:rFonts w:cs="Times New Roman"/>
          <w:sz w:val="22"/>
          <w:szCs w:val="22"/>
          <w:shd w:val="clear" w:color="auto" w:fill="FFFFFF"/>
          <w:lang w:val="en-US"/>
        </w:rPr>
        <w:t xml:space="preserve"> result</w:t>
      </w:r>
      <w:r w:rsidR="00DD0223" w:rsidRPr="00DA0DCD">
        <w:rPr>
          <w:rStyle w:val="longtext1"/>
          <w:rFonts w:cs="Times New Roman"/>
          <w:sz w:val="22"/>
          <w:szCs w:val="22"/>
          <w:shd w:val="clear" w:color="auto" w:fill="FFFFFF"/>
          <w:lang w:val="en-US"/>
        </w:rPr>
        <w:t xml:space="preserve"> with the re</w:t>
      </w:r>
      <w:r w:rsidR="00974546" w:rsidRPr="00DA0DCD">
        <w:rPr>
          <w:rStyle w:val="longtext1"/>
          <w:rFonts w:cs="Times New Roman"/>
          <w:sz w:val="22"/>
          <w:szCs w:val="22"/>
          <w:shd w:val="clear" w:color="auto" w:fill="FFFFFF"/>
          <w:lang w:val="en-US"/>
        </w:rPr>
        <w:t>sult</w:t>
      </w:r>
      <w:r w:rsidR="00DD0223" w:rsidRPr="00DA0DCD">
        <w:rPr>
          <w:rStyle w:val="longtext1"/>
          <w:rFonts w:cs="Times New Roman"/>
          <w:sz w:val="22"/>
          <w:szCs w:val="22"/>
          <w:shd w:val="clear" w:color="auto" w:fill="FFFFFF"/>
          <w:lang w:val="en-US"/>
        </w:rPr>
        <w:t xml:space="preserve"> of the research of this thesis,</w:t>
      </w:r>
      <w:r w:rsidR="001353E4" w:rsidRPr="00DA0DCD">
        <w:rPr>
          <w:rStyle w:val="longtext1"/>
          <w:rFonts w:cs="Times New Roman"/>
          <w:sz w:val="22"/>
          <w:szCs w:val="22"/>
          <w:shd w:val="clear" w:color="auto" w:fill="FFFFFF"/>
          <w:lang w:val="en-US"/>
        </w:rPr>
        <w:t xml:space="preserve"> </w:t>
      </w:r>
      <w:r w:rsidR="00927122" w:rsidRPr="00DA0DCD">
        <w:rPr>
          <w:rStyle w:val="longtext1"/>
          <w:rFonts w:cs="Times New Roman"/>
          <w:sz w:val="22"/>
          <w:szCs w:val="22"/>
          <w:shd w:val="clear" w:color="auto" w:fill="FFFFFF"/>
          <w:lang w:val="en-US"/>
        </w:rPr>
        <w:t>there</w:t>
      </w:r>
      <w:r w:rsidR="001353E4" w:rsidRPr="00DA0DCD">
        <w:rPr>
          <w:rStyle w:val="longtext1"/>
          <w:rFonts w:cs="Times New Roman"/>
          <w:sz w:val="22"/>
          <w:szCs w:val="22"/>
          <w:shd w:val="clear" w:color="auto" w:fill="FFFFFF"/>
          <w:lang w:val="en-US"/>
        </w:rPr>
        <w:t xml:space="preserve"> can be</w:t>
      </w:r>
      <w:r w:rsidR="001C0862">
        <w:rPr>
          <w:rStyle w:val="longtext1"/>
          <w:rFonts w:cs="Times New Roman"/>
          <w:sz w:val="22"/>
          <w:szCs w:val="22"/>
          <w:shd w:val="clear" w:color="auto" w:fill="FFFFFF"/>
          <w:lang w:val="en-US"/>
        </w:rPr>
        <w:t xml:space="preserve"> </w:t>
      </w:r>
      <w:r w:rsidR="006143D3">
        <w:rPr>
          <w:rStyle w:val="longtext1"/>
          <w:rFonts w:cs="Times New Roman"/>
          <w:sz w:val="22"/>
          <w:szCs w:val="22"/>
          <w:shd w:val="clear" w:color="auto" w:fill="FFFFFF"/>
          <w:lang w:val="en-US"/>
        </w:rPr>
        <w:t xml:space="preserve">state a </w:t>
      </w:r>
      <w:r w:rsidR="001C0862">
        <w:rPr>
          <w:rStyle w:val="longtext1"/>
          <w:rFonts w:cs="Times New Roman"/>
          <w:sz w:val="22"/>
          <w:szCs w:val="22"/>
          <w:shd w:val="clear" w:color="auto" w:fill="FFFFFF"/>
          <w:lang w:val="en-US"/>
        </w:rPr>
        <w:t>conclu</w:t>
      </w:r>
      <w:r w:rsidR="00BC55B0">
        <w:rPr>
          <w:rStyle w:val="longtext1"/>
          <w:rFonts w:cs="Times New Roman"/>
          <w:sz w:val="22"/>
          <w:szCs w:val="22"/>
          <w:shd w:val="clear" w:color="auto" w:fill="FFFFFF"/>
          <w:lang w:val="en-US"/>
        </w:rPr>
        <w:t>sion</w:t>
      </w:r>
      <w:r w:rsidR="00533652" w:rsidRPr="00DA0DCD">
        <w:rPr>
          <w:rStyle w:val="longtext1"/>
          <w:rFonts w:cs="Times New Roman"/>
          <w:sz w:val="22"/>
          <w:szCs w:val="22"/>
          <w:shd w:val="clear" w:color="auto" w:fill="FFFFFF"/>
          <w:lang w:val="en-US"/>
        </w:rPr>
        <w:t xml:space="preserve"> whether the reaction on the relaxation of FVA in the US is stronger than the reaction in Europe on the reclassification option under IAS 39. This comparison between the US and Europe is shown in table 7.5. </w:t>
      </w:r>
      <w:r w:rsidR="002E3302" w:rsidRPr="00DA0DCD">
        <w:rPr>
          <w:rStyle w:val="longtext1"/>
          <w:rFonts w:cs="Times New Roman"/>
          <w:sz w:val="22"/>
          <w:szCs w:val="22"/>
          <w:shd w:val="clear" w:color="auto" w:fill="FFFFFF"/>
          <w:lang w:val="en-US"/>
        </w:rPr>
        <w:t>The left side of the table represent the results of Bowen et al. (2010) and the right side of the table shows the results</w:t>
      </w:r>
      <w:r w:rsidR="00CB31A7" w:rsidRPr="00DA0DCD">
        <w:rPr>
          <w:rStyle w:val="longtext1"/>
          <w:rFonts w:cs="Times New Roman"/>
          <w:sz w:val="22"/>
          <w:szCs w:val="22"/>
          <w:shd w:val="clear" w:color="auto" w:fill="FFFFFF"/>
          <w:lang w:val="en-US"/>
        </w:rPr>
        <w:t xml:space="preserve"> of the banks sample</w:t>
      </w:r>
      <w:r w:rsidR="002E3302" w:rsidRPr="00DA0DCD">
        <w:rPr>
          <w:rStyle w:val="longtext1"/>
          <w:rFonts w:cs="Times New Roman"/>
          <w:sz w:val="22"/>
          <w:szCs w:val="22"/>
          <w:shd w:val="clear" w:color="auto" w:fill="FFFFFF"/>
          <w:lang w:val="en-US"/>
        </w:rPr>
        <w:t xml:space="preserve"> of hypothesis three (</w:t>
      </w:r>
      <w:r w:rsidR="00974546" w:rsidRPr="00DA0DCD">
        <w:rPr>
          <w:rStyle w:val="longtext1"/>
          <w:rFonts w:cs="Times New Roman"/>
          <w:sz w:val="22"/>
          <w:szCs w:val="22"/>
          <w:shd w:val="clear" w:color="auto" w:fill="FFFFFF"/>
          <w:lang w:val="en-US"/>
        </w:rPr>
        <w:t>also shown in</w:t>
      </w:r>
      <w:r w:rsidR="002E3302" w:rsidRPr="00DA0DCD">
        <w:rPr>
          <w:rStyle w:val="longtext1"/>
          <w:rFonts w:cs="Times New Roman"/>
          <w:sz w:val="22"/>
          <w:szCs w:val="22"/>
          <w:shd w:val="clear" w:color="auto" w:fill="FFFFFF"/>
          <w:lang w:val="en-US"/>
        </w:rPr>
        <w:t xml:space="preserve"> table 7.7)</w:t>
      </w:r>
      <w:r w:rsidR="00CB31A7" w:rsidRPr="00DA0DCD">
        <w:rPr>
          <w:rStyle w:val="longtext1"/>
          <w:rFonts w:cs="Times New Roman"/>
          <w:sz w:val="22"/>
          <w:szCs w:val="22"/>
          <w:shd w:val="clear" w:color="auto" w:fill="FFFFFF"/>
          <w:lang w:val="en-US"/>
        </w:rPr>
        <w:t xml:space="preserve">. </w:t>
      </w:r>
      <w:r w:rsidR="006143D3">
        <w:rPr>
          <w:rStyle w:val="longtext1"/>
          <w:rFonts w:cs="Times New Roman"/>
          <w:sz w:val="22"/>
          <w:szCs w:val="22"/>
          <w:shd w:val="clear" w:color="auto" w:fill="FFFFFF"/>
          <w:lang w:val="en-US"/>
        </w:rPr>
        <w:t>H</w:t>
      </w:r>
      <w:r w:rsidR="001C0862">
        <w:rPr>
          <w:rStyle w:val="longtext1"/>
          <w:rFonts w:cs="Times New Roman"/>
          <w:sz w:val="22"/>
          <w:szCs w:val="22"/>
          <w:shd w:val="clear" w:color="auto" w:fill="FFFFFF"/>
          <w:lang w:val="en-US"/>
        </w:rPr>
        <w:t>ere is chosen for the only banks sample</w:t>
      </w:r>
      <w:r w:rsidR="006143D3">
        <w:rPr>
          <w:rStyle w:val="longtext1"/>
          <w:rFonts w:cs="Times New Roman"/>
          <w:sz w:val="22"/>
          <w:szCs w:val="22"/>
          <w:shd w:val="clear" w:color="auto" w:fill="FFFFFF"/>
          <w:lang w:val="en-US"/>
        </w:rPr>
        <w:t>,</w:t>
      </w:r>
      <w:r w:rsidR="00CB31A7" w:rsidRPr="00DA0DCD">
        <w:rPr>
          <w:rStyle w:val="longtext1"/>
          <w:rFonts w:cs="Times New Roman"/>
          <w:sz w:val="22"/>
          <w:szCs w:val="22"/>
          <w:shd w:val="clear" w:color="auto" w:fill="FFFFFF"/>
          <w:lang w:val="en-US"/>
        </w:rPr>
        <w:t xml:space="preserve"> because the </w:t>
      </w:r>
      <w:r w:rsidR="00764D80" w:rsidRPr="00DA0DCD">
        <w:rPr>
          <w:rStyle w:val="longtext1"/>
          <w:rFonts w:cs="Times New Roman"/>
          <w:sz w:val="22"/>
          <w:szCs w:val="22"/>
          <w:shd w:val="clear" w:color="auto" w:fill="FFFFFF"/>
          <w:lang w:val="en-US"/>
        </w:rPr>
        <w:t>sample of Bowen et al. (2010) consists</w:t>
      </w:r>
      <w:r w:rsidR="00CB31A7" w:rsidRPr="00DA0DCD">
        <w:rPr>
          <w:rStyle w:val="longtext1"/>
          <w:rFonts w:cs="Times New Roman"/>
          <w:sz w:val="22"/>
          <w:szCs w:val="22"/>
          <w:shd w:val="clear" w:color="auto" w:fill="FFFFFF"/>
          <w:lang w:val="en-US"/>
        </w:rPr>
        <w:t xml:space="preserve"> </w:t>
      </w:r>
      <w:r w:rsidR="001C0862">
        <w:rPr>
          <w:rStyle w:val="longtext1"/>
          <w:rFonts w:cs="Times New Roman"/>
          <w:sz w:val="22"/>
          <w:szCs w:val="22"/>
          <w:shd w:val="clear" w:color="auto" w:fill="FFFFFF"/>
          <w:lang w:val="en-US"/>
        </w:rPr>
        <w:t xml:space="preserve">also </w:t>
      </w:r>
      <w:r w:rsidR="00CB31A7" w:rsidRPr="00DA0DCD">
        <w:rPr>
          <w:rStyle w:val="longtext1"/>
          <w:rFonts w:cs="Times New Roman"/>
          <w:sz w:val="22"/>
          <w:szCs w:val="22"/>
          <w:shd w:val="clear" w:color="auto" w:fill="FFFFFF"/>
          <w:lang w:val="en-US"/>
        </w:rPr>
        <w:t>of only banks.</w:t>
      </w:r>
    </w:p>
    <w:tbl>
      <w:tblPr>
        <w:tblStyle w:val="Tabelraster"/>
        <w:tblW w:w="9889" w:type="dxa"/>
        <w:tblLayout w:type="fixed"/>
        <w:tblLook w:val="04A0"/>
      </w:tblPr>
      <w:tblGrid>
        <w:gridCol w:w="1242"/>
        <w:gridCol w:w="1134"/>
        <w:gridCol w:w="284"/>
        <w:gridCol w:w="850"/>
        <w:gridCol w:w="709"/>
        <w:gridCol w:w="851"/>
        <w:gridCol w:w="1134"/>
        <w:gridCol w:w="1134"/>
        <w:gridCol w:w="283"/>
        <w:gridCol w:w="709"/>
        <w:gridCol w:w="850"/>
        <w:gridCol w:w="709"/>
      </w:tblGrid>
      <w:tr w:rsidR="0030599D" w:rsidRPr="00872F8A" w:rsidTr="00E42971">
        <w:tc>
          <w:tcPr>
            <w:tcW w:w="5070" w:type="dxa"/>
            <w:gridSpan w:val="6"/>
            <w:tcBorders>
              <w:right w:val="single" w:sz="12" w:space="0" w:color="auto"/>
            </w:tcBorders>
            <w:vAlign w:val="center"/>
          </w:tcPr>
          <w:p w:rsidR="0030599D" w:rsidRPr="00974546" w:rsidRDefault="0030599D" w:rsidP="00E42971">
            <w:pPr>
              <w:pStyle w:val="Geenafstand"/>
              <w:rPr>
                <w:b/>
                <w:sz w:val="20"/>
                <w:szCs w:val="20"/>
              </w:rPr>
            </w:pPr>
            <w:r w:rsidRPr="00974546">
              <w:rPr>
                <w:b/>
                <w:sz w:val="20"/>
                <w:szCs w:val="20"/>
              </w:rPr>
              <w:t>Results Bowen et al. (2010)</w:t>
            </w:r>
          </w:p>
        </w:tc>
        <w:tc>
          <w:tcPr>
            <w:tcW w:w="4819" w:type="dxa"/>
            <w:gridSpan w:val="6"/>
            <w:tcBorders>
              <w:left w:val="single" w:sz="12" w:space="0" w:color="auto"/>
            </w:tcBorders>
            <w:vAlign w:val="center"/>
          </w:tcPr>
          <w:p w:rsidR="0030599D" w:rsidRPr="00974546" w:rsidRDefault="0030599D" w:rsidP="00E42971">
            <w:pPr>
              <w:pStyle w:val="Geenafstand"/>
              <w:rPr>
                <w:b/>
                <w:sz w:val="20"/>
                <w:szCs w:val="20"/>
                <w:lang w:val="en-US"/>
              </w:rPr>
            </w:pPr>
            <w:r w:rsidRPr="00974546">
              <w:rPr>
                <w:b/>
                <w:sz w:val="20"/>
                <w:szCs w:val="20"/>
                <w:lang w:val="en-US"/>
              </w:rPr>
              <w:t>Results banks sample thesis (see table 7.7)</w:t>
            </w:r>
          </w:p>
        </w:tc>
      </w:tr>
      <w:tr w:rsidR="0030599D" w:rsidRPr="000F5506" w:rsidTr="00E42971">
        <w:tc>
          <w:tcPr>
            <w:tcW w:w="1242" w:type="dxa"/>
            <w:vAlign w:val="center"/>
          </w:tcPr>
          <w:p w:rsidR="0030599D" w:rsidRPr="000F5506" w:rsidRDefault="0030599D" w:rsidP="00E42971">
            <w:pPr>
              <w:pStyle w:val="Geenafstand"/>
              <w:rPr>
                <w:sz w:val="18"/>
                <w:szCs w:val="18"/>
              </w:rPr>
            </w:pPr>
            <w:r w:rsidRPr="000F5506">
              <w:rPr>
                <w:sz w:val="18"/>
                <w:szCs w:val="18"/>
              </w:rPr>
              <w:t>Independent</w:t>
            </w:r>
          </w:p>
          <w:p w:rsidR="0030599D" w:rsidRPr="000F5506" w:rsidRDefault="0030599D" w:rsidP="00E42971">
            <w:pPr>
              <w:pStyle w:val="Geenafstand"/>
              <w:rPr>
                <w:sz w:val="18"/>
                <w:szCs w:val="18"/>
              </w:rPr>
            </w:pPr>
            <w:r w:rsidRPr="000F5506">
              <w:rPr>
                <w:sz w:val="18"/>
                <w:szCs w:val="18"/>
              </w:rPr>
              <w:t>Variables</w:t>
            </w:r>
          </w:p>
        </w:tc>
        <w:tc>
          <w:tcPr>
            <w:tcW w:w="1134" w:type="dxa"/>
            <w:vAlign w:val="center"/>
          </w:tcPr>
          <w:p w:rsidR="0030599D" w:rsidRPr="000F5506" w:rsidRDefault="0030599D" w:rsidP="00E42971">
            <w:pPr>
              <w:pStyle w:val="Geenafstand"/>
              <w:rPr>
                <w:sz w:val="18"/>
                <w:szCs w:val="18"/>
              </w:rPr>
            </w:pPr>
            <w:r w:rsidRPr="000F5506">
              <w:rPr>
                <w:sz w:val="18"/>
                <w:szCs w:val="18"/>
              </w:rPr>
              <w:t>Event date range</w:t>
            </w:r>
          </w:p>
        </w:tc>
        <w:tc>
          <w:tcPr>
            <w:tcW w:w="284" w:type="dxa"/>
            <w:vAlign w:val="center"/>
          </w:tcPr>
          <w:p w:rsidR="0030599D" w:rsidRPr="000F5506" w:rsidRDefault="0030599D" w:rsidP="00E42971">
            <w:pPr>
              <w:pStyle w:val="Geenafstand"/>
              <w:rPr>
                <w:sz w:val="18"/>
                <w:szCs w:val="18"/>
              </w:rPr>
            </w:pPr>
            <w:r>
              <w:rPr>
                <w:sz w:val="18"/>
                <w:szCs w:val="18"/>
              </w:rPr>
              <w:t>*</w:t>
            </w:r>
          </w:p>
        </w:tc>
        <w:tc>
          <w:tcPr>
            <w:tcW w:w="850" w:type="dxa"/>
            <w:vAlign w:val="center"/>
          </w:tcPr>
          <w:p w:rsidR="0030599D" w:rsidRPr="000F5506" w:rsidRDefault="0030599D" w:rsidP="00E42971">
            <w:pPr>
              <w:pStyle w:val="Geenafstand"/>
              <w:rPr>
                <w:sz w:val="18"/>
                <w:szCs w:val="18"/>
              </w:rPr>
            </w:pPr>
            <w:r w:rsidRPr="000F5506">
              <w:rPr>
                <w:sz w:val="18"/>
                <w:szCs w:val="18"/>
              </w:rPr>
              <w:t>Coeffi</w:t>
            </w:r>
            <w:r>
              <w:rPr>
                <w:sz w:val="18"/>
                <w:szCs w:val="18"/>
              </w:rPr>
              <w:t>-</w:t>
            </w:r>
            <w:r w:rsidRPr="000F5506">
              <w:rPr>
                <w:sz w:val="18"/>
                <w:szCs w:val="18"/>
              </w:rPr>
              <w:t>cient</w:t>
            </w:r>
          </w:p>
        </w:tc>
        <w:tc>
          <w:tcPr>
            <w:tcW w:w="709" w:type="dxa"/>
            <w:vAlign w:val="center"/>
          </w:tcPr>
          <w:p w:rsidR="0030599D" w:rsidRPr="000F5506" w:rsidRDefault="0030599D" w:rsidP="00E42971">
            <w:pPr>
              <w:pStyle w:val="Geenafstand"/>
              <w:rPr>
                <w:sz w:val="18"/>
                <w:szCs w:val="18"/>
              </w:rPr>
            </w:pPr>
            <w:r w:rsidRPr="000F5506">
              <w:rPr>
                <w:sz w:val="18"/>
                <w:szCs w:val="18"/>
              </w:rPr>
              <w:t>t-stat</w:t>
            </w:r>
          </w:p>
        </w:tc>
        <w:tc>
          <w:tcPr>
            <w:tcW w:w="851" w:type="dxa"/>
            <w:tcBorders>
              <w:right w:val="single" w:sz="12" w:space="0" w:color="auto"/>
            </w:tcBorders>
            <w:vAlign w:val="center"/>
          </w:tcPr>
          <w:p w:rsidR="0030599D" w:rsidRPr="000F5506" w:rsidRDefault="0030599D" w:rsidP="00E42971">
            <w:pPr>
              <w:pStyle w:val="Geenafstand"/>
              <w:rPr>
                <w:sz w:val="18"/>
                <w:szCs w:val="18"/>
              </w:rPr>
            </w:pPr>
            <w:r w:rsidRPr="000F5506">
              <w:rPr>
                <w:sz w:val="18"/>
                <w:szCs w:val="18"/>
              </w:rPr>
              <w:t>pvalue</w:t>
            </w:r>
          </w:p>
        </w:tc>
        <w:tc>
          <w:tcPr>
            <w:tcW w:w="1134" w:type="dxa"/>
            <w:tcBorders>
              <w:left w:val="single" w:sz="12" w:space="0" w:color="auto"/>
            </w:tcBorders>
            <w:vAlign w:val="center"/>
          </w:tcPr>
          <w:p w:rsidR="0030599D" w:rsidRPr="000F5506" w:rsidRDefault="0030599D" w:rsidP="00E42971">
            <w:pPr>
              <w:pStyle w:val="Geenafstand"/>
              <w:rPr>
                <w:sz w:val="18"/>
                <w:szCs w:val="18"/>
              </w:rPr>
            </w:pPr>
            <w:r w:rsidRPr="000F5506">
              <w:rPr>
                <w:sz w:val="18"/>
                <w:szCs w:val="18"/>
              </w:rPr>
              <w:t>Indep</w:t>
            </w:r>
            <w:r>
              <w:rPr>
                <w:sz w:val="18"/>
                <w:szCs w:val="18"/>
              </w:rPr>
              <w:t>.</w:t>
            </w:r>
          </w:p>
          <w:p w:rsidR="0030599D" w:rsidRPr="000F5506" w:rsidRDefault="0030599D" w:rsidP="00E42971">
            <w:pPr>
              <w:pStyle w:val="Geenafstand"/>
              <w:rPr>
                <w:sz w:val="18"/>
                <w:szCs w:val="18"/>
              </w:rPr>
            </w:pPr>
            <w:r w:rsidRPr="000F5506">
              <w:rPr>
                <w:sz w:val="18"/>
                <w:szCs w:val="18"/>
              </w:rPr>
              <w:t>Variables</w:t>
            </w:r>
          </w:p>
        </w:tc>
        <w:tc>
          <w:tcPr>
            <w:tcW w:w="1134" w:type="dxa"/>
            <w:vAlign w:val="center"/>
          </w:tcPr>
          <w:p w:rsidR="0030599D" w:rsidRPr="000F5506" w:rsidRDefault="0030599D" w:rsidP="00E42971">
            <w:pPr>
              <w:pStyle w:val="Geenafstand"/>
              <w:rPr>
                <w:sz w:val="18"/>
                <w:szCs w:val="18"/>
              </w:rPr>
            </w:pPr>
            <w:r w:rsidRPr="000F5506">
              <w:rPr>
                <w:sz w:val="18"/>
                <w:szCs w:val="18"/>
              </w:rPr>
              <w:t>Event date range</w:t>
            </w:r>
          </w:p>
        </w:tc>
        <w:tc>
          <w:tcPr>
            <w:tcW w:w="283" w:type="dxa"/>
            <w:vAlign w:val="center"/>
          </w:tcPr>
          <w:p w:rsidR="0030599D" w:rsidRPr="000F5506" w:rsidRDefault="0030599D" w:rsidP="00E42971">
            <w:pPr>
              <w:pStyle w:val="Geenafstand"/>
              <w:rPr>
                <w:sz w:val="18"/>
                <w:szCs w:val="18"/>
              </w:rPr>
            </w:pPr>
            <w:r>
              <w:rPr>
                <w:sz w:val="18"/>
                <w:szCs w:val="18"/>
              </w:rPr>
              <w:t>*</w:t>
            </w:r>
          </w:p>
        </w:tc>
        <w:tc>
          <w:tcPr>
            <w:tcW w:w="709" w:type="dxa"/>
            <w:vAlign w:val="center"/>
          </w:tcPr>
          <w:p w:rsidR="0030599D" w:rsidRPr="000F5506" w:rsidRDefault="0030599D" w:rsidP="00E42971">
            <w:pPr>
              <w:pStyle w:val="Geenafstand"/>
              <w:rPr>
                <w:sz w:val="18"/>
                <w:szCs w:val="18"/>
              </w:rPr>
            </w:pPr>
            <w:r w:rsidRPr="000F5506">
              <w:rPr>
                <w:sz w:val="18"/>
                <w:szCs w:val="18"/>
              </w:rPr>
              <w:t>Coeffi</w:t>
            </w:r>
            <w:r>
              <w:rPr>
                <w:sz w:val="18"/>
                <w:szCs w:val="18"/>
              </w:rPr>
              <w:t>-</w:t>
            </w:r>
            <w:r w:rsidRPr="000F5506">
              <w:rPr>
                <w:sz w:val="18"/>
                <w:szCs w:val="18"/>
              </w:rPr>
              <w:t>cient</w:t>
            </w:r>
          </w:p>
        </w:tc>
        <w:tc>
          <w:tcPr>
            <w:tcW w:w="850" w:type="dxa"/>
            <w:vAlign w:val="center"/>
          </w:tcPr>
          <w:p w:rsidR="0030599D" w:rsidRPr="000F5506" w:rsidRDefault="0030599D" w:rsidP="00E42971">
            <w:pPr>
              <w:pStyle w:val="Geenafstand"/>
              <w:rPr>
                <w:sz w:val="18"/>
                <w:szCs w:val="18"/>
              </w:rPr>
            </w:pPr>
            <w:r w:rsidRPr="000F5506">
              <w:rPr>
                <w:sz w:val="18"/>
                <w:szCs w:val="18"/>
              </w:rPr>
              <w:t>t-stat</w:t>
            </w:r>
          </w:p>
        </w:tc>
        <w:tc>
          <w:tcPr>
            <w:tcW w:w="709" w:type="dxa"/>
            <w:vAlign w:val="center"/>
          </w:tcPr>
          <w:p w:rsidR="0030599D" w:rsidRPr="000F5506" w:rsidRDefault="0030599D" w:rsidP="00E42971">
            <w:pPr>
              <w:pStyle w:val="Geenafstand"/>
              <w:rPr>
                <w:sz w:val="18"/>
                <w:szCs w:val="18"/>
              </w:rPr>
            </w:pPr>
            <w:r w:rsidRPr="000F5506">
              <w:rPr>
                <w:sz w:val="18"/>
                <w:szCs w:val="18"/>
              </w:rPr>
              <w:t>pvalue</w:t>
            </w:r>
          </w:p>
        </w:tc>
      </w:tr>
      <w:tr w:rsidR="0030599D" w:rsidRPr="000F5506" w:rsidTr="00E42971">
        <w:tc>
          <w:tcPr>
            <w:tcW w:w="1242" w:type="dxa"/>
            <w:vAlign w:val="center"/>
          </w:tcPr>
          <w:p w:rsidR="0030599D" w:rsidRPr="000F5506" w:rsidRDefault="0030599D" w:rsidP="00E42971">
            <w:pPr>
              <w:pStyle w:val="Geenafstand"/>
              <w:rPr>
                <w:sz w:val="18"/>
                <w:szCs w:val="18"/>
              </w:rPr>
            </w:pPr>
            <w:r w:rsidRPr="000F5506">
              <w:rPr>
                <w:rFonts w:cs="TimesNewRomanPSMT"/>
                <w:sz w:val="18"/>
                <w:szCs w:val="18"/>
              </w:rPr>
              <w:t>Intercept</w:t>
            </w:r>
          </w:p>
        </w:tc>
        <w:tc>
          <w:tcPr>
            <w:tcW w:w="1134" w:type="dxa"/>
            <w:vAlign w:val="center"/>
          </w:tcPr>
          <w:p w:rsidR="0030599D" w:rsidRPr="000F5506" w:rsidRDefault="0030599D" w:rsidP="00E42971">
            <w:pPr>
              <w:pStyle w:val="Geenafstand"/>
              <w:rPr>
                <w:sz w:val="18"/>
                <w:szCs w:val="18"/>
              </w:rPr>
            </w:pPr>
          </w:p>
        </w:tc>
        <w:tc>
          <w:tcPr>
            <w:tcW w:w="284" w:type="dxa"/>
            <w:vAlign w:val="center"/>
          </w:tcPr>
          <w:p w:rsidR="0030599D" w:rsidRPr="000F5506" w:rsidRDefault="0030599D" w:rsidP="00E42971">
            <w:pPr>
              <w:pStyle w:val="Geenafstand"/>
              <w:rPr>
                <w:sz w:val="18"/>
                <w:szCs w:val="18"/>
              </w:rPr>
            </w:pPr>
          </w:p>
        </w:tc>
        <w:tc>
          <w:tcPr>
            <w:tcW w:w="850" w:type="dxa"/>
            <w:vAlign w:val="center"/>
          </w:tcPr>
          <w:p w:rsidR="0030599D" w:rsidRPr="000F5506" w:rsidRDefault="0030599D" w:rsidP="00E42971">
            <w:pPr>
              <w:pStyle w:val="Geenafstand"/>
              <w:rPr>
                <w:sz w:val="18"/>
                <w:szCs w:val="18"/>
              </w:rPr>
            </w:pPr>
            <w:r w:rsidRPr="000F5506">
              <w:rPr>
                <w:rFonts w:cs="TimesNewRomanPSMT"/>
                <w:sz w:val="18"/>
                <w:szCs w:val="18"/>
              </w:rPr>
              <w:t>-0.0006</w:t>
            </w:r>
          </w:p>
        </w:tc>
        <w:tc>
          <w:tcPr>
            <w:tcW w:w="709" w:type="dxa"/>
            <w:vAlign w:val="center"/>
          </w:tcPr>
          <w:p w:rsidR="0030599D" w:rsidRPr="000F5506" w:rsidRDefault="0030599D" w:rsidP="00E42971">
            <w:pPr>
              <w:pStyle w:val="Geenafstand"/>
              <w:rPr>
                <w:sz w:val="18"/>
                <w:szCs w:val="18"/>
              </w:rPr>
            </w:pPr>
            <w:r w:rsidRPr="000F5506">
              <w:rPr>
                <w:rFonts w:cs="TimesNewRomanPSMT"/>
                <w:sz w:val="18"/>
                <w:szCs w:val="18"/>
              </w:rPr>
              <w:t>-0.37</w:t>
            </w:r>
          </w:p>
        </w:tc>
        <w:tc>
          <w:tcPr>
            <w:tcW w:w="851" w:type="dxa"/>
            <w:tcBorders>
              <w:righ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0.712</w:t>
            </w:r>
          </w:p>
        </w:tc>
        <w:tc>
          <w:tcPr>
            <w:tcW w:w="1134" w:type="dxa"/>
            <w:tcBorders>
              <w:lef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Intercept</w:t>
            </w:r>
          </w:p>
        </w:tc>
        <w:tc>
          <w:tcPr>
            <w:tcW w:w="1134" w:type="dxa"/>
            <w:vAlign w:val="center"/>
          </w:tcPr>
          <w:p w:rsidR="0030599D" w:rsidRPr="000F5506" w:rsidRDefault="0030599D" w:rsidP="00E42971">
            <w:pPr>
              <w:pStyle w:val="Geenafstand"/>
              <w:rPr>
                <w:rFonts w:cs="TimesNewRomanPSMT"/>
                <w:sz w:val="18"/>
                <w:szCs w:val="18"/>
              </w:rPr>
            </w:pPr>
          </w:p>
        </w:tc>
        <w:tc>
          <w:tcPr>
            <w:tcW w:w="283" w:type="dxa"/>
            <w:vAlign w:val="center"/>
          </w:tcPr>
          <w:p w:rsidR="0030599D" w:rsidRPr="000F5506" w:rsidRDefault="0030599D" w:rsidP="00E42971">
            <w:pPr>
              <w:pStyle w:val="Geenafstand"/>
              <w:rPr>
                <w:rFonts w:cs="TimesNewRomanPSMT"/>
                <w:sz w:val="18"/>
                <w:szCs w:val="18"/>
              </w:rPr>
            </w:pPr>
          </w:p>
        </w:tc>
        <w:tc>
          <w:tcPr>
            <w:tcW w:w="709" w:type="dxa"/>
          </w:tcPr>
          <w:p w:rsidR="0030599D" w:rsidRPr="00D47BCC" w:rsidRDefault="0030599D" w:rsidP="00E42971">
            <w:pPr>
              <w:pStyle w:val="Geenafstand"/>
              <w:rPr>
                <w:rFonts w:cs="Times New Roman"/>
                <w:sz w:val="18"/>
                <w:szCs w:val="18"/>
              </w:rPr>
            </w:pPr>
          </w:p>
        </w:tc>
        <w:tc>
          <w:tcPr>
            <w:tcW w:w="850" w:type="dxa"/>
            <w:vAlign w:val="center"/>
          </w:tcPr>
          <w:p w:rsidR="0030599D" w:rsidRPr="00D47BCC" w:rsidRDefault="0030599D" w:rsidP="00E42971">
            <w:pPr>
              <w:pStyle w:val="Geenafstand"/>
              <w:rPr>
                <w:sz w:val="18"/>
                <w:szCs w:val="18"/>
              </w:rPr>
            </w:pPr>
            <w:r>
              <w:rPr>
                <w:sz w:val="18"/>
                <w:szCs w:val="18"/>
              </w:rPr>
              <w:t>0</w:t>
            </w:r>
            <w:r w:rsidRPr="00D47BCC">
              <w:rPr>
                <w:sz w:val="18"/>
                <w:szCs w:val="18"/>
              </w:rPr>
              <w:t>,184</w:t>
            </w:r>
          </w:p>
        </w:tc>
        <w:tc>
          <w:tcPr>
            <w:tcW w:w="709" w:type="dxa"/>
            <w:vAlign w:val="center"/>
          </w:tcPr>
          <w:p w:rsidR="0030599D" w:rsidRPr="00D47BCC" w:rsidRDefault="0030599D" w:rsidP="00E42971">
            <w:pPr>
              <w:pStyle w:val="Geenafstand"/>
              <w:rPr>
                <w:sz w:val="18"/>
                <w:szCs w:val="18"/>
              </w:rPr>
            </w:pPr>
            <w:r>
              <w:rPr>
                <w:sz w:val="18"/>
                <w:szCs w:val="18"/>
              </w:rPr>
              <w:t>0</w:t>
            </w:r>
            <w:r w:rsidRPr="00D47BCC">
              <w:rPr>
                <w:sz w:val="18"/>
                <w:szCs w:val="18"/>
              </w:rPr>
              <w:t>,854</w:t>
            </w:r>
          </w:p>
        </w:tc>
      </w:tr>
      <w:tr w:rsidR="0030599D" w:rsidRPr="000F5506" w:rsidTr="00E42971">
        <w:tc>
          <w:tcPr>
            <w:tcW w:w="1242" w:type="dxa"/>
            <w:vAlign w:val="center"/>
          </w:tcPr>
          <w:p w:rsidR="0030599D" w:rsidRPr="000F5506" w:rsidRDefault="0030599D" w:rsidP="00E42971">
            <w:pPr>
              <w:pStyle w:val="Geenafstand"/>
              <w:rPr>
                <w:sz w:val="18"/>
                <w:szCs w:val="18"/>
              </w:rPr>
            </w:pPr>
            <w:r w:rsidRPr="000F5506">
              <w:rPr>
                <w:rFonts w:cs="TimesNewRomanPSMT"/>
                <w:sz w:val="18"/>
                <w:szCs w:val="18"/>
              </w:rPr>
              <w:t>Mkt_Ret</w:t>
            </w:r>
          </w:p>
        </w:tc>
        <w:tc>
          <w:tcPr>
            <w:tcW w:w="1134" w:type="dxa"/>
            <w:vAlign w:val="center"/>
          </w:tcPr>
          <w:p w:rsidR="0030599D" w:rsidRPr="000F5506" w:rsidRDefault="0030599D" w:rsidP="00E42971">
            <w:pPr>
              <w:pStyle w:val="Geenafstand"/>
              <w:rPr>
                <w:sz w:val="18"/>
                <w:szCs w:val="18"/>
              </w:rPr>
            </w:pPr>
          </w:p>
        </w:tc>
        <w:tc>
          <w:tcPr>
            <w:tcW w:w="284" w:type="dxa"/>
            <w:vAlign w:val="center"/>
          </w:tcPr>
          <w:p w:rsidR="0030599D" w:rsidRPr="000F5506" w:rsidRDefault="0030599D" w:rsidP="00E42971">
            <w:pPr>
              <w:pStyle w:val="Geenafstand"/>
              <w:rPr>
                <w:sz w:val="18"/>
                <w:szCs w:val="18"/>
              </w:rPr>
            </w:pPr>
            <w:r w:rsidRPr="000F5506">
              <w:rPr>
                <w:rFonts w:cs="TimesNewRomanPSMT"/>
                <w:sz w:val="18"/>
                <w:szCs w:val="18"/>
              </w:rPr>
              <w:t>+</w:t>
            </w:r>
          </w:p>
        </w:tc>
        <w:tc>
          <w:tcPr>
            <w:tcW w:w="850" w:type="dxa"/>
            <w:vAlign w:val="center"/>
          </w:tcPr>
          <w:p w:rsidR="0030599D" w:rsidRPr="000F5506" w:rsidRDefault="0030599D" w:rsidP="00E42971">
            <w:pPr>
              <w:pStyle w:val="Geenafstand"/>
              <w:rPr>
                <w:sz w:val="18"/>
                <w:szCs w:val="18"/>
              </w:rPr>
            </w:pPr>
            <w:r w:rsidRPr="000F5506">
              <w:rPr>
                <w:rFonts w:cs="TimesNewRomanPSMT"/>
                <w:sz w:val="18"/>
                <w:szCs w:val="18"/>
              </w:rPr>
              <w:t>1.0339</w:t>
            </w:r>
          </w:p>
        </w:tc>
        <w:tc>
          <w:tcPr>
            <w:tcW w:w="709" w:type="dxa"/>
            <w:vAlign w:val="center"/>
          </w:tcPr>
          <w:p w:rsidR="0030599D" w:rsidRPr="000F5506" w:rsidRDefault="0030599D" w:rsidP="00E42971">
            <w:pPr>
              <w:pStyle w:val="Geenafstand"/>
              <w:rPr>
                <w:sz w:val="18"/>
                <w:szCs w:val="18"/>
              </w:rPr>
            </w:pPr>
            <w:r w:rsidRPr="000F5506">
              <w:rPr>
                <w:rFonts w:cs="TimesNewRomanPSMT"/>
                <w:sz w:val="18"/>
                <w:szCs w:val="18"/>
              </w:rPr>
              <w:t>15.67</w:t>
            </w:r>
          </w:p>
        </w:tc>
        <w:tc>
          <w:tcPr>
            <w:tcW w:w="851" w:type="dxa"/>
            <w:tcBorders>
              <w:right w:val="single" w:sz="12" w:space="0" w:color="auto"/>
            </w:tcBorders>
            <w:vAlign w:val="center"/>
          </w:tcPr>
          <w:p w:rsidR="0030599D" w:rsidRPr="000F5506" w:rsidRDefault="0030599D" w:rsidP="00E42971">
            <w:pPr>
              <w:pStyle w:val="Geenafstand"/>
              <w:rPr>
                <w:b/>
                <w:sz w:val="18"/>
                <w:szCs w:val="18"/>
              </w:rPr>
            </w:pPr>
            <w:r w:rsidRPr="000F5506">
              <w:rPr>
                <w:rFonts w:cs="TimesNewRomanPSMT"/>
                <w:b/>
                <w:sz w:val="18"/>
                <w:szCs w:val="18"/>
              </w:rPr>
              <w:t>&lt;0.001</w:t>
            </w:r>
          </w:p>
        </w:tc>
        <w:tc>
          <w:tcPr>
            <w:tcW w:w="1134" w:type="dxa"/>
            <w:tcBorders>
              <w:lef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Rmt</w:t>
            </w:r>
          </w:p>
        </w:tc>
        <w:tc>
          <w:tcPr>
            <w:tcW w:w="1134" w:type="dxa"/>
            <w:vAlign w:val="center"/>
          </w:tcPr>
          <w:p w:rsidR="0030599D" w:rsidRPr="000F5506" w:rsidRDefault="0030599D" w:rsidP="00E42971">
            <w:pPr>
              <w:pStyle w:val="Geenafstand"/>
              <w:rPr>
                <w:rFonts w:cs="TimesNewRomanPSMT"/>
                <w:sz w:val="18"/>
                <w:szCs w:val="18"/>
              </w:rPr>
            </w:pPr>
          </w:p>
        </w:tc>
        <w:tc>
          <w:tcPr>
            <w:tcW w:w="283" w:type="dxa"/>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w:t>
            </w:r>
          </w:p>
        </w:tc>
        <w:tc>
          <w:tcPr>
            <w:tcW w:w="709" w:type="dxa"/>
            <w:vAlign w:val="center"/>
          </w:tcPr>
          <w:p w:rsidR="0030599D" w:rsidRPr="00D47BCC" w:rsidRDefault="0030599D" w:rsidP="00E42971">
            <w:pPr>
              <w:pStyle w:val="Geenafstand"/>
              <w:rPr>
                <w:sz w:val="18"/>
                <w:szCs w:val="18"/>
              </w:rPr>
            </w:pPr>
            <w:r>
              <w:rPr>
                <w:sz w:val="18"/>
                <w:szCs w:val="18"/>
              </w:rPr>
              <w:t>0</w:t>
            </w:r>
            <w:r w:rsidRPr="00D47BCC">
              <w:rPr>
                <w:sz w:val="18"/>
                <w:szCs w:val="18"/>
              </w:rPr>
              <w:t>,519</w:t>
            </w:r>
          </w:p>
        </w:tc>
        <w:tc>
          <w:tcPr>
            <w:tcW w:w="850" w:type="dxa"/>
            <w:vAlign w:val="center"/>
          </w:tcPr>
          <w:p w:rsidR="0030599D" w:rsidRPr="00D47BCC" w:rsidRDefault="0030599D" w:rsidP="00E42971">
            <w:pPr>
              <w:pStyle w:val="Geenafstand"/>
              <w:rPr>
                <w:sz w:val="18"/>
                <w:szCs w:val="18"/>
              </w:rPr>
            </w:pPr>
            <w:r w:rsidRPr="00D47BCC">
              <w:rPr>
                <w:sz w:val="18"/>
                <w:szCs w:val="18"/>
              </w:rPr>
              <w:t>108,825</w:t>
            </w:r>
          </w:p>
        </w:tc>
        <w:tc>
          <w:tcPr>
            <w:tcW w:w="709" w:type="dxa"/>
            <w:vAlign w:val="center"/>
          </w:tcPr>
          <w:p w:rsidR="0030599D" w:rsidRPr="00D47BCC" w:rsidRDefault="0030599D" w:rsidP="00E42971">
            <w:pPr>
              <w:pStyle w:val="Geenafstand"/>
              <w:rPr>
                <w:sz w:val="18"/>
                <w:szCs w:val="18"/>
              </w:rPr>
            </w:pPr>
            <w:r>
              <w:rPr>
                <w:sz w:val="18"/>
                <w:szCs w:val="18"/>
              </w:rPr>
              <w:t>0</w:t>
            </w:r>
            <w:r w:rsidRPr="00D47BCC">
              <w:rPr>
                <w:sz w:val="18"/>
                <w:szCs w:val="18"/>
              </w:rPr>
              <w:t>,000</w:t>
            </w:r>
          </w:p>
        </w:tc>
      </w:tr>
      <w:tr w:rsidR="0030599D" w:rsidRPr="000F5506" w:rsidTr="00E42971">
        <w:tc>
          <w:tcPr>
            <w:tcW w:w="1242" w:type="dxa"/>
            <w:vAlign w:val="center"/>
          </w:tcPr>
          <w:p w:rsidR="0030599D" w:rsidRPr="000F5506" w:rsidRDefault="0030599D" w:rsidP="00E42971">
            <w:pPr>
              <w:pStyle w:val="Geenafstand"/>
              <w:rPr>
                <w:sz w:val="18"/>
                <w:szCs w:val="18"/>
              </w:rPr>
            </w:pPr>
            <w:r w:rsidRPr="000F5506">
              <w:rPr>
                <w:rFonts w:cs="TimesNewRomanPSMT"/>
                <w:sz w:val="18"/>
                <w:szCs w:val="18"/>
              </w:rPr>
              <w:t>ΔT-Bill</w:t>
            </w:r>
          </w:p>
        </w:tc>
        <w:tc>
          <w:tcPr>
            <w:tcW w:w="1134" w:type="dxa"/>
            <w:vAlign w:val="center"/>
          </w:tcPr>
          <w:p w:rsidR="0030599D" w:rsidRPr="000F5506" w:rsidRDefault="0030599D" w:rsidP="00E42971">
            <w:pPr>
              <w:pStyle w:val="Geenafstand"/>
              <w:rPr>
                <w:sz w:val="18"/>
                <w:szCs w:val="18"/>
              </w:rPr>
            </w:pPr>
          </w:p>
        </w:tc>
        <w:tc>
          <w:tcPr>
            <w:tcW w:w="284" w:type="dxa"/>
            <w:vAlign w:val="center"/>
          </w:tcPr>
          <w:p w:rsidR="0030599D" w:rsidRPr="000F5506" w:rsidRDefault="0030599D" w:rsidP="00E42971">
            <w:pPr>
              <w:pStyle w:val="Geenafstand"/>
              <w:rPr>
                <w:sz w:val="18"/>
                <w:szCs w:val="18"/>
              </w:rPr>
            </w:pPr>
            <w:r w:rsidRPr="000F5506">
              <w:rPr>
                <w:sz w:val="18"/>
                <w:szCs w:val="18"/>
              </w:rPr>
              <w:t>-</w:t>
            </w:r>
          </w:p>
        </w:tc>
        <w:tc>
          <w:tcPr>
            <w:tcW w:w="850" w:type="dxa"/>
            <w:vAlign w:val="center"/>
          </w:tcPr>
          <w:p w:rsidR="0030599D" w:rsidRPr="000F5506" w:rsidRDefault="0030599D" w:rsidP="00E42971">
            <w:pPr>
              <w:pStyle w:val="Geenafstand"/>
              <w:rPr>
                <w:sz w:val="18"/>
                <w:szCs w:val="18"/>
              </w:rPr>
            </w:pPr>
            <w:r w:rsidRPr="000F5506">
              <w:rPr>
                <w:rFonts w:cs="TimesNewRomanPSMT"/>
                <w:sz w:val="18"/>
                <w:szCs w:val="18"/>
              </w:rPr>
              <w:t>-0.0174</w:t>
            </w:r>
          </w:p>
        </w:tc>
        <w:tc>
          <w:tcPr>
            <w:tcW w:w="709" w:type="dxa"/>
            <w:vAlign w:val="center"/>
          </w:tcPr>
          <w:p w:rsidR="0030599D" w:rsidRPr="000F5506" w:rsidRDefault="0030599D" w:rsidP="00E42971">
            <w:pPr>
              <w:pStyle w:val="Geenafstand"/>
              <w:rPr>
                <w:sz w:val="18"/>
                <w:szCs w:val="18"/>
              </w:rPr>
            </w:pPr>
            <w:r w:rsidRPr="000F5506">
              <w:rPr>
                <w:rFonts w:cs="TimesNewRomanPSMT"/>
                <w:sz w:val="18"/>
                <w:szCs w:val="18"/>
              </w:rPr>
              <w:t>-1.23</w:t>
            </w:r>
          </w:p>
        </w:tc>
        <w:tc>
          <w:tcPr>
            <w:tcW w:w="851" w:type="dxa"/>
            <w:tcBorders>
              <w:righ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0.111</w:t>
            </w:r>
          </w:p>
        </w:tc>
        <w:tc>
          <w:tcPr>
            <w:tcW w:w="1134" w:type="dxa"/>
            <w:tcBorders>
              <w:lef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Intt</w:t>
            </w:r>
          </w:p>
        </w:tc>
        <w:tc>
          <w:tcPr>
            <w:tcW w:w="1134" w:type="dxa"/>
            <w:vAlign w:val="center"/>
          </w:tcPr>
          <w:p w:rsidR="0030599D" w:rsidRPr="000F5506" w:rsidRDefault="0030599D" w:rsidP="00E42971">
            <w:pPr>
              <w:pStyle w:val="Geenafstand"/>
              <w:rPr>
                <w:rFonts w:cs="TimesNewRomanPSMT"/>
                <w:sz w:val="18"/>
                <w:szCs w:val="18"/>
              </w:rPr>
            </w:pPr>
          </w:p>
        </w:tc>
        <w:tc>
          <w:tcPr>
            <w:tcW w:w="283" w:type="dxa"/>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w:t>
            </w:r>
          </w:p>
        </w:tc>
        <w:tc>
          <w:tcPr>
            <w:tcW w:w="709" w:type="dxa"/>
            <w:vAlign w:val="center"/>
          </w:tcPr>
          <w:p w:rsidR="0030599D" w:rsidRPr="00D47BCC" w:rsidRDefault="0030599D" w:rsidP="00E42971">
            <w:pPr>
              <w:pStyle w:val="Geenafstand"/>
              <w:rPr>
                <w:sz w:val="18"/>
                <w:szCs w:val="18"/>
              </w:rPr>
            </w:pPr>
            <w:r>
              <w:rPr>
                <w:sz w:val="18"/>
                <w:szCs w:val="18"/>
              </w:rPr>
              <w:t>0</w:t>
            </w:r>
            <w:r w:rsidRPr="00D47BCC">
              <w:rPr>
                <w:sz w:val="18"/>
                <w:szCs w:val="18"/>
              </w:rPr>
              <w:t>,004</w:t>
            </w:r>
          </w:p>
        </w:tc>
        <w:tc>
          <w:tcPr>
            <w:tcW w:w="850" w:type="dxa"/>
            <w:vAlign w:val="center"/>
          </w:tcPr>
          <w:p w:rsidR="0030599D" w:rsidRPr="00D47BCC" w:rsidRDefault="0030599D" w:rsidP="00E42971">
            <w:pPr>
              <w:pStyle w:val="Geenafstand"/>
              <w:rPr>
                <w:sz w:val="18"/>
                <w:szCs w:val="18"/>
              </w:rPr>
            </w:pPr>
            <w:r>
              <w:rPr>
                <w:sz w:val="18"/>
                <w:szCs w:val="18"/>
              </w:rPr>
              <w:t>0</w:t>
            </w:r>
            <w:r w:rsidRPr="00D47BCC">
              <w:rPr>
                <w:sz w:val="18"/>
                <w:szCs w:val="18"/>
              </w:rPr>
              <w:t>,741</w:t>
            </w:r>
          </w:p>
        </w:tc>
        <w:tc>
          <w:tcPr>
            <w:tcW w:w="709" w:type="dxa"/>
            <w:vAlign w:val="center"/>
          </w:tcPr>
          <w:p w:rsidR="0030599D" w:rsidRPr="00D47BCC" w:rsidRDefault="0030599D" w:rsidP="00E42971">
            <w:pPr>
              <w:pStyle w:val="Geenafstand"/>
              <w:rPr>
                <w:sz w:val="18"/>
                <w:szCs w:val="18"/>
              </w:rPr>
            </w:pPr>
            <w:r>
              <w:rPr>
                <w:sz w:val="18"/>
                <w:szCs w:val="18"/>
              </w:rPr>
              <w:t>0</w:t>
            </w:r>
            <w:r w:rsidRPr="00D47BCC">
              <w:rPr>
                <w:sz w:val="18"/>
                <w:szCs w:val="18"/>
              </w:rPr>
              <w:t>,458</w:t>
            </w:r>
          </w:p>
        </w:tc>
      </w:tr>
      <w:tr w:rsidR="0030599D" w:rsidRPr="000F5506" w:rsidTr="00E42971">
        <w:tc>
          <w:tcPr>
            <w:tcW w:w="1242" w:type="dxa"/>
            <w:vAlign w:val="center"/>
          </w:tcPr>
          <w:p w:rsidR="0030599D" w:rsidRPr="000F5506" w:rsidRDefault="0030599D" w:rsidP="00E42971">
            <w:pPr>
              <w:pStyle w:val="Geenafstand"/>
              <w:rPr>
                <w:sz w:val="18"/>
                <w:szCs w:val="18"/>
              </w:rPr>
            </w:pPr>
            <w:r>
              <w:rPr>
                <w:rFonts w:cs="TimesNewRomanPSMT"/>
                <w:sz w:val="18"/>
                <w:szCs w:val="18"/>
              </w:rPr>
              <w:t>FV_Window</w:t>
            </w:r>
            <w:r w:rsidRPr="000F5506">
              <w:rPr>
                <w:rFonts w:cs="TimesNewRomanPSMT"/>
                <w:sz w:val="18"/>
                <w:szCs w:val="18"/>
              </w:rPr>
              <w:t>1</w:t>
            </w:r>
          </w:p>
        </w:tc>
        <w:tc>
          <w:tcPr>
            <w:tcW w:w="1134" w:type="dxa"/>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9/27/08 to</w:t>
            </w:r>
          </w:p>
          <w:p w:rsidR="0030599D" w:rsidRPr="000F5506" w:rsidRDefault="0030599D" w:rsidP="00E42971">
            <w:pPr>
              <w:pStyle w:val="Geenafstand"/>
              <w:rPr>
                <w:sz w:val="18"/>
                <w:szCs w:val="18"/>
              </w:rPr>
            </w:pPr>
            <w:r w:rsidRPr="000F5506">
              <w:rPr>
                <w:rFonts w:cs="TimesNewRomanPSMT"/>
                <w:sz w:val="18"/>
                <w:szCs w:val="18"/>
              </w:rPr>
              <w:t>10/4/08</w:t>
            </w:r>
          </w:p>
        </w:tc>
        <w:tc>
          <w:tcPr>
            <w:tcW w:w="284" w:type="dxa"/>
            <w:vAlign w:val="center"/>
          </w:tcPr>
          <w:p w:rsidR="0030599D" w:rsidRPr="000F5506" w:rsidRDefault="0030599D" w:rsidP="00E42971">
            <w:pPr>
              <w:pStyle w:val="Geenafstand"/>
              <w:rPr>
                <w:sz w:val="18"/>
                <w:szCs w:val="18"/>
              </w:rPr>
            </w:pPr>
            <w:r w:rsidRPr="000F5506">
              <w:rPr>
                <w:rFonts w:cs="TimesNewRomanPSMT"/>
                <w:sz w:val="18"/>
                <w:szCs w:val="18"/>
              </w:rPr>
              <w:t>+</w:t>
            </w:r>
          </w:p>
        </w:tc>
        <w:tc>
          <w:tcPr>
            <w:tcW w:w="850" w:type="dxa"/>
            <w:vAlign w:val="center"/>
          </w:tcPr>
          <w:p w:rsidR="0030599D" w:rsidRPr="000F5506" w:rsidRDefault="0030599D" w:rsidP="00E42971">
            <w:pPr>
              <w:pStyle w:val="Geenafstand"/>
              <w:rPr>
                <w:sz w:val="18"/>
                <w:szCs w:val="18"/>
              </w:rPr>
            </w:pPr>
            <w:r w:rsidRPr="000F5506">
              <w:rPr>
                <w:rFonts w:cs="TimesNewRomanPSMT"/>
                <w:sz w:val="18"/>
                <w:szCs w:val="18"/>
              </w:rPr>
              <w:t>0.0144</w:t>
            </w:r>
          </w:p>
        </w:tc>
        <w:tc>
          <w:tcPr>
            <w:tcW w:w="709" w:type="dxa"/>
            <w:vAlign w:val="center"/>
          </w:tcPr>
          <w:p w:rsidR="0030599D" w:rsidRPr="000F5506" w:rsidRDefault="0030599D" w:rsidP="00E42971">
            <w:pPr>
              <w:pStyle w:val="Geenafstand"/>
              <w:rPr>
                <w:sz w:val="18"/>
                <w:szCs w:val="18"/>
              </w:rPr>
            </w:pPr>
            <w:r w:rsidRPr="000F5506">
              <w:rPr>
                <w:rFonts w:cs="TimesNewRomanPSMT"/>
                <w:sz w:val="18"/>
                <w:szCs w:val="18"/>
              </w:rPr>
              <w:t>2.75</w:t>
            </w:r>
          </w:p>
        </w:tc>
        <w:tc>
          <w:tcPr>
            <w:tcW w:w="851" w:type="dxa"/>
            <w:tcBorders>
              <w:right w:val="single" w:sz="12" w:space="0" w:color="auto"/>
            </w:tcBorders>
            <w:vAlign w:val="center"/>
          </w:tcPr>
          <w:p w:rsidR="0030599D" w:rsidRPr="000F5506" w:rsidRDefault="0030599D" w:rsidP="00E42971">
            <w:pPr>
              <w:pStyle w:val="Geenafstand"/>
              <w:rPr>
                <w:sz w:val="18"/>
                <w:szCs w:val="18"/>
              </w:rPr>
            </w:pPr>
            <w:r w:rsidRPr="000F5506">
              <w:rPr>
                <w:b/>
                <w:sz w:val="18"/>
                <w:szCs w:val="18"/>
              </w:rPr>
              <w:t>0.003</w:t>
            </w:r>
          </w:p>
        </w:tc>
        <w:tc>
          <w:tcPr>
            <w:tcW w:w="1134" w:type="dxa"/>
            <w:tcBorders>
              <w:lef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E_Window1</w:t>
            </w:r>
          </w:p>
        </w:tc>
        <w:tc>
          <w:tcPr>
            <w:tcW w:w="1134" w:type="dxa"/>
            <w:vAlign w:val="center"/>
          </w:tcPr>
          <w:p w:rsidR="0030599D" w:rsidRPr="000F5506" w:rsidRDefault="0030599D" w:rsidP="00E42971">
            <w:pPr>
              <w:pStyle w:val="Geenafstand"/>
              <w:rPr>
                <w:sz w:val="18"/>
                <w:szCs w:val="18"/>
              </w:rPr>
            </w:pPr>
            <w:r>
              <w:rPr>
                <w:sz w:val="18"/>
                <w:szCs w:val="18"/>
              </w:rPr>
              <w:t>4/4/08 to 4/8/08</w:t>
            </w:r>
          </w:p>
        </w:tc>
        <w:tc>
          <w:tcPr>
            <w:tcW w:w="283" w:type="dxa"/>
            <w:vAlign w:val="center"/>
          </w:tcPr>
          <w:p w:rsidR="0030599D" w:rsidRPr="000F5506" w:rsidRDefault="0030599D" w:rsidP="00E42971">
            <w:pPr>
              <w:pStyle w:val="Geenafstand"/>
              <w:rPr>
                <w:sz w:val="18"/>
                <w:szCs w:val="18"/>
              </w:rPr>
            </w:pPr>
            <w:r w:rsidRPr="000F5506">
              <w:rPr>
                <w:sz w:val="18"/>
                <w:szCs w:val="18"/>
              </w:rPr>
              <w:t>+</w:t>
            </w:r>
          </w:p>
        </w:tc>
        <w:tc>
          <w:tcPr>
            <w:tcW w:w="709" w:type="dxa"/>
            <w:vAlign w:val="center"/>
          </w:tcPr>
          <w:p w:rsidR="0030599D" w:rsidRPr="00D47BCC" w:rsidRDefault="0030599D" w:rsidP="00E42971">
            <w:pPr>
              <w:pStyle w:val="Geenafstand"/>
              <w:rPr>
                <w:sz w:val="18"/>
                <w:szCs w:val="18"/>
              </w:rPr>
            </w:pPr>
            <w:r w:rsidRPr="00D47BCC">
              <w:rPr>
                <w:sz w:val="18"/>
                <w:szCs w:val="18"/>
              </w:rPr>
              <w:t>-</w:t>
            </w:r>
            <w:r>
              <w:rPr>
                <w:sz w:val="18"/>
                <w:szCs w:val="18"/>
              </w:rPr>
              <w:t>0</w:t>
            </w:r>
            <w:r w:rsidRPr="00D47BCC">
              <w:rPr>
                <w:sz w:val="18"/>
                <w:szCs w:val="18"/>
              </w:rPr>
              <w:t>,003</w:t>
            </w:r>
          </w:p>
        </w:tc>
        <w:tc>
          <w:tcPr>
            <w:tcW w:w="850" w:type="dxa"/>
            <w:vAlign w:val="center"/>
          </w:tcPr>
          <w:p w:rsidR="0030599D" w:rsidRPr="00D47BCC" w:rsidRDefault="0030599D" w:rsidP="00E42971">
            <w:pPr>
              <w:pStyle w:val="Geenafstand"/>
              <w:rPr>
                <w:sz w:val="18"/>
                <w:szCs w:val="18"/>
              </w:rPr>
            </w:pPr>
            <w:r w:rsidRPr="00D47BCC">
              <w:rPr>
                <w:sz w:val="18"/>
                <w:szCs w:val="18"/>
              </w:rPr>
              <w:t>-</w:t>
            </w:r>
            <w:r>
              <w:rPr>
                <w:sz w:val="18"/>
                <w:szCs w:val="18"/>
              </w:rPr>
              <w:t>0</w:t>
            </w:r>
            <w:r w:rsidRPr="00D47BCC">
              <w:rPr>
                <w:sz w:val="18"/>
                <w:szCs w:val="18"/>
              </w:rPr>
              <w:t>,702</w:t>
            </w:r>
          </w:p>
        </w:tc>
        <w:tc>
          <w:tcPr>
            <w:tcW w:w="709" w:type="dxa"/>
            <w:vAlign w:val="center"/>
          </w:tcPr>
          <w:p w:rsidR="0030599D" w:rsidRPr="00D47BCC" w:rsidRDefault="0030599D" w:rsidP="00E42971">
            <w:pPr>
              <w:pStyle w:val="Geenafstand"/>
              <w:rPr>
                <w:sz w:val="18"/>
                <w:szCs w:val="18"/>
              </w:rPr>
            </w:pPr>
            <w:r>
              <w:rPr>
                <w:sz w:val="18"/>
                <w:szCs w:val="18"/>
              </w:rPr>
              <w:t>0</w:t>
            </w:r>
            <w:r w:rsidRPr="00D47BCC">
              <w:rPr>
                <w:sz w:val="18"/>
                <w:szCs w:val="18"/>
              </w:rPr>
              <w:t>,483</w:t>
            </w:r>
          </w:p>
        </w:tc>
      </w:tr>
      <w:tr w:rsidR="0030599D" w:rsidRPr="000F5506" w:rsidTr="00E42971">
        <w:tc>
          <w:tcPr>
            <w:tcW w:w="1242" w:type="dxa"/>
            <w:shd w:val="clear" w:color="auto" w:fill="FFC000"/>
            <w:vAlign w:val="center"/>
          </w:tcPr>
          <w:p w:rsidR="0030599D" w:rsidRPr="000F5506" w:rsidRDefault="0030599D" w:rsidP="00E42971">
            <w:pPr>
              <w:pStyle w:val="Geenafstand"/>
              <w:rPr>
                <w:sz w:val="18"/>
                <w:szCs w:val="18"/>
              </w:rPr>
            </w:pPr>
            <w:r>
              <w:rPr>
                <w:rFonts w:cs="TimesNewRomanPSMT"/>
                <w:sz w:val="18"/>
                <w:szCs w:val="18"/>
              </w:rPr>
              <w:t>FV_Window</w:t>
            </w:r>
            <w:r w:rsidRPr="000F5506">
              <w:rPr>
                <w:rFonts w:cs="TimesNewRomanPSMT"/>
                <w:sz w:val="18"/>
                <w:szCs w:val="18"/>
              </w:rPr>
              <w:t>2</w:t>
            </w:r>
          </w:p>
        </w:tc>
        <w:tc>
          <w:tcPr>
            <w:tcW w:w="1134" w:type="dxa"/>
            <w:shd w:val="clear" w:color="auto" w:fill="FFC000"/>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10/12/08 to</w:t>
            </w:r>
          </w:p>
          <w:p w:rsidR="0030599D" w:rsidRPr="000F5506" w:rsidRDefault="0030599D" w:rsidP="00E42971">
            <w:pPr>
              <w:pStyle w:val="Geenafstand"/>
              <w:rPr>
                <w:sz w:val="18"/>
                <w:szCs w:val="18"/>
              </w:rPr>
            </w:pPr>
            <w:r w:rsidRPr="000F5506">
              <w:rPr>
                <w:rFonts w:cs="TimesNewRomanPSMT"/>
                <w:sz w:val="18"/>
                <w:szCs w:val="18"/>
              </w:rPr>
              <w:t>10/16/08</w:t>
            </w:r>
          </w:p>
        </w:tc>
        <w:tc>
          <w:tcPr>
            <w:tcW w:w="284" w:type="dxa"/>
            <w:shd w:val="clear" w:color="auto" w:fill="FFC000"/>
            <w:vAlign w:val="center"/>
          </w:tcPr>
          <w:p w:rsidR="0030599D" w:rsidRPr="000F5506" w:rsidRDefault="0030599D" w:rsidP="00E42971">
            <w:pPr>
              <w:pStyle w:val="Geenafstand"/>
              <w:rPr>
                <w:sz w:val="18"/>
                <w:szCs w:val="18"/>
              </w:rPr>
            </w:pPr>
            <w:r w:rsidRPr="000F5506">
              <w:rPr>
                <w:rFonts w:cs="TimesNewRomanPSMT"/>
                <w:sz w:val="18"/>
                <w:szCs w:val="18"/>
              </w:rPr>
              <w:t>+</w:t>
            </w:r>
          </w:p>
        </w:tc>
        <w:tc>
          <w:tcPr>
            <w:tcW w:w="850" w:type="dxa"/>
            <w:shd w:val="clear" w:color="auto" w:fill="FFC000"/>
            <w:vAlign w:val="center"/>
          </w:tcPr>
          <w:p w:rsidR="0030599D" w:rsidRPr="000F5506" w:rsidRDefault="0030599D" w:rsidP="00E42971">
            <w:pPr>
              <w:pStyle w:val="Geenafstand"/>
              <w:rPr>
                <w:sz w:val="18"/>
                <w:szCs w:val="18"/>
              </w:rPr>
            </w:pPr>
            <w:r w:rsidRPr="000F5506">
              <w:rPr>
                <w:rFonts w:cs="TimesNewRomanPSMT"/>
                <w:sz w:val="18"/>
                <w:szCs w:val="18"/>
              </w:rPr>
              <w:t>0.0078</w:t>
            </w:r>
          </w:p>
        </w:tc>
        <w:tc>
          <w:tcPr>
            <w:tcW w:w="709" w:type="dxa"/>
            <w:shd w:val="clear" w:color="auto" w:fill="FFC000"/>
            <w:vAlign w:val="center"/>
          </w:tcPr>
          <w:p w:rsidR="0030599D" w:rsidRPr="000F5506" w:rsidRDefault="0030599D" w:rsidP="00E42971">
            <w:pPr>
              <w:pStyle w:val="Geenafstand"/>
              <w:rPr>
                <w:sz w:val="18"/>
                <w:szCs w:val="18"/>
              </w:rPr>
            </w:pPr>
            <w:r w:rsidRPr="000F5506">
              <w:rPr>
                <w:rFonts w:cs="TimesNewRomanPSMT"/>
                <w:sz w:val="18"/>
                <w:szCs w:val="18"/>
              </w:rPr>
              <w:t>0.46</w:t>
            </w:r>
          </w:p>
        </w:tc>
        <w:tc>
          <w:tcPr>
            <w:tcW w:w="851" w:type="dxa"/>
            <w:tcBorders>
              <w:right w:val="single" w:sz="12" w:space="0" w:color="auto"/>
            </w:tcBorders>
            <w:shd w:val="clear" w:color="auto" w:fill="FFC000"/>
            <w:vAlign w:val="center"/>
          </w:tcPr>
          <w:p w:rsidR="0030599D" w:rsidRPr="000F5506" w:rsidRDefault="0030599D" w:rsidP="00E42971">
            <w:pPr>
              <w:pStyle w:val="Geenafstand"/>
              <w:rPr>
                <w:sz w:val="18"/>
                <w:szCs w:val="18"/>
              </w:rPr>
            </w:pPr>
            <w:r w:rsidRPr="000F5506">
              <w:rPr>
                <w:rFonts w:cs="TimesNewRomanPSMT"/>
                <w:sz w:val="18"/>
                <w:szCs w:val="18"/>
              </w:rPr>
              <w:t>0.323</w:t>
            </w:r>
          </w:p>
        </w:tc>
        <w:tc>
          <w:tcPr>
            <w:tcW w:w="1134" w:type="dxa"/>
            <w:tcBorders>
              <w:lef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E_Window2</w:t>
            </w:r>
          </w:p>
        </w:tc>
        <w:tc>
          <w:tcPr>
            <w:tcW w:w="1134" w:type="dxa"/>
            <w:vAlign w:val="center"/>
          </w:tcPr>
          <w:p w:rsidR="0030599D" w:rsidRPr="000F5506" w:rsidRDefault="0030599D" w:rsidP="00E42971">
            <w:pPr>
              <w:pStyle w:val="Geenafstand"/>
              <w:rPr>
                <w:sz w:val="18"/>
                <w:szCs w:val="18"/>
              </w:rPr>
            </w:pPr>
            <w:r>
              <w:rPr>
                <w:sz w:val="18"/>
                <w:szCs w:val="18"/>
              </w:rPr>
              <w:t>5/19/08 to 5/21/08</w:t>
            </w:r>
          </w:p>
        </w:tc>
        <w:tc>
          <w:tcPr>
            <w:tcW w:w="283" w:type="dxa"/>
            <w:vAlign w:val="center"/>
          </w:tcPr>
          <w:p w:rsidR="0030599D" w:rsidRPr="000F5506" w:rsidRDefault="0030599D" w:rsidP="00E42971">
            <w:pPr>
              <w:pStyle w:val="Geenafstand"/>
              <w:rPr>
                <w:sz w:val="18"/>
                <w:szCs w:val="18"/>
              </w:rPr>
            </w:pPr>
            <w:r w:rsidRPr="000F5506">
              <w:rPr>
                <w:sz w:val="18"/>
                <w:szCs w:val="18"/>
              </w:rPr>
              <w:t>+</w:t>
            </w:r>
          </w:p>
        </w:tc>
        <w:tc>
          <w:tcPr>
            <w:tcW w:w="709" w:type="dxa"/>
            <w:vAlign w:val="center"/>
          </w:tcPr>
          <w:p w:rsidR="0030599D" w:rsidRPr="00C14EA1" w:rsidRDefault="0030599D" w:rsidP="00E42971">
            <w:pPr>
              <w:pStyle w:val="Geenafstand"/>
              <w:rPr>
                <w:sz w:val="18"/>
                <w:szCs w:val="18"/>
              </w:rPr>
            </w:pPr>
            <w:r w:rsidRPr="00C14EA1">
              <w:rPr>
                <w:sz w:val="18"/>
                <w:szCs w:val="18"/>
              </w:rPr>
              <w:t>-0,009</w:t>
            </w:r>
          </w:p>
        </w:tc>
        <w:tc>
          <w:tcPr>
            <w:tcW w:w="850" w:type="dxa"/>
            <w:vAlign w:val="center"/>
          </w:tcPr>
          <w:p w:rsidR="0030599D" w:rsidRPr="00C14EA1" w:rsidRDefault="0030599D" w:rsidP="00E42971">
            <w:pPr>
              <w:pStyle w:val="Geenafstand"/>
              <w:rPr>
                <w:sz w:val="18"/>
                <w:szCs w:val="18"/>
              </w:rPr>
            </w:pPr>
            <w:r w:rsidRPr="00C14EA1">
              <w:rPr>
                <w:sz w:val="18"/>
                <w:szCs w:val="18"/>
              </w:rPr>
              <w:t>-1,905</w:t>
            </w:r>
          </w:p>
        </w:tc>
        <w:tc>
          <w:tcPr>
            <w:tcW w:w="709" w:type="dxa"/>
            <w:vAlign w:val="center"/>
          </w:tcPr>
          <w:p w:rsidR="0030599D" w:rsidRPr="00152530" w:rsidRDefault="0030599D" w:rsidP="00E42971">
            <w:pPr>
              <w:pStyle w:val="Geenafstand"/>
              <w:rPr>
                <w:b/>
                <w:sz w:val="18"/>
                <w:szCs w:val="18"/>
              </w:rPr>
            </w:pPr>
            <w:r>
              <w:rPr>
                <w:b/>
                <w:sz w:val="18"/>
                <w:szCs w:val="18"/>
              </w:rPr>
              <w:t>0</w:t>
            </w:r>
            <w:r w:rsidRPr="00152530">
              <w:rPr>
                <w:b/>
                <w:sz w:val="18"/>
                <w:szCs w:val="18"/>
              </w:rPr>
              <w:t>,057</w:t>
            </w:r>
          </w:p>
        </w:tc>
      </w:tr>
      <w:tr w:rsidR="0030599D" w:rsidRPr="000F5506" w:rsidTr="00E42971">
        <w:tc>
          <w:tcPr>
            <w:tcW w:w="1242" w:type="dxa"/>
            <w:vAlign w:val="center"/>
          </w:tcPr>
          <w:p w:rsidR="0030599D" w:rsidRPr="000F5506" w:rsidRDefault="0030599D" w:rsidP="00E42971">
            <w:pPr>
              <w:pStyle w:val="Geenafstand"/>
              <w:rPr>
                <w:sz w:val="18"/>
                <w:szCs w:val="18"/>
              </w:rPr>
            </w:pPr>
            <w:r>
              <w:rPr>
                <w:rFonts w:cs="TimesNewRomanPSMT"/>
                <w:sz w:val="18"/>
                <w:szCs w:val="18"/>
              </w:rPr>
              <w:t>FV_Window</w:t>
            </w:r>
            <w:r w:rsidRPr="000F5506">
              <w:rPr>
                <w:rFonts w:cs="TimesNewRomanPSMT"/>
                <w:sz w:val="18"/>
                <w:szCs w:val="18"/>
              </w:rPr>
              <w:t>3</w:t>
            </w:r>
          </w:p>
        </w:tc>
        <w:tc>
          <w:tcPr>
            <w:tcW w:w="1134" w:type="dxa"/>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10/28/08 to</w:t>
            </w:r>
          </w:p>
          <w:p w:rsidR="0030599D" w:rsidRPr="000F5506" w:rsidRDefault="0030599D" w:rsidP="00E42971">
            <w:pPr>
              <w:pStyle w:val="Geenafstand"/>
              <w:rPr>
                <w:sz w:val="18"/>
                <w:szCs w:val="18"/>
              </w:rPr>
            </w:pPr>
            <w:r w:rsidRPr="000F5506">
              <w:rPr>
                <w:rFonts w:cs="TimesNewRomanPSMT"/>
                <w:sz w:val="18"/>
                <w:szCs w:val="18"/>
              </w:rPr>
              <w:t>10/30/08</w:t>
            </w:r>
          </w:p>
        </w:tc>
        <w:tc>
          <w:tcPr>
            <w:tcW w:w="284" w:type="dxa"/>
            <w:vAlign w:val="center"/>
          </w:tcPr>
          <w:p w:rsidR="0030599D" w:rsidRPr="000F5506" w:rsidRDefault="0030599D" w:rsidP="00E42971">
            <w:pPr>
              <w:pStyle w:val="Geenafstand"/>
              <w:rPr>
                <w:sz w:val="18"/>
                <w:szCs w:val="18"/>
              </w:rPr>
            </w:pPr>
            <w:r w:rsidRPr="000F5506">
              <w:rPr>
                <w:rFonts w:cs="TimesNewRomanPSMT"/>
                <w:sz w:val="18"/>
                <w:szCs w:val="18"/>
              </w:rPr>
              <w:t>-</w:t>
            </w:r>
          </w:p>
        </w:tc>
        <w:tc>
          <w:tcPr>
            <w:tcW w:w="850" w:type="dxa"/>
            <w:vAlign w:val="center"/>
          </w:tcPr>
          <w:p w:rsidR="0030599D" w:rsidRPr="000F5506" w:rsidRDefault="0030599D" w:rsidP="00E42971">
            <w:pPr>
              <w:pStyle w:val="Geenafstand"/>
              <w:rPr>
                <w:sz w:val="18"/>
                <w:szCs w:val="18"/>
              </w:rPr>
            </w:pPr>
            <w:r w:rsidRPr="000F5506">
              <w:rPr>
                <w:rFonts w:cs="TimesNewRomanPSMT"/>
                <w:sz w:val="18"/>
                <w:szCs w:val="18"/>
              </w:rPr>
              <w:t>-0.0109</w:t>
            </w:r>
          </w:p>
        </w:tc>
        <w:tc>
          <w:tcPr>
            <w:tcW w:w="709" w:type="dxa"/>
            <w:vAlign w:val="center"/>
          </w:tcPr>
          <w:p w:rsidR="0030599D" w:rsidRPr="000F5506" w:rsidRDefault="0030599D" w:rsidP="00E42971">
            <w:pPr>
              <w:pStyle w:val="Geenafstand"/>
              <w:rPr>
                <w:sz w:val="18"/>
                <w:szCs w:val="18"/>
              </w:rPr>
            </w:pPr>
            <w:r w:rsidRPr="000F5506">
              <w:rPr>
                <w:rFonts w:cs="TimesNewRomanPSMT"/>
                <w:sz w:val="18"/>
                <w:szCs w:val="18"/>
              </w:rPr>
              <w:t>-1.24</w:t>
            </w:r>
          </w:p>
        </w:tc>
        <w:tc>
          <w:tcPr>
            <w:tcW w:w="851" w:type="dxa"/>
            <w:tcBorders>
              <w:righ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0.108</w:t>
            </w:r>
          </w:p>
        </w:tc>
        <w:tc>
          <w:tcPr>
            <w:tcW w:w="1134" w:type="dxa"/>
            <w:tcBorders>
              <w:lef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E_Window3</w:t>
            </w:r>
          </w:p>
        </w:tc>
        <w:tc>
          <w:tcPr>
            <w:tcW w:w="1134" w:type="dxa"/>
            <w:vAlign w:val="center"/>
          </w:tcPr>
          <w:p w:rsidR="0030599D" w:rsidRPr="000F5506" w:rsidRDefault="0030599D" w:rsidP="00E42971">
            <w:pPr>
              <w:pStyle w:val="Geenafstand"/>
              <w:rPr>
                <w:sz w:val="18"/>
                <w:szCs w:val="18"/>
              </w:rPr>
            </w:pPr>
            <w:r>
              <w:rPr>
                <w:sz w:val="18"/>
                <w:szCs w:val="18"/>
              </w:rPr>
              <w:t>9/15/08 to 9/17/08</w:t>
            </w:r>
          </w:p>
        </w:tc>
        <w:tc>
          <w:tcPr>
            <w:tcW w:w="283" w:type="dxa"/>
            <w:vAlign w:val="center"/>
          </w:tcPr>
          <w:p w:rsidR="0030599D" w:rsidRPr="000F5506" w:rsidRDefault="0030599D" w:rsidP="00E42971">
            <w:pPr>
              <w:pStyle w:val="Geenafstand"/>
              <w:rPr>
                <w:sz w:val="18"/>
                <w:szCs w:val="18"/>
              </w:rPr>
            </w:pPr>
            <w:r w:rsidRPr="000F5506">
              <w:rPr>
                <w:sz w:val="18"/>
                <w:szCs w:val="18"/>
              </w:rPr>
              <w:t>+</w:t>
            </w:r>
          </w:p>
        </w:tc>
        <w:tc>
          <w:tcPr>
            <w:tcW w:w="709" w:type="dxa"/>
            <w:vAlign w:val="center"/>
          </w:tcPr>
          <w:p w:rsidR="0030599D" w:rsidRPr="00D47BCC" w:rsidRDefault="0030599D" w:rsidP="00E42971">
            <w:pPr>
              <w:pStyle w:val="Geenafstand"/>
              <w:rPr>
                <w:sz w:val="18"/>
                <w:szCs w:val="18"/>
              </w:rPr>
            </w:pPr>
            <w:r w:rsidRPr="00D47BCC">
              <w:rPr>
                <w:sz w:val="18"/>
                <w:szCs w:val="18"/>
              </w:rPr>
              <w:t>-</w:t>
            </w:r>
            <w:r>
              <w:rPr>
                <w:sz w:val="18"/>
                <w:szCs w:val="18"/>
              </w:rPr>
              <w:t>0</w:t>
            </w:r>
            <w:r w:rsidRPr="00D47BCC">
              <w:rPr>
                <w:sz w:val="18"/>
                <w:szCs w:val="18"/>
              </w:rPr>
              <w:t>,004</w:t>
            </w:r>
          </w:p>
        </w:tc>
        <w:tc>
          <w:tcPr>
            <w:tcW w:w="850" w:type="dxa"/>
            <w:vAlign w:val="center"/>
          </w:tcPr>
          <w:p w:rsidR="0030599D" w:rsidRPr="00D47BCC" w:rsidRDefault="0030599D" w:rsidP="00E42971">
            <w:pPr>
              <w:pStyle w:val="Geenafstand"/>
              <w:rPr>
                <w:sz w:val="18"/>
                <w:szCs w:val="18"/>
              </w:rPr>
            </w:pPr>
            <w:r w:rsidRPr="00D47BCC">
              <w:rPr>
                <w:sz w:val="18"/>
                <w:szCs w:val="18"/>
              </w:rPr>
              <w:t>-</w:t>
            </w:r>
            <w:r>
              <w:rPr>
                <w:sz w:val="18"/>
                <w:szCs w:val="18"/>
              </w:rPr>
              <w:t>0</w:t>
            </w:r>
            <w:r w:rsidRPr="00D47BCC">
              <w:rPr>
                <w:sz w:val="18"/>
                <w:szCs w:val="18"/>
              </w:rPr>
              <w:t>,834</w:t>
            </w:r>
          </w:p>
        </w:tc>
        <w:tc>
          <w:tcPr>
            <w:tcW w:w="709" w:type="dxa"/>
            <w:vAlign w:val="center"/>
          </w:tcPr>
          <w:p w:rsidR="0030599D" w:rsidRPr="00D47BCC" w:rsidRDefault="0030599D" w:rsidP="00E42971">
            <w:pPr>
              <w:pStyle w:val="Geenafstand"/>
              <w:rPr>
                <w:sz w:val="18"/>
                <w:szCs w:val="18"/>
              </w:rPr>
            </w:pPr>
            <w:r>
              <w:rPr>
                <w:sz w:val="18"/>
                <w:szCs w:val="18"/>
              </w:rPr>
              <w:t>0</w:t>
            </w:r>
            <w:r w:rsidRPr="00D47BCC">
              <w:rPr>
                <w:sz w:val="18"/>
                <w:szCs w:val="18"/>
              </w:rPr>
              <w:t>,404</w:t>
            </w:r>
          </w:p>
        </w:tc>
      </w:tr>
      <w:tr w:rsidR="0030599D" w:rsidRPr="000F5506" w:rsidTr="00E42971">
        <w:tc>
          <w:tcPr>
            <w:tcW w:w="1242" w:type="dxa"/>
            <w:vAlign w:val="center"/>
          </w:tcPr>
          <w:p w:rsidR="0030599D" w:rsidRPr="000F5506" w:rsidRDefault="0030599D" w:rsidP="00E42971">
            <w:pPr>
              <w:pStyle w:val="Geenafstand"/>
              <w:rPr>
                <w:sz w:val="18"/>
                <w:szCs w:val="18"/>
              </w:rPr>
            </w:pPr>
            <w:r>
              <w:rPr>
                <w:rFonts w:cs="TimesNewRomanPSMT"/>
                <w:sz w:val="18"/>
                <w:szCs w:val="18"/>
              </w:rPr>
              <w:t>FV_Window</w:t>
            </w:r>
            <w:r w:rsidRPr="000F5506">
              <w:rPr>
                <w:rFonts w:cs="TimesNewRomanPSMT"/>
                <w:sz w:val="18"/>
                <w:szCs w:val="18"/>
              </w:rPr>
              <w:t>4</w:t>
            </w:r>
          </w:p>
        </w:tc>
        <w:tc>
          <w:tcPr>
            <w:tcW w:w="1134" w:type="dxa"/>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11/20/08 to</w:t>
            </w:r>
          </w:p>
          <w:p w:rsidR="0030599D" w:rsidRPr="000F5506" w:rsidRDefault="0030599D" w:rsidP="00E42971">
            <w:pPr>
              <w:pStyle w:val="Geenafstand"/>
              <w:rPr>
                <w:sz w:val="18"/>
                <w:szCs w:val="18"/>
              </w:rPr>
            </w:pPr>
            <w:r w:rsidRPr="000F5506">
              <w:rPr>
                <w:rFonts w:cs="TimesNewRomanPSMT"/>
                <w:sz w:val="18"/>
                <w:szCs w:val="18"/>
              </w:rPr>
              <w:lastRenderedPageBreak/>
              <w:t>11/22/08</w:t>
            </w:r>
          </w:p>
        </w:tc>
        <w:tc>
          <w:tcPr>
            <w:tcW w:w="284" w:type="dxa"/>
            <w:vAlign w:val="center"/>
          </w:tcPr>
          <w:p w:rsidR="0030599D" w:rsidRPr="000F5506" w:rsidRDefault="0030599D" w:rsidP="00E42971">
            <w:pPr>
              <w:pStyle w:val="Geenafstand"/>
              <w:rPr>
                <w:sz w:val="18"/>
                <w:szCs w:val="18"/>
              </w:rPr>
            </w:pPr>
            <w:r w:rsidRPr="000F5506">
              <w:rPr>
                <w:rFonts w:cs="TimesNewRomanPSMT"/>
                <w:sz w:val="18"/>
                <w:szCs w:val="18"/>
              </w:rPr>
              <w:lastRenderedPageBreak/>
              <w:t>+</w:t>
            </w:r>
          </w:p>
        </w:tc>
        <w:tc>
          <w:tcPr>
            <w:tcW w:w="850" w:type="dxa"/>
            <w:vAlign w:val="center"/>
          </w:tcPr>
          <w:p w:rsidR="0030599D" w:rsidRPr="000F5506" w:rsidRDefault="0030599D" w:rsidP="00E42971">
            <w:pPr>
              <w:pStyle w:val="Geenafstand"/>
              <w:rPr>
                <w:sz w:val="18"/>
                <w:szCs w:val="18"/>
              </w:rPr>
            </w:pPr>
            <w:r w:rsidRPr="000F5506">
              <w:rPr>
                <w:rFonts w:cs="TimesNewRomanPSMT"/>
                <w:sz w:val="18"/>
                <w:szCs w:val="18"/>
              </w:rPr>
              <w:t>-0.0037</w:t>
            </w:r>
          </w:p>
        </w:tc>
        <w:tc>
          <w:tcPr>
            <w:tcW w:w="709" w:type="dxa"/>
            <w:vAlign w:val="center"/>
          </w:tcPr>
          <w:p w:rsidR="0030599D" w:rsidRPr="000F5506" w:rsidRDefault="0030599D" w:rsidP="00E42971">
            <w:pPr>
              <w:pStyle w:val="Geenafstand"/>
              <w:rPr>
                <w:sz w:val="18"/>
                <w:szCs w:val="18"/>
              </w:rPr>
            </w:pPr>
            <w:r w:rsidRPr="000F5506">
              <w:rPr>
                <w:rFonts w:cs="TimesNewRomanPSMT"/>
                <w:sz w:val="18"/>
                <w:szCs w:val="18"/>
              </w:rPr>
              <w:t>-0.29</w:t>
            </w:r>
          </w:p>
        </w:tc>
        <w:tc>
          <w:tcPr>
            <w:tcW w:w="851" w:type="dxa"/>
            <w:tcBorders>
              <w:righ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0.613</w:t>
            </w:r>
          </w:p>
        </w:tc>
        <w:tc>
          <w:tcPr>
            <w:tcW w:w="1134" w:type="dxa"/>
            <w:tcBorders>
              <w:left w:val="single" w:sz="12" w:space="0" w:color="auto"/>
            </w:tcBorders>
            <w:vAlign w:val="center"/>
          </w:tcPr>
          <w:p w:rsidR="0030599D" w:rsidRPr="000F5506" w:rsidRDefault="0030599D" w:rsidP="00E42971">
            <w:pPr>
              <w:pStyle w:val="Geenafstand"/>
              <w:rPr>
                <w:sz w:val="18"/>
                <w:szCs w:val="18"/>
              </w:rPr>
            </w:pPr>
            <w:r w:rsidRPr="000F5506">
              <w:rPr>
                <w:rFonts w:cs="TimesNewRomanPSMT"/>
                <w:sz w:val="18"/>
                <w:szCs w:val="18"/>
              </w:rPr>
              <w:t>E_Window4</w:t>
            </w:r>
          </w:p>
        </w:tc>
        <w:tc>
          <w:tcPr>
            <w:tcW w:w="1134" w:type="dxa"/>
            <w:vAlign w:val="center"/>
          </w:tcPr>
          <w:p w:rsidR="0030599D" w:rsidRPr="000F5506" w:rsidRDefault="0030599D" w:rsidP="00E42971">
            <w:pPr>
              <w:pStyle w:val="Geenafstand"/>
              <w:rPr>
                <w:sz w:val="18"/>
                <w:szCs w:val="18"/>
              </w:rPr>
            </w:pPr>
            <w:r>
              <w:rPr>
                <w:sz w:val="18"/>
                <w:szCs w:val="18"/>
              </w:rPr>
              <w:t xml:space="preserve">9/29/08 to </w:t>
            </w:r>
            <w:r>
              <w:rPr>
                <w:sz w:val="18"/>
                <w:szCs w:val="18"/>
              </w:rPr>
              <w:lastRenderedPageBreak/>
              <w:t>10/1/08</w:t>
            </w:r>
          </w:p>
        </w:tc>
        <w:tc>
          <w:tcPr>
            <w:tcW w:w="283" w:type="dxa"/>
            <w:vAlign w:val="center"/>
          </w:tcPr>
          <w:p w:rsidR="0030599D" w:rsidRPr="000F5506" w:rsidRDefault="0030599D" w:rsidP="00E42971">
            <w:pPr>
              <w:pStyle w:val="Geenafstand"/>
              <w:rPr>
                <w:sz w:val="18"/>
                <w:szCs w:val="18"/>
              </w:rPr>
            </w:pPr>
            <w:r w:rsidRPr="000F5506">
              <w:rPr>
                <w:sz w:val="18"/>
                <w:szCs w:val="18"/>
              </w:rPr>
              <w:lastRenderedPageBreak/>
              <w:t>+</w:t>
            </w:r>
          </w:p>
        </w:tc>
        <w:tc>
          <w:tcPr>
            <w:tcW w:w="709" w:type="dxa"/>
            <w:vAlign w:val="center"/>
          </w:tcPr>
          <w:p w:rsidR="0030599D" w:rsidRPr="00D47BCC" w:rsidRDefault="0030599D" w:rsidP="00E42971">
            <w:pPr>
              <w:pStyle w:val="Geenafstand"/>
              <w:rPr>
                <w:sz w:val="18"/>
                <w:szCs w:val="18"/>
              </w:rPr>
            </w:pPr>
            <w:r w:rsidRPr="00D47BCC">
              <w:rPr>
                <w:sz w:val="18"/>
                <w:szCs w:val="18"/>
              </w:rPr>
              <w:t>-</w:t>
            </w:r>
            <w:r>
              <w:rPr>
                <w:sz w:val="18"/>
                <w:szCs w:val="18"/>
              </w:rPr>
              <w:t>0</w:t>
            </w:r>
            <w:r w:rsidRPr="00D47BCC">
              <w:rPr>
                <w:sz w:val="18"/>
                <w:szCs w:val="18"/>
              </w:rPr>
              <w:t>,008</w:t>
            </w:r>
          </w:p>
        </w:tc>
        <w:tc>
          <w:tcPr>
            <w:tcW w:w="850" w:type="dxa"/>
            <w:vAlign w:val="center"/>
          </w:tcPr>
          <w:p w:rsidR="0030599D" w:rsidRPr="00D47BCC" w:rsidRDefault="0030599D" w:rsidP="00E42971">
            <w:pPr>
              <w:pStyle w:val="Geenafstand"/>
              <w:rPr>
                <w:sz w:val="18"/>
                <w:szCs w:val="18"/>
              </w:rPr>
            </w:pPr>
            <w:r w:rsidRPr="00D47BCC">
              <w:rPr>
                <w:sz w:val="18"/>
                <w:szCs w:val="18"/>
              </w:rPr>
              <w:t>-1,614</w:t>
            </w:r>
          </w:p>
        </w:tc>
        <w:tc>
          <w:tcPr>
            <w:tcW w:w="709" w:type="dxa"/>
            <w:vAlign w:val="center"/>
          </w:tcPr>
          <w:p w:rsidR="0030599D" w:rsidRPr="00D47BCC" w:rsidRDefault="0030599D" w:rsidP="00E42971">
            <w:pPr>
              <w:pStyle w:val="Geenafstand"/>
              <w:rPr>
                <w:sz w:val="18"/>
                <w:szCs w:val="18"/>
              </w:rPr>
            </w:pPr>
            <w:r>
              <w:rPr>
                <w:sz w:val="18"/>
                <w:szCs w:val="18"/>
              </w:rPr>
              <w:t>0</w:t>
            </w:r>
            <w:r w:rsidRPr="00D47BCC">
              <w:rPr>
                <w:sz w:val="18"/>
                <w:szCs w:val="18"/>
              </w:rPr>
              <w:t>,107</w:t>
            </w:r>
          </w:p>
        </w:tc>
      </w:tr>
      <w:tr w:rsidR="0030599D" w:rsidRPr="000F5506" w:rsidTr="00E42971">
        <w:tc>
          <w:tcPr>
            <w:tcW w:w="1242" w:type="dxa"/>
            <w:vAlign w:val="center"/>
          </w:tcPr>
          <w:p w:rsidR="0030599D" w:rsidRPr="000F5506" w:rsidRDefault="0030599D" w:rsidP="00E42971">
            <w:pPr>
              <w:pStyle w:val="Geenafstand"/>
              <w:rPr>
                <w:rFonts w:cs="TimesNewRomanPSMT"/>
                <w:sz w:val="18"/>
                <w:szCs w:val="18"/>
              </w:rPr>
            </w:pPr>
            <w:r>
              <w:rPr>
                <w:rFonts w:cs="TimesNewRomanPSMT"/>
                <w:sz w:val="18"/>
                <w:szCs w:val="18"/>
              </w:rPr>
              <w:lastRenderedPageBreak/>
              <w:t>FV_Window</w:t>
            </w:r>
            <w:r w:rsidRPr="000F5506">
              <w:rPr>
                <w:rFonts w:cs="TimesNewRomanPSMT"/>
                <w:sz w:val="18"/>
                <w:szCs w:val="18"/>
              </w:rPr>
              <w:t>5</w:t>
            </w:r>
          </w:p>
        </w:tc>
        <w:tc>
          <w:tcPr>
            <w:tcW w:w="1134" w:type="dxa"/>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12/29/08 to</w:t>
            </w:r>
          </w:p>
          <w:p w:rsidR="0030599D" w:rsidRPr="000F5506" w:rsidRDefault="0030599D" w:rsidP="00E42971">
            <w:pPr>
              <w:pStyle w:val="Geenafstand"/>
              <w:rPr>
                <w:sz w:val="18"/>
                <w:szCs w:val="18"/>
              </w:rPr>
            </w:pPr>
            <w:r w:rsidRPr="000F5506">
              <w:rPr>
                <w:rFonts w:cs="TimesNewRomanPSMT"/>
                <w:sz w:val="18"/>
                <w:szCs w:val="18"/>
              </w:rPr>
              <w:t>12/31/08</w:t>
            </w:r>
          </w:p>
        </w:tc>
        <w:tc>
          <w:tcPr>
            <w:tcW w:w="284" w:type="dxa"/>
            <w:vAlign w:val="center"/>
          </w:tcPr>
          <w:p w:rsidR="0030599D" w:rsidRPr="000F5506" w:rsidRDefault="0030599D" w:rsidP="00E42971">
            <w:pPr>
              <w:pStyle w:val="Geenafstand"/>
              <w:rPr>
                <w:sz w:val="18"/>
                <w:szCs w:val="18"/>
              </w:rPr>
            </w:pPr>
            <w:r w:rsidRPr="000F5506">
              <w:rPr>
                <w:sz w:val="18"/>
                <w:szCs w:val="18"/>
              </w:rPr>
              <w:t>-</w:t>
            </w:r>
          </w:p>
        </w:tc>
        <w:tc>
          <w:tcPr>
            <w:tcW w:w="850" w:type="dxa"/>
            <w:vAlign w:val="center"/>
          </w:tcPr>
          <w:p w:rsidR="0030599D" w:rsidRPr="000F5506" w:rsidRDefault="0030599D" w:rsidP="00E42971">
            <w:pPr>
              <w:pStyle w:val="Geenafstand"/>
              <w:rPr>
                <w:sz w:val="18"/>
                <w:szCs w:val="18"/>
              </w:rPr>
            </w:pPr>
            <w:r w:rsidRPr="000F5506">
              <w:rPr>
                <w:rFonts w:cs="TimesNewRomanPSMT"/>
                <w:sz w:val="18"/>
                <w:szCs w:val="18"/>
              </w:rPr>
              <w:t>-0.0042</w:t>
            </w:r>
          </w:p>
        </w:tc>
        <w:tc>
          <w:tcPr>
            <w:tcW w:w="709" w:type="dxa"/>
            <w:vAlign w:val="center"/>
          </w:tcPr>
          <w:p w:rsidR="0030599D" w:rsidRPr="000F5506" w:rsidRDefault="0030599D" w:rsidP="00E42971">
            <w:pPr>
              <w:pStyle w:val="Geenafstand"/>
              <w:rPr>
                <w:sz w:val="18"/>
                <w:szCs w:val="18"/>
              </w:rPr>
            </w:pPr>
            <w:r w:rsidRPr="000F5506">
              <w:rPr>
                <w:rFonts w:cs="TimesNewRomanPSMT"/>
                <w:sz w:val="18"/>
                <w:szCs w:val="18"/>
              </w:rPr>
              <w:t>-1.63</w:t>
            </w:r>
          </w:p>
        </w:tc>
        <w:tc>
          <w:tcPr>
            <w:tcW w:w="851" w:type="dxa"/>
            <w:tcBorders>
              <w:right w:val="single" w:sz="12" w:space="0" w:color="auto"/>
            </w:tcBorders>
            <w:vAlign w:val="center"/>
          </w:tcPr>
          <w:p w:rsidR="0030599D" w:rsidRPr="000F5506" w:rsidRDefault="0030599D" w:rsidP="00E42971">
            <w:pPr>
              <w:pStyle w:val="Geenafstand"/>
              <w:rPr>
                <w:b/>
                <w:sz w:val="18"/>
                <w:szCs w:val="18"/>
              </w:rPr>
            </w:pPr>
            <w:r w:rsidRPr="000F5506">
              <w:rPr>
                <w:b/>
                <w:sz w:val="18"/>
                <w:szCs w:val="18"/>
              </w:rPr>
              <w:t>0.052</w:t>
            </w:r>
          </w:p>
        </w:tc>
        <w:tc>
          <w:tcPr>
            <w:tcW w:w="1134" w:type="dxa"/>
            <w:tcBorders>
              <w:left w:val="single" w:sz="12" w:space="0" w:color="auto"/>
            </w:tcBorders>
            <w:shd w:val="clear" w:color="auto" w:fill="FFC000"/>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E_Window5</w:t>
            </w:r>
          </w:p>
        </w:tc>
        <w:tc>
          <w:tcPr>
            <w:tcW w:w="1134" w:type="dxa"/>
            <w:shd w:val="clear" w:color="auto" w:fill="FFC000"/>
            <w:vAlign w:val="center"/>
          </w:tcPr>
          <w:p w:rsidR="0030599D" w:rsidRPr="000F5506" w:rsidRDefault="0030599D" w:rsidP="00E42971">
            <w:pPr>
              <w:pStyle w:val="Geenafstand"/>
              <w:rPr>
                <w:sz w:val="18"/>
                <w:szCs w:val="18"/>
              </w:rPr>
            </w:pPr>
            <w:r>
              <w:rPr>
                <w:sz w:val="18"/>
                <w:szCs w:val="18"/>
              </w:rPr>
              <w:t>10/10/08 to 10/16/08</w:t>
            </w:r>
          </w:p>
        </w:tc>
        <w:tc>
          <w:tcPr>
            <w:tcW w:w="283" w:type="dxa"/>
            <w:shd w:val="clear" w:color="auto" w:fill="FFC000"/>
            <w:vAlign w:val="center"/>
          </w:tcPr>
          <w:p w:rsidR="0030599D" w:rsidRPr="000F5506" w:rsidRDefault="0030599D" w:rsidP="00E42971">
            <w:pPr>
              <w:pStyle w:val="Geenafstand"/>
              <w:rPr>
                <w:sz w:val="18"/>
                <w:szCs w:val="18"/>
              </w:rPr>
            </w:pPr>
            <w:r w:rsidRPr="000F5506">
              <w:rPr>
                <w:sz w:val="18"/>
                <w:szCs w:val="18"/>
              </w:rPr>
              <w:t>+</w:t>
            </w:r>
          </w:p>
        </w:tc>
        <w:tc>
          <w:tcPr>
            <w:tcW w:w="709" w:type="dxa"/>
            <w:shd w:val="clear" w:color="auto" w:fill="FFC000"/>
            <w:vAlign w:val="center"/>
          </w:tcPr>
          <w:p w:rsidR="0030599D" w:rsidRPr="00D47BCC" w:rsidRDefault="0030599D" w:rsidP="00E42971">
            <w:pPr>
              <w:pStyle w:val="Geenafstand"/>
              <w:rPr>
                <w:sz w:val="18"/>
                <w:szCs w:val="18"/>
              </w:rPr>
            </w:pPr>
            <w:r>
              <w:rPr>
                <w:sz w:val="18"/>
                <w:szCs w:val="18"/>
              </w:rPr>
              <w:t>0</w:t>
            </w:r>
            <w:r w:rsidRPr="00D47BCC">
              <w:rPr>
                <w:sz w:val="18"/>
                <w:szCs w:val="18"/>
              </w:rPr>
              <w:t>,004</w:t>
            </w:r>
          </w:p>
        </w:tc>
        <w:tc>
          <w:tcPr>
            <w:tcW w:w="850" w:type="dxa"/>
            <w:shd w:val="clear" w:color="auto" w:fill="FFC000"/>
            <w:vAlign w:val="center"/>
          </w:tcPr>
          <w:p w:rsidR="0030599D" w:rsidRPr="00D47BCC" w:rsidRDefault="0030599D" w:rsidP="00E42971">
            <w:pPr>
              <w:pStyle w:val="Geenafstand"/>
              <w:rPr>
                <w:sz w:val="18"/>
                <w:szCs w:val="18"/>
              </w:rPr>
            </w:pPr>
            <w:r>
              <w:rPr>
                <w:sz w:val="18"/>
                <w:szCs w:val="18"/>
              </w:rPr>
              <w:t>0</w:t>
            </w:r>
            <w:r w:rsidRPr="00D47BCC">
              <w:rPr>
                <w:sz w:val="18"/>
                <w:szCs w:val="18"/>
              </w:rPr>
              <w:t>,746</w:t>
            </w:r>
          </w:p>
        </w:tc>
        <w:tc>
          <w:tcPr>
            <w:tcW w:w="709" w:type="dxa"/>
            <w:shd w:val="clear" w:color="auto" w:fill="FFC000"/>
            <w:vAlign w:val="center"/>
          </w:tcPr>
          <w:p w:rsidR="0030599D" w:rsidRPr="00D47BCC" w:rsidRDefault="0030599D" w:rsidP="00E42971">
            <w:pPr>
              <w:pStyle w:val="Geenafstand"/>
              <w:rPr>
                <w:sz w:val="18"/>
                <w:szCs w:val="18"/>
              </w:rPr>
            </w:pPr>
            <w:r>
              <w:rPr>
                <w:sz w:val="18"/>
                <w:szCs w:val="18"/>
              </w:rPr>
              <w:t>0</w:t>
            </w:r>
            <w:r w:rsidRPr="00D47BCC">
              <w:rPr>
                <w:sz w:val="18"/>
                <w:szCs w:val="18"/>
              </w:rPr>
              <w:t>,456</w:t>
            </w:r>
          </w:p>
        </w:tc>
      </w:tr>
      <w:tr w:rsidR="0030599D" w:rsidRPr="00872F8A" w:rsidTr="00E42971">
        <w:tc>
          <w:tcPr>
            <w:tcW w:w="1242" w:type="dxa"/>
            <w:vAlign w:val="center"/>
          </w:tcPr>
          <w:p w:rsidR="0030599D" w:rsidRPr="000F5506" w:rsidRDefault="0030599D" w:rsidP="00E42971">
            <w:pPr>
              <w:pStyle w:val="Geenafstand"/>
              <w:rPr>
                <w:rFonts w:cs="TimesNewRomanPSMT"/>
                <w:sz w:val="18"/>
                <w:szCs w:val="18"/>
              </w:rPr>
            </w:pPr>
            <w:r>
              <w:rPr>
                <w:rFonts w:cs="TimesNewRomanPSMT"/>
                <w:sz w:val="18"/>
                <w:szCs w:val="18"/>
              </w:rPr>
              <w:t>FV_Window</w:t>
            </w:r>
            <w:r w:rsidRPr="000F5506">
              <w:rPr>
                <w:rFonts w:cs="TimesNewRomanPSMT"/>
                <w:sz w:val="18"/>
                <w:szCs w:val="18"/>
              </w:rPr>
              <w:t>6</w:t>
            </w:r>
          </w:p>
        </w:tc>
        <w:tc>
          <w:tcPr>
            <w:tcW w:w="1134" w:type="dxa"/>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1/11/09 to</w:t>
            </w:r>
          </w:p>
          <w:p w:rsidR="0030599D" w:rsidRPr="000F5506" w:rsidRDefault="0030599D" w:rsidP="00E42971">
            <w:pPr>
              <w:pStyle w:val="Geenafstand"/>
              <w:rPr>
                <w:sz w:val="18"/>
                <w:szCs w:val="18"/>
              </w:rPr>
            </w:pPr>
            <w:r w:rsidRPr="000F5506">
              <w:rPr>
                <w:rFonts w:cs="TimesNewRomanPSMT"/>
                <w:sz w:val="18"/>
                <w:szCs w:val="18"/>
              </w:rPr>
              <w:t>1/13/09</w:t>
            </w:r>
          </w:p>
        </w:tc>
        <w:tc>
          <w:tcPr>
            <w:tcW w:w="284" w:type="dxa"/>
            <w:vAlign w:val="center"/>
          </w:tcPr>
          <w:p w:rsidR="0030599D" w:rsidRPr="000F5506" w:rsidRDefault="0030599D" w:rsidP="00E42971">
            <w:pPr>
              <w:pStyle w:val="Geenafstand"/>
              <w:rPr>
                <w:sz w:val="18"/>
                <w:szCs w:val="18"/>
              </w:rPr>
            </w:pPr>
            <w:r w:rsidRPr="000F5506">
              <w:rPr>
                <w:rFonts w:cs="TimesNewRomanPSMT"/>
                <w:sz w:val="18"/>
                <w:szCs w:val="18"/>
              </w:rPr>
              <w:t>+</w:t>
            </w:r>
          </w:p>
        </w:tc>
        <w:tc>
          <w:tcPr>
            <w:tcW w:w="850" w:type="dxa"/>
            <w:vAlign w:val="center"/>
          </w:tcPr>
          <w:p w:rsidR="0030599D" w:rsidRPr="000F5506" w:rsidRDefault="0030599D" w:rsidP="00E42971">
            <w:pPr>
              <w:pStyle w:val="Geenafstand"/>
              <w:rPr>
                <w:sz w:val="18"/>
                <w:szCs w:val="18"/>
              </w:rPr>
            </w:pPr>
            <w:r w:rsidRPr="000F5506">
              <w:rPr>
                <w:rFonts w:cs="TimesNewRomanPSMT"/>
                <w:sz w:val="18"/>
                <w:szCs w:val="18"/>
              </w:rPr>
              <w:t>0.0029</w:t>
            </w:r>
          </w:p>
        </w:tc>
        <w:tc>
          <w:tcPr>
            <w:tcW w:w="709" w:type="dxa"/>
            <w:vAlign w:val="center"/>
          </w:tcPr>
          <w:p w:rsidR="0030599D" w:rsidRPr="000F5506" w:rsidRDefault="0030599D" w:rsidP="00E42971">
            <w:pPr>
              <w:pStyle w:val="Geenafstand"/>
              <w:rPr>
                <w:sz w:val="18"/>
                <w:szCs w:val="18"/>
              </w:rPr>
            </w:pPr>
            <w:r w:rsidRPr="000F5506">
              <w:rPr>
                <w:rFonts w:cs="TimesNewRomanPSMT"/>
                <w:sz w:val="18"/>
                <w:szCs w:val="18"/>
              </w:rPr>
              <w:t>1.72</w:t>
            </w:r>
          </w:p>
        </w:tc>
        <w:tc>
          <w:tcPr>
            <w:tcW w:w="851" w:type="dxa"/>
            <w:tcBorders>
              <w:right w:val="single" w:sz="12" w:space="0" w:color="auto"/>
            </w:tcBorders>
            <w:vAlign w:val="center"/>
          </w:tcPr>
          <w:p w:rsidR="0030599D" w:rsidRPr="000F5506" w:rsidRDefault="0030599D" w:rsidP="00E42971">
            <w:pPr>
              <w:pStyle w:val="Geenafstand"/>
              <w:rPr>
                <w:b/>
                <w:sz w:val="18"/>
                <w:szCs w:val="18"/>
              </w:rPr>
            </w:pPr>
            <w:r w:rsidRPr="000F5506">
              <w:rPr>
                <w:b/>
                <w:sz w:val="18"/>
                <w:szCs w:val="18"/>
              </w:rPr>
              <w:t>0.044</w:t>
            </w:r>
          </w:p>
        </w:tc>
        <w:tc>
          <w:tcPr>
            <w:tcW w:w="4819" w:type="dxa"/>
            <w:gridSpan w:val="6"/>
            <w:tcBorders>
              <w:left w:val="single" w:sz="12" w:space="0" w:color="auto"/>
            </w:tcBorders>
            <w:vAlign w:val="center"/>
          </w:tcPr>
          <w:p w:rsidR="0030599D" w:rsidRPr="00974546" w:rsidRDefault="0030599D" w:rsidP="00E42971">
            <w:pPr>
              <w:pStyle w:val="Geenafstand"/>
              <w:rPr>
                <w:b/>
                <w:sz w:val="18"/>
                <w:szCs w:val="18"/>
                <w:lang w:val="en-US"/>
              </w:rPr>
            </w:pPr>
            <w:r w:rsidRPr="00974546">
              <w:rPr>
                <w:b/>
                <w:sz w:val="18"/>
                <w:szCs w:val="18"/>
                <w:lang w:val="en-US"/>
              </w:rPr>
              <w:t>Results windows combined (see t</w:t>
            </w:r>
            <w:r>
              <w:rPr>
                <w:b/>
                <w:sz w:val="18"/>
                <w:szCs w:val="18"/>
                <w:lang w:val="en-US"/>
              </w:rPr>
              <w:t>able 7.7)</w:t>
            </w:r>
          </w:p>
        </w:tc>
      </w:tr>
      <w:tr w:rsidR="0030599D" w:rsidRPr="000F5506" w:rsidTr="00E42971">
        <w:tc>
          <w:tcPr>
            <w:tcW w:w="1242" w:type="dxa"/>
            <w:vAlign w:val="center"/>
          </w:tcPr>
          <w:p w:rsidR="0030599D" w:rsidRPr="000F5506" w:rsidRDefault="0030599D" w:rsidP="00E42971">
            <w:pPr>
              <w:pStyle w:val="Geenafstand"/>
              <w:rPr>
                <w:rFonts w:cs="TimesNewRomanPSMT"/>
                <w:sz w:val="18"/>
                <w:szCs w:val="18"/>
              </w:rPr>
            </w:pPr>
            <w:r>
              <w:rPr>
                <w:rFonts w:cs="TimesNewRomanPSMT"/>
                <w:sz w:val="18"/>
                <w:szCs w:val="18"/>
              </w:rPr>
              <w:t>FV_Window</w:t>
            </w:r>
            <w:r w:rsidRPr="000F5506">
              <w:rPr>
                <w:rFonts w:cs="TimesNewRomanPSMT"/>
                <w:sz w:val="18"/>
                <w:szCs w:val="18"/>
              </w:rPr>
              <w:t>7</w:t>
            </w:r>
          </w:p>
        </w:tc>
        <w:tc>
          <w:tcPr>
            <w:tcW w:w="1134" w:type="dxa"/>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2/17/09 to</w:t>
            </w:r>
          </w:p>
          <w:p w:rsidR="0030599D" w:rsidRPr="000F5506" w:rsidRDefault="0030599D" w:rsidP="00E42971">
            <w:pPr>
              <w:pStyle w:val="Geenafstand"/>
              <w:rPr>
                <w:sz w:val="18"/>
                <w:szCs w:val="18"/>
              </w:rPr>
            </w:pPr>
            <w:r w:rsidRPr="000F5506">
              <w:rPr>
                <w:rFonts w:cs="TimesNewRomanPSMT"/>
                <w:sz w:val="18"/>
                <w:szCs w:val="18"/>
              </w:rPr>
              <w:t>2/19/09</w:t>
            </w:r>
          </w:p>
        </w:tc>
        <w:tc>
          <w:tcPr>
            <w:tcW w:w="284" w:type="dxa"/>
            <w:vAlign w:val="center"/>
          </w:tcPr>
          <w:p w:rsidR="0030599D" w:rsidRPr="000F5506" w:rsidRDefault="0030599D" w:rsidP="00E42971">
            <w:pPr>
              <w:pStyle w:val="Geenafstand"/>
              <w:rPr>
                <w:sz w:val="18"/>
                <w:szCs w:val="18"/>
              </w:rPr>
            </w:pPr>
            <w:r w:rsidRPr="000F5506">
              <w:rPr>
                <w:sz w:val="18"/>
                <w:szCs w:val="18"/>
              </w:rPr>
              <w:t>-</w:t>
            </w:r>
          </w:p>
        </w:tc>
        <w:tc>
          <w:tcPr>
            <w:tcW w:w="850" w:type="dxa"/>
            <w:vAlign w:val="center"/>
          </w:tcPr>
          <w:p w:rsidR="0030599D" w:rsidRPr="000F5506" w:rsidRDefault="0030599D" w:rsidP="00E42971">
            <w:pPr>
              <w:pStyle w:val="Geenafstand"/>
              <w:rPr>
                <w:sz w:val="18"/>
                <w:szCs w:val="18"/>
              </w:rPr>
            </w:pPr>
            <w:r w:rsidRPr="000F5506">
              <w:rPr>
                <w:rFonts w:cs="TimesNewRomanPSMT"/>
                <w:sz w:val="18"/>
                <w:szCs w:val="18"/>
              </w:rPr>
              <w:t>-0.0090</w:t>
            </w:r>
          </w:p>
        </w:tc>
        <w:tc>
          <w:tcPr>
            <w:tcW w:w="709" w:type="dxa"/>
            <w:vAlign w:val="center"/>
          </w:tcPr>
          <w:p w:rsidR="0030599D" w:rsidRPr="000F5506" w:rsidRDefault="0030599D" w:rsidP="00E42971">
            <w:pPr>
              <w:pStyle w:val="Geenafstand"/>
              <w:rPr>
                <w:sz w:val="18"/>
                <w:szCs w:val="18"/>
              </w:rPr>
            </w:pPr>
            <w:r w:rsidRPr="000F5506">
              <w:rPr>
                <w:rFonts w:cs="TimesNewRomanPSMT"/>
                <w:sz w:val="18"/>
                <w:szCs w:val="18"/>
              </w:rPr>
              <w:t>-2.10</w:t>
            </w:r>
          </w:p>
        </w:tc>
        <w:tc>
          <w:tcPr>
            <w:tcW w:w="851" w:type="dxa"/>
            <w:tcBorders>
              <w:right w:val="single" w:sz="12" w:space="0" w:color="auto"/>
            </w:tcBorders>
            <w:vAlign w:val="center"/>
          </w:tcPr>
          <w:p w:rsidR="0030599D" w:rsidRPr="000F5506" w:rsidRDefault="0030599D" w:rsidP="00E42971">
            <w:pPr>
              <w:pStyle w:val="Geenafstand"/>
              <w:rPr>
                <w:b/>
                <w:sz w:val="18"/>
                <w:szCs w:val="18"/>
              </w:rPr>
            </w:pPr>
            <w:r w:rsidRPr="000F5506">
              <w:rPr>
                <w:b/>
                <w:sz w:val="18"/>
                <w:szCs w:val="18"/>
              </w:rPr>
              <w:t>0.019</w:t>
            </w:r>
          </w:p>
        </w:tc>
        <w:tc>
          <w:tcPr>
            <w:tcW w:w="1134" w:type="dxa"/>
            <w:tcBorders>
              <w:left w:val="single" w:sz="12" w:space="0" w:color="auto"/>
            </w:tcBorders>
          </w:tcPr>
          <w:p w:rsidR="0030599D" w:rsidRPr="00242B61" w:rsidRDefault="0030599D" w:rsidP="00E42971">
            <w:pPr>
              <w:pStyle w:val="Geenafstand"/>
              <w:rPr>
                <w:sz w:val="18"/>
                <w:szCs w:val="18"/>
              </w:rPr>
            </w:pPr>
            <w:r w:rsidRPr="00242B61">
              <w:rPr>
                <w:sz w:val="18"/>
                <w:szCs w:val="18"/>
              </w:rPr>
              <w:t>Intercept</w:t>
            </w:r>
          </w:p>
        </w:tc>
        <w:tc>
          <w:tcPr>
            <w:tcW w:w="1134" w:type="dxa"/>
            <w:vAlign w:val="center"/>
          </w:tcPr>
          <w:p w:rsidR="0030599D" w:rsidRPr="00242B61" w:rsidRDefault="0030599D" w:rsidP="00E42971">
            <w:pPr>
              <w:pStyle w:val="Geenafstand"/>
              <w:rPr>
                <w:rFonts w:cs="TimesNewRomanPSMT"/>
                <w:sz w:val="18"/>
                <w:szCs w:val="18"/>
              </w:rPr>
            </w:pPr>
          </w:p>
        </w:tc>
        <w:tc>
          <w:tcPr>
            <w:tcW w:w="283" w:type="dxa"/>
            <w:vAlign w:val="center"/>
          </w:tcPr>
          <w:p w:rsidR="0030599D" w:rsidRPr="00242B61" w:rsidRDefault="0030599D" w:rsidP="00E42971">
            <w:pPr>
              <w:pStyle w:val="Geenafstand"/>
              <w:rPr>
                <w:rFonts w:cs="TimesNewRomanPSMT"/>
                <w:sz w:val="18"/>
                <w:szCs w:val="18"/>
              </w:rPr>
            </w:pPr>
          </w:p>
        </w:tc>
        <w:tc>
          <w:tcPr>
            <w:tcW w:w="709" w:type="dxa"/>
          </w:tcPr>
          <w:p w:rsidR="0030599D" w:rsidRPr="000F5506" w:rsidRDefault="0030599D" w:rsidP="00E42971">
            <w:pPr>
              <w:pStyle w:val="Geenafstand"/>
              <w:rPr>
                <w:rFonts w:ascii="Times New Roman" w:hAnsi="Times New Roman" w:cs="Times New Roman"/>
                <w:sz w:val="18"/>
                <w:szCs w:val="18"/>
              </w:rPr>
            </w:pPr>
          </w:p>
        </w:tc>
        <w:tc>
          <w:tcPr>
            <w:tcW w:w="850" w:type="dxa"/>
            <w:vAlign w:val="center"/>
          </w:tcPr>
          <w:p w:rsidR="0030599D" w:rsidRPr="004E66B1" w:rsidRDefault="0030599D" w:rsidP="00E42971">
            <w:pPr>
              <w:pStyle w:val="Geenafstand"/>
              <w:rPr>
                <w:sz w:val="18"/>
                <w:szCs w:val="18"/>
              </w:rPr>
            </w:pPr>
            <w:r>
              <w:rPr>
                <w:sz w:val="18"/>
                <w:szCs w:val="18"/>
              </w:rPr>
              <w:t>0</w:t>
            </w:r>
            <w:r w:rsidRPr="004E66B1">
              <w:rPr>
                <w:sz w:val="18"/>
                <w:szCs w:val="18"/>
              </w:rPr>
              <w:t>,135</w:t>
            </w:r>
          </w:p>
        </w:tc>
        <w:tc>
          <w:tcPr>
            <w:tcW w:w="709" w:type="dxa"/>
            <w:vAlign w:val="center"/>
          </w:tcPr>
          <w:p w:rsidR="0030599D" w:rsidRPr="004E66B1" w:rsidRDefault="0030599D" w:rsidP="00E42971">
            <w:pPr>
              <w:pStyle w:val="Geenafstand"/>
              <w:rPr>
                <w:sz w:val="18"/>
                <w:szCs w:val="18"/>
              </w:rPr>
            </w:pPr>
            <w:r>
              <w:rPr>
                <w:sz w:val="18"/>
                <w:szCs w:val="18"/>
              </w:rPr>
              <w:t>0</w:t>
            </w:r>
            <w:r w:rsidRPr="004E66B1">
              <w:rPr>
                <w:sz w:val="18"/>
                <w:szCs w:val="18"/>
              </w:rPr>
              <w:t>,893</w:t>
            </w:r>
          </w:p>
        </w:tc>
      </w:tr>
      <w:tr w:rsidR="0030599D" w:rsidRPr="000F5506" w:rsidTr="004555F7">
        <w:tc>
          <w:tcPr>
            <w:tcW w:w="1242" w:type="dxa"/>
            <w:shd w:val="clear" w:color="auto" w:fill="FFC000"/>
            <w:vAlign w:val="center"/>
          </w:tcPr>
          <w:p w:rsidR="0030599D" w:rsidRPr="000F5506" w:rsidRDefault="0030599D" w:rsidP="00E42971">
            <w:pPr>
              <w:pStyle w:val="Geenafstand"/>
              <w:rPr>
                <w:rFonts w:cs="TimesNewRomanPSMT"/>
                <w:sz w:val="18"/>
                <w:szCs w:val="18"/>
              </w:rPr>
            </w:pPr>
            <w:r>
              <w:rPr>
                <w:rFonts w:cs="TimesNewRomanPSMT"/>
                <w:sz w:val="18"/>
                <w:szCs w:val="18"/>
              </w:rPr>
              <w:t>FV_Window</w:t>
            </w:r>
            <w:r w:rsidRPr="000F5506">
              <w:rPr>
                <w:rFonts w:cs="TimesNewRomanPSMT"/>
                <w:sz w:val="18"/>
                <w:szCs w:val="18"/>
              </w:rPr>
              <w:t>8</w:t>
            </w:r>
          </w:p>
        </w:tc>
        <w:tc>
          <w:tcPr>
            <w:tcW w:w="1134" w:type="dxa"/>
            <w:shd w:val="clear" w:color="auto" w:fill="FFC000"/>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3/9/09 to</w:t>
            </w:r>
          </w:p>
          <w:p w:rsidR="0030599D" w:rsidRPr="000F5506" w:rsidRDefault="0030599D" w:rsidP="00E42971">
            <w:pPr>
              <w:pStyle w:val="Geenafstand"/>
              <w:rPr>
                <w:sz w:val="18"/>
                <w:szCs w:val="18"/>
              </w:rPr>
            </w:pPr>
            <w:r w:rsidRPr="000F5506">
              <w:rPr>
                <w:rFonts w:cs="TimesNewRomanPSMT"/>
                <w:sz w:val="18"/>
                <w:szCs w:val="18"/>
              </w:rPr>
              <w:t>3/13/09</w:t>
            </w:r>
          </w:p>
        </w:tc>
        <w:tc>
          <w:tcPr>
            <w:tcW w:w="284" w:type="dxa"/>
            <w:shd w:val="clear" w:color="auto" w:fill="FFC000"/>
            <w:vAlign w:val="center"/>
          </w:tcPr>
          <w:p w:rsidR="0030599D" w:rsidRPr="000F5506" w:rsidRDefault="0030599D" w:rsidP="00E42971">
            <w:pPr>
              <w:pStyle w:val="Geenafstand"/>
              <w:rPr>
                <w:sz w:val="18"/>
                <w:szCs w:val="18"/>
              </w:rPr>
            </w:pPr>
            <w:r w:rsidRPr="000F5506">
              <w:rPr>
                <w:rFonts w:cs="TimesNewRomanPSMT"/>
                <w:sz w:val="18"/>
                <w:szCs w:val="18"/>
              </w:rPr>
              <w:t>+</w:t>
            </w:r>
          </w:p>
        </w:tc>
        <w:tc>
          <w:tcPr>
            <w:tcW w:w="850" w:type="dxa"/>
            <w:shd w:val="clear" w:color="auto" w:fill="FFC000"/>
            <w:vAlign w:val="center"/>
          </w:tcPr>
          <w:p w:rsidR="0030599D" w:rsidRPr="000F5506" w:rsidRDefault="0030599D" w:rsidP="00E42971">
            <w:pPr>
              <w:pStyle w:val="Geenafstand"/>
              <w:rPr>
                <w:sz w:val="18"/>
                <w:szCs w:val="18"/>
              </w:rPr>
            </w:pPr>
            <w:r w:rsidRPr="000F5506">
              <w:rPr>
                <w:rFonts w:cs="TimesNewRomanPSMT"/>
                <w:sz w:val="18"/>
                <w:szCs w:val="18"/>
              </w:rPr>
              <w:t>0.0170</w:t>
            </w:r>
          </w:p>
        </w:tc>
        <w:tc>
          <w:tcPr>
            <w:tcW w:w="709" w:type="dxa"/>
            <w:shd w:val="clear" w:color="auto" w:fill="FFC000"/>
            <w:vAlign w:val="center"/>
          </w:tcPr>
          <w:p w:rsidR="0030599D" w:rsidRPr="000F5506" w:rsidRDefault="0030599D" w:rsidP="00E42971">
            <w:pPr>
              <w:pStyle w:val="Geenafstand"/>
              <w:rPr>
                <w:sz w:val="18"/>
                <w:szCs w:val="18"/>
              </w:rPr>
            </w:pPr>
            <w:r w:rsidRPr="000F5506">
              <w:rPr>
                <w:rFonts w:cs="TimesNewRomanPSMT"/>
                <w:sz w:val="18"/>
                <w:szCs w:val="18"/>
              </w:rPr>
              <w:t>2.20</w:t>
            </w:r>
          </w:p>
        </w:tc>
        <w:tc>
          <w:tcPr>
            <w:tcW w:w="851" w:type="dxa"/>
            <w:tcBorders>
              <w:right w:val="single" w:sz="12" w:space="0" w:color="auto"/>
            </w:tcBorders>
            <w:shd w:val="clear" w:color="auto" w:fill="FFC000"/>
            <w:vAlign w:val="center"/>
          </w:tcPr>
          <w:p w:rsidR="0030599D" w:rsidRPr="000F5506" w:rsidRDefault="0030599D" w:rsidP="00E42971">
            <w:pPr>
              <w:pStyle w:val="Geenafstand"/>
              <w:rPr>
                <w:b/>
                <w:sz w:val="18"/>
                <w:szCs w:val="18"/>
              </w:rPr>
            </w:pPr>
            <w:r w:rsidRPr="000F5506">
              <w:rPr>
                <w:b/>
                <w:sz w:val="18"/>
                <w:szCs w:val="18"/>
              </w:rPr>
              <w:t>0.015</w:t>
            </w:r>
          </w:p>
        </w:tc>
        <w:tc>
          <w:tcPr>
            <w:tcW w:w="1134" w:type="dxa"/>
            <w:tcBorders>
              <w:left w:val="single" w:sz="12" w:space="0" w:color="auto"/>
            </w:tcBorders>
          </w:tcPr>
          <w:p w:rsidR="0030599D" w:rsidRPr="00242B61" w:rsidRDefault="0030599D" w:rsidP="00E42971">
            <w:pPr>
              <w:pStyle w:val="Geenafstand"/>
              <w:rPr>
                <w:sz w:val="18"/>
                <w:szCs w:val="18"/>
              </w:rPr>
            </w:pPr>
            <w:r w:rsidRPr="00242B61">
              <w:rPr>
                <w:sz w:val="18"/>
                <w:szCs w:val="18"/>
              </w:rPr>
              <w:t>Rmt</w:t>
            </w:r>
          </w:p>
        </w:tc>
        <w:tc>
          <w:tcPr>
            <w:tcW w:w="1134" w:type="dxa"/>
            <w:vAlign w:val="center"/>
          </w:tcPr>
          <w:p w:rsidR="0030599D" w:rsidRPr="00242B61" w:rsidRDefault="0030599D" w:rsidP="00E42971">
            <w:pPr>
              <w:pStyle w:val="Geenafstand"/>
              <w:rPr>
                <w:rFonts w:cs="TimesNewRomanPSMT"/>
                <w:sz w:val="18"/>
                <w:szCs w:val="18"/>
              </w:rPr>
            </w:pPr>
          </w:p>
        </w:tc>
        <w:tc>
          <w:tcPr>
            <w:tcW w:w="283" w:type="dxa"/>
            <w:vAlign w:val="center"/>
          </w:tcPr>
          <w:p w:rsidR="0030599D" w:rsidRPr="00242B61" w:rsidRDefault="0030599D" w:rsidP="00E42971">
            <w:pPr>
              <w:pStyle w:val="Geenafstand"/>
              <w:rPr>
                <w:rFonts w:cs="TimesNewRomanPSMT"/>
                <w:sz w:val="18"/>
                <w:szCs w:val="18"/>
              </w:rPr>
            </w:pPr>
          </w:p>
        </w:tc>
        <w:tc>
          <w:tcPr>
            <w:tcW w:w="709" w:type="dxa"/>
            <w:vAlign w:val="center"/>
          </w:tcPr>
          <w:p w:rsidR="0030599D" w:rsidRPr="004E66B1" w:rsidRDefault="0030599D" w:rsidP="00E42971">
            <w:pPr>
              <w:pStyle w:val="Geenafstand"/>
              <w:rPr>
                <w:sz w:val="18"/>
                <w:szCs w:val="18"/>
              </w:rPr>
            </w:pPr>
            <w:r>
              <w:rPr>
                <w:sz w:val="18"/>
                <w:szCs w:val="18"/>
              </w:rPr>
              <w:t>0</w:t>
            </w:r>
            <w:r w:rsidRPr="004E66B1">
              <w:rPr>
                <w:sz w:val="18"/>
                <w:szCs w:val="18"/>
              </w:rPr>
              <w:t>,519</w:t>
            </w:r>
          </w:p>
        </w:tc>
        <w:tc>
          <w:tcPr>
            <w:tcW w:w="850" w:type="dxa"/>
            <w:vAlign w:val="center"/>
          </w:tcPr>
          <w:p w:rsidR="0030599D" w:rsidRPr="004E66B1" w:rsidRDefault="0030599D" w:rsidP="00E42971">
            <w:pPr>
              <w:pStyle w:val="Geenafstand"/>
              <w:rPr>
                <w:sz w:val="18"/>
                <w:szCs w:val="18"/>
              </w:rPr>
            </w:pPr>
            <w:r w:rsidRPr="004E66B1">
              <w:rPr>
                <w:sz w:val="18"/>
                <w:szCs w:val="18"/>
              </w:rPr>
              <w:t>109,245</w:t>
            </w:r>
          </w:p>
        </w:tc>
        <w:tc>
          <w:tcPr>
            <w:tcW w:w="709" w:type="dxa"/>
            <w:vAlign w:val="center"/>
          </w:tcPr>
          <w:p w:rsidR="0030599D" w:rsidRPr="004E66B1" w:rsidRDefault="0030599D" w:rsidP="00E42971">
            <w:pPr>
              <w:pStyle w:val="Geenafstand"/>
              <w:rPr>
                <w:sz w:val="18"/>
                <w:szCs w:val="18"/>
              </w:rPr>
            </w:pPr>
            <w:r>
              <w:rPr>
                <w:sz w:val="18"/>
                <w:szCs w:val="18"/>
              </w:rPr>
              <w:t>0</w:t>
            </w:r>
            <w:r w:rsidRPr="004E66B1">
              <w:rPr>
                <w:sz w:val="18"/>
                <w:szCs w:val="18"/>
              </w:rPr>
              <w:t>,000</w:t>
            </w:r>
          </w:p>
        </w:tc>
      </w:tr>
      <w:tr w:rsidR="0030599D" w:rsidRPr="000F5506" w:rsidTr="00E42971">
        <w:tc>
          <w:tcPr>
            <w:tcW w:w="1242" w:type="dxa"/>
            <w:vAlign w:val="center"/>
          </w:tcPr>
          <w:p w:rsidR="0030599D" w:rsidRPr="000F5506" w:rsidRDefault="0030599D" w:rsidP="00E42971">
            <w:pPr>
              <w:pStyle w:val="Geenafstand"/>
              <w:rPr>
                <w:rFonts w:cs="TimesNewRomanPSMT"/>
                <w:sz w:val="18"/>
                <w:szCs w:val="18"/>
              </w:rPr>
            </w:pPr>
            <w:r>
              <w:rPr>
                <w:rFonts w:cs="TimesNewRomanPSMT"/>
                <w:sz w:val="18"/>
                <w:szCs w:val="18"/>
              </w:rPr>
              <w:t>FV_Window</w:t>
            </w:r>
            <w:r w:rsidRPr="000F5506">
              <w:rPr>
                <w:rFonts w:cs="TimesNewRomanPSMT"/>
                <w:sz w:val="18"/>
                <w:szCs w:val="18"/>
              </w:rPr>
              <w:t>9</w:t>
            </w:r>
          </w:p>
        </w:tc>
        <w:tc>
          <w:tcPr>
            <w:tcW w:w="1134" w:type="dxa"/>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3/15/09 to</w:t>
            </w:r>
          </w:p>
          <w:p w:rsidR="0030599D" w:rsidRPr="000F5506" w:rsidRDefault="0030599D" w:rsidP="00E42971">
            <w:pPr>
              <w:pStyle w:val="Geenafstand"/>
              <w:rPr>
                <w:sz w:val="18"/>
                <w:szCs w:val="18"/>
              </w:rPr>
            </w:pPr>
            <w:r w:rsidRPr="000F5506">
              <w:rPr>
                <w:rFonts w:cs="TimesNewRomanPSMT"/>
                <w:sz w:val="18"/>
                <w:szCs w:val="18"/>
              </w:rPr>
              <w:t>3/17/09</w:t>
            </w:r>
          </w:p>
        </w:tc>
        <w:tc>
          <w:tcPr>
            <w:tcW w:w="284" w:type="dxa"/>
            <w:vAlign w:val="center"/>
          </w:tcPr>
          <w:p w:rsidR="0030599D" w:rsidRPr="000F5506" w:rsidRDefault="0030599D" w:rsidP="00E42971">
            <w:pPr>
              <w:pStyle w:val="Geenafstand"/>
              <w:rPr>
                <w:sz w:val="18"/>
                <w:szCs w:val="18"/>
              </w:rPr>
            </w:pPr>
            <w:r w:rsidRPr="000F5506">
              <w:rPr>
                <w:rFonts w:cs="TimesNewRomanPSMT"/>
                <w:sz w:val="18"/>
                <w:szCs w:val="18"/>
              </w:rPr>
              <w:t>+</w:t>
            </w:r>
          </w:p>
        </w:tc>
        <w:tc>
          <w:tcPr>
            <w:tcW w:w="850" w:type="dxa"/>
            <w:vAlign w:val="center"/>
          </w:tcPr>
          <w:p w:rsidR="0030599D" w:rsidRPr="000F5506" w:rsidRDefault="0030599D" w:rsidP="00E42971">
            <w:pPr>
              <w:pStyle w:val="Geenafstand"/>
              <w:rPr>
                <w:sz w:val="18"/>
                <w:szCs w:val="18"/>
              </w:rPr>
            </w:pPr>
            <w:r w:rsidRPr="000F5506">
              <w:rPr>
                <w:rFonts w:cs="TimesNewRomanPSMT"/>
                <w:sz w:val="18"/>
                <w:szCs w:val="18"/>
              </w:rPr>
              <w:t>0.0119</w:t>
            </w:r>
          </w:p>
        </w:tc>
        <w:tc>
          <w:tcPr>
            <w:tcW w:w="709" w:type="dxa"/>
            <w:vAlign w:val="center"/>
          </w:tcPr>
          <w:p w:rsidR="0030599D" w:rsidRPr="000F5506" w:rsidRDefault="0030599D" w:rsidP="00E42971">
            <w:pPr>
              <w:pStyle w:val="Geenafstand"/>
              <w:rPr>
                <w:sz w:val="18"/>
                <w:szCs w:val="18"/>
              </w:rPr>
            </w:pPr>
            <w:r w:rsidRPr="000F5506">
              <w:rPr>
                <w:rFonts w:cs="TimesNewRomanPSMT"/>
                <w:sz w:val="18"/>
                <w:szCs w:val="18"/>
              </w:rPr>
              <w:t>3.57</w:t>
            </w:r>
          </w:p>
        </w:tc>
        <w:tc>
          <w:tcPr>
            <w:tcW w:w="851" w:type="dxa"/>
            <w:tcBorders>
              <w:right w:val="single" w:sz="12" w:space="0" w:color="auto"/>
            </w:tcBorders>
            <w:vAlign w:val="center"/>
          </w:tcPr>
          <w:p w:rsidR="0030599D" w:rsidRPr="000F5506" w:rsidRDefault="0030599D" w:rsidP="00E42971">
            <w:pPr>
              <w:pStyle w:val="Geenafstand"/>
              <w:rPr>
                <w:b/>
                <w:sz w:val="18"/>
                <w:szCs w:val="18"/>
              </w:rPr>
            </w:pPr>
            <w:r w:rsidRPr="000F5506">
              <w:rPr>
                <w:b/>
                <w:sz w:val="18"/>
                <w:szCs w:val="18"/>
              </w:rPr>
              <w:t>&lt;0.001</w:t>
            </w:r>
          </w:p>
        </w:tc>
        <w:tc>
          <w:tcPr>
            <w:tcW w:w="1134" w:type="dxa"/>
            <w:tcBorders>
              <w:left w:val="single" w:sz="12" w:space="0" w:color="auto"/>
            </w:tcBorders>
            <w:shd w:val="clear" w:color="auto" w:fill="FFFFFF" w:themeFill="background1"/>
          </w:tcPr>
          <w:p w:rsidR="0030599D" w:rsidRPr="00242B61" w:rsidRDefault="0030599D" w:rsidP="00E42971">
            <w:pPr>
              <w:pStyle w:val="Geenafstand"/>
              <w:rPr>
                <w:sz w:val="18"/>
                <w:szCs w:val="18"/>
              </w:rPr>
            </w:pPr>
            <w:r w:rsidRPr="00242B61">
              <w:rPr>
                <w:sz w:val="18"/>
                <w:szCs w:val="18"/>
              </w:rPr>
              <w:t>Intt</w:t>
            </w:r>
          </w:p>
        </w:tc>
        <w:tc>
          <w:tcPr>
            <w:tcW w:w="1134" w:type="dxa"/>
            <w:shd w:val="clear" w:color="auto" w:fill="FFFFFF" w:themeFill="background1"/>
            <w:vAlign w:val="center"/>
          </w:tcPr>
          <w:p w:rsidR="0030599D" w:rsidRPr="00242B61" w:rsidRDefault="0030599D" w:rsidP="00E42971">
            <w:pPr>
              <w:pStyle w:val="Geenafstand"/>
              <w:rPr>
                <w:rFonts w:cs="TimesNewRomanPSMT"/>
                <w:sz w:val="18"/>
                <w:szCs w:val="18"/>
              </w:rPr>
            </w:pPr>
          </w:p>
        </w:tc>
        <w:tc>
          <w:tcPr>
            <w:tcW w:w="283" w:type="dxa"/>
            <w:shd w:val="clear" w:color="auto" w:fill="FFFFFF" w:themeFill="background1"/>
            <w:vAlign w:val="center"/>
          </w:tcPr>
          <w:p w:rsidR="0030599D" w:rsidRPr="00242B61" w:rsidRDefault="0030599D" w:rsidP="00E42971">
            <w:pPr>
              <w:pStyle w:val="Geenafstand"/>
              <w:rPr>
                <w:rFonts w:cs="TimesNewRomanPSMT"/>
                <w:sz w:val="18"/>
                <w:szCs w:val="18"/>
              </w:rPr>
            </w:pPr>
          </w:p>
        </w:tc>
        <w:tc>
          <w:tcPr>
            <w:tcW w:w="709" w:type="dxa"/>
            <w:shd w:val="clear" w:color="auto" w:fill="FFFFFF" w:themeFill="background1"/>
            <w:vAlign w:val="center"/>
          </w:tcPr>
          <w:p w:rsidR="0030599D" w:rsidRPr="004E66B1" w:rsidRDefault="0030599D" w:rsidP="00E42971">
            <w:pPr>
              <w:pStyle w:val="Geenafstand"/>
              <w:rPr>
                <w:sz w:val="18"/>
                <w:szCs w:val="18"/>
              </w:rPr>
            </w:pPr>
            <w:r>
              <w:rPr>
                <w:sz w:val="18"/>
                <w:szCs w:val="18"/>
              </w:rPr>
              <w:t>0</w:t>
            </w:r>
            <w:r w:rsidRPr="004E66B1">
              <w:rPr>
                <w:sz w:val="18"/>
                <w:szCs w:val="18"/>
              </w:rPr>
              <w:t>,003</w:t>
            </w:r>
          </w:p>
        </w:tc>
        <w:tc>
          <w:tcPr>
            <w:tcW w:w="850" w:type="dxa"/>
            <w:shd w:val="clear" w:color="auto" w:fill="FFFFFF" w:themeFill="background1"/>
            <w:vAlign w:val="center"/>
          </w:tcPr>
          <w:p w:rsidR="0030599D" w:rsidRPr="004E66B1" w:rsidRDefault="0030599D" w:rsidP="00E42971">
            <w:pPr>
              <w:pStyle w:val="Geenafstand"/>
              <w:rPr>
                <w:sz w:val="18"/>
                <w:szCs w:val="18"/>
              </w:rPr>
            </w:pPr>
            <w:r>
              <w:rPr>
                <w:sz w:val="18"/>
                <w:szCs w:val="18"/>
              </w:rPr>
              <w:t>0</w:t>
            </w:r>
            <w:r w:rsidRPr="004E66B1">
              <w:rPr>
                <w:sz w:val="18"/>
                <w:szCs w:val="18"/>
              </w:rPr>
              <w:t>,559</w:t>
            </w:r>
          </w:p>
        </w:tc>
        <w:tc>
          <w:tcPr>
            <w:tcW w:w="709" w:type="dxa"/>
            <w:shd w:val="clear" w:color="auto" w:fill="FFFFFF" w:themeFill="background1"/>
            <w:vAlign w:val="center"/>
          </w:tcPr>
          <w:p w:rsidR="0030599D" w:rsidRPr="004E66B1" w:rsidRDefault="0030599D" w:rsidP="00E42971">
            <w:pPr>
              <w:pStyle w:val="Geenafstand"/>
              <w:rPr>
                <w:sz w:val="18"/>
                <w:szCs w:val="18"/>
              </w:rPr>
            </w:pPr>
            <w:r>
              <w:rPr>
                <w:sz w:val="18"/>
                <w:szCs w:val="18"/>
              </w:rPr>
              <w:t>0</w:t>
            </w:r>
            <w:r w:rsidRPr="004E66B1">
              <w:rPr>
                <w:sz w:val="18"/>
                <w:szCs w:val="18"/>
              </w:rPr>
              <w:t>,576</w:t>
            </w:r>
          </w:p>
        </w:tc>
      </w:tr>
      <w:tr w:rsidR="0030599D" w:rsidRPr="000F5506" w:rsidTr="00BA05F6">
        <w:tc>
          <w:tcPr>
            <w:tcW w:w="1242" w:type="dxa"/>
            <w:shd w:val="clear" w:color="auto" w:fill="FFC000"/>
            <w:vAlign w:val="center"/>
          </w:tcPr>
          <w:p w:rsidR="0030599D" w:rsidRPr="000F5506" w:rsidRDefault="0030599D" w:rsidP="00E42971">
            <w:pPr>
              <w:pStyle w:val="Geenafstand"/>
              <w:rPr>
                <w:rFonts w:cs="TimesNewRomanPSMT"/>
                <w:sz w:val="18"/>
                <w:szCs w:val="18"/>
              </w:rPr>
            </w:pPr>
            <w:r>
              <w:rPr>
                <w:rFonts w:cs="TimesNewRomanPSMT"/>
                <w:sz w:val="18"/>
                <w:szCs w:val="18"/>
              </w:rPr>
              <w:t>FV_Window</w:t>
            </w:r>
            <w:r w:rsidRPr="000F5506">
              <w:rPr>
                <w:rFonts w:cs="TimesNewRomanPSMT"/>
                <w:sz w:val="18"/>
                <w:szCs w:val="18"/>
              </w:rPr>
              <w:t>10</w:t>
            </w:r>
          </w:p>
        </w:tc>
        <w:tc>
          <w:tcPr>
            <w:tcW w:w="1134" w:type="dxa"/>
            <w:shd w:val="clear" w:color="auto" w:fill="FFC000"/>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3/31/09 to</w:t>
            </w:r>
          </w:p>
          <w:p w:rsidR="0030599D" w:rsidRPr="000F5506" w:rsidRDefault="0030599D" w:rsidP="00E42971">
            <w:pPr>
              <w:pStyle w:val="Geenafstand"/>
              <w:rPr>
                <w:rFonts w:cs="TimesNewRomanPSMT"/>
                <w:sz w:val="18"/>
                <w:szCs w:val="18"/>
              </w:rPr>
            </w:pPr>
            <w:r w:rsidRPr="000F5506">
              <w:rPr>
                <w:rFonts w:cs="TimesNewRomanPSMT"/>
                <w:sz w:val="18"/>
                <w:szCs w:val="18"/>
              </w:rPr>
              <w:t>4/3/09</w:t>
            </w:r>
          </w:p>
        </w:tc>
        <w:tc>
          <w:tcPr>
            <w:tcW w:w="284" w:type="dxa"/>
            <w:shd w:val="clear" w:color="auto" w:fill="FFC000"/>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w:t>
            </w:r>
          </w:p>
        </w:tc>
        <w:tc>
          <w:tcPr>
            <w:tcW w:w="850" w:type="dxa"/>
            <w:shd w:val="clear" w:color="auto" w:fill="FFC000"/>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0.0032</w:t>
            </w:r>
          </w:p>
        </w:tc>
        <w:tc>
          <w:tcPr>
            <w:tcW w:w="709" w:type="dxa"/>
            <w:shd w:val="clear" w:color="auto" w:fill="FFC000"/>
            <w:vAlign w:val="center"/>
          </w:tcPr>
          <w:p w:rsidR="0030599D" w:rsidRPr="000F5506" w:rsidRDefault="0030599D" w:rsidP="00E42971">
            <w:pPr>
              <w:pStyle w:val="Geenafstand"/>
              <w:rPr>
                <w:rFonts w:cs="TimesNewRomanPSMT"/>
                <w:sz w:val="18"/>
                <w:szCs w:val="18"/>
              </w:rPr>
            </w:pPr>
            <w:r w:rsidRPr="000F5506">
              <w:rPr>
                <w:rFonts w:cs="TimesNewRomanPSMT"/>
                <w:sz w:val="18"/>
                <w:szCs w:val="18"/>
              </w:rPr>
              <w:t>0.88</w:t>
            </w:r>
          </w:p>
        </w:tc>
        <w:tc>
          <w:tcPr>
            <w:tcW w:w="851" w:type="dxa"/>
            <w:tcBorders>
              <w:right w:val="single" w:sz="12" w:space="0" w:color="auto"/>
            </w:tcBorders>
            <w:shd w:val="clear" w:color="auto" w:fill="FFC000"/>
            <w:vAlign w:val="center"/>
          </w:tcPr>
          <w:p w:rsidR="0030599D" w:rsidRPr="000F5506" w:rsidRDefault="0030599D" w:rsidP="00E42971">
            <w:pPr>
              <w:pStyle w:val="Geenafstand"/>
              <w:rPr>
                <w:sz w:val="18"/>
                <w:szCs w:val="18"/>
              </w:rPr>
            </w:pPr>
            <w:r w:rsidRPr="000F5506">
              <w:rPr>
                <w:rFonts w:cs="TimesNewRomanPSMT"/>
                <w:sz w:val="18"/>
                <w:szCs w:val="18"/>
              </w:rPr>
              <w:t>0.190</w:t>
            </w:r>
          </w:p>
        </w:tc>
        <w:tc>
          <w:tcPr>
            <w:tcW w:w="1134" w:type="dxa"/>
            <w:tcBorders>
              <w:left w:val="single" w:sz="12" w:space="0" w:color="auto"/>
            </w:tcBorders>
            <w:shd w:val="clear" w:color="auto" w:fill="FFFF00"/>
            <w:vAlign w:val="center"/>
          </w:tcPr>
          <w:p w:rsidR="0030599D" w:rsidRPr="00242B61" w:rsidRDefault="0030599D" w:rsidP="00E42971">
            <w:pPr>
              <w:pStyle w:val="Geenafstand"/>
              <w:rPr>
                <w:rFonts w:cs="TimesNewRomanPSMT"/>
                <w:sz w:val="18"/>
                <w:szCs w:val="18"/>
              </w:rPr>
            </w:pPr>
            <w:r w:rsidRPr="00242B61">
              <w:rPr>
                <w:sz w:val="18"/>
                <w:szCs w:val="18"/>
              </w:rPr>
              <w:t>Windows_ Combined</w:t>
            </w:r>
          </w:p>
        </w:tc>
        <w:tc>
          <w:tcPr>
            <w:tcW w:w="1134" w:type="dxa"/>
            <w:shd w:val="clear" w:color="auto" w:fill="FFFF00"/>
            <w:vAlign w:val="center"/>
          </w:tcPr>
          <w:p w:rsidR="0030599D" w:rsidRPr="00242B61" w:rsidRDefault="0030599D" w:rsidP="00E42971">
            <w:pPr>
              <w:pStyle w:val="Geenafstand"/>
              <w:rPr>
                <w:rFonts w:cs="TimesNewRomanPSMT"/>
                <w:sz w:val="18"/>
                <w:szCs w:val="18"/>
              </w:rPr>
            </w:pPr>
            <w:r>
              <w:rPr>
                <w:rFonts w:cs="TimesNewRomanPSMT"/>
                <w:sz w:val="18"/>
                <w:szCs w:val="18"/>
              </w:rPr>
              <w:t xml:space="preserve">4/4/08 to 10/16/08 </w:t>
            </w:r>
          </w:p>
        </w:tc>
        <w:tc>
          <w:tcPr>
            <w:tcW w:w="283" w:type="dxa"/>
            <w:shd w:val="clear" w:color="auto" w:fill="FFFF00"/>
            <w:vAlign w:val="center"/>
          </w:tcPr>
          <w:p w:rsidR="0030599D" w:rsidRPr="00242B61" w:rsidRDefault="0030599D" w:rsidP="00E42971">
            <w:pPr>
              <w:pStyle w:val="Geenafstand"/>
              <w:rPr>
                <w:rFonts w:cs="TimesNewRomanPSMT"/>
                <w:sz w:val="18"/>
                <w:szCs w:val="18"/>
              </w:rPr>
            </w:pPr>
            <w:r w:rsidRPr="00242B61">
              <w:rPr>
                <w:rFonts w:cs="TimesNewRomanPSMT"/>
                <w:sz w:val="18"/>
                <w:szCs w:val="18"/>
              </w:rPr>
              <w:t>+</w:t>
            </w:r>
          </w:p>
        </w:tc>
        <w:tc>
          <w:tcPr>
            <w:tcW w:w="709" w:type="dxa"/>
            <w:shd w:val="clear" w:color="auto" w:fill="FFFF00"/>
            <w:vAlign w:val="center"/>
          </w:tcPr>
          <w:p w:rsidR="0030599D" w:rsidRPr="004E66B1" w:rsidRDefault="0030599D" w:rsidP="00E42971">
            <w:pPr>
              <w:pStyle w:val="Geenafstand"/>
              <w:rPr>
                <w:sz w:val="18"/>
                <w:szCs w:val="18"/>
              </w:rPr>
            </w:pPr>
            <w:r w:rsidRPr="004E66B1">
              <w:rPr>
                <w:sz w:val="18"/>
                <w:szCs w:val="18"/>
              </w:rPr>
              <w:t>-</w:t>
            </w:r>
            <w:r>
              <w:rPr>
                <w:sz w:val="18"/>
                <w:szCs w:val="18"/>
              </w:rPr>
              <w:t>0</w:t>
            </w:r>
            <w:r w:rsidRPr="004E66B1">
              <w:rPr>
                <w:sz w:val="18"/>
                <w:szCs w:val="18"/>
              </w:rPr>
              <w:t>,008</w:t>
            </w:r>
          </w:p>
        </w:tc>
        <w:tc>
          <w:tcPr>
            <w:tcW w:w="850" w:type="dxa"/>
            <w:shd w:val="clear" w:color="auto" w:fill="FFFF00"/>
            <w:vAlign w:val="center"/>
          </w:tcPr>
          <w:p w:rsidR="0030599D" w:rsidRPr="004E66B1" w:rsidRDefault="0030599D" w:rsidP="00E42971">
            <w:pPr>
              <w:pStyle w:val="Geenafstand"/>
              <w:rPr>
                <w:sz w:val="18"/>
                <w:szCs w:val="18"/>
              </w:rPr>
            </w:pPr>
            <w:r w:rsidRPr="004E66B1">
              <w:rPr>
                <w:sz w:val="18"/>
                <w:szCs w:val="18"/>
              </w:rPr>
              <w:t>-1,673</w:t>
            </w:r>
          </w:p>
        </w:tc>
        <w:tc>
          <w:tcPr>
            <w:tcW w:w="709" w:type="dxa"/>
            <w:shd w:val="clear" w:color="auto" w:fill="FFFF00"/>
            <w:vAlign w:val="center"/>
          </w:tcPr>
          <w:p w:rsidR="0030599D" w:rsidRPr="004E66B1" w:rsidRDefault="0030599D" w:rsidP="00E42971">
            <w:pPr>
              <w:pStyle w:val="Geenafstand"/>
              <w:rPr>
                <w:sz w:val="18"/>
                <w:szCs w:val="18"/>
              </w:rPr>
            </w:pPr>
            <w:r>
              <w:rPr>
                <w:sz w:val="18"/>
                <w:szCs w:val="18"/>
              </w:rPr>
              <w:t>0</w:t>
            </w:r>
            <w:r w:rsidRPr="004E66B1">
              <w:rPr>
                <w:sz w:val="18"/>
                <w:szCs w:val="18"/>
              </w:rPr>
              <w:t>,094</w:t>
            </w:r>
          </w:p>
        </w:tc>
      </w:tr>
      <w:tr w:rsidR="0030599D" w:rsidRPr="006D7579" w:rsidTr="00BA05F6">
        <w:tc>
          <w:tcPr>
            <w:tcW w:w="5070" w:type="dxa"/>
            <w:gridSpan w:val="6"/>
            <w:tcBorders>
              <w:right w:val="single" w:sz="12" w:space="0" w:color="auto"/>
            </w:tcBorders>
            <w:vAlign w:val="center"/>
          </w:tcPr>
          <w:p w:rsidR="0030599D" w:rsidRPr="00D844E3" w:rsidRDefault="0030599D" w:rsidP="00E42971">
            <w:pPr>
              <w:pStyle w:val="Geenafstand"/>
              <w:rPr>
                <w:b/>
                <w:sz w:val="18"/>
                <w:szCs w:val="18"/>
              </w:rPr>
            </w:pPr>
            <w:r w:rsidRPr="00D844E3">
              <w:rPr>
                <w:b/>
                <w:sz w:val="18"/>
                <w:szCs w:val="18"/>
              </w:rPr>
              <w:t>Results Event windows combined</w:t>
            </w:r>
          </w:p>
        </w:tc>
        <w:tc>
          <w:tcPr>
            <w:tcW w:w="4819" w:type="dxa"/>
            <w:gridSpan w:val="6"/>
            <w:tcBorders>
              <w:left w:val="single" w:sz="12" w:space="0" w:color="auto"/>
              <w:bottom w:val="nil"/>
            </w:tcBorders>
            <w:vAlign w:val="center"/>
          </w:tcPr>
          <w:p w:rsidR="0030599D" w:rsidRPr="00C96FD7" w:rsidRDefault="0030599D" w:rsidP="00E42971">
            <w:pPr>
              <w:pStyle w:val="Geenafstand"/>
              <w:rPr>
                <w:b/>
                <w:sz w:val="18"/>
                <w:szCs w:val="18"/>
                <w:lang w:val="en-US"/>
              </w:rPr>
            </w:pPr>
          </w:p>
        </w:tc>
      </w:tr>
      <w:tr w:rsidR="00BA05F6" w:rsidRPr="00242B61" w:rsidTr="00BA05F6">
        <w:tc>
          <w:tcPr>
            <w:tcW w:w="1242" w:type="dxa"/>
            <w:vAlign w:val="center"/>
          </w:tcPr>
          <w:p w:rsidR="00BA05F6" w:rsidRPr="00242B61" w:rsidRDefault="00BA05F6" w:rsidP="00E42971">
            <w:pPr>
              <w:autoSpaceDE w:val="0"/>
              <w:autoSpaceDN w:val="0"/>
              <w:adjustRightInd w:val="0"/>
              <w:rPr>
                <w:rFonts w:cs="TimesNewRomanPSMT"/>
                <w:sz w:val="18"/>
                <w:szCs w:val="18"/>
              </w:rPr>
            </w:pPr>
            <w:r w:rsidRPr="00242B61">
              <w:rPr>
                <w:rFonts w:cs="TimesNewRomanPSMT"/>
                <w:sz w:val="18"/>
                <w:szCs w:val="18"/>
              </w:rPr>
              <w:t>Intercept</w:t>
            </w:r>
          </w:p>
        </w:tc>
        <w:tc>
          <w:tcPr>
            <w:tcW w:w="1134" w:type="dxa"/>
            <w:vAlign w:val="center"/>
          </w:tcPr>
          <w:p w:rsidR="00BA05F6" w:rsidRPr="00242B61" w:rsidRDefault="00BA05F6" w:rsidP="00E42971">
            <w:pPr>
              <w:pStyle w:val="Geenafstand"/>
              <w:rPr>
                <w:rFonts w:cs="TimesNewRomanPSMT"/>
                <w:sz w:val="18"/>
                <w:szCs w:val="18"/>
              </w:rPr>
            </w:pPr>
          </w:p>
        </w:tc>
        <w:tc>
          <w:tcPr>
            <w:tcW w:w="284" w:type="dxa"/>
            <w:vAlign w:val="center"/>
          </w:tcPr>
          <w:p w:rsidR="00BA05F6" w:rsidRPr="00242B61" w:rsidRDefault="00BA05F6" w:rsidP="00E42971">
            <w:pPr>
              <w:pStyle w:val="Geenafstand"/>
              <w:rPr>
                <w:rFonts w:cs="TimesNewRomanPSMT"/>
                <w:sz w:val="18"/>
                <w:szCs w:val="18"/>
              </w:rPr>
            </w:pPr>
          </w:p>
        </w:tc>
        <w:tc>
          <w:tcPr>
            <w:tcW w:w="850" w:type="dxa"/>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-0.0005</w:t>
            </w:r>
          </w:p>
        </w:tc>
        <w:tc>
          <w:tcPr>
            <w:tcW w:w="709" w:type="dxa"/>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-0.35</w:t>
            </w:r>
          </w:p>
        </w:tc>
        <w:tc>
          <w:tcPr>
            <w:tcW w:w="851" w:type="dxa"/>
            <w:tcBorders>
              <w:right w:val="single" w:sz="12" w:space="0" w:color="auto"/>
            </w:tcBorders>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0.731</w:t>
            </w:r>
          </w:p>
        </w:tc>
        <w:tc>
          <w:tcPr>
            <w:tcW w:w="1134" w:type="dxa"/>
            <w:vMerge w:val="restart"/>
            <w:tcBorders>
              <w:top w:val="nil"/>
              <w:left w:val="single" w:sz="12" w:space="0" w:color="auto"/>
              <w:right w:val="nil"/>
            </w:tcBorders>
          </w:tcPr>
          <w:p w:rsidR="00BA05F6" w:rsidRPr="00FB6AF5" w:rsidRDefault="00BA05F6" w:rsidP="00E42971">
            <w:pPr>
              <w:pStyle w:val="Geenafstand"/>
              <w:rPr>
                <w:color w:val="FF0000"/>
                <w:sz w:val="18"/>
                <w:szCs w:val="18"/>
              </w:rPr>
            </w:pPr>
          </w:p>
        </w:tc>
        <w:tc>
          <w:tcPr>
            <w:tcW w:w="3685" w:type="dxa"/>
            <w:gridSpan w:val="5"/>
            <w:vMerge w:val="restart"/>
            <w:tcBorders>
              <w:top w:val="nil"/>
              <w:left w:val="nil"/>
            </w:tcBorders>
            <w:vAlign w:val="center"/>
          </w:tcPr>
          <w:p w:rsidR="00BA05F6" w:rsidRPr="00B15AD8" w:rsidRDefault="00BA05F6" w:rsidP="00E42971">
            <w:pPr>
              <w:pStyle w:val="Geenafstand"/>
              <w:rPr>
                <w:color w:val="FF0000"/>
                <w:sz w:val="18"/>
                <w:szCs w:val="18"/>
              </w:rPr>
            </w:pPr>
          </w:p>
        </w:tc>
      </w:tr>
      <w:tr w:rsidR="00BA05F6" w:rsidRPr="00242B61" w:rsidTr="00BA05F6">
        <w:tc>
          <w:tcPr>
            <w:tcW w:w="1242" w:type="dxa"/>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Mkt_Ret</w:t>
            </w:r>
          </w:p>
        </w:tc>
        <w:tc>
          <w:tcPr>
            <w:tcW w:w="1134" w:type="dxa"/>
            <w:vAlign w:val="center"/>
          </w:tcPr>
          <w:p w:rsidR="00BA05F6" w:rsidRPr="00242B61" w:rsidRDefault="00BA05F6" w:rsidP="00E42971">
            <w:pPr>
              <w:pStyle w:val="Geenafstand"/>
              <w:rPr>
                <w:rFonts w:cs="TimesNewRomanPSMT"/>
                <w:sz w:val="18"/>
                <w:szCs w:val="18"/>
              </w:rPr>
            </w:pPr>
          </w:p>
        </w:tc>
        <w:tc>
          <w:tcPr>
            <w:tcW w:w="284" w:type="dxa"/>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w:t>
            </w:r>
          </w:p>
        </w:tc>
        <w:tc>
          <w:tcPr>
            <w:tcW w:w="850" w:type="dxa"/>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1.0376</w:t>
            </w:r>
          </w:p>
        </w:tc>
        <w:tc>
          <w:tcPr>
            <w:tcW w:w="709" w:type="dxa"/>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16.30</w:t>
            </w:r>
          </w:p>
        </w:tc>
        <w:tc>
          <w:tcPr>
            <w:tcW w:w="851" w:type="dxa"/>
            <w:tcBorders>
              <w:right w:val="single" w:sz="12" w:space="0" w:color="auto"/>
            </w:tcBorders>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&lt;0.001</w:t>
            </w:r>
          </w:p>
        </w:tc>
        <w:tc>
          <w:tcPr>
            <w:tcW w:w="1134" w:type="dxa"/>
            <w:vMerge/>
            <w:tcBorders>
              <w:top w:val="nil"/>
              <w:left w:val="single" w:sz="12" w:space="0" w:color="auto"/>
              <w:right w:val="nil"/>
            </w:tcBorders>
          </w:tcPr>
          <w:p w:rsidR="00BA05F6" w:rsidRPr="00FB6AF5" w:rsidRDefault="00BA05F6" w:rsidP="00E42971">
            <w:pPr>
              <w:pStyle w:val="Geenafstand"/>
              <w:rPr>
                <w:color w:val="FF0000"/>
                <w:sz w:val="18"/>
                <w:szCs w:val="18"/>
              </w:rPr>
            </w:pPr>
          </w:p>
        </w:tc>
        <w:tc>
          <w:tcPr>
            <w:tcW w:w="3685" w:type="dxa"/>
            <w:gridSpan w:val="5"/>
            <w:vMerge/>
            <w:tcBorders>
              <w:top w:val="nil"/>
              <w:left w:val="nil"/>
            </w:tcBorders>
            <w:vAlign w:val="center"/>
          </w:tcPr>
          <w:p w:rsidR="00BA05F6" w:rsidRPr="00B15AD8" w:rsidRDefault="00BA05F6" w:rsidP="00E42971">
            <w:pPr>
              <w:pStyle w:val="Geenafstand"/>
              <w:rPr>
                <w:b/>
                <w:color w:val="FF0000"/>
                <w:sz w:val="18"/>
                <w:szCs w:val="18"/>
              </w:rPr>
            </w:pPr>
          </w:p>
        </w:tc>
      </w:tr>
      <w:tr w:rsidR="00BA05F6" w:rsidRPr="00242B61" w:rsidTr="00BA05F6">
        <w:tc>
          <w:tcPr>
            <w:tcW w:w="1242" w:type="dxa"/>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ΔT-Bill</w:t>
            </w:r>
          </w:p>
        </w:tc>
        <w:tc>
          <w:tcPr>
            <w:tcW w:w="1134" w:type="dxa"/>
            <w:vAlign w:val="center"/>
          </w:tcPr>
          <w:p w:rsidR="00BA05F6" w:rsidRPr="00242B61" w:rsidRDefault="00BA05F6" w:rsidP="00E42971">
            <w:pPr>
              <w:pStyle w:val="Geenafstand"/>
              <w:rPr>
                <w:rFonts w:cs="TimesNewRomanPSMT"/>
                <w:sz w:val="18"/>
                <w:szCs w:val="18"/>
              </w:rPr>
            </w:pPr>
          </w:p>
        </w:tc>
        <w:tc>
          <w:tcPr>
            <w:tcW w:w="284" w:type="dxa"/>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w:t>
            </w:r>
          </w:p>
        </w:tc>
        <w:tc>
          <w:tcPr>
            <w:tcW w:w="850" w:type="dxa"/>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-0.0178</w:t>
            </w:r>
          </w:p>
        </w:tc>
        <w:tc>
          <w:tcPr>
            <w:tcW w:w="709" w:type="dxa"/>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-1.31</w:t>
            </w:r>
          </w:p>
        </w:tc>
        <w:tc>
          <w:tcPr>
            <w:tcW w:w="851" w:type="dxa"/>
            <w:tcBorders>
              <w:right w:val="single" w:sz="12" w:space="0" w:color="auto"/>
            </w:tcBorders>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0.096</w:t>
            </w:r>
          </w:p>
        </w:tc>
        <w:tc>
          <w:tcPr>
            <w:tcW w:w="1134" w:type="dxa"/>
            <w:vMerge/>
            <w:tcBorders>
              <w:top w:val="nil"/>
              <w:left w:val="single" w:sz="12" w:space="0" w:color="auto"/>
              <w:right w:val="nil"/>
            </w:tcBorders>
          </w:tcPr>
          <w:p w:rsidR="00BA05F6" w:rsidRPr="00FB6AF5" w:rsidRDefault="00BA05F6" w:rsidP="00E42971">
            <w:pPr>
              <w:pStyle w:val="Geenafstand"/>
              <w:rPr>
                <w:color w:val="FF0000"/>
                <w:sz w:val="18"/>
                <w:szCs w:val="18"/>
              </w:rPr>
            </w:pPr>
          </w:p>
        </w:tc>
        <w:tc>
          <w:tcPr>
            <w:tcW w:w="3685" w:type="dxa"/>
            <w:gridSpan w:val="5"/>
            <w:vMerge/>
            <w:tcBorders>
              <w:top w:val="nil"/>
              <w:left w:val="nil"/>
            </w:tcBorders>
            <w:vAlign w:val="center"/>
          </w:tcPr>
          <w:p w:rsidR="00BA05F6" w:rsidRPr="00B15AD8" w:rsidRDefault="00BA05F6" w:rsidP="00E42971">
            <w:pPr>
              <w:pStyle w:val="Geenafstand"/>
              <w:rPr>
                <w:color w:val="FF0000"/>
                <w:sz w:val="18"/>
                <w:szCs w:val="18"/>
              </w:rPr>
            </w:pPr>
          </w:p>
        </w:tc>
      </w:tr>
      <w:tr w:rsidR="00BA05F6" w:rsidRPr="00242B61" w:rsidTr="00BA05F6">
        <w:tc>
          <w:tcPr>
            <w:tcW w:w="1242" w:type="dxa"/>
            <w:shd w:val="clear" w:color="auto" w:fill="FFFF00"/>
            <w:vAlign w:val="center"/>
          </w:tcPr>
          <w:p w:rsidR="00BA05F6" w:rsidRPr="00242B61" w:rsidRDefault="00BA05F6" w:rsidP="00E42971">
            <w:pPr>
              <w:pStyle w:val="Geenafstand"/>
              <w:rPr>
                <w:sz w:val="18"/>
                <w:szCs w:val="18"/>
              </w:rPr>
            </w:pPr>
            <w:r w:rsidRPr="00242B61">
              <w:rPr>
                <w:sz w:val="18"/>
                <w:szCs w:val="18"/>
              </w:rPr>
              <w:t>FV_Events_</w:t>
            </w:r>
          </w:p>
          <w:p w:rsidR="00BA05F6" w:rsidRPr="00242B61" w:rsidRDefault="00BA05F6" w:rsidP="00E42971">
            <w:pPr>
              <w:pStyle w:val="Geenafstand"/>
              <w:rPr>
                <w:rFonts w:cs="TimesNewRomanPSMT"/>
                <w:sz w:val="18"/>
                <w:szCs w:val="18"/>
              </w:rPr>
            </w:pPr>
            <w:r w:rsidRPr="00242B61">
              <w:rPr>
                <w:sz w:val="18"/>
                <w:szCs w:val="18"/>
              </w:rPr>
              <w:t>Combined</w:t>
            </w:r>
          </w:p>
        </w:tc>
        <w:tc>
          <w:tcPr>
            <w:tcW w:w="1134" w:type="dxa"/>
            <w:shd w:val="clear" w:color="auto" w:fill="FFFF00"/>
            <w:vAlign w:val="center"/>
          </w:tcPr>
          <w:p w:rsidR="00BA05F6" w:rsidRPr="00242B61" w:rsidRDefault="00BA05F6" w:rsidP="00E42971">
            <w:pPr>
              <w:autoSpaceDE w:val="0"/>
              <w:autoSpaceDN w:val="0"/>
              <w:adjustRightInd w:val="0"/>
              <w:rPr>
                <w:rFonts w:cs="TimesNewRomanPSMT"/>
                <w:sz w:val="18"/>
                <w:szCs w:val="18"/>
              </w:rPr>
            </w:pPr>
            <w:r w:rsidRPr="00242B61">
              <w:rPr>
                <w:rFonts w:cs="TimesNewRomanPSMT"/>
                <w:sz w:val="18"/>
                <w:szCs w:val="18"/>
              </w:rPr>
              <w:t>8/29/08 to</w:t>
            </w:r>
          </w:p>
          <w:p w:rsidR="00BA05F6" w:rsidRPr="00242B61" w:rsidRDefault="00BA05F6" w:rsidP="00E42971">
            <w:pPr>
              <w:pStyle w:val="Geenafstand"/>
              <w:rPr>
                <w:rFonts w:cs="TimesNewRomanPSMT"/>
                <w:sz w:val="18"/>
                <w:szCs w:val="18"/>
              </w:rPr>
            </w:pPr>
            <w:r w:rsidRPr="00242B61">
              <w:rPr>
                <w:rFonts w:cs="TimesNewRomanPSMT"/>
                <w:sz w:val="18"/>
                <w:szCs w:val="18"/>
              </w:rPr>
              <w:t>4/3/09</w:t>
            </w:r>
          </w:p>
        </w:tc>
        <w:tc>
          <w:tcPr>
            <w:tcW w:w="284" w:type="dxa"/>
            <w:shd w:val="clear" w:color="auto" w:fill="FFFF00"/>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w:t>
            </w:r>
          </w:p>
        </w:tc>
        <w:tc>
          <w:tcPr>
            <w:tcW w:w="850" w:type="dxa"/>
            <w:shd w:val="clear" w:color="auto" w:fill="FFFF00"/>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0.0089</w:t>
            </w:r>
          </w:p>
        </w:tc>
        <w:tc>
          <w:tcPr>
            <w:tcW w:w="709" w:type="dxa"/>
            <w:shd w:val="clear" w:color="auto" w:fill="FFFF00"/>
            <w:vAlign w:val="center"/>
          </w:tcPr>
          <w:p w:rsidR="00BA05F6" w:rsidRPr="00242B61" w:rsidRDefault="00BA05F6" w:rsidP="00E42971">
            <w:pPr>
              <w:pStyle w:val="Geenafstand"/>
              <w:rPr>
                <w:rFonts w:cs="TimesNewRomanPSMT"/>
                <w:sz w:val="18"/>
                <w:szCs w:val="18"/>
              </w:rPr>
            </w:pPr>
            <w:r w:rsidRPr="00242B61">
              <w:rPr>
                <w:rFonts w:cs="TimesNewRomanPSMT"/>
                <w:sz w:val="18"/>
                <w:szCs w:val="18"/>
              </w:rPr>
              <w:t>3.13</w:t>
            </w:r>
          </w:p>
        </w:tc>
        <w:tc>
          <w:tcPr>
            <w:tcW w:w="851" w:type="dxa"/>
            <w:tcBorders>
              <w:right w:val="single" w:sz="12" w:space="0" w:color="auto"/>
            </w:tcBorders>
            <w:shd w:val="clear" w:color="auto" w:fill="FFFF00"/>
            <w:vAlign w:val="center"/>
          </w:tcPr>
          <w:p w:rsidR="00BA05F6" w:rsidRPr="00242B61" w:rsidRDefault="00BA05F6" w:rsidP="00E42971">
            <w:pPr>
              <w:pStyle w:val="Geenafstand"/>
              <w:rPr>
                <w:rFonts w:cs="TimesNewRomanPSMT"/>
                <w:sz w:val="18"/>
                <w:szCs w:val="18"/>
              </w:rPr>
            </w:pPr>
            <w:r w:rsidRPr="00242B61">
              <w:rPr>
                <w:rFonts w:cs="TimesNewRomanPS-BoldMT"/>
                <w:b/>
                <w:bCs/>
                <w:sz w:val="18"/>
                <w:szCs w:val="18"/>
              </w:rPr>
              <w:t>0.001</w:t>
            </w:r>
          </w:p>
        </w:tc>
        <w:tc>
          <w:tcPr>
            <w:tcW w:w="1134" w:type="dxa"/>
            <w:vMerge/>
            <w:tcBorders>
              <w:top w:val="nil"/>
              <w:left w:val="single" w:sz="12" w:space="0" w:color="auto"/>
              <w:right w:val="nil"/>
            </w:tcBorders>
            <w:shd w:val="clear" w:color="auto" w:fill="D9D9D9" w:themeFill="background1" w:themeFillShade="D9"/>
          </w:tcPr>
          <w:p w:rsidR="00BA05F6" w:rsidRPr="00FB6AF5" w:rsidRDefault="00BA05F6" w:rsidP="00E42971">
            <w:pPr>
              <w:pStyle w:val="Geenafstand"/>
              <w:rPr>
                <w:color w:val="FF0000"/>
                <w:sz w:val="18"/>
                <w:szCs w:val="18"/>
              </w:rPr>
            </w:pPr>
          </w:p>
        </w:tc>
        <w:tc>
          <w:tcPr>
            <w:tcW w:w="3685" w:type="dxa"/>
            <w:gridSpan w:val="5"/>
            <w:vMerge/>
            <w:tcBorders>
              <w:top w:val="nil"/>
              <w:left w:val="nil"/>
            </w:tcBorders>
            <w:shd w:val="clear" w:color="auto" w:fill="D9D9D9" w:themeFill="background1" w:themeFillShade="D9"/>
            <w:vAlign w:val="center"/>
          </w:tcPr>
          <w:p w:rsidR="00BA05F6" w:rsidRPr="00B15AD8" w:rsidRDefault="00BA05F6" w:rsidP="00E42971">
            <w:pPr>
              <w:pStyle w:val="Geenafstand"/>
              <w:rPr>
                <w:b/>
                <w:color w:val="FF0000"/>
                <w:sz w:val="18"/>
                <w:szCs w:val="18"/>
              </w:rPr>
            </w:pPr>
          </w:p>
        </w:tc>
      </w:tr>
      <w:tr w:rsidR="0030599D" w:rsidRPr="00242B61" w:rsidTr="00E42971">
        <w:tc>
          <w:tcPr>
            <w:tcW w:w="9889" w:type="dxa"/>
            <w:gridSpan w:val="12"/>
            <w:shd w:val="clear" w:color="auto" w:fill="auto"/>
            <w:vAlign w:val="center"/>
          </w:tcPr>
          <w:p w:rsidR="0030599D" w:rsidRPr="001314FF" w:rsidRDefault="0030599D" w:rsidP="00E42971">
            <w:pPr>
              <w:pStyle w:val="Geenafstand"/>
              <w:rPr>
                <w:sz w:val="16"/>
                <w:szCs w:val="16"/>
              </w:rPr>
            </w:pPr>
            <w:r w:rsidRPr="001314FF">
              <w:rPr>
                <w:sz w:val="16"/>
                <w:szCs w:val="16"/>
              </w:rPr>
              <w:t>*Prediced signs</w:t>
            </w:r>
          </w:p>
        </w:tc>
      </w:tr>
    </w:tbl>
    <w:p w:rsidR="000C4206" w:rsidRPr="00DA0DCD" w:rsidRDefault="0042195C" w:rsidP="000C4206">
      <w:pPr>
        <w:rPr>
          <w:rStyle w:val="longtext1"/>
          <w:rFonts w:cs="Times New Roman"/>
          <w:shd w:val="clear" w:color="auto" w:fill="FFFFFF"/>
          <w:lang w:val="en-US"/>
        </w:rPr>
      </w:pPr>
      <w:r w:rsidRPr="00DA0DCD">
        <w:rPr>
          <w:rStyle w:val="longtext1"/>
          <w:rFonts w:cs="Times New Roman"/>
          <w:shd w:val="clear" w:color="auto" w:fill="FFFFFF"/>
          <w:lang w:val="en-US"/>
        </w:rPr>
        <w:t>Table 7.5 Comparison outcome Bowen et al. (2010) and outcome thesis</w:t>
      </w:r>
    </w:p>
    <w:p w:rsidR="00BA05F6" w:rsidRDefault="006270DF" w:rsidP="002640F9">
      <w:pPr>
        <w:rPr>
          <w:lang w:val="en-US"/>
        </w:rPr>
      </w:pPr>
      <w:r>
        <w:rPr>
          <w:lang w:val="en-US"/>
        </w:rPr>
        <w:t xml:space="preserve">The second event window of Bowen et al. (2010) and the fifth event of the research of this thesis are the same and represent both the introduction of the reclassification option in IAS 39. The second event window of Bowen et al. (2010) show a non-significant positive beta of 0.0078 and a p-value of 0,323. The fifth event of the research of this thesis show a non-significant positive beta of 0,004 and a p-value of 0,456. </w:t>
      </w:r>
      <w:r w:rsidR="004555F7">
        <w:rPr>
          <w:lang w:val="en-US"/>
        </w:rPr>
        <w:t xml:space="preserve">Event window eight of Bowen et al. (2010) represents the political pressure on the FASB to relax the FVA rules. During this </w:t>
      </w:r>
      <w:r w:rsidR="004A2805">
        <w:rPr>
          <w:lang w:val="en-US"/>
        </w:rPr>
        <w:t>event,</w:t>
      </w:r>
      <w:r w:rsidR="004555F7">
        <w:rPr>
          <w:lang w:val="en-US"/>
        </w:rPr>
        <w:t xml:space="preserve"> a positive significant beta of 0,017 is shown, with a p-value of 0,015. The tenth event of the research of Bowen et al. (2010) represents affirmation of the FASB that the FVA rules are relaxed. This event window show a positive non-significant beta of 0,0032 with a p-value of 0,190. </w:t>
      </w:r>
      <w:r w:rsidR="00C00D5B">
        <w:rPr>
          <w:lang w:val="en-US"/>
        </w:rPr>
        <w:t>The description of the individual event windows in the US is presented in appendix E (table E.2).</w:t>
      </w:r>
      <w:r w:rsidR="00431DC1" w:rsidRPr="00DA0DCD">
        <w:rPr>
          <w:lang w:val="en-US"/>
        </w:rPr>
        <w:t xml:space="preserve">The </w:t>
      </w:r>
      <w:r w:rsidR="004555F7" w:rsidRPr="00DA0DCD">
        <w:rPr>
          <w:lang w:val="en-US"/>
        </w:rPr>
        <w:t xml:space="preserve">predicted </w:t>
      </w:r>
      <w:r w:rsidR="00431DC1" w:rsidRPr="00DA0DCD">
        <w:rPr>
          <w:lang w:val="en-US"/>
        </w:rPr>
        <w:t>positive signs</w:t>
      </w:r>
      <w:r w:rsidR="00F05FD6">
        <w:rPr>
          <w:lang w:val="en-US"/>
        </w:rPr>
        <w:t xml:space="preserve"> (increased probability of introducing the relaxation)</w:t>
      </w:r>
      <w:r w:rsidR="00431DC1" w:rsidRPr="00DA0DCD">
        <w:rPr>
          <w:lang w:val="en-US"/>
        </w:rPr>
        <w:t xml:space="preserve"> </w:t>
      </w:r>
      <w:r w:rsidR="00C00D5B" w:rsidRPr="00DA0DCD">
        <w:rPr>
          <w:lang w:val="en-US"/>
        </w:rPr>
        <w:t xml:space="preserve">in the US </w:t>
      </w:r>
      <w:r w:rsidR="00431DC1" w:rsidRPr="00DA0DCD">
        <w:rPr>
          <w:lang w:val="en-US"/>
        </w:rPr>
        <w:t>show a positive beta, except for the fourth event window with a non-significant negative beta of -0,0037. O</w:t>
      </w:r>
      <w:r w:rsidR="00CA33CA" w:rsidRPr="00DA0DCD">
        <w:rPr>
          <w:lang w:val="en-US"/>
        </w:rPr>
        <w:t xml:space="preserve">n days with a predicted </w:t>
      </w:r>
      <w:r w:rsidR="00974546" w:rsidRPr="00DA0DCD">
        <w:rPr>
          <w:lang w:val="en-US"/>
        </w:rPr>
        <w:t xml:space="preserve">negative </w:t>
      </w:r>
      <w:r w:rsidR="00CA33CA" w:rsidRPr="00DA0DCD">
        <w:rPr>
          <w:lang w:val="en-US"/>
        </w:rPr>
        <w:t>sign</w:t>
      </w:r>
      <w:r w:rsidR="00F05FD6">
        <w:rPr>
          <w:lang w:val="en-US"/>
        </w:rPr>
        <w:t xml:space="preserve"> (decreased probability)</w:t>
      </w:r>
      <w:r w:rsidR="00BC55B0">
        <w:rPr>
          <w:lang w:val="en-US"/>
        </w:rPr>
        <w:t xml:space="preserve">, </w:t>
      </w:r>
      <w:r w:rsidR="00CA33CA" w:rsidRPr="00DA0DCD">
        <w:rPr>
          <w:lang w:val="en-US"/>
        </w:rPr>
        <w:t>a negative beta</w:t>
      </w:r>
      <w:r w:rsidR="00BC55B0">
        <w:rPr>
          <w:lang w:val="en-US"/>
        </w:rPr>
        <w:t xml:space="preserve"> is</w:t>
      </w:r>
      <w:r w:rsidR="00CA33CA" w:rsidRPr="00DA0DCD">
        <w:rPr>
          <w:lang w:val="en-US"/>
        </w:rPr>
        <w:t xml:space="preserve"> visible in the US. </w:t>
      </w:r>
      <w:r w:rsidR="00CB31A7" w:rsidRPr="00DA0DCD">
        <w:rPr>
          <w:lang w:val="en-US"/>
        </w:rPr>
        <w:t xml:space="preserve"> In Europe, the stock prices of banks </w:t>
      </w:r>
      <w:r w:rsidR="00C14EA1" w:rsidRPr="00DA0DCD">
        <w:rPr>
          <w:lang w:val="en-US"/>
        </w:rPr>
        <w:t>are predicted to react positively on event windows one th</w:t>
      </w:r>
      <w:r w:rsidR="00974546" w:rsidRPr="00DA0DCD">
        <w:rPr>
          <w:lang w:val="en-US"/>
        </w:rPr>
        <w:t>r</w:t>
      </w:r>
      <w:r w:rsidR="00C14EA1" w:rsidRPr="00DA0DCD">
        <w:rPr>
          <w:lang w:val="en-US"/>
        </w:rPr>
        <w:t>ough five. Only the fifth window gives a positive sign with a beta of 0,004 but is not significant with a p-value of 0,456.</w:t>
      </w:r>
      <w:r w:rsidR="0056359C">
        <w:rPr>
          <w:lang w:val="en-US"/>
        </w:rPr>
        <w:t xml:space="preserve"> </w:t>
      </w:r>
      <w:r w:rsidR="00C14EA1" w:rsidRPr="00DA0DCD">
        <w:rPr>
          <w:lang w:val="en-US"/>
        </w:rPr>
        <w:t>By comb</w:t>
      </w:r>
      <w:r w:rsidR="00BC55B0">
        <w:rPr>
          <w:lang w:val="en-US"/>
        </w:rPr>
        <w:t>in</w:t>
      </w:r>
      <w:r w:rsidR="00C14EA1" w:rsidRPr="00DA0DCD">
        <w:rPr>
          <w:lang w:val="en-US"/>
        </w:rPr>
        <w:t>ing the event</w:t>
      </w:r>
      <w:r w:rsidR="00F16FD5" w:rsidRPr="00DA0DCD">
        <w:rPr>
          <w:lang w:val="en-US"/>
        </w:rPr>
        <w:t xml:space="preserve"> window</w:t>
      </w:r>
      <w:r w:rsidR="00C14EA1" w:rsidRPr="00DA0DCD">
        <w:rPr>
          <w:lang w:val="en-US"/>
        </w:rPr>
        <w:t>s</w:t>
      </w:r>
      <w:r w:rsidR="00974546" w:rsidRPr="00DA0DCD">
        <w:rPr>
          <w:lang w:val="en-US"/>
        </w:rPr>
        <w:t xml:space="preserve"> together</w:t>
      </w:r>
      <w:r w:rsidR="00C14EA1" w:rsidRPr="00DA0DCD">
        <w:rPr>
          <w:lang w:val="en-US"/>
        </w:rPr>
        <w:t xml:space="preserve">, the </w:t>
      </w:r>
      <w:r w:rsidR="00DC5A95" w:rsidRPr="00DA0DCD">
        <w:rPr>
          <w:lang w:val="en-US"/>
        </w:rPr>
        <w:t>beta</w:t>
      </w:r>
      <w:r w:rsidR="00C14EA1" w:rsidRPr="00DA0DCD">
        <w:rPr>
          <w:lang w:val="en-US"/>
        </w:rPr>
        <w:t xml:space="preserve"> in the US </w:t>
      </w:r>
      <w:r w:rsidR="00DC5A95" w:rsidRPr="00DA0DCD">
        <w:rPr>
          <w:lang w:val="en-US"/>
        </w:rPr>
        <w:t>is</w:t>
      </w:r>
      <w:r w:rsidR="00C14EA1" w:rsidRPr="00DA0DCD">
        <w:rPr>
          <w:lang w:val="en-US"/>
        </w:rPr>
        <w:t xml:space="preserve"> more positively with a significant beta of 0,0089 compared with a non-significant negative beta of -0,008 in Europe</w:t>
      </w:r>
      <w:r w:rsidR="00DC28E1">
        <w:rPr>
          <w:lang w:val="en-US"/>
        </w:rPr>
        <w:t>.</w:t>
      </w:r>
    </w:p>
    <w:p w:rsidR="00DC28E1" w:rsidRPr="003D5BCD" w:rsidRDefault="0056359C" w:rsidP="002640F9">
      <w:pPr>
        <w:rPr>
          <w:lang w:val="en-US"/>
        </w:rPr>
      </w:pPr>
      <w:r>
        <w:rPr>
          <w:lang w:val="en-US"/>
        </w:rPr>
        <w:t>C</w:t>
      </w:r>
      <w:r w:rsidR="0040471F" w:rsidRPr="003D5BCD">
        <w:rPr>
          <w:lang w:val="en-US"/>
        </w:rPr>
        <w:t xml:space="preserve">omparing the positive non-significant beta of the tenth event of Bowen et al. (2010) with the positive non-significant beta of the fifth event window of the research of this thesis, hypothesis two can be rejected. However, based on the comparison of </w:t>
      </w:r>
      <w:r w:rsidR="003D5BCD" w:rsidRPr="003D5BCD">
        <w:rPr>
          <w:lang w:val="en-US"/>
        </w:rPr>
        <w:t>the second and eighth event window in US with the fifth event window in Europe and the</w:t>
      </w:r>
      <w:r w:rsidR="0040471F" w:rsidRPr="003D5BCD">
        <w:rPr>
          <w:lang w:val="en-US"/>
        </w:rPr>
        <w:t xml:space="preserve"> event windows combined of both studies, hypothesis two can be accepted. </w:t>
      </w:r>
    </w:p>
    <w:p w:rsidR="0087717C" w:rsidRDefault="0087717C" w:rsidP="00BA05F6">
      <w:pPr>
        <w:pStyle w:val="Kop3"/>
        <w:numPr>
          <w:ilvl w:val="2"/>
          <w:numId w:val="14"/>
        </w:numPr>
        <w:rPr>
          <w:lang w:val="en-US"/>
        </w:rPr>
      </w:pPr>
      <w:bookmarkStart w:id="78" w:name="_Toc270770612"/>
      <w:r w:rsidRPr="00DA0DCD">
        <w:rPr>
          <w:lang w:val="en-US"/>
        </w:rPr>
        <w:t>Results of the third hypothesis</w:t>
      </w:r>
      <w:bookmarkEnd w:id="78"/>
    </w:p>
    <w:p w:rsidR="000C4206" w:rsidRPr="00DA0DCD" w:rsidRDefault="000C4206" w:rsidP="000C4206">
      <w:pPr>
        <w:rPr>
          <w:rStyle w:val="longtext1"/>
          <w:rFonts w:cs="Times New Roman"/>
          <w:i/>
          <w:sz w:val="22"/>
          <w:szCs w:val="22"/>
          <w:shd w:val="clear" w:color="auto" w:fill="FFFFFF"/>
          <w:lang w:val="en-US"/>
        </w:rPr>
      </w:pPr>
      <w:r w:rsidRPr="00DA0DCD">
        <w:rPr>
          <w:rStyle w:val="longtext1"/>
          <w:rFonts w:cs="Times New Roman"/>
          <w:sz w:val="22"/>
          <w:szCs w:val="22"/>
          <w:shd w:val="clear" w:color="auto" w:fill="FFFFFF"/>
          <w:lang w:val="en-US"/>
        </w:rPr>
        <w:t xml:space="preserve">Hypothesis 3: </w:t>
      </w:r>
      <w:r w:rsidRPr="00DA0DCD">
        <w:rPr>
          <w:rStyle w:val="longtext1"/>
          <w:rFonts w:cs="Times New Roman"/>
          <w:i/>
          <w:sz w:val="22"/>
          <w:szCs w:val="22"/>
          <w:shd w:val="clear" w:color="auto" w:fill="FFFFFF"/>
          <w:lang w:val="en-US"/>
        </w:rPr>
        <w:t xml:space="preserve">The absolute value of the stock price reaction </w:t>
      </w:r>
      <w:r w:rsidR="0077354B" w:rsidRPr="00DA0DCD">
        <w:rPr>
          <w:rStyle w:val="longtext1"/>
          <w:rFonts w:cs="Times New Roman"/>
          <w:i/>
          <w:sz w:val="22"/>
          <w:szCs w:val="22"/>
          <w:shd w:val="clear" w:color="auto" w:fill="FFFFFF"/>
          <w:lang w:val="en-US"/>
        </w:rPr>
        <w:t>of</w:t>
      </w:r>
      <w:r w:rsidRPr="00DA0DCD">
        <w:rPr>
          <w:rStyle w:val="longtext1"/>
          <w:rFonts w:cs="Times New Roman"/>
          <w:i/>
          <w:sz w:val="22"/>
          <w:szCs w:val="22"/>
          <w:shd w:val="clear" w:color="auto" w:fill="FFFFFF"/>
          <w:lang w:val="en-US"/>
        </w:rPr>
        <w:t xml:space="preserve"> banks on the events in Europe will be stronger than the absolute value stock price reactions </w:t>
      </w:r>
      <w:r w:rsidR="0077354B" w:rsidRPr="00DA0DCD">
        <w:rPr>
          <w:rStyle w:val="longtext1"/>
          <w:rFonts w:cs="Times New Roman"/>
          <w:i/>
          <w:sz w:val="22"/>
          <w:szCs w:val="22"/>
          <w:shd w:val="clear" w:color="auto" w:fill="FFFFFF"/>
          <w:lang w:val="en-US"/>
        </w:rPr>
        <w:t>of</w:t>
      </w:r>
      <w:r w:rsidRPr="00DA0DCD">
        <w:rPr>
          <w:rStyle w:val="longtext1"/>
          <w:rFonts w:cs="Times New Roman"/>
          <w:i/>
          <w:sz w:val="22"/>
          <w:szCs w:val="22"/>
          <w:shd w:val="clear" w:color="auto" w:fill="FFFFFF"/>
          <w:lang w:val="en-US"/>
        </w:rPr>
        <w:t xml:space="preserve"> insurance companies in Europe.</w:t>
      </w:r>
    </w:p>
    <w:p w:rsidR="00A40395" w:rsidRPr="00DA0DCD" w:rsidRDefault="00285EAA" w:rsidP="000C4206">
      <w:pPr>
        <w:rPr>
          <w:rStyle w:val="longtext1"/>
          <w:rFonts w:cs="Times New Roman"/>
          <w:sz w:val="22"/>
          <w:szCs w:val="22"/>
          <w:shd w:val="clear" w:color="auto" w:fill="FFFFFF"/>
          <w:lang w:val="en-US"/>
        </w:rPr>
      </w:pPr>
      <w:r w:rsidRPr="00DA0DCD">
        <w:rPr>
          <w:rStyle w:val="longtext1"/>
          <w:rFonts w:cs="Times New Roman"/>
          <w:sz w:val="22"/>
          <w:szCs w:val="22"/>
          <w:shd w:val="clear" w:color="auto" w:fill="FFFFFF"/>
          <w:lang w:val="en-US"/>
        </w:rPr>
        <w:t xml:space="preserve">The third hypothesis is tested using Eq. (6.1) </w:t>
      </w:r>
      <w:r w:rsidR="00DA7BCC" w:rsidRPr="00DA0DCD">
        <w:rPr>
          <w:rStyle w:val="longtext1"/>
          <w:rFonts w:cs="Times New Roman"/>
          <w:sz w:val="22"/>
          <w:szCs w:val="22"/>
          <w:shd w:val="clear" w:color="auto" w:fill="FFFFFF"/>
          <w:lang w:val="en-US"/>
        </w:rPr>
        <w:t xml:space="preserve">and Eq. (6.2) for the banks plus insurance </w:t>
      </w:r>
      <w:r w:rsidR="00880472" w:rsidRPr="00DA0DCD">
        <w:rPr>
          <w:rStyle w:val="longtext1"/>
          <w:rFonts w:cs="Times New Roman"/>
          <w:sz w:val="22"/>
          <w:szCs w:val="22"/>
          <w:shd w:val="clear" w:color="auto" w:fill="FFFFFF"/>
          <w:lang w:val="en-US"/>
        </w:rPr>
        <w:t>companies’</w:t>
      </w:r>
      <w:r w:rsidR="00DA7BCC" w:rsidRPr="00DA0DCD">
        <w:rPr>
          <w:rStyle w:val="longtext1"/>
          <w:rFonts w:cs="Times New Roman"/>
          <w:sz w:val="22"/>
          <w:szCs w:val="22"/>
          <w:shd w:val="clear" w:color="auto" w:fill="FFFFFF"/>
          <w:lang w:val="en-US"/>
        </w:rPr>
        <w:t xml:space="preserve"> sample, </w:t>
      </w:r>
      <w:r w:rsidR="00880472" w:rsidRPr="00DA0DCD">
        <w:rPr>
          <w:rStyle w:val="longtext1"/>
          <w:rFonts w:cs="Times New Roman"/>
          <w:sz w:val="22"/>
          <w:szCs w:val="22"/>
          <w:shd w:val="clear" w:color="auto" w:fill="FFFFFF"/>
          <w:lang w:val="en-US"/>
        </w:rPr>
        <w:t xml:space="preserve">the </w:t>
      </w:r>
      <w:r w:rsidR="00DA7BCC" w:rsidRPr="00DA0DCD">
        <w:rPr>
          <w:rStyle w:val="longtext1"/>
          <w:rFonts w:cs="Times New Roman"/>
          <w:sz w:val="22"/>
          <w:szCs w:val="22"/>
          <w:shd w:val="clear" w:color="auto" w:fill="FFFFFF"/>
          <w:lang w:val="en-US"/>
        </w:rPr>
        <w:t xml:space="preserve">only bank sample and </w:t>
      </w:r>
      <w:r w:rsidR="00880472" w:rsidRPr="00DA0DCD">
        <w:rPr>
          <w:rStyle w:val="longtext1"/>
          <w:rFonts w:cs="Times New Roman"/>
          <w:sz w:val="22"/>
          <w:szCs w:val="22"/>
          <w:shd w:val="clear" w:color="auto" w:fill="FFFFFF"/>
          <w:lang w:val="en-US"/>
        </w:rPr>
        <w:t xml:space="preserve">the </w:t>
      </w:r>
      <w:r w:rsidR="00DA7BCC" w:rsidRPr="00DA0DCD">
        <w:rPr>
          <w:rStyle w:val="longtext1"/>
          <w:rFonts w:cs="Times New Roman"/>
          <w:sz w:val="22"/>
          <w:szCs w:val="22"/>
          <w:shd w:val="clear" w:color="auto" w:fill="FFFFFF"/>
          <w:lang w:val="en-US"/>
        </w:rPr>
        <w:t xml:space="preserve">only insurance </w:t>
      </w:r>
      <w:r w:rsidR="00880472" w:rsidRPr="00DA0DCD">
        <w:rPr>
          <w:rStyle w:val="longtext1"/>
          <w:rFonts w:cs="Times New Roman"/>
          <w:sz w:val="22"/>
          <w:szCs w:val="22"/>
          <w:shd w:val="clear" w:color="auto" w:fill="FFFFFF"/>
          <w:lang w:val="en-US"/>
        </w:rPr>
        <w:t>companies’</w:t>
      </w:r>
      <w:r w:rsidR="00DA7BCC" w:rsidRPr="00DA0DCD">
        <w:rPr>
          <w:rStyle w:val="longtext1"/>
          <w:rFonts w:cs="Times New Roman"/>
          <w:sz w:val="22"/>
          <w:szCs w:val="22"/>
          <w:shd w:val="clear" w:color="auto" w:fill="FFFFFF"/>
          <w:lang w:val="en-US"/>
        </w:rPr>
        <w:t xml:space="preserve"> sample. The banks plus insurance </w:t>
      </w:r>
      <w:r w:rsidR="00DA7BCC" w:rsidRPr="00DA0DCD">
        <w:rPr>
          <w:rStyle w:val="longtext1"/>
          <w:rFonts w:cs="Times New Roman"/>
          <w:sz w:val="22"/>
          <w:szCs w:val="22"/>
          <w:shd w:val="clear" w:color="auto" w:fill="FFFFFF"/>
          <w:lang w:val="en-US"/>
        </w:rPr>
        <w:lastRenderedPageBreak/>
        <w:t xml:space="preserve">companies sample is tested for the significance and direction of the stock price reaction </w:t>
      </w:r>
      <w:r w:rsidR="00880472" w:rsidRPr="00DA0DCD">
        <w:rPr>
          <w:rStyle w:val="longtext1"/>
          <w:rFonts w:cs="Times New Roman"/>
          <w:sz w:val="22"/>
          <w:szCs w:val="22"/>
          <w:shd w:val="clear" w:color="auto" w:fill="FFFFFF"/>
          <w:lang w:val="en-US"/>
        </w:rPr>
        <w:t xml:space="preserve">of the samples together. </w:t>
      </w:r>
      <w:r w:rsidR="00F05FD6">
        <w:rPr>
          <w:rStyle w:val="longtext1"/>
          <w:rFonts w:cs="Times New Roman"/>
          <w:sz w:val="22"/>
          <w:szCs w:val="22"/>
          <w:shd w:val="clear" w:color="auto" w:fill="FFFFFF"/>
          <w:lang w:val="en-US"/>
        </w:rPr>
        <w:t>Hence</w:t>
      </w:r>
      <w:r w:rsidR="00DA7BCC" w:rsidRPr="00DA0DCD">
        <w:rPr>
          <w:rStyle w:val="longtext1"/>
          <w:rFonts w:cs="Times New Roman"/>
          <w:sz w:val="22"/>
          <w:szCs w:val="22"/>
          <w:shd w:val="clear" w:color="auto" w:fill="FFFFFF"/>
          <w:lang w:val="en-US"/>
        </w:rPr>
        <w:t>, the only bank</w:t>
      </w:r>
      <w:r w:rsidR="0056359C">
        <w:rPr>
          <w:rStyle w:val="longtext1"/>
          <w:rFonts w:cs="Times New Roman"/>
          <w:sz w:val="22"/>
          <w:szCs w:val="22"/>
          <w:shd w:val="clear" w:color="auto" w:fill="FFFFFF"/>
          <w:lang w:val="en-US"/>
        </w:rPr>
        <w:t>s</w:t>
      </w:r>
      <w:r w:rsidR="00DA7BCC" w:rsidRPr="00DA0DCD">
        <w:rPr>
          <w:rStyle w:val="longtext1"/>
          <w:rFonts w:cs="Times New Roman"/>
          <w:sz w:val="22"/>
          <w:szCs w:val="22"/>
          <w:shd w:val="clear" w:color="auto" w:fill="FFFFFF"/>
          <w:lang w:val="en-US"/>
        </w:rPr>
        <w:t xml:space="preserve"> sample and only insurance companies</w:t>
      </w:r>
      <w:r w:rsidR="0056359C">
        <w:rPr>
          <w:rStyle w:val="longtext1"/>
          <w:rFonts w:cs="Times New Roman"/>
          <w:sz w:val="22"/>
          <w:szCs w:val="22"/>
          <w:shd w:val="clear" w:color="auto" w:fill="FFFFFF"/>
          <w:lang w:val="en-US"/>
        </w:rPr>
        <w:t>’</w:t>
      </w:r>
      <w:r w:rsidR="00DA7BCC" w:rsidRPr="00DA0DCD">
        <w:rPr>
          <w:rStyle w:val="longtext1"/>
          <w:rFonts w:cs="Times New Roman"/>
          <w:sz w:val="22"/>
          <w:szCs w:val="22"/>
          <w:shd w:val="clear" w:color="auto" w:fill="FFFFFF"/>
          <w:lang w:val="en-US"/>
        </w:rPr>
        <w:t xml:space="preserve"> sample are separate tested and compared to give answer to this third hypothesis.</w:t>
      </w:r>
    </w:p>
    <w:p w:rsidR="008355E8" w:rsidRPr="00DA0DCD" w:rsidRDefault="008355E8" w:rsidP="008355E8">
      <w:pPr>
        <w:spacing w:after="0"/>
        <w:rPr>
          <w:rStyle w:val="longtext1"/>
          <w:rFonts w:cs="Times New Roman"/>
          <w:b/>
          <w:i/>
          <w:sz w:val="22"/>
          <w:szCs w:val="22"/>
          <w:shd w:val="clear" w:color="auto" w:fill="FFFFFF"/>
          <w:lang w:val="en-US"/>
        </w:rPr>
      </w:pPr>
      <w:r w:rsidRPr="00DA0DCD">
        <w:rPr>
          <w:rStyle w:val="longtext1"/>
          <w:rFonts w:cs="Times New Roman"/>
          <w:b/>
          <w:i/>
          <w:sz w:val="22"/>
          <w:szCs w:val="22"/>
          <w:shd w:val="clear" w:color="auto" w:fill="FFFFFF"/>
          <w:lang w:val="en-US"/>
        </w:rPr>
        <w:t>Banks and insurance companies sample</w:t>
      </w:r>
      <w:r w:rsidR="006033A0" w:rsidRPr="00DA0DCD">
        <w:rPr>
          <w:rStyle w:val="longtext1"/>
          <w:rFonts w:cs="Times New Roman"/>
          <w:b/>
          <w:i/>
          <w:sz w:val="22"/>
          <w:szCs w:val="22"/>
          <w:shd w:val="clear" w:color="auto" w:fill="FFFFFF"/>
          <w:lang w:val="en-US"/>
        </w:rPr>
        <w:t xml:space="preserve"> together</w:t>
      </w:r>
    </w:p>
    <w:p w:rsidR="00BA05F6" w:rsidRDefault="00631C86" w:rsidP="008355E8">
      <w:pPr>
        <w:spacing w:after="0"/>
        <w:rPr>
          <w:lang w:val="en-US"/>
        </w:rPr>
      </w:pPr>
      <w:r w:rsidRPr="00DA0DCD">
        <w:rPr>
          <w:rStyle w:val="longtext1"/>
          <w:rFonts w:cs="Times New Roman"/>
          <w:sz w:val="22"/>
          <w:szCs w:val="22"/>
          <w:shd w:val="clear" w:color="auto" w:fill="FFFFFF"/>
          <w:lang w:val="en-US"/>
        </w:rPr>
        <w:t>Before showing the</w:t>
      </w:r>
      <w:r w:rsidR="002F1E7E" w:rsidRPr="00DA0DCD">
        <w:rPr>
          <w:rStyle w:val="longtext1"/>
          <w:rFonts w:cs="Times New Roman"/>
          <w:sz w:val="22"/>
          <w:szCs w:val="22"/>
          <w:shd w:val="clear" w:color="auto" w:fill="FFFFFF"/>
          <w:lang w:val="en-US"/>
        </w:rPr>
        <w:t xml:space="preserve"> outcome of the regressions </w:t>
      </w:r>
      <w:r w:rsidR="002F1E7E" w:rsidRPr="00DA0DCD">
        <w:rPr>
          <w:lang w:val="en-US"/>
        </w:rPr>
        <w:t>Eq. (6.1) and Eq</w:t>
      </w:r>
      <w:r w:rsidR="00880472" w:rsidRPr="00DA0DCD">
        <w:rPr>
          <w:lang w:val="en-US"/>
        </w:rPr>
        <w:t>. (</w:t>
      </w:r>
      <w:r w:rsidR="002F1E7E" w:rsidRPr="00DA0DCD">
        <w:rPr>
          <w:lang w:val="en-US"/>
        </w:rPr>
        <w:t>6.2) of only banks and only insurance companies, the results of banks and insurance companies together are first presented in table 7.6.</w:t>
      </w:r>
    </w:p>
    <w:tbl>
      <w:tblPr>
        <w:tblW w:w="745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323"/>
        <w:gridCol w:w="1133"/>
        <w:gridCol w:w="974"/>
        <w:gridCol w:w="809"/>
        <w:gridCol w:w="809"/>
        <w:gridCol w:w="974"/>
        <w:gridCol w:w="971"/>
        <w:gridCol w:w="810"/>
        <w:gridCol w:w="648"/>
      </w:tblGrid>
      <w:tr w:rsidR="00F52B2B" w:rsidRPr="00DA0DCD" w:rsidTr="005F2D2D">
        <w:trPr>
          <w:cantSplit/>
          <w:tblHeader/>
        </w:trPr>
        <w:tc>
          <w:tcPr>
            <w:tcW w:w="3543" w:type="dxa"/>
            <w:gridSpan w:val="5"/>
            <w:tcBorders>
              <w:top w:val="single" w:sz="16" w:space="0" w:color="000000"/>
              <w:left w:val="single" w:sz="16" w:space="0" w:color="000000"/>
              <w:bottom w:val="single" w:sz="16" w:space="0" w:color="000000"/>
              <w:right w:val="single" w:sz="12" w:space="0" w:color="auto"/>
            </w:tcBorders>
            <w:shd w:val="clear" w:color="auto" w:fill="FFFFFF"/>
            <w:tcMar>
              <w:top w:w="30" w:type="dxa"/>
              <w:left w:w="30" w:type="dxa"/>
              <w:bottom w:w="30" w:type="dxa"/>
              <w:right w:w="30" w:type="dxa"/>
            </w:tcMar>
            <w:vAlign w:val="bottom"/>
          </w:tcPr>
          <w:p w:rsidR="00F52B2B" w:rsidRPr="00DA0DCD" w:rsidRDefault="00F52B2B" w:rsidP="005F2D2D">
            <w:pPr>
              <w:pStyle w:val="Geenafstand"/>
              <w:rPr>
                <w:b/>
                <w:sz w:val="18"/>
                <w:szCs w:val="18"/>
                <w:lang w:val="en-US"/>
              </w:rPr>
            </w:pPr>
            <w:r w:rsidRPr="00DA0DCD">
              <w:rPr>
                <w:b/>
                <w:sz w:val="18"/>
                <w:szCs w:val="18"/>
                <w:lang w:val="en-US"/>
              </w:rPr>
              <w:t>Banks and Insurance sample windows</w:t>
            </w:r>
          </w:p>
        </w:tc>
        <w:tc>
          <w:tcPr>
            <w:tcW w:w="2978" w:type="dxa"/>
            <w:gridSpan w:val="4"/>
            <w:tcBorders>
              <w:top w:val="single" w:sz="16" w:space="0" w:color="000000"/>
              <w:left w:val="single" w:sz="12" w:space="0" w:color="auto"/>
              <w:right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b/>
                <w:sz w:val="18"/>
                <w:szCs w:val="18"/>
                <w:lang w:val="en-US"/>
              </w:rPr>
            </w:pPr>
            <w:r w:rsidRPr="00DA0DCD">
              <w:rPr>
                <w:b/>
                <w:sz w:val="18"/>
                <w:szCs w:val="18"/>
                <w:lang w:val="en-US"/>
              </w:rPr>
              <w:t>Windows combined</w:t>
            </w:r>
          </w:p>
        </w:tc>
      </w:tr>
      <w:tr w:rsidR="00F52B2B" w:rsidRPr="00DA0DCD" w:rsidTr="005F2D2D">
        <w:trPr>
          <w:cantSplit/>
          <w:tblHeader/>
        </w:trPr>
        <w:tc>
          <w:tcPr>
            <w:tcW w:w="127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r w:rsidRPr="00DA0DCD">
              <w:rPr>
                <w:sz w:val="18"/>
                <w:szCs w:val="18"/>
                <w:lang w:val="en-US"/>
              </w:rPr>
              <w:t>Model</w:t>
            </w:r>
          </w:p>
        </w:tc>
        <w:tc>
          <w:tcPr>
            <w:tcW w:w="852" w:type="dxa"/>
            <w:tcBorders>
              <w:top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r w:rsidRPr="00DA0DCD">
              <w:rPr>
                <w:sz w:val="18"/>
                <w:szCs w:val="18"/>
                <w:lang w:val="en-US"/>
              </w:rPr>
              <w:t>St. Co- efficients</w:t>
            </w:r>
          </w:p>
        </w:tc>
        <w:tc>
          <w:tcPr>
            <w:tcW w:w="7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r w:rsidRPr="00DA0DCD">
              <w:rPr>
                <w:sz w:val="18"/>
                <w:szCs w:val="18"/>
                <w:lang w:val="en-US"/>
              </w:rPr>
              <w:t>t</w:t>
            </w:r>
          </w:p>
        </w:tc>
        <w:tc>
          <w:tcPr>
            <w:tcW w:w="708" w:type="dxa"/>
            <w:vMerge w:val="restart"/>
            <w:tcBorders>
              <w:top w:val="single" w:sz="16" w:space="0" w:color="000000"/>
              <w:bottom w:val="single" w:sz="16" w:space="0" w:color="000000"/>
              <w:right w:val="single" w:sz="12" w:space="0" w:color="auto"/>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r w:rsidRPr="00DA0DCD">
              <w:rPr>
                <w:sz w:val="18"/>
                <w:szCs w:val="18"/>
                <w:lang w:val="en-US"/>
              </w:rPr>
              <w:t>Sig.</w:t>
            </w:r>
          </w:p>
        </w:tc>
        <w:tc>
          <w:tcPr>
            <w:tcW w:w="852" w:type="dxa"/>
            <w:tcBorders>
              <w:top w:val="single" w:sz="16" w:space="0" w:color="000000"/>
              <w:left w:val="single" w:sz="12" w:space="0" w:color="auto"/>
              <w:right w:val="single" w:sz="4" w:space="0" w:color="auto"/>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p>
        </w:tc>
        <w:tc>
          <w:tcPr>
            <w:tcW w:w="850" w:type="dxa"/>
            <w:tcBorders>
              <w:top w:val="single" w:sz="16" w:space="0" w:color="000000"/>
              <w:left w:val="single" w:sz="4" w:space="0" w:color="auto"/>
            </w:tcBorders>
            <w:shd w:val="clear" w:color="auto" w:fill="FFFFFF"/>
            <w:vAlign w:val="bottom"/>
          </w:tcPr>
          <w:p w:rsidR="00F52B2B" w:rsidRPr="00DA0DCD" w:rsidRDefault="00F52B2B" w:rsidP="005F2D2D">
            <w:pPr>
              <w:pStyle w:val="Geenafstand"/>
              <w:rPr>
                <w:sz w:val="18"/>
                <w:szCs w:val="18"/>
                <w:lang w:val="en-US"/>
              </w:rPr>
            </w:pPr>
            <w:r w:rsidRPr="00DA0DCD">
              <w:rPr>
                <w:sz w:val="18"/>
                <w:szCs w:val="18"/>
                <w:lang w:val="en-US"/>
              </w:rPr>
              <w:t>St. Co- efficients</w:t>
            </w:r>
          </w:p>
        </w:tc>
        <w:tc>
          <w:tcPr>
            <w:tcW w:w="1276" w:type="dxa"/>
            <w:gridSpan w:val="2"/>
            <w:tcBorders>
              <w:top w:val="single" w:sz="16" w:space="0" w:color="000000"/>
              <w:right w:val="single" w:sz="12" w:space="0" w:color="auto"/>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p>
        </w:tc>
      </w:tr>
      <w:tr w:rsidR="00F52B2B" w:rsidRPr="00DA0DCD" w:rsidTr="005F2D2D">
        <w:trPr>
          <w:cantSplit/>
          <w:tblHeader/>
        </w:trPr>
        <w:tc>
          <w:tcPr>
            <w:tcW w:w="1275"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p>
        </w:tc>
        <w:tc>
          <w:tcPr>
            <w:tcW w:w="852" w:type="dxa"/>
            <w:tcBorders>
              <w:bottom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r w:rsidRPr="00DA0DCD">
              <w:rPr>
                <w:sz w:val="18"/>
                <w:szCs w:val="18"/>
                <w:lang w:val="en-US"/>
              </w:rPr>
              <w:t>Beta</w:t>
            </w:r>
          </w:p>
        </w:tc>
        <w:tc>
          <w:tcPr>
            <w:tcW w:w="7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p>
        </w:tc>
        <w:tc>
          <w:tcPr>
            <w:tcW w:w="708" w:type="dxa"/>
            <w:vMerge/>
            <w:tcBorders>
              <w:top w:val="single" w:sz="16" w:space="0" w:color="000000"/>
              <w:bottom w:val="single" w:sz="16" w:space="0" w:color="000000"/>
              <w:right w:val="single" w:sz="12" w:space="0" w:color="auto"/>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p>
        </w:tc>
        <w:tc>
          <w:tcPr>
            <w:tcW w:w="852" w:type="dxa"/>
            <w:tcBorders>
              <w:top w:val="nil"/>
              <w:left w:val="single" w:sz="12" w:space="0" w:color="auto"/>
              <w:bottom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r w:rsidRPr="00DA0DCD">
              <w:rPr>
                <w:sz w:val="18"/>
                <w:szCs w:val="18"/>
                <w:lang w:val="en-US"/>
              </w:rPr>
              <w:t>Model</w:t>
            </w:r>
          </w:p>
        </w:tc>
        <w:tc>
          <w:tcPr>
            <w:tcW w:w="850" w:type="dxa"/>
            <w:tcBorders>
              <w:top w:val="nil"/>
              <w:bottom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r w:rsidRPr="00DA0DCD">
              <w:rPr>
                <w:sz w:val="18"/>
                <w:szCs w:val="18"/>
                <w:lang w:val="en-US"/>
              </w:rPr>
              <w:t>Beta</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r w:rsidRPr="00DA0DCD">
              <w:rPr>
                <w:sz w:val="18"/>
                <w:szCs w:val="18"/>
                <w:lang w:val="en-US"/>
              </w:rPr>
              <w:t>t</w:t>
            </w:r>
          </w:p>
        </w:tc>
        <w:tc>
          <w:tcPr>
            <w:tcW w:w="567" w:type="dxa"/>
            <w:tcBorders>
              <w:bottom w:val="single" w:sz="12" w:space="0" w:color="auto"/>
              <w:right w:val="single" w:sz="12" w:space="0" w:color="auto"/>
            </w:tcBorders>
            <w:shd w:val="clear" w:color="auto" w:fill="FFFFFF"/>
            <w:tcMar>
              <w:top w:w="30" w:type="dxa"/>
              <w:left w:w="30" w:type="dxa"/>
              <w:bottom w:w="30" w:type="dxa"/>
              <w:right w:w="30" w:type="dxa"/>
            </w:tcMar>
            <w:vAlign w:val="bottom"/>
          </w:tcPr>
          <w:p w:rsidR="00F52B2B" w:rsidRPr="00DA0DCD" w:rsidRDefault="00F52B2B" w:rsidP="005F2D2D">
            <w:pPr>
              <w:pStyle w:val="Geenafstand"/>
              <w:rPr>
                <w:sz w:val="18"/>
                <w:szCs w:val="18"/>
                <w:lang w:val="en-US"/>
              </w:rPr>
            </w:pPr>
            <w:r w:rsidRPr="00DA0DCD">
              <w:rPr>
                <w:sz w:val="18"/>
                <w:szCs w:val="18"/>
                <w:lang w:val="en-US"/>
              </w:rPr>
              <w:t>Sig.</w:t>
            </w:r>
          </w:p>
        </w:tc>
      </w:tr>
      <w:tr w:rsidR="00F52B2B" w:rsidRPr="00DA0DCD" w:rsidTr="005F2D2D">
        <w:trPr>
          <w:cantSplit/>
          <w:tblHeader/>
        </w:trPr>
        <w:tc>
          <w:tcPr>
            <w:tcW w:w="28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(Constant)</w:t>
            </w:r>
          </w:p>
        </w:tc>
        <w:tc>
          <w:tcPr>
            <w:tcW w:w="852" w:type="dxa"/>
            <w:tcBorders>
              <w:top w:val="single" w:sz="16" w:space="0" w:color="000000"/>
              <w:bottom w:val="nil"/>
            </w:tcBorders>
            <w:shd w:val="clear" w:color="auto" w:fill="FFFFFF"/>
            <w:tcMar>
              <w:top w:w="30" w:type="dxa"/>
              <w:left w:w="30" w:type="dxa"/>
              <w:bottom w:w="30" w:type="dxa"/>
              <w:right w:w="30" w:type="dxa"/>
            </w:tcMar>
          </w:tcPr>
          <w:p w:rsidR="00F52B2B" w:rsidRPr="00DA0DCD" w:rsidRDefault="00F52B2B" w:rsidP="005F2D2D">
            <w:pPr>
              <w:pStyle w:val="Geenafstand"/>
              <w:rPr>
                <w:rFonts w:cs="Times New Roman"/>
                <w:sz w:val="18"/>
                <w:szCs w:val="18"/>
                <w:lang w:val="en-US"/>
              </w:rPr>
            </w:pP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1,226</w:t>
            </w:r>
          </w:p>
        </w:tc>
        <w:tc>
          <w:tcPr>
            <w:tcW w:w="708" w:type="dxa"/>
            <w:tcBorders>
              <w:top w:val="single" w:sz="16" w:space="0" w:color="000000"/>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0,220</w:t>
            </w:r>
          </w:p>
        </w:tc>
        <w:tc>
          <w:tcPr>
            <w:tcW w:w="852" w:type="dxa"/>
            <w:tcBorders>
              <w:top w:val="single" w:sz="16" w:space="0" w:color="000000"/>
              <w:left w:val="single" w:sz="12" w:space="0" w:color="auto"/>
              <w:bottom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(Constant)</w:t>
            </w:r>
          </w:p>
        </w:tc>
        <w:tc>
          <w:tcPr>
            <w:tcW w:w="850" w:type="dxa"/>
            <w:tcBorders>
              <w:top w:val="single" w:sz="16" w:space="0" w:color="000000"/>
              <w:bottom w:val="nil"/>
            </w:tcBorders>
            <w:shd w:val="clear" w:color="auto" w:fill="FFFFFF"/>
            <w:tcMar>
              <w:top w:w="30" w:type="dxa"/>
              <w:left w:w="30" w:type="dxa"/>
              <w:bottom w:w="30" w:type="dxa"/>
              <w:right w:w="30" w:type="dxa"/>
            </w:tcMar>
          </w:tcPr>
          <w:p w:rsidR="00F52B2B" w:rsidRPr="00DA0DCD" w:rsidRDefault="00F52B2B" w:rsidP="005F2D2D">
            <w:pPr>
              <w:pStyle w:val="Geenafstand"/>
              <w:rPr>
                <w:rFonts w:ascii="Times New Roman" w:hAnsi="Times New Roman"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1,168</w:t>
            </w:r>
          </w:p>
        </w:tc>
        <w:tc>
          <w:tcPr>
            <w:tcW w:w="567" w:type="dxa"/>
            <w:tcBorders>
              <w:top w:val="single" w:sz="12" w:space="0" w:color="auto"/>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0,243</w:t>
            </w:r>
          </w:p>
        </w:tc>
      </w:tr>
      <w:tr w:rsidR="00F52B2B"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rFonts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Rmt</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0,511</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138,299</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0,000</w:t>
            </w:r>
          </w:p>
        </w:tc>
        <w:tc>
          <w:tcPr>
            <w:tcW w:w="852" w:type="dxa"/>
            <w:tcBorders>
              <w:top w:val="nil"/>
              <w:left w:val="single" w:sz="12" w:space="0" w:color="auto"/>
              <w:bottom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Rmt</w:t>
            </w: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0,511</w:t>
            </w: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138,853</w:t>
            </w:r>
          </w:p>
        </w:tc>
        <w:tc>
          <w:tcPr>
            <w:tcW w:w="567"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0,000</w:t>
            </w:r>
          </w:p>
        </w:tc>
      </w:tr>
      <w:tr w:rsidR="00F52B2B"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Intt</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0,000</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-0,124</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0,902</w:t>
            </w:r>
          </w:p>
        </w:tc>
        <w:tc>
          <w:tcPr>
            <w:tcW w:w="852" w:type="dxa"/>
            <w:tcBorders>
              <w:top w:val="nil"/>
              <w:left w:val="single" w:sz="12" w:space="0" w:color="auto"/>
              <w:bottom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Intt</w:t>
            </w: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-0,001</w:t>
            </w: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-0,346</w:t>
            </w:r>
          </w:p>
        </w:tc>
        <w:tc>
          <w:tcPr>
            <w:tcW w:w="567"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0,729</w:t>
            </w:r>
          </w:p>
        </w:tc>
      </w:tr>
      <w:tr w:rsidR="00F52B2B"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E_window1</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-0,001</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-0,403</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0,687</w:t>
            </w:r>
          </w:p>
        </w:tc>
        <w:tc>
          <w:tcPr>
            <w:tcW w:w="852" w:type="dxa"/>
            <w:tcBorders>
              <w:top w:val="nil"/>
              <w:left w:val="single" w:sz="12" w:space="0" w:color="auto"/>
              <w:bottom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Windows_Combined</w:t>
            </w: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-0,008</w:t>
            </w: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-2,054</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color w:val="FF0000"/>
                <w:sz w:val="18"/>
                <w:szCs w:val="18"/>
                <w:lang w:val="en-US"/>
              </w:rPr>
            </w:pPr>
            <w:r w:rsidRPr="00DA0DCD">
              <w:rPr>
                <w:b/>
                <w:sz w:val="18"/>
                <w:szCs w:val="18"/>
                <w:lang w:val="en-US"/>
              </w:rPr>
              <w:t>0,040</w:t>
            </w:r>
          </w:p>
        </w:tc>
      </w:tr>
      <w:tr w:rsidR="00F52B2B"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E_window2</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-0,010</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-2,669</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0,008</w:t>
            </w:r>
          </w:p>
        </w:tc>
        <w:tc>
          <w:tcPr>
            <w:tcW w:w="852" w:type="dxa"/>
            <w:tcBorders>
              <w:top w:val="nil"/>
              <w:left w:val="single" w:sz="12" w:space="0" w:color="auto"/>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p>
        </w:tc>
      </w:tr>
      <w:tr w:rsidR="00F52B2B"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E_window3</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-0,004</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-1,001</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0,317</w:t>
            </w:r>
          </w:p>
        </w:tc>
        <w:tc>
          <w:tcPr>
            <w:tcW w:w="852" w:type="dxa"/>
            <w:tcBorders>
              <w:top w:val="nil"/>
              <w:left w:val="single" w:sz="12" w:space="0" w:color="auto"/>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p>
        </w:tc>
      </w:tr>
      <w:tr w:rsidR="00F52B2B"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E_window4</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-0,008</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-2,192</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r w:rsidRPr="00DA0DCD">
              <w:rPr>
                <w:b/>
                <w:sz w:val="18"/>
                <w:szCs w:val="18"/>
                <w:lang w:val="en-US"/>
              </w:rPr>
              <w:t>0,028</w:t>
            </w:r>
          </w:p>
        </w:tc>
        <w:tc>
          <w:tcPr>
            <w:tcW w:w="852" w:type="dxa"/>
            <w:tcBorders>
              <w:top w:val="nil"/>
              <w:left w:val="single" w:sz="12" w:space="0" w:color="auto"/>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p>
        </w:tc>
      </w:tr>
      <w:tr w:rsidR="00F52B2B"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E_window5</w:t>
            </w:r>
          </w:p>
        </w:tc>
        <w:tc>
          <w:tcPr>
            <w:tcW w:w="852" w:type="dxa"/>
            <w:tcBorders>
              <w:top w:val="nil"/>
              <w:bottom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0,004</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0,959</w:t>
            </w:r>
          </w:p>
        </w:tc>
        <w:tc>
          <w:tcPr>
            <w:tcW w:w="708" w:type="dxa"/>
            <w:tcBorders>
              <w:top w:val="nil"/>
              <w:bottom w:val="single" w:sz="16" w:space="0" w:color="000000"/>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0,338</w:t>
            </w:r>
          </w:p>
        </w:tc>
        <w:tc>
          <w:tcPr>
            <w:tcW w:w="852" w:type="dxa"/>
            <w:tcBorders>
              <w:top w:val="nil"/>
              <w:left w:val="single" w:sz="12" w:space="0" w:color="auto"/>
              <w:bottom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p>
        </w:tc>
      </w:tr>
    </w:tbl>
    <w:p w:rsidR="006E5034" w:rsidRPr="00DA0DCD" w:rsidRDefault="00B15AD8" w:rsidP="0087717C">
      <w:pPr>
        <w:rPr>
          <w:sz w:val="20"/>
          <w:szCs w:val="20"/>
          <w:lang w:val="en-US"/>
        </w:rPr>
      </w:pPr>
      <w:r w:rsidRPr="00DA0DCD">
        <w:rPr>
          <w:sz w:val="20"/>
          <w:szCs w:val="20"/>
          <w:lang w:val="en-US"/>
        </w:rPr>
        <w:t>Tab</w:t>
      </w:r>
      <w:r w:rsidR="0042195C" w:rsidRPr="00DA0DCD">
        <w:rPr>
          <w:sz w:val="20"/>
          <w:szCs w:val="20"/>
          <w:lang w:val="en-US"/>
        </w:rPr>
        <w:t>le 7.6</w:t>
      </w:r>
      <w:r w:rsidRPr="00DA0DCD">
        <w:rPr>
          <w:sz w:val="20"/>
          <w:szCs w:val="20"/>
          <w:lang w:val="en-US"/>
        </w:rPr>
        <w:t xml:space="preserve"> Outcome b</w:t>
      </w:r>
      <w:r w:rsidR="006E5034" w:rsidRPr="00DA0DCD">
        <w:rPr>
          <w:sz w:val="20"/>
          <w:szCs w:val="20"/>
          <w:lang w:val="en-US"/>
        </w:rPr>
        <w:t>anks and insurance companies</w:t>
      </w:r>
      <w:r w:rsidRPr="00DA0DCD">
        <w:rPr>
          <w:sz w:val="20"/>
          <w:szCs w:val="20"/>
          <w:lang w:val="en-US"/>
        </w:rPr>
        <w:t xml:space="preserve"> sample</w:t>
      </w:r>
    </w:p>
    <w:p w:rsidR="00920FF2" w:rsidRPr="00DA0DCD" w:rsidRDefault="002F1E7E" w:rsidP="0087717C">
      <w:pPr>
        <w:rPr>
          <w:lang w:val="en-US"/>
        </w:rPr>
      </w:pPr>
      <w:r w:rsidRPr="00DA0DCD">
        <w:rPr>
          <w:lang w:val="en-US"/>
        </w:rPr>
        <w:t xml:space="preserve">On the left side the outcome of the event windows of </w:t>
      </w:r>
      <w:r w:rsidR="00DA7BCC" w:rsidRPr="00DA0DCD">
        <w:rPr>
          <w:lang w:val="en-US"/>
        </w:rPr>
        <w:t xml:space="preserve">the </w:t>
      </w:r>
      <w:r w:rsidRPr="00DA0DCD">
        <w:rPr>
          <w:lang w:val="en-US"/>
        </w:rPr>
        <w:t xml:space="preserve">banks </w:t>
      </w:r>
      <w:r w:rsidR="00DA7BCC" w:rsidRPr="00DA0DCD">
        <w:rPr>
          <w:lang w:val="en-US"/>
        </w:rPr>
        <w:t>plus</w:t>
      </w:r>
      <w:r w:rsidRPr="00DA0DCD">
        <w:rPr>
          <w:lang w:val="en-US"/>
        </w:rPr>
        <w:t xml:space="preserve"> insurance companies</w:t>
      </w:r>
      <w:r w:rsidR="00DA7BCC" w:rsidRPr="00DA0DCD">
        <w:rPr>
          <w:lang w:val="en-US"/>
        </w:rPr>
        <w:t xml:space="preserve"> sample</w:t>
      </w:r>
      <w:r w:rsidRPr="00DA0DCD">
        <w:rPr>
          <w:lang w:val="en-US"/>
        </w:rPr>
        <w:t xml:space="preserve"> are presented. The </w:t>
      </w:r>
      <w:r w:rsidR="001B161A">
        <w:rPr>
          <w:lang w:val="en-US"/>
        </w:rPr>
        <w:t xml:space="preserve">right side </w:t>
      </w:r>
      <w:r w:rsidRPr="00DA0DCD">
        <w:rPr>
          <w:lang w:val="en-US"/>
        </w:rPr>
        <w:t xml:space="preserve">of table 7.6 represents the outcome of the five event windows combined. </w:t>
      </w:r>
      <w:r w:rsidR="00CB2025" w:rsidRPr="00DA0DCD">
        <w:rPr>
          <w:lang w:val="en-US"/>
        </w:rPr>
        <w:t xml:space="preserve">The </w:t>
      </w:r>
      <w:r w:rsidR="00880472" w:rsidRPr="00DA0DCD">
        <w:rPr>
          <w:lang w:val="en-US"/>
        </w:rPr>
        <w:t>results on the left side show</w:t>
      </w:r>
      <w:r w:rsidR="00CB2025" w:rsidRPr="00DA0DCD">
        <w:rPr>
          <w:lang w:val="en-US"/>
        </w:rPr>
        <w:t xml:space="preserve"> a negative beta (sign) for event windows one through four</w:t>
      </w:r>
      <w:r w:rsidR="000330A8" w:rsidRPr="00DA0DCD">
        <w:rPr>
          <w:lang w:val="en-US"/>
        </w:rPr>
        <w:t xml:space="preserve"> with a beta value of respectively -0.001/ -0,010/ -0,004 and -0,008</w:t>
      </w:r>
      <w:r w:rsidR="00CB2025" w:rsidRPr="00DA0DCD">
        <w:rPr>
          <w:lang w:val="en-US"/>
        </w:rPr>
        <w:t>.</w:t>
      </w:r>
      <w:r w:rsidR="000330A8" w:rsidRPr="00DA0DCD">
        <w:rPr>
          <w:lang w:val="en-US"/>
        </w:rPr>
        <w:t xml:space="preserve"> </w:t>
      </w:r>
      <w:r w:rsidR="00251BA0" w:rsidRPr="00DA0DCD">
        <w:rPr>
          <w:lang w:val="en-US"/>
        </w:rPr>
        <w:t>This pattern was also visible at the first hypothesis. However, t</w:t>
      </w:r>
      <w:r w:rsidR="000330A8" w:rsidRPr="00DA0DCD">
        <w:rPr>
          <w:lang w:val="en-US"/>
        </w:rPr>
        <w:t>he negative beta of event window one, three and five are not significant and the beta of event window two and four are significant.</w:t>
      </w:r>
      <w:r w:rsidR="00251BA0" w:rsidRPr="00DA0DCD">
        <w:rPr>
          <w:lang w:val="en-US"/>
        </w:rPr>
        <w:t xml:space="preserve"> </w:t>
      </w:r>
      <w:r w:rsidR="00CB2025" w:rsidRPr="00DA0DCD">
        <w:rPr>
          <w:lang w:val="en-US"/>
        </w:rPr>
        <w:t>Only the fifth event window (</w:t>
      </w:r>
      <w:r w:rsidR="00DA7BCC" w:rsidRPr="00DA0DCD">
        <w:rPr>
          <w:lang w:val="en-US"/>
        </w:rPr>
        <w:t xml:space="preserve">the </w:t>
      </w:r>
      <w:r w:rsidR="00CB2025" w:rsidRPr="00DA0DCD">
        <w:rPr>
          <w:lang w:val="en-US"/>
        </w:rPr>
        <w:t xml:space="preserve">amendment </w:t>
      </w:r>
      <w:r w:rsidR="00DA7BCC" w:rsidRPr="00DA0DCD">
        <w:rPr>
          <w:lang w:val="en-US"/>
        </w:rPr>
        <w:t xml:space="preserve">of </w:t>
      </w:r>
      <w:r w:rsidR="001C0862">
        <w:rPr>
          <w:lang w:val="en-US"/>
        </w:rPr>
        <w:t>IAS 39) gives</w:t>
      </w:r>
      <w:r w:rsidR="00CB2025" w:rsidRPr="00DA0DCD">
        <w:rPr>
          <w:lang w:val="en-US"/>
        </w:rPr>
        <w:t xml:space="preserve"> a </w:t>
      </w:r>
      <w:r w:rsidR="00230702" w:rsidRPr="00DA0DCD">
        <w:rPr>
          <w:lang w:val="en-US"/>
        </w:rPr>
        <w:t>non-significant</w:t>
      </w:r>
      <w:r w:rsidR="00CB2025" w:rsidRPr="00DA0DCD">
        <w:rPr>
          <w:lang w:val="en-US"/>
        </w:rPr>
        <w:t xml:space="preserve"> positive beta with a value of 0,004. </w:t>
      </w:r>
      <w:r w:rsidR="00B65A2E" w:rsidRPr="00DA0DCD">
        <w:rPr>
          <w:lang w:val="en-US"/>
        </w:rPr>
        <w:t xml:space="preserve">Despite the </w:t>
      </w:r>
      <w:r w:rsidR="00251BA0" w:rsidRPr="00DA0DCD">
        <w:rPr>
          <w:lang w:val="en-US"/>
        </w:rPr>
        <w:t xml:space="preserve">non-significance with a </w:t>
      </w:r>
      <w:r w:rsidR="00B65A2E" w:rsidRPr="00DA0DCD">
        <w:rPr>
          <w:lang w:val="en-US"/>
        </w:rPr>
        <w:t>p-value of 0,338</w:t>
      </w:r>
      <w:r w:rsidR="00880472" w:rsidRPr="00DA0DCD">
        <w:rPr>
          <w:lang w:val="en-US"/>
        </w:rPr>
        <w:t>, the positive beta of 0,004</w:t>
      </w:r>
      <w:r w:rsidR="00B65A2E" w:rsidRPr="00DA0DCD">
        <w:rPr>
          <w:lang w:val="en-US"/>
        </w:rPr>
        <w:t xml:space="preserve"> give an indication of a positive reaction of banks </w:t>
      </w:r>
      <w:r w:rsidR="00DA7BCC" w:rsidRPr="00DA0DCD">
        <w:rPr>
          <w:lang w:val="en-US"/>
        </w:rPr>
        <w:t>plus</w:t>
      </w:r>
      <w:r w:rsidR="00B65A2E" w:rsidRPr="00DA0DCD">
        <w:rPr>
          <w:lang w:val="en-US"/>
        </w:rPr>
        <w:t xml:space="preserve"> insurance companies</w:t>
      </w:r>
      <w:r w:rsidR="00DA7BCC" w:rsidRPr="00DA0DCD">
        <w:rPr>
          <w:lang w:val="en-US"/>
        </w:rPr>
        <w:t xml:space="preserve"> sample</w:t>
      </w:r>
      <w:r w:rsidR="00B65A2E" w:rsidRPr="00DA0DCD">
        <w:rPr>
          <w:lang w:val="en-US"/>
        </w:rPr>
        <w:t xml:space="preserve"> on the amendment of IAS</w:t>
      </w:r>
      <w:r w:rsidR="00DA7BCC" w:rsidRPr="00DA0DCD">
        <w:rPr>
          <w:lang w:val="en-US"/>
        </w:rPr>
        <w:t xml:space="preserve"> </w:t>
      </w:r>
      <w:r w:rsidR="00B65A2E" w:rsidRPr="00DA0DCD">
        <w:rPr>
          <w:lang w:val="en-US"/>
        </w:rPr>
        <w:t xml:space="preserve">39. </w:t>
      </w:r>
      <w:r w:rsidR="00FE7679" w:rsidRPr="00DA0DCD">
        <w:rPr>
          <w:lang w:val="en-US"/>
        </w:rPr>
        <w:t xml:space="preserve">The </w:t>
      </w:r>
      <w:r w:rsidR="00F52B2B">
        <w:rPr>
          <w:lang w:val="en-US"/>
        </w:rPr>
        <w:t>right side</w:t>
      </w:r>
      <w:r w:rsidR="00FE7679" w:rsidRPr="00DA0DCD">
        <w:rPr>
          <w:lang w:val="en-US"/>
        </w:rPr>
        <w:t xml:space="preserve"> of table</w:t>
      </w:r>
      <w:r w:rsidR="00251BA0" w:rsidRPr="00DA0DCD">
        <w:rPr>
          <w:lang w:val="en-US"/>
        </w:rPr>
        <w:t xml:space="preserve"> 7.6</w:t>
      </w:r>
      <w:r w:rsidR="00FE7679" w:rsidRPr="00DA0DCD">
        <w:rPr>
          <w:lang w:val="en-US"/>
        </w:rPr>
        <w:t xml:space="preserve"> </w:t>
      </w:r>
      <w:r w:rsidR="00AF3963" w:rsidRPr="00DA0DCD">
        <w:rPr>
          <w:lang w:val="en-US"/>
        </w:rPr>
        <w:t>represents</w:t>
      </w:r>
      <w:r w:rsidR="00FE7679" w:rsidRPr="00DA0DCD">
        <w:rPr>
          <w:lang w:val="en-US"/>
        </w:rPr>
        <w:t xml:space="preserve"> the </w:t>
      </w:r>
      <w:r w:rsidR="00251BA0" w:rsidRPr="00DA0DCD">
        <w:rPr>
          <w:lang w:val="en-US"/>
        </w:rPr>
        <w:t xml:space="preserve">event </w:t>
      </w:r>
      <w:r w:rsidR="00FE7679" w:rsidRPr="00DA0DCD">
        <w:rPr>
          <w:lang w:val="en-US"/>
        </w:rPr>
        <w:t xml:space="preserve">windows combined. </w:t>
      </w:r>
      <w:r w:rsidR="00251BA0" w:rsidRPr="00DA0DCD">
        <w:rPr>
          <w:lang w:val="en-US"/>
        </w:rPr>
        <w:t>T</w:t>
      </w:r>
      <w:r w:rsidR="00FE7679" w:rsidRPr="00DA0DCD">
        <w:rPr>
          <w:lang w:val="en-US"/>
        </w:rPr>
        <w:t xml:space="preserve">he beta of </w:t>
      </w:r>
      <w:r w:rsidR="00251BA0" w:rsidRPr="00DA0DCD">
        <w:rPr>
          <w:lang w:val="en-US"/>
        </w:rPr>
        <w:t xml:space="preserve">the event </w:t>
      </w:r>
      <w:r w:rsidR="00FE7679" w:rsidRPr="00DA0DCD">
        <w:rPr>
          <w:lang w:val="en-US"/>
        </w:rPr>
        <w:t>windows combined</w:t>
      </w:r>
      <w:r w:rsidR="00251BA0" w:rsidRPr="00DA0DCD">
        <w:rPr>
          <w:lang w:val="en-US"/>
        </w:rPr>
        <w:t xml:space="preserve"> shows a</w:t>
      </w:r>
      <w:r w:rsidR="00FE7679" w:rsidRPr="00DA0DCD">
        <w:rPr>
          <w:lang w:val="en-US"/>
        </w:rPr>
        <w:t xml:space="preserve"> significant negative </w:t>
      </w:r>
      <w:r w:rsidR="00251BA0" w:rsidRPr="00DA0DCD">
        <w:rPr>
          <w:lang w:val="en-US"/>
        </w:rPr>
        <w:t>beta</w:t>
      </w:r>
      <w:r w:rsidR="00FE7679" w:rsidRPr="00DA0DCD">
        <w:rPr>
          <w:lang w:val="en-US"/>
        </w:rPr>
        <w:t xml:space="preserve"> of -0,008</w:t>
      </w:r>
      <w:r w:rsidR="00251BA0" w:rsidRPr="00DA0DCD">
        <w:rPr>
          <w:lang w:val="en-US"/>
        </w:rPr>
        <w:t xml:space="preserve">. The reason for this significant negative beta is the negative betas of </w:t>
      </w:r>
      <w:r w:rsidR="00FD32FC">
        <w:rPr>
          <w:lang w:val="en-US"/>
        </w:rPr>
        <w:t xml:space="preserve">event </w:t>
      </w:r>
      <w:r w:rsidR="00251BA0" w:rsidRPr="00DA0DCD">
        <w:rPr>
          <w:lang w:val="en-US"/>
        </w:rPr>
        <w:t>windows one through four (left side table)</w:t>
      </w:r>
      <w:r w:rsidR="00FE7679" w:rsidRPr="00DA0DCD">
        <w:rPr>
          <w:lang w:val="en-US"/>
        </w:rPr>
        <w:t xml:space="preserve">. </w:t>
      </w:r>
    </w:p>
    <w:p w:rsidR="008355E8" w:rsidRPr="00DA0DCD" w:rsidRDefault="008355E8" w:rsidP="008355E8">
      <w:pPr>
        <w:spacing w:after="0"/>
        <w:rPr>
          <w:b/>
          <w:i/>
          <w:lang w:val="en-US"/>
        </w:rPr>
      </w:pPr>
      <w:r w:rsidRPr="00DA0DCD">
        <w:rPr>
          <w:b/>
          <w:i/>
          <w:lang w:val="en-US"/>
        </w:rPr>
        <w:t>Only banks sample</w:t>
      </w:r>
    </w:p>
    <w:p w:rsidR="00230702" w:rsidRDefault="004E7BE5" w:rsidP="008355E8">
      <w:pPr>
        <w:spacing w:after="0"/>
        <w:rPr>
          <w:lang w:val="en-US"/>
        </w:rPr>
      </w:pPr>
      <w:r w:rsidRPr="00DA0DCD">
        <w:rPr>
          <w:lang w:val="en-US"/>
        </w:rPr>
        <w:t>The results of the ban</w:t>
      </w:r>
      <w:r w:rsidR="008355E8" w:rsidRPr="00DA0DCD">
        <w:rPr>
          <w:lang w:val="en-US"/>
        </w:rPr>
        <w:t>k</w:t>
      </w:r>
      <w:r w:rsidRPr="00DA0DCD">
        <w:rPr>
          <w:lang w:val="en-US"/>
        </w:rPr>
        <w:t xml:space="preserve">s sample are presented in table 7.7 </w:t>
      </w:r>
      <w:r w:rsidR="00FE291E" w:rsidRPr="00DA0DCD">
        <w:rPr>
          <w:lang w:val="en-US"/>
        </w:rPr>
        <w:t>below</w:t>
      </w:r>
      <w:r w:rsidRPr="00DA0DCD">
        <w:rPr>
          <w:lang w:val="en-US"/>
        </w:rPr>
        <w:t xml:space="preserve">. </w:t>
      </w:r>
      <w:r w:rsidR="00230702" w:rsidRPr="00DA0DCD">
        <w:rPr>
          <w:lang w:val="en-US"/>
        </w:rPr>
        <w:t>On the left side of this table is shown</w:t>
      </w:r>
      <w:r w:rsidR="00BC55B0">
        <w:rPr>
          <w:lang w:val="en-US"/>
        </w:rPr>
        <w:t xml:space="preserve"> also</w:t>
      </w:r>
      <w:r w:rsidR="00230702" w:rsidRPr="00DA0DCD">
        <w:rPr>
          <w:lang w:val="en-US"/>
        </w:rPr>
        <w:t xml:space="preserve"> that the first through the fourth</w:t>
      </w:r>
      <w:r w:rsidR="00983264" w:rsidRPr="00DA0DCD">
        <w:rPr>
          <w:lang w:val="en-US"/>
        </w:rPr>
        <w:t xml:space="preserve"> event window</w:t>
      </w:r>
      <w:r w:rsidR="00230702" w:rsidRPr="00DA0DCD">
        <w:rPr>
          <w:lang w:val="en-US"/>
        </w:rPr>
        <w:t xml:space="preserve"> give</w:t>
      </w:r>
      <w:r w:rsidR="00983264" w:rsidRPr="00DA0DCD">
        <w:rPr>
          <w:lang w:val="en-US"/>
        </w:rPr>
        <w:t>s</w:t>
      </w:r>
      <w:r w:rsidR="00230702" w:rsidRPr="00DA0DCD">
        <w:rPr>
          <w:lang w:val="en-US"/>
        </w:rPr>
        <w:t xml:space="preserve"> a negative</w:t>
      </w:r>
      <w:r w:rsidR="00983264" w:rsidRPr="00DA0DCD">
        <w:rPr>
          <w:lang w:val="en-US"/>
        </w:rPr>
        <w:t xml:space="preserve"> non-significant</w:t>
      </w:r>
      <w:r w:rsidR="00230702" w:rsidRPr="00DA0DCD">
        <w:rPr>
          <w:lang w:val="en-US"/>
        </w:rPr>
        <w:t xml:space="preserve"> beta (sign) and the fifth event window </w:t>
      </w:r>
      <w:r w:rsidR="00983264" w:rsidRPr="00DA0DCD">
        <w:rPr>
          <w:lang w:val="en-US"/>
        </w:rPr>
        <w:t>shows</w:t>
      </w:r>
      <w:r w:rsidR="00230702" w:rsidRPr="00DA0DCD">
        <w:rPr>
          <w:lang w:val="en-US"/>
        </w:rPr>
        <w:t xml:space="preserve"> a non-sign</w:t>
      </w:r>
      <w:r w:rsidR="006033A0" w:rsidRPr="00DA0DCD">
        <w:rPr>
          <w:lang w:val="en-US"/>
        </w:rPr>
        <w:t xml:space="preserve">ificant positive beta of 0,004. </w:t>
      </w:r>
      <w:r w:rsidR="00230702" w:rsidRPr="00DA0DCD">
        <w:rPr>
          <w:lang w:val="en-US"/>
        </w:rPr>
        <w:t xml:space="preserve">This positive </w:t>
      </w:r>
      <w:r w:rsidR="006033A0" w:rsidRPr="00DA0DCD">
        <w:rPr>
          <w:lang w:val="en-US"/>
        </w:rPr>
        <w:t>beta</w:t>
      </w:r>
      <w:r w:rsidR="00230702" w:rsidRPr="00DA0DCD">
        <w:rPr>
          <w:lang w:val="en-US"/>
        </w:rPr>
        <w:t xml:space="preserve"> is not s</w:t>
      </w:r>
      <w:r w:rsidR="009D30DC" w:rsidRPr="00DA0DCD">
        <w:rPr>
          <w:lang w:val="en-US"/>
        </w:rPr>
        <w:t>ignificant with a p-value of 0,456.</w:t>
      </w:r>
    </w:p>
    <w:p w:rsidR="0056359C" w:rsidRDefault="0056359C" w:rsidP="008355E8">
      <w:pPr>
        <w:spacing w:after="0"/>
        <w:rPr>
          <w:lang w:val="en-US"/>
        </w:rPr>
      </w:pPr>
    </w:p>
    <w:tbl>
      <w:tblPr>
        <w:tblW w:w="652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3"/>
        <w:gridCol w:w="992"/>
        <w:gridCol w:w="852"/>
        <w:gridCol w:w="708"/>
        <w:gridCol w:w="708"/>
        <w:gridCol w:w="852"/>
        <w:gridCol w:w="850"/>
        <w:gridCol w:w="709"/>
        <w:gridCol w:w="567"/>
      </w:tblGrid>
      <w:tr w:rsidR="00F52B2B" w:rsidRPr="00DA0DCD" w:rsidTr="00F52B2B">
        <w:trPr>
          <w:cantSplit/>
          <w:tblHeader/>
        </w:trPr>
        <w:tc>
          <w:tcPr>
            <w:tcW w:w="3543" w:type="dxa"/>
            <w:gridSpan w:val="5"/>
            <w:tcBorders>
              <w:top w:val="single" w:sz="16" w:space="0" w:color="000000"/>
              <w:left w:val="single" w:sz="16" w:space="0" w:color="000000"/>
              <w:bottom w:val="single" w:sz="16" w:space="0" w:color="000000"/>
              <w:right w:val="single" w:sz="12" w:space="0" w:color="auto"/>
            </w:tcBorders>
            <w:shd w:val="clear" w:color="auto" w:fill="FFFFFF"/>
            <w:tcMar>
              <w:top w:w="30" w:type="dxa"/>
              <w:left w:w="30" w:type="dxa"/>
              <w:bottom w:w="30" w:type="dxa"/>
              <w:right w:w="30" w:type="dxa"/>
            </w:tcMar>
            <w:vAlign w:val="bottom"/>
          </w:tcPr>
          <w:p w:rsidR="00F52B2B" w:rsidRPr="00DA0DCD" w:rsidRDefault="00F52B2B" w:rsidP="005F2D2D">
            <w:pPr>
              <w:pStyle w:val="Geenafstand"/>
              <w:rPr>
                <w:b/>
                <w:sz w:val="18"/>
                <w:szCs w:val="18"/>
                <w:lang w:val="en-US"/>
              </w:rPr>
            </w:pPr>
            <w:r w:rsidRPr="00DA0DCD">
              <w:rPr>
                <w:b/>
                <w:sz w:val="18"/>
                <w:szCs w:val="18"/>
                <w:lang w:val="en-US"/>
              </w:rPr>
              <w:t>Banks sample windows</w:t>
            </w:r>
          </w:p>
        </w:tc>
        <w:tc>
          <w:tcPr>
            <w:tcW w:w="2978" w:type="dxa"/>
            <w:gridSpan w:val="4"/>
            <w:tcBorders>
              <w:top w:val="single" w:sz="16" w:space="0" w:color="000000"/>
              <w:left w:val="single" w:sz="12" w:space="0" w:color="auto"/>
              <w:right w:val="single" w:sz="16" w:space="0" w:color="000000"/>
            </w:tcBorders>
            <w:shd w:val="clear" w:color="auto" w:fill="FFFFFF"/>
            <w:tcMar>
              <w:top w:w="30" w:type="dxa"/>
              <w:left w:w="30" w:type="dxa"/>
              <w:bottom w:w="30" w:type="dxa"/>
              <w:right w:w="30" w:type="dxa"/>
            </w:tcMar>
            <w:vAlign w:val="bottom"/>
          </w:tcPr>
          <w:p w:rsidR="00F52B2B" w:rsidRPr="00DA0DCD" w:rsidRDefault="00F52B2B" w:rsidP="005F2D2D">
            <w:pPr>
              <w:pStyle w:val="Geenafstand"/>
              <w:rPr>
                <w:b/>
                <w:sz w:val="18"/>
                <w:szCs w:val="18"/>
                <w:lang w:val="en-US"/>
              </w:rPr>
            </w:pPr>
            <w:r w:rsidRPr="00DA0DCD">
              <w:rPr>
                <w:b/>
                <w:sz w:val="18"/>
                <w:szCs w:val="18"/>
                <w:lang w:val="en-US"/>
              </w:rPr>
              <w:t>Windows combined</w:t>
            </w:r>
          </w:p>
        </w:tc>
      </w:tr>
      <w:tr w:rsidR="00F52B2B" w:rsidRPr="00DA0DCD" w:rsidTr="00F52B2B">
        <w:trPr>
          <w:cantSplit/>
          <w:tblHeader/>
        </w:trPr>
        <w:tc>
          <w:tcPr>
            <w:tcW w:w="127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r w:rsidRPr="0056359C">
              <w:rPr>
                <w:sz w:val="16"/>
                <w:szCs w:val="16"/>
                <w:lang w:val="en-US"/>
              </w:rPr>
              <w:t>Model</w:t>
            </w:r>
          </w:p>
        </w:tc>
        <w:tc>
          <w:tcPr>
            <w:tcW w:w="852" w:type="dxa"/>
            <w:tcBorders>
              <w:top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r w:rsidRPr="0056359C">
              <w:rPr>
                <w:sz w:val="16"/>
                <w:szCs w:val="16"/>
                <w:lang w:val="en-US"/>
              </w:rPr>
              <w:t>St. Co- efficients</w:t>
            </w:r>
          </w:p>
        </w:tc>
        <w:tc>
          <w:tcPr>
            <w:tcW w:w="7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r w:rsidRPr="0056359C">
              <w:rPr>
                <w:sz w:val="16"/>
                <w:szCs w:val="16"/>
                <w:lang w:val="en-US"/>
              </w:rPr>
              <w:t>t</w:t>
            </w:r>
          </w:p>
        </w:tc>
        <w:tc>
          <w:tcPr>
            <w:tcW w:w="708" w:type="dxa"/>
            <w:vMerge w:val="restart"/>
            <w:tcBorders>
              <w:top w:val="single" w:sz="16" w:space="0" w:color="000000"/>
              <w:bottom w:val="single" w:sz="16" w:space="0" w:color="000000"/>
              <w:right w:val="single" w:sz="12" w:space="0" w:color="auto"/>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r w:rsidRPr="0056359C">
              <w:rPr>
                <w:sz w:val="16"/>
                <w:szCs w:val="16"/>
                <w:lang w:val="en-US"/>
              </w:rPr>
              <w:t>Sig.</w:t>
            </w:r>
          </w:p>
        </w:tc>
        <w:tc>
          <w:tcPr>
            <w:tcW w:w="852" w:type="dxa"/>
            <w:tcBorders>
              <w:top w:val="single" w:sz="16" w:space="0" w:color="000000"/>
              <w:left w:val="single" w:sz="12" w:space="0" w:color="auto"/>
              <w:right w:val="single" w:sz="4" w:space="0" w:color="auto"/>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p>
        </w:tc>
        <w:tc>
          <w:tcPr>
            <w:tcW w:w="850" w:type="dxa"/>
            <w:tcBorders>
              <w:top w:val="single" w:sz="16" w:space="0" w:color="000000"/>
              <w:left w:val="single" w:sz="4" w:space="0" w:color="auto"/>
            </w:tcBorders>
            <w:shd w:val="clear" w:color="auto" w:fill="FFFFFF"/>
            <w:vAlign w:val="bottom"/>
          </w:tcPr>
          <w:p w:rsidR="00F52B2B" w:rsidRPr="0056359C" w:rsidRDefault="00F52B2B" w:rsidP="005F2D2D">
            <w:pPr>
              <w:pStyle w:val="Geenafstand"/>
              <w:rPr>
                <w:sz w:val="16"/>
                <w:szCs w:val="16"/>
                <w:lang w:val="en-US"/>
              </w:rPr>
            </w:pPr>
            <w:r w:rsidRPr="0056359C">
              <w:rPr>
                <w:sz w:val="16"/>
                <w:szCs w:val="16"/>
                <w:lang w:val="en-US"/>
              </w:rPr>
              <w:t>St. Co- efficients</w:t>
            </w:r>
          </w:p>
        </w:tc>
        <w:tc>
          <w:tcPr>
            <w:tcW w:w="1276"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p>
        </w:tc>
      </w:tr>
      <w:tr w:rsidR="00F52B2B" w:rsidRPr="00DA0DCD" w:rsidTr="00F52B2B">
        <w:trPr>
          <w:cantSplit/>
          <w:tblHeader/>
        </w:trPr>
        <w:tc>
          <w:tcPr>
            <w:tcW w:w="1275"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p>
        </w:tc>
        <w:tc>
          <w:tcPr>
            <w:tcW w:w="852" w:type="dxa"/>
            <w:tcBorders>
              <w:bottom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r w:rsidRPr="0056359C">
              <w:rPr>
                <w:sz w:val="16"/>
                <w:szCs w:val="16"/>
                <w:lang w:val="en-US"/>
              </w:rPr>
              <w:t>Beta</w:t>
            </w:r>
          </w:p>
        </w:tc>
        <w:tc>
          <w:tcPr>
            <w:tcW w:w="7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p>
        </w:tc>
        <w:tc>
          <w:tcPr>
            <w:tcW w:w="708" w:type="dxa"/>
            <w:vMerge/>
            <w:tcBorders>
              <w:top w:val="single" w:sz="16" w:space="0" w:color="000000"/>
              <w:bottom w:val="single" w:sz="16" w:space="0" w:color="000000"/>
              <w:right w:val="single" w:sz="12" w:space="0" w:color="auto"/>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p>
        </w:tc>
        <w:tc>
          <w:tcPr>
            <w:tcW w:w="852" w:type="dxa"/>
            <w:tcBorders>
              <w:top w:val="nil"/>
              <w:left w:val="single" w:sz="12" w:space="0" w:color="auto"/>
              <w:bottom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p>
        </w:tc>
        <w:tc>
          <w:tcPr>
            <w:tcW w:w="850" w:type="dxa"/>
            <w:tcBorders>
              <w:top w:val="nil"/>
              <w:bottom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r w:rsidRPr="0056359C">
              <w:rPr>
                <w:sz w:val="16"/>
                <w:szCs w:val="16"/>
                <w:lang w:val="en-US"/>
              </w:rPr>
              <w:t>Beta</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sz w:val="16"/>
                <w:szCs w:val="16"/>
                <w:lang w:val="en-US"/>
              </w:rPr>
            </w:pPr>
            <w:r w:rsidRPr="0056359C">
              <w:rPr>
                <w:sz w:val="16"/>
                <w:szCs w:val="16"/>
                <w:lang w:val="en-US"/>
              </w:rPr>
              <w:t>t</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F52B2B" w:rsidRPr="0056359C" w:rsidRDefault="00F52B2B" w:rsidP="005F2D2D">
            <w:pPr>
              <w:pStyle w:val="Geenafstand"/>
              <w:rPr>
                <w:color w:val="FF0000"/>
                <w:sz w:val="16"/>
                <w:szCs w:val="16"/>
                <w:lang w:val="en-US"/>
              </w:rPr>
            </w:pPr>
            <w:r w:rsidRPr="0056359C">
              <w:rPr>
                <w:sz w:val="16"/>
                <w:szCs w:val="16"/>
                <w:lang w:val="en-US"/>
              </w:rPr>
              <w:t>Sig.</w:t>
            </w:r>
          </w:p>
        </w:tc>
      </w:tr>
      <w:tr w:rsidR="00F52B2B" w:rsidRPr="00DA0DCD" w:rsidTr="00F52B2B">
        <w:trPr>
          <w:cantSplit/>
          <w:tblHeader/>
        </w:trPr>
        <w:tc>
          <w:tcPr>
            <w:tcW w:w="28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lastRenderedPageBreak/>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(Constant)</w:t>
            </w:r>
          </w:p>
        </w:tc>
        <w:tc>
          <w:tcPr>
            <w:tcW w:w="852" w:type="dxa"/>
            <w:tcBorders>
              <w:top w:val="single" w:sz="16" w:space="0" w:color="000000"/>
              <w:bottom w:val="nil"/>
            </w:tcBorders>
            <w:shd w:val="clear" w:color="auto" w:fill="FFFFFF"/>
            <w:tcMar>
              <w:top w:w="30" w:type="dxa"/>
              <w:left w:w="30" w:type="dxa"/>
              <w:bottom w:w="30" w:type="dxa"/>
              <w:right w:w="30" w:type="dxa"/>
            </w:tcMar>
          </w:tcPr>
          <w:p w:rsidR="00F52B2B" w:rsidRPr="00DA0DCD" w:rsidRDefault="00F52B2B" w:rsidP="005F2D2D">
            <w:pPr>
              <w:pStyle w:val="Geenafstand"/>
              <w:rPr>
                <w:rFonts w:cs="Times New Roman"/>
                <w:sz w:val="18"/>
                <w:szCs w:val="18"/>
                <w:lang w:val="en-US"/>
              </w:rPr>
            </w:pP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0,184</w:t>
            </w:r>
          </w:p>
        </w:tc>
        <w:tc>
          <w:tcPr>
            <w:tcW w:w="708" w:type="dxa"/>
            <w:tcBorders>
              <w:top w:val="single" w:sz="16" w:space="0" w:color="000000"/>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0,854</w:t>
            </w:r>
          </w:p>
        </w:tc>
        <w:tc>
          <w:tcPr>
            <w:tcW w:w="852" w:type="dxa"/>
            <w:tcBorders>
              <w:top w:val="single" w:sz="16" w:space="0" w:color="000000"/>
              <w:left w:val="single" w:sz="12" w:space="0" w:color="auto"/>
              <w:bottom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(Constant)</w:t>
            </w:r>
          </w:p>
        </w:tc>
        <w:tc>
          <w:tcPr>
            <w:tcW w:w="850" w:type="dxa"/>
            <w:tcBorders>
              <w:top w:val="single" w:sz="16" w:space="0" w:color="000000"/>
              <w:bottom w:val="nil"/>
            </w:tcBorders>
            <w:shd w:val="clear" w:color="auto" w:fill="FFFFFF"/>
            <w:tcMar>
              <w:top w:w="30" w:type="dxa"/>
              <w:left w:w="30" w:type="dxa"/>
              <w:bottom w:w="30" w:type="dxa"/>
              <w:right w:w="30" w:type="dxa"/>
            </w:tcMar>
          </w:tcPr>
          <w:p w:rsidR="00F52B2B" w:rsidRPr="00DA0DCD" w:rsidRDefault="00F52B2B" w:rsidP="005F2D2D">
            <w:pPr>
              <w:pStyle w:val="Geenafstand"/>
              <w:rPr>
                <w:rFonts w:ascii="Times New Roman" w:hAnsi="Times New Roman"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0,135</w:t>
            </w: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color w:val="FF0000"/>
                <w:sz w:val="18"/>
                <w:szCs w:val="18"/>
                <w:lang w:val="en-US"/>
              </w:rPr>
            </w:pPr>
            <w:r w:rsidRPr="00DA0DCD">
              <w:rPr>
                <w:sz w:val="18"/>
                <w:szCs w:val="18"/>
                <w:lang w:val="en-US"/>
              </w:rPr>
              <w:t>0,893</w:t>
            </w:r>
          </w:p>
        </w:tc>
      </w:tr>
      <w:tr w:rsidR="00F52B2B" w:rsidRPr="00DA0DCD" w:rsidTr="00F52B2B">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rFonts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Rmt</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0,519</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108,825</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0,000</w:t>
            </w:r>
          </w:p>
        </w:tc>
        <w:tc>
          <w:tcPr>
            <w:tcW w:w="852" w:type="dxa"/>
            <w:tcBorders>
              <w:top w:val="nil"/>
              <w:left w:val="single" w:sz="12" w:space="0" w:color="auto"/>
              <w:bottom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Rmt</w:t>
            </w: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0,519</w:t>
            </w: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109,245</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color w:val="FF0000"/>
                <w:sz w:val="18"/>
                <w:szCs w:val="18"/>
                <w:lang w:val="en-US"/>
              </w:rPr>
            </w:pPr>
            <w:r w:rsidRPr="00DA0DCD">
              <w:rPr>
                <w:sz w:val="18"/>
                <w:szCs w:val="18"/>
                <w:lang w:val="en-US"/>
              </w:rPr>
              <w:t>0,000</w:t>
            </w:r>
          </w:p>
        </w:tc>
      </w:tr>
      <w:tr w:rsidR="00F52B2B" w:rsidRPr="00DA0DCD" w:rsidTr="00F52B2B">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Intt</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0,004</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0,741</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0,458</w:t>
            </w:r>
          </w:p>
        </w:tc>
        <w:tc>
          <w:tcPr>
            <w:tcW w:w="852" w:type="dxa"/>
            <w:tcBorders>
              <w:top w:val="nil"/>
              <w:left w:val="single" w:sz="12" w:space="0" w:color="auto"/>
              <w:bottom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Intt</w:t>
            </w: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0,003</w:t>
            </w: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0,559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color w:val="FF0000"/>
                <w:sz w:val="18"/>
                <w:szCs w:val="18"/>
                <w:lang w:val="en-US"/>
              </w:rPr>
            </w:pPr>
            <w:r w:rsidRPr="00DA0DCD">
              <w:rPr>
                <w:sz w:val="18"/>
                <w:szCs w:val="18"/>
                <w:lang w:val="en-US"/>
              </w:rPr>
              <w:t>0,576</w:t>
            </w:r>
          </w:p>
        </w:tc>
      </w:tr>
      <w:tr w:rsidR="00F52B2B" w:rsidRPr="00DA0DCD" w:rsidTr="00F52B2B">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E_window1</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-0,003</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-0,702</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0,483</w:t>
            </w:r>
          </w:p>
        </w:tc>
        <w:tc>
          <w:tcPr>
            <w:tcW w:w="852" w:type="dxa"/>
            <w:tcBorders>
              <w:top w:val="nil"/>
              <w:left w:val="single" w:sz="12" w:space="0" w:color="auto"/>
              <w:bottom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Windows_Combined</w:t>
            </w: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-0,008</w:t>
            </w: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-1,673</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color w:val="FF0000"/>
                <w:sz w:val="18"/>
                <w:szCs w:val="18"/>
                <w:lang w:val="en-US"/>
              </w:rPr>
            </w:pPr>
            <w:r w:rsidRPr="00DA0DCD">
              <w:rPr>
                <w:sz w:val="18"/>
                <w:szCs w:val="18"/>
                <w:lang w:val="en-US"/>
              </w:rPr>
              <w:t>0,094</w:t>
            </w:r>
          </w:p>
        </w:tc>
      </w:tr>
      <w:tr w:rsidR="00F52B2B" w:rsidRPr="00DA0DCD" w:rsidTr="00F52B2B">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E_window2</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-0,009</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-1,905</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0,057</w:t>
            </w:r>
          </w:p>
        </w:tc>
        <w:tc>
          <w:tcPr>
            <w:tcW w:w="852" w:type="dxa"/>
            <w:tcBorders>
              <w:top w:val="nil"/>
              <w:left w:val="single" w:sz="12" w:space="0" w:color="auto"/>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p>
        </w:tc>
      </w:tr>
      <w:tr w:rsidR="00F52B2B" w:rsidRPr="00DA0DCD" w:rsidTr="00F52B2B">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E_window3</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-0,004</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-0,834</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0,404</w:t>
            </w:r>
          </w:p>
        </w:tc>
        <w:tc>
          <w:tcPr>
            <w:tcW w:w="852" w:type="dxa"/>
            <w:tcBorders>
              <w:top w:val="nil"/>
              <w:left w:val="single" w:sz="12" w:space="0" w:color="auto"/>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p>
        </w:tc>
      </w:tr>
      <w:tr w:rsidR="00F52B2B" w:rsidRPr="00DA0DCD" w:rsidTr="00F52B2B">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E_window4</w:t>
            </w:r>
          </w:p>
        </w:tc>
        <w:tc>
          <w:tcPr>
            <w:tcW w:w="852"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-0,008</w:t>
            </w:r>
          </w:p>
        </w:tc>
        <w:tc>
          <w:tcPr>
            <w:tcW w:w="708"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-1,614</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0,107</w:t>
            </w:r>
          </w:p>
        </w:tc>
        <w:tc>
          <w:tcPr>
            <w:tcW w:w="852" w:type="dxa"/>
            <w:tcBorders>
              <w:top w:val="nil"/>
              <w:left w:val="single" w:sz="12" w:space="0" w:color="auto"/>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850"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709" w:type="dxa"/>
            <w:tcBorders>
              <w:top w:val="nil"/>
              <w:bottom w:val="nil"/>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p>
        </w:tc>
      </w:tr>
      <w:tr w:rsidR="00F52B2B" w:rsidRPr="00DA0DCD" w:rsidTr="00F52B2B">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F52B2B" w:rsidRPr="00DA0DCD" w:rsidRDefault="00F52B2B" w:rsidP="005F2D2D">
            <w:pPr>
              <w:pStyle w:val="Geenafstand"/>
              <w:rPr>
                <w:sz w:val="18"/>
                <w:szCs w:val="18"/>
                <w:lang w:val="en-US"/>
              </w:rPr>
            </w:pPr>
            <w:r w:rsidRPr="00DA0DCD">
              <w:rPr>
                <w:sz w:val="18"/>
                <w:szCs w:val="18"/>
                <w:lang w:val="en-US"/>
              </w:rPr>
              <w:t>E_window5</w:t>
            </w:r>
          </w:p>
        </w:tc>
        <w:tc>
          <w:tcPr>
            <w:tcW w:w="852" w:type="dxa"/>
            <w:tcBorders>
              <w:top w:val="nil"/>
              <w:bottom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0,004</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0,746</w:t>
            </w:r>
          </w:p>
        </w:tc>
        <w:tc>
          <w:tcPr>
            <w:tcW w:w="708" w:type="dxa"/>
            <w:tcBorders>
              <w:top w:val="nil"/>
              <w:bottom w:val="single" w:sz="16" w:space="0" w:color="000000"/>
              <w:right w:val="single" w:sz="12" w:space="0" w:color="auto"/>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r w:rsidRPr="00DA0DCD">
              <w:rPr>
                <w:sz w:val="18"/>
                <w:szCs w:val="18"/>
                <w:lang w:val="en-US"/>
              </w:rPr>
              <w:t>0,456</w:t>
            </w:r>
          </w:p>
        </w:tc>
        <w:tc>
          <w:tcPr>
            <w:tcW w:w="852" w:type="dxa"/>
            <w:tcBorders>
              <w:top w:val="nil"/>
              <w:left w:val="single" w:sz="12" w:space="0" w:color="auto"/>
              <w:bottom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sz w:val="18"/>
                <w:szCs w:val="18"/>
                <w:lang w:val="en-US"/>
              </w:rPr>
            </w:pP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F52B2B" w:rsidRPr="00DA0DCD" w:rsidRDefault="00F52B2B" w:rsidP="005F2D2D">
            <w:pPr>
              <w:pStyle w:val="Geenafstand"/>
              <w:rPr>
                <w:b/>
                <w:sz w:val="18"/>
                <w:szCs w:val="18"/>
                <w:lang w:val="en-US"/>
              </w:rPr>
            </w:pPr>
          </w:p>
        </w:tc>
      </w:tr>
    </w:tbl>
    <w:p w:rsidR="006E5034" w:rsidRDefault="0042195C" w:rsidP="0087717C">
      <w:pPr>
        <w:rPr>
          <w:sz w:val="20"/>
          <w:szCs w:val="20"/>
          <w:lang w:val="en-US"/>
        </w:rPr>
      </w:pPr>
      <w:r w:rsidRPr="00DA0DCD">
        <w:rPr>
          <w:sz w:val="20"/>
          <w:szCs w:val="20"/>
          <w:lang w:val="en-US"/>
        </w:rPr>
        <w:t>Table 7.7</w:t>
      </w:r>
      <w:r w:rsidR="004A43B4" w:rsidRPr="00DA0DCD">
        <w:rPr>
          <w:sz w:val="20"/>
          <w:szCs w:val="20"/>
          <w:lang w:val="en-US"/>
        </w:rPr>
        <w:t>:</w:t>
      </w:r>
      <w:r w:rsidR="00B15AD8" w:rsidRPr="00DA0DCD">
        <w:rPr>
          <w:sz w:val="20"/>
          <w:szCs w:val="20"/>
          <w:lang w:val="en-US"/>
        </w:rPr>
        <w:t xml:space="preserve"> Outcome b</w:t>
      </w:r>
      <w:r w:rsidR="006A7326" w:rsidRPr="00DA0DCD">
        <w:rPr>
          <w:sz w:val="20"/>
          <w:szCs w:val="20"/>
          <w:lang w:val="en-US"/>
        </w:rPr>
        <w:t>anks</w:t>
      </w:r>
      <w:r w:rsidR="00B15AD8" w:rsidRPr="00DA0DCD">
        <w:rPr>
          <w:sz w:val="20"/>
          <w:szCs w:val="20"/>
          <w:lang w:val="en-US"/>
        </w:rPr>
        <w:t xml:space="preserve"> sample</w:t>
      </w:r>
    </w:p>
    <w:p w:rsidR="00150039" w:rsidRPr="00DA0DCD" w:rsidRDefault="00492BD0" w:rsidP="0087717C">
      <w:pPr>
        <w:rPr>
          <w:lang w:val="en-US"/>
        </w:rPr>
      </w:pPr>
      <w:r>
        <w:rPr>
          <w:lang w:val="en-US"/>
        </w:rPr>
        <w:t>On</w:t>
      </w:r>
      <w:r w:rsidR="009D30DC" w:rsidRPr="00DA0DCD">
        <w:rPr>
          <w:lang w:val="en-US"/>
        </w:rPr>
        <w:t xml:space="preserve"> the </w:t>
      </w:r>
      <w:r w:rsidR="00F52B2B">
        <w:rPr>
          <w:lang w:val="en-US"/>
        </w:rPr>
        <w:t xml:space="preserve">right </w:t>
      </w:r>
      <w:r w:rsidR="00BC55B0">
        <w:rPr>
          <w:lang w:val="en-US"/>
        </w:rPr>
        <w:t>side,</w:t>
      </w:r>
      <w:r w:rsidR="009D30DC" w:rsidRPr="00DA0DCD">
        <w:rPr>
          <w:lang w:val="en-US"/>
        </w:rPr>
        <w:t xml:space="preserve"> the results of the regression of the combined</w:t>
      </w:r>
      <w:r w:rsidR="00983264" w:rsidRPr="00DA0DCD">
        <w:rPr>
          <w:lang w:val="en-US"/>
        </w:rPr>
        <w:t xml:space="preserve"> event</w:t>
      </w:r>
      <w:r w:rsidR="009D30DC" w:rsidRPr="00DA0DCD">
        <w:rPr>
          <w:lang w:val="en-US"/>
        </w:rPr>
        <w:t xml:space="preserve"> windows together</w:t>
      </w:r>
      <w:r w:rsidR="00BC55B0" w:rsidRPr="00BC55B0">
        <w:rPr>
          <w:lang w:val="en-US"/>
        </w:rPr>
        <w:t xml:space="preserve"> </w:t>
      </w:r>
      <w:r w:rsidR="00BC55B0">
        <w:rPr>
          <w:lang w:val="en-US"/>
        </w:rPr>
        <w:t>are</w:t>
      </w:r>
      <w:r w:rsidR="00BC55B0" w:rsidRPr="00DA0DCD">
        <w:rPr>
          <w:lang w:val="en-US"/>
        </w:rPr>
        <w:t xml:space="preserve"> shown</w:t>
      </w:r>
      <w:r w:rsidR="009D30DC" w:rsidRPr="00DA0DCD">
        <w:rPr>
          <w:lang w:val="en-US"/>
        </w:rPr>
        <w:t xml:space="preserve">. The negative non-significant beta of -0,008 is a result of the incorrect predicted signs of event window one through four. </w:t>
      </w:r>
    </w:p>
    <w:p w:rsidR="008355E8" w:rsidRPr="00DA0DCD" w:rsidRDefault="008355E8" w:rsidP="008355E8">
      <w:pPr>
        <w:spacing w:after="0"/>
        <w:rPr>
          <w:b/>
          <w:i/>
          <w:lang w:val="en-US"/>
        </w:rPr>
      </w:pPr>
      <w:r w:rsidRPr="00DA0DCD">
        <w:rPr>
          <w:b/>
          <w:i/>
          <w:lang w:val="en-US"/>
        </w:rPr>
        <w:t xml:space="preserve">Only insurance </w:t>
      </w:r>
      <w:r w:rsidR="00F72E38" w:rsidRPr="00DA0DCD">
        <w:rPr>
          <w:b/>
          <w:i/>
          <w:lang w:val="en-US"/>
        </w:rPr>
        <w:t>companies’</w:t>
      </w:r>
      <w:r w:rsidRPr="00DA0DCD">
        <w:rPr>
          <w:b/>
          <w:i/>
          <w:lang w:val="en-US"/>
        </w:rPr>
        <w:t xml:space="preserve"> sample</w:t>
      </w:r>
    </w:p>
    <w:p w:rsidR="008355E8" w:rsidRPr="00DA0DCD" w:rsidRDefault="00FE291E" w:rsidP="008355E8">
      <w:pPr>
        <w:spacing w:after="0"/>
        <w:rPr>
          <w:color w:val="FF0000"/>
          <w:lang w:val="en-US"/>
        </w:rPr>
      </w:pPr>
      <w:r w:rsidRPr="00DA0DCD">
        <w:rPr>
          <w:lang w:val="en-US"/>
        </w:rPr>
        <w:t>Below,</w:t>
      </w:r>
      <w:r w:rsidR="008355E8" w:rsidRPr="00DA0DCD">
        <w:rPr>
          <w:lang w:val="en-US"/>
        </w:rPr>
        <w:t xml:space="preserve"> in table 7.8</w:t>
      </w:r>
      <w:r w:rsidRPr="00DA0DCD">
        <w:rPr>
          <w:lang w:val="en-US"/>
        </w:rPr>
        <w:t>,</w:t>
      </w:r>
      <w:r w:rsidR="008355E8" w:rsidRPr="00DA0DCD">
        <w:rPr>
          <w:lang w:val="en-US"/>
        </w:rPr>
        <w:t xml:space="preserve"> the results of the insurance companies sample </w:t>
      </w:r>
      <w:r w:rsidR="00983264" w:rsidRPr="00DA0DCD">
        <w:rPr>
          <w:lang w:val="en-US"/>
        </w:rPr>
        <w:t xml:space="preserve">are </w:t>
      </w:r>
      <w:r w:rsidR="008355E8" w:rsidRPr="00DA0DCD">
        <w:rPr>
          <w:lang w:val="en-US"/>
        </w:rPr>
        <w:t xml:space="preserve">presented. </w:t>
      </w:r>
      <w:r w:rsidR="00983264" w:rsidRPr="00DA0DCD">
        <w:rPr>
          <w:lang w:val="en-US"/>
        </w:rPr>
        <w:t>T</w:t>
      </w:r>
      <w:r w:rsidR="008355E8" w:rsidRPr="00DA0DCD">
        <w:rPr>
          <w:lang w:val="en-US"/>
        </w:rPr>
        <w:t xml:space="preserve">he left </w:t>
      </w:r>
      <w:r w:rsidR="00F72E38" w:rsidRPr="00DA0DCD">
        <w:rPr>
          <w:lang w:val="en-US"/>
        </w:rPr>
        <w:t>side show</w:t>
      </w:r>
      <w:r w:rsidR="008355E8" w:rsidRPr="00DA0DCD">
        <w:rPr>
          <w:lang w:val="en-US"/>
        </w:rPr>
        <w:t xml:space="preserve"> the results of the single event windows. </w:t>
      </w:r>
      <w:r w:rsidR="00F72E38" w:rsidRPr="00DA0DCD">
        <w:rPr>
          <w:lang w:val="en-US"/>
        </w:rPr>
        <w:t>As you can see, the first window gives a non-significant positive beta (sign) and the second through fourth window shows a negative non-significant beta (sign). In addition, the fifth window show</w:t>
      </w:r>
      <w:r w:rsidR="00FD32FC">
        <w:rPr>
          <w:lang w:val="en-US"/>
        </w:rPr>
        <w:t>s</w:t>
      </w:r>
      <w:r w:rsidR="00F72E38" w:rsidRPr="00DA0DCD">
        <w:rPr>
          <w:lang w:val="en-US"/>
        </w:rPr>
        <w:t xml:space="preserve"> a non-significant posit</w:t>
      </w:r>
      <w:r w:rsidR="009B51AD" w:rsidRPr="00DA0DCD">
        <w:rPr>
          <w:lang w:val="en-US"/>
        </w:rPr>
        <w:t>ive beta with a value of 0,003.</w:t>
      </w:r>
    </w:p>
    <w:p w:rsidR="00F72E38" w:rsidRDefault="00F72E38" w:rsidP="008355E8">
      <w:pPr>
        <w:spacing w:after="0"/>
        <w:rPr>
          <w:lang w:val="en-US"/>
        </w:rPr>
      </w:pPr>
    </w:p>
    <w:tbl>
      <w:tblPr>
        <w:tblW w:w="666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3"/>
        <w:gridCol w:w="992"/>
        <w:gridCol w:w="852"/>
        <w:gridCol w:w="708"/>
        <w:gridCol w:w="708"/>
        <w:gridCol w:w="852"/>
        <w:gridCol w:w="850"/>
        <w:gridCol w:w="709"/>
        <w:gridCol w:w="709"/>
      </w:tblGrid>
      <w:tr w:rsidR="00492BD0" w:rsidRPr="00DA0DCD" w:rsidTr="005F2D2D">
        <w:trPr>
          <w:cantSplit/>
          <w:tblHeader/>
        </w:trPr>
        <w:tc>
          <w:tcPr>
            <w:tcW w:w="3543" w:type="dxa"/>
            <w:gridSpan w:val="5"/>
            <w:tcBorders>
              <w:top w:val="single" w:sz="16" w:space="0" w:color="000000"/>
              <w:left w:val="single" w:sz="16" w:space="0" w:color="000000"/>
              <w:bottom w:val="single" w:sz="16" w:space="0" w:color="000000"/>
              <w:right w:val="single" w:sz="12" w:space="0" w:color="auto"/>
            </w:tcBorders>
            <w:shd w:val="clear" w:color="auto" w:fill="FFFFFF"/>
            <w:tcMar>
              <w:top w:w="30" w:type="dxa"/>
              <w:left w:w="30" w:type="dxa"/>
              <w:bottom w:w="30" w:type="dxa"/>
              <w:right w:w="30" w:type="dxa"/>
            </w:tcMar>
            <w:vAlign w:val="bottom"/>
          </w:tcPr>
          <w:p w:rsidR="00492BD0" w:rsidRPr="00DA0DCD" w:rsidRDefault="00492BD0" w:rsidP="005F2D2D">
            <w:pPr>
              <w:pStyle w:val="Geenafstand"/>
              <w:rPr>
                <w:b/>
                <w:sz w:val="18"/>
                <w:szCs w:val="18"/>
                <w:lang w:val="en-US"/>
              </w:rPr>
            </w:pPr>
            <w:r w:rsidRPr="00DA0DCD">
              <w:rPr>
                <w:b/>
                <w:sz w:val="18"/>
                <w:szCs w:val="18"/>
                <w:lang w:val="en-US"/>
              </w:rPr>
              <w:t>Insurance companies sample windows</w:t>
            </w:r>
          </w:p>
        </w:tc>
        <w:tc>
          <w:tcPr>
            <w:tcW w:w="3120" w:type="dxa"/>
            <w:gridSpan w:val="4"/>
            <w:tcBorders>
              <w:top w:val="single" w:sz="16" w:space="0" w:color="000000"/>
              <w:left w:val="single" w:sz="12" w:space="0" w:color="auto"/>
              <w:right w:val="single" w:sz="16" w:space="0" w:color="000000"/>
            </w:tcBorders>
            <w:shd w:val="clear" w:color="auto" w:fill="FFFFFF"/>
            <w:tcMar>
              <w:top w:w="30" w:type="dxa"/>
              <w:left w:w="30" w:type="dxa"/>
              <w:bottom w:w="30" w:type="dxa"/>
              <w:right w:w="30" w:type="dxa"/>
            </w:tcMar>
            <w:vAlign w:val="bottom"/>
          </w:tcPr>
          <w:p w:rsidR="00492BD0" w:rsidRPr="00DA0DCD" w:rsidRDefault="00492BD0" w:rsidP="005F2D2D">
            <w:pPr>
              <w:pStyle w:val="Geenafstand"/>
              <w:rPr>
                <w:b/>
                <w:sz w:val="18"/>
                <w:szCs w:val="18"/>
                <w:lang w:val="en-US"/>
              </w:rPr>
            </w:pPr>
            <w:r w:rsidRPr="00DA0DCD">
              <w:rPr>
                <w:b/>
                <w:sz w:val="18"/>
                <w:szCs w:val="18"/>
                <w:lang w:val="en-US"/>
              </w:rPr>
              <w:t>Windows combined</w:t>
            </w:r>
          </w:p>
        </w:tc>
      </w:tr>
      <w:tr w:rsidR="00492BD0" w:rsidRPr="00DA0DCD" w:rsidTr="005F2D2D">
        <w:trPr>
          <w:cantSplit/>
          <w:tblHeader/>
        </w:trPr>
        <w:tc>
          <w:tcPr>
            <w:tcW w:w="127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r w:rsidRPr="0056359C">
              <w:rPr>
                <w:sz w:val="16"/>
                <w:szCs w:val="16"/>
                <w:lang w:val="en-US"/>
              </w:rPr>
              <w:t>Model</w:t>
            </w:r>
          </w:p>
        </w:tc>
        <w:tc>
          <w:tcPr>
            <w:tcW w:w="852" w:type="dxa"/>
            <w:tcBorders>
              <w:top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r w:rsidRPr="0056359C">
              <w:rPr>
                <w:sz w:val="16"/>
                <w:szCs w:val="16"/>
                <w:lang w:val="en-US"/>
              </w:rPr>
              <w:t>St. Co- efficients</w:t>
            </w:r>
          </w:p>
        </w:tc>
        <w:tc>
          <w:tcPr>
            <w:tcW w:w="7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r w:rsidRPr="0056359C">
              <w:rPr>
                <w:sz w:val="16"/>
                <w:szCs w:val="16"/>
                <w:lang w:val="en-US"/>
              </w:rPr>
              <w:t>t</w:t>
            </w:r>
          </w:p>
        </w:tc>
        <w:tc>
          <w:tcPr>
            <w:tcW w:w="708" w:type="dxa"/>
            <w:vMerge w:val="restart"/>
            <w:tcBorders>
              <w:top w:val="single" w:sz="16" w:space="0" w:color="000000"/>
              <w:bottom w:val="single" w:sz="16" w:space="0" w:color="000000"/>
              <w:right w:val="single" w:sz="12" w:space="0" w:color="auto"/>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r w:rsidRPr="0056359C">
              <w:rPr>
                <w:sz w:val="16"/>
                <w:szCs w:val="16"/>
                <w:lang w:val="en-US"/>
              </w:rPr>
              <w:t>Sig.</w:t>
            </w:r>
          </w:p>
        </w:tc>
        <w:tc>
          <w:tcPr>
            <w:tcW w:w="852" w:type="dxa"/>
            <w:tcBorders>
              <w:top w:val="single" w:sz="16" w:space="0" w:color="000000"/>
              <w:left w:val="single" w:sz="12" w:space="0" w:color="auto"/>
              <w:right w:val="single" w:sz="4" w:space="0" w:color="auto"/>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p>
        </w:tc>
        <w:tc>
          <w:tcPr>
            <w:tcW w:w="850" w:type="dxa"/>
            <w:tcBorders>
              <w:top w:val="single" w:sz="16" w:space="0" w:color="000000"/>
              <w:left w:val="single" w:sz="4" w:space="0" w:color="auto"/>
            </w:tcBorders>
            <w:shd w:val="clear" w:color="auto" w:fill="FFFFFF"/>
            <w:vAlign w:val="bottom"/>
          </w:tcPr>
          <w:p w:rsidR="00492BD0" w:rsidRPr="0056359C" w:rsidRDefault="00492BD0" w:rsidP="005F2D2D">
            <w:pPr>
              <w:pStyle w:val="Geenafstand"/>
              <w:rPr>
                <w:sz w:val="16"/>
                <w:szCs w:val="16"/>
                <w:lang w:val="en-US"/>
              </w:rPr>
            </w:pPr>
            <w:r w:rsidRPr="0056359C">
              <w:rPr>
                <w:sz w:val="16"/>
                <w:szCs w:val="16"/>
                <w:lang w:val="en-US"/>
              </w:rPr>
              <w:t>St. Co- efficients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p>
        </w:tc>
      </w:tr>
      <w:tr w:rsidR="00492BD0" w:rsidRPr="00DA0DCD" w:rsidTr="005F2D2D">
        <w:trPr>
          <w:cantSplit/>
          <w:tblHeader/>
        </w:trPr>
        <w:tc>
          <w:tcPr>
            <w:tcW w:w="1275"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p>
        </w:tc>
        <w:tc>
          <w:tcPr>
            <w:tcW w:w="852" w:type="dxa"/>
            <w:tcBorders>
              <w:bottom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r w:rsidRPr="0056359C">
              <w:rPr>
                <w:sz w:val="16"/>
                <w:szCs w:val="16"/>
                <w:lang w:val="en-US"/>
              </w:rPr>
              <w:t>Beta</w:t>
            </w:r>
          </w:p>
        </w:tc>
        <w:tc>
          <w:tcPr>
            <w:tcW w:w="7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p>
        </w:tc>
        <w:tc>
          <w:tcPr>
            <w:tcW w:w="708" w:type="dxa"/>
            <w:vMerge/>
            <w:tcBorders>
              <w:top w:val="single" w:sz="16" w:space="0" w:color="000000"/>
              <w:bottom w:val="single" w:sz="16" w:space="0" w:color="000000"/>
              <w:right w:val="single" w:sz="12" w:space="0" w:color="auto"/>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p>
        </w:tc>
        <w:tc>
          <w:tcPr>
            <w:tcW w:w="852" w:type="dxa"/>
            <w:tcBorders>
              <w:top w:val="nil"/>
              <w:left w:val="single" w:sz="12" w:space="0" w:color="auto"/>
              <w:bottom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p>
        </w:tc>
        <w:tc>
          <w:tcPr>
            <w:tcW w:w="850" w:type="dxa"/>
            <w:tcBorders>
              <w:top w:val="nil"/>
              <w:bottom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r w:rsidRPr="0056359C">
              <w:rPr>
                <w:sz w:val="16"/>
                <w:szCs w:val="16"/>
                <w:lang w:val="en-US"/>
              </w:rPr>
              <w:t>Beta</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sz w:val="16"/>
                <w:szCs w:val="16"/>
                <w:lang w:val="en-US"/>
              </w:rPr>
            </w:pPr>
            <w:r w:rsidRPr="0056359C">
              <w:rPr>
                <w:sz w:val="16"/>
                <w:szCs w:val="16"/>
                <w:lang w:val="en-US"/>
              </w:rPr>
              <w:t>t</w:t>
            </w:r>
          </w:p>
        </w:tc>
        <w:tc>
          <w:tcPr>
            <w:tcW w:w="709"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92BD0" w:rsidRPr="0056359C" w:rsidRDefault="00492BD0" w:rsidP="005F2D2D">
            <w:pPr>
              <w:pStyle w:val="Geenafstand"/>
              <w:rPr>
                <w:color w:val="FF0000"/>
                <w:sz w:val="16"/>
                <w:szCs w:val="16"/>
                <w:lang w:val="en-US"/>
              </w:rPr>
            </w:pPr>
            <w:r w:rsidRPr="0056359C">
              <w:rPr>
                <w:sz w:val="16"/>
                <w:szCs w:val="16"/>
                <w:lang w:val="en-US"/>
              </w:rPr>
              <w:t>Sig.</w:t>
            </w:r>
          </w:p>
        </w:tc>
      </w:tr>
      <w:tr w:rsidR="00492BD0" w:rsidRPr="00DA0DCD" w:rsidTr="005F2D2D">
        <w:trPr>
          <w:cantSplit/>
          <w:tblHeader/>
        </w:trPr>
        <w:tc>
          <w:tcPr>
            <w:tcW w:w="28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(Constant)</w:t>
            </w:r>
          </w:p>
        </w:tc>
        <w:tc>
          <w:tcPr>
            <w:tcW w:w="852" w:type="dxa"/>
            <w:tcBorders>
              <w:top w:val="single" w:sz="16" w:space="0" w:color="000000"/>
              <w:bottom w:val="nil"/>
            </w:tcBorders>
            <w:shd w:val="clear" w:color="auto" w:fill="FFFFFF"/>
            <w:tcMar>
              <w:top w:w="30" w:type="dxa"/>
              <w:left w:w="30" w:type="dxa"/>
              <w:bottom w:w="30" w:type="dxa"/>
              <w:right w:w="30" w:type="dxa"/>
            </w:tcMar>
          </w:tcPr>
          <w:p w:rsidR="00492BD0" w:rsidRPr="00DA0DCD" w:rsidRDefault="00492BD0" w:rsidP="005F2D2D">
            <w:pPr>
              <w:pStyle w:val="Geenafstand"/>
              <w:rPr>
                <w:rFonts w:cs="Times New Roman"/>
                <w:sz w:val="18"/>
                <w:szCs w:val="18"/>
                <w:lang w:val="en-US"/>
              </w:rPr>
            </w:pP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1,801</w:t>
            </w:r>
          </w:p>
        </w:tc>
        <w:tc>
          <w:tcPr>
            <w:tcW w:w="708" w:type="dxa"/>
            <w:tcBorders>
              <w:top w:val="single" w:sz="16" w:space="0" w:color="000000"/>
              <w:bottom w:val="nil"/>
              <w:right w:val="single" w:sz="12" w:space="0" w:color="auto"/>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0,072</w:t>
            </w:r>
          </w:p>
        </w:tc>
        <w:tc>
          <w:tcPr>
            <w:tcW w:w="852" w:type="dxa"/>
            <w:tcBorders>
              <w:top w:val="single" w:sz="16" w:space="0" w:color="000000"/>
              <w:left w:val="single" w:sz="12" w:space="0" w:color="auto"/>
              <w:bottom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(Constant)</w:t>
            </w:r>
          </w:p>
        </w:tc>
        <w:tc>
          <w:tcPr>
            <w:tcW w:w="850" w:type="dxa"/>
            <w:tcBorders>
              <w:top w:val="single" w:sz="16" w:space="0" w:color="000000"/>
              <w:bottom w:val="nil"/>
            </w:tcBorders>
            <w:shd w:val="clear" w:color="auto" w:fill="FFFFFF"/>
            <w:tcMar>
              <w:top w:w="30" w:type="dxa"/>
              <w:left w:w="30" w:type="dxa"/>
              <w:bottom w:w="30" w:type="dxa"/>
              <w:right w:w="30" w:type="dxa"/>
            </w:tcMar>
          </w:tcPr>
          <w:p w:rsidR="00492BD0" w:rsidRPr="00DA0DCD" w:rsidRDefault="00492BD0" w:rsidP="005F2D2D">
            <w:pPr>
              <w:pStyle w:val="Geenafstand"/>
              <w:rPr>
                <w:rFonts w:ascii="Times New Roman" w:hAnsi="Times New Roman"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1,769</w:t>
            </w:r>
          </w:p>
        </w:tc>
        <w:tc>
          <w:tcPr>
            <w:tcW w:w="709"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color w:val="FF0000"/>
                <w:sz w:val="18"/>
                <w:szCs w:val="18"/>
                <w:lang w:val="en-US"/>
              </w:rPr>
            </w:pPr>
            <w:r w:rsidRPr="00DA0DCD">
              <w:rPr>
                <w:sz w:val="18"/>
                <w:szCs w:val="18"/>
                <w:lang w:val="en-US"/>
              </w:rPr>
              <w:t>0,077</w:t>
            </w:r>
          </w:p>
        </w:tc>
      </w:tr>
      <w:tr w:rsidR="00492BD0"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92BD0" w:rsidRPr="00DA0DCD" w:rsidRDefault="00492BD0" w:rsidP="005F2D2D">
            <w:pPr>
              <w:pStyle w:val="Geenafstand"/>
              <w:rPr>
                <w:rFonts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Rmt</w:t>
            </w:r>
          </w:p>
        </w:tc>
        <w:tc>
          <w:tcPr>
            <w:tcW w:w="852"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b/>
                <w:sz w:val="18"/>
                <w:szCs w:val="18"/>
                <w:lang w:val="en-US"/>
              </w:rPr>
            </w:pPr>
            <w:r w:rsidRPr="00DA0DCD">
              <w:rPr>
                <w:b/>
                <w:sz w:val="18"/>
                <w:szCs w:val="18"/>
                <w:lang w:val="en-US"/>
              </w:rPr>
              <w:t>0,500</w:t>
            </w:r>
          </w:p>
        </w:tc>
        <w:tc>
          <w:tcPr>
            <w:tcW w:w="708"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b/>
                <w:sz w:val="18"/>
                <w:szCs w:val="18"/>
                <w:lang w:val="en-US"/>
              </w:rPr>
            </w:pPr>
            <w:r w:rsidRPr="00DA0DCD">
              <w:rPr>
                <w:b/>
                <w:sz w:val="18"/>
                <w:szCs w:val="18"/>
                <w:lang w:val="en-US"/>
              </w:rPr>
              <w:t>85,415</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492BD0" w:rsidRPr="00DA0DCD" w:rsidRDefault="00492BD0" w:rsidP="005F2D2D">
            <w:pPr>
              <w:pStyle w:val="Geenafstand"/>
              <w:rPr>
                <w:b/>
                <w:sz w:val="18"/>
                <w:szCs w:val="18"/>
                <w:lang w:val="en-US"/>
              </w:rPr>
            </w:pPr>
            <w:r w:rsidRPr="00DA0DCD">
              <w:rPr>
                <w:b/>
                <w:sz w:val="18"/>
                <w:szCs w:val="18"/>
                <w:lang w:val="en-US"/>
              </w:rPr>
              <w:t>0,000</w:t>
            </w:r>
          </w:p>
        </w:tc>
        <w:tc>
          <w:tcPr>
            <w:tcW w:w="852" w:type="dxa"/>
            <w:tcBorders>
              <w:top w:val="nil"/>
              <w:left w:val="single" w:sz="12" w:space="0" w:color="auto"/>
              <w:bottom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Rmt</w:t>
            </w:r>
          </w:p>
        </w:tc>
        <w:tc>
          <w:tcPr>
            <w:tcW w:w="850"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0,500</w:t>
            </w:r>
          </w:p>
        </w:tc>
        <w:tc>
          <w:tcPr>
            <w:tcW w:w="709"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85,797</w:t>
            </w:r>
          </w:p>
        </w:tc>
        <w:tc>
          <w:tcPr>
            <w:tcW w:w="709" w:type="dxa"/>
            <w:tcBorders>
              <w:top w:val="nil"/>
              <w:bottom w:val="nil"/>
              <w:right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color w:val="FF0000"/>
                <w:sz w:val="18"/>
                <w:szCs w:val="18"/>
                <w:lang w:val="en-US"/>
              </w:rPr>
            </w:pPr>
            <w:r w:rsidRPr="00DA0DCD">
              <w:rPr>
                <w:sz w:val="18"/>
                <w:szCs w:val="18"/>
                <w:lang w:val="en-US"/>
              </w:rPr>
              <w:t>0,000</w:t>
            </w:r>
          </w:p>
        </w:tc>
      </w:tr>
      <w:tr w:rsidR="00492BD0"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Intt</w:t>
            </w:r>
          </w:p>
        </w:tc>
        <w:tc>
          <w:tcPr>
            <w:tcW w:w="852"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-0,006</w:t>
            </w:r>
          </w:p>
        </w:tc>
        <w:tc>
          <w:tcPr>
            <w:tcW w:w="708"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-0,946</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0,344</w:t>
            </w:r>
          </w:p>
        </w:tc>
        <w:tc>
          <w:tcPr>
            <w:tcW w:w="852" w:type="dxa"/>
            <w:tcBorders>
              <w:top w:val="nil"/>
              <w:left w:val="single" w:sz="12" w:space="0" w:color="auto"/>
              <w:bottom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Intt</w:t>
            </w:r>
          </w:p>
        </w:tc>
        <w:tc>
          <w:tcPr>
            <w:tcW w:w="850"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-0,006</w:t>
            </w:r>
          </w:p>
        </w:tc>
        <w:tc>
          <w:tcPr>
            <w:tcW w:w="709"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-1,076</w:t>
            </w:r>
          </w:p>
        </w:tc>
        <w:tc>
          <w:tcPr>
            <w:tcW w:w="709" w:type="dxa"/>
            <w:tcBorders>
              <w:top w:val="nil"/>
              <w:bottom w:val="nil"/>
              <w:right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color w:val="FF0000"/>
                <w:sz w:val="18"/>
                <w:szCs w:val="18"/>
                <w:lang w:val="en-US"/>
              </w:rPr>
            </w:pPr>
            <w:r w:rsidRPr="00DA0DCD">
              <w:rPr>
                <w:sz w:val="18"/>
                <w:szCs w:val="18"/>
                <w:lang w:val="en-US"/>
              </w:rPr>
              <w:t>0,282</w:t>
            </w:r>
          </w:p>
        </w:tc>
      </w:tr>
      <w:tr w:rsidR="00492BD0"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E_window1</w:t>
            </w:r>
          </w:p>
        </w:tc>
        <w:tc>
          <w:tcPr>
            <w:tcW w:w="852"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0,001</w:t>
            </w:r>
          </w:p>
        </w:tc>
        <w:tc>
          <w:tcPr>
            <w:tcW w:w="708"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0,216</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0,829</w:t>
            </w:r>
          </w:p>
        </w:tc>
        <w:tc>
          <w:tcPr>
            <w:tcW w:w="852" w:type="dxa"/>
            <w:tcBorders>
              <w:top w:val="nil"/>
              <w:left w:val="single" w:sz="12" w:space="0" w:color="auto"/>
              <w:bottom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Windows_Combined</w:t>
            </w:r>
          </w:p>
        </w:tc>
        <w:tc>
          <w:tcPr>
            <w:tcW w:w="850"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-0,007</w:t>
            </w:r>
          </w:p>
        </w:tc>
        <w:tc>
          <w:tcPr>
            <w:tcW w:w="709"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-1,241</w:t>
            </w:r>
          </w:p>
        </w:tc>
        <w:tc>
          <w:tcPr>
            <w:tcW w:w="709" w:type="dxa"/>
            <w:tcBorders>
              <w:top w:val="nil"/>
              <w:bottom w:val="nil"/>
              <w:right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color w:val="FF0000"/>
                <w:sz w:val="18"/>
                <w:szCs w:val="18"/>
                <w:lang w:val="en-US"/>
              </w:rPr>
            </w:pPr>
            <w:r w:rsidRPr="00DA0DCD">
              <w:rPr>
                <w:sz w:val="18"/>
                <w:szCs w:val="18"/>
                <w:lang w:val="en-US"/>
              </w:rPr>
              <w:t>0,215</w:t>
            </w:r>
          </w:p>
        </w:tc>
      </w:tr>
      <w:tr w:rsidR="00492BD0"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E_window2</w:t>
            </w:r>
          </w:p>
        </w:tc>
        <w:tc>
          <w:tcPr>
            <w:tcW w:w="852"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-0,011</w:t>
            </w:r>
          </w:p>
        </w:tc>
        <w:tc>
          <w:tcPr>
            <w:tcW w:w="708"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-1,900</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0,057</w:t>
            </w:r>
          </w:p>
        </w:tc>
        <w:tc>
          <w:tcPr>
            <w:tcW w:w="852" w:type="dxa"/>
            <w:tcBorders>
              <w:top w:val="nil"/>
              <w:left w:val="single" w:sz="12" w:space="0" w:color="auto"/>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850"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709"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709" w:type="dxa"/>
            <w:tcBorders>
              <w:top w:val="nil"/>
              <w:bottom w:val="nil"/>
              <w:right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b/>
                <w:sz w:val="18"/>
                <w:szCs w:val="18"/>
                <w:lang w:val="en-US"/>
              </w:rPr>
            </w:pPr>
          </w:p>
        </w:tc>
      </w:tr>
      <w:tr w:rsidR="00492BD0"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E_window3</w:t>
            </w:r>
          </w:p>
        </w:tc>
        <w:tc>
          <w:tcPr>
            <w:tcW w:w="852"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-0,003</w:t>
            </w:r>
          </w:p>
        </w:tc>
        <w:tc>
          <w:tcPr>
            <w:tcW w:w="708"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-0,577</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0,564</w:t>
            </w:r>
          </w:p>
        </w:tc>
        <w:tc>
          <w:tcPr>
            <w:tcW w:w="852" w:type="dxa"/>
            <w:tcBorders>
              <w:top w:val="nil"/>
              <w:left w:val="single" w:sz="12" w:space="0" w:color="auto"/>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850"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709"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709" w:type="dxa"/>
            <w:tcBorders>
              <w:top w:val="nil"/>
              <w:bottom w:val="nil"/>
              <w:right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b/>
                <w:sz w:val="18"/>
                <w:szCs w:val="18"/>
                <w:lang w:val="en-US"/>
              </w:rPr>
            </w:pPr>
          </w:p>
        </w:tc>
      </w:tr>
      <w:tr w:rsidR="00492BD0"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E_window4</w:t>
            </w:r>
          </w:p>
        </w:tc>
        <w:tc>
          <w:tcPr>
            <w:tcW w:w="852"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-0,009</w:t>
            </w:r>
          </w:p>
        </w:tc>
        <w:tc>
          <w:tcPr>
            <w:tcW w:w="708"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-1,488</w:t>
            </w:r>
          </w:p>
        </w:tc>
        <w:tc>
          <w:tcPr>
            <w:tcW w:w="708" w:type="dxa"/>
            <w:tcBorders>
              <w:top w:val="nil"/>
              <w:bottom w:val="nil"/>
              <w:right w:val="single" w:sz="12" w:space="0" w:color="auto"/>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0,137</w:t>
            </w:r>
          </w:p>
        </w:tc>
        <w:tc>
          <w:tcPr>
            <w:tcW w:w="852" w:type="dxa"/>
            <w:tcBorders>
              <w:top w:val="nil"/>
              <w:left w:val="single" w:sz="12" w:space="0" w:color="auto"/>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850"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709" w:type="dxa"/>
            <w:tcBorders>
              <w:top w:val="nil"/>
              <w:bottom w:val="nil"/>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709" w:type="dxa"/>
            <w:tcBorders>
              <w:top w:val="nil"/>
              <w:bottom w:val="nil"/>
              <w:right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b/>
                <w:sz w:val="18"/>
                <w:szCs w:val="18"/>
                <w:lang w:val="en-US"/>
              </w:rPr>
            </w:pPr>
          </w:p>
        </w:tc>
      </w:tr>
      <w:tr w:rsidR="00492BD0" w:rsidRPr="00DA0DCD" w:rsidTr="005F2D2D">
        <w:trPr>
          <w:cantSplit/>
          <w:tblHeader/>
        </w:trPr>
        <w:tc>
          <w:tcPr>
            <w:tcW w:w="28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92BD0" w:rsidRPr="00DA0DCD" w:rsidRDefault="00492BD0" w:rsidP="005F2D2D">
            <w:pPr>
              <w:pStyle w:val="Geenafstand"/>
              <w:rPr>
                <w:sz w:val="18"/>
                <w:szCs w:val="18"/>
                <w:lang w:val="en-US"/>
              </w:rPr>
            </w:pPr>
            <w:r w:rsidRPr="00DA0DCD">
              <w:rPr>
                <w:sz w:val="18"/>
                <w:szCs w:val="18"/>
                <w:lang w:val="en-US"/>
              </w:rPr>
              <w:t>E_window5</w:t>
            </w:r>
          </w:p>
        </w:tc>
        <w:tc>
          <w:tcPr>
            <w:tcW w:w="852" w:type="dxa"/>
            <w:tcBorders>
              <w:top w:val="nil"/>
              <w:bottom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0,003</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0,547</w:t>
            </w:r>
          </w:p>
        </w:tc>
        <w:tc>
          <w:tcPr>
            <w:tcW w:w="708" w:type="dxa"/>
            <w:tcBorders>
              <w:top w:val="nil"/>
              <w:bottom w:val="single" w:sz="16" w:space="0" w:color="000000"/>
              <w:right w:val="single" w:sz="12" w:space="0" w:color="auto"/>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r w:rsidRPr="00DA0DCD">
              <w:rPr>
                <w:sz w:val="18"/>
                <w:szCs w:val="18"/>
                <w:lang w:val="en-US"/>
              </w:rPr>
              <w:t>0,584</w:t>
            </w:r>
          </w:p>
        </w:tc>
        <w:tc>
          <w:tcPr>
            <w:tcW w:w="852" w:type="dxa"/>
            <w:tcBorders>
              <w:top w:val="nil"/>
              <w:left w:val="single" w:sz="12" w:space="0" w:color="auto"/>
              <w:bottom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sz w:val="18"/>
                <w:szCs w:val="18"/>
                <w:lang w:val="en-US"/>
              </w:rPr>
            </w:pPr>
          </w:p>
        </w:tc>
        <w:tc>
          <w:tcPr>
            <w:tcW w:w="709"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92BD0" w:rsidRPr="00DA0DCD" w:rsidRDefault="00492BD0" w:rsidP="005F2D2D">
            <w:pPr>
              <w:pStyle w:val="Geenafstand"/>
              <w:rPr>
                <w:b/>
                <w:sz w:val="18"/>
                <w:szCs w:val="18"/>
                <w:lang w:val="en-US"/>
              </w:rPr>
            </w:pPr>
          </w:p>
        </w:tc>
      </w:tr>
    </w:tbl>
    <w:p w:rsidR="00B15AD8" w:rsidRDefault="0042195C" w:rsidP="0087717C">
      <w:pPr>
        <w:rPr>
          <w:sz w:val="20"/>
          <w:szCs w:val="20"/>
          <w:lang w:val="en-US"/>
        </w:rPr>
      </w:pPr>
      <w:r w:rsidRPr="00DA0DCD">
        <w:rPr>
          <w:sz w:val="20"/>
          <w:szCs w:val="20"/>
          <w:lang w:val="en-US"/>
        </w:rPr>
        <w:t>Table 7.8</w:t>
      </w:r>
      <w:r w:rsidR="00856AF4" w:rsidRPr="00DA0DCD">
        <w:rPr>
          <w:sz w:val="20"/>
          <w:szCs w:val="20"/>
          <w:lang w:val="en-US"/>
        </w:rPr>
        <w:t>: Outcome insurance companies</w:t>
      </w:r>
      <w:r w:rsidR="004A43B4" w:rsidRPr="00DA0DCD">
        <w:rPr>
          <w:sz w:val="20"/>
          <w:szCs w:val="20"/>
          <w:lang w:val="en-US"/>
        </w:rPr>
        <w:t xml:space="preserve"> sample</w:t>
      </w:r>
    </w:p>
    <w:p w:rsidR="005A72CB" w:rsidRDefault="00492BD0" w:rsidP="0087717C">
      <w:pPr>
        <w:rPr>
          <w:lang w:val="en-US"/>
        </w:rPr>
      </w:pPr>
      <w:r>
        <w:rPr>
          <w:lang w:val="en-US"/>
        </w:rPr>
        <w:t>On</w:t>
      </w:r>
      <w:r w:rsidR="002D2663" w:rsidRPr="00DA0DCD">
        <w:rPr>
          <w:lang w:val="en-US"/>
        </w:rPr>
        <w:t xml:space="preserve"> the </w:t>
      </w:r>
      <w:r>
        <w:rPr>
          <w:lang w:val="en-US"/>
        </w:rPr>
        <w:t>right side</w:t>
      </w:r>
      <w:r w:rsidR="002D2663" w:rsidRPr="00DA0DCD">
        <w:rPr>
          <w:lang w:val="en-US"/>
        </w:rPr>
        <w:t xml:space="preserve"> of table 7.8 the result</w:t>
      </w:r>
      <w:r w:rsidR="001000F9" w:rsidRPr="00DA0DCD">
        <w:rPr>
          <w:lang w:val="en-US"/>
        </w:rPr>
        <w:t>s</w:t>
      </w:r>
      <w:r w:rsidR="002D2663" w:rsidRPr="00DA0DCD">
        <w:rPr>
          <w:lang w:val="en-US"/>
        </w:rPr>
        <w:t xml:space="preserve"> of the windows combined regression</w:t>
      </w:r>
      <w:r w:rsidR="001000F9" w:rsidRPr="00DA0DCD">
        <w:rPr>
          <w:lang w:val="en-US"/>
        </w:rPr>
        <w:t>s</w:t>
      </w:r>
      <w:r w:rsidR="00FE291E" w:rsidRPr="00DA0DCD">
        <w:rPr>
          <w:lang w:val="en-US"/>
        </w:rPr>
        <w:t xml:space="preserve"> are</w:t>
      </w:r>
      <w:r w:rsidR="002D2663" w:rsidRPr="00DA0DCD">
        <w:rPr>
          <w:lang w:val="en-US"/>
        </w:rPr>
        <w:t xml:space="preserve"> shown. </w:t>
      </w:r>
      <w:r w:rsidR="001000F9" w:rsidRPr="00DA0DCD">
        <w:rPr>
          <w:lang w:val="en-US"/>
        </w:rPr>
        <w:t xml:space="preserve">Also here </w:t>
      </w:r>
      <w:r w:rsidR="00FE291E" w:rsidRPr="00DA0DCD">
        <w:rPr>
          <w:lang w:val="en-US"/>
        </w:rPr>
        <w:t>a</w:t>
      </w:r>
      <w:r w:rsidR="001000F9" w:rsidRPr="00DA0DCD">
        <w:rPr>
          <w:lang w:val="en-US"/>
        </w:rPr>
        <w:t xml:space="preserve"> negative </w:t>
      </w:r>
      <w:r w:rsidR="00FE291E" w:rsidRPr="00DA0DCD">
        <w:rPr>
          <w:lang w:val="en-US"/>
        </w:rPr>
        <w:t xml:space="preserve">non-significant beta of -0,007 </w:t>
      </w:r>
      <w:r w:rsidR="001000F9" w:rsidRPr="00DA0DCD">
        <w:rPr>
          <w:lang w:val="en-US"/>
        </w:rPr>
        <w:t>result</w:t>
      </w:r>
      <w:r w:rsidR="00FE291E" w:rsidRPr="00DA0DCD">
        <w:rPr>
          <w:lang w:val="en-US"/>
        </w:rPr>
        <w:t>s</w:t>
      </w:r>
      <w:r w:rsidR="001000F9" w:rsidRPr="00DA0DCD">
        <w:rPr>
          <w:lang w:val="en-US"/>
        </w:rPr>
        <w:t xml:space="preserve"> </w:t>
      </w:r>
      <w:r w:rsidR="00FE291E" w:rsidRPr="00DA0DCD">
        <w:rPr>
          <w:lang w:val="en-US"/>
        </w:rPr>
        <w:t>because of the</w:t>
      </w:r>
      <w:r w:rsidR="001000F9" w:rsidRPr="00DA0DCD">
        <w:rPr>
          <w:lang w:val="en-US"/>
        </w:rPr>
        <w:t xml:space="preserve"> incorrect predicted signs of</w:t>
      </w:r>
      <w:r w:rsidR="005A72CB">
        <w:rPr>
          <w:lang w:val="en-US"/>
        </w:rPr>
        <w:t xml:space="preserve"> event window two through four.</w:t>
      </w:r>
    </w:p>
    <w:p w:rsidR="00F240F2" w:rsidRPr="00DA0DCD" w:rsidRDefault="00F240F2" w:rsidP="00F240F2">
      <w:pPr>
        <w:spacing w:after="0"/>
        <w:rPr>
          <w:b/>
          <w:i/>
          <w:lang w:val="en-US"/>
        </w:rPr>
      </w:pPr>
      <w:r w:rsidRPr="00DA0DCD">
        <w:rPr>
          <w:b/>
          <w:i/>
          <w:lang w:val="en-US"/>
        </w:rPr>
        <w:t>Comparison of both samples</w:t>
      </w:r>
    </w:p>
    <w:p w:rsidR="00794014" w:rsidRPr="003D5BCD" w:rsidRDefault="00F240F2" w:rsidP="00F240F2">
      <w:pPr>
        <w:rPr>
          <w:lang w:val="en-US"/>
        </w:rPr>
      </w:pPr>
      <w:r w:rsidRPr="003D5BCD">
        <w:rPr>
          <w:lang w:val="en-US"/>
        </w:rPr>
        <w:t>By compare the banks and insurance companies’ sample, both samples show a positive non-significant beta</w:t>
      </w:r>
      <w:r w:rsidR="00794014" w:rsidRPr="003D5BCD">
        <w:rPr>
          <w:lang w:val="en-US"/>
        </w:rPr>
        <w:t xml:space="preserve"> during the fifth event window of respectively a beta of 0,004 and 0,003. The combined event windows show respectively a statistically not significant stock price reaction with a beta of -0,008 and -0,007. Therefore, based on the </w:t>
      </w:r>
      <w:r w:rsidR="003D5BCD">
        <w:rPr>
          <w:lang w:val="en-US"/>
        </w:rPr>
        <w:t xml:space="preserve">non-significant </w:t>
      </w:r>
      <w:r w:rsidR="00794014" w:rsidRPr="003D5BCD">
        <w:rPr>
          <w:lang w:val="en-US"/>
        </w:rPr>
        <w:t>positive beta during the fifth event window and the negative non-significant beta during the event windows combined of both samples, hypothesis three can be rejected.</w:t>
      </w:r>
    </w:p>
    <w:p w:rsidR="0087717C" w:rsidRPr="00DA0DCD" w:rsidRDefault="0087717C" w:rsidP="0087717C">
      <w:pPr>
        <w:pStyle w:val="Kop3"/>
        <w:numPr>
          <w:ilvl w:val="2"/>
          <w:numId w:val="14"/>
        </w:numPr>
        <w:rPr>
          <w:lang w:val="en-US"/>
        </w:rPr>
      </w:pPr>
      <w:bookmarkStart w:id="79" w:name="_Toc270770613"/>
      <w:r w:rsidRPr="00DA0DCD">
        <w:rPr>
          <w:lang w:val="en-US"/>
        </w:rPr>
        <w:lastRenderedPageBreak/>
        <w:t>Results of the fourth hypothesis</w:t>
      </w:r>
      <w:bookmarkEnd w:id="79"/>
    </w:p>
    <w:p w:rsidR="008F6FD8" w:rsidRPr="00DA0DCD" w:rsidRDefault="008F6FD8" w:rsidP="008F6FD8">
      <w:pPr>
        <w:rPr>
          <w:lang w:val="en-US"/>
        </w:rPr>
      </w:pPr>
      <w:r w:rsidRPr="00DA0DCD">
        <w:rPr>
          <w:rStyle w:val="longtext1"/>
          <w:rFonts w:cs="Times New Roman"/>
          <w:sz w:val="22"/>
          <w:szCs w:val="22"/>
          <w:shd w:val="clear" w:color="auto" w:fill="FFFFFF"/>
          <w:lang w:val="en-US"/>
        </w:rPr>
        <w:t xml:space="preserve">Hypothesis 4: </w:t>
      </w:r>
      <w:r w:rsidRPr="00DA0DCD">
        <w:rPr>
          <w:rStyle w:val="longtext1"/>
          <w:rFonts w:cs="Times New Roman"/>
          <w:i/>
          <w:sz w:val="22"/>
          <w:szCs w:val="22"/>
          <w:shd w:val="clear" w:color="auto" w:fill="FFFFFF"/>
          <w:lang w:val="en-US"/>
        </w:rPr>
        <w:t xml:space="preserve">The absolute value of stock price reactions </w:t>
      </w:r>
      <w:r w:rsidR="0077354B" w:rsidRPr="00DA0DCD">
        <w:rPr>
          <w:rStyle w:val="longtext1"/>
          <w:rFonts w:cs="Times New Roman"/>
          <w:i/>
          <w:sz w:val="22"/>
          <w:szCs w:val="22"/>
          <w:shd w:val="clear" w:color="auto" w:fill="FFFFFF"/>
          <w:lang w:val="en-US"/>
        </w:rPr>
        <w:t>of</w:t>
      </w:r>
      <w:r w:rsidRPr="00DA0DCD">
        <w:rPr>
          <w:rStyle w:val="longtext1"/>
          <w:rFonts w:cs="Times New Roman"/>
          <w:i/>
          <w:sz w:val="22"/>
          <w:szCs w:val="22"/>
          <w:shd w:val="clear" w:color="auto" w:fill="FFFFFF"/>
          <w:lang w:val="en-US"/>
        </w:rPr>
        <w:t xml:space="preserve"> financial institutions in Great Britain and Ireland to the introduction of the reclassification option for financial instruments in IAS 39 is expected to be weaker than the absolute value of stock price reactions </w:t>
      </w:r>
      <w:r w:rsidR="0077354B" w:rsidRPr="00DA0DCD">
        <w:rPr>
          <w:rStyle w:val="longtext1"/>
          <w:rFonts w:cs="Times New Roman"/>
          <w:i/>
          <w:sz w:val="22"/>
          <w:szCs w:val="22"/>
          <w:shd w:val="clear" w:color="auto" w:fill="FFFFFF"/>
          <w:lang w:val="en-US"/>
        </w:rPr>
        <w:t>of</w:t>
      </w:r>
      <w:r w:rsidRPr="00DA0DCD">
        <w:rPr>
          <w:rStyle w:val="longtext1"/>
          <w:rFonts w:cs="Times New Roman"/>
          <w:i/>
          <w:sz w:val="22"/>
          <w:szCs w:val="22"/>
          <w:shd w:val="clear" w:color="auto" w:fill="FFFFFF"/>
          <w:lang w:val="en-US"/>
        </w:rPr>
        <w:t xml:space="preserve"> financial institutions in other European countries.</w:t>
      </w:r>
    </w:p>
    <w:p w:rsidR="00CF4A16" w:rsidRDefault="00A40395" w:rsidP="0087717C">
      <w:pPr>
        <w:rPr>
          <w:lang w:val="en-US"/>
        </w:rPr>
      </w:pPr>
      <w:r w:rsidRPr="00DA0DCD">
        <w:rPr>
          <w:rStyle w:val="longtext1"/>
          <w:rFonts w:cs="Times New Roman"/>
          <w:sz w:val="22"/>
          <w:szCs w:val="22"/>
          <w:shd w:val="clear" w:color="auto" w:fill="FFFFFF"/>
          <w:lang w:val="en-US"/>
        </w:rPr>
        <w:t xml:space="preserve">This hypothesis is tested by regressing Eq. (6.1) for all sample countries separately. The regression results are summarized in table 7.9 </w:t>
      </w:r>
      <w:r w:rsidR="00252758" w:rsidRPr="00DA0DCD">
        <w:rPr>
          <w:rStyle w:val="longtext1"/>
          <w:rFonts w:cs="Times New Roman"/>
          <w:sz w:val="22"/>
          <w:szCs w:val="22"/>
          <w:shd w:val="clear" w:color="auto" w:fill="FFFFFF"/>
          <w:lang w:val="en-US"/>
        </w:rPr>
        <w:t>below.</w:t>
      </w:r>
      <w:r w:rsidRPr="00DA0DCD">
        <w:rPr>
          <w:rStyle w:val="longtext1"/>
          <w:rFonts w:cs="Times New Roman"/>
          <w:sz w:val="22"/>
          <w:szCs w:val="22"/>
          <w:shd w:val="clear" w:color="auto" w:fill="FFFFFF"/>
          <w:lang w:val="en-US"/>
        </w:rPr>
        <w:t xml:space="preserve"> For every country the five</w:t>
      </w:r>
      <w:r w:rsidR="00BB603E" w:rsidRPr="00DA0DCD">
        <w:rPr>
          <w:rStyle w:val="longtext1"/>
          <w:rFonts w:cs="Times New Roman"/>
          <w:sz w:val="22"/>
          <w:szCs w:val="22"/>
          <w:shd w:val="clear" w:color="auto" w:fill="FFFFFF"/>
          <w:lang w:val="en-US"/>
        </w:rPr>
        <w:t xml:space="preserve"> individual</w:t>
      </w:r>
      <w:r w:rsidRPr="00DA0DCD">
        <w:rPr>
          <w:rStyle w:val="longtext1"/>
          <w:rFonts w:cs="Times New Roman"/>
          <w:sz w:val="22"/>
          <w:szCs w:val="22"/>
          <w:shd w:val="clear" w:color="auto" w:fill="FFFFFF"/>
          <w:lang w:val="en-US"/>
        </w:rPr>
        <w:t xml:space="preserve"> event windows are taken  into the regression. The </w:t>
      </w:r>
      <w:r w:rsidR="00A50E7F" w:rsidRPr="00DA0DCD">
        <w:rPr>
          <w:rStyle w:val="longtext1"/>
          <w:rFonts w:cs="Times New Roman"/>
          <w:sz w:val="22"/>
          <w:szCs w:val="22"/>
          <w:shd w:val="clear" w:color="auto" w:fill="FFFFFF"/>
          <w:lang w:val="en-US"/>
        </w:rPr>
        <w:t>betas</w:t>
      </w:r>
      <w:r w:rsidRPr="00DA0DCD">
        <w:rPr>
          <w:rStyle w:val="longtext1"/>
          <w:rFonts w:cs="Times New Roman"/>
          <w:sz w:val="22"/>
          <w:szCs w:val="22"/>
          <w:shd w:val="clear" w:color="auto" w:fill="FFFFFF"/>
          <w:lang w:val="en-US"/>
        </w:rPr>
        <w:t>, t-values and p-values are present</w:t>
      </w:r>
      <w:r w:rsidR="00A50E7F" w:rsidRPr="00DA0DCD">
        <w:rPr>
          <w:rStyle w:val="longtext1"/>
          <w:rFonts w:cs="Times New Roman"/>
          <w:sz w:val="22"/>
          <w:szCs w:val="22"/>
          <w:shd w:val="clear" w:color="auto" w:fill="FFFFFF"/>
          <w:lang w:val="en-US"/>
        </w:rPr>
        <w:t>ed into table</w:t>
      </w:r>
      <w:r w:rsidR="00252758" w:rsidRPr="00DA0DCD">
        <w:rPr>
          <w:rStyle w:val="longtext1"/>
          <w:rFonts w:cs="Times New Roman"/>
          <w:sz w:val="22"/>
          <w:szCs w:val="22"/>
          <w:shd w:val="clear" w:color="auto" w:fill="FFFFFF"/>
          <w:lang w:val="en-US"/>
        </w:rPr>
        <w:t xml:space="preserve"> 7.9</w:t>
      </w:r>
      <w:r w:rsidR="00A50E7F" w:rsidRPr="00DA0DCD">
        <w:rPr>
          <w:rStyle w:val="longtext1"/>
          <w:rFonts w:cs="Times New Roman"/>
          <w:sz w:val="22"/>
          <w:szCs w:val="22"/>
          <w:shd w:val="clear" w:color="auto" w:fill="FFFFFF"/>
          <w:lang w:val="en-US"/>
        </w:rPr>
        <w:t xml:space="preserve">. </w:t>
      </w:r>
      <w:r w:rsidR="00C84224">
        <w:rPr>
          <w:rStyle w:val="longtext1"/>
          <w:rFonts w:cs="Times New Roman"/>
          <w:sz w:val="22"/>
          <w:szCs w:val="22"/>
          <w:shd w:val="clear" w:color="auto" w:fill="FFFFFF"/>
          <w:lang w:val="en-US"/>
        </w:rPr>
        <w:t>During the first through fourth event window every country show (non)-significant negative betas</w:t>
      </w:r>
      <w:r w:rsidR="00BB7660">
        <w:rPr>
          <w:rStyle w:val="longtext1"/>
          <w:rFonts w:cs="Times New Roman"/>
          <w:sz w:val="22"/>
          <w:szCs w:val="22"/>
          <w:shd w:val="clear" w:color="auto" w:fill="FFFFFF"/>
          <w:lang w:val="en-US"/>
        </w:rPr>
        <w:t xml:space="preserve"> (signs)</w:t>
      </w:r>
      <w:r w:rsidR="00C84224">
        <w:rPr>
          <w:rStyle w:val="longtext1"/>
          <w:rFonts w:cs="Times New Roman"/>
          <w:sz w:val="22"/>
          <w:szCs w:val="22"/>
          <w:shd w:val="clear" w:color="auto" w:fill="FFFFFF"/>
          <w:lang w:val="en-US"/>
        </w:rPr>
        <w:t xml:space="preserve"> or non-significant positive betas</w:t>
      </w:r>
      <w:r w:rsidR="00BB7660">
        <w:rPr>
          <w:rStyle w:val="longtext1"/>
          <w:rFonts w:cs="Times New Roman"/>
          <w:sz w:val="22"/>
          <w:szCs w:val="22"/>
          <w:shd w:val="clear" w:color="auto" w:fill="FFFFFF"/>
          <w:lang w:val="en-US"/>
        </w:rPr>
        <w:t xml:space="preserve"> (signs)</w:t>
      </w:r>
      <w:r w:rsidR="00C84224">
        <w:rPr>
          <w:rStyle w:val="longtext1"/>
          <w:rFonts w:cs="Times New Roman"/>
          <w:sz w:val="22"/>
          <w:szCs w:val="22"/>
          <w:shd w:val="clear" w:color="auto" w:fill="FFFFFF"/>
          <w:lang w:val="en-US"/>
        </w:rPr>
        <w:t xml:space="preserve">. </w:t>
      </w:r>
      <w:r w:rsidR="00BB7660">
        <w:rPr>
          <w:rStyle w:val="longtext1"/>
          <w:rFonts w:cs="Times New Roman"/>
          <w:sz w:val="22"/>
          <w:szCs w:val="22"/>
          <w:shd w:val="clear" w:color="auto" w:fill="FFFFFF"/>
          <w:lang w:val="en-US"/>
        </w:rPr>
        <w:t xml:space="preserve">So, there are no significant positive betas (signs) during the first through fourth event window. </w:t>
      </w:r>
      <w:r w:rsidRPr="00DA0DCD">
        <w:rPr>
          <w:rStyle w:val="longtext1"/>
          <w:rFonts w:cs="Times New Roman"/>
          <w:sz w:val="22"/>
          <w:szCs w:val="22"/>
          <w:shd w:val="clear" w:color="auto" w:fill="FFFFFF"/>
          <w:lang w:val="en-US"/>
        </w:rPr>
        <w:t xml:space="preserve">The green </w:t>
      </w:r>
      <w:r w:rsidR="000A4188" w:rsidRPr="00DA0DCD">
        <w:rPr>
          <w:rStyle w:val="longtext1"/>
          <w:rFonts w:cs="Times New Roman"/>
          <w:sz w:val="22"/>
          <w:szCs w:val="22"/>
          <w:shd w:val="clear" w:color="auto" w:fill="FFFFFF"/>
          <w:lang w:val="en-US"/>
        </w:rPr>
        <w:t>countries</w:t>
      </w:r>
      <w:r w:rsidR="00A50E7F" w:rsidRPr="00DA0DCD">
        <w:rPr>
          <w:rStyle w:val="longtext1"/>
          <w:rFonts w:cs="Times New Roman"/>
          <w:sz w:val="22"/>
          <w:szCs w:val="22"/>
          <w:shd w:val="clear" w:color="auto" w:fill="FFFFFF"/>
          <w:lang w:val="en-US"/>
        </w:rPr>
        <w:t xml:space="preserve"> (Belgium, Denmark, Germany, Italy, Netherlands, Austria, Spain and Sweden)</w:t>
      </w:r>
      <w:r w:rsidR="000A4188" w:rsidRPr="00DA0DCD">
        <w:rPr>
          <w:rStyle w:val="longtext1"/>
          <w:rFonts w:cs="Times New Roman"/>
          <w:sz w:val="22"/>
          <w:szCs w:val="22"/>
          <w:shd w:val="clear" w:color="auto" w:fill="FFFFFF"/>
          <w:lang w:val="en-US"/>
        </w:rPr>
        <w:t xml:space="preserve"> </w:t>
      </w:r>
      <w:r w:rsidR="00252758" w:rsidRPr="00DA0DCD">
        <w:rPr>
          <w:rStyle w:val="longtext1"/>
          <w:rFonts w:cs="Times New Roman"/>
          <w:sz w:val="22"/>
          <w:szCs w:val="22"/>
          <w:shd w:val="clear" w:color="auto" w:fill="FFFFFF"/>
          <w:lang w:val="en-US"/>
        </w:rPr>
        <w:t>show</w:t>
      </w:r>
      <w:r w:rsidR="000A4188" w:rsidRPr="00DA0DCD">
        <w:rPr>
          <w:rStyle w:val="longtext1"/>
          <w:rFonts w:cs="Times New Roman"/>
          <w:sz w:val="22"/>
          <w:szCs w:val="22"/>
          <w:shd w:val="clear" w:color="auto" w:fill="FFFFFF"/>
          <w:lang w:val="en-US"/>
        </w:rPr>
        <w:t xml:space="preserve"> a positive significant beta (sign) during the fifth event window. The fifth event window represents the amendment of IAS 39, which allow for reclassification options. The red countries</w:t>
      </w:r>
      <w:r w:rsidR="00A50E7F" w:rsidRPr="00DA0DCD">
        <w:rPr>
          <w:rStyle w:val="longtext1"/>
          <w:rFonts w:cs="Times New Roman"/>
          <w:sz w:val="22"/>
          <w:szCs w:val="22"/>
          <w:shd w:val="clear" w:color="auto" w:fill="FFFFFF"/>
          <w:lang w:val="en-US"/>
        </w:rPr>
        <w:t xml:space="preserve"> (Finland, Fran</w:t>
      </w:r>
      <w:r w:rsidR="008F6FD8" w:rsidRPr="00DA0DCD">
        <w:rPr>
          <w:rStyle w:val="longtext1"/>
          <w:rFonts w:cs="Times New Roman"/>
          <w:sz w:val="22"/>
          <w:szCs w:val="22"/>
          <w:shd w:val="clear" w:color="auto" w:fill="FFFFFF"/>
          <w:lang w:val="en-US"/>
        </w:rPr>
        <w:t>ce, Ireland, Luxembourg</w:t>
      </w:r>
      <w:r w:rsidR="00ED613A" w:rsidRPr="00DA0DCD">
        <w:rPr>
          <w:rStyle w:val="longtext1"/>
          <w:rFonts w:cs="Times New Roman"/>
          <w:sz w:val="22"/>
          <w:szCs w:val="22"/>
          <w:shd w:val="clear" w:color="auto" w:fill="FFFFFF"/>
          <w:lang w:val="en-US"/>
        </w:rPr>
        <w:t>, Portugal</w:t>
      </w:r>
      <w:r w:rsidR="008F6FD8" w:rsidRPr="00DA0DCD">
        <w:rPr>
          <w:rStyle w:val="longtext1"/>
          <w:rFonts w:cs="Times New Roman"/>
          <w:sz w:val="22"/>
          <w:szCs w:val="22"/>
          <w:shd w:val="clear" w:color="auto" w:fill="FFFFFF"/>
          <w:lang w:val="en-US"/>
        </w:rPr>
        <w:t xml:space="preserve"> and Great Britain</w:t>
      </w:r>
      <w:r w:rsidR="00A50E7F" w:rsidRPr="00DA0DCD">
        <w:rPr>
          <w:rStyle w:val="longtext1"/>
          <w:rFonts w:cs="Times New Roman"/>
          <w:sz w:val="22"/>
          <w:szCs w:val="22"/>
          <w:shd w:val="clear" w:color="auto" w:fill="FFFFFF"/>
          <w:lang w:val="en-US"/>
        </w:rPr>
        <w:t>)</w:t>
      </w:r>
      <w:r w:rsidR="000A4188" w:rsidRPr="00DA0DCD">
        <w:rPr>
          <w:rStyle w:val="longtext1"/>
          <w:rFonts w:cs="Times New Roman"/>
          <w:sz w:val="22"/>
          <w:szCs w:val="22"/>
          <w:shd w:val="clear" w:color="auto" w:fill="FFFFFF"/>
          <w:lang w:val="en-US"/>
        </w:rPr>
        <w:t xml:space="preserve"> show a non-significant beta or negative beta during the fifth event window. The countries France and Ireland show</w:t>
      </w:r>
      <w:r w:rsidR="00A50E7F" w:rsidRPr="00DA0DCD">
        <w:rPr>
          <w:rStyle w:val="longtext1"/>
          <w:rFonts w:cs="Times New Roman"/>
          <w:sz w:val="22"/>
          <w:szCs w:val="22"/>
          <w:shd w:val="clear" w:color="auto" w:fill="FFFFFF"/>
          <w:lang w:val="en-US"/>
        </w:rPr>
        <w:t xml:space="preserve"> even</w:t>
      </w:r>
      <w:r w:rsidR="000A4188" w:rsidRPr="00DA0DCD">
        <w:rPr>
          <w:rStyle w:val="longtext1"/>
          <w:rFonts w:cs="Times New Roman"/>
          <w:sz w:val="22"/>
          <w:szCs w:val="22"/>
          <w:shd w:val="clear" w:color="auto" w:fill="FFFFFF"/>
          <w:lang w:val="en-US"/>
        </w:rPr>
        <w:t xml:space="preserve"> a negative sign (beta) during the fifth event window. </w:t>
      </w:r>
      <w:r w:rsidR="00BB7660" w:rsidRPr="00DA0DCD">
        <w:rPr>
          <w:lang w:val="en-US"/>
        </w:rPr>
        <w:t>Ireland shows a non-significant beta of -0,005 at the fifth</w:t>
      </w:r>
      <w:r w:rsidR="00BB7660">
        <w:rPr>
          <w:lang w:val="en-US"/>
        </w:rPr>
        <w:t xml:space="preserve"> event</w:t>
      </w:r>
      <w:r w:rsidR="00BB7660" w:rsidRPr="00DA0DCD">
        <w:rPr>
          <w:lang w:val="en-US"/>
        </w:rPr>
        <w:t xml:space="preserve"> window and Great Brittain a non-significant beta of 0.005.</w:t>
      </w:r>
    </w:p>
    <w:tbl>
      <w:tblPr>
        <w:tblStyle w:val="Tabelraster"/>
        <w:tblW w:w="0" w:type="auto"/>
        <w:tblLayout w:type="fixed"/>
        <w:tblLook w:val="04A0"/>
      </w:tblPr>
      <w:tblGrid>
        <w:gridCol w:w="1099"/>
        <w:gridCol w:w="852"/>
        <w:gridCol w:w="851"/>
        <w:gridCol w:w="708"/>
        <w:gridCol w:w="851"/>
        <w:gridCol w:w="850"/>
        <w:gridCol w:w="709"/>
        <w:gridCol w:w="851"/>
        <w:gridCol w:w="850"/>
        <w:gridCol w:w="992"/>
      </w:tblGrid>
      <w:tr w:rsidR="0030599D" w:rsidRPr="00D0413E" w:rsidTr="00DC4621">
        <w:tc>
          <w:tcPr>
            <w:tcW w:w="3510" w:type="dxa"/>
            <w:gridSpan w:val="4"/>
            <w:tcBorders>
              <w:top w:val="single" w:sz="12" w:space="0" w:color="auto"/>
              <w:left w:val="single" w:sz="12" w:space="0" w:color="auto"/>
              <w:bottom w:val="single" w:sz="12" w:space="0" w:color="auto"/>
              <w:right w:val="single" w:sz="12" w:space="0" w:color="auto"/>
            </w:tcBorders>
            <w:shd w:val="clear" w:color="auto" w:fill="92D050"/>
            <w:vAlign w:val="center"/>
          </w:tcPr>
          <w:p w:rsidR="0030599D" w:rsidRPr="00D0413E" w:rsidRDefault="0030599D" w:rsidP="00E42971">
            <w:pPr>
              <w:pStyle w:val="Geenafstand"/>
              <w:rPr>
                <w:b/>
                <w:sz w:val="18"/>
                <w:szCs w:val="18"/>
                <w:lang w:val="en-US"/>
              </w:rPr>
            </w:pPr>
            <w:r w:rsidRPr="00D0413E">
              <w:rPr>
                <w:b/>
                <w:sz w:val="18"/>
                <w:szCs w:val="18"/>
                <w:lang w:val="en-US"/>
              </w:rPr>
              <w:t>Belgium</w:t>
            </w:r>
          </w:p>
        </w:tc>
        <w:tc>
          <w:tcPr>
            <w:tcW w:w="2410" w:type="dxa"/>
            <w:gridSpan w:val="3"/>
            <w:tcBorders>
              <w:top w:val="single" w:sz="12" w:space="0" w:color="auto"/>
              <w:left w:val="single" w:sz="12" w:space="0" w:color="auto"/>
              <w:bottom w:val="single" w:sz="12" w:space="0" w:color="auto"/>
              <w:right w:val="single" w:sz="12" w:space="0" w:color="auto"/>
            </w:tcBorders>
            <w:shd w:val="clear" w:color="auto" w:fill="92D050"/>
            <w:vAlign w:val="center"/>
          </w:tcPr>
          <w:p w:rsidR="0030599D" w:rsidRPr="00D0413E" w:rsidRDefault="0030599D" w:rsidP="00E42971">
            <w:pPr>
              <w:pStyle w:val="Geenafstand"/>
              <w:rPr>
                <w:b/>
                <w:sz w:val="18"/>
                <w:szCs w:val="18"/>
                <w:lang w:val="en-US"/>
              </w:rPr>
            </w:pPr>
            <w:r w:rsidRPr="00D0413E">
              <w:rPr>
                <w:b/>
                <w:sz w:val="18"/>
                <w:szCs w:val="18"/>
                <w:lang w:val="en-US"/>
              </w:rPr>
              <w:t>Denmark</w:t>
            </w:r>
          </w:p>
        </w:tc>
        <w:tc>
          <w:tcPr>
            <w:tcW w:w="2693" w:type="dxa"/>
            <w:gridSpan w:val="3"/>
            <w:tcBorders>
              <w:top w:val="single" w:sz="12" w:space="0" w:color="auto"/>
              <w:left w:val="single" w:sz="12" w:space="0" w:color="auto"/>
              <w:bottom w:val="single" w:sz="12" w:space="0" w:color="auto"/>
              <w:right w:val="single" w:sz="12" w:space="0" w:color="auto"/>
            </w:tcBorders>
            <w:shd w:val="clear" w:color="auto" w:fill="92D050"/>
            <w:vAlign w:val="center"/>
          </w:tcPr>
          <w:p w:rsidR="0030599D" w:rsidRPr="00D0413E" w:rsidRDefault="0030599D" w:rsidP="00E42971">
            <w:pPr>
              <w:pStyle w:val="Geenafstand"/>
              <w:rPr>
                <w:b/>
                <w:sz w:val="18"/>
                <w:szCs w:val="18"/>
                <w:lang w:val="en-US"/>
              </w:rPr>
            </w:pPr>
            <w:r w:rsidRPr="00D0413E">
              <w:rPr>
                <w:b/>
                <w:sz w:val="18"/>
                <w:szCs w:val="18"/>
                <w:lang w:val="en-US"/>
              </w:rPr>
              <w:t>Germany</w:t>
            </w:r>
          </w:p>
        </w:tc>
      </w:tr>
      <w:tr w:rsidR="00DC4621" w:rsidRPr="00D0413E" w:rsidTr="00DC4621">
        <w:tc>
          <w:tcPr>
            <w:tcW w:w="1099" w:type="dxa"/>
            <w:tcBorders>
              <w:top w:val="single" w:sz="12" w:space="0" w:color="auto"/>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Model</w:t>
            </w:r>
          </w:p>
        </w:tc>
        <w:tc>
          <w:tcPr>
            <w:tcW w:w="852" w:type="dxa"/>
            <w:tcBorders>
              <w:top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1"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708"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c>
          <w:tcPr>
            <w:tcW w:w="851" w:type="dxa"/>
            <w:tcBorders>
              <w:top w:val="single" w:sz="12" w:space="0" w:color="auto"/>
              <w:left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0"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709"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c>
          <w:tcPr>
            <w:tcW w:w="851" w:type="dxa"/>
            <w:tcBorders>
              <w:top w:val="single" w:sz="12" w:space="0" w:color="auto"/>
              <w:left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0"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992"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(Constant)</w:t>
            </w:r>
          </w:p>
        </w:tc>
        <w:tc>
          <w:tcPr>
            <w:tcW w:w="852" w:type="dxa"/>
            <w:vAlign w:val="center"/>
          </w:tcPr>
          <w:p w:rsidR="0030599D" w:rsidRPr="00D0413E" w:rsidRDefault="0030599D" w:rsidP="00E42971">
            <w:pPr>
              <w:rPr>
                <w:sz w:val="18"/>
                <w:szCs w:val="18"/>
                <w:lang w:val="en-US"/>
              </w:rPr>
            </w:pP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-,166</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,869</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-2,691</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,007</w:t>
            </w:r>
          </w:p>
        </w:tc>
        <w:tc>
          <w:tcPr>
            <w:tcW w:w="851" w:type="dxa"/>
            <w:tcBorders>
              <w:left w:val="single" w:sz="12" w:space="0" w:color="auto"/>
            </w:tcBorders>
            <w:vAlign w:val="center"/>
          </w:tcPr>
          <w:p w:rsidR="0030599D" w:rsidRPr="00D0413E" w:rsidRDefault="0030599D" w:rsidP="00E42971">
            <w:pPr>
              <w:pStyle w:val="Geenafstand"/>
              <w:rPr>
                <w:rFonts w:cs="Times New Roman"/>
                <w:sz w:val="18"/>
                <w:szCs w:val="18"/>
                <w:lang w:val="en-US"/>
              </w:rPr>
            </w:pP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-1,281</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,200</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Rmt</w:t>
            </w:r>
          </w:p>
        </w:tc>
        <w:tc>
          <w:tcPr>
            <w:tcW w:w="852" w:type="dxa"/>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,383</w:t>
            </w:r>
          </w:p>
        </w:tc>
        <w:tc>
          <w:tcPr>
            <w:tcW w:w="851" w:type="dxa"/>
            <w:vAlign w:val="center"/>
          </w:tcPr>
          <w:p w:rsidR="0030599D" w:rsidRPr="00D0413E" w:rsidRDefault="0030599D" w:rsidP="00E42971">
            <w:pPr>
              <w:pStyle w:val="Geenafstand"/>
              <w:rPr>
                <w:b/>
                <w:sz w:val="18"/>
                <w:szCs w:val="18"/>
                <w:lang w:val="en-US"/>
              </w:rPr>
            </w:pPr>
            <w:r w:rsidRPr="00D0413E">
              <w:rPr>
                <w:b/>
                <w:sz w:val="18"/>
                <w:szCs w:val="18"/>
                <w:lang w:val="en-US"/>
              </w:rPr>
              <w:t>45,281</w:t>
            </w:r>
          </w:p>
        </w:tc>
        <w:tc>
          <w:tcPr>
            <w:tcW w:w="708"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,521</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48,952</w:t>
            </w:r>
          </w:p>
        </w:tc>
        <w:tc>
          <w:tcPr>
            <w:tcW w:w="709"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,298</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40,035</w:t>
            </w:r>
          </w:p>
        </w:tc>
        <w:tc>
          <w:tcPr>
            <w:tcW w:w="992"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Intt</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,005</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,620</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,535</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sidRPr="00D0413E">
              <w:rPr>
                <w:b/>
                <w:sz w:val="18"/>
                <w:szCs w:val="18"/>
                <w:lang w:val="en-US"/>
              </w:rPr>
              <w:t>-</w:t>
            </w:r>
            <w:r>
              <w:rPr>
                <w:b/>
                <w:sz w:val="18"/>
                <w:szCs w:val="18"/>
                <w:lang w:val="en-US"/>
              </w:rPr>
              <w:t>0</w:t>
            </w:r>
            <w:r w:rsidRPr="00D0413E">
              <w:rPr>
                <w:b/>
                <w:sz w:val="18"/>
                <w:szCs w:val="18"/>
                <w:lang w:val="en-US"/>
              </w:rPr>
              <w:t>,038</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-3,613</w:t>
            </w:r>
          </w:p>
        </w:tc>
        <w:tc>
          <w:tcPr>
            <w:tcW w:w="709"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sidRPr="00D0413E">
              <w:rPr>
                <w:b/>
                <w:sz w:val="18"/>
                <w:szCs w:val="18"/>
                <w:lang w:val="en-US"/>
              </w:rPr>
              <w:t>-</w:t>
            </w:r>
            <w:r>
              <w:rPr>
                <w:b/>
                <w:sz w:val="18"/>
                <w:szCs w:val="18"/>
                <w:lang w:val="en-US"/>
              </w:rPr>
              <w:t>0</w:t>
            </w:r>
            <w:r w:rsidRPr="00D0413E">
              <w:rPr>
                <w:b/>
                <w:sz w:val="18"/>
                <w:szCs w:val="18"/>
                <w:lang w:val="en-US"/>
              </w:rPr>
              <w:t>,018</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-2,313</w:t>
            </w:r>
          </w:p>
        </w:tc>
        <w:tc>
          <w:tcPr>
            <w:tcW w:w="992"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,021</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E_window1</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,006</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,765</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,444</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,006</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,536</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,592</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,002</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,263</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,792</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E_window2</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,008</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,931</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,352</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,000</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,079</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,937</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,005</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,619</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,536</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E_window3</w:t>
            </w:r>
          </w:p>
        </w:tc>
        <w:tc>
          <w:tcPr>
            <w:tcW w:w="852"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,014</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1,713</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,087</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,007</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,700</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,484</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sidRPr="00D0413E">
              <w:rPr>
                <w:b/>
                <w:sz w:val="18"/>
                <w:szCs w:val="18"/>
                <w:lang w:val="en-US"/>
              </w:rPr>
              <w:t>-</w:t>
            </w:r>
            <w:r>
              <w:rPr>
                <w:b/>
                <w:sz w:val="18"/>
                <w:szCs w:val="18"/>
                <w:lang w:val="en-US"/>
              </w:rPr>
              <w:t>0</w:t>
            </w:r>
            <w:r w:rsidRPr="00D0413E">
              <w:rPr>
                <w:b/>
                <w:sz w:val="18"/>
                <w:szCs w:val="18"/>
                <w:lang w:val="en-US"/>
              </w:rPr>
              <w:t>,021</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-2,781</w:t>
            </w:r>
          </w:p>
        </w:tc>
        <w:tc>
          <w:tcPr>
            <w:tcW w:w="992"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,005</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E_window4</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,007</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,874</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,382</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,007</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,642</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,521</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sidRPr="00D0413E">
              <w:rPr>
                <w:b/>
                <w:sz w:val="18"/>
                <w:szCs w:val="18"/>
                <w:lang w:val="en-US"/>
              </w:rPr>
              <w:t>-</w:t>
            </w:r>
            <w:r>
              <w:rPr>
                <w:b/>
                <w:sz w:val="18"/>
                <w:szCs w:val="18"/>
                <w:lang w:val="en-US"/>
              </w:rPr>
              <w:t>0</w:t>
            </w:r>
            <w:r w:rsidRPr="00D0413E">
              <w:rPr>
                <w:b/>
                <w:sz w:val="18"/>
                <w:szCs w:val="18"/>
                <w:lang w:val="en-US"/>
              </w:rPr>
              <w:t>,030</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-4,047</w:t>
            </w:r>
          </w:p>
        </w:tc>
        <w:tc>
          <w:tcPr>
            <w:tcW w:w="992"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E_window5</w:t>
            </w:r>
          </w:p>
        </w:tc>
        <w:tc>
          <w:tcPr>
            <w:tcW w:w="852" w:type="dxa"/>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,046</w:t>
            </w:r>
          </w:p>
        </w:tc>
        <w:tc>
          <w:tcPr>
            <w:tcW w:w="851" w:type="dxa"/>
            <w:vAlign w:val="center"/>
          </w:tcPr>
          <w:p w:rsidR="0030599D" w:rsidRPr="00D0413E" w:rsidRDefault="0030599D" w:rsidP="00E42971">
            <w:pPr>
              <w:pStyle w:val="Geenafstand"/>
              <w:rPr>
                <w:b/>
                <w:sz w:val="18"/>
                <w:szCs w:val="18"/>
                <w:lang w:val="en-US"/>
              </w:rPr>
            </w:pPr>
            <w:r w:rsidRPr="00D0413E">
              <w:rPr>
                <w:b/>
                <w:sz w:val="18"/>
                <w:szCs w:val="18"/>
                <w:lang w:val="en-US"/>
              </w:rPr>
              <w:t>5,488</w:t>
            </w:r>
          </w:p>
        </w:tc>
        <w:tc>
          <w:tcPr>
            <w:tcW w:w="708"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,036</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3,447</w:t>
            </w:r>
          </w:p>
        </w:tc>
        <w:tc>
          <w:tcPr>
            <w:tcW w:w="709"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,001</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,018</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2,375</w:t>
            </w:r>
          </w:p>
        </w:tc>
        <w:tc>
          <w:tcPr>
            <w:tcW w:w="992"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,018</w:t>
            </w:r>
          </w:p>
        </w:tc>
      </w:tr>
      <w:tr w:rsidR="0030599D" w:rsidRPr="00D0413E" w:rsidTr="00DC4621">
        <w:tc>
          <w:tcPr>
            <w:tcW w:w="3510" w:type="dxa"/>
            <w:gridSpan w:val="4"/>
            <w:tcBorders>
              <w:left w:val="single" w:sz="12" w:space="0" w:color="auto"/>
              <w:bottom w:val="single" w:sz="12" w:space="0" w:color="auto"/>
              <w:right w:val="single" w:sz="12" w:space="0" w:color="auto"/>
            </w:tcBorders>
            <w:shd w:val="clear" w:color="auto" w:fill="D99594" w:themeFill="accent2" w:themeFillTint="99"/>
            <w:vAlign w:val="center"/>
          </w:tcPr>
          <w:p w:rsidR="0030599D" w:rsidRPr="00D0413E" w:rsidRDefault="0030599D" w:rsidP="00E42971">
            <w:pPr>
              <w:pStyle w:val="Geenafstand"/>
              <w:rPr>
                <w:b/>
                <w:sz w:val="18"/>
                <w:szCs w:val="18"/>
                <w:lang w:val="en-US"/>
              </w:rPr>
            </w:pPr>
            <w:r w:rsidRPr="00D0413E">
              <w:rPr>
                <w:b/>
                <w:sz w:val="18"/>
                <w:szCs w:val="18"/>
                <w:lang w:val="en-US"/>
              </w:rPr>
              <w:t>Finland</w:t>
            </w:r>
          </w:p>
        </w:tc>
        <w:tc>
          <w:tcPr>
            <w:tcW w:w="2410" w:type="dxa"/>
            <w:gridSpan w:val="3"/>
            <w:tcBorders>
              <w:left w:val="single" w:sz="12" w:space="0" w:color="auto"/>
              <w:bottom w:val="single" w:sz="12" w:space="0" w:color="auto"/>
              <w:right w:val="single" w:sz="12" w:space="0" w:color="auto"/>
            </w:tcBorders>
            <w:shd w:val="clear" w:color="auto" w:fill="D99594" w:themeFill="accent2" w:themeFillTint="99"/>
            <w:vAlign w:val="center"/>
          </w:tcPr>
          <w:p w:rsidR="0030599D" w:rsidRPr="00D0413E" w:rsidRDefault="0030599D" w:rsidP="00E42971">
            <w:pPr>
              <w:pStyle w:val="Geenafstand"/>
              <w:rPr>
                <w:b/>
                <w:sz w:val="18"/>
                <w:szCs w:val="18"/>
                <w:lang w:val="en-US"/>
              </w:rPr>
            </w:pPr>
            <w:r w:rsidRPr="00D0413E">
              <w:rPr>
                <w:b/>
                <w:sz w:val="18"/>
                <w:szCs w:val="18"/>
                <w:lang w:val="en-US"/>
              </w:rPr>
              <w:t>France</w:t>
            </w:r>
          </w:p>
        </w:tc>
        <w:tc>
          <w:tcPr>
            <w:tcW w:w="2693" w:type="dxa"/>
            <w:gridSpan w:val="3"/>
            <w:tcBorders>
              <w:left w:val="single" w:sz="12" w:space="0" w:color="auto"/>
              <w:bottom w:val="single" w:sz="12" w:space="0" w:color="auto"/>
              <w:right w:val="single" w:sz="12" w:space="0" w:color="auto"/>
            </w:tcBorders>
            <w:shd w:val="clear" w:color="auto" w:fill="D99594" w:themeFill="accent2" w:themeFillTint="99"/>
            <w:vAlign w:val="center"/>
          </w:tcPr>
          <w:p w:rsidR="0030599D" w:rsidRPr="00D0413E" w:rsidRDefault="0030599D" w:rsidP="00E42971">
            <w:pPr>
              <w:pStyle w:val="Geenafstand"/>
              <w:rPr>
                <w:b/>
                <w:sz w:val="18"/>
                <w:szCs w:val="18"/>
                <w:lang w:val="en-US"/>
              </w:rPr>
            </w:pPr>
            <w:r w:rsidRPr="00D0413E">
              <w:rPr>
                <w:b/>
                <w:sz w:val="18"/>
                <w:szCs w:val="18"/>
                <w:lang w:val="en-US"/>
              </w:rPr>
              <w:t>Ireland</w:t>
            </w:r>
          </w:p>
        </w:tc>
      </w:tr>
      <w:tr w:rsidR="00DC4621" w:rsidRPr="00D0413E" w:rsidTr="00DC4621">
        <w:tc>
          <w:tcPr>
            <w:tcW w:w="1099" w:type="dxa"/>
            <w:tcBorders>
              <w:top w:val="single" w:sz="12" w:space="0" w:color="auto"/>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Model</w:t>
            </w:r>
          </w:p>
        </w:tc>
        <w:tc>
          <w:tcPr>
            <w:tcW w:w="852" w:type="dxa"/>
            <w:tcBorders>
              <w:top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1"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708"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c>
          <w:tcPr>
            <w:tcW w:w="851" w:type="dxa"/>
            <w:tcBorders>
              <w:top w:val="single" w:sz="12" w:space="0" w:color="auto"/>
              <w:left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0"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709"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c>
          <w:tcPr>
            <w:tcW w:w="851" w:type="dxa"/>
            <w:tcBorders>
              <w:top w:val="single" w:sz="12" w:space="0" w:color="auto"/>
              <w:left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0"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992"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(Constant)</w:t>
            </w:r>
          </w:p>
        </w:tc>
        <w:tc>
          <w:tcPr>
            <w:tcW w:w="852" w:type="dxa"/>
            <w:vAlign w:val="center"/>
          </w:tcPr>
          <w:p w:rsidR="0030599D" w:rsidRPr="00D0413E" w:rsidRDefault="0030599D" w:rsidP="00E42971">
            <w:pPr>
              <w:pStyle w:val="Geenafstand"/>
              <w:rPr>
                <w:rFonts w:cs="Times New Roman"/>
                <w:sz w:val="18"/>
                <w:szCs w:val="18"/>
                <w:lang w:val="en-US"/>
              </w:rPr>
            </w:pP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,433</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,665</w:t>
            </w:r>
          </w:p>
        </w:tc>
        <w:tc>
          <w:tcPr>
            <w:tcW w:w="851" w:type="dxa"/>
            <w:tcBorders>
              <w:left w:val="single" w:sz="12" w:space="0" w:color="auto"/>
            </w:tcBorders>
            <w:vAlign w:val="center"/>
          </w:tcPr>
          <w:p w:rsidR="0030599D" w:rsidRPr="00D0413E" w:rsidRDefault="0030599D" w:rsidP="00E42971">
            <w:pPr>
              <w:pStyle w:val="Geenafstand"/>
              <w:rPr>
                <w:rFonts w:cs="Times New Roman"/>
                <w:sz w:val="18"/>
                <w:szCs w:val="18"/>
                <w:lang w:val="en-US"/>
              </w:rPr>
            </w:pP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,215</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,830</w:t>
            </w:r>
          </w:p>
        </w:tc>
        <w:tc>
          <w:tcPr>
            <w:tcW w:w="851" w:type="dxa"/>
            <w:tcBorders>
              <w:left w:val="single" w:sz="12" w:space="0" w:color="auto"/>
            </w:tcBorders>
            <w:vAlign w:val="center"/>
          </w:tcPr>
          <w:p w:rsidR="0030599D" w:rsidRPr="00D0413E" w:rsidRDefault="0030599D" w:rsidP="00E42971">
            <w:pPr>
              <w:pStyle w:val="Geenafstand"/>
              <w:rPr>
                <w:rFonts w:cs="Times New Roman"/>
                <w:sz w:val="18"/>
                <w:szCs w:val="18"/>
                <w:lang w:val="en-US"/>
              </w:rPr>
            </w:pP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,761</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,446</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Rmt</w:t>
            </w:r>
          </w:p>
        </w:tc>
        <w:tc>
          <w:tcPr>
            <w:tcW w:w="852" w:type="dxa"/>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,534</w:t>
            </w:r>
          </w:p>
        </w:tc>
        <w:tc>
          <w:tcPr>
            <w:tcW w:w="851" w:type="dxa"/>
            <w:vAlign w:val="center"/>
          </w:tcPr>
          <w:p w:rsidR="0030599D" w:rsidRPr="00D0413E" w:rsidRDefault="0030599D" w:rsidP="00E42971">
            <w:pPr>
              <w:pStyle w:val="Geenafstand"/>
              <w:rPr>
                <w:b/>
                <w:sz w:val="18"/>
                <w:szCs w:val="18"/>
                <w:lang w:val="en-US"/>
              </w:rPr>
            </w:pPr>
            <w:r w:rsidRPr="00D0413E">
              <w:rPr>
                <w:b/>
                <w:sz w:val="18"/>
                <w:szCs w:val="18"/>
                <w:lang w:val="en-US"/>
              </w:rPr>
              <w:t>24,725</w:t>
            </w:r>
          </w:p>
        </w:tc>
        <w:tc>
          <w:tcPr>
            <w:tcW w:w="708"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,310</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46,770</w:t>
            </w:r>
          </w:p>
        </w:tc>
        <w:tc>
          <w:tcPr>
            <w:tcW w:w="709"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,372</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20,488</w:t>
            </w:r>
          </w:p>
        </w:tc>
        <w:tc>
          <w:tcPr>
            <w:tcW w:w="992"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Intt</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,009</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,428</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,668</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,006</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,952</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,341</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,004</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,242</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,808</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E_window1</w:t>
            </w:r>
          </w:p>
        </w:tc>
        <w:tc>
          <w:tcPr>
            <w:tcW w:w="852"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,003</w:t>
            </w:r>
          </w:p>
        </w:tc>
        <w:tc>
          <w:tcPr>
            <w:tcW w:w="851"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,155</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,877</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,000</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,082</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,935</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,008</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,456</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,648</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E_window2</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,023</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-1,051</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,293</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,008</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-1,238</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,216</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,005</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,289</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,772</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E_window3</w:t>
            </w:r>
          </w:p>
        </w:tc>
        <w:tc>
          <w:tcPr>
            <w:tcW w:w="852"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,001</w:t>
            </w:r>
          </w:p>
        </w:tc>
        <w:tc>
          <w:tcPr>
            <w:tcW w:w="851"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,025</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,980</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,009</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-1,353</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,176</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,015</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,844</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,399</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E_window4</w:t>
            </w:r>
          </w:p>
        </w:tc>
        <w:tc>
          <w:tcPr>
            <w:tcW w:w="852" w:type="dxa"/>
            <w:vAlign w:val="center"/>
          </w:tcPr>
          <w:p w:rsidR="0030599D" w:rsidRPr="00D0413E" w:rsidRDefault="0030599D" w:rsidP="00E42971">
            <w:pPr>
              <w:pStyle w:val="Geenafstand"/>
              <w:rPr>
                <w:b/>
                <w:sz w:val="18"/>
                <w:szCs w:val="18"/>
                <w:lang w:val="en-US"/>
              </w:rPr>
            </w:pPr>
            <w:r w:rsidRPr="00D0413E">
              <w:rPr>
                <w:b/>
                <w:sz w:val="18"/>
                <w:szCs w:val="18"/>
                <w:lang w:val="en-US"/>
              </w:rPr>
              <w:t>-</w:t>
            </w:r>
            <w:r>
              <w:rPr>
                <w:b/>
                <w:sz w:val="18"/>
                <w:szCs w:val="18"/>
                <w:lang w:val="en-US"/>
              </w:rPr>
              <w:t>0</w:t>
            </w:r>
            <w:r w:rsidRPr="00D0413E">
              <w:rPr>
                <w:b/>
                <w:sz w:val="18"/>
                <w:szCs w:val="18"/>
                <w:lang w:val="en-US"/>
              </w:rPr>
              <w:t>,079</w:t>
            </w:r>
          </w:p>
        </w:tc>
        <w:tc>
          <w:tcPr>
            <w:tcW w:w="851" w:type="dxa"/>
            <w:vAlign w:val="center"/>
          </w:tcPr>
          <w:p w:rsidR="0030599D" w:rsidRPr="00D0413E" w:rsidRDefault="0030599D" w:rsidP="00E42971">
            <w:pPr>
              <w:pStyle w:val="Geenafstand"/>
              <w:rPr>
                <w:b/>
                <w:sz w:val="18"/>
                <w:szCs w:val="18"/>
                <w:lang w:val="en-US"/>
              </w:rPr>
            </w:pPr>
            <w:r w:rsidRPr="00D0413E">
              <w:rPr>
                <w:b/>
                <w:sz w:val="18"/>
                <w:szCs w:val="18"/>
                <w:lang w:val="en-US"/>
              </w:rPr>
              <w:t>-3,620</w:t>
            </w:r>
          </w:p>
        </w:tc>
        <w:tc>
          <w:tcPr>
            <w:tcW w:w="708"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sidRPr="00D0413E">
              <w:rPr>
                <w:b/>
                <w:sz w:val="18"/>
                <w:szCs w:val="18"/>
                <w:lang w:val="en-US"/>
              </w:rPr>
              <w:t>-</w:t>
            </w:r>
            <w:r>
              <w:rPr>
                <w:b/>
                <w:sz w:val="18"/>
                <w:szCs w:val="18"/>
                <w:lang w:val="en-US"/>
              </w:rPr>
              <w:t>0</w:t>
            </w:r>
            <w:r w:rsidRPr="00D0413E">
              <w:rPr>
                <w:b/>
                <w:sz w:val="18"/>
                <w:szCs w:val="18"/>
                <w:lang w:val="en-US"/>
              </w:rPr>
              <w:t>,015</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-2,275</w:t>
            </w:r>
          </w:p>
        </w:tc>
        <w:tc>
          <w:tcPr>
            <w:tcW w:w="709"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,023</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,015</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,815</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,415</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E_window5</w:t>
            </w:r>
          </w:p>
        </w:tc>
        <w:tc>
          <w:tcPr>
            <w:tcW w:w="852"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,012</w:t>
            </w:r>
          </w:p>
        </w:tc>
        <w:tc>
          <w:tcPr>
            <w:tcW w:w="851"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,561</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,575</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sidRPr="00D0413E">
              <w:rPr>
                <w:b/>
                <w:sz w:val="18"/>
                <w:szCs w:val="18"/>
                <w:lang w:val="en-US"/>
              </w:rPr>
              <w:t>-</w:t>
            </w:r>
            <w:r>
              <w:rPr>
                <w:b/>
                <w:sz w:val="18"/>
                <w:szCs w:val="18"/>
                <w:lang w:val="en-US"/>
              </w:rPr>
              <w:t>0</w:t>
            </w:r>
            <w:r w:rsidRPr="00D0413E">
              <w:rPr>
                <w:b/>
                <w:sz w:val="18"/>
                <w:szCs w:val="18"/>
                <w:lang w:val="en-US"/>
              </w:rPr>
              <w:t>,019</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-2,794</w:t>
            </w:r>
          </w:p>
        </w:tc>
        <w:tc>
          <w:tcPr>
            <w:tcW w:w="709"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,005</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,005</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,294</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,768</w:t>
            </w:r>
          </w:p>
        </w:tc>
      </w:tr>
      <w:tr w:rsidR="0030599D" w:rsidRPr="00D0413E" w:rsidTr="00DC4621">
        <w:tc>
          <w:tcPr>
            <w:tcW w:w="3510" w:type="dxa"/>
            <w:gridSpan w:val="4"/>
            <w:tcBorders>
              <w:left w:val="single" w:sz="12" w:space="0" w:color="auto"/>
              <w:bottom w:val="single" w:sz="12" w:space="0" w:color="auto"/>
              <w:right w:val="single" w:sz="12" w:space="0" w:color="auto"/>
            </w:tcBorders>
            <w:shd w:val="clear" w:color="auto" w:fill="92D050"/>
            <w:vAlign w:val="center"/>
          </w:tcPr>
          <w:p w:rsidR="0030599D" w:rsidRPr="00D0413E" w:rsidRDefault="0030599D" w:rsidP="00E42971">
            <w:pPr>
              <w:pStyle w:val="Geenafstand"/>
              <w:rPr>
                <w:b/>
                <w:sz w:val="18"/>
                <w:szCs w:val="18"/>
                <w:lang w:val="en-US"/>
              </w:rPr>
            </w:pPr>
            <w:r w:rsidRPr="00D0413E">
              <w:rPr>
                <w:b/>
                <w:sz w:val="18"/>
                <w:szCs w:val="18"/>
                <w:lang w:val="en-US"/>
              </w:rPr>
              <w:t>Italy</w:t>
            </w:r>
          </w:p>
        </w:tc>
        <w:tc>
          <w:tcPr>
            <w:tcW w:w="2410" w:type="dxa"/>
            <w:gridSpan w:val="3"/>
            <w:tcBorders>
              <w:left w:val="single" w:sz="12" w:space="0" w:color="auto"/>
              <w:bottom w:val="single" w:sz="12" w:space="0" w:color="auto"/>
              <w:right w:val="single" w:sz="12" w:space="0" w:color="auto"/>
            </w:tcBorders>
            <w:shd w:val="clear" w:color="auto" w:fill="D99594" w:themeFill="accent2" w:themeFillTint="99"/>
            <w:vAlign w:val="center"/>
          </w:tcPr>
          <w:p w:rsidR="0030599D" w:rsidRPr="00D0413E" w:rsidRDefault="0030599D" w:rsidP="00E42971">
            <w:pPr>
              <w:pStyle w:val="Geenafstand"/>
              <w:rPr>
                <w:b/>
                <w:sz w:val="18"/>
                <w:szCs w:val="18"/>
                <w:lang w:val="en-US"/>
              </w:rPr>
            </w:pPr>
            <w:r w:rsidRPr="00D0413E">
              <w:rPr>
                <w:b/>
                <w:sz w:val="18"/>
                <w:szCs w:val="18"/>
                <w:lang w:val="en-US"/>
              </w:rPr>
              <w:t>Luxembourg</w:t>
            </w:r>
          </w:p>
        </w:tc>
        <w:tc>
          <w:tcPr>
            <w:tcW w:w="2693" w:type="dxa"/>
            <w:gridSpan w:val="3"/>
            <w:tcBorders>
              <w:left w:val="single" w:sz="12" w:space="0" w:color="auto"/>
              <w:bottom w:val="single" w:sz="12" w:space="0" w:color="auto"/>
              <w:right w:val="single" w:sz="12" w:space="0" w:color="auto"/>
            </w:tcBorders>
            <w:shd w:val="clear" w:color="auto" w:fill="92D050"/>
            <w:vAlign w:val="center"/>
          </w:tcPr>
          <w:p w:rsidR="0030599D" w:rsidRPr="00D0413E" w:rsidRDefault="0030599D" w:rsidP="00E42971">
            <w:pPr>
              <w:pStyle w:val="Geenafstand"/>
              <w:rPr>
                <w:b/>
                <w:sz w:val="18"/>
                <w:szCs w:val="18"/>
                <w:lang w:val="en-US"/>
              </w:rPr>
            </w:pPr>
            <w:r w:rsidRPr="00D0413E">
              <w:rPr>
                <w:b/>
                <w:sz w:val="18"/>
                <w:szCs w:val="18"/>
                <w:lang w:val="en-US"/>
              </w:rPr>
              <w:t>Netherlands</w:t>
            </w:r>
          </w:p>
        </w:tc>
      </w:tr>
      <w:tr w:rsidR="00DC4621" w:rsidRPr="00D0413E" w:rsidTr="00DC4621">
        <w:tc>
          <w:tcPr>
            <w:tcW w:w="1099" w:type="dxa"/>
            <w:tcBorders>
              <w:top w:val="single" w:sz="12" w:space="0" w:color="auto"/>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Model</w:t>
            </w:r>
          </w:p>
        </w:tc>
        <w:tc>
          <w:tcPr>
            <w:tcW w:w="852" w:type="dxa"/>
            <w:tcBorders>
              <w:top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1"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708"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c>
          <w:tcPr>
            <w:tcW w:w="851" w:type="dxa"/>
            <w:tcBorders>
              <w:top w:val="single" w:sz="12" w:space="0" w:color="auto"/>
              <w:left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0"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709"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c>
          <w:tcPr>
            <w:tcW w:w="851" w:type="dxa"/>
            <w:tcBorders>
              <w:top w:val="single" w:sz="12" w:space="0" w:color="auto"/>
              <w:left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0"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992"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(Constant)</w:t>
            </w:r>
          </w:p>
        </w:tc>
        <w:tc>
          <w:tcPr>
            <w:tcW w:w="852" w:type="dxa"/>
            <w:vAlign w:val="center"/>
          </w:tcPr>
          <w:p w:rsidR="0030599D" w:rsidRPr="00D0413E" w:rsidRDefault="0030599D" w:rsidP="00E42971">
            <w:pPr>
              <w:pStyle w:val="Geenafstand"/>
              <w:rPr>
                <w:rFonts w:cs="Times New Roman"/>
                <w:sz w:val="18"/>
                <w:szCs w:val="18"/>
                <w:lang w:val="en-US"/>
              </w:rPr>
            </w:pP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-1,090</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,276</w:t>
            </w:r>
          </w:p>
        </w:tc>
        <w:tc>
          <w:tcPr>
            <w:tcW w:w="851" w:type="dxa"/>
            <w:tcBorders>
              <w:left w:val="single" w:sz="12" w:space="0" w:color="auto"/>
            </w:tcBorders>
            <w:vAlign w:val="center"/>
          </w:tcPr>
          <w:p w:rsidR="0030599D" w:rsidRPr="00D0413E" w:rsidRDefault="0030599D" w:rsidP="00E42971">
            <w:pPr>
              <w:pStyle w:val="Geenafstand"/>
              <w:rPr>
                <w:rFonts w:cs="Times New Roman"/>
                <w:sz w:val="18"/>
                <w:szCs w:val="18"/>
                <w:lang w:val="en-US"/>
              </w:rPr>
            </w:pP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,839</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,402</w:t>
            </w:r>
          </w:p>
        </w:tc>
        <w:tc>
          <w:tcPr>
            <w:tcW w:w="851" w:type="dxa"/>
            <w:tcBorders>
              <w:left w:val="single" w:sz="12" w:space="0" w:color="auto"/>
            </w:tcBorders>
            <w:vAlign w:val="center"/>
          </w:tcPr>
          <w:p w:rsidR="0030599D" w:rsidRPr="00D0413E" w:rsidRDefault="0030599D" w:rsidP="00E42971">
            <w:pPr>
              <w:pStyle w:val="Geenafstand"/>
              <w:rPr>
                <w:rFonts w:cs="Times New Roman"/>
                <w:sz w:val="18"/>
                <w:szCs w:val="18"/>
                <w:lang w:val="en-US"/>
              </w:rPr>
            </w:pP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,047</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,962</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Rmt</w:t>
            </w:r>
          </w:p>
        </w:tc>
        <w:tc>
          <w:tcPr>
            <w:tcW w:w="852" w:type="dxa"/>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,515</w:t>
            </w:r>
          </w:p>
        </w:tc>
        <w:tc>
          <w:tcPr>
            <w:tcW w:w="851" w:type="dxa"/>
            <w:vAlign w:val="center"/>
          </w:tcPr>
          <w:p w:rsidR="0030599D" w:rsidRPr="00D0413E" w:rsidRDefault="0030599D" w:rsidP="00E42971">
            <w:pPr>
              <w:pStyle w:val="Geenafstand"/>
              <w:rPr>
                <w:b/>
                <w:sz w:val="18"/>
                <w:szCs w:val="18"/>
                <w:lang w:val="en-US"/>
              </w:rPr>
            </w:pPr>
            <w:r w:rsidRPr="00D0413E">
              <w:rPr>
                <w:b/>
                <w:sz w:val="18"/>
                <w:szCs w:val="18"/>
                <w:lang w:val="en-US"/>
              </w:rPr>
              <w:t>80,972</w:t>
            </w:r>
          </w:p>
        </w:tc>
        <w:tc>
          <w:tcPr>
            <w:tcW w:w="708"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,133</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8,980</w:t>
            </w:r>
          </w:p>
        </w:tc>
        <w:tc>
          <w:tcPr>
            <w:tcW w:w="709"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,436</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43,517</w:t>
            </w:r>
          </w:p>
        </w:tc>
        <w:tc>
          <w:tcPr>
            <w:tcW w:w="992"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Intt</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,006</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,953</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,341</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,010</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,693</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,488</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,000</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,018</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,986</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E_window1</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,002</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,339</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,735</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,010</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,690</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,490</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,004</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,424</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,671</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E_window2</w:t>
            </w:r>
          </w:p>
        </w:tc>
        <w:tc>
          <w:tcPr>
            <w:tcW w:w="852" w:type="dxa"/>
            <w:vAlign w:val="center"/>
          </w:tcPr>
          <w:p w:rsidR="0030599D" w:rsidRPr="00D0413E" w:rsidRDefault="0030599D" w:rsidP="00E42971">
            <w:pPr>
              <w:pStyle w:val="Geenafstand"/>
              <w:rPr>
                <w:b/>
                <w:sz w:val="18"/>
                <w:szCs w:val="18"/>
                <w:lang w:val="en-US"/>
              </w:rPr>
            </w:pPr>
            <w:r w:rsidRPr="00D0413E">
              <w:rPr>
                <w:b/>
                <w:sz w:val="18"/>
                <w:szCs w:val="18"/>
                <w:lang w:val="en-US"/>
              </w:rPr>
              <w:t>-</w:t>
            </w:r>
            <w:r>
              <w:rPr>
                <w:b/>
                <w:sz w:val="18"/>
                <w:szCs w:val="18"/>
                <w:lang w:val="en-US"/>
              </w:rPr>
              <w:t>0</w:t>
            </w:r>
            <w:r w:rsidRPr="00D0413E">
              <w:rPr>
                <w:b/>
                <w:sz w:val="18"/>
                <w:szCs w:val="18"/>
                <w:lang w:val="en-US"/>
              </w:rPr>
              <w:t>,014</w:t>
            </w:r>
          </w:p>
        </w:tc>
        <w:tc>
          <w:tcPr>
            <w:tcW w:w="851" w:type="dxa"/>
            <w:vAlign w:val="center"/>
          </w:tcPr>
          <w:p w:rsidR="0030599D" w:rsidRPr="00D0413E" w:rsidRDefault="0030599D" w:rsidP="00E42971">
            <w:pPr>
              <w:pStyle w:val="Geenafstand"/>
              <w:rPr>
                <w:b/>
                <w:sz w:val="18"/>
                <w:szCs w:val="18"/>
                <w:lang w:val="en-US"/>
              </w:rPr>
            </w:pPr>
            <w:r w:rsidRPr="00D0413E">
              <w:rPr>
                <w:b/>
                <w:sz w:val="18"/>
                <w:szCs w:val="18"/>
                <w:lang w:val="en-US"/>
              </w:rPr>
              <w:t>-2,171</w:t>
            </w:r>
          </w:p>
        </w:tc>
        <w:tc>
          <w:tcPr>
            <w:tcW w:w="708"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,030</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,008</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,551</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,582</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,000</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,014</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,989</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E_window3</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,006</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-1,001</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,317</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,004</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,277</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,782</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,004</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,432</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,666</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E_window4</w:t>
            </w:r>
          </w:p>
        </w:tc>
        <w:tc>
          <w:tcPr>
            <w:tcW w:w="852" w:type="dxa"/>
            <w:vAlign w:val="center"/>
          </w:tcPr>
          <w:p w:rsidR="0030599D" w:rsidRPr="00D0413E" w:rsidRDefault="0030599D" w:rsidP="00E42971">
            <w:pPr>
              <w:pStyle w:val="Geenafstand"/>
              <w:rPr>
                <w:b/>
                <w:sz w:val="18"/>
                <w:szCs w:val="18"/>
                <w:lang w:val="en-US"/>
              </w:rPr>
            </w:pPr>
            <w:r w:rsidRPr="00D0413E">
              <w:rPr>
                <w:b/>
                <w:sz w:val="18"/>
                <w:szCs w:val="18"/>
                <w:lang w:val="en-US"/>
              </w:rPr>
              <w:t>-</w:t>
            </w:r>
            <w:r>
              <w:rPr>
                <w:b/>
                <w:sz w:val="18"/>
                <w:szCs w:val="18"/>
                <w:lang w:val="en-US"/>
              </w:rPr>
              <w:t>0</w:t>
            </w:r>
            <w:r w:rsidRPr="00D0413E">
              <w:rPr>
                <w:b/>
                <w:sz w:val="18"/>
                <w:szCs w:val="18"/>
                <w:lang w:val="en-US"/>
              </w:rPr>
              <w:t>,016</w:t>
            </w:r>
          </w:p>
        </w:tc>
        <w:tc>
          <w:tcPr>
            <w:tcW w:w="851" w:type="dxa"/>
            <w:vAlign w:val="center"/>
          </w:tcPr>
          <w:p w:rsidR="0030599D" w:rsidRPr="00D0413E" w:rsidRDefault="0030599D" w:rsidP="00E42971">
            <w:pPr>
              <w:pStyle w:val="Geenafstand"/>
              <w:rPr>
                <w:b/>
                <w:sz w:val="18"/>
                <w:szCs w:val="18"/>
                <w:lang w:val="en-US"/>
              </w:rPr>
            </w:pPr>
            <w:r w:rsidRPr="00D0413E">
              <w:rPr>
                <w:b/>
                <w:sz w:val="18"/>
                <w:szCs w:val="18"/>
                <w:lang w:val="en-US"/>
              </w:rPr>
              <w:t>-2,535</w:t>
            </w:r>
          </w:p>
        </w:tc>
        <w:tc>
          <w:tcPr>
            <w:tcW w:w="708"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,011</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sidRPr="00D0413E">
              <w:rPr>
                <w:b/>
                <w:sz w:val="18"/>
                <w:szCs w:val="18"/>
                <w:lang w:val="en-US"/>
              </w:rPr>
              <w:t>-</w:t>
            </w:r>
            <w:r>
              <w:rPr>
                <w:b/>
                <w:sz w:val="18"/>
                <w:szCs w:val="18"/>
                <w:lang w:val="en-US"/>
              </w:rPr>
              <w:t>0</w:t>
            </w:r>
            <w:r w:rsidRPr="00D0413E">
              <w:rPr>
                <w:b/>
                <w:sz w:val="18"/>
                <w:szCs w:val="18"/>
                <w:lang w:val="en-US"/>
              </w:rPr>
              <w:t>,031</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-2,092</w:t>
            </w:r>
          </w:p>
        </w:tc>
        <w:tc>
          <w:tcPr>
            <w:tcW w:w="709"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,036</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,013</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-1,261</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,207</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E_window5</w:t>
            </w:r>
          </w:p>
        </w:tc>
        <w:tc>
          <w:tcPr>
            <w:tcW w:w="852" w:type="dxa"/>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,035</w:t>
            </w:r>
          </w:p>
        </w:tc>
        <w:tc>
          <w:tcPr>
            <w:tcW w:w="851" w:type="dxa"/>
            <w:vAlign w:val="center"/>
          </w:tcPr>
          <w:p w:rsidR="0030599D" w:rsidRPr="00D0413E" w:rsidRDefault="0030599D" w:rsidP="00E42971">
            <w:pPr>
              <w:pStyle w:val="Geenafstand"/>
              <w:rPr>
                <w:b/>
                <w:sz w:val="18"/>
                <w:szCs w:val="18"/>
                <w:lang w:val="en-US"/>
              </w:rPr>
            </w:pPr>
            <w:r w:rsidRPr="00D0413E">
              <w:rPr>
                <w:b/>
                <w:sz w:val="18"/>
                <w:szCs w:val="18"/>
                <w:lang w:val="en-US"/>
              </w:rPr>
              <w:t>5,560</w:t>
            </w:r>
          </w:p>
        </w:tc>
        <w:tc>
          <w:tcPr>
            <w:tcW w:w="708"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,012</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,838</w:t>
            </w:r>
          </w:p>
        </w:tc>
        <w:tc>
          <w:tcPr>
            <w:tcW w:w="709"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,402</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,045</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4,541</w:t>
            </w:r>
          </w:p>
        </w:tc>
        <w:tc>
          <w:tcPr>
            <w:tcW w:w="992"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r>
      <w:tr w:rsidR="0030599D" w:rsidRPr="00D0413E" w:rsidTr="00DC4621">
        <w:tc>
          <w:tcPr>
            <w:tcW w:w="3510" w:type="dxa"/>
            <w:gridSpan w:val="4"/>
            <w:tcBorders>
              <w:left w:val="single" w:sz="12" w:space="0" w:color="auto"/>
              <w:bottom w:val="single" w:sz="12" w:space="0" w:color="auto"/>
              <w:right w:val="single" w:sz="12" w:space="0" w:color="auto"/>
            </w:tcBorders>
            <w:shd w:val="clear" w:color="auto" w:fill="92D050"/>
            <w:vAlign w:val="center"/>
          </w:tcPr>
          <w:p w:rsidR="0030599D" w:rsidRPr="00D0413E" w:rsidRDefault="0030599D" w:rsidP="00E42971">
            <w:pPr>
              <w:pStyle w:val="Geenafstand"/>
              <w:rPr>
                <w:b/>
                <w:sz w:val="18"/>
                <w:szCs w:val="18"/>
                <w:lang w:val="en-US"/>
              </w:rPr>
            </w:pPr>
            <w:r w:rsidRPr="00D0413E">
              <w:rPr>
                <w:b/>
                <w:sz w:val="18"/>
                <w:szCs w:val="18"/>
                <w:lang w:val="en-US"/>
              </w:rPr>
              <w:t>Austria</w:t>
            </w:r>
          </w:p>
        </w:tc>
        <w:tc>
          <w:tcPr>
            <w:tcW w:w="2410" w:type="dxa"/>
            <w:gridSpan w:val="3"/>
            <w:tcBorders>
              <w:left w:val="single" w:sz="12" w:space="0" w:color="auto"/>
              <w:bottom w:val="single" w:sz="12" w:space="0" w:color="auto"/>
              <w:right w:val="single" w:sz="12" w:space="0" w:color="auto"/>
            </w:tcBorders>
            <w:shd w:val="clear" w:color="auto" w:fill="D99594" w:themeFill="accent2" w:themeFillTint="99"/>
            <w:vAlign w:val="center"/>
          </w:tcPr>
          <w:p w:rsidR="0030599D" w:rsidRPr="00D0413E" w:rsidRDefault="0030599D" w:rsidP="00E42971">
            <w:pPr>
              <w:pStyle w:val="Geenafstand"/>
              <w:rPr>
                <w:b/>
                <w:sz w:val="18"/>
                <w:szCs w:val="18"/>
                <w:lang w:val="en-US"/>
              </w:rPr>
            </w:pPr>
            <w:r w:rsidRPr="00D0413E">
              <w:rPr>
                <w:b/>
                <w:sz w:val="18"/>
                <w:szCs w:val="18"/>
                <w:lang w:val="en-US"/>
              </w:rPr>
              <w:t>Portugal</w:t>
            </w:r>
          </w:p>
        </w:tc>
        <w:tc>
          <w:tcPr>
            <w:tcW w:w="2693" w:type="dxa"/>
            <w:gridSpan w:val="3"/>
            <w:tcBorders>
              <w:left w:val="single" w:sz="12" w:space="0" w:color="auto"/>
              <w:bottom w:val="single" w:sz="12" w:space="0" w:color="auto"/>
              <w:right w:val="single" w:sz="12" w:space="0" w:color="auto"/>
            </w:tcBorders>
            <w:shd w:val="clear" w:color="auto" w:fill="92D050"/>
            <w:vAlign w:val="center"/>
          </w:tcPr>
          <w:p w:rsidR="0030599D" w:rsidRPr="00D0413E" w:rsidRDefault="0030599D" w:rsidP="00E42971">
            <w:pPr>
              <w:pStyle w:val="Geenafstand"/>
              <w:rPr>
                <w:b/>
                <w:sz w:val="18"/>
                <w:szCs w:val="18"/>
                <w:lang w:val="en-US"/>
              </w:rPr>
            </w:pPr>
            <w:r w:rsidRPr="00D0413E">
              <w:rPr>
                <w:b/>
                <w:sz w:val="18"/>
                <w:szCs w:val="18"/>
                <w:lang w:val="en-US"/>
              </w:rPr>
              <w:t>Spain</w:t>
            </w:r>
          </w:p>
        </w:tc>
      </w:tr>
      <w:tr w:rsidR="00DC4621" w:rsidRPr="00D0413E" w:rsidTr="00DC4621">
        <w:tc>
          <w:tcPr>
            <w:tcW w:w="1099" w:type="dxa"/>
            <w:tcBorders>
              <w:top w:val="single" w:sz="12" w:space="0" w:color="auto"/>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Model</w:t>
            </w:r>
          </w:p>
        </w:tc>
        <w:tc>
          <w:tcPr>
            <w:tcW w:w="852" w:type="dxa"/>
            <w:tcBorders>
              <w:top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1"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708"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c>
          <w:tcPr>
            <w:tcW w:w="851" w:type="dxa"/>
            <w:tcBorders>
              <w:top w:val="single" w:sz="12" w:space="0" w:color="auto"/>
              <w:left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0"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709"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c>
          <w:tcPr>
            <w:tcW w:w="851" w:type="dxa"/>
            <w:tcBorders>
              <w:top w:val="single" w:sz="12" w:space="0" w:color="auto"/>
              <w:left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0"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992"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(Constant)</w:t>
            </w:r>
          </w:p>
        </w:tc>
        <w:tc>
          <w:tcPr>
            <w:tcW w:w="852" w:type="dxa"/>
            <w:vAlign w:val="center"/>
          </w:tcPr>
          <w:p w:rsidR="0030599D" w:rsidRPr="00D0413E" w:rsidRDefault="0030599D" w:rsidP="00E42971">
            <w:pPr>
              <w:pStyle w:val="Geenafstand"/>
              <w:rPr>
                <w:rFonts w:cs="Times New Roman"/>
                <w:sz w:val="18"/>
                <w:szCs w:val="18"/>
                <w:lang w:val="en-US"/>
              </w:rPr>
            </w:pPr>
          </w:p>
        </w:tc>
        <w:tc>
          <w:tcPr>
            <w:tcW w:w="851"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,129</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,897</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p>
        </w:tc>
        <w:tc>
          <w:tcPr>
            <w:tcW w:w="850" w:type="dxa"/>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,571</w:t>
            </w:r>
          </w:p>
        </w:tc>
        <w:tc>
          <w:tcPr>
            <w:tcW w:w="709" w:type="dxa"/>
            <w:tcBorders>
              <w:righ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,568</w:t>
            </w:r>
          </w:p>
        </w:tc>
        <w:tc>
          <w:tcPr>
            <w:tcW w:w="851" w:type="dxa"/>
            <w:tcBorders>
              <w:left w:val="single" w:sz="12" w:space="0" w:color="auto"/>
            </w:tcBorders>
            <w:vAlign w:val="center"/>
          </w:tcPr>
          <w:p w:rsidR="0030599D" w:rsidRPr="00D0413E" w:rsidRDefault="0030599D" w:rsidP="00E42971">
            <w:pPr>
              <w:pStyle w:val="Geenafstand"/>
              <w:rPr>
                <w:rFonts w:cs="Times New Roman"/>
                <w:sz w:val="18"/>
                <w:szCs w:val="18"/>
                <w:lang w:val="en-US"/>
              </w:rPr>
            </w:pP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-2,789</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,005</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Rmt</w:t>
            </w:r>
          </w:p>
        </w:tc>
        <w:tc>
          <w:tcPr>
            <w:tcW w:w="852" w:type="dxa"/>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,442</w:t>
            </w:r>
          </w:p>
        </w:tc>
        <w:tc>
          <w:tcPr>
            <w:tcW w:w="851" w:type="dxa"/>
            <w:vAlign w:val="center"/>
          </w:tcPr>
          <w:p w:rsidR="0030599D" w:rsidRPr="00D0413E" w:rsidRDefault="0030599D" w:rsidP="00E42971">
            <w:pPr>
              <w:pStyle w:val="Geenafstand"/>
              <w:rPr>
                <w:b/>
                <w:sz w:val="18"/>
                <w:szCs w:val="18"/>
                <w:lang w:val="en-US"/>
              </w:rPr>
            </w:pPr>
            <w:r w:rsidRPr="00D0413E">
              <w:rPr>
                <w:b/>
                <w:sz w:val="18"/>
                <w:szCs w:val="18"/>
                <w:lang w:val="en-US"/>
              </w:rPr>
              <w:t>38,102</w:t>
            </w:r>
          </w:p>
        </w:tc>
        <w:tc>
          <w:tcPr>
            <w:tcW w:w="708"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rFonts w:cs="Arial"/>
                <w:b/>
                <w:sz w:val="18"/>
                <w:szCs w:val="18"/>
                <w:lang w:val="en-US"/>
              </w:rPr>
            </w:pPr>
            <w:r>
              <w:rPr>
                <w:rFonts w:cs="Arial"/>
                <w:b/>
                <w:sz w:val="18"/>
                <w:szCs w:val="18"/>
                <w:lang w:val="en-US"/>
              </w:rPr>
              <w:t>0</w:t>
            </w:r>
            <w:r w:rsidRPr="00D0413E">
              <w:rPr>
                <w:rFonts w:cs="Arial"/>
                <w:b/>
                <w:sz w:val="18"/>
                <w:szCs w:val="18"/>
                <w:lang w:val="en-US"/>
              </w:rPr>
              <w:t>,199</w:t>
            </w:r>
          </w:p>
        </w:tc>
        <w:tc>
          <w:tcPr>
            <w:tcW w:w="850" w:type="dxa"/>
            <w:vAlign w:val="center"/>
          </w:tcPr>
          <w:p w:rsidR="0030599D" w:rsidRPr="00D0413E" w:rsidRDefault="0030599D" w:rsidP="00E42971">
            <w:pPr>
              <w:pStyle w:val="Geenafstand"/>
              <w:rPr>
                <w:rFonts w:cs="Arial"/>
                <w:b/>
                <w:sz w:val="18"/>
                <w:szCs w:val="18"/>
                <w:lang w:val="en-US"/>
              </w:rPr>
            </w:pPr>
            <w:r w:rsidRPr="00D0413E">
              <w:rPr>
                <w:rFonts w:cs="Arial"/>
                <w:b/>
                <w:sz w:val="18"/>
                <w:szCs w:val="18"/>
                <w:lang w:val="en-US"/>
              </w:rPr>
              <w:t>9,646</w:t>
            </w:r>
          </w:p>
        </w:tc>
        <w:tc>
          <w:tcPr>
            <w:tcW w:w="709" w:type="dxa"/>
            <w:tcBorders>
              <w:right w:val="single" w:sz="12" w:space="0" w:color="auto"/>
            </w:tcBorders>
            <w:vAlign w:val="center"/>
          </w:tcPr>
          <w:p w:rsidR="0030599D" w:rsidRPr="00D0413E" w:rsidRDefault="0030599D" w:rsidP="00E42971">
            <w:pPr>
              <w:pStyle w:val="Geenafstand"/>
              <w:rPr>
                <w:rFonts w:cs="Arial"/>
                <w:b/>
                <w:sz w:val="18"/>
                <w:szCs w:val="18"/>
                <w:lang w:val="en-US"/>
              </w:rPr>
            </w:pPr>
            <w:r>
              <w:rPr>
                <w:rFonts w:cs="Arial"/>
                <w:b/>
                <w:sz w:val="18"/>
                <w:szCs w:val="18"/>
                <w:lang w:val="en-US"/>
              </w:rPr>
              <w:t>0</w:t>
            </w:r>
            <w:r w:rsidRPr="00D0413E">
              <w:rPr>
                <w:rFonts w:cs="Arial"/>
                <w:b/>
                <w:sz w:val="18"/>
                <w:szCs w:val="18"/>
                <w:lang w:val="en-US"/>
              </w:rPr>
              <w:t>,000</w:t>
            </w:r>
          </w:p>
        </w:tc>
        <w:tc>
          <w:tcPr>
            <w:tcW w:w="851" w:type="dxa"/>
            <w:tcBorders>
              <w:lef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,429</w:t>
            </w:r>
          </w:p>
        </w:tc>
        <w:tc>
          <w:tcPr>
            <w:tcW w:w="850" w:type="dxa"/>
            <w:vAlign w:val="center"/>
          </w:tcPr>
          <w:p w:rsidR="0030599D" w:rsidRPr="00D0413E" w:rsidRDefault="0030599D" w:rsidP="00E42971">
            <w:pPr>
              <w:pStyle w:val="Geenafstand"/>
              <w:rPr>
                <w:b/>
                <w:sz w:val="18"/>
                <w:szCs w:val="18"/>
                <w:lang w:val="en-US"/>
              </w:rPr>
            </w:pPr>
            <w:r w:rsidRPr="00D0413E">
              <w:rPr>
                <w:b/>
                <w:sz w:val="18"/>
                <w:szCs w:val="18"/>
                <w:lang w:val="en-US"/>
              </w:rPr>
              <w:t>47,225</w:t>
            </w:r>
          </w:p>
        </w:tc>
        <w:tc>
          <w:tcPr>
            <w:tcW w:w="992"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Intt</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,020</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-1,730</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,084</w:t>
            </w:r>
          </w:p>
        </w:tc>
        <w:tc>
          <w:tcPr>
            <w:tcW w:w="851" w:type="dxa"/>
            <w:tcBorders>
              <w:lef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,011</w:t>
            </w:r>
          </w:p>
        </w:tc>
        <w:tc>
          <w:tcPr>
            <w:tcW w:w="850" w:type="dxa"/>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,514</w:t>
            </w:r>
          </w:p>
        </w:tc>
        <w:tc>
          <w:tcPr>
            <w:tcW w:w="709" w:type="dxa"/>
            <w:tcBorders>
              <w:righ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,608</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,004</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,456</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,648</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lastRenderedPageBreak/>
              <w:t>E_window1</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,004</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,344</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,731</w:t>
            </w:r>
          </w:p>
        </w:tc>
        <w:tc>
          <w:tcPr>
            <w:tcW w:w="851" w:type="dxa"/>
            <w:tcBorders>
              <w:left w:val="single" w:sz="12" w:space="0" w:color="auto"/>
            </w:tcBorders>
            <w:vAlign w:val="center"/>
          </w:tcPr>
          <w:p w:rsidR="0030599D" w:rsidRPr="00D0413E" w:rsidRDefault="0030599D" w:rsidP="00E42971">
            <w:pPr>
              <w:pStyle w:val="Geenafstand"/>
              <w:rPr>
                <w:rFonts w:cs="Arial"/>
                <w:sz w:val="18"/>
                <w:szCs w:val="18"/>
                <w:lang w:val="en-US"/>
              </w:rPr>
            </w:pPr>
            <w:r w:rsidRPr="00D0413E">
              <w:rPr>
                <w:rFonts w:cs="Arial"/>
                <w:sz w:val="18"/>
                <w:szCs w:val="18"/>
                <w:lang w:val="en-US"/>
              </w:rPr>
              <w:t>-</w:t>
            </w:r>
            <w:r>
              <w:rPr>
                <w:rFonts w:cs="Arial"/>
                <w:sz w:val="18"/>
                <w:szCs w:val="18"/>
                <w:lang w:val="en-US"/>
              </w:rPr>
              <w:t>0</w:t>
            </w:r>
            <w:r w:rsidRPr="00D0413E">
              <w:rPr>
                <w:rFonts w:cs="Arial"/>
                <w:sz w:val="18"/>
                <w:szCs w:val="18"/>
                <w:lang w:val="en-US"/>
              </w:rPr>
              <w:t>,035</w:t>
            </w:r>
          </w:p>
        </w:tc>
        <w:tc>
          <w:tcPr>
            <w:tcW w:w="850" w:type="dxa"/>
            <w:vAlign w:val="center"/>
          </w:tcPr>
          <w:p w:rsidR="0030599D" w:rsidRPr="00D0413E" w:rsidRDefault="0030599D" w:rsidP="00E42971">
            <w:pPr>
              <w:pStyle w:val="Geenafstand"/>
              <w:rPr>
                <w:rFonts w:cs="Arial"/>
                <w:sz w:val="18"/>
                <w:szCs w:val="18"/>
                <w:lang w:val="en-US"/>
              </w:rPr>
            </w:pPr>
            <w:r w:rsidRPr="00D0413E">
              <w:rPr>
                <w:rFonts w:cs="Arial"/>
                <w:sz w:val="18"/>
                <w:szCs w:val="18"/>
                <w:lang w:val="en-US"/>
              </w:rPr>
              <w:t>-1,711</w:t>
            </w:r>
          </w:p>
        </w:tc>
        <w:tc>
          <w:tcPr>
            <w:tcW w:w="709" w:type="dxa"/>
            <w:tcBorders>
              <w:righ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,087</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,014</w:t>
            </w:r>
          </w:p>
        </w:tc>
        <w:tc>
          <w:tcPr>
            <w:tcW w:w="850" w:type="dxa"/>
            <w:tcBorders>
              <w:bottom w:val="single" w:sz="4"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-1,533</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,125</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E_window2</w:t>
            </w:r>
          </w:p>
        </w:tc>
        <w:tc>
          <w:tcPr>
            <w:tcW w:w="852"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,000</w:t>
            </w:r>
          </w:p>
        </w:tc>
        <w:tc>
          <w:tcPr>
            <w:tcW w:w="851"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,023</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,981</w:t>
            </w:r>
          </w:p>
        </w:tc>
        <w:tc>
          <w:tcPr>
            <w:tcW w:w="851" w:type="dxa"/>
            <w:tcBorders>
              <w:left w:val="single" w:sz="12" w:space="0" w:color="auto"/>
            </w:tcBorders>
            <w:vAlign w:val="center"/>
          </w:tcPr>
          <w:p w:rsidR="0030599D" w:rsidRPr="00D0413E" w:rsidRDefault="0030599D" w:rsidP="00E42971">
            <w:pPr>
              <w:pStyle w:val="Geenafstand"/>
              <w:rPr>
                <w:rFonts w:cs="Arial"/>
                <w:sz w:val="18"/>
                <w:szCs w:val="18"/>
                <w:lang w:val="en-US"/>
              </w:rPr>
            </w:pPr>
            <w:r w:rsidRPr="00D0413E">
              <w:rPr>
                <w:rFonts w:cs="Arial"/>
                <w:sz w:val="18"/>
                <w:szCs w:val="18"/>
                <w:lang w:val="en-US"/>
              </w:rPr>
              <w:t>-</w:t>
            </w:r>
            <w:r>
              <w:rPr>
                <w:rFonts w:cs="Arial"/>
                <w:sz w:val="18"/>
                <w:szCs w:val="18"/>
                <w:lang w:val="en-US"/>
              </w:rPr>
              <w:t>0</w:t>
            </w:r>
            <w:r w:rsidRPr="00D0413E">
              <w:rPr>
                <w:rFonts w:cs="Arial"/>
                <w:sz w:val="18"/>
                <w:szCs w:val="18"/>
                <w:lang w:val="en-US"/>
              </w:rPr>
              <w:t>,011</w:t>
            </w:r>
          </w:p>
        </w:tc>
        <w:tc>
          <w:tcPr>
            <w:tcW w:w="850" w:type="dxa"/>
            <w:vAlign w:val="center"/>
          </w:tcPr>
          <w:p w:rsidR="0030599D" w:rsidRPr="00D0413E" w:rsidRDefault="0030599D" w:rsidP="00E42971">
            <w:pPr>
              <w:pStyle w:val="Geenafstand"/>
              <w:rPr>
                <w:rFonts w:cs="Arial"/>
                <w:sz w:val="18"/>
                <w:szCs w:val="18"/>
                <w:lang w:val="en-US"/>
              </w:rPr>
            </w:pPr>
            <w:r w:rsidRPr="00D0413E">
              <w:rPr>
                <w:rFonts w:cs="Arial"/>
                <w:sz w:val="18"/>
                <w:szCs w:val="18"/>
                <w:lang w:val="en-US"/>
              </w:rPr>
              <w:t>-</w:t>
            </w:r>
            <w:r>
              <w:rPr>
                <w:rFonts w:cs="Arial"/>
                <w:sz w:val="18"/>
                <w:szCs w:val="18"/>
                <w:lang w:val="en-US"/>
              </w:rPr>
              <w:t>0</w:t>
            </w:r>
            <w:r w:rsidRPr="00D0413E">
              <w:rPr>
                <w:rFonts w:cs="Arial"/>
                <w:sz w:val="18"/>
                <w:szCs w:val="18"/>
                <w:lang w:val="en-US"/>
              </w:rPr>
              <w:t>,523</w:t>
            </w:r>
          </w:p>
        </w:tc>
        <w:tc>
          <w:tcPr>
            <w:tcW w:w="709" w:type="dxa"/>
            <w:tcBorders>
              <w:righ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,601</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,008</w:t>
            </w:r>
          </w:p>
        </w:tc>
        <w:tc>
          <w:tcPr>
            <w:tcW w:w="850" w:type="dxa"/>
            <w:tcBorders>
              <w:top w:val="single" w:sz="4"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,909</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,363</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E_window3</w:t>
            </w:r>
          </w:p>
        </w:tc>
        <w:tc>
          <w:tcPr>
            <w:tcW w:w="852"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,002</w:t>
            </w:r>
          </w:p>
        </w:tc>
        <w:tc>
          <w:tcPr>
            <w:tcW w:w="851"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,172</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,863</w:t>
            </w:r>
          </w:p>
        </w:tc>
        <w:tc>
          <w:tcPr>
            <w:tcW w:w="851" w:type="dxa"/>
            <w:tcBorders>
              <w:lef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,002</w:t>
            </w:r>
          </w:p>
        </w:tc>
        <w:tc>
          <w:tcPr>
            <w:tcW w:w="850" w:type="dxa"/>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,096</w:t>
            </w:r>
          </w:p>
        </w:tc>
        <w:tc>
          <w:tcPr>
            <w:tcW w:w="709" w:type="dxa"/>
            <w:tcBorders>
              <w:righ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,923</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,003</w:t>
            </w:r>
          </w:p>
        </w:tc>
        <w:tc>
          <w:tcPr>
            <w:tcW w:w="850" w:type="dxa"/>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,363</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,717</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E_window4</w:t>
            </w:r>
          </w:p>
        </w:tc>
        <w:tc>
          <w:tcPr>
            <w:tcW w:w="852"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,010</w:t>
            </w:r>
          </w:p>
        </w:tc>
        <w:tc>
          <w:tcPr>
            <w:tcW w:w="851"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,823</w:t>
            </w:r>
          </w:p>
        </w:tc>
        <w:tc>
          <w:tcPr>
            <w:tcW w:w="708"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,411</w:t>
            </w:r>
          </w:p>
        </w:tc>
        <w:tc>
          <w:tcPr>
            <w:tcW w:w="851" w:type="dxa"/>
            <w:tcBorders>
              <w:lef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,003</w:t>
            </w:r>
          </w:p>
        </w:tc>
        <w:tc>
          <w:tcPr>
            <w:tcW w:w="850" w:type="dxa"/>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,127</w:t>
            </w:r>
          </w:p>
        </w:tc>
        <w:tc>
          <w:tcPr>
            <w:tcW w:w="709" w:type="dxa"/>
            <w:tcBorders>
              <w:righ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,899</w:t>
            </w:r>
          </w:p>
        </w:tc>
        <w:tc>
          <w:tcPr>
            <w:tcW w:w="851"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,002</w:t>
            </w:r>
          </w:p>
        </w:tc>
        <w:tc>
          <w:tcPr>
            <w:tcW w:w="850" w:type="dxa"/>
            <w:vAlign w:val="center"/>
          </w:tcPr>
          <w:p w:rsidR="0030599D" w:rsidRPr="00D0413E" w:rsidRDefault="0030599D" w:rsidP="00E42971">
            <w:pPr>
              <w:pStyle w:val="Geenafstand"/>
              <w:rPr>
                <w:sz w:val="18"/>
                <w:szCs w:val="18"/>
                <w:lang w:val="en-US"/>
              </w:rPr>
            </w:pPr>
            <w:r w:rsidRPr="00D0413E">
              <w:rPr>
                <w:sz w:val="18"/>
                <w:szCs w:val="18"/>
                <w:lang w:val="en-US"/>
              </w:rPr>
              <w:t>-</w:t>
            </w:r>
            <w:r>
              <w:rPr>
                <w:sz w:val="18"/>
                <w:szCs w:val="18"/>
                <w:lang w:val="en-US"/>
              </w:rPr>
              <w:t>0</w:t>
            </w:r>
            <w:r w:rsidRPr="00D0413E">
              <w:rPr>
                <w:sz w:val="18"/>
                <w:szCs w:val="18"/>
                <w:lang w:val="en-US"/>
              </w:rPr>
              <w:t>,226</w:t>
            </w:r>
          </w:p>
        </w:tc>
        <w:tc>
          <w:tcPr>
            <w:tcW w:w="992" w:type="dxa"/>
            <w:tcBorders>
              <w:right w:val="single" w:sz="12" w:space="0" w:color="auto"/>
            </w:tcBorders>
            <w:vAlign w:val="center"/>
          </w:tcPr>
          <w:p w:rsidR="0030599D" w:rsidRPr="00D0413E" w:rsidRDefault="0030599D" w:rsidP="00E42971">
            <w:pPr>
              <w:pStyle w:val="Geenafstand"/>
              <w:rPr>
                <w:sz w:val="18"/>
                <w:szCs w:val="18"/>
                <w:lang w:val="en-US"/>
              </w:rPr>
            </w:pPr>
            <w:r>
              <w:rPr>
                <w:sz w:val="18"/>
                <w:szCs w:val="18"/>
                <w:lang w:val="en-US"/>
              </w:rPr>
              <w:t>0</w:t>
            </w:r>
            <w:r w:rsidRPr="00D0413E">
              <w:rPr>
                <w:sz w:val="18"/>
                <w:szCs w:val="18"/>
                <w:lang w:val="en-US"/>
              </w:rPr>
              <w:t>,821</w:t>
            </w: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E_window5</w:t>
            </w:r>
          </w:p>
        </w:tc>
        <w:tc>
          <w:tcPr>
            <w:tcW w:w="852" w:type="dxa"/>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,023</w:t>
            </w:r>
          </w:p>
        </w:tc>
        <w:tc>
          <w:tcPr>
            <w:tcW w:w="851" w:type="dxa"/>
            <w:vAlign w:val="center"/>
          </w:tcPr>
          <w:p w:rsidR="0030599D" w:rsidRPr="00D0413E" w:rsidRDefault="0030599D" w:rsidP="00E42971">
            <w:pPr>
              <w:pStyle w:val="Geenafstand"/>
              <w:rPr>
                <w:b/>
                <w:sz w:val="18"/>
                <w:szCs w:val="18"/>
                <w:lang w:val="en-US"/>
              </w:rPr>
            </w:pPr>
            <w:r w:rsidRPr="00D0413E">
              <w:rPr>
                <w:b/>
                <w:sz w:val="18"/>
                <w:szCs w:val="18"/>
                <w:lang w:val="en-US"/>
              </w:rPr>
              <w:t>2,020</w:t>
            </w:r>
          </w:p>
        </w:tc>
        <w:tc>
          <w:tcPr>
            <w:tcW w:w="708" w:type="dxa"/>
            <w:tcBorders>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,043</w:t>
            </w:r>
          </w:p>
        </w:tc>
        <w:tc>
          <w:tcPr>
            <w:tcW w:w="851" w:type="dxa"/>
            <w:tcBorders>
              <w:lef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,001</w:t>
            </w:r>
          </w:p>
        </w:tc>
        <w:tc>
          <w:tcPr>
            <w:tcW w:w="850" w:type="dxa"/>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,046</w:t>
            </w:r>
          </w:p>
        </w:tc>
        <w:tc>
          <w:tcPr>
            <w:tcW w:w="709" w:type="dxa"/>
            <w:tcBorders>
              <w:right w:val="single" w:sz="12" w:space="0" w:color="auto"/>
            </w:tcBorders>
            <w:vAlign w:val="center"/>
          </w:tcPr>
          <w:p w:rsidR="0030599D" w:rsidRPr="00D0413E" w:rsidRDefault="0030599D" w:rsidP="00E42971">
            <w:pPr>
              <w:pStyle w:val="Geenafstand"/>
              <w:rPr>
                <w:rFonts w:cs="Arial"/>
                <w:sz w:val="18"/>
                <w:szCs w:val="18"/>
                <w:lang w:val="en-US"/>
              </w:rPr>
            </w:pPr>
            <w:r>
              <w:rPr>
                <w:rFonts w:cs="Arial"/>
                <w:sz w:val="18"/>
                <w:szCs w:val="18"/>
                <w:lang w:val="en-US"/>
              </w:rPr>
              <w:t>0</w:t>
            </w:r>
            <w:r w:rsidRPr="00D0413E">
              <w:rPr>
                <w:rFonts w:cs="Arial"/>
                <w:sz w:val="18"/>
                <w:szCs w:val="18"/>
                <w:lang w:val="en-US"/>
              </w:rPr>
              <w:t>,963</w:t>
            </w:r>
          </w:p>
        </w:tc>
        <w:tc>
          <w:tcPr>
            <w:tcW w:w="851" w:type="dxa"/>
            <w:tcBorders>
              <w:left w:val="single" w:sz="12" w:space="0" w:color="auto"/>
              <w:bottom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,042</w:t>
            </w:r>
          </w:p>
        </w:tc>
        <w:tc>
          <w:tcPr>
            <w:tcW w:w="850" w:type="dxa"/>
            <w:tcBorders>
              <w:bottom w:val="single" w:sz="12" w:space="0" w:color="auto"/>
            </w:tcBorders>
            <w:vAlign w:val="center"/>
          </w:tcPr>
          <w:p w:rsidR="0030599D" w:rsidRPr="00D0413E" w:rsidRDefault="0030599D" w:rsidP="00E42971">
            <w:pPr>
              <w:pStyle w:val="Geenafstand"/>
              <w:rPr>
                <w:b/>
                <w:sz w:val="18"/>
                <w:szCs w:val="18"/>
                <w:lang w:val="en-US"/>
              </w:rPr>
            </w:pPr>
            <w:r w:rsidRPr="00D0413E">
              <w:rPr>
                <w:b/>
                <w:sz w:val="18"/>
                <w:szCs w:val="18"/>
                <w:lang w:val="en-US"/>
              </w:rPr>
              <w:t>4,636</w:t>
            </w:r>
          </w:p>
        </w:tc>
        <w:tc>
          <w:tcPr>
            <w:tcW w:w="992" w:type="dxa"/>
            <w:tcBorders>
              <w:bottom w:val="single" w:sz="12" w:space="0" w:color="auto"/>
              <w:right w:val="single" w:sz="12" w:space="0" w:color="auto"/>
            </w:tcBorders>
            <w:vAlign w:val="center"/>
          </w:tcPr>
          <w:p w:rsidR="0030599D" w:rsidRPr="00D0413E" w:rsidRDefault="0030599D" w:rsidP="00E42971">
            <w:pPr>
              <w:pStyle w:val="Geenafstand"/>
              <w:rPr>
                <w:b/>
                <w:sz w:val="18"/>
                <w:szCs w:val="18"/>
                <w:lang w:val="en-US"/>
              </w:rPr>
            </w:pPr>
            <w:r>
              <w:rPr>
                <w:b/>
                <w:sz w:val="18"/>
                <w:szCs w:val="18"/>
                <w:lang w:val="en-US"/>
              </w:rPr>
              <w:t>0</w:t>
            </w:r>
            <w:r w:rsidRPr="00D0413E">
              <w:rPr>
                <w:b/>
                <w:sz w:val="18"/>
                <w:szCs w:val="18"/>
                <w:lang w:val="en-US"/>
              </w:rPr>
              <w:t>,000</w:t>
            </w:r>
          </w:p>
        </w:tc>
      </w:tr>
      <w:tr w:rsidR="0030599D" w:rsidRPr="00D0413E" w:rsidTr="00DC4621">
        <w:tc>
          <w:tcPr>
            <w:tcW w:w="3510" w:type="dxa"/>
            <w:gridSpan w:val="4"/>
            <w:tcBorders>
              <w:left w:val="single" w:sz="12" w:space="0" w:color="auto"/>
              <w:bottom w:val="single" w:sz="12" w:space="0" w:color="auto"/>
              <w:right w:val="single" w:sz="12" w:space="0" w:color="auto"/>
            </w:tcBorders>
            <w:shd w:val="clear" w:color="auto" w:fill="D99594" w:themeFill="accent2" w:themeFillTint="99"/>
            <w:vAlign w:val="center"/>
          </w:tcPr>
          <w:p w:rsidR="0030599D" w:rsidRPr="00D0413E" w:rsidRDefault="0030599D" w:rsidP="00E42971">
            <w:pPr>
              <w:pStyle w:val="Geenafstand"/>
              <w:rPr>
                <w:b/>
                <w:sz w:val="18"/>
                <w:szCs w:val="18"/>
                <w:lang w:val="en-US"/>
              </w:rPr>
            </w:pPr>
            <w:r>
              <w:rPr>
                <w:b/>
                <w:sz w:val="18"/>
                <w:szCs w:val="18"/>
                <w:lang w:val="en-US"/>
              </w:rPr>
              <w:t>Great Britain</w:t>
            </w:r>
          </w:p>
        </w:tc>
        <w:tc>
          <w:tcPr>
            <w:tcW w:w="2410" w:type="dxa"/>
            <w:gridSpan w:val="3"/>
            <w:tcBorders>
              <w:left w:val="single" w:sz="12" w:space="0" w:color="auto"/>
              <w:bottom w:val="single" w:sz="12" w:space="0" w:color="auto"/>
              <w:right w:val="single" w:sz="12" w:space="0" w:color="auto"/>
            </w:tcBorders>
            <w:shd w:val="clear" w:color="auto" w:fill="92D050"/>
            <w:vAlign w:val="center"/>
          </w:tcPr>
          <w:p w:rsidR="0030599D" w:rsidRPr="00D0413E" w:rsidRDefault="0030599D" w:rsidP="00E42971">
            <w:pPr>
              <w:pStyle w:val="Geenafstand"/>
              <w:rPr>
                <w:b/>
                <w:sz w:val="18"/>
                <w:szCs w:val="18"/>
                <w:lang w:val="en-US"/>
              </w:rPr>
            </w:pPr>
            <w:r w:rsidRPr="00D0413E">
              <w:rPr>
                <w:b/>
                <w:sz w:val="18"/>
                <w:szCs w:val="18"/>
                <w:lang w:val="en-US"/>
              </w:rPr>
              <w:t>Sweden</w:t>
            </w:r>
          </w:p>
        </w:tc>
        <w:tc>
          <w:tcPr>
            <w:tcW w:w="851" w:type="dxa"/>
            <w:tcBorders>
              <w:top w:val="single" w:sz="12" w:space="0" w:color="auto"/>
              <w:left w:val="single" w:sz="12" w:space="0" w:color="auto"/>
              <w:bottom w:val="nil"/>
              <w:right w:val="nil"/>
            </w:tcBorders>
            <w:vAlign w:val="center"/>
          </w:tcPr>
          <w:p w:rsidR="0030599D" w:rsidRPr="00D0413E" w:rsidRDefault="0030599D" w:rsidP="00E42971">
            <w:pPr>
              <w:pStyle w:val="Geenafstand"/>
              <w:rPr>
                <w:b/>
                <w:sz w:val="18"/>
                <w:szCs w:val="18"/>
                <w:lang w:val="en-US"/>
              </w:rPr>
            </w:pPr>
          </w:p>
        </w:tc>
        <w:tc>
          <w:tcPr>
            <w:tcW w:w="850" w:type="dxa"/>
            <w:tcBorders>
              <w:top w:val="single" w:sz="12" w:space="0" w:color="auto"/>
              <w:left w:val="nil"/>
              <w:bottom w:val="nil"/>
              <w:right w:val="nil"/>
            </w:tcBorders>
            <w:vAlign w:val="center"/>
          </w:tcPr>
          <w:p w:rsidR="0030599D" w:rsidRPr="00D0413E" w:rsidRDefault="0030599D" w:rsidP="00E42971">
            <w:pPr>
              <w:pStyle w:val="Geenafstand"/>
              <w:rPr>
                <w:b/>
                <w:sz w:val="18"/>
                <w:szCs w:val="18"/>
                <w:lang w:val="en-US"/>
              </w:rPr>
            </w:pPr>
          </w:p>
        </w:tc>
        <w:tc>
          <w:tcPr>
            <w:tcW w:w="992" w:type="dxa"/>
            <w:tcBorders>
              <w:top w:val="single" w:sz="12" w:space="0" w:color="auto"/>
              <w:left w:val="nil"/>
              <w:bottom w:val="nil"/>
              <w:right w:val="nil"/>
            </w:tcBorders>
            <w:vAlign w:val="center"/>
          </w:tcPr>
          <w:p w:rsidR="0030599D" w:rsidRPr="00D0413E" w:rsidRDefault="0030599D" w:rsidP="00E42971">
            <w:pPr>
              <w:pStyle w:val="Geenafstand"/>
              <w:rPr>
                <w:b/>
                <w:sz w:val="18"/>
                <w:szCs w:val="18"/>
                <w:lang w:val="en-US"/>
              </w:rPr>
            </w:pPr>
          </w:p>
        </w:tc>
      </w:tr>
      <w:tr w:rsidR="00DC4621" w:rsidRPr="00D0413E" w:rsidTr="00DC4621">
        <w:tc>
          <w:tcPr>
            <w:tcW w:w="1099" w:type="dxa"/>
            <w:tcBorders>
              <w:top w:val="single" w:sz="12" w:space="0" w:color="auto"/>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Model</w:t>
            </w:r>
          </w:p>
        </w:tc>
        <w:tc>
          <w:tcPr>
            <w:tcW w:w="852" w:type="dxa"/>
            <w:tcBorders>
              <w:top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1"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708"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c>
          <w:tcPr>
            <w:tcW w:w="851" w:type="dxa"/>
            <w:tcBorders>
              <w:top w:val="single" w:sz="12" w:space="0" w:color="auto"/>
              <w:left w:val="single" w:sz="12" w:space="0" w:color="auto"/>
            </w:tcBorders>
            <w:vAlign w:val="center"/>
          </w:tcPr>
          <w:p w:rsidR="0030599D" w:rsidRPr="00D0413E" w:rsidRDefault="0030599D" w:rsidP="00E42971">
            <w:pPr>
              <w:rPr>
                <w:sz w:val="18"/>
                <w:szCs w:val="18"/>
                <w:lang w:val="en-US"/>
              </w:rPr>
            </w:pPr>
            <w:r w:rsidRPr="00D0413E">
              <w:rPr>
                <w:sz w:val="18"/>
                <w:szCs w:val="18"/>
                <w:lang w:val="en-US"/>
              </w:rPr>
              <w:t>St. Beta</w:t>
            </w:r>
          </w:p>
        </w:tc>
        <w:tc>
          <w:tcPr>
            <w:tcW w:w="850" w:type="dxa"/>
            <w:tcBorders>
              <w:top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t</w:t>
            </w:r>
          </w:p>
        </w:tc>
        <w:tc>
          <w:tcPr>
            <w:tcW w:w="709" w:type="dxa"/>
            <w:tcBorders>
              <w:top w:val="single" w:sz="12" w:space="0" w:color="auto"/>
              <w:righ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Sig.</w:t>
            </w:r>
          </w:p>
        </w:tc>
        <w:tc>
          <w:tcPr>
            <w:tcW w:w="851" w:type="dxa"/>
            <w:tcBorders>
              <w:top w:val="nil"/>
              <w:left w:val="single" w:sz="12" w:space="0" w:color="auto"/>
              <w:bottom w:val="nil"/>
              <w:right w:val="nil"/>
            </w:tcBorders>
            <w:vAlign w:val="center"/>
          </w:tcPr>
          <w:p w:rsidR="0030599D" w:rsidRPr="00D0413E" w:rsidRDefault="0030599D" w:rsidP="00E42971">
            <w:pPr>
              <w:pStyle w:val="Geenafstand"/>
              <w:rPr>
                <w:b/>
                <w:sz w:val="18"/>
                <w:szCs w:val="18"/>
                <w:lang w:val="en-US"/>
              </w:rPr>
            </w:pPr>
          </w:p>
        </w:tc>
        <w:tc>
          <w:tcPr>
            <w:tcW w:w="850"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c>
          <w:tcPr>
            <w:tcW w:w="992"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(Constant)</w:t>
            </w:r>
          </w:p>
        </w:tc>
        <w:tc>
          <w:tcPr>
            <w:tcW w:w="852" w:type="dxa"/>
            <w:vAlign w:val="center"/>
          </w:tcPr>
          <w:p w:rsidR="0030599D" w:rsidRPr="00D0413E" w:rsidRDefault="0030599D" w:rsidP="00E42971">
            <w:pPr>
              <w:pStyle w:val="Geenafstand"/>
              <w:rPr>
                <w:rFonts w:cs="Times New Roman"/>
                <w:sz w:val="18"/>
                <w:szCs w:val="18"/>
              </w:rPr>
            </w:pPr>
          </w:p>
        </w:tc>
        <w:tc>
          <w:tcPr>
            <w:tcW w:w="851" w:type="dxa"/>
            <w:vAlign w:val="center"/>
          </w:tcPr>
          <w:p w:rsidR="0030599D" w:rsidRPr="00D0413E" w:rsidRDefault="0030599D" w:rsidP="00E42971">
            <w:pPr>
              <w:pStyle w:val="Geenafstand"/>
              <w:rPr>
                <w:sz w:val="18"/>
                <w:szCs w:val="18"/>
              </w:rPr>
            </w:pPr>
            <w:r>
              <w:rPr>
                <w:sz w:val="18"/>
                <w:szCs w:val="18"/>
              </w:rPr>
              <w:t>0</w:t>
            </w:r>
            <w:r w:rsidRPr="00D0413E">
              <w:rPr>
                <w:sz w:val="18"/>
                <w:szCs w:val="18"/>
              </w:rPr>
              <w:t>,025</w:t>
            </w:r>
          </w:p>
        </w:tc>
        <w:tc>
          <w:tcPr>
            <w:tcW w:w="708" w:type="dxa"/>
            <w:tcBorders>
              <w:righ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,980</w:t>
            </w:r>
          </w:p>
        </w:tc>
        <w:tc>
          <w:tcPr>
            <w:tcW w:w="851" w:type="dxa"/>
            <w:tcBorders>
              <w:left w:val="single" w:sz="12" w:space="0" w:color="auto"/>
            </w:tcBorders>
            <w:vAlign w:val="center"/>
          </w:tcPr>
          <w:p w:rsidR="0030599D" w:rsidRPr="00D0413E" w:rsidRDefault="0030599D" w:rsidP="00E42971">
            <w:pPr>
              <w:pStyle w:val="Geenafstand"/>
              <w:rPr>
                <w:rFonts w:cs="Times New Roman"/>
                <w:sz w:val="18"/>
                <w:szCs w:val="18"/>
              </w:rPr>
            </w:pPr>
          </w:p>
        </w:tc>
        <w:tc>
          <w:tcPr>
            <w:tcW w:w="850" w:type="dxa"/>
            <w:vAlign w:val="center"/>
          </w:tcPr>
          <w:p w:rsidR="0030599D" w:rsidRPr="00D0413E" w:rsidRDefault="0030599D" w:rsidP="00E42971">
            <w:pPr>
              <w:pStyle w:val="Geenafstand"/>
              <w:rPr>
                <w:sz w:val="18"/>
                <w:szCs w:val="18"/>
              </w:rPr>
            </w:pPr>
            <w:r w:rsidRPr="00D0413E">
              <w:rPr>
                <w:sz w:val="18"/>
                <w:szCs w:val="18"/>
              </w:rPr>
              <w:t>-1,186</w:t>
            </w:r>
          </w:p>
        </w:tc>
        <w:tc>
          <w:tcPr>
            <w:tcW w:w="709" w:type="dxa"/>
            <w:tcBorders>
              <w:righ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,236</w:t>
            </w:r>
          </w:p>
        </w:tc>
        <w:tc>
          <w:tcPr>
            <w:tcW w:w="851" w:type="dxa"/>
            <w:tcBorders>
              <w:top w:val="nil"/>
              <w:left w:val="single" w:sz="12" w:space="0" w:color="auto"/>
              <w:bottom w:val="nil"/>
              <w:right w:val="nil"/>
            </w:tcBorders>
            <w:vAlign w:val="center"/>
          </w:tcPr>
          <w:p w:rsidR="0030599D" w:rsidRPr="00D0413E" w:rsidRDefault="0030599D" w:rsidP="00E42971">
            <w:pPr>
              <w:pStyle w:val="Geenafstand"/>
              <w:rPr>
                <w:b/>
                <w:sz w:val="18"/>
                <w:szCs w:val="18"/>
                <w:lang w:val="en-US"/>
              </w:rPr>
            </w:pPr>
          </w:p>
        </w:tc>
        <w:tc>
          <w:tcPr>
            <w:tcW w:w="850"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c>
          <w:tcPr>
            <w:tcW w:w="992"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Rmt</w:t>
            </w:r>
          </w:p>
        </w:tc>
        <w:tc>
          <w:tcPr>
            <w:tcW w:w="852" w:type="dxa"/>
            <w:vAlign w:val="center"/>
          </w:tcPr>
          <w:p w:rsidR="0030599D" w:rsidRPr="00D0413E" w:rsidRDefault="0030599D" w:rsidP="00E42971">
            <w:pPr>
              <w:pStyle w:val="Geenafstand"/>
              <w:rPr>
                <w:b/>
                <w:sz w:val="18"/>
                <w:szCs w:val="18"/>
              </w:rPr>
            </w:pPr>
            <w:r>
              <w:rPr>
                <w:b/>
                <w:sz w:val="18"/>
                <w:szCs w:val="18"/>
              </w:rPr>
              <w:t>0</w:t>
            </w:r>
            <w:r w:rsidRPr="00D0413E">
              <w:rPr>
                <w:b/>
                <w:sz w:val="18"/>
                <w:szCs w:val="18"/>
              </w:rPr>
              <w:t>,425</w:t>
            </w:r>
          </w:p>
        </w:tc>
        <w:tc>
          <w:tcPr>
            <w:tcW w:w="851" w:type="dxa"/>
            <w:vAlign w:val="center"/>
          </w:tcPr>
          <w:p w:rsidR="0030599D" w:rsidRPr="00D0413E" w:rsidRDefault="0030599D" w:rsidP="00E42971">
            <w:pPr>
              <w:pStyle w:val="Geenafstand"/>
              <w:rPr>
                <w:b/>
                <w:sz w:val="18"/>
                <w:szCs w:val="18"/>
              </w:rPr>
            </w:pPr>
            <w:r w:rsidRPr="00D0413E">
              <w:rPr>
                <w:b/>
                <w:sz w:val="18"/>
                <w:szCs w:val="18"/>
              </w:rPr>
              <w:t>82,067</w:t>
            </w:r>
          </w:p>
        </w:tc>
        <w:tc>
          <w:tcPr>
            <w:tcW w:w="708" w:type="dxa"/>
            <w:tcBorders>
              <w:right w:val="single" w:sz="12" w:space="0" w:color="auto"/>
            </w:tcBorders>
            <w:vAlign w:val="center"/>
          </w:tcPr>
          <w:p w:rsidR="0030599D" w:rsidRPr="00D0413E" w:rsidRDefault="0030599D" w:rsidP="00E42971">
            <w:pPr>
              <w:pStyle w:val="Geenafstand"/>
              <w:rPr>
                <w:b/>
                <w:sz w:val="18"/>
                <w:szCs w:val="18"/>
              </w:rPr>
            </w:pPr>
            <w:r>
              <w:rPr>
                <w:b/>
                <w:sz w:val="18"/>
                <w:szCs w:val="18"/>
              </w:rPr>
              <w:t>0</w:t>
            </w:r>
            <w:r w:rsidRPr="00D0413E">
              <w:rPr>
                <w:b/>
                <w:sz w:val="18"/>
                <w:szCs w:val="18"/>
              </w:rPr>
              <w:t>,000</w:t>
            </w:r>
          </w:p>
        </w:tc>
        <w:tc>
          <w:tcPr>
            <w:tcW w:w="851" w:type="dxa"/>
            <w:tcBorders>
              <w:left w:val="single" w:sz="12" w:space="0" w:color="auto"/>
            </w:tcBorders>
            <w:vAlign w:val="center"/>
          </w:tcPr>
          <w:p w:rsidR="0030599D" w:rsidRPr="00D0413E" w:rsidRDefault="0030599D" w:rsidP="00E42971">
            <w:pPr>
              <w:pStyle w:val="Geenafstand"/>
              <w:rPr>
                <w:b/>
                <w:sz w:val="18"/>
                <w:szCs w:val="18"/>
              </w:rPr>
            </w:pPr>
            <w:r>
              <w:rPr>
                <w:b/>
                <w:sz w:val="18"/>
                <w:szCs w:val="18"/>
              </w:rPr>
              <w:t>0</w:t>
            </w:r>
            <w:r w:rsidRPr="00D0413E">
              <w:rPr>
                <w:b/>
                <w:sz w:val="18"/>
                <w:szCs w:val="18"/>
              </w:rPr>
              <w:t>,663</w:t>
            </w:r>
          </w:p>
        </w:tc>
        <w:tc>
          <w:tcPr>
            <w:tcW w:w="850" w:type="dxa"/>
            <w:vAlign w:val="center"/>
          </w:tcPr>
          <w:p w:rsidR="0030599D" w:rsidRPr="00D0413E" w:rsidRDefault="0030599D" w:rsidP="00E42971">
            <w:pPr>
              <w:pStyle w:val="Geenafstand"/>
              <w:rPr>
                <w:b/>
                <w:sz w:val="18"/>
                <w:szCs w:val="18"/>
              </w:rPr>
            </w:pPr>
            <w:r w:rsidRPr="00D0413E">
              <w:rPr>
                <w:b/>
                <w:sz w:val="18"/>
                <w:szCs w:val="18"/>
              </w:rPr>
              <w:t>82,595</w:t>
            </w:r>
          </w:p>
        </w:tc>
        <w:tc>
          <w:tcPr>
            <w:tcW w:w="709" w:type="dxa"/>
            <w:tcBorders>
              <w:right w:val="single" w:sz="12" w:space="0" w:color="auto"/>
            </w:tcBorders>
            <w:vAlign w:val="center"/>
          </w:tcPr>
          <w:p w:rsidR="0030599D" w:rsidRPr="00D0413E" w:rsidRDefault="0030599D" w:rsidP="00E42971">
            <w:pPr>
              <w:pStyle w:val="Geenafstand"/>
              <w:rPr>
                <w:b/>
                <w:sz w:val="18"/>
                <w:szCs w:val="18"/>
              </w:rPr>
            </w:pPr>
            <w:r>
              <w:rPr>
                <w:b/>
                <w:sz w:val="18"/>
                <w:szCs w:val="18"/>
              </w:rPr>
              <w:t>0</w:t>
            </w:r>
            <w:r w:rsidRPr="00D0413E">
              <w:rPr>
                <w:b/>
                <w:sz w:val="18"/>
                <w:szCs w:val="18"/>
              </w:rPr>
              <w:t>,000</w:t>
            </w:r>
          </w:p>
        </w:tc>
        <w:tc>
          <w:tcPr>
            <w:tcW w:w="851" w:type="dxa"/>
            <w:tcBorders>
              <w:top w:val="nil"/>
              <w:left w:val="single" w:sz="12" w:space="0" w:color="auto"/>
              <w:bottom w:val="nil"/>
              <w:right w:val="nil"/>
            </w:tcBorders>
            <w:vAlign w:val="center"/>
          </w:tcPr>
          <w:p w:rsidR="0030599D" w:rsidRPr="00D0413E" w:rsidRDefault="0030599D" w:rsidP="00E42971">
            <w:pPr>
              <w:pStyle w:val="Geenafstand"/>
              <w:rPr>
                <w:b/>
                <w:sz w:val="18"/>
                <w:szCs w:val="18"/>
                <w:lang w:val="en-US"/>
              </w:rPr>
            </w:pPr>
          </w:p>
        </w:tc>
        <w:tc>
          <w:tcPr>
            <w:tcW w:w="850"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c>
          <w:tcPr>
            <w:tcW w:w="992"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Intt</w:t>
            </w:r>
          </w:p>
        </w:tc>
        <w:tc>
          <w:tcPr>
            <w:tcW w:w="852" w:type="dxa"/>
            <w:vAlign w:val="center"/>
          </w:tcPr>
          <w:p w:rsidR="0030599D" w:rsidRPr="00D0413E" w:rsidRDefault="0030599D" w:rsidP="00E42971">
            <w:pPr>
              <w:pStyle w:val="Geenafstand"/>
              <w:rPr>
                <w:sz w:val="18"/>
                <w:szCs w:val="18"/>
              </w:rPr>
            </w:pPr>
            <w:r w:rsidRPr="00D0413E">
              <w:rPr>
                <w:sz w:val="18"/>
                <w:szCs w:val="18"/>
              </w:rPr>
              <w:t>-</w:t>
            </w:r>
            <w:r>
              <w:rPr>
                <w:sz w:val="18"/>
                <w:szCs w:val="18"/>
              </w:rPr>
              <w:t>0</w:t>
            </w:r>
            <w:r w:rsidRPr="00D0413E">
              <w:rPr>
                <w:sz w:val="18"/>
                <w:szCs w:val="18"/>
              </w:rPr>
              <w:t>,004</w:t>
            </w:r>
          </w:p>
        </w:tc>
        <w:tc>
          <w:tcPr>
            <w:tcW w:w="851" w:type="dxa"/>
            <w:vAlign w:val="center"/>
          </w:tcPr>
          <w:p w:rsidR="0030599D" w:rsidRPr="00D0413E" w:rsidRDefault="0030599D" w:rsidP="00E42971">
            <w:pPr>
              <w:pStyle w:val="Geenafstand"/>
              <w:rPr>
                <w:sz w:val="18"/>
                <w:szCs w:val="18"/>
              </w:rPr>
            </w:pPr>
            <w:r w:rsidRPr="00D0413E">
              <w:rPr>
                <w:sz w:val="18"/>
                <w:szCs w:val="18"/>
              </w:rPr>
              <w:t>-</w:t>
            </w:r>
            <w:r>
              <w:rPr>
                <w:sz w:val="18"/>
                <w:szCs w:val="18"/>
              </w:rPr>
              <w:t>0</w:t>
            </w:r>
            <w:r w:rsidRPr="00D0413E">
              <w:rPr>
                <w:sz w:val="18"/>
                <w:szCs w:val="18"/>
              </w:rPr>
              <w:t>,865</w:t>
            </w:r>
          </w:p>
        </w:tc>
        <w:tc>
          <w:tcPr>
            <w:tcW w:w="708" w:type="dxa"/>
            <w:tcBorders>
              <w:righ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,387</w:t>
            </w:r>
          </w:p>
        </w:tc>
        <w:tc>
          <w:tcPr>
            <w:tcW w:w="851" w:type="dxa"/>
            <w:tcBorders>
              <w:left w:val="single" w:sz="12" w:space="0" w:color="auto"/>
            </w:tcBorders>
            <w:vAlign w:val="center"/>
          </w:tcPr>
          <w:p w:rsidR="0030599D" w:rsidRPr="00D0413E" w:rsidRDefault="0030599D" w:rsidP="00E42971">
            <w:pPr>
              <w:pStyle w:val="Geenafstand"/>
              <w:rPr>
                <w:b/>
                <w:sz w:val="18"/>
                <w:szCs w:val="18"/>
              </w:rPr>
            </w:pPr>
            <w:r w:rsidRPr="00D0413E">
              <w:rPr>
                <w:b/>
                <w:sz w:val="18"/>
                <w:szCs w:val="18"/>
              </w:rPr>
              <w:t>-</w:t>
            </w:r>
            <w:r>
              <w:rPr>
                <w:b/>
                <w:sz w:val="18"/>
                <w:szCs w:val="18"/>
              </w:rPr>
              <w:t>0</w:t>
            </w:r>
            <w:r w:rsidRPr="00D0413E">
              <w:rPr>
                <w:b/>
                <w:sz w:val="18"/>
                <w:szCs w:val="18"/>
              </w:rPr>
              <w:t>,033</w:t>
            </w:r>
          </w:p>
        </w:tc>
        <w:tc>
          <w:tcPr>
            <w:tcW w:w="850" w:type="dxa"/>
            <w:vAlign w:val="center"/>
          </w:tcPr>
          <w:p w:rsidR="0030599D" w:rsidRPr="00D0413E" w:rsidRDefault="0030599D" w:rsidP="00E42971">
            <w:pPr>
              <w:pStyle w:val="Geenafstand"/>
              <w:rPr>
                <w:b/>
                <w:sz w:val="18"/>
                <w:szCs w:val="18"/>
              </w:rPr>
            </w:pPr>
            <w:r w:rsidRPr="00D0413E">
              <w:rPr>
                <w:b/>
                <w:sz w:val="18"/>
                <w:szCs w:val="18"/>
              </w:rPr>
              <w:t>-4,136</w:t>
            </w:r>
          </w:p>
        </w:tc>
        <w:tc>
          <w:tcPr>
            <w:tcW w:w="709" w:type="dxa"/>
            <w:tcBorders>
              <w:right w:val="single" w:sz="12" w:space="0" w:color="auto"/>
            </w:tcBorders>
            <w:vAlign w:val="center"/>
          </w:tcPr>
          <w:p w:rsidR="0030599D" w:rsidRPr="00D0413E" w:rsidRDefault="0030599D" w:rsidP="00E42971">
            <w:pPr>
              <w:pStyle w:val="Geenafstand"/>
              <w:rPr>
                <w:b/>
                <w:sz w:val="18"/>
                <w:szCs w:val="18"/>
              </w:rPr>
            </w:pPr>
            <w:r>
              <w:rPr>
                <w:b/>
                <w:sz w:val="18"/>
                <w:szCs w:val="18"/>
              </w:rPr>
              <w:t>0</w:t>
            </w:r>
            <w:r w:rsidRPr="00D0413E">
              <w:rPr>
                <w:b/>
                <w:sz w:val="18"/>
                <w:szCs w:val="18"/>
              </w:rPr>
              <w:t>,000</w:t>
            </w:r>
          </w:p>
        </w:tc>
        <w:tc>
          <w:tcPr>
            <w:tcW w:w="851" w:type="dxa"/>
            <w:tcBorders>
              <w:top w:val="nil"/>
              <w:left w:val="single" w:sz="12" w:space="0" w:color="auto"/>
              <w:bottom w:val="nil"/>
              <w:right w:val="nil"/>
            </w:tcBorders>
            <w:vAlign w:val="center"/>
          </w:tcPr>
          <w:p w:rsidR="0030599D" w:rsidRPr="00D0413E" w:rsidRDefault="0030599D" w:rsidP="00E42971">
            <w:pPr>
              <w:pStyle w:val="Geenafstand"/>
              <w:rPr>
                <w:b/>
                <w:sz w:val="18"/>
                <w:szCs w:val="18"/>
                <w:lang w:val="en-US"/>
              </w:rPr>
            </w:pPr>
          </w:p>
        </w:tc>
        <w:tc>
          <w:tcPr>
            <w:tcW w:w="850"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c>
          <w:tcPr>
            <w:tcW w:w="992"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E_window1</w:t>
            </w:r>
          </w:p>
        </w:tc>
        <w:tc>
          <w:tcPr>
            <w:tcW w:w="852" w:type="dxa"/>
            <w:vAlign w:val="center"/>
          </w:tcPr>
          <w:p w:rsidR="0030599D" w:rsidRPr="00D0413E" w:rsidRDefault="0030599D" w:rsidP="00E42971">
            <w:pPr>
              <w:pStyle w:val="Geenafstand"/>
              <w:rPr>
                <w:sz w:val="18"/>
                <w:szCs w:val="18"/>
              </w:rPr>
            </w:pPr>
            <w:r w:rsidRPr="00D0413E">
              <w:rPr>
                <w:sz w:val="18"/>
                <w:szCs w:val="18"/>
              </w:rPr>
              <w:t>-</w:t>
            </w:r>
            <w:r>
              <w:rPr>
                <w:sz w:val="18"/>
                <w:szCs w:val="18"/>
              </w:rPr>
              <w:t>0</w:t>
            </w:r>
            <w:r w:rsidRPr="00D0413E">
              <w:rPr>
                <w:sz w:val="18"/>
                <w:szCs w:val="18"/>
              </w:rPr>
              <w:t>,008</w:t>
            </w:r>
          </w:p>
        </w:tc>
        <w:tc>
          <w:tcPr>
            <w:tcW w:w="851" w:type="dxa"/>
            <w:vAlign w:val="center"/>
          </w:tcPr>
          <w:p w:rsidR="0030599D" w:rsidRPr="00D0413E" w:rsidRDefault="0030599D" w:rsidP="00E42971">
            <w:pPr>
              <w:pStyle w:val="Geenafstand"/>
              <w:rPr>
                <w:sz w:val="18"/>
                <w:szCs w:val="18"/>
              </w:rPr>
            </w:pPr>
            <w:r w:rsidRPr="00D0413E">
              <w:rPr>
                <w:sz w:val="18"/>
                <w:szCs w:val="18"/>
              </w:rPr>
              <w:t>-1,614</w:t>
            </w:r>
          </w:p>
        </w:tc>
        <w:tc>
          <w:tcPr>
            <w:tcW w:w="708" w:type="dxa"/>
            <w:tcBorders>
              <w:righ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,107</w:t>
            </w:r>
          </w:p>
        </w:tc>
        <w:tc>
          <w:tcPr>
            <w:tcW w:w="851" w:type="dxa"/>
            <w:tcBorders>
              <w:left w:val="single" w:sz="12" w:space="0" w:color="auto"/>
            </w:tcBorders>
            <w:vAlign w:val="center"/>
          </w:tcPr>
          <w:p w:rsidR="0030599D" w:rsidRPr="00D0413E" w:rsidRDefault="0030599D" w:rsidP="00E42971">
            <w:pPr>
              <w:pStyle w:val="Geenafstand"/>
              <w:rPr>
                <w:sz w:val="18"/>
                <w:szCs w:val="18"/>
              </w:rPr>
            </w:pPr>
            <w:r w:rsidRPr="00D0413E">
              <w:rPr>
                <w:sz w:val="18"/>
                <w:szCs w:val="18"/>
              </w:rPr>
              <w:t>-</w:t>
            </w:r>
            <w:r>
              <w:rPr>
                <w:sz w:val="18"/>
                <w:szCs w:val="18"/>
              </w:rPr>
              <w:t>0</w:t>
            </w:r>
            <w:r w:rsidRPr="00D0413E">
              <w:rPr>
                <w:sz w:val="18"/>
                <w:szCs w:val="18"/>
              </w:rPr>
              <w:t>,004</w:t>
            </w:r>
          </w:p>
        </w:tc>
        <w:tc>
          <w:tcPr>
            <w:tcW w:w="850" w:type="dxa"/>
            <w:vAlign w:val="center"/>
          </w:tcPr>
          <w:p w:rsidR="0030599D" w:rsidRPr="00D0413E" w:rsidRDefault="0030599D" w:rsidP="00E42971">
            <w:pPr>
              <w:pStyle w:val="Geenafstand"/>
              <w:rPr>
                <w:sz w:val="18"/>
                <w:szCs w:val="18"/>
              </w:rPr>
            </w:pPr>
            <w:r w:rsidRPr="00D0413E">
              <w:rPr>
                <w:sz w:val="18"/>
                <w:szCs w:val="18"/>
              </w:rPr>
              <w:t>-</w:t>
            </w:r>
            <w:r>
              <w:rPr>
                <w:sz w:val="18"/>
                <w:szCs w:val="18"/>
              </w:rPr>
              <w:t>0</w:t>
            </w:r>
            <w:r w:rsidRPr="00D0413E">
              <w:rPr>
                <w:sz w:val="18"/>
                <w:szCs w:val="18"/>
              </w:rPr>
              <w:t>,564</w:t>
            </w:r>
          </w:p>
        </w:tc>
        <w:tc>
          <w:tcPr>
            <w:tcW w:w="709" w:type="dxa"/>
            <w:tcBorders>
              <w:righ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,573</w:t>
            </w:r>
          </w:p>
        </w:tc>
        <w:tc>
          <w:tcPr>
            <w:tcW w:w="851" w:type="dxa"/>
            <w:tcBorders>
              <w:top w:val="nil"/>
              <w:left w:val="single" w:sz="12" w:space="0" w:color="auto"/>
              <w:bottom w:val="nil"/>
              <w:right w:val="nil"/>
            </w:tcBorders>
            <w:vAlign w:val="center"/>
          </w:tcPr>
          <w:p w:rsidR="0030599D" w:rsidRPr="00D0413E" w:rsidRDefault="0030599D" w:rsidP="00E42971">
            <w:pPr>
              <w:pStyle w:val="Geenafstand"/>
              <w:rPr>
                <w:b/>
                <w:sz w:val="18"/>
                <w:szCs w:val="18"/>
                <w:lang w:val="en-US"/>
              </w:rPr>
            </w:pPr>
          </w:p>
        </w:tc>
        <w:tc>
          <w:tcPr>
            <w:tcW w:w="850"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c>
          <w:tcPr>
            <w:tcW w:w="992"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E_window2</w:t>
            </w:r>
          </w:p>
        </w:tc>
        <w:tc>
          <w:tcPr>
            <w:tcW w:w="852" w:type="dxa"/>
            <w:vAlign w:val="center"/>
          </w:tcPr>
          <w:p w:rsidR="0030599D" w:rsidRPr="00D0413E" w:rsidRDefault="0030599D" w:rsidP="00E42971">
            <w:pPr>
              <w:pStyle w:val="Geenafstand"/>
              <w:rPr>
                <w:sz w:val="18"/>
                <w:szCs w:val="18"/>
              </w:rPr>
            </w:pPr>
            <w:r w:rsidRPr="00D0413E">
              <w:rPr>
                <w:sz w:val="18"/>
                <w:szCs w:val="18"/>
              </w:rPr>
              <w:t>-</w:t>
            </w:r>
            <w:r>
              <w:rPr>
                <w:sz w:val="18"/>
                <w:szCs w:val="18"/>
              </w:rPr>
              <w:t>0</w:t>
            </w:r>
            <w:r w:rsidRPr="00D0413E">
              <w:rPr>
                <w:sz w:val="18"/>
                <w:szCs w:val="18"/>
              </w:rPr>
              <w:t>,011</w:t>
            </w:r>
          </w:p>
        </w:tc>
        <w:tc>
          <w:tcPr>
            <w:tcW w:w="851" w:type="dxa"/>
            <w:vAlign w:val="center"/>
          </w:tcPr>
          <w:p w:rsidR="0030599D" w:rsidRPr="00D0413E" w:rsidRDefault="0030599D" w:rsidP="00E42971">
            <w:pPr>
              <w:pStyle w:val="Geenafstand"/>
              <w:rPr>
                <w:sz w:val="18"/>
                <w:szCs w:val="18"/>
              </w:rPr>
            </w:pPr>
            <w:r w:rsidRPr="00D0413E">
              <w:rPr>
                <w:sz w:val="18"/>
                <w:szCs w:val="18"/>
              </w:rPr>
              <w:t>-2,145</w:t>
            </w:r>
          </w:p>
        </w:tc>
        <w:tc>
          <w:tcPr>
            <w:tcW w:w="708" w:type="dxa"/>
            <w:tcBorders>
              <w:righ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,032</w:t>
            </w:r>
          </w:p>
        </w:tc>
        <w:tc>
          <w:tcPr>
            <w:tcW w:w="851" w:type="dxa"/>
            <w:tcBorders>
              <w:lef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,006</w:t>
            </w:r>
          </w:p>
        </w:tc>
        <w:tc>
          <w:tcPr>
            <w:tcW w:w="850" w:type="dxa"/>
            <w:vAlign w:val="center"/>
          </w:tcPr>
          <w:p w:rsidR="0030599D" w:rsidRPr="00D0413E" w:rsidRDefault="0030599D" w:rsidP="00E42971">
            <w:pPr>
              <w:pStyle w:val="Geenafstand"/>
              <w:rPr>
                <w:sz w:val="18"/>
                <w:szCs w:val="18"/>
              </w:rPr>
            </w:pPr>
            <w:r>
              <w:rPr>
                <w:sz w:val="18"/>
                <w:szCs w:val="18"/>
              </w:rPr>
              <w:t>0</w:t>
            </w:r>
            <w:r w:rsidRPr="00D0413E">
              <w:rPr>
                <w:sz w:val="18"/>
                <w:szCs w:val="18"/>
              </w:rPr>
              <w:t>,708</w:t>
            </w:r>
          </w:p>
        </w:tc>
        <w:tc>
          <w:tcPr>
            <w:tcW w:w="709" w:type="dxa"/>
            <w:tcBorders>
              <w:righ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,479</w:t>
            </w:r>
          </w:p>
        </w:tc>
        <w:tc>
          <w:tcPr>
            <w:tcW w:w="851" w:type="dxa"/>
            <w:tcBorders>
              <w:top w:val="nil"/>
              <w:left w:val="single" w:sz="12" w:space="0" w:color="auto"/>
              <w:bottom w:val="nil"/>
              <w:right w:val="nil"/>
            </w:tcBorders>
            <w:vAlign w:val="center"/>
          </w:tcPr>
          <w:p w:rsidR="0030599D" w:rsidRPr="00D0413E" w:rsidRDefault="0030599D" w:rsidP="00E42971">
            <w:pPr>
              <w:pStyle w:val="Geenafstand"/>
              <w:rPr>
                <w:b/>
                <w:sz w:val="18"/>
                <w:szCs w:val="18"/>
                <w:lang w:val="en-US"/>
              </w:rPr>
            </w:pPr>
          </w:p>
        </w:tc>
        <w:tc>
          <w:tcPr>
            <w:tcW w:w="850"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c>
          <w:tcPr>
            <w:tcW w:w="992"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E_window3</w:t>
            </w:r>
          </w:p>
        </w:tc>
        <w:tc>
          <w:tcPr>
            <w:tcW w:w="852" w:type="dxa"/>
            <w:vAlign w:val="center"/>
          </w:tcPr>
          <w:p w:rsidR="0030599D" w:rsidRPr="00D0413E" w:rsidRDefault="0030599D" w:rsidP="00E42971">
            <w:pPr>
              <w:pStyle w:val="Geenafstand"/>
              <w:rPr>
                <w:sz w:val="18"/>
                <w:szCs w:val="18"/>
              </w:rPr>
            </w:pPr>
            <w:r>
              <w:rPr>
                <w:sz w:val="18"/>
                <w:szCs w:val="18"/>
              </w:rPr>
              <w:t>0</w:t>
            </w:r>
            <w:r w:rsidRPr="00D0413E">
              <w:rPr>
                <w:sz w:val="18"/>
                <w:szCs w:val="18"/>
              </w:rPr>
              <w:t>,006</w:t>
            </w:r>
          </w:p>
        </w:tc>
        <w:tc>
          <w:tcPr>
            <w:tcW w:w="851" w:type="dxa"/>
            <w:vAlign w:val="center"/>
          </w:tcPr>
          <w:p w:rsidR="0030599D" w:rsidRPr="00D0413E" w:rsidRDefault="0030599D" w:rsidP="00E42971">
            <w:pPr>
              <w:pStyle w:val="Geenafstand"/>
              <w:rPr>
                <w:sz w:val="18"/>
                <w:szCs w:val="18"/>
              </w:rPr>
            </w:pPr>
            <w:r w:rsidRPr="00D0413E">
              <w:rPr>
                <w:sz w:val="18"/>
                <w:szCs w:val="18"/>
              </w:rPr>
              <w:t>1,177</w:t>
            </w:r>
          </w:p>
        </w:tc>
        <w:tc>
          <w:tcPr>
            <w:tcW w:w="708" w:type="dxa"/>
            <w:tcBorders>
              <w:righ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,239</w:t>
            </w:r>
          </w:p>
        </w:tc>
        <w:tc>
          <w:tcPr>
            <w:tcW w:w="851" w:type="dxa"/>
            <w:tcBorders>
              <w:left w:val="single" w:sz="12" w:space="0" w:color="auto"/>
            </w:tcBorders>
            <w:vAlign w:val="center"/>
          </w:tcPr>
          <w:p w:rsidR="0030599D" w:rsidRPr="00D0413E" w:rsidRDefault="0030599D" w:rsidP="00E42971">
            <w:pPr>
              <w:pStyle w:val="Geenafstand"/>
              <w:rPr>
                <w:b/>
                <w:sz w:val="18"/>
                <w:szCs w:val="18"/>
              </w:rPr>
            </w:pPr>
            <w:r w:rsidRPr="00D0413E">
              <w:rPr>
                <w:b/>
                <w:sz w:val="18"/>
                <w:szCs w:val="18"/>
              </w:rPr>
              <w:t>-</w:t>
            </w:r>
            <w:r>
              <w:rPr>
                <w:b/>
                <w:sz w:val="18"/>
                <w:szCs w:val="18"/>
              </w:rPr>
              <w:t>0</w:t>
            </w:r>
            <w:r w:rsidRPr="00D0413E">
              <w:rPr>
                <w:b/>
                <w:sz w:val="18"/>
                <w:szCs w:val="18"/>
              </w:rPr>
              <w:t>,016</w:t>
            </w:r>
          </w:p>
        </w:tc>
        <w:tc>
          <w:tcPr>
            <w:tcW w:w="850" w:type="dxa"/>
            <w:vAlign w:val="center"/>
          </w:tcPr>
          <w:p w:rsidR="0030599D" w:rsidRPr="00D0413E" w:rsidRDefault="0030599D" w:rsidP="00E42971">
            <w:pPr>
              <w:pStyle w:val="Geenafstand"/>
              <w:rPr>
                <w:b/>
                <w:sz w:val="18"/>
                <w:szCs w:val="18"/>
              </w:rPr>
            </w:pPr>
            <w:r w:rsidRPr="00D0413E">
              <w:rPr>
                <w:b/>
                <w:sz w:val="18"/>
                <w:szCs w:val="18"/>
              </w:rPr>
              <w:t>-1,976</w:t>
            </w:r>
          </w:p>
        </w:tc>
        <w:tc>
          <w:tcPr>
            <w:tcW w:w="709" w:type="dxa"/>
            <w:tcBorders>
              <w:right w:val="single" w:sz="12" w:space="0" w:color="auto"/>
            </w:tcBorders>
            <w:vAlign w:val="center"/>
          </w:tcPr>
          <w:p w:rsidR="0030599D" w:rsidRPr="00D0413E" w:rsidRDefault="0030599D" w:rsidP="00E42971">
            <w:pPr>
              <w:pStyle w:val="Geenafstand"/>
              <w:rPr>
                <w:b/>
                <w:sz w:val="18"/>
                <w:szCs w:val="18"/>
              </w:rPr>
            </w:pPr>
            <w:r>
              <w:rPr>
                <w:b/>
                <w:sz w:val="18"/>
                <w:szCs w:val="18"/>
              </w:rPr>
              <w:t>0</w:t>
            </w:r>
            <w:r w:rsidRPr="00D0413E">
              <w:rPr>
                <w:b/>
                <w:sz w:val="18"/>
                <w:szCs w:val="18"/>
              </w:rPr>
              <w:t>,048</w:t>
            </w:r>
          </w:p>
        </w:tc>
        <w:tc>
          <w:tcPr>
            <w:tcW w:w="851" w:type="dxa"/>
            <w:tcBorders>
              <w:top w:val="nil"/>
              <w:left w:val="single" w:sz="12" w:space="0" w:color="auto"/>
              <w:bottom w:val="nil"/>
              <w:right w:val="nil"/>
            </w:tcBorders>
            <w:vAlign w:val="center"/>
          </w:tcPr>
          <w:p w:rsidR="0030599D" w:rsidRPr="00D0413E" w:rsidRDefault="0030599D" w:rsidP="00E42971">
            <w:pPr>
              <w:pStyle w:val="Geenafstand"/>
              <w:rPr>
                <w:b/>
                <w:sz w:val="18"/>
                <w:szCs w:val="18"/>
                <w:lang w:val="en-US"/>
              </w:rPr>
            </w:pPr>
          </w:p>
        </w:tc>
        <w:tc>
          <w:tcPr>
            <w:tcW w:w="850"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c>
          <w:tcPr>
            <w:tcW w:w="992"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r>
      <w:tr w:rsidR="00DC4621" w:rsidRPr="00D0413E" w:rsidTr="00DC4621">
        <w:tc>
          <w:tcPr>
            <w:tcW w:w="1099" w:type="dxa"/>
            <w:tcBorders>
              <w:left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E_window4</w:t>
            </w:r>
          </w:p>
        </w:tc>
        <w:tc>
          <w:tcPr>
            <w:tcW w:w="852" w:type="dxa"/>
            <w:vAlign w:val="center"/>
          </w:tcPr>
          <w:p w:rsidR="0030599D" w:rsidRPr="00D0413E" w:rsidRDefault="0030599D" w:rsidP="00E42971">
            <w:pPr>
              <w:pStyle w:val="Geenafstand"/>
              <w:rPr>
                <w:sz w:val="18"/>
                <w:szCs w:val="18"/>
              </w:rPr>
            </w:pPr>
            <w:r>
              <w:rPr>
                <w:sz w:val="18"/>
                <w:szCs w:val="18"/>
              </w:rPr>
              <w:t>0</w:t>
            </w:r>
            <w:r w:rsidRPr="00D0413E">
              <w:rPr>
                <w:sz w:val="18"/>
                <w:szCs w:val="18"/>
              </w:rPr>
              <w:t>,002</w:t>
            </w:r>
          </w:p>
        </w:tc>
        <w:tc>
          <w:tcPr>
            <w:tcW w:w="851" w:type="dxa"/>
            <w:vAlign w:val="center"/>
          </w:tcPr>
          <w:p w:rsidR="0030599D" w:rsidRPr="00D0413E" w:rsidRDefault="0030599D" w:rsidP="00E42971">
            <w:pPr>
              <w:pStyle w:val="Geenafstand"/>
              <w:rPr>
                <w:sz w:val="18"/>
                <w:szCs w:val="18"/>
              </w:rPr>
            </w:pPr>
            <w:r>
              <w:rPr>
                <w:sz w:val="18"/>
                <w:szCs w:val="18"/>
              </w:rPr>
              <w:t>0</w:t>
            </w:r>
            <w:r w:rsidRPr="00D0413E">
              <w:rPr>
                <w:sz w:val="18"/>
                <w:szCs w:val="18"/>
              </w:rPr>
              <w:t>,427</w:t>
            </w:r>
          </w:p>
        </w:tc>
        <w:tc>
          <w:tcPr>
            <w:tcW w:w="708" w:type="dxa"/>
            <w:tcBorders>
              <w:righ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,669</w:t>
            </w:r>
          </w:p>
        </w:tc>
        <w:tc>
          <w:tcPr>
            <w:tcW w:w="851" w:type="dxa"/>
            <w:tcBorders>
              <w:left w:val="single" w:sz="12" w:space="0" w:color="auto"/>
            </w:tcBorders>
            <w:vAlign w:val="center"/>
          </w:tcPr>
          <w:p w:rsidR="0030599D" w:rsidRPr="00D0413E" w:rsidRDefault="0030599D" w:rsidP="00E42971">
            <w:pPr>
              <w:pStyle w:val="Geenafstand"/>
              <w:rPr>
                <w:b/>
                <w:sz w:val="18"/>
                <w:szCs w:val="18"/>
              </w:rPr>
            </w:pPr>
            <w:r>
              <w:rPr>
                <w:b/>
                <w:sz w:val="18"/>
                <w:szCs w:val="18"/>
              </w:rPr>
              <w:t>0</w:t>
            </w:r>
            <w:r w:rsidRPr="00D0413E">
              <w:rPr>
                <w:b/>
                <w:sz w:val="18"/>
                <w:szCs w:val="18"/>
              </w:rPr>
              <w:t>,016</w:t>
            </w:r>
          </w:p>
        </w:tc>
        <w:tc>
          <w:tcPr>
            <w:tcW w:w="850" w:type="dxa"/>
            <w:vAlign w:val="center"/>
          </w:tcPr>
          <w:p w:rsidR="0030599D" w:rsidRPr="00D0413E" w:rsidRDefault="0030599D" w:rsidP="00E42971">
            <w:pPr>
              <w:pStyle w:val="Geenafstand"/>
              <w:rPr>
                <w:b/>
                <w:sz w:val="18"/>
                <w:szCs w:val="18"/>
              </w:rPr>
            </w:pPr>
            <w:r w:rsidRPr="00D0413E">
              <w:rPr>
                <w:b/>
                <w:sz w:val="18"/>
                <w:szCs w:val="18"/>
              </w:rPr>
              <w:t>2,023</w:t>
            </w:r>
          </w:p>
        </w:tc>
        <w:tc>
          <w:tcPr>
            <w:tcW w:w="709" w:type="dxa"/>
            <w:tcBorders>
              <w:right w:val="single" w:sz="12" w:space="0" w:color="auto"/>
            </w:tcBorders>
            <w:vAlign w:val="center"/>
          </w:tcPr>
          <w:p w:rsidR="0030599D" w:rsidRPr="00D0413E" w:rsidRDefault="0030599D" w:rsidP="00E42971">
            <w:pPr>
              <w:pStyle w:val="Geenafstand"/>
              <w:rPr>
                <w:b/>
                <w:sz w:val="18"/>
                <w:szCs w:val="18"/>
              </w:rPr>
            </w:pPr>
            <w:r>
              <w:rPr>
                <w:b/>
                <w:sz w:val="18"/>
                <w:szCs w:val="18"/>
              </w:rPr>
              <w:t>0</w:t>
            </w:r>
            <w:r w:rsidRPr="00D0413E">
              <w:rPr>
                <w:b/>
                <w:sz w:val="18"/>
                <w:szCs w:val="18"/>
              </w:rPr>
              <w:t>,043</w:t>
            </w:r>
          </w:p>
        </w:tc>
        <w:tc>
          <w:tcPr>
            <w:tcW w:w="851" w:type="dxa"/>
            <w:tcBorders>
              <w:top w:val="nil"/>
              <w:left w:val="single" w:sz="12" w:space="0" w:color="auto"/>
              <w:bottom w:val="nil"/>
              <w:right w:val="nil"/>
            </w:tcBorders>
            <w:vAlign w:val="center"/>
          </w:tcPr>
          <w:p w:rsidR="0030599D" w:rsidRPr="00D0413E" w:rsidRDefault="0030599D" w:rsidP="00E42971">
            <w:pPr>
              <w:pStyle w:val="Geenafstand"/>
              <w:rPr>
                <w:b/>
                <w:sz w:val="18"/>
                <w:szCs w:val="18"/>
                <w:lang w:val="en-US"/>
              </w:rPr>
            </w:pPr>
          </w:p>
        </w:tc>
        <w:tc>
          <w:tcPr>
            <w:tcW w:w="850"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c>
          <w:tcPr>
            <w:tcW w:w="992"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r>
      <w:tr w:rsidR="00DC4621" w:rsidRPr="00D0413E" w:rsidTr="00DC4621">
        <w:tc>
          <w:tcPr>
            <w:tcW w:w="1099" w:type="dxa"/>
            <w:tcBorders>
              <w:left w:val="single" w:sz="12" w:space="0" w:color="auto"/>
              <w:bottom w:val="single" w:sz="12" w:space="0" w:color="auto"/>
            </w:tcBorders>
            <w:vAlign w:val="center"/>
          </w:tcPr>
          <w:p w:rsidR="0030599D" w:rsidRPr="00D0413E" w:rsidRDefault="0030599D" w:rsidP="00E42971">
            <w:pPr>
              <w:pStyle w:val="Geenafstand"/>
              <w:rPr>
                <w:sz w:val="18"/>
                <w:szCs w:val="18"/>
                <w:lang w:val="en-US"/>
              </w:rPr>
            </w:pPr>
            <w:r w:rsidRPr="00D0413E">
              <w:rPr>
                <w:sz w:val="18"/>
                <w:szCs w:val="18"/>
                <w:lang w:val="en-US"/>
              </w:rPr>
              <w:t>E_window5</w:t>
            </w:r>
          </w:p>
        </w:tc>
        <w:tc>
          <w:tcPr>
            <w:tcW w:w="852" w:type="dxa"/>
            <w:tcBorders>
              <w:bottom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,005</w:t>
            </w:r>
          </w:p>
        </w:tc>
        <w:tc>
          <w:tcPr>
            <w:tcW w:w="851" w:type="dxa"/>
            <w:tcBorders>
              <w:bottom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,910</w:t>
            </w:r>
          </w:p>
        </w:tc>
        <w:tc>
          <w:tcPr>
            <w:tcW w:w="708" w:type="dxa"/>
            <w:tcBorders>
              <w:bottom w:val="single" w:sz="12" w:space="0" w:color="auto"/>
              <w:right w:val="single" w:sz="12" w:space="0" w:color="auto"/>
            </w:tcBorders>
            <w:vAlign w:val="center"/>
          </w:tcPr>
          <w:p w:rsidR="0030599D" w:rsidRPr="00D0413E" w:rsidRDefault="0030599D" w:rsidP="00E42971">
            <w:pPr>
              <w:pStyle w:val="Geenafstand"/>
              <w:rPr>
                <w:sz w:val="18"/>
                <w:szCs w:val="18"/>
              </w:rPr>
            </w:pPr>
            <w:r>
              <w:rPr>
                <w:sz w:val="18"/>
                <w:szCs w:val="18"/>
              </w:rPr>
              <w:t>0</w:t>
            </w:r>
            <w:r w:rsidRPr="00D0413E">
              <w:rPr>
                <w:sz w:val="18"/>
                <w:szCs w:val="18"/>
              </w:rPr>
              <w:t>,363</w:t>
            </w:r>
          </w:p>
        </w:tc>
        <w:tc>
          <w:tcPr>
            <w:tcW w:w="851" w:type="dxa"/>
            <w:tcBorders>
              <w:left w:val="single" w:sz="12" w:space="0" w:color="auto"/>
              <w:bottom w:val="single" w:sz="12" w:space="0" w:color="auto"/>
            </w:tcBorders>
            <w:vAlign w:val="center"/>
          </w:tcPr>
          <w:p w:rsidR="0030599D" w:rsidRPr="00D0413E" w:rsidRDefault="0030599D" w:rsidP="00E42971">
            <w:pPr>
              <w:pStyle w:val="Geenafstand"/>
              <w:rPr>
                <w:b/>
                <w:sz w:val="18"/>
                <w:szCs w:val="18"/>
              </w:rPr>
            </w:pPr>
            <w:r>
              <w:rPr>
                <w:b/>
                <w:sz w:val="18"/>
                <w:szCs w:val="18"/>
              </w:rPr>
              <w:t>0</w:t>
            </w:r>
            <w:r w:rsidRPr="00D0413E">
              <w:rPr>
                <w:b/>
                <w:sz w:val="18"/>
                <w:szCs w:val="18"/>
              </w:rPr>
              <w:t>,039</w:t>
            </w:r>
          </w:p>
        </w:tc>
        <w:tc>
          <w:tcPr>
            <w:tcW w:w="850" w:type="dxa"/>
            <w:tcBorders>
              <w:bottom w:val="single" w:sz="12" w:space="0" w:color="auto"/>
            </w:tcBorders>
            <w:vAlign w:val="center"/>
          </w:tcPr>
          <w:p w:rsidR="0030599D" w:rsidRPr="00D0413E" w:rsidRDefault="0030599D" w:rsidP="00E42971">
            <w:pPr>
              <w:pStyle w:val="Geenafstand"/>
              <w:rPr>
                <w:b/>
                <w:sz w:val="18"/>
                <w:szCs w:val="18"/>
              </w:rPr>
            </w:pPr>
            <w:r w:rsidRPr="00D0413E">
              <w:rPr>
                <w:b/>
                <w:sz w:val="18"/>
                <w:szCs w:val="18"/>
              </w:rPr>
              <w:t>4,867</w:t>
            </w:r>
          </w:p>
        </w:tc>
        <w:tc>
          <w:tcPr>
            <w:tcW w:w="709" w:type="dxa"/>
            <w:tcBorders>
              <w:bottom w:val="single" w:sz="12" w:space="0" w:color="auto"/>
              <w:right w:val="single" w:sz="12" w:space="0" w:color="auto"/>
            </w:tcBorders>
            <w:vAlign w:val="center"/>
          </w:tcPr>
          <w:p w:rsidR="0030599D" w:rsidRPr="00D0413E" w:rsidRDefault="0030599D" w:rsidP="00E42971">
            <w:pPr>
              <w:pStyle w:val="Geenafstand"/>
              <w:rPr>
                <w:b/>
                <w:sz w:val="18"/>
                <w:szCs w:val="18"/>
              </w:rPr>
            </w:pPr>
            <w:r>
              <w:rPr>
                <w:b/>
                <w:sz w:val="18"/>
                <w:szCs w:val="18"/>
              </w:rPr>
              <w:t>0</w:t>
            </w:r>
            <w:r w:rsidRPr="00D0413E">
              <w:rPr>
                <w:b/>
                <w:sz w:val="18"/>
                <w:szCs w:val="18"/>
              </w:rPr>
              <w:t>,000</w:t>
            </w:r>
          </w:p>
        </w:tc>
        <w:tc>
          <w:tcPr>
            <w:tcW w:w="851" w:type="dxa"/>
            <w:tcBorders>
              <w:top w:val="nil"/>
              <w:left w:val="single" w:sz="12" w:space="0" w:color="auto"/>
              <w:bottom w:val="nil"/>
              <w:right w:val="nil"/>
            </w:tcBorders>
            <w:vAlign w:val="center"/>
          </w:tcPr>
          <w:p w:rsidR="0030599D" w:rsidRPr="00D0413E" w:rsidRDefault="0030599D" w:rsidP="00E42971">
            <w:pPr>
              <w:pStyle w:val="Geenafstand"/>
              <w:rPr>
                <w:b/>
                <w:sz w:val="18"/>
                <w:szCs w:val="18"/>
                <w:lang w:val="en-US"/>
              </w:rPr>
            </w:pPr>
          </w:p>
        </w:tc>
        <w:tc>
          <w:tcPr>
            <w:tcW w:w="850"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c>
          <w:tcPr>
            <w:tcW w:w="992" w:type="dxa"/>
            <w:tcBorders>
              <w:top w:val="nil"/>
              <w:left w:val="nil"/>
              <w:bottom w:val="nil"/>
              <w:right w:val="nil"/>
            </w:tcBorders>
            <w:vAlign w:val="center"/>
          </w:tcPr>
          <w:p w:rsidR="0030599D" w:rsidRPr="00D0413E" w:rsidRDefault="0030599D" w:rsidP="00E42971">
            <w:pPr>
              <w:pStyle w:val="Geenafstand"/>
              <w:rPr>
                <w:b/>
                <w:sz w:val="18"/>
                <w:szCs w:val="18"/>
                <w:lang w:val="en-US"/>
              </w:rPr>
            </w:pPr>
          </w:p>
        </w:tc>
      </w:tr>
    </w:tbl>
    <w:p w:rsidR="00D0413E" w:rsidRPr="00DA0DCD" w:rsidRDefault="0042195C" w:rsidP="0087717C">
      <w:pPr>
        <w:rPr>
          <w:sz w:val="20"/>
          <w:szCs w:val="20"/>
          <w:lang w:val="en-US"/>
        </w:rPr>
      </w:pPr>
      <w:r w:rsidRPr="00DA0DCD">
        <w:rPr>
          <w:sz w:val="20"/>
          <w:szCs w:val="20"/>
          <w:lang w:val="en-US"/>
        </w:rPr>
        <w:t>Table 7.9 Outcome event windows per country</w:t>
      </w:r>
    </w:p>
    <w:p w:rsidR="0018203E" w:rsidRPr="00DA0DCD" w:rsidRDefault="00BA366E" w:rsidP="00DF0924">
      <w:pPr>
        <w:rPr>
          <w:lang w:val="en-US"/>
        </w:rPr>
      </w:pPr>
      <w:r w:rsidRPr="00DA0DCD">
        <w:rPr>
          <w:lang w:val="en-US"/>
        </w:rPr>
        <w:t xml:space="preserve">The bold </w:t>
      </w:r>
      <w:r w:rsidR="008974C7" w:rsidRPr="00DA0DCD">
        <w:rPr>
          <w:lang w:val="en-US"/>
        </w:rPr>
        <w:t xml:space="preserve">independent </w:t>
      </w:r>
      <w:r w:rsidRPr="00DA0DCD">
        <w:rPr>
          <w:lang w:val="en-US"/>
        </w:rPr>
        <w:t>variables</w:t>
      </w:r>
      <w:r w:rsidR="0051050D" w:rsidRPr="00DA0DCD">
        <w:rPr>
          <w:lang w:val="en-US"/>
        </w:rPr>
        <w:t xml:space="preserve"> in table 7.9</w:t>
      </w:r>
      <w:r w:rsidRPr="00DA0DCD">
        <w:rPr>
          <w:lang w:val="en-US"/>
        </w:rPr>
        <w:t xml:space="preserve"> are statistically significant</w:t>
      </w:r>
      <w:r w:rsidR="008974C7" w:rsidRPr="00DA0DCD">
        <w:rPr>
          <w:lang w:val="en-US"/>
        </w:rPr>
        <w:t xml:space="preserve"> in the regression models</w:t>
      </w:r>
      <w:r w:rsidRPr="00DA0DCD">
        <w:rPr>
          <w:lang w:val="en-US"/>
        </w:rPr>
        <w:t xml:space="preserve">. </w:t>
      </w:r>
      <w:r w:rsidR="008974C7" w:rsidRPr="00DA0DCD">
        <w:rPr>
          <w:lang w:val="en-US"/>
        </w:rPr>
        <w:t>It is</w:t>
      </w:r>
      <w:r w:rsidRPr="00DA0DCD">
        <w:rPr>
          <w:lang w:val="en-US"/>
        </w:rPr>
        <w:t xml:space="preserve"> </w:t>
      </w:r>
      <w:r w:rsidR="008974C7" w:rsidRPr="00DA0DCD">
        <w:rPr>
          <w:lang w:val="en-US"/>
        </w:rPr>
        <w:t>remarkable</w:t>
      </w:r>
      <w:r w:rsidRPr="00DA0DCD">
        <w:rPr>
          <w:lang w:val="en-US"/>
        </w:rPr>
        <w:t xml:space="preserve"> </w:t>
      </w:r>
      <w:r w:rsidR="00BB603E" w:rsidRPr="00DA0DCD">
        <w:rPr>
          <w:lang w:val="en-US"/>
        </w:rPr>
        <w:t>that during</w:t>
      </w:r>
      <w:r w:rsidR="008974C7" w:rsidRPr="00DA0DCD">
        <w:rPr>
          <w:lang w:val="en-US"/>
        </w:rPr>
        <w:t xml:space="preserve"> the first trough the fourth events only negative betas are significant. </w:t>
      </w:r>
      <w:r w:rsidR="003604B2" w:rsidRPr="00DA0DCD">
        <w:rPr>
          <w:lang w:val="en-US"/>
        </w:rPr>
        <w:t xml:space="preserve">The </w:t>
      </w:r>
      <w:r w:rsidR="00B54636" w:rsidRPr="00DA0DCD">
        <w:rPr>
          <w:lang w:val="en-US"/>
        </w:rPr>
        <w:t>significant betas</w:t>
      </w:r>
      <w:r w:rsidR="00BB7660">
        <w:rPr>
          <w:lang w:val="en-US"/>
        </w:rPr>
        <w:t xml:space="preserve"> (signs)</w:t>
      </w:r>
      <w:r w:rsidR="00B54636" w:rsidRPr="00DA0DCD">
        <w:rPr>
          <w:lang w:val="en-US"/>
        </w:rPr>
        <w:t xml:space="preserve"> of the different countries during the </w:t>
      </w:r>
      <w:r w:rsidR="003604B2" w:rsidRPr="00DA0DCD">
        <w:rPr>
          <w:lang w:val="en-US"/>
        </w:rPr>
        <w:t xml:space="preserve">fifth window </w:t>
      </w:r>
      <w:r w:rsidR="00C0286A">
        <w:rPr>
          <w:lang w:val="en-US"/>
        </w:rPr>
        <w:t>show a</w:t>
      </w:r>
      <w:r w:rsidR="00B54636" w:rsidRPr="00DA0DCD">
        <w:rPr>
          <w:lang w:val="en-US"/>
        </w:rPr>
        <w:t xml:space="preserve"> positive beta</w:t>
      </w:r>
      <w:r w:rsidR="003604B2" w:rsidRPr="00DA0DCD">
        <w:rPr>
          <w:lang w:val="en-US"/>
        </w:rPr>
        <w:t xml:space="preserve">, except for France. </w:t>
      </w:r>
      <w:r w:rsidR="0018203E" w:rsidRPr="00DA0DCD">
        <w:rPr>
          <w:lang w:val="en-US"/>
        </w:rPr>
        <w:t xml:space="preserve">France shows a </w:t>
      </w:r>
      <w:r w:rsidR="003604B2" w:rsidRPr="00DA0DCD">
        <w:rPr>
          <w:lang w:val="en-US"/>
        </w:rPr>
        <w:t>significant</w:t>
      </w:r>
      <w:r w:rsidR="0018203E" w:rsidRPr="00DA0DCD">
        <w:rPr>
          <w:lang w:val="en-US"/>
        </w:rPr>
        <w:t xml:space="preserve"> negative</w:t>
      </w:r>
      <w:r w:rsidR="003604B2" w:rsidRPr="00DA0DCD">
        <w:rPr>
          <w:lang w:val="en-US"/>
        </w:rPr>
        <w:t xml:space="preserve"> beta (sign)</w:t>
      </w:r>
      <w:r w:rsidR="0018203E" w:rsidRPr="00DA0DCD">
        <w:rPr>
          <w:lang w:val="en-US"/>
        </w:rPr>
        <w:t xml:space="preserve"> </w:t>
      </w:r>
      <w:r w:rsidR="003604B2" w:rsidRPr="00DA0DCD">
        <w:rPr>
          <w:lang w:val="en-US"/>
        </w:rPr>
        <w:t>with a value of -0,019 and a P-value of 0,005.</w:t>
      </w:r>
      <w:r w:rsidR="001C5997" w:rsidRPr="00DA0DCD">
        <w:rPr>
          <w:lang w:val="en-US"/>
        </w:rPr>
        <w:t xml:space="preserve"> </w:t>
      </w:r>
    </w:p>
    <w:p w:rsidR="008A69D9" w:rsidRPr="00DA0DCD" w:rsidRDefault="00BF5B85" w:rsidP="00DF0924">
      <w:pPr>
        <w:rPr>
          <w:lang w:val="en-US"/>
        </w:rPr>
      </w:pPr>
      <w:r w:rsidRPr="00DA0DCD">
        <w:rPr>
          <w:lang w:val="en-US"/>
        </w:rPr>
        <w:t>Overall, there</w:t>
      </w:r>
      <w:r w:rsidR="00835E08" w:rsidRPr="00DA0DCD">
        <w:rPr>
          <w:lang w:val="en-US"/>
        </w:rPr>
        <w:t xml:space="preserve"> are eight countries with a positive significant beta and six countries with a </w:t>
      </w:r>
      <w:r w:rsidR="0018203E" w:rsidRPr="00DA0DCD">
        <w:rPr>
          <w:lang w:val="en-US"/>
        </w:rPr>
        <w:t>non-significant</w:t>
      </w:r>
      <w:r w:rsidR="00C0286A">
        <w:rPr>
          <w:lang w:val="en-US"/>
        </w:rPr>
        <w:t xml:space="preserve"> positive beta or </w:t>
      </w:r>
      <w:r w:rsidR="00835E08" w:rsidRPr="00DA0DCD">
        <w:rPr>
          <w:lang w:val="en-US"/>
        </w:rPr>
        <w:t>negative beta</w:t>
      </w:r>
      <w:r w:rsidR="00474E1E" w:rsidRPr="00DA0DCD">
        <w:rPr>
          <w:lang w:val="en-US"/>
        </w:rPr>
        <w:t xml:space="preserve"> during the fifth window</w:t>
      </w:r>
      <w:r w:rsidR="00835E08" w:rsidRPr="00DA0DCD">
        <w:rPr>
          <w:lang w:val="en-US"/>
        </w:rPr>
        <w:t>. The non-signifi</w:t>
      </w:r>
      <w:r w:rsidR="00442342">
        <w:rPr>
          <w:lang w:val="en-US"/>
        </w:rPr>
        <w:t>cant beta</w:t>
      </w:r>
      <w:r w:rsidR="00835E08" w:rsidRPr="00DA0DCD">
        <w:rPr>
          <w:lang w:val="en-US"/>
        </w:rPr>
        <w:t xml:space="preserve"> in </w:t>
      </w:r>
      <w:r w:rsidR="005A3A33" w:rsidRPr="00DA0DCD">
        <w:rPr>
          <w:lang w:val="en-US"/>
        </w:rPr>
        <w:t>Luxembourg and Portugal and the significant negative beta in France could b</w:t>
      </w:r>
      <w:r w:rsidRPr="00DA0DCD">
        <w:rPr>
          <w:lang w:val="en-US"/>
        </w:rPr>
        <w:t>e a result of the low R-square as presented in table 7.1 with a value of respectively 0,019/ 0,040 and 0,099. This means that the variance of t</w:t>
      </w:r>
      <w:r w:rsidR="00474E1E" w:rsidRPr="00DA0DCD">
        <w:rPr>
          <w:lang w:val="en-US"/>
        </w:rPr>
        <w:t>he dependent variable (r</w:t>
      </w:r>
      <w:r w:rsidRPr="00DA0DCD">
        <w:rPr>
          <w:lang w:val="en-US"/>
        </w:rPr>
        <w:t>eturn of the financial institutions) is at a very low level explained by the regression models.</w:t>
      </w:r>
      <w:r w:rsidR="005C3B3B" w:rsidRPr="00DA0DCD">
        <w:rPr>
          <w:lang w:val="en-US"/>
        </w:rPr>
        <w:t xml:space="preserve"> </w:t>
      </w:r>
      <w:r w:rsidR="008A69D9" w:rsidRPr="00DA0DCD">
        <w:rPr>
          <w:lang w:val="en-US"/>
        </w:rPr>
        <w:t xml:space="preserve">The </w:t>
      </w:r>
      <w:r w:rsidR="005C3B3B" w:rsidRPr="00DA0DCD">
        <w:rPr>
          <w:lang w:val="en-US"/>
        </w:rPr>
        <w:t>non-significant positive beta in Finland</w:t>
      </w:r>
      <w:r w:rsidR="008A69D9" w:rsidRPr="00DA0DCD">
        <w:rPr>
          <w:lang w:val="en-US"/>
        </w:rPr>
        <w:t xml:space="preserve"> could not be a result of the low</w:t>
      </w:r>
      <w:r w:rsidR="005C3B3B" w:rsidRPr="00DA0DCD">
        <w:rPr>
          <w:lang w:val="en-US"/>
        </w:rPr>
        <w:t xml:space="preserve"> R-square</w:t>
      </w:r>
      <w:r w:rsidR="008A69D9" w:rsidRPr="00DA0DCD">
        <w:rPr>
          <w:lang w:val="en-US"/>
        </w:rPr>
        <w:t xml:space="preserve">, because the level </w:t>
      </w:r>
      <w:r w:rsidR="00474E1E" w:rsidRPr="00DA0DCD">
        <w:rPr>
          <w:lang w:val="en-US"/>
        </w:rPr>
        <w:t>of</w:t>
      </w:r>
      <w:r w:rsidR="008A69D9" w:rsidRPr="00DA0DCD">
        <w:rPr>
          <w:lang w:val="en-US"/>
        </w:rPr>
        <w:t xml:space="preserve"> the R-square is</w:t>
      </w:r>
      <w:r w:rsidR="00474E1E" w:rsidRPr="00DA0DCD">
        <w:rPr>
          <w:lang w:val="en-US"/>
        </w:rPr>
        <w:t xml:space="preserve"> 0,297. </w:t>
      </w:r>
      <w:r w:rsidR="008F6FD8" w:rsidRPr="00DA0DCD">
        <w:rPr>
          <w:lang w:val="en-US"/>
        </w:rPr>
        <w:t>Great Britain</w:t>
      </w:r>
      <w:r w:rsidR="005C3B3B" w:rsidRPr="00DA0DCD">
        <w:rPr>
          <w:lang w:val="en-US"/>
        </w:rPr>
        <w:t xml:space="preserve"> </w:t>
      </w:r>
      <w:r w:rsidR="00442342">
        <w:rPr>
          <w:lang w:val="en-US"/>
        </w:rPr>
        <w:t>and Ireland on the other hand show</w:t>
      </w:r>
      <w:r w:rsidR="005C3B3B" w:rsidRPr="00DA0DCD">
        <w:rPr>
          <w:lang w:val="en-US"/>
        </w:rPr>
        <w:t xml:space="preserve"> a R-square of respectively 0,180 and 0,140. So, the variance in the return of financial institutions is more significantly explained by the independent variables (market return, interest rate changes and event windows). </w:t>
      </w:r>
      <w:r w:rsidR="00794014">
        <w:rPr>
          <w:lang w:val="en-US"/>
        </w:rPr>
        <w:t>Therefore, based on these statistical results, hypothesis four can be accepted.</w:t>
      </w:r>
    </w:p>
    <w:p w:rsidR="0087717C" w:rsidRPr="00DA0DCD" w:rsidRDefault="0087717C" w:rsidP="0087717C">
      <w:pPr>
        <w:pStyle w:val="Kop2"/>
        <w:numPr>
          <w:ilvl w:val="1"/>
          <w:numId w:val="14"/>
        </w:numPr>
        <w:rPr>
          <w:lang w:val="en-US"/>
        </w:rPr>
      </w:pPr>
      <w:bookmarkStart w:id="80" w:name="_Toc270770614"/>
      <w:r w:rsidRPr="00DA0DCD">
        <w:rPr>
          <w:lang w:val="en-US"/>
        </w:rPr>
        <w:t>Conclusion</w:t>
      </w:r>
      <w:bookmarkEnd w:id="80"/>
    </w:p>
    <w:p w:rsidR="008B7376" w:rsidRPr="00C0286A" w:rsidRDefault="00651DD4" w:rsidP="00DA0DCD">
      <w:pPr>
        <w:rPr>
          <w:lang w:val="en-US"/>
        </w:rPr>
      </w:pPr>
      <w:r w:rsidRPr="00C0286A">
        <w:rPr>
          <w:lang w:val="en-US"/>
        </w:rPr>
        <w:t xml:space="preserve">In this chapter, the regression models used to test the hypotheses are evaluated. The evaluation of the significance of the regression models shows that the assumption of linearity and homoscedasticity </w:t>
      </w:r>
      <w:r w:rsidR="00BC0CCB" w:rsidRPr="00C0286A">
        <w:rPr>
          <w:lang w:val="en-US"/>
        </w:rPr>
        <w:t>are</w:t>
      </w:r>
      <w:r w:rsidRPr="00C0286A">
        <w:rPr>
          <w:lang w:val="en-US"/>
        </w:rPr>
        <w:t xml:space="preserve"> met. Hence, </w:t>
      </w:r>
      <w:r w:rsidR="00516803" w:rsidRPr="00C0286A">
        <w:rPr>
          <w:lang w:val="en-US"/>
        </w:rPr>
        <w:t>because of the sample size</w:t>
      </w:r>
      <w:r w:rsidRPr="00C0286A">
        <w:rPr>
          <w:lang w:val="en-US"/>
        </w:rPr>
        <w:t>,</w:t>
      </w:r>
      <w:r w:rsidR="008B7376" w:rsidRPr="00C0286A">
        <w:rPr>
          <w:lang w:val="en-US"/>
        </w:rPr>
        <w:t xml:space="preserve"> outliers will not affect the regression coefficient and therefore no action was necessary.</w:t>
      </w:r>
      <w:r w:rsidR="00516803" w:rsidRPr="00C0286A">
        <w:rPr>
          <w:lang w:val="en-US"/>
        </w:rPr>
        <w:t xml:space="preserve"> Next to </w:t>
      </w:r>
      <w:r w:rsidR="00BC0CCB" w:rsidRPr="00C0286A">
        <w:rPr>
          <w:lang w:val="en-US"/>
        </w:rPr>
        <w:t xml:space="preserve">the </w:t>
      </w:r>
      <w:r w:rsidR="00DA665A" w:rsidRPr="00C0286A">
        <w:rPr>
          <w:lang w:val="en-US"/>
        </w:rPr>
        <w:t>outliers</w:t>
      </w:r>
      <w:r w:rsidR="00516803" w:rsidRPr="00C0286A">
        <w:rPr>
          <w:lang w:val="en-US"/>
        </w:rPr>
        <w:t>, also indi</w:t>
      </w:r>
      <w:r w:rsidR="008B7376" w:rsidRPr="00C0286A">
        <w:rPr>
          <w:lang w:val="en-US"/>
        </w:rPr>
        <w:t>vidual cases do not have undue influence on the regression model</w:t>
      </w:r>
      <w:r w:rsidR="00516803" w:rsidRPr="00C0286A">
        <w:rPr>
          <w:lang w:val="en-US"/>
        </w:rPr>
        <w:t xml:space="preserve">, as tested by the Cook’s Distance value. The regression models are </w:t>
      </w:r>
      <w:r w:rsidR="00DA665A" w:rsidRPr="00C0286A">
        <w:rPr>
          <w:lang w:val="en-US"/>
        </w:rPr>
        <w:t>normally</w:t>
      </w:r>
      <w:r w:rsidR="00516803" w:rsidRPr="00C0286A">
        <w:rPr>
          <w:lang w:val="en-US"/>
        </w:rPr>
        <w:t xml:space="preserve"> distributed and t</w:t>
      </w:r>
      <w:r w:rsidR="008B7376" w:rsidRPr="00C0286A">
        <w:rPr>
          <w:lang w:val="en-US"/>
        </w:rPr>
        <w:t>here is no sign for suggesting multicollinearity between independent variables.</w:t>
      </w:r>
      <w:r w:rsidR="00516803" w:rsidRPr="00C0286A">
        <w:rPr>
          <w:lang w:val="en-US"/>
        </w:rPr>
        <w:t xml:space="preserve"> Further on, the R</w:t>
      </w:r>
      <w:r w:rsidR="008B7376" w:rsidRPr="00C0286A">
        <w:rPr>
          <w:lang w:val="en-US"/>
        </w:rPr>
        <w:t>-</w:t>
      </w:r>
      <w:r w:rsidR="00BC0CCB" w:rsidRPr="00C0286A">
        <w:rPr>
          <w:lang w:val="en-US"/>
        </w:rPr>
        <w:t xml:space="preserve">square </w:t>
      </w:r>
      <w:r w:rsidR="00C0286A" w:rsidRPr="00C0286A">
        <w:rPr>
          <w:lang w:val="en-US"/>
        </w:rPr>
        <w:t xml:space="preserve">of the regressions </w:t>
      </w:r>
      <w:r w:rsidR="00BC0CCB" w:rsidRPr="00C0286A">
        <w:rPr>
          <w:lang w:val="en-US"/>
        </w:rPr>
        <w:t>is shown, which tells us</w:t>
      </w:r>
      <w:r w:rsidR="008B7376" w:rsidRPr="00C0286A">
        <w:rPr>
          <w:lang w:val="en-US"/>
        </w:rPr>
        <w:t xml:space="preserve"> how much of the variance in the dependent variable (return of the financial institution)</w:t>
      </w:r>
      <w:r w:rsidR="00516803" w:rsidRPr="00C0286A">
        <w:rPr>
          <w:lang w:val="en-US"/>
        </w:rPr>
        <w:t xml:space="preserve"> </w:t>
      </w:r>
      <w:r w:rsidR="008B7376" w:rsidRPr="00C0286A">
        <w:rPr>
          <w:lang w:val="en-US"/>
        </w:rPr>
        <w:t xml:space="preserve">is explained by the </w:t>
      </w:r>
      <w:r w:rsidR="00516803" w:rsidRPr="00C0286A">
        <w:rPr>
          <w:lang w:val="en-US"/>
        </w:rPr>
        <w:t xml:space="preserve">regression </w:t>
      </w:r>
      <w:r w:rsidR="008B7376" w:rsidRPr="00C0286A">
        <w:rPr>
          <w:lang w:val="en-US"/>
        </w:rPr>
        <w:t>model if the model is derived from the whole population of the sample.</w:t>
      </w:r>
      <w:r w:rsidR="00BC0CCB" w:rsidRPr="00C0286A">
        <w:rPr>
          <w:lang w:val="en-US"/>
        </w:rPr>
        <w:t xml:space="preserve"> As presented in table 7.1, the </w:t>
      </w:r>
      <w:r w:rsidR="008B7376" w:rsidRPr="00C0286A">
        <w:rPr>
          <w:lang w:val="en-US"/>
        </w:rPr>
        <w:t>R-sq</w:t>
      </w:r>
      <w:r w:rsidR="00BC0CCB" w:rsidRPr="00C0286A">
        <w:rPr>
          <w:lang w:val="en-US"/>
        </w:rPr>
        <w:t>u</w:t>
      </w:r>
      <w:r w:rsidR="008B7376" w:rsidRPr="00C0286A">
        <w:rPr>
          <w:lang w:val="en-US"/>
        </w:rPr>
        <w:t>are in Luxembourg, Portuga</w:t>
      </w:r>
      <w:r w:rsidR="00BC0CCB" w:rsidRPr="00C0286A">
        <w:rPr>
          <w:lang w:val="en-US"/>
        </w:rPr>
        <w:t>l</w:t>
      </w:r>
      <w:r w:rsidR="008B7376" w:rsidRPr="00C0286A">
        <w:rPr>
          <w:lang w:val="en-US"/>
        </w:rPr>
        <w:t>, France and Germany</w:t>
      </w:r>
      <w:r w:rsidR="00BC0CCB" w:rsidRPr="00C0286A">
        <w:rPr>
          <w:lang w:val="en-US"/>
        </w:rPr>
        <w:t xml:space="preserve"> is lower (under the 10%) than the other sample countries</w:t>
      </w:r>
      <w:r w:rsidR="008B7376" w:rsidRPr="00C0286A">
        <w:rPr>
          <w:lang w:val="en-US"/>
        </w:rPr>
        <w:t>.</w:t>
      </w:r>
      <w:r w:rsidR="00BC0CCB" w:rsidRPr="00C0286A">
        <w:rPr>
          <w:lang w:val="en-US"/>
        </w:rPr>
        <w:t xml:space="preserve"> Hence, </w:t>
      </w:r>
      <w:r w:rsidR="00BC55B0">
        <w:rPr>
          <w:lang w:val="en-US"/>
        </w:rPr>
        <w:t>i</w:t>
      </w:r>
      <w:r w:rsidR="00BC0CCB" w:rsidRPr="00C0286A">
        <w:rPr>
          <w:lang w:val="en-US"/>
        </w:rPr>
        <w:t xml:space="preserve">t is shown by the ANOVA in table 7.2 that the </w:t>
      </w:r>
      <w:r w:rsidR="008B7376" w:rsidRPr="00C0286A">
        <w:rPr>
          <w:lang w:val="en-US"/>
        </w:rPr>
        <w:t>regression models are significant predicting the outcome of the model</w:t>
      </w:r>
      <w:r w:rsidR="00BC0CCB" w:rsidRPr="00C0286A">
        <w:rPr>
          <w:lang w:val="en-US"/>
        </w:rPr>
        <w:t>.</w:t>
      </w:r>
    </w:p>
    <w:p w:rsidR="00DC4621" w:rsidRDefault="00DC4621" w:rsidP="00BC0CCB">
      <w:pPr>
        <w:pStyle w:val="Geenafstand"/>
        <w:rPr>
          <w:u w:val="single"/>
          <w:lang w:val="en-US"/>
        </w:rPr>
      </w:pPr>
    </w:p>
    <w:p w:rsidR="00BC0CCB" w:rsidRPr="00BC0CCB" w:rsidRDefault="00BC0CCB" w:rsidP="00BC0CCB">
      <w:pPr>
        <w:pStyle w:val="Geenafstand"/>
        <w:rPr>
          <w:u w:val="single"/>
          <w:lang w:val="en-US"/>
        </w:rPr>
      </w:pPr>
      <w:r w:rsidRPr="00BC0CCB">
        <w:rPr>
          <w:u w:val="single"/>
          <w:lang w:val="en-US"/>
        </w:rPr>
        <w:lastRenderedPageBreak/>
        <w:t>Statistical results</w:t>
      </w:r>
    </w:p>
    <w:p w:rsidR="00DA0DCD" w:rsidRDefault="00DA0DCD" w:rsidP="00DA0DCD">
      <w:pPr>
        <w:rPr>
          <w:lang w:val="en-US"/>
        </w:rPr>
      </w:pPr>
      <w:r w:rsidRPr="00DA0DCD">
        <w:rPr>
          <w:lang w:val="en-US"/>
        </w:rPr>
        <w:t xml:space="preserve">The total </w:t>
      </w:r>
      <w:r w:rsidR="00CB09F9" w:rsidRPr="00DA0DCD">
        <w:rPr>
          <w:lang w:val="en-US"/>
        </w:rPr>
        <w:t>sample</w:t>
      </w:r>
      <w:r w:rsidR="00CB09F9">
        <w:rPr>
          <w:lang w:val="en-US"/>
        </w:rPr>
        <w:t xml:space="preserve"> of financial institutions</w:t>
      </w:r>
      <w:r w:rsidR="00CB09F9" w:rsidRPr="00DA0DCD">
        <w:rPr>
          <w:lang w:val="en-US"/>
        </w:rPr>
        <w:t xml:space="preserve"> shows</w:t>
      </w:r>
      <w:r w:rsidRPr="00DA0DCD">
        <w:rPr>
          <w:lang w:val="en-US"/>
        </w:rPr>
        <w:t xml:space="preserve"> a significant p</w:t>
      </w:r>
      <w:r w:rsidR="00F541B9" w:rsidRPr="00DA0DCD">
        <w:rPr>
          <w:lang w:val="en-US"/>
        </w:rPr>
        <w:t>ositive beta during the fifth event window</w:t>
      </w:r>
      <w:r w:rsidRPr="00DA0DCD">
        <w:rPr>
          <w:lang w:val="en-US"/>
        </w:rPr>
        <w:t>. The other event windows (1-4) show a negative beta. By combining the e</w:t>
      </w:r>
      <w:r w:rsidR="00F541B9" w:rsidRPr="00DA0DCD">
        <w:rPr>
          <w:lang w:val="en-US"/>
        </w:rPr>
        <w:t>vent windows</w:t>
      </w:r>
      <w:r w:rsidRPr="00DA0DCD">
        <w:rPr>
          <w:lang w:val="en-US"/>
        </w:rPr>
        <w:t xml:space="preserve"> </w:t>
      </w:r>
      <w:r>
        <w:rPr>
          <w:lang w:val="en-US"/>
        </w:rPr>
        <w:t>together, the beta shows a</w:t>
      </w:r>
      <w:r w:rsidR="00F541B9" w:rsidRPr="00DA0DCD">
        <w:rPr>
          <w:lang w:val="en-US"/>
        </w:rPr>
        <w:t xml:space="preserve"> </w:t>
      </w:r>
      <w:r w:rsidR="005E2A97" w:rsidRPr="00DA0DCD">
        <w:rPr>
          <w:lang w:val="en-US"/>
        </w:rPr>
        <w:t>negative</w:t>
      </w:r>
      <w:r w:rsidR="00F541B9" w:rsidRPr="00DA0DCD">
        <w:rPr>
          <w:lang w:val="en-US"/>
        </w:rPr>
        <w:t xml:space="preserve"> </w:t>
      </w:r>
      <w:r>
        <w:rPr>
          <w:lang w:val="en-US"/>
        </w:rPr>
        <w:t>value</w:t>
      </w:r>
      <w:r w:rsidR="00F541B9" w:rsidRPr="00DA0DCD">
        <w:rPr>
          <w:lang w:val="en-US"/>
        </w:rPr>
        <w:t>, because of wrongly predicted signs</w:t>
      </w:r>
      <w:r w:rsidR="00933F37">
        <w:rPr>
          <w:lang w:val="en-US"/>
        </w:rPr>
        <w:t xml:space="preserve"> of event window one through four</w:t>
      </w:r>
      <w:r>
        <w:rPr>
          <w:lang w:val="en-US"/>
        </w:rPr>
        <w:t>.</w:t>
      </w:r>
      <w:r w:rsidR="006C38D1">
        <w:rPr>
          <w:lang w:val="en-US"/>
        </w:rPr>
        <w:t xml:space="preserve"> Therefore, based on the fifth event window, the first overall hypothesis is accepted. However, based on the event windows combined, hypothesis one can be rejected.</w:t>
      </w:r>
    </w:p>
    <w:p w:rsidR="005F67ED" w:rsidRPr="00DC4621" w:rsidRDefault="001F4C3D" w:rsidP="00DA0DCD">
      <w:pPr>
        <w:rPr>
          <w:lang w:val="en-US"/>
        </w:rPr>
      </w:pPr>
      <w:r w:rsidRPr="00DC4621">
        <w:rPr>
          <w:lang w:val="en-US"/>
        </w:rPr>
        <w:t>The second event window of Bowen et al. (2010) and the fifth event window of th</w:t>
      </w:r>
      <w:r w:rsidR="003D5BCD" w:rsidRPr="00DC4621">
        <w:rPr>
          <w:lang w:val="en-US"/>
        </w:rPr>
        <w:t>e research of this</w:t>
      </w:r>
      <w:r w:rsidRPr="00DC4621">
        <w:rPr>
          <w:lang w:val="en-US"/>
        </w:rPr>
        <w:t xml:space="preserve"> thesis represent the amendment of IAS 39. This event show</w:t>
      </w:r>
      <w:r w:rsidR="00BC55B0">
        <w:rPr>
          <w:lang w:val="en-US"/>
        </w:rPr>
        <w:t>s</w:t>
      </w:r>
      <w:r w:rsidRPr="00DC4621">
        <w:rPr>
          <w:lang w:val="en-US"/>
        </w:rPr>
        <w:t xml:space="preserve"> in the US a non-significant positive beta. In </w:t>
      </w:r>
      <w:r w:rsidR="00BC55B0" w:rsidRPr="00DC4621">
        <w:rPr>
          <w:lang w:val="en-US"/>
        </w:rPr>
        <w:t>Europe,</w:t>
      </w:r>
      <w:r w:rsidRPr="00DC4621">
        <w:rPr>
          <w:lang w:val="en-US"/>
        </w:rPr>
        <w:t xml:space="preserve"> the fifth event window</w:t>
      </w:r>
      <w:r w:rsidR="00BC55B0">
        <w:rPr>
          <w:lang w:val="en-US"/>
        </w:rPr>
        <w:t xml:space="preserve"> shows</w:t>
      </w:r>
      <w:r w:rsidRPr="00DC4621">
        <w:rPr>
          <w:lang w:val="en-US"/>
        </w:rPr>
        <w:t xml:space="preserve"> a lower non-significant positive beta. The tenth event window in the US represents the FVA rules change by the FASB</w:t>
      </w:r>
      <w:r w:rsidR="00E81C15">
        <w:rPr>
          <w:lang w:val="en-US"/>
        </w:rPr>
        <w:t xml:space="preserve"> and show</w:t>
      </w:r>
      <w:r w:rsidR="00BC55B0">
        <w:rPr>
          <w:lang w:val="en-US"/>
        </w:rPr>
        <w:t>s</w:t>
      </w:r>
      <w:r w:rsidRPr="00DC4621">
        <w:rPr>
          <w:lang w:val="en-US"/>
        </w:rPr>
        <w:t xml:space="preserve"> a positive non-significant beta. The beta of the tenth event window in the US is lower than the fifth event window in Europe</w:t>
      </w:r>
      <w:r w:rsidR="00E81C15">
        <w:rPr>
          <w:lang w:val="en-US"/>
        </w:rPr>
        <w:t>.</w:t>
      </w:r>
      <w:r w:rsidR="003D5BCD" w:rsidRPr="00DC4621">
        <w:rPr>
          <w:lang w:val="en-US"/>
        </w:rPr>
        <w:t xml:space="preserve"> </w:t>
      </w:r>
      <w:r w:rsidR="00E81C15">
        <w:rPr>
          <w:lang w:val="en-US"/>
        </w:rPr>
        <w:t>However,</w:t>
      </w:r>
      <w:r w:rsidR="003D5BCD" w:rsidRPr="00DC4621">
        <w:rPr>
          <w:lang w:val="en-US"/>
        </w:rPr>
        <w:t xml:space="preserve"> </w:t>
      </w:r>
      <w:r w:rsidR="00E81C15">
        <w:rPr>
          <w:lang w:val="en-US"/>
        </w:rPr>
        <w:t xml:space="preserve">the events are </w:t>
      </w:r>
      <w:r w:rsidR="003D5BCD" w:rsidRPr="00DC4621">
        <w:rPr>
          <w:lang w:val="en-US"/>
        </w:rPr>
        <w:t>both statistically not significant</w:t>
      </w:r>
      <w:r w:rsidRPr="00DC4621">
        <w:rPr>
          <w:lang w:val="en-US"/>
        </w:rPr>
        <w:t>.</w:t>
      </w:r>
      <w:r w:rsidR="003D5BCD" w:rsidRPr="00DC4621">
        <w:rPr>
          <w:lang w:val="en-US"/>
        </w:rPr>
        <w:t xml:space="preserve"> </w:t>
      </w:r>
      <w:r w:rsidR="005F67ED" w:rsidRPr="00DC4621">
        <w:rPr>
          <w:lang w:val="en-US"/>
        </w:rPr>
        <w:t xml:space="preserve">In the </w:t>
      </w:r>
      <w:r w:rsidR="00486DA4" w:rsidRPr="00DC4621">
        <w:rPr>
          <w:lang w:val="en-US"/>
        </w:rPr>
        <w:t>US,</w:t>
      </w:r>
      <w:r w:rsidR="005F67ED" w:rsidRPr="00DC4621">
        <w:rPr>
          <w:lang w:val="en-US"/>
        </w:rPr>
        <w:t xml:space="preserve"> the positive predicted signs show a positive beta, except for the fourth event window. The negative predicted signs show a negative beta</w:t>
      </w:r>
      <w:r w:rsidR="00BC55B0" w:rsidRPr="00BC55B0">
        <w:rPr>
          <w:lang w:val="en-US"/>
        </w:rPr>
        <w:t xml:space="preserve"> </w:t>
      </w:r>
      <w:r w:rsidR="00BC55B0" w:rsidRPr="00DC4621">
        <w:rPr>
          <w:lang w:val="en-US"/>
        </w:rPr>
        <w:t>also</w:t>
      </w:r>
      <w:r w:rsidR="005F67ED" w:rsidRPr="00DC4621">
        <w:rPr>
          <w:lang w:val="en-US"/>
        </w:rPr>
        <w:t xml:space="preserve">. In Europe, the first through </w:t>
      </w:r>
      <w:r w:rsidR="00C0286A" w:rsidRPr="00DC4621">
        <w:rPr>
          <w:lang w:val="en-US"/>
        </w:rPr>
        <w:t>fourth</w:t>
      </w:r>
      <w:r w:rsidR="005F67ED" w:rsidRPr="00DC4621">
        <w:rPr>
          <w:lang w:val="en-US"/>
        </w:rPr>
        <w:t xml:space="preserve"> event window are predicted positive, but show a negative beta. Only the fifth event window show</w:t>
      </w:r>
      <w:r w:rsidR="00BC55B0">
        <w:rPr>
          <w:lang w:val="en-US"/>
        </w:rPr>
        <w:t>s</w:t>
      </w:r>
      <w:r w:rsidR="005F67ED" w:rsidRPr="00DC4621">
        <w:rPr>
          <w:lang w:val="en-US"/>
        </w:rPr>
        <w:t xml:space="preserve"> a positive beta as predicted.</w:t>
      </w:r>
      <w:r w:rsidR="00DA0DCD" w:rsidRPr="00DC4621">
        <w:rPr>
          <w:lang w:val="en-US"/>
        </w:rPr>
        <w:t xml:space="preserve"> </w:t>
      </w:r>
      <w:r w:rsidR="00950904" w:rsidRPr="00DC4621">
        <w:rPr>
          <w:lang w:val="en-US"/>
        </w:rPr>
        <w:t>By combining the event windows together, the beta in the US is significant positive</w:t>
      </w:r>
      <w:r w:rsidR="003D5BCD" w:rsidRPr="00DC4621">
        <w:rPr>
          <w:lang w:val="en-US"/>
        </w:rPr>
        <w:t xml:space="preserve"> and the </w:t>
      </w:r>
      <w:r w:rsidR="00950904" w:rsidRPr="00DC4621">
        <w:rPr>
          <w:lang w:val="en-US"/>
        </w:rPr>
        <w:t>combined windows together</w:t>
      </w:r>
      <w:r w:rsidR="003D5BCD" w:rsidRPr="00DC4621">
        <w:rPr>
          <w:lang w:val="en-US"/>
        </w:rPr>
        <w:t xml:space="preserve"> in Europe</w:t>
      </w:r>
      <w:r w:rsidR="00950904" w:rsidRPr="00DC4621">
        <w:rPr>
          <w:lang w:val="en-US"/>
        </w:rPr>
        <w:t xml:space="preserve"> show a non-significant negative beta. </w:t>
      </w:r>
      <w:r w:rsidR="003D5BCD" w:rsidRPr="00DC4621">
        <w:rPr>
          <w:lang w:val="en-US"/>
        </w:rPr>
        <w:t>The negative beta of the event windows combined in Europe is a result of the negative betas during the</w:t>
      </w:r>
      <w:r w:rsidR="00950904" w:rsidRPr="00DC4621">
        <w:rPr>
          <w:lang w:val="en-US"/>
        </w:rPr>
        <w:t xml:space="preserve"> first through fourth event window. </w:t>
      </w:r>
      <w:r w:rsidR="004A56A2" w:rsidRPr="00DC4621">
        <w:rPr>
          <w:lang w:val="en-US"/>
        </w:rPr>
        <w:t xml:space="preserve">Based on the comparison of the betas of the tenth event window in the US </w:t>
      </w:r>
      <w:r w:rsidR="00E81C15">
        <w:rPr>
          <w:lang w:val="en-US"/>
        </w:rPr>
        <w:t>with</w:t>
      </w:r>
      <w:r w:rsidR="004A56A2" w:rsidRPr="00DC4621">
        <w:rPr>
          <w:lang w:val="en-US"/>
        </w:rPr>
        <w:t xml:space="preserve"> the fifth event window in Europe, hypothesis two can be rejected. However, based on the comparison of the </w:t>
      </w:r>
      <w:r w:rsidR="00DC4621" w:rsidRPr="00DC4621">
        <w:rPr>
          <w:lang w:val="en-US"/>
        </w:rPr>
        <w:t xml:space="preserve">second and eighth event window in US with the fifth event window in Europe and the </w:t>
      </w:r>
      <w:r w:rsidR="004A56A2" w:rsidRPr="00DC4621">
        <w:rPr>
          <w:lang w:val="en-US"/>
        </w:rPr>
        <w:t>event windows combined in the US and Europe, hypothesis two can be accepted.</w:t>
      </w:r>
    </w:p>
    <w:p w:rsidR="00CB09F9" w:rsidRPr="00DA0DCD" w:rsidRDefault="00DE1D3F" w:rsidP="00CB09F9">
      <w:pPr>
        <w:rPr>
          <w:lang w:val="en-US"/>
        </w:rPr>
      </w:pPr>
      <w:r w:rsidRPr="00DA0DCD">
        <w:rPr>
          <w:lang w:val="en-US"/>
        </w:rPr>
        <w:t xml:space="preserve">The </w:t>
      </w:r>
      <w:r w:rsidR="00317191" w:rsidRPr="00DA0DCD">
        <w:rPr>
          <w:lang w:val="en-US"/>
        </w:rPr>
        <w:t xml:space="preserve">banks and insurance companies sample together show negative betas during the first through fourth event window. During the fifth window, the banks and insurance </w:t>
      </w:r>
      <w:r w:rsidR="00B95935" w:rsidRPr="00DA0DCD">
        <w:rPr>
          <w:lang w:val="en-US"/>
        </w:rPr>
        <w:t>company’s</w:t>
      </w:r>
      <w:r w:rsidR="00317191" w:rsidRPr="00DA0DCD">
        <w:rPr>
          <w:lang w:val="en-US"/>
        </w:rPr>
        <w:t xml:space="preserve"> sample</w:t>
      </w:r>
      <w:r w:rsidR="00E81C15">
        <w:rPr>
          <w:lang w:val="en-US"/>
        </w:rPr>
        <w:t xml:space="preserve"> together</w:t>
      </w:r>
      <w:r w:rsidR="00317191" w:rsidRPr="00DA0DCD">
        <w:rPr>
          <w:lang w:val="en-US"/>
        </w:rPr>
        <w:t>, show a positive beta. By testing the banks and insurance sample separately, the</w:t>
      </w:r>
      <w:r w:rsidR="00DA0DCD" w:rsidRPr="00DA0DCD">
        <w:rPr>
          <w:lang w:val="en-US"/>
        </w:rPr>
        <w:t xml:space="preserve"> only insurance companies sample show a non-significant small positive beta during the first event window, where the banks sample show a non-significant negative beta. Hence, both separate samples show negative betas during the second t</w:t>
      </w:r>
      <w:r w:rsidR="00DA0DCD">
        <w:rPr>
          <w:lang w:val="en-US"/>
        </w:rPr>
        <w:t>h</w:t>
      </w:r>
      <w:r w:rsidR="00DA0DCD" w:rsidRPr="00DA0DCD">
        <w:rPr>
          <w:lang w:val="en-US"/>
        </w:rPr>
        <w:t>rough fourth event window and a positive beta during the fifth event window.</w:t>
      </w:r>
      <w:r w:rsidR="00CB09F9">
        <w:rPr>
          <w:lang w:val="en-US"/>
        </w:rPr>
        <w:t xml:space="preserve"> The beta of the fifth event window is a little bit higher</w:t>
      </w:r>
      <w:r w:rsidR="00B95935">
        <w:rPr>
          <w:lang w:val="en-US"/>
        </w:rPr>
        <w:t xml:space="preserve"> at the banks sample</w:t>
      </w:r>
      <w:r w:rsidR="00CB09F9">
        <w:rPr>
          <w:lang w:val="en-US"/>
        </w:rPr>
        <w:t xml:space="preserve">. By combining the event windows together, both samples show a non-significant negative beta. However, the insurance companies sample shows a little bit less negative beta that the banks sample. </w:t>
      </w:r>
      <w:r w:rsidR="006C38D1">
        <w:rPr>
          <w:lang w:val="en-US"/>
        </w:rPr>
        <w:t>Therefore, based on the statistical results, hypothesis three is not significant and can be rejected.</w:t>
      </w:r>
    </w:p>
    <w:p w:rsidR="006C38D1" w:rsidRDefault="00183CC7">
      <w:pPr>
        <w:rPr>
          <w:rStyle w:val="longtext1"/>
          <w:rFonts w:cs="Times New Roman"/>
          <w:sz w:val="22"/>
          <w:szCs w:val="22"/>
          <w:shd w:val="clear" w:color="auto" w:fill="FFFFFF"/>
          <w:lang w:val="en-US"/>
        </w:rPr>
      </w:pPr>
      <w:r>
        <w:rPr>
          <w:lang w:val="en-US"/>
        </w:rPr>
        <w:t xml:space="preserve">The </w:t>
      </w:r>
      <w:r w:rsidR="00CB09F9">
        <w:rPr>
          <w:lang w:val="en-US"/>
        </w:rPr>
        <w:t>fin</w:t>
      </w:r>
      <w:r>
        <w:rPr>
          <w:lang w:val="en-US"/>
        </w:rPr>
        <w:t xml:space="preserve">ancial institutions per </w:t>
      </w:r>
      <w:r w:rsidR="00442342">
        <w:rPr>
          <w:lang w:val="en-US"/>
        </w:rPr>
        <w:t>country</w:t>
      </w:r>
      <w:r w:rsidR="00CB09F9">
        <w:rPr>
          <w:lang w:val="en-US"/>
        </w:rPr>
        <w:t xml:space="preserve"> </w:t>
      </w:r>
      <w:r>
        <w:rPr>
          <w:lang w:val="en-US"/>
        </w:rPr>
        <w:t>show</w:t>
      </w:r>
      <w:r w:rsidR="00442342">
        <w:rPr>
          <w:lang w:val="en-US"/>
        </w:rPr>
        <w:t xml:space="preserve"> in the first through fourth event window a negative beta or a non-significant positive beta. During the fifth event window, the countries </w:t>
      </w:r>
      <w:r w:rsidR="00442342" w:rsidRPr="00DA0DCD">
        <w:rPr>
          <w:rStyle w:val="longtext1"/>
          <w:rFonts w:cs="Times New Roman"/>
          <w:sz w:val="22"/>
          <w:szCs w:val="22"/>
          <w:shd w:val="clear" w:color="auto" w:fill="FFFFFF"/>
          <w:lang w:val="en-US"/>
        </w:rPr>
        <w:t>Belgium, Denmark, Germany, Italy, Netherlands, Austria, Spain and Sweden</w:t>
      </w:r>
      <w:r w:rsidR="00442342">
        <w:rPr>
          <w:rStyle w:val="longtext1"/>
          <w:rFonts w:cs="Times New Roman"/>
          <w:sz w:val="22"/>
          <w:szCs w:val="22"/>
          <w:shd w:val="clear" w:color="auto" w:fill="FFFFFF"/>
          <w:lang w:val="en-US"/>
        </w:rPr>
        <w:t xml:space="preserve"> show a significant positive beta. On the other hand, countries like </w:t>
      </w:r>
      <w:r w:rsidR="00442342" w:rsidRPr="00DA0DCD">
        <w:rPr>
          <w:rStyle w:val="longtext1"/>
          <w:rFonts w:cs="Times New Roman"/>
          <w:sz w:val="22"/>
          <w:szCs w:val="22"/>
          <w:shd w:val="clear" w:color="auto" w:fill="FFFFFF"/>
          <w:lang w:val="en-US"/>
        </w:rPr>
        <w:t>Finland, France, Ireland, Luxembourg, Portugal and Great Britain</w:t>
      </w:r>
      <w:r w:rsidR="00442342">
        <w:rPr>
          <w:rStyle w:val="longtext1"/>
          <w:rFonts w:cs="Times New Roman"/>
          <w:sz w:val="22"/>
          <w:szCs w:val="22"/>
          <w:shd w:val="clear" w:color="auto" w:fill="FFFFFF"/>
          <w:lang w:val="en-US"/>
        </w:rPr>
        <w:t xml:space="preserve"> show a </w:t>
      </w:r>
      <w:r w:rsidR="00AE2DE4">
        <w:rPr>
          <w:rStyle w:val="longtext1"/>
          <w:rFonts w:cs="Times New Roman"/>
          <w:sz w:val="22"/>
          <w:szCs w:val="22"/>
          <w:shd w:val="clear" w:color="auto" w:fill="FFFFFF"/>
          <w:lang w:val="en-US"/>
        </w:rPr>
        <w:t>negative</w:t>
      </w:r>
      <w:r w:rsidR="00442342">
        <w:rPr>
          <w:rStyle w:val="longtext1"/>
          <w:rFonts w:cs="Times New Roman"/>
          <w:sz w:val="22"/>
          <w:szCs w:val="22"/>
          <w:shd w:val="clear" w:color="auto" w:fill="FFFFFF"/>
          <w:lang w:val="en-US"/>
        </w:rPr>
        <w:t xml:space="preserve"> or non-significant positive beta. The non-significant in </w:t>
      </w:r>
      <w:r w:rsidR="00442342" w:rsidRPr="00DA0DCD">
        <w:rPr>
          <w:lang w:val="en-US"/>
        </w:rPr>
        <w:t>Luxembourg and Portugal and the significant negative beta in France could be a result of the low R-square</w:t>
      </w:r>
      <w:r w:rsidR="00442342">
        <w:rPr>
          <w:lang w:val="en-US"/>
        </w:rPr>
        <w:t>. In</w:t>
      </w:r>
      <w:r w:rsidR="00235D60">
        <w:rPr>
          <w:lang w:val="en-US"/>
        </w:rPr>
        <w:t xml:space="preserve"> </w:t>
      </w:r>
      <w:r w:rsidR="00235D60" w:rsidRPr="00DA0DCD">
        <w:rPr>
          <w:rStyle w:val="longtext1"/>
          <w:rFonts w:cs="Times New Roman"/>
          <w:sz w:val="22"/>
          <w:szCs w:val="22"/>
          <w:shd w:val="clear" w:color="auto" w:fill="FFFFFF"/>
          <w:lang w:val="en-US"/>
        </w:rPr>
        <w:t>Finland</w:t>
      </w:r>
      <w:r w:rsidR="00235D60">
        <w:rPr>
          <w:rStyle w:val="longtext1"/>
          <w:rFonts w:cs="Times New Roman"/>
          <w:sz w:val="22"/>
          <w:szCs w:val="22"/>
          <w:shd w:val="clear" w:color="auto" w:fill="FFFFFF"/>
          <w:lang w:val="en-US"/>
        </w:rPr>
        <w:t xml:space="preserve">, </w:t>
      </w:r>
      <w:r w:rsidR="00235D60" w:rsidRPr="00DA0DCD">
        <w:rPr>
          <w:rStyle w:val="longtext1"/>
          <w:rFonts w:cs="Times New Roman"/>
          <w:sz w:val="22"/>
          <w:szCs w:val="22"/>
          <w:shd w:val="clear" w:color="auto" w:fill="FFFFFF"/>
          <w:lang w:val="en-US"/>
        </w:rPr>
        <w:t>Ireland</w:t>
      </w:r>
      <w:r w:rsidR="00235D60">
        <w:rPr>
          <w:rStyle w:val="longtext1"/>
          <w:rFonts w:cs="Times New Roman"/>
          <w:sz w:val="22"/>
          <w:szCs w:val="22"/>
          <w:shd w:val="clear" w:color="auto" w:fill="FFFFFF"/>
          <w:lang w:val="en-US"/>
        </w:rPr>
        <w:t xml:space="preserve"> </w:t>
      </w:r>
      <w:r w:rsidR="00235D60" w:rsidRPr="00DA0DCD">
        <w:rPr>
          <w:rStyle w:val="longtext1"/>
          <w:rFonts w:cs="Times New Roman"/>
          <w:sz w:val="22"/>
          <w:szCs w:val="22"/>
          <w:shd w:val="clear" w:color="auto" w:fill="FFFFFF"/>
          <w:lang w:val="en-US"/>
        </w:rPr>
        <w:t>and Great Britain</w:t>
      </w:r>
      <w:r w:rsidR="00235D60">
        <w:rPr>
          <w:rStyle w:val="longtext1"/>
          <w:rFonts w:cs="Times New Roman"/>
          <w:sz w:val="22"/>
          <w:szCs w:val="22"/>
          <w:shd w:val="clear" w:color="auto" w:fill="FFFFFF"/>
          <w:lang w:val="en-US"/>
        </w:rPr>
        <w:t xml:space="preserve"> the negative or non-significant beta is not a result of a low R-square.</w:t>
      </w:r>
      <w:r w:rsidR="006C38D1">
        <w:rPr>
          <w:rStyle w:val="longtext1"/>
          <w:rFonts w:cs="Times New Roman"/>
          <w:sz w:val="22"/>
          <w:szCs w:val="22"/>
          <w:shd w:val="clear" w:color="auto" w:fill="FFFFFF"/>
          <w:lang w:val="en-US"/>
        </w:rPr>
        <w:t xml:space="preserve"> Therefore, based on the lower non-significant positive beta in Great Britain and the non-significant negative beta in Ireland, hypothesis four is accepted.</w:t>
      </w:r>
    </w:p>
    <w:p w:rsidR="008B7376" w:rsidRPr="005E2A97" w:rsidRDefault="00235D60">
      <w:pPr>
        <w:rPr>
          <w:lang w:val="en-US"/>
        </w:rPr>
      </w:pPr>
      <w:r>
        <w:rPr>
          <w:rStyle w:val="longtext1"/>
          <w:rFonts w:cs="Times New Roman"/>
          <w:sz w:val="22"/>
          <w:szCs w:val="22"/>
          <w:shd w:val="clear" w:color="auto" w:fill="FFFFFF"/>
          <w:lang w:val="en-US"/>
        </w:rPr>
        <w:t>In the next chapter, the outcomes of the</w:t>
      </w:r>
      <w:r w:rsidR="00D76BD1">
        <w:rPr>
          <w:rStyle w:val="longtext1"/>
          <w:rFonts w:cs="Times New Roman"/>
          <w:sz w:val="22"/>
          <w:szCs w:val="22"/>
          <w:shd w:val="clear" w:color="auto" w:fill="FFFFFF"/>
          <w:lang w:val="en-US"/>
        </w:rPr>
        <w:t>se</w:t>
      </w:r>
      <w:r>
        <w:rPr>
          <w:rStyle w:val="longtext1"/>
          <w:rFonts w:cs="Times New Roman"/>
          <w:sz w:val="22"/>
          <w:szCs w:val="22"/>
          <w:shd w:val="clear" w:color="auto" w:fill="FFFFFF"/>
          <w:lang w:val="en-US"/>
        </w:rPr>
        <w:t xml:space="preserve"> four hypotheses will be analyzed and described.</w:t>
      </w:r>
      <w:r w:rsidR="008B7376">
        <w:rPr>
          <w:lang w:val="en-US"/>
        </w:rPr>
        <w:br w:type="page"/>
      </w:r>
    </w:p>
    <w:p w:rsidR="00DC6A91" w:rsidRPr="00DA0DCD" w:rsidRDefault="00DC6A91" w:rsidP="00DC6A91">
      <w:pPr>
        <w:pStyle w:val="Kop1"/>
        <w:numPr>
          <w:ilvl w:val="0"/>
          <w:numId w:val="14"/>
        </w:numPr>
        <w:rPr>
          <w:lang w:val="en-US"/>
        </w:rPr>
      </w:pPr>
      <w:bookmarkStart w:id="81" w:name="_Toc270770615"/>
      <w:r w:rsidRPr="00DA0DCD">
        <w:rPr>
          <w:lang w:val="en-US"/>
        </w:rPr>
        <w:lastRenderedPageBreak/>
        <w:t>Analyses</w:t>
      </w:r>
      <w:bookmarkEnd w:id="81"/>
    </w:p>
    <w:p w:rsidR="00F46D4F" w:rsidRPr="00DA0DCD" w:rsidRDefault="00DC6A91" w:rsidP="00DC6A91">
      <w:pPr>
        <w:rPr>
          <w:lang w:val="en-US"/>
        </w:rPr>
      </w:pPr>
      <w:r w:rsidRPr="00DA0DCD">
        <w:rPr>
          <w:lang w:val="en-US"/>
        </w:rPr>
        <w:t xml:space="preserve">In this </w:t>
      </w:r>
      <w:r w:rsidR="008E3B67" w:rsidRPr="00DA0DCD">
        <w:rPr>
          <w:lang w:val="en-US"/>
        </w:rPr>
        <w:t>chapter,</w:t>
      </w:r>
      <w:r w:rsidRPr="00DA0DCD">
        <w:rPr>
          <w:lang w:val="en-US"/>
        </w:rPr>
        <w:t xml:space="preserve"> the statistical results as presented in chapter 7 are analyzed</w:t>
      </w:r>
      <w:r w:rsidR="008E3B67" w:rsidRPr="00DA0DCD">
        <w:rPr>
          <w:lang w:val="en-US"/>
        </w:rPr>
        <w:t xml:space="preserve"> and described</w:t>
      </w:r>
      <w:r w:rsidRPr="00DA0DCD">
        <w:rPr>
          <w:lang w:val="en-US"/>
        </w:rPr>
        <w:t xml:space="preserve">.  </w:t>
      </w:r>
    </w:p>
    <w:p w:rsidR="008E3B67" w:rsidRPr="00DA0DCD" w:rsidRDefault="008E3B67" w:rsidP="008E3B67">
      <w:pPr>
        <w:pStyle w:val="Kop2"/>
        <w:numPr>
          <w:ilvl w:val="1"/>
          <w:numId w:val="14"/>
        </w:numPr>
        <w:rPr>
          <w:lang w:val="en-US"/>
        </w:rPr>
      </w:pPr>
      <w:r w:rsidRPr="00DA0DCD">
        <w:rPr>
          <w:lang w:val="en-US"/>
        </w:rPr>
        <w:t xml:space="preserve"> </w:t>
      </w:r>
      <w:bookmarkStart w:id="82" w:name="_Toc270770616"/>
      <w:r w:rsidR="00F72182" w:rsidRPr="00DA0DCD">
        <w:rPr>
          <w:lang w:val="en-US"/>
        </w:rPr>
        <w:t>Analy</w:t>
      </w:r>
      <w:r w:rsidR="0084056B">
        <w:rPr>
          <w:lang w:val="en-US"/>
        </w:rPr>
        <w:t>sis</w:t>
      </w:r>
      <w:r w:rsidR="00F72182" w:rsidRPr="00DA0DCD">
        <w:rPr>
          <w:lang w:val="en-US"/>
        </w:rPr>
        <w:t xml:space="preserve"> h</w:t>
      </w:r>
      <w:r w:rsidRPr="00DA0DCD">
        <w:rPr>
          <w:lang w:val="en-US"/>
        </w:rPr>
        <w:t>ypothesis one</w:t>
      </w:r>
      <w:bookmarkEnd w:id="82"/>
    </w:p>
    <w:p w:rsidR="008E3B67" w:rsidRPr="00637874" w:rsidRDefault="0039106B" w:rsidP="008E3B67">
      <w:pPr>
        <w:rPr>
          <w:i/>
          <w:lang w:val="en-US"/>
        </w:rPr>
      </w:pPr>
      <w:r w:rsidRPr="00637874">
        <w:rPr>
          <w:i/>
          <w:lang w:val="en-US"/>
        </w:rPr>
        <w:t>Events that potentially increase the probability of introducing the reclassification option in IAS 39 in the financial industry are associated with significant abnormal positive stock price reactions by financial institutions.</w:t>
      </w:r>
    </w:p>
    <w:p w:rsidR="000D1738" w:rsidRPr="00637874" w:rsidRDefault="00BA5D31" w:rsidP="00BA5D31">
      <w:pPr>
        <w:rPr>
          <w:lang w:val="en-US"/>
        </w:rPr>
      </w:pPr>
      <w:r w:rsidRPr="00DA0DCD">
        <w:rPr>
          <w:lang w:val="en-US"/>
        </w:rPr>
        <w:t>The negative betas (signs)</w:t>
      </w:r>
      <w:r w:rsidR="007920FD">
        <w:rPr>
          <w:lang w:val="en-US"/>
        </w:rPr>
        <w:t xml:space="preserve"> of the individual event</w:t>
      </w:r>
      <w:r w:rsidR="00F72182" w:rsidRPr="00DA0DCD">
        <w:rPr>
          <w:lang w:val="en-US"/>
        </w:rPr>
        <w:t>s one through four</w:t>
      </w:r>
      <w:r w:rsidR="00637874">
        <w:rPr>
          <w:lang w:val="en-US"/>
        </w:rPr>
        <w:t>,</w:t>
      </w:r>
      <w:r w:rsidR="00F72182" w:rsidRPr="00DA0DCD">
        <w:rPr>
          <w:lang w:val="en-US"/>
        </w:rPr>
        <w:t xml:space="preserve"> as shown </w:t>
      </w:r>
      <w:r w:rsidR="00637874" w:rsidRPr="00DA0DCD">
        <w:rPr>
          <w:lang w:val="en-US"/>
        </w:rPr>
        <w:t xml:space="preserve">on the left side </w:t>
      </w:r>
      <w:r w:rsidR="00637874">
        <w:rPr>
          <w:lang w:val="en-US"/>
        </w:rPr>
        <w:t>of</w:t>
      </w:r>
      <w:r w:rsidR="00F72182" w:rsidRPr="00DA0DCD">
        <w:rPr>
          <w:lang w:val="en-US"/>
        </w:rPr>
        <w:t xml:space="preserve"> table </w:t>
      </w:r>
      <w:r w:rsidR="00637874" w:rsidRPr="00DA0DCD">
        <w:rPr>
          <w:lang w:val="en-US"/>
        </w:rPr>
        <w:t>7.3</w:t>
      </w:r>
      <w:r w:rsidR="00637874">
        <w:rPr>
          <w:lang w:val="en-US"/>
        </w:rPr>
        <w:t>,</w:t>
      </w:r>
      <w:r w:rsidR="00F72182" w:rsidRPr="00DA0DCD">
        <w:rPr>
          <w:lang w:val="en-US"/>
        </w:rPr>
        <w:t xml:space="preserve"> </w:t>
      </w:r>
      <w:r w:rsidR="00E70052" w:rsidRPr="00DA0DCD">
        <w:rPr>
          <w:lang w:val="en-US"/>
        </w:rPr>
        <w:t>represent</w:t>
      </w:r>
      <w:r w:rsidR="00F72182" w:rsidRPr="00DA0DCD">
        <w:rPr>
          <w:lang w:val="en-US"/>
        </w:rPr>
        <w:t xml:space="preserve"> a negative stock price reaction during these events. The negative stock price reaction could </w:t>
      </w:r>
      <w:r w:rsidRPr="00DA0DCD">
        <w:rPr>
          <w:lang w:val="en-US"/>
        </w:rPr>
        <w:t>be a reaction on the event</w:t>
      </w:r>
      <w:r w:rsidR="00EC703A">
        <w:rPr>
          <w:lang w:val="en-US"/>
        </w:rPr>
        <w:t>s</w:t>
      </w:r>
      <w:r w:rsidRPr="00DA0DCD">
        <w:rPr>
          <w:lang w:val="en-US"/>
        </w:rPr>
        <w:t xml:space="preserve"> (see appendix B), but </w:t>
      </w:r>
      <w:r w:rsidR="00D76BD1">
        <w:rPr>
          <w:lang w:val="en-US"/>
        </w:rPr>
        <w:t>this</w:t>
      </w:r>
      <w:r w:rsidRPr="00DA0DCD">
        <w:rPr>
          <w:lang w:val="en-US"/>
        </w:rPr>
        <w:t xml:space="preserve"> </w:t>
      </w:r>
      <w:r w:rsidR="00EC703A">
        <w:rPr>
          <w:lang w:val="en-US"/>
        </w:rPr>
        <w:t>does n</w:t>
      </w:r>
      <w:r w:rsidRPr="00DA0DCD">
        <w:rPr>
          <w:lang w:val="en-US"/>
        </w:rPr>
        <w:t>ot</w:t>
      </w:r>
      <w:r w:rsidR="00EC703A">
        <w:rPr>
          <w:lang w:val="en-US"/>
        </w:rPr>
        <w:t xml:space="preserve"> seem obvious</w:t>
      </w:r>
      <w:r w:rsidRPr="00DA0DCD">
        <w:rPr>
          <w:lang w:val="en-US"/>
        </w:rPr>
        <w:t xml:space="preserve"> if we see the </w:t>
      </w:r>
      <w:r w:rsidR="00F72182" w:rsidRPr="00DA0DCD">
        <w:rPr>
          <w:lang w:val="en-US"/>
        </w:rPr>
        <w:t xml:space="preserve">positive beta </w:t>
      </w:r>
      <w:r w:rsidRPr="00DA0DCD">
        <w:rPr>
          <w:lang w:val="en-US"/>
        </w:rPr>
        <w:t xml:space="preserve">outcome of </w:t>
      </w:r>
      <w:r w:rsidR="007920FD">
        <w:rPr>
          <w:lang w:val="en-US"/>
        </w:rPr>
        <w:t>the fifth event</w:t>
      </w:r>
      <w:r w:rsidR="006C5F49">
        <w:rPr>
          <w:lang w:val="en-US"/>
        </w:rPr>
        <w:t xml:space="preserve"> window</w:t>
      </w:r>
      <w:r w:rsidRPr="00DA0DCD">
        <w:rPr>
          <w:lang w:val="en-US"/>
        </w:rPr>
        <w:t xml:space="preserve">. </w:t>
      </w:r>
      <w:r w:rsidR="00F72182" w:rsidRPr="00DA0DCD">
        <w:rPr>
          <w:lang w:val="en-US"/>
        </w:rPr>
        <w:t xml:space="preserve">The positive </w:t>
      </w:r>
      <w:r w:rsidR="00E70052" w:rsidRPr="00DA0DCD">
        <w:rPr>
          <w:lang w:val="en-US"/>
        </w:rPr>
        <w:t>beta represents</w:t>
      </w:r>
      <w:r w:rsidR="00F72182" w:rsidRPr="00DA0DCD">
        <w:rPr>
          <w:lang w:val="en-US"/>
        </w:rPr>
        <w:t xml:space="preserve"> a positive stock price reaction. </w:t>
      </w:r>
      <w:r w:rsidRPr="00DA0DCD">
        <w:rPr>
          <w:lang w:val="en-US"/>
        </w:rPr>
        <w:t xml:space="preserve">Event </w:t>
      </w:r>
      <w:r w:rsidR="00E70052" w:rsidRPr="00DA0DCD">
        <w:rPr>
          <w:lang w:val="en-US"/>
        </w:rPr>
        <w:t>five is the major point of this thesis and represents</w:t>
      </w:r>
      <w:r w:rsidRPr="00DA0DCD">
        <w:rPr>
          <w:lang w:val="en-US"/>
        </w:rPr>
        <w:t xml:space="preserve"> the amendment of IAS </w:t>
      </w:r>
      <w:r w:rsidR="00E70052" w:rsidRPr="00DA0DCD">
        <w:rPr>
          <w:lang w:val="en-US"/>
        </w:rPr>
        <w:t>39 that</w:t>
      </w:r>
      <w:r w:rsidRPr="00DA0DCD">
        <w:rPr>
          <w:lang w:val="en-US"/>
        </w:rPr>
        <w:t xml:space="preserve"> introduced the possibility to reclassify financial instruments. </w:t>
      </w:r>
      <w:r w:rsidR="00E70052" w:rsidRPr="00DA0DCD">
        <w:rPr>
          <w:lang w:val="en-US"/>
        </w:rPr>
        <w:t>Therefore</w:t>
      </w:r>
      <w:r w:rsidRPr="00DA0DCD">
        <w:rPr>
          <w:lang w:val="en-US"/>
        </w:rPr>
        <w:t xml:space="preserve">, </w:t>
      </w:r>
      <w:r w:rsidR="000D1738">
        <w:rPr>
          <w:lang w:val="en-US"/>
        </w:rPr>
        <w:t xml:space="preserve">there </w:t>
      </w:r>
      <w:r w:rsidR="00246C11">
        <w:rPr>
          <w:lang w:val="en-US"/>
        </w:rPr>
        <w:t xml:space="preserve">should </w:t>
      </w:r>
      <w:r w:rsidR="000D1738">
        <w:rPr>
          <w:lang w:val="en-US"/>
        </w:rPr>
        <w:t xml:space="preserve">be other reasons for a negative stock price reaction during the first through fourth </w:t>
      </w:r>
      <w:r w:rsidR="007920FD">
        <w:rPr>
          <w:lang w:val="en-US"/>
        </w:rPr>
        <w:t>event</w:t>
      </w:r>
      <w:r w:rsidR="000D1738" w:rsidRPr="00637874">
        <w:rPr>
          <w:lang w:val="en-US"/>
        </w:rPr>
        <w:t xml:space="preserve">. </w:t>
      </w:r>
      <w:r w:rsidR="00637874" w:rsidRPr="00637874">
        <w:rPr>
          <w:lang w:val="en-US"/>
        </w:rPr>
        <w:t>P</w:t>
      </w:r>
      <w:r w:rsidR="000D1738" w:rsidRPr="00637874">
        <w:rPr>
          <w:lang w:val="en-US"/>
        </w:rPr>
        <w:t>ossible reasons</w:t>
      </w:r>
      <w:r w:rsidR="00246C11" w:rsidRPr="00637874">
        <w:rPr>
          <w:lang w:val="en-US"/>
        </w:rPr>
        <w:t xml:space="preserve"> </w:t>
      </w:r>
      <w:r w:rsidR="00BC55B0">
        <w:rPr>
          <w:lang w:val="en-US"/>
        </w:rPr>
        <w:t>with an e</w:t>
      </w:r>
      <w:r w:rsidR="00246C11" w:rsidRPr="00637874">
        <w:rPr>
          <w:lang w:val="en-US"/>
        </w:rPr>
        <w:t>xplanation are</w:t>
      </w:r>
      <w:r w:rsidR="000D1738" w:rsidRPr="00637874">
        <w:rPr>
          <w:lang w:val="en-US"/>
        </w:rPr>
        <w:t xml:space="preserve"> pointed out </w:t>
      </w:r>
      <w:r w:rsidR="00246C11" w:rsidRPr="00637874">
        <w:rPr>
          <w:lang w:val="en-US"/>
        </w:rPr>
        <w:t>under.</w:t>
      </w:r>
    </w:p>
    <w:p w:rsidR="00C459C3" w:rsidRPr="009044DD" w:rsidRDefault="00C459C3" w:rsidP="000D1738">
      <w:pPr>
        <w:pStyle w:val="Lijstalinea"/>
        <w:numPr>
          <w:ilvl w:val="0"/>
          <w:numId w:val="18"/>
        </w:numPr>
        <w:rPr>
          <w:lang w:val="en-US"/>
        </w:rPr>
      </w:pPr>
      <w:r w:rsidRPr="009044DD">
        <w:rPr>
          <w:lang w:val="en-US"/>
        </w:rPr>
        <w:t xml:space="preserve">It is possible that the stock prices </w:t>
      </w:r>
      <w:r w:rsidR="004A2805" w:rsidRPr="009044DD">
        <w:rPr>
          <w:lang w:val="en-US"/>
        </w:rPr>
        <w:t xml:space="preserve">of financial institutions </w:t>
      </w:r>
      <w:r w:rsidRPr="009044DD">
        <w:rPr>
          <w:lang w:val="en-US"/>
        </w:rPr>
        <w:t>react on other events</w:t>
      </w:r>
      <w:r w:rsidR="007920FD" w:rsidRPr="009044DD">
        <w:rPr>
          <w:lang w:val="en-US"/>
        </w:rPr>
        <w:t xml:space="preserve"> (news) during the tested event</w:t>
      </w:r>
      <w:r w:rsidR="004A2805" w:rsidRPr="009044DD">
        <w:rPr>
          <w:lang w:val="en-US"/>
        </w:rPr>
        <w:t>s one through four.</w:t>
      </w:r>
    </w:p>
    <w:p w:rsidR="000E148A" w:rsidRPr="009044DD" w:rsidRDefault="008109FB" w:rsidP="004A2805">
      <w:pPr>
        <w:pStyle w:val="Lijstalinea"/>
        <w:numPr>
          <w:ilvl w:val="0"/>
          <w:numId w:val="18"/>
        </w:numPr>
        <w:rPr>
          <w:lang w:val="en-US"/>
        </w:rPr>
      </w:pPr>
      <w:r w:rsidRPr="009044DD">
        <w:rPr>
          <w:lang w:val="en-US"/>
        </w:rPr>
        <w:t xml:space="preserve">Another possibility is the </w:t>
      </w:r>
      <w:r w:rsidR="00A903A0" w:rsidRPr="009044DD">
        <w:rPr>
          <w:lang w:val="en-US"/>
        </w:rPr>
        <w:t>experienced</w:t>
      </w:r>
      <w:r w:rsidRPr="009044DD">
        <w:rPr>
          <w:lang w:val="en-US"/>
        </w:rPr>
        <w:t xml:space="preserve"> d</w:t>
      </w:r>
      <w:r w:rsidR="004A2805" w:rsidRPr="009044DD">
        <w:rPr>
          <w:lang w:val="en-US"/>
        </w:rPr>
        <w:t>oubt</w:t>
      </w:r>
      <w:r w:rsidRPr="009044DD">
        <w:rPr>
          <w:lang w:val="en-US"/>
        </w:rPr>
        <w:t xml:space="preserve"> </w:t>
      </w:r>
      <w:r w:rsidR="00A903A0" w:rsidRPr="009044DD">
        <w:rPr>
          <w:lang w:val="en-US"/>
        </w:rPr>
        <w:t>of</w:t>
      </w:r>
      <w:r w:rsidR="004A2805" w:rsidRPr="009044DD">
        <w:rPr>
          <w:lang w:val="en-US"/>
        </w:rPr>
        <w:t xml:space="preserve"> investors</w:t>
      </w:r>
      <w:r w:rsidRPr="009044DD">
        <w:rPr>
          <w:lang w:val="en-US"/>
        </w:rPr>
        <w:t xml:space="preserve"> of financial institutions</w:t>
      </w:r>
      <w:r w:rsidR="009044DD" w:rsidRPr="009044DD">
        <w:rPr>
          <w:lang w:val="en-US"/>
        </w:rPr>
        <w:t xml:space="preserve"> about FVA</w:t>
      </w:r>
      <w:r w:rsidRPr="009044DD">
        <w:rPr>
          <w:lang w:val="en-US"/>
        </w:rPr>
        <w:t>.</w:t>
      </w:r>
      <w:r w:rsidR="005C7292" w:rsidRPr="009044DD">
        <w:rPr>
          <w:lang w:val="en-US"/>
        </w:rPr>
        <w:t xml:space="preserve"> In the news</w:t>
      </w:r>
      <w:r w:rsidR="00681341" w:rsidRPr="009044DD">
        <w:rPr>
          <w:lang w:val="en-US"/>
        </w:rPr>
        <w:t>, banks and politicians stated</w:t>
      </w:r>
      <w:r w:rsidR="005C7292" w:rsidRPr="009044DD">
        <w:rPr>
          <w:lang w:val="en-US"/>
        </w:rPr>
        <w:t xml:space="preserve"> concerns and criticism</w:t>
      </w:r>
      <w:r w:rsidR="00681341" w:rsidRPr="009044DD">
        <w:rPr>
          <w:lang w:val="en-US"/>
        </w:rPr>
        <w:t xml:space="preserve"> concerning </w:t>
      </w:r>
      <w:r w:rsidR="005C7292" w:rsidRPr="009044DD">
        <w:rPr>
          <w:lang w:val="en-US"/>
        </w:rPr>
        <w:t xml:space="preserve">FVA. </w:t>
      </w:r>
      <w:r w:rsidR="00A903A0" w:rsidRPr="009044DD">
        <w:rPr>
          <w:lang w:val="en-US"/>
        </w:rPr>
        <w:t>Initially</w:t>
      </w:r>
      <w:r w:rsidR="005C7292" w:rsidRPr="009044DD">
        <w:rPr>
          <w:lang w:val="en-US"/>
        </w:rPr>
        <w:t>,</w:t>
      </w:r>
      <w:r w:rsidR="00681341" w:rsidRPr="009044DD">
        <w:rPr>
          <w:lang w:val="en-US"/>
        </w:rPr>
        <w:t xml:space="preserve"> the IASB defended FVA because</w:t>
      </w:r>
      <w:r w:rsidR="00830EB7" w:rsidRPr="009044DD">
        <w:rPr>
          <w:lang w:val="en-US"/>
        </w:rPr>
        <w:t xml:space="preserve"> they</w:t>
      </w:r>
      <w:r w:rsidR="00681341" w:rsidRPr="009044DD">
        <w:rPr>
          <w:lang w:val="en-US"/>
        </w:rPr>
        <w:t xml:space="preserve"> </w:t>
      </w:r>
      <w:r w:rsidR="00830EB7" w:rsidRPr="009044DD">
        <w:rPr>
          <w:lang w:val="en-US"/>
        </w:rPr>
        <w:t xml:space="preserve">seem fair value as the only appropriate measure of financial instruments. </w:t>
      </w:r>
      <w:r w:rsidR="00246C11" w:rsidRPr="009044DD">
        <w:rPr>
          <w:lang w:val="en-US"/>
        </w:rPr>
        <w:t>Hence,</w:t>
      </w:r>
      <w:r w:rsidR="00681341" w:rsidRPr="009044DD">
        <w:rPr>
          <w:lang w:val="en-US"/>
        </w:rPr>
        <w:t xml:space="preserve"> </w:t>
      </w:r>
      <w:r w:rsidR="00246C11" w:rsidRPr="009044DD">
        <w:rPr>
          <w:lang w:val="en-US"/>
        </w:rPr>
        <w:t>a</w:t>
      </w:r>
      <w:r w:rsidR="00801D66" w:rsidRPr="009044DD">
        <w:rPr>
          <w:lang w:val="en-US"/>
        </w:rPr>
        <w:t>nother measure than fair value involves a more reliance on the subjective estimates of management</w:t>
      </w:r>
      <w:r w:rsidR="00246C11" w:rsidRPr="009044DD">
        <w:rPr>
          <w:lang w:val="en-US"/>
        </w:rPr>
        <w:t xml:space="preserve"> and s</w:t>
      </w:r>
      <w:r w:rsidR="00801D66" w:rsidRPr="009044DD">
        <w:rPr>
          <w:lang w:val="en-US"/>
        </w:rPr>
        <w:t xml:space="preserve">ometimes investors </w:t>
      </w:r>
      <w:r w:rsidR="00246C11" w:rsidRPr="009044DD">
        <w:rPr>
          <w:lang w:val="en-US"/>
        </w:rPr>
        <w:t>dislike the estimates of management</w:t>
      </w:r>
      <w:r w:rsidR="00801D66" w:rsidRPr="009044DD">
        <w:rPr>
          <w:lang w:val="en-US"/>
        </w:rPr>
        <w:t xml:space="preserve"> (Hughes, 2008b)</w:t>
      </w:r>
      <w:r w:rsidR="00246C11" w:rsidRPr="009044DD">
        <w:rPr>
          <w:lang w:val="en-US"/>
        </w:rPr>
        <w:t>.</w:t>
      </w:r>
      <w:r w:rsidR="00A903A0" w:rsidRPr="009044DD">
        <w:rPr>
          <w:lang w:val="en-US"/>
        </w:rPr>
        <w:t xml:space="preserve"> </w:t>
      </w:r>
      <w:r w:rsidR="00AD4D63" w:rsidRPr="009044DD">
        <w:rPr>
          <w:lang w:val="en-US"/>
        </w:rPr>
        <w:t>Later, o</w:t>
      </w:r>
      <w:r w:rsidR="00A903A0" w:rsidRPr="009044DD">
        <w:rPr>
          <w:lang w:val="en-US"/>
        </w:rPr>
        <w:t xml:space="preserve">n October 13, 2008, the IASB introduced the reclassification option in IAS 39. </w:t>
      </w:r>
      <w:r w:rsidR="00AD4D63" w:rsidRPr="009044DD">
        <w:rPr>
          <w:lang w:val="en-US"/>
        </w:rPr>
        <w:t>The amendment made it possible for financial institutions to reclassify financial instruments.  However, the</w:t>
      </w:r>
      <w:r w:rsidR="00C5270C" w:rsidRPr="009044DD">
        <w:rPr>
          <w:lang w:val="en-US"/>
        </w:rPr>
        <w:t xml:space="preserve"> possibility to</w:t>
      </w:r>
      <w:r w:rsidR="00AD4D63" w:rsidRPr="009044DD">
        <w:rPr>
          <w:lang w:val="en-US"/>
        </w:rPr>
        <w:t xml:space="preserve"> reclassif</w:t>
      </w:r>
      <w:r w:rsidR="00C5270C" w:rsidRPr="009044DD">
        <w:rPr>
          <w:lang w:val="en-US"/>
        </w:rPr>
        <w:t>y</w:t>
      </w:r>
      <w:r w:rsidR="00AD4D63" w:rsidRPr="009044DD">
        <w:rPr>
          <w:lang w:val="en-US"/>
        </w:rPr>
        <w:t xml:space="preserve"> financial instruments does not increase the confidence of investors in financial reporting.</w:t>
      </w:r>
    </w:p>
    <w:p w:rsidR="005C7292" w:rsidRPr="009044DD" w:rsidRDefault="000E148A" w:rsidP="004A2805">
      <w:pPr>
        <w:pStyle w:val="Lijstalinea"/>
        <w:numPr>
          <w:ilvl w:val="0"/>
          <w:numId w:val="18"/>
        </w:numPr>
        <w:rPr>
          <w:lang w:val="en-US"/>
        </w:rPr>
      </w:pPr>
      <w:r w:rsidRPr="009044DD">
        <w:rPr>
          <w:lang w:val="en-US"/>
        </w:rPr>
        <w:t>The length of the event windows could also be the reason for the resulting negative stock price reaction during</w:t>
      </w:r>
      <w:r w:rsidR="007920FD" w:rsidRPr="009044DD">
        <w:rPr>
          <w:lang w:val="en-US"/>
        </w:rPr>
        <w:t xml:space="preserve"> the first through fourth event</w:t>
      </w:r>
      <w:r w:rsidRPr="009044DD">
        <w:rPr>
          <w:lang w:val="en-US"/>
        </w:rPr>
        <w:t>. A possibility is that the event windows</w:t>
      </w:r>
      <w:r w:rsidR="00C805B6" w:rsidRPr="009044DD">
        <w:rPr>
          <w:lang w:val="en-US"/>
        </w:rPr>
        <w:t xml:space="preserve"> (1-4)</w:t>
      </w:r>
      <w:r w:rsidRPr="009044DD">
        <w:rPr>
          <w:lang w:val="en-US"/>
        </w:rPr>
        <w:t xml:space="preserve"> were too short, where the effect of the event were already reflected into the stock price of financial institutions. This is consistent with the Efficient Market Hypothesis (EMH) of Fama (1970). At the semi-strong form of the EMH, all the public available information </w:t>
      </w:r>
      <w:r w:rsidR="00C805B6" w:rsidRPr="009044DD">
        <w:rPr>
          <w:lang w:val="en-US"/>
        </w:rPr>
        <w:t>is</w:t>
      </w:r>
      <w:r w:rsidRPr="009044DD">
        <w:rPr>
          <w:lang w:val="en-US"/>
        </w:rPr>
        <w:t xml:space="preserve"> already reflected in the stock prices. When the investors already knew the announcements during</w:t>
      </w:r>
      <w:r w:rsidR="007920FD" w:rsidRPr="009044DD">
        <w:rPr>
          <w:lang w:val="en-US"/>
        </w:rPr>
        <w:t xml:space="preserve"> the first through fourth event</w:t>
      </w:r>
      <w:r w:rsidRPr="009044DD">
        <w:rPr>
          <w:lang w:val="en-US"/>
        </w:rPr>
        <w:t>, it is possible that the event (1-4) measured the effect of the event to late. In other words, the event window</w:t>
      </w:r>
      <w:r w:rsidR="00C805B6" w:rsidRPr="009044DD">
        <w:rPr>
          <w:lang w:val="en-US"/>
        </w:rPr>
        <w:t>s</w:t>
      </w:r>
      <w:r w:rsidRPr="009044DD">
        <w:rPr>
          <w:lang w:val="en-US"/>
        </w:rPr>
        <w:t xml:space="preserve"> could be too short and therefore the effect of the event is not measured. The fifth event is measured over a longer period of five days, where the first through fourth event is measured over a period of three days.</w:t>
      </w:r>
    </w:p>
    <w:p w:rsidR="004A2805" w:rsidRPr="00637874" w:rsidRDefault="00C805B6" w:rsidP="004A2805">
      <w:pPr>
        <w:rPr>
          <w:lang w:val="en-US"/>
        </w:rPr>
      </w:pPr>
      <w:r>
        <w:rPr>
          <w:lang w:val="en-US"/>
        </w:rPr>
        <w:t>D</w:t>
      </w:r>
      <w:r w:rsidR="004A2805" w:rsidRPr="00637874">
        <w:rPr>
          <w:lang w:val="en-US"/>
        </w:rPr>
        <w:t>ifference</w:t>
      </w:r>
      <w:r>
        <w:rPr>
          <w:lang w:val="en-US"/>
        </w:rPr>
        <w:t>s</w:t>
      </w:r>
      <w:r w:rsidR="004A2805" w:rsidRPr="00637874">
        <w:rPr>
          <w:lang w:val="en-US"/>
        </w:rPr>
        <w:t xml:space="preserve"> between the US and Europe </w:t>
      </w:r>
      <w:r w:rsidR="00C62D17" w:rsidRPr="00637874">
        <w:rPr>
          <w:lang w:val="en-US"/>
        </w:rPr>
        <w:t>could</w:t>
      </w:r>
      <w:r w:rsidR="004A2805" w:rsidRPr="00637874">
        <w:rPr>
          <w:lang w:val="en-US"/>
        </w:rPr>
        <w:t xml:space="preserve"> </w:t>
      </w:r>
      <w:r w:rsidR="002C6D16" w:rsidRPr="00637874">
        <w:rPr>
          <w:lang w:val="en-US"/>
        </w:rPr>
        <w:t>be</w:t>
      </w:r>
      <w:r w:rsidR="004A2805" w:rsidRPr="00637874">
        <w:rPr>
          <w:lang w:val="en-US"/>
        </w:rPr>
        <w:t xml:space="preserve"> a reason for a different way of stock price reactions on events concerning the introduction of </w:t>
      </w:r>
      <w:r w:rsidR="00637874">
        <w:rPr>
          <w:lang w:val="en-US"/>
        </w:rPr>
        <w:t xml:space="preserve">an </w:t>
      </w:r>
      <w:r w:rsidR="00637874" w:rsidRPr="00637874">
        <w:rPr>
          <w:lang w:val="en-US"/>
        </w:rPr>
        <w:t xml:space="preserve">FVA </w:t>
      </w:r>
      <w:r w:rsidR="004A2805" w:rsidRPr="00637874">
        <w:rPr>
          <w:lang w:val="en-US"/>
        </w:rPr>
        <w:t xml:space="preserve">accounting rules </w:t>
      </w:r>
      <w:r w:rsidR="002C6D16" w:rsidRPr="00637874">
        <w:rPr>
          <w:lang w:val="en-US"/>
        </w:rPr>
        <w:t>change</w:t>
      </w:r>
      <w:r w:rsidR="004A2805" w:rsidRPr="00637874">
        <w:rPr>
          <w:lang w:val="en-US"/>
        </w:rPr>
        <w:t>. This could include the following differences between the US and Europe.</w:t>
      </w:r>
    </w:p>
    <w:p w:rsidR="00716BE8" w:rsidRPr="00637874" w:rsidRDefault="00016EEF" w:rsidP="00090DA4">
      <w:pPr>
        <w:pStyle w:val="Lijstalinea"/>
        <w:numPr>
          <w:ilvl w:val="0"/>
          <w:numId w:val="18"/>
        </w:numPr>
        <w:rPr>
          <w:lang w:val="en-US"/>
        </w:rPr>
      </w:pPr>
      <w:r w:rsidRPr="00637874">
        <w:rPr>
          <w:lang w:val="en-US"/>
        </w:rPr>
        <w:t>As described in paragraph 2.9, there are difference</w:t>
      </w:r>
      <w:r w:rsidR="00BC55B0">
        <w:rPr>
          <w:lang w:val="en-US"/>
        </w:rPr>
        <w:t>s</w:t>
      </w:r>
      <w:r w:rsidRPr="00637874">
        <w:rPr>
          <w:lang w:val="en-US"/>
        </w:rPr>
        <w:t xml:space="preserve"> between corporate governance in the US and Europe. If we start looking at the regulation on corporate governance, the rules</w:t>
      </w:r>
      <w:r w:rsidR="0071676F" w:rsidRPr="00637874">
        <w:rPr>
          <w:lang w:val="en-US"/>
        </w:rPr>
        <w:t xml:space="preserve"> in the US are established in the Sarbanes Oxley act in 2002. Sox regulation has an effect on the </w:t>
      </w:r>
      <w:r w:rsidR="0071676F" w:rsidRPr="00637874">
        <w:rPr>
          <w:lang w:val="en-US"/>
        </w:rPr>
        <w:lastRenderedPageBreak/>
        <w:t xml:space="preserve">responsibilities in relation with financial reporting of board of </w:t>
      </w:r>
      <w:r w:rsidR="002C6D16" w:rsidRPr="00637874">
        <w:rPr>
          <w:lang w:val="en-US"/>
        </w:rPr>
        <w:t>directors,</w:t>
      </w:r>
      <w:r w:rsidR="0071676F" w:rsidRPr="00637874">
        <w:rPr>
          <w:lang w:val="en-US"/>
        </w:rPr>
        <w:t xml:space="preserve"> corporate managers and public auditors. Corporate governance codes in Europe are less stringent. In accordance with Wymeersch (2005) most of the codes in Europe </w:t>
      </w:r>
      <w:r w:rsidR="00BC55B0" w:rsidRPr="00637874">
        <w:rPr>
          <w:lang w:val="en-US"/>
        </w:rPr>
        <w:t xml:space="preserve">have </w:t>
      </w:r>
      <w:r w:rsidR="0071676F" w:rsidRPr="00637874">
        <w:rPr>
          <w:lang w:val="en-US"/>
        </w:rPr>
        <w:t xml:space="preserve">a status of recommendations whereby most of the time the code is not mandatory and not enforced by the public authorities. The difference </w:t>
      </w:r>
      <w:r w:rsidR="000F25D2">
        <w:rPr>
          <w:lang w:val="en-US"/>
        </w:rPr>
        <w:t>in</w:t>
      </w:r>
      <w:r w:rsidR="0071676F" w:rsidRPr="00637874">
        <w:rPr>
          <w:lang w:val="en-US"/>
        </w:rPr>
        <w:t xml:space="preserve"> corporate governance regulation between the two regions may have an effect on the difference in stock price reaction </w:t>
      </w:r>
      <w:r w:rsidR="00090DA4" w:rsidRPr="00637874">
        <w:rPr>
          <w:lang w:val="en-US"/>
        </w:rPr>
        <w:t>on the introduction of the change in fair value rules</w:t>
      </w:r>
      <w:r w:rsidR="0071676F" w:rsidRPr="00637874">
        <w:rPr>
          <w:lang w:val="en-US"/>
        </w:rPr>
        <w:t>.</w:t>
      </w:r>
    </w:p>
    <w:p w:rsidR="00EC703A" w:rsidRPr="00637874" w:rsidRDefault="00090DA4" w:rsidP="000E148A">
      <w:pPr>
        <w:pStyle w:val="Lijstalinea"/>
        <w:numPr>
          <w:ilvl w:val="0"/>
          <w:numId w:val="18"/>
        </w:numPr>
        <w:rPr>
          <w:lang w:val="en-US"/>
        </w:rPr>
      </w:pPr>
      <w:r w:rsidRPr="00637874">
        <w:rPr>
          <w:lang w:val="en-US"/>
        </w:rPr>
        <w:t xml:space="preserve">In accordance with Palepu at al. (2007), there are also differences between the US and Europe in </w:t>
      </w:r>
      <w:r w:rsidR="00AA7639" w:rsidRPr="00637874">
        <w:rPr>
          <w:lang w:val="en-US"/>
        </w:rPr>
        <w:t xml:space="preserve">relation to the source of financial information, flow of financial information and way </w:t>
      </w:r>
      <w:r w:rsidR="00AD4D63">
        <w:rPr>
          <w:lang w:val="en-US"/>
        </w:rPr>
        <w:t xml:space="preserve">in which </w:t>
      </w:r>
      <w:r w:rsidR="00AA7639" w:rsidRPr="00637874">
        <w:rPr>
          <w:lang w:val="en-US"/>
        </w:rPr>
        <w:t>financial decisions</w:t>
      </w:r>
      <w:r w:rsidR="00AD4D63">
        <w:rPr>
          <w:lang w:val="en-US"/>
        </w:rPr>
        <w:t xml:space="preserve"> are made</w:t>
      </w:r>
      <w:r w:rsidR="00AA7639" w:rsidRPr="00637874">
        <w:rPr>
          <w:lang w:val="en-US"/>
        </w:rPr>
        <w:t xml:space="preserve">. They distinguish two models, the </w:t>
      </w:r>
      <w:r w:rsidR="006E73EA" w:rsidRPr="00637874">
        <w:rPr>
          <w:lang w:val="en-US"/>
        </w:rPr>
        <w:t>C</w:t>
      </w:r>
      <w:r w:rsidR="00AA7639" w:rsidRPr="00637874">
        <w:rPr>
          <w:lang w:val="en-US"/>
        </w:rPr>
        <w:t xml:space="preserve">ontinental model (Rheinland model) and the Anglo Saxon model. The </w:t>
      </w:r>
      <w:r w:rsidR="006E73EA" w:rsidRPr="00637874">
        <w:rPr>
          <w:lang w:val="en-US"/>
        </w:rPr>
        <w:t>C</w:t>
      </w:r>
      <w:r w:rsidR="00AA7639" w:rsidRPr="00637874">
        <w:rPr>
          <w:lang w:val="en-US"/>
        </w:rPr>
        <w:t xml:space="preserve">ontinental model </w:t>
      </w:r>
      <w:r w:rsidR="006E73EA" w:rsidRPr="00637874">
        <w:rPr>
          <w:lang w:val="en-US"/>
        </w:rPr>
        <w:t>represents many European countries where the protection of individual shareholders is weak. Hence, the board consists of two-tier</w:t>
      </w:r>
      <w:r w:rsidR="007A4073">
        <w:rPr>
          <w:lang w:val="en-US"/>
        </w:rPr>
        <w:t>s</w:t>
      </w:r>
      <w:r w:rsidR="006E73EA" w:rsidRPr="00637874">
        <w:rPr>
          <w:lang w:val="en-US"/>
        </w:rPr>
        <w:t>, which strives for creating stakeholders value. In this situation, the board of directors is powerful. The Anglo Saxon model represents for instance the US and the UK</w:t>
      </w:r>
      <w:r w:rsidR="00BC55B0">
        <w:rPr>
          <w:lang w:val="en-US"/>
        </w:rPr>
        <w:t>,</w:t>
      </w:r>
      <w:r w:rsidR="006E73EA" w:rsidRPr="00637874">
        <w:rPr>
          <w:lang w:val="en-US"/>
        </w:rPr>
        <w:t xml:space="preserve"> where individual shareholders are protected strongly.</w:t>
      </w:r>
      <w:r w:rsidR="00A90419" w:rsidRPr="00637874">
        <w:rPr>
          <w:lang w:val="en-US"/>
        </w:rPr>
        <w:t xml:space="preserve"> The board consists of one tier and aims to create shareholder value. In this </w:t>
      </w:r>
      <w:r w:rsidR="007A4073" w:rsidRPr="00637874">
        <w:rPr>
          <w:lang w:val="en-US"/>
        </w:rPr>
        <w:t>situation,</w:t>
      </w:r>
      <w:r w:rsidR="00A90419" w:rsidRPr="00637874">
        <w:rPr>
          <w:lang w:val="en-US"/>
        </w:rPr>
        <w:t xml:space="preserve"> shareholders are powerful. In the Continental model, financial intermediaries (such as banks) provide most capital in the financial system and financial intermediaries important for shareholders in providing financial information. In the Anglo Saxon </w:t>
      </w:r>
      <w:r w:rsidR="00C62D17" w:rsidRPr="00637874">
        <w:rPr>
          <w:lang w:val="en-US"/>
        </w:rPr>
        <w:t>model,</w:t>
      </w:r>
      <w:r w:rsidR="00A90419" w:rsidRPr="00637874">
        <w:rPr>
          <w:lang w:val="en-US"/>
        </w:rPr>
        <w:t xml:space="preserve"> shareholders are more dispersed in a group of individuals where information intermediaries are important </w:t>
      </w:r>
      <w:r w:rsidR="007A4073">
        <w:rPr>
          <w:lang w:val="en-US"/>
        </w:rPr>
        <w:t>in</w:t>
      </w:r>
      <w:r w:rsidR="00A90419" w:rsidRPr="00637874">
        <w:rPr>
          <w:lang w:val="en-US"/>
        </w:rPr>
        <w:t xml:space="preserve"> providing financial information.</w:t>
      </w:r>
      <w:r w:rsidR="00C62D17" w:rsidRPr="00637874">
        <w:rPr>
          <w:lang w:val="en-US"/>
        </w:rPr>
        <w:t xml:space="preserve"> So, these differences between both regions could be part responsible for the negative stock price reaction during the first through fourth event. However, there is a tendency in Europe in changing from the Continental model to the Anglo Saxon model.</w:t>
      </w:r>
    </w:p>
    <w:p w:rsidR="00EE1FD5" w:rsidRPr="00637874" w:rsidRDefault="00EE1FD5" w:rsidP="00BA5D31">
      <w:pPr>
        <w:rPr>
          <w:lang w:val="en-US"/>
        </w:rPr>
      </w:pPr>
      <w:r w:rsidRPr="00637874">
        <w:rPr>
          <w:lang w:val="en-US"/>
        </w:rPr>
        <w:t>If the</w:t>
      </w:r>
      <w:r w:rsidR="005E49A9" w:rsidRPr="00637874">
        <w:rPr>
          <w:lang w:val="en-US"/>
        </w:rPr>
        <w:t xml:space="preserve"> different</w:t>
      </w:r>
      <w:r w:rsidRPr="00637874">
        <w:rPr>
          <w:lang w:val="en-US"/>
        </w:rPr>
        <w:t xml:space="preserve"> possib</w:t>
      </w:r>
      <w:r w:rsidR="005E49A9" w:rsidRPr="00637874">
        <w:rPr>
          <w:lang w:val="en-US"/>
        </w:rPr>
        <w:t>ilities</w:t>
      </w:r>
      <w:r w:rsidRPr="00637874">
        <w:rPr>
          <w:lang w:val="en-US"/>
        </w:rPr>
        <w:t xml:space="preserve"> </w:t>
      </w:r>
      <w:r w:rsidR="005E49A9" w:rsidRPr="00637874">
        <w:rPr>
          <w:lang w:val="en-US"/>
        </w:rPr>
        <w:t>a</w:t>
      </w:r>
      <w:r w:rsidRPr="00637874">
        <w:rPr>
          <w:lang w:val="en-US"/>
        </w:rPr>
        <w:t xml:space="preserve">s described above were the reason for a negative stock price reaction during the first </w:t>
      </w:r>
      <w:r w:rsidR="007920FD">
        <w:rPr>
          <w:lang w:val="en-US"/>
        </w:rPr>
        <w:t>through fourth event</w:t>
      </w:r>
      <w:r w:rsidR="00AD4D63">
        <w:rPr>
          <w:lang w:val="en-US"/>
        </w:rPr>
        <w:t>, the</w:t>
      </w:r>
      <w:r w:rsidRPr="00637874">
        <w:rPr>
          <w:lang w:val="en-US"/>
        </w:rPr>
        <w:t xml:space="preserve">n the outcome </w:t>
      </w:r>
      <w:r w:rsidR="00AD4D63">
        <w:rPr>
          <w:lang w:val="en-US"/>
        </w:rPr>
        <w:t>during</w:t>
      </w:r>
      <w:r w:rsidR="007920FD">
        <w:rPr>
          <w:lang w:val="en-US"/>
        </w:rPr>
        <w:t xml:space="preserve"> the event</w:t>
      </w:r>
      <w:r w:rsidRPr="00637874">
        <w:rPr>
          <w:lang w:val="en-US"/>
        </w:rPr>
        <w:t xml:space="preserve">s combined would change. This will be </w:t>
      </w:r>
      <w:r w:rsidR="009A4628" w:rsidRPr="00637874">
        <w:rPr>
          <w:lang w:val="en-US"/>
        </w:rPr>
        <w:t>explained further in paragraph 8</w:t>
      </w:r>
      <w:r w:rsidRPr="00637874">
        <w:rPr>
          <w:lang w:val="en-US"/>
        </w:rPr>
        <w:t>.5</w:t>
      </w:r>
      <w:r w:rsidR="002C6D16" w:rsidRPr="00637874">
        <w:rPr>
          <w:lang w:val="en-US"/>
        </w:rPr>
        <w:t xml:space="preserve"> and appendix G.</w:t>
      </w:r>
    </w:p>
    <w:p w:rsidR="00BA5D31" w:rsidRPr="00DA0DCD" w:rsidRDefault="00BA5D31" w:rsidP="00BA5D31">
      <w:pPr>
        <w:rPr>
          <w:color w:val="FF0000"/>
          <w:lang w:val="en-US"/>
        </w:rPr>
      </w:pPr>
      <w:r w:rsidRPr="00DA0DCD">
        <w:rPr>
          <w:lang w:val="en-US"/>
        </w:rPr>
        <w:t>Event five, a major point during the event</w:t>
      </w:r>
      <w:r w:rsidR="00737D12" w:rsidRPr="00DA0DCD">
        <w:rPr>
          <w:lang w:val="en-US"/>
        </w:rPr>
        <w:t>s</w:t>
      </w:r>
      <w:r w:rsidR="00737D12">
        <w:rPr>
          <w:lang w:val="en-US"/>
        </w:rPr>
        <w:t>, which</w:t>
      </w:r>
      <w:r w:rsidR="00304ABF">
        <w:rPr>
          <w:lang w:val="en-US"/>
        </w:rPr>
        <w:t xml:space="preserve"> represent the </w:t>
      </w:r>
      <w:r w:rsidR="00304ABF" w:rsidRPr="00DA0DCD">
        <w:rPr>
          <w:lang w:val="en-US"/>
        </w:rPr>
        <w:t xml:space="preserve">amendment </w:t>
      </w:r>
      <w:r w:rsidR="00304ABF">
        <w:rPr>
          <w:lang w:val="en-US"/>
        </w:rPr>
        <w:t xml:space="preserve">of </w:t>
      </w:r>
      <w:r w:rsidR="00304ABF" w:rsidRPr="00DA0DCD">
        <w:rPr>
          <w:lang w:val="en-US"/>
        </w:rPr>
        <w:t>IAS</w:t>
      </w:r>
      <w:r w:rsidR="00304ABF">
        <w:rPr>
          <w:lang w:val="en-US"/>
        </w:rPr>
        <w:t xml:space="preserve"> 39,</w:t>
      </w:r>
      <w:r w:rsidR="00304ABF" w:rsidRPr="00DA0DCD">
        <w:rPr>
          <w:lang w:val="en-US"/>
        </w:rPr>
        <w:t xml:space="preserve"> </w:t>
      </w:r>
      <w:r w:rsidR="00304ABF">
        <w:rPr>
          <w:lang w:val="en-US"/>
        </w:rPr>
        <w:t>show</w:t>
      </w:r>
      <w:r w:rsidR="00EC703A">
        <w:rPr>
          <w:lang w:val="en-US"/>
        </w:rPr>
        <w:t>s</w:t>
      </w:r>
      <w:r w:rsidR="00304ABF" w:rsidRPr="00DA0DCD">
        <w:rPr>
          <w:lang w:val="en-US"/>
        </w:rPr>
        <w:t xml:space="preserve"> a positive stock price reaction with a positive beta of 0,018 and </w:t>
      </w:r>
      <w:r w:rsidR="00304ABF">
        <w:rPr>
          <w:lang w:val="en-US"/>
        </w:rPr>
        <w:t>is</w:t>
      </w:r>
      <w:r w:rsidRPr="00DA0DCD">
        <w:rPr>
          <w:lang w:val="en-US"/>
        </w:rPr>
        <w:t xml:space="preserve"> consistent with the first hypothesis. In other words, share prices of financial institutions (total sample) react positively on the </w:t>
      </w:r>
      <w:r w:rsidR="007A4073">
        <w:rPr>
          <w:lang w:val="en-US"/>
        </w:rPr>
        <w:t>introduction</w:t>
      </w:r>
      <w:r w:rsidRPr="00DA0DCD">
        <w:rPr>
          <w:lang w:val="en-US"/>
        </w:rPr>
        <w:t xml:space="preserve"> of the reclassification option under IAS 39.</w:t>
      </w:r>
      <w:r w:rsidR="00E70052" w:rsidRPr="00DA0DCD">
        <w:rPr>
          <w:lang w:val="en-US"/>
        </w:rPr>
        <w:t xml:space="preserve"> The results of </w:t>
      </w:r>
      <w:r w:rsidR="007A4073">
        <w:rPr>
          <w:lang w:val="en-US"/>
        </w:rPr>
        <w:t xml:space="preserve">all </w:t>
      </w:r>
      <w:r w:rsidR="007920FD">
        <w:rPr>
          <w:lang w:val="en-US"/>
        </w:rPr>
        <w:t>the individual event</w:t>
      </w:r>
      <w:r w:rsidR="00E70052" w:rsidRPr="00DA0DCD">
        <w:rPr>
          <w:lang w:val="en-US"/>
        </w:rPr>
        <w:t>s do</w:t>
      </w:r>
      <w:r w:rsidR="00737D12">
        <w:rPr>
          <w:lang w:val="en-US"/>
        </w:rPr>
        <w:t xml:space="preserve"> </w:t>
      </w:r>
      <w:r w:rsidR="00E70052" w:rsidRPr="00DA0DCD">
        <w:rPr>
          <w:lang w:val="en-US"/>
        </w:rPr>
        <w:t xml:space="preserve">not fully support hypothesis one. The predicted positive </w:t>
      </w:r>
      <w:r w:rsidR="00D53B97" w:rsidRPr="00DA0DCD">
        <w:rPr>
          <w:lang w:val="en-US"/>
        </w:rPr>
        <w:t>signs of the first through fourth event are</w:t>
      </w:r>
      <w:r w:rsidR="00E70052" w:rsidRPr="00DA0DCD">
        <w:rPr>
          <w:lang w:val="en-US"/>
        </w:rPr>
        <w:t xml:space="preserve"> not consistent with the outcome. </w:t>
      </w:r>
      <w:r w:rsidR="00D53B97" w:rsidRPr="00DA0DCD">
        <w:rPr>
          <w:lang w:val="en-US"/>
        </w:rPr>
        <w:t>Therefore, the event</w:t>
      </w:r>
      <w:r w:rsidR="00E57A94">
        <w:rPr>
          <w:lang w:val="en-US"/>
        </w:rPr>
        <w:t>s</w:t>
      </w:r>
      <w:r w:rsidR="00D53B97" w:rsidRPr="00DA0DCD">
        <w:rPr>
          <w:lang w:val="en-US"/>
        </w:rPr>
        <w:t xml:space="preserve"> together show a negative stock price reaction (beta) on the right side of table 7.3. </w:t>
      </w:r>
      <w:r w:rsidR="007A4073">
        <w:rPr>
          <w:lang w:val="en-US"/>
        </w:rPr>
        <w:t>On the whole</w:t>
      </w:r>
      <w:r w:rsidR="008B102B" w:rsidRPr="00DA0DCD">
        <w:rPr>
          <w:lang w:val="en-US"/>
        </w:rPr>
        <w:t>,</w:t>
      </w:r>
      <w:r w:rsidR="00304ABF">
        <w:rPr>
          <w:lang w:val="en-US"/>
        </w:rPr>
        <w:t xml:space="preserve"> the positive stock price reaction </w:t>
      </w:r>
      <w:r w:rsidR="00304ABF" w:rsidRPr="00DA0DCD">
        <w:rPr>
          <w:lang w:val="en-US"/>
        </w:rPr>
        <w:t xml:space="preserve">of financial institutions in Europe </w:t>
      </w:r>
      <w:r w:rsidR="00304ABF">
        <w:rPr>
          <w:lang w:val="en-US"/>
        </w:rPr>
        <w:t>during the fifth even</w:t>
      </w:r>
      <w:r w:rsidR="007920FD">
        <w:rPr>
          <w:lang w:val="en-US"/>
        </w:rPr>
        <w:t>t</w:t>
      </w:r>
      <w:r w:rsidR="00304ABF">
        <w:rPr>
          <w:lang w:val="en-US"/>
        </w:rPr>
        <w:t xml:space="preserve"> </w:t>
      </w:r>
      <w:r w:rsidR="008B102B" w:rsidRPr="00DA0DCD">
        <w:rPr>
          <w:lang w:val="en-US"/>
        </w:rPr>
        <w:t>support the first (overall) hypothesis.</w:t>
      </w:r>
    </w:p>
    <w:p w:rsidR="00BA5D31" w:rsidRPr="00DA0DCD" w:rsidRDefault="00BA5D31" w:rsidP="00BA5D31">
      <w:pPr>
        <w:rPr>
          <w:lang w:val="en-US"/>
        </w:rPr>
      </w:pPr>
      <w:r w:rsidRPr="00DA0DCD">
        <w:rPr>
          <w:lang w:val="en-US"/>
        </w:rPr>
        <w:t xml:space="preserve">The positive significant beta during the fifth event is consistent with the outcome of Bowen et al. (2010), who also find a positive </w:t>
      </w:r>
      <w:r w:rsidR="002D003D">
        <w:rPr>
          <w:lang w:val="en-US"/>
        </w:rPr>
        <w:t>stock price reaction</w:t>
      </w:r>
      <w:r w:rsidRPr="00DA0DCD">
        <w:rPr>
          <w:lang w:val="en-US"/>
        </w:rPr>
        <w:t xml:space="preserve"> during events that increase the possibility of relaxing FVA in the US during the financial crisis. This outcome will be emphasized later at the second hypothesis. </w:t>
      </w:r>
      <w:r w:rsidR="00AD4D63">
        <w:rPr>
          <w:lang w:val="en-US"/>
        </w:rPr>
        <w:t xml:space="preserve">The outcome of the fifth event </w:t>
      </w:r>
      <w:r w:rsidR="00777BD1">
        <w:rPr>
          <w:lang w:val="en-US"/>
        </w:rPr>
        <w:t>indicates that investors are satisfied with the amendment of IAS 39 and</w:t>
      </w:r>
      <w:r w:rsidRPr="00DA0DCD">
        <w:rPr>
          <w:lang w:val="en-US"/>
        </w:rPr>
        <w:t xml:space="preserve"> is also consistent with researchers like Cornett et al</w:t>
      </w:r>
      <w:r w:rsidR="00777BD1">
        <w:rPr>
          <w:lang w:val="en-US"/>
        </w:rPr>
        <w:t xml:space="preserve">. </w:t>
      </w:r>
      <w:r w:rsidRPr="00DA0DCD">
        <w:rPr>
          <w:lang w:val="en-US"/>
        </w:rPr>
        <w:t>(1996) and Beatty et al. (1996) who both find a negative stock price reaction during events which increase the possibility of introducing FVA. This means that investors dislike FVA for financial instruments on the financial statements of financial institutions. The significant positive outcome</w:t>
      </w:r>
      <w:r w:rsidR="00EC703A">
        <w:rPr>
          <w:lang w:val="en-US"/>
        </w:rPr>
        <w:t xml:space="preserve"> </w:t>
      </w:r>
      <w:r w:rsidRPr="00DA0DCD">
        <w:rPr>
          <w:lang w:val="en-US"/>
        </w:rPr>
        <w:t xml:space="preserve">during the fifth </w:t>
      </w:r>
      <w:r w:rsidR="007920FD">
        <w:rPr>
          <w:lang w:val="en-US"/>
        </w:rPr>
        <w:t>event</w:t>
      </w:r>
      <w:r w:rsidRPr="00DA0DCD">
        <w:rPr>
          <w:lang w:val="en-US"/>
        </w:rPr>
        <w:t xml:space="preserve"> </w:t>
      </w:r>
      <w:r w:rsidR="00EC703A">
        <w:rPr>
          <w:lang w:val="en-US"/>
        </w:rPr>
        <w:t>in the research of this thesis</w:t>
      </w:r>
      <w:r w:rsidR="00EC703A" w:rsidRPr="00DA0DCD">
        <w:rPr>
          <w:lang w:val="en-US"/>
        </w:rPr>
        <w:t xml:space="preserve"> </w:t>
      </w:r>
      <w:r w:rsidRPr="00DA0DCD">
        <w:rPr>
          <w:lang w:val="en-US"/>
        </w:rPr>
        <w:t xml:space="preserve">indicates that investors also dislike FVA during the financial crisis. Ryan (2008b) </w:t>
      </w:r>
      <w:r w:rsidRPr="00DA0DCD">
        <w:rPr>
          <w:lang w:val="en-US"/>
        </w:rPr>
        <w:lastRenderedPageBreak/>
        <w:t>describes potential criticism of investors on FVA during a financial crisis. First, market illiquidity result</w:t>
      </w:r>
      <w:r w:rsidR="00367F2C">
        <w:rPr>
          <w:lang w:val="en-US"/>
        </w:rPr>
        <w:t>s</w:t>
      </w:r>
      <w:r w:rsidRPr="00DA0DCD">
        <w:rPr>
          <w:lang w:val="en-US"/>
        </w:rPr>
        <w:t xml:space="preserve"> into unreliable measurement of fair value. Second, other sources than liquid market as measurement for fair value allow</w:t>
      </w:r>
      <w:r w:rsidR="002D003D">
        <w:rPr>
          <w:lang w:val="en-US"/>
        </w:rPr>
        <w:t>s</w:t>
      </w:r>
      <w:r w:rsidRPr="00DA0DCD">
        <w:rPr>
          <w:lang w:val="en-US"/>
        </w:rPr>
        <w:t xml:space="preserve"> to engage</w:t>
      </w:r>
      <w:r w:rsidR="00367F2C">
        <w:rPr>
          <w:lang w:val="en-US"/>
        </w:rPr>
        <w:t xml:space="preserve"> in</w:t>
      </w:r>
      <w:r w:rsidRPr="00DA0DCD">
        <w:rPr>
          <w:lang w:val="en-US"/>
        </w:rPr>
        <w:t xml:space="preserve"> </w:t>
      </w:r>
      <w:r w:rsidR="002D003D">
        <w:rPr>
          <w:lang w:val="en-US"/>
        </w:rPr>
        <w:t>earnings</w:t>
      </w:r>
      <w:r w:rsidRPr="00DA0DCD">
        <w:rPr>
          <w:lang w:val="en-US"/>
        </w:rPr>
        <w:t xml:space="preserve"> management. </w:t>
      </w:r>
      <w:r w:rsidR="00367F2C">
        <w:rPr>
          <w:lang w:val="en-US"/>
        </w:rPr>
        <w:t>L</w:t>
      </w:r>
      <w:r w:rsidRPr="00DA0DCD">
        <w:rPr>
          <w:lang w:val="en-US"/>
        </w:rPr>
        <w:t>ast</w:t>
      </w:r>
      <w:r w:rsidR="00367F2C">
        <w:rPr>
          <w:lang w:val="en-US"/>
        </w:rPr>
        <w:t xml:space="preserve"> remark</w:t>
      </w:r>
      <w:r w:rsidRPr="00DA0DCD">
        <w:rPr>
          <w:lang w:val="en-US"/>
        </w:rPr>
        <w:t xml:space="preserve">, FVA provides more volatility in the </w:t>
      </w:r>
      <w:r w:rsidR="008B102B" w:rsidRPr="00DA0DCD">
        <w:rPr>
          <w:lang w:val="en-US"/>
        </w:rPr>
        <w:t>owners’</w:t>
      </w:r>
      <w:r w:rsidRPr="00DA0DCD">
        <w:rPr>
          <w:lang w:val="en-US"/>
        </w:rPr>
        <w:t xml:space="preserve"> equity including regulatory capital</w:t>
      </w:r>
      <w:r w:rsidR="00367F2C">
        <w:rPr>
          <w:lang w:val="en-US"/>
        </w:rPr>
        <w:t xml:space="preserve"> according to Basel capital requirements</w:t>
      </w:r>
      <w:r w:rsidR="004B584D" w:rsidRPr="004B584D">
        <w:rPr>
          <w:lang w:val="en-US"/>
        </w:rPr>
        <w:t xml:space="preserve"> </w:t>
      </w:r>
      <w:r w:rsidR="004B584D" w:rsidRPr="00DA0DCD">
        <w:rPr>
          <w:lang w:val="en-US"/>
        </w:rPr>
        <w:t>during a financial crisis</w:t>
      </w:r>
      <w:r w:rsidRPr="00DA0DCD">
        <w:rPr>
          <w:lang w:val="en-US"/>
        </w:rPr>
        <w:t xml:space="preserve">. It seems, by the positive </w:t>
      </w:r>
      <w:r w:rsidR="00596146">
        <w:rPr>
          <w:lang w:val="en-US"/>
        </w:rPr>
        <w:t>stock price reaction</w:t>
      </w:r>
      <w:r w:rsidR="007920FD">
        <w:rPr>
          <w:lang w:val="en-US"/>
        </w:rPr>
        <w:t xml:space="preserve"> during the fifth event</w:t>
      </w:r>
      <w:r w:rsidRPr="00DA0DCD">
        <w:rPr>
          <w:lang w:val="en-US"/>
        </w:rPr>
        <w:t>, that inve</w:t>
      </w:r>
      <w:r w:rsidR="004B584D">
        <w:rPr>
          <w:lang w:val="en-US"/>
        </w:rPr>
        <w:t>stors agree with the potential</w:t>
      </w:r>
      <w:r w:rsidRPr="00DA0DCD">
        <w:rPr>
          <w:lang w:val="en-US"/>
        </w:rPr>
        <w:t xml:space="preserve"> harms of FVA during the financial crisis. As described in chapter 4, also several banks raised their concerns about the FVA of their assets. They argued that FVA had worsened the financial crisis (Laux and Leuz, 2009). </w:t>
      </w:r>
      <w:r w:rsidR="007157FE" w:rsidRPr="00DA0DCD">
        <w:rPr>
          <w:lang w:val="en-US"/>
        </w:rPr>
        <w:t>Investors seem</w:t>
      </w:r>
      <w:r w:rsidRPr="00DA0DCD">
        <w:rPr>
          <w:lang w:val="en-US"/>
        </w:rPr>
        <w:t xml:space="preserve"> to agree with the concerns of the management of banks by reacting positively to the reclassification option. These concerns of banks were supported by researchers like Persuad (2008), Platin et al. (2008a,b), Ardian and Shin (2008), Allen and Carletti (2008), Khan (2009) and Sole et al. (2009) who all state that FVA can cause unintended pro-cyclical contagion in financial markets. After the amendment of IAS 39 (fifth event), researchers like Fiechter and Unger (2009), Paananen et al (2009) and Kholmy</w:t>
      </w:r>
      <w:r w:rsidR="004B584D">
        <w:rPr>
          <w:lang w:val="en-US"/>
        </w:rPr>
        <w:t xml:space="preserve"> and Ernstberger (2010) examine</w:t>
      </w:r>
      <w:r w:rsidRPr="00DA0DCD">
        <w:rPr>
          <w:lang w:val="en-US"/>
        </w:rPr>
        <w:t xml:space="preserve"> the economic consequences of the reclassification option. Fiechter and Unger (2009) find that the reclassification option has a positive effect on the financial statements of European banks, by the increased ratio return on equity. Kholmy and Ernstberger (2010) find that one-third of European banks take advantage of the reclassification options. Paananen et al. (2009) argue that their results imply that banks reclassify their financial instruments because of the market illiquidity.</w:t>
      </w:r>
      <w:r w:rsidR="00101971">
        <w:rPr>
          <w:lang w:val="en-US"/>
        </w:rPr>
        <w:t xml:space="preserve"> By analyzing these results, </w:t>
      </w:r>
      <w:r w:rsidR="003351F2">
        <w:rPr>
          <w:lang w:val="en-US"/>
        </w:rPr>
        <w:t>it seems</w:t>
      </w:r>
      <w:r w:rsidRPr="00DA0DCD">
        <w:rPr>
          <w:lang w:val="en-US"/>
        </w:rPr>
        <w:t xml:space="preserve"> that banks and investors find FVA problematic during the financial crisis. </w:t>
      </w:r>
      <w:r w:rsidR="00596146" w:rsidRPr="00DA0DCD">
        <w:rPr>
          <w:lang w:val="en-US"/>
        </w:rPr>
        <w:t>Therefore</w:t>
      </w:r>
      <w:r w:rsidRPr="00DA0DCD">
        <w:rPr>
          <w:lang w:val="en-US"/>
        </w:rPr>
        <w:t>, the positive reaction of investors of financial institutions</w:t>
      </w:r>
      <w:r w:rsidR="007920FD">
        <w:rPr>
          <w:lang w:val="en-US"/>
        </w:rPr>
        <w:t xml:space="preserve"> during the fifth event</w:t>
      </w:r>
      <w:r w:rsidRPr="00DA0DCD">
        <w:rPr>
          <w:lang w:val="en-US"/>
        </w:rPr>
        <w:t xml:space="preserve"> is</w:t>
      </w:r>
      <w:r w:rsidR="00596146">
        <w:rPr>
          <w:lang w:val="en-US"/>
        </w:rPr>
        <w:t xml:space="preserve"> in</w:t>
      </w:r>
      <w:r w:rsidRPr="00DA0DCD">
        <w:rPr>
          <w:lang w:val="en-US"/>
        </w:rPr>
        <w:t xml:space="preserve"> line with the results of these researchers.</w:t>
      </w:r>
    </w:p>
    <w:p w:rsidR="008E3B67" w:rsidRPr="00DA0DCD" w:rsidRDefault="00F72182" w:rsidP="008E3B67">
      <w:pPr>
        <w:pStyle w:val="Kop2"/>
        <w:numPr>
          <w:ilvl w:val="1"/>
          <w:numId w:val="14"/>
        </w:numPr>
        <w:rPr>
          <w:lang w:val="en-US"/>
        </w:rPr>
      </w:pPr>
      <w:bookmarkStart w:id="83" w:name="_Toc270770617"/>
      <w:r w:rsidRPr="00DA0DCD">
        <w:rPr>
          <w:lang w:val="en-US"/>
        </w:rPr>
        <w:t>Analy</w:t>
      </w:r>
      <w:r w:rsidR="0084056B">
        <w:rPr>
          <w:lang w:val="en-US"/>
        </w:rPr>
        <w:t>sis</w:t>
      </w:r>
      <w:r w:rsidRPr="00DA0DCD">
        <w:rPr>
          <w:lang w:val="en-US"/>
        </w:rPr>
        <w:t xml:space="preserve"> h</w:t>
      </w:r>
      <w:r w:rsidR="008E3B67" w:rsidRPr="00DA0DCD">
        <w:rPr>
          <w:lang w:val="en-US"/>
        </w:rPr>
        <w:t>ypothesis two</w:t>
      </w:r>
      <w:bookmarkEnd w:id="83"/>
    </w:p>
    <w:p w:rsidR="00F72182" w:rsidRPr="00DA0DCD" w:rsidRDefault="00F72182" w:rsidP="00F72182">
      <w:pPr>
        <w:rPr>
          <w:rStyle w:val="longtext1"/>
          <w:rFonts w:cs="Times New Roman"/>
          <w:i/>
          <w:sz w:val="22"/>
          <w:szCs w:val="22"/>
          <w:shd w:val="clear" w:color="auto" w:fill="FFFFFF"/>
          <w:lang w:val="en-US"/>
        </w:rPr>
      </w:pPr>
      <w:r w:rsidRPr="00DA0DCD">
        <w:rPr>
          <w:rStyle w:val="longtext1"/>
          <w:rFonts w:cs="Times New Roman"/>
          <w:i/>
          <w:sz w:val="22"/>
          <w:szCs w:val="22"/>
          <w:shd w:val="clear" w:color="auto" w:fill="FFFFFF"/>
          <w:lang w:val="en-US"/>
        </w:rPr>
        <w:t>The absolute value of the stock price reactions of banks in Europe to the introduction of the reclassification option for financial instruments in IAS 39 is expected to be weaker than the reaction on the announcements relaxing FVA in the US.</w:t>
      </w:r>
    </w:p>
    <w:p w:rsidR="00654FE3" w:rsidRPr="009A5859" w:rsidRDefault="004B584D" w:rsidP="008A2957">
      <w:pPr>
        <w:rPr>
          <w:lang w:val="en-US"/>
        </w:rPr>
      </w:pPr>
      <w:r w:rsidRPr="009A5859">
        <w:rPr>
          <w:lang w:val="en-US"/>
        </w:rPr>
        <w:t>The l</w:t>
      </w:r>
      <w:r w:rsidR="00CB6368" w:rsidRPr="009A5859">
        <w:rPr>
          <w:lang w:val="en-US"/>
        </w:rPr>
        <w:t>eft side of table 7.5 show</w:t>
      </w:r>
      <w:r w:rsidRPr="009A5859">
        <w:rPr>
          <w:lang w:val="en-US"/>
        </w:rPr>
        <w:t>s</w:t>
      </w:r>
      <w:r w:rsidR="00CB6368" w:rsidRPr="009A5859">
        <w:rPr>
          <w:lang w:val="en-US"/>
        </w:rPr>
        <w:t xml:space="preserve"> the results of research of Bowen et al (2010) </w:t>
      </w:r>
      <w:r w:rsidR="00A552AC">
        <w:rPr>
          <w:lang w:val="en-US"/>
        </w:rPr>
        <w:t>concerning</w:t>
      </w:r>
      <w:r w:rsidR="00CB6368" w:rsidRPr="009A5859">
        <w:rPr>
          <w:lang w:val="en-US"/>
        </w:rPr>
        <w:t xml:space="preserve"> the stock price reactions of banks to the relaxation of FVA in the US. The right side of table 7.5 shows the results of</w:t>
      </w:r>
      <w:r w:rsidR="005D3377" w:rsidRPr="009A5859">
        <w:rPr>
          <w:lang w:val="en-US"/>
        </w:rPr>
        <w:t xml:space="preserve"> t</w:t>
      </w:r>
      <w:r w:rsidR="00F70E93" w:rsidRPr="009A5859">
        <w:rPr>
          <w:lang w:val="en-US"/>
        </w:rPr>
        <w:t>he research of this thesis. C</w:t>
      </w:r>
      <w:r w:rsidR="005D3377" w:rsidRPr="009A5859">
        <w:rPr>
          <w:lang w:val="en-US"/>
        </w:rPr>
        <w:t>omparing both sides give</w:t>
      </w:r>
      <w:r w:rsidR="00737D12">
        <w:rPr>
          <w:lang w:val="en-US"/>
        </w:rPr>
        <w:t>s</w:t>
      </w:r>
      <w:r w:rsidR="005D3377" w:rsidRPr="009A5859">
        <w:rPr>
          <w:lang w:val="en-US"/>
        </w:rPr>
        <w:t xml:space="preserve"> a</w:t>
      </w:r>
      <w:r w:rsidRPr="009A5859">
        <w:rPr>
          <w:lang w:val="en-US"/>
        </w:rPr>
        <w:t>n</w:t>
      </w:r>
      <w:r w:rsidR="005D3377" w:rsidRPr="009A5859">
        <w:rPr>
          <w:lang w:val="en-US"/>
        </w:rPr>
        <w:t xml:space="preserve"> indication </w:t>
      </w:r>
      <w:r w:rsidR="00CB6368" w:rsidRPr="009A5859">
        <w:rPr>
          <w:lang w:val="en-US"/>
        </w:rPr>
        <w:t>that stock prices of banks in the US react more positively during the events (seven out of ten) than the stock price reactions in Europe</w:t>
      </w:r>
      <w:r w:rsidR="005D3377" w:rsidRPr="009A5859">
        <w:rPr>
          <w:lang w:val="en-US"/>
        </w:rPr>
        <w:t xml:space="preserve"> (</w:t>
      </w:r>
      <w:r w:rsidR="00CA5956" w:rsidRPr="009A5859">
        <w:rPr>
          <w:lang w:val="en-US"/>
        </w:rPr>
        <w:t xml:space="preserve">only the </w:t>
      </w:r>
      <w:r w:rsidR="005D3377" w:rsidRPr="009A5859">
        <w:rPr>
          <w:lang w:val="en-US"/>
        </w:rPr>
        <w:t xml:space="preserve">fifth </w:t>
      </w:r>
      <w:r w:rsidR="00CA5956" w:rsidRPr="009A5859">
        <w:rPr>
          <w:lang w:val="en-US"/>
        </w:rPr>
        <w:t>event</w:t>
      </w:r>
      <w:r w:rsidR="005D3377" w:rsidRPr="009A5859">
        <w:rPr>
          <w:lang w:val="en-US"/>
        </w:rPr>
        <w:t>)</w:t>
      </w:r>
      <w:r w:rsidR="00CB6368" w:rsidRPr="009A5859">
        <w:rPr>
          <w:lang w:val="en-US"/>
        </w:rPr>
        <w:t>.</w:t>
      </w:r>
      <w:r w:rsidR="005D3377" w:rsidRPr="009A5859">
        <w:rPr>
          <w:lang w:val="en-US"/>
        </w:rPr>
        <w:t xml:space="preserve"> </w:t>
      </w:r>
      <w:r w:rsidR="00CA5956" w:rsidRPr="009A5859">
        <w:rPr>
          <w:lang w:val="en-US"/>
        </w:rPr>
        <w:t>The first through fourth event show</w:t>
      </w:r>
      <w:r w:rsidR="00737D12">
        <w:rPr>
          <w:lang w:val="en-US"/>
        </w:rPr>
        <w:t>s</w:t>
      </w:r>
      <w:r w:rsidR="00CA5956" w:rsidRPr="009A5859">
        <w:rPr>
          <w:lang w:val="en-US"/>
        </w:rPr>
        <w:t xml:space="preserve"> a negative stock price reaction in Europe (right side of table 7.5). This result does not ease the comparison between the US and Europe. </w:t>
      </w:r>
      <w:r w:rsidR="00163F58" w:rsidRPr="009A5859">
        <w:rPr>
          <w:lang w:val="en-US"/>
        </w:rPr>
        <w:t>Therefore, only t</w:t>
      </w:r>
      <w:r w:rsidR="00DA59D5" w:rsidRPr="009A5859">
        <w:rPr>
          <w:lang w:val="en-US"/>
        </w:rPr>
        <w:t>he fifth event in Europe</w:t>
      </w:r>
      <w:r w:rsidR="00163F58" w:rsidRPr="009A5859">
        <w:rPr>
          <w:lang w:val="en-US"/>
        </w:rPr>
        <w:t xml:space="preserve"> can be compared with </w:t>
      </w:r>
      <w:r w:rsidR="00DA59D5" w:rsidRPr="009A5859">
        <w:rPr>
          <w:lang w:val="en-US"/>
        </w:rPr>
        <w:t xml:space="preserve">the positive </w:t>
      </w:r>
      <w:r w:rsidR="002F7A42">
        <w:rPr>
          <w:lang w:val="en-US"/>
        </w:rPr>
        <w:t xml:space="preserve">stock </w:t>
      </w:r>
      <w:r w:rsidR="00DA59D5" w:rsidRPr="009A5859">
        <w:rPr>
          <w:lang w:val="en-US"/>
        </w:rPr>
        <w:t>price reaction of seven</w:t>
      </w:r>
      <w:r w:rsidR="006C5F49">
        <w:rPr>
          <w:lang w:val="en-US"/>
        </w:rPr>
        <w:t xml:space="preserve"> event</w:t>
      </w:r>
      <w:r w:rsidR="00163F58" w:rsidRPr="009A5859">
        <w:rPr>
          <w:lang w:val="en-US"/>
        </w:rPr>
        <w:t>s in the US.</w:t>
      </w:r>
    </w:p>
    <w:p w:rsidR="00654FE3" w:rsidRPr="002F7A42" w:rsidRDefault="008A2957" w:rsidP="008A2957">
      <w:pPr>
        <w:rPr>
          <w:lang w:val="en-US" w:eastAsia="nl-NL"/>
        </w:rPr>
      </w:pPr>
      <w:r w:rsidRPr="002F7A42">
        <w:rPr>
          <w:lang w:val="en-US"/>
        </w:rPr>
        <w:t xml:space="preserve">The fifth </w:t>
      </w:r>
      <w:r w:rsidR="002F7A42" w:rsidRPr="002F7A42">
        <w:rPr>
          <w:lang w:val="en-US"/>
        </w:rPr>
        <w:t xml:space="preserve">event </w:t>
      </w:r>
      <w:r w:rsidRPr="002F7A42">
        <w:rPr>
          <w:lang w:val="en-US"/>
        </w:rPr>
        <w:t>in Europe is the same event as the second eve</w:t>
      </w:r>
      <w:r w:rsidR="002F7A42" w:rsidRPr="002F7A42">
        <w:rPr>
          <w:lang w:val="en-US"/>
        </w:rPr>
        <w:t>nt in the US (orange row</w:t>
      </w:r>
      <w:r w:rsidRPr="002F7A42">
        <w:rPr>
          <w:lang w:val="en-US"/>
        </w:rPr>
        <w:t>).</w:t>
      </w:r>
      <w:r w:rsidR="00F5405C" w:rsidRPr="002F7A42">
        <w:rPr>
          <w:lang w:val="en-US"/>
        </w:rPr>
        <w:t xml:space="preserve"> </w:t>
      </w:r>
      <w:r w:rsidR="003351F2">
        <w:rPr>
          <w:lang w:val="en-US"/>
        </w:rPr>
        <w:t xml:space="preserve">Both events represent the introduction of the reclassification option in IAS 39. </w:t>
      </w:r>
      <w:r w:rsidR="00F5405C" w:rsidRPr="002F7A42">
        <w:rPr>
          <w:lang w:val="en-US"/>
        </w:rPr>
        <w:t xml:space="preserve">The </w:t>
      </w:r>
      <w:r w:rsidR="00390411" w:rsidRPr="002F7A42">
        <w:rPr>
          <w:lang w:val="en-US"/>
        </w:rPr>
        <w:t>second</w:t>
      </w:r>
      <w:r w:rsidR="00F5405C" w:rsidRPr="002F7A42">
        <w:rPr>
          <w:lang w:val="en-US"/>
        </w:rPr>
        <w:t xml:space="preserve"> event in the US show</w:t>
      </w:r>
      <w:r w:rsidR="002F7A42" w:rsidRPr="002F7A42">
        <w:rPr>
          <w:lang w:val="en-US"/>
        </w:rPr>
        <w:t>s</w:t>
      </w:r>
      <w:r w:rsidR="00F5405C" w:rsidRPr="002F7A42">
        <w:rPr>
          <w:lang w:val="en-US"/>
        </w:rPr>
        <w:t xml:space="preserve"> a stronger reaction compared to </w:t>
      </w:r>
      <w:r w:rsidR="00390411" w:rsidRPr="002F7A42">
        <w:rPr>
          <w:lang w:val="en-US"/>
        </w:rPr>
        <w:t xml:space="preserve">the fifth event in </w:t>
      </w:r>
      <w:r w:rsidR="00F5405C" w:rsidRPr="002F7A42">
        <w:rPr>
          <w:lang w:val="en-US"/>
        </w:rPr>
        <w:t xml:space="preserve">Europe. </w:t>
      </w:r>
      <w:r w:rsidRPr="002F7A42">
        <w:rPr>
          <w:lang w:val="en-US"/>
        </w:rPr>
        <w:t>This means that the stock price reaction of banks in the US react stronger (more positively) to the reclassification option</w:t>
      </w:r>
      <w:r w:rsidR="00654FE3" w:rsidRPr="002F7A42">
        <w:rPr>
          <w:lang w:val="en-US"/>
        </w:rPr>
        <w:t xml:space="preserve"> in IAS 39</w:t>
      </w:r>
      <w:r w:rsidRPr="002F7A42">
        <w:rPr>
          <w:lang w:val="en-US"/>
        </w:rPr>
        <w:t xml:space="preserve"> than the stock price reaction in Europe. </w:t>
      </w:r>
      <w:r w:rsidR="002F7A42" w:rsidRPr="002F7A42">
        <w:rPr>
          <w:lang w:val="en-US"/>
        </w:rPr>
        <w:t xml:space="preserve">However, both event windows are statistically not significant. </w:t>
      </w:r>
      <w:r w:rsidR="00E9333D" w:rsidRPr="002F7A42">
        <w:rPr>
          <w:lang w:val="en-US"/>
        </w:rPr>
        <w:t xml:space="preserve">This outcome seems to support hypothesis two. </w:t>
      </w:r>
      <w:r w:rsidR="00654FE3" w:rsidRPr="002F7A42">
        <w:rPr>
          <w:lang w:val="en-US"/>
        </w:rPr>
        <w:t xml:space="preserve">However, the second event of Bowen et al. (2010) is not </w:t>
      </w:r>
      <w:r w:rsidR="00654FE3" w:rsidRPr="002F7A42">
        <w:rPr>
          <w:lang w:val="en-US" w:eastAsia="nl-NL"/>
        </w:rPr>
        <w:t xml:space="preserve">a major point of the relaxation of FVA in the US. The tenth event of the research of Bowen et al. (2010) represents the introduction of the relaxation of FVA and impairment rules in the US. </w:t>
      </w:r>
      <w:r w:rsidR="007D001F" w:rsidRPr="002F7A42">
        <w:rPr>
          <w:lang w:val="en-US" w:eastAsia="nl-NL"/>
        </w:rPr>
        <w:t xml:space="preserve">Therefore, the tenth event in the US is compared with </w:t>
      </w:r>
      <w:r w:rsidR="00E9333D" w:rsidRPr="002F7A42">
        <w:rPr>
          <w:lang w:val="en-US" w:eastAsia="nl-NL"/>
        </w:rPr>
        <w:t xml:space="preserve">the fifth event in Europe. By comparing the stock price </w:t>
      </w:r>
      <w:r w:rsidR="006C5F49">
        <w:rPr>
          <w:lang w:val="en-US" w:eastAsia="nl-NL"/>
        </w:rPr>
        <w:t>reactions during these event</w:t>
      </w:r>
      <w:r w:rsidR="00E9333D" w:rsidRPr="002F7A42">
        <w:rPr>
          <w:lang w:val="en-US" w:eastAsia="nl-NL"/>
        </w:rPr>
        <w:t xml:space="preserve">s, both researches show a statistical not significant positive stock price </w:t>
      </w:r>
      <w:r w:rsidR="00E9333D" w:rsidRPr="002F7A42">
        <w:rPr>
          <w:lang w:val="en-US" w:eastAsia="nl-NL"/>
        </w:rPr>
        <w:lastRenderedPageBreak/>
        <w:t>reaction</w:t>
      </w:r>
      <w:r w:rsidR="002F7A42">
        <w:rPr>
          <w:lang w:val="en-US" w:eastAsia="nl-NL"/>
        </w:rPr>
        <w:t>,</w:t>
      </w:r>
      <w:r w:rsidR="00E9333D" w:rsidRPr="002F7A42">
        <w:rPr>
          <w:lang w:val="en-US" w:eastAsia="nl-NL"/>
        </w:rPr>
        <w:t xml:space="preserve"> </w:t>
      </w:r>
      <w:r w:rsidR="002F7A42">
        <w:rPr>
          <w:lang w:val="en-US" w:eastAsia="nl-NL"/>
        </w:rPr>
        <w:t>where the beta of the fifth event window in Europe is</w:t>
      </w:r>
      <w:r w:rsidR="001F74CF">
        <w:rPr>
          <w:lang w:val="en-US" w:eastAsia="nl-NL"/>
        </w:rPr>
        <w:t xml:space="preserve"> a little bit</w:t>
      </w:r>
      <w:r w:rsidR="002F7A42">
        <w:rPr>
          <w:lang w:val="en-US" w:eastAsia="nl-NL"/>
        </w:rPr>
        <w:t xml:space="preserve"> higher than the beta of the tenth event window in the US. </w:t>
      </w:r>
      <w:r w:rsidR="00E9333D" w:rsidRPr="002F7A42">
        <w:rPr>
          <w:lang w:val="en-US" w:eastAsia="nl-NL"/>
        </w:rPr>
        <w:t xml:space="preserve">This seems not to support the second hypothesis. However, investors in the US </w:t>
      </w:r>
      <w:r w:rsidR="00CA5956" w:rsidRPr="002F7A42">
        <w:rPr>
          <w:lang w:val="en-US" w:eastAsia="nl-NL"/>
        </w:rPr>
        <w:t>already</w:t>
      </w:r>
      <w:r w:rsidR="00E9333D" w:rsidRPr="002F7A42">
        <w:rPr>
          <w:lang w:val="en-US" w:eastAsia="nl-NL"/>
        </w:rPr>
        <w:t xml:space="preserve"> </w:t>
      </w:r>
      <w:r w:rsidR="00DA59D5" w:rsidRPr="002F7A42">
        <w:rPr>
          <w:lang w:val="en-US" w:eastAsia="nl-NL"/>
        </w:rPr>
        <w:t xml:space="preserve">know </w:t>
      </w:r>
      <w:r w:rsidR="00E9333D" w:rsidRPr="002F7A42">
        <w:rPr>
          <w:lang w:val="en-US" w:eastAsia="nl-NL"/>
        </w:rPr>
        <w:t xml:space="preserve">at the eighth event that there should </w:t>
      </w:r>
      <w:r w:rsidR="00CA5956" w:rsidRPr="002F7A42">
        <w:rPr>
          <w:lang w:val="en-US" w:eastAsia="nl-NL"/>
        </w:rPr>
        <w:t>come</w:t>
      </w:r>
      <w:r w:rsidR="00DA59D5" w:rsidRPr="002F7A42">
        <w:rPr>
          <w:lang w:val="en-US" w:eastAsia="nl-NL"/>
        </w:rPr>
        <w:t xml:space="preserve"> </w:t>
      </w:r>
      <w:r w:rsidR="00E9333D" w:rsidRPr="002F7A42">
        <w:rPr>
          <w:lang w:val="en-US" w:eastAsia="nl-NL"/>
        </w:rPr>
        <w:t xml:space="preserve">a relaxation of FVA and impairment rules. </w:t>
      </w:r>
      <w:r w:rsidR="006C5F49">
        <w:rPr>
          <w:lang w:val="en-US" w:eastAsia="nl-NL"/>
        </w:rPr>
        <w:t>The eighth event</w:t>
      </w:r>
      <w:r w:rsidR="00CA5956" w:rsidRPr="002F7A42">
        <w:rPr>
          <w:lang w:val="en-US" w:eastAsia="nl-NL"/>
        </w:rPr>
        <w:t xml:space="preserve"> in the US represents the </w:t>
      </w:r>
      <w:r w:rsidR="00CA5956" w:rsidRPr="002F7A42">
        <w:rPr>
          <w:lang w:val="en-US"/>
        </w:rPr>
        <w:t xml:space="preserve">political pressure on the FASB to relax the FVA rules. </w:t>
      </w:r>
      <w:r w:rsidR="00E9333D" w:rsidRPr="002F7A42">
        <w:rPr>
          <w:lang w:val="en-US" w:eastAsia="nl-NL"/>
        </w:rPr>
        <w:t xml:space="preserve">Therefore, the </w:t>
      </w:r>
      <w:r w:rsidR="00CA5956" w:rsidRPr="002F7A42">
        <w:rPr>
          <w:lang w:val="en-US" w:eastAsia="nl-NL"/>
        </w:rPr>
        <w:t xml:space="preserve">stock price reaction </w:t>
      </w:r>
      <w:r w:rsidR="00DA59D5" w:rsidRPr="002F7A42">
        <w:rPr>
          <w:lang w:val="en-US" w:eastAsia="nl-NL"/>
        </w:rPr>
        <w:t xml:space="preserve">on the relaxation in the US </w:t>
      </w:r>
      <w:r w:rsidR="00737D12">
        <w:rPr>
          <w:lang w:val="en-US" w:eastAsia="nl-NL"/>
        </w:rPr>
        <w:t>might possibly</w:t>
      </w:r>
      <w:r w:rsidR="00DA59D5" w:rsidRPr="002F7A42">
        <w:rPr>
          <w:lang w:val="en-US" w:eastAsia="nl-NL"/>
        </w:rPr>
        <w:t xml:space="preserve"> </w:t>
      </w:r>
      <w:r w:rsidR="00737D12">
        <w:rPr>
          <w:lang w:val="en-US" w:eastAsia="nl-NL"/>
        </w:rPr>
        <w:t xml:space="preserve">have </w:t>
      </w:r>
      <w:r w:rsidR="00DA59D5" w:rsidRPr="002F7A42">
        <w:rPr>
          <w:lang w:val="en-US" w:eastAsia="nl-NL"/>
        </w:rPr>
        <w:t>already</w:t>
      </w:r>
      <w:r w:rsidR="00737D12">
        <w:rPr>
          <w:lang w:val="en-US" w:eastAsia="nl-NL"/>
        </w:rPr>
        <w:t xml:space="preserve"> occurred</w:t>
      </w:r>
      <w:r w:rsidR="00CA5956" w:rsidRPr="002F7A42">
        <w:rPr>
          <w:lang w:val="en-US" w:eastAsia="nl-NL"/>
        </w:rPr>
        <w:t xml:space="preserve"> before the introduction of the relaxation</w:t>
      </w:r>
      <w:r w:rsidR="00DA59D5" w:rsidRPr="002F7A42">
        <w:rPr>
          <w:lang w:val="en-US" w:eastAsia="nl-NL"/>
        </w:rPr>
        <w:t xml:space="preserve"> (tenth event)</w:t>
      </w:r>
      <w:r w:rsidR="00E57A94">
        <w:rPr>
          <w:lang w:val="en-US" w:eastAsia="nl-NL"/>
        </w:rPr>
        <w:t>. During the eighth event</w:t>
      </w:r>
      <w:r w:rsidR="00CA5956" w:rsidRPr="002F7A42">
        <w:rPr>
          <w:lang w:val="en-US" w:eastAsia="nl-NL"/>
        </w:rPr>
        <w:t xml:space="preserve">, there was a significant positive stock price reaction in the US. </w:t>
      </w:r>
      <w:r w:rsidR="009A5859" w:rsidRPr="002F7A42">
        <w:rPr>
          <w:lang w:val="en-US" w:eastAsia="nl-NL"/>
        </w:rPr>
        <w:t>Compared with the fifth event in Europe, t</w:t>
      </w:r>
      <w:r w:rsidR="00CA5956" w:rsidRPr="002F7A42">
        <w:rPr>
          <w:lang w:val="en-US" w:eastAsia="nl-NL"/>
        </w:rPr>
        <w:t xml:space="preserve">his result supports the second </w:t>
      </w:r>
      <w:r w:rsidR="001A4627" w:rsidRPr="002F7A42">
        <w:rPr>
          <w:lang w:val="en-US" w:eastAsia="nl-NL"/>
        </w:rPr>
        <w:t>hypothesis</w:t>
      </w:r>
      <w:r w:rsidR="00CA5956" w:rsidRPr="002F7A42">
        <w:rPr>
          <w:lang w:val="en-US" w:eastAsia="nl-NL"/>
        </w:rPr>
        <w:t>.</w:t>
      </w:r>
      <w:r w:rsidR="00DA59D5" w:rsidRPr="002F7A42">
        <w:rPr>
          <w:lang w:val="en-US" w:eastAsia="nl-NL"/>
        </w:rPr>
        <w:t xml:space="preserve"> </w:t>
      </w:r>
      <w:r w:rsidR="00585C28" w:rsidRPr="002F7A42">
        <w:rPr>
          <w:lang w:val="en-US" w:eastAsia="nl-NL"/>
        </w:rPr>
        <w:t>Overall, the different situation in the US and the negative stock price reaction in Europe on the first through fourth event do not ease the comparison</w:t>
      </w:r>
      <w:r w:rsidR="009A5859" w:rsidRPr="002F7A42">
        <w:rPr>
          <w:lang w:val="en-US" w:eastAsia="nl-NL"/>
        </w:rPr>
        <w:t xml:space="preserve"> and </w:t>
      </w:r>
      <w:r w:rsidR="00737D12">
        <w:rPr>
          <w:lang w:val="en-US" w:eastAsia="nl-NL"/>
        </w:rPr>
        <w:t>makes</w:t>
      </w:r>
      <w:r w:rsidR="00585C28" w:rsidRPr="002F7A42">
        <w:rPr>
          <w:lang w:val="en-US" w:eastAsia="nl-NL"/>
        </w:rPr>
        <w:t xml:space="preserve"> test</w:t>
      </w:r>
      <w:r w:rsidR="009A5859" w:rsidRPr="002F7A42">
        <w:rPr>
          <w:lang w:val="en-US" w:eastAsia="nl-NL"/>
        </w:rPr>
        <w:t>ing</w:t>
      </w:r>
      <w:r w:rsidR="00585C28" w:rsidRPr="002F7A42">
        <w:rPr>
          <w:lang w:val="en-US" w:eastAsia="nl-NL"/>
        </w:rPr>
        <w:t xml:space="preserve"> </w:t>
      </w:r>
      <w:r w:rsidR="00737D12">
        <w:rPr>
          <w:lang w:val="en-US" w:eastAsia="nl-NL"/>
        </w:rPr>
        <w:t xml:space="preserve">of </w:t>
      </w:r>
      <w:r w:rsidR="00585C28" w:rsidRPr="002F7A42">
        <w:rPr>
          <w:lang w:val="en-US" w:eastAsia="nl-NL"/>
        </w:rPr>
        <w:t>the second hypothesis</w:t>
      </w:r>
      <w:r w:rsidR="00737D12">
        <w:rPr>
          <w:lang w:val="en-US" w:eastAsia="nl-NL"/>
        </w:rPr>
        <w:t xml:space="preserve"> difficult</w:t>
      </w:r>
      <w:r w:rsidR="00585C28" w:rsidRPr="002F7A42">
        <w:rPr>
          <w:lang w:val="en-US" w:eastAsia="nl-NL"/>
        </w:rPr>
        <w:t xml:space="preserve">. The stock price </w:t>
      </w:r>
      <w:r w:rsidR="006C5F49" w:rsidRPr="002F7A42">
        <w:rPr>
          <w:lang w:val="en-US" w:eastAsia="nl-NL"/>
        </w:rPr>
        <w:t>reactions in the US on the second and eighth event, compared with the fifth event in Europe, are</w:t>
      </w:r>
      <w:r w:rsidR="00585C28" w:rsidRPr="002F7A42">
        <w:rPr>
          <w:lang w:val="en-US" w:eastAsia="nl-NL"/>
        </w:rPr>
        <w:t xml:space="preserve"> supporting the second hypothesis. The comparison of the tenth event in the US with the fifth event in Europe, does not support hypothesis two.</w:t>
      </w:r>
    </w:p>
    <w:p w:rsidR="008A2957" w:rsidRPr="009B4528" w:rsidRDefault="00F5405C" w:rsidP="008A2957">
      <w:pPr>
        <w:rPr>
          <w:lang w:val="en-US"/>
        </w:rPr>
      </w:pPr>
      <w:r w:rsidRPr="009B4528">
        <w:rPr>
          <w:lang w:val="en-US"/>
        </w:rPr>
        <w:t>The events combined</w:t>
      </w:r>
      <w:r w:rsidR="004B584D" w:rsidRPr="009B4528">
        <w:rPr>
          <w:lang w:val="en-US"/>
        </w:rPr>
        <w:t>,</w:t>
      </w:r>
      <w:r w:rsidRPr="009B4528">
        <w:rPr>
          <w:lang w:val="en-US"/>
        </w:rPr>
        <w:t xml:space="preserve"> in the US</w:t>
      </w:r>
      <w:r w:rsidR="004B584D" w:rsidRPr="009B4528">
        <w:rPr>
          <w:lang w:val="en-US"/>
        </w:rPr>
        <w:t>,</w:t>
      </w:r>
      <w:r w:rsidRPr="009B4528">
        <w:rPr>
          <w:lang w:val="en-US"/>
        </w:rPr>
        <w:t xml:space="preserve"> show a positive stock price reaction compared to a negative stock price reaction in Europe. The negative stock price reaction in Europe on the events combined is a result of the </w:t>
      </w:r>
      <w:r w:rsidR="00570FB7" w:rsidRPr="009B4528">
        <w:rPr>
          <w:lang w:val="en-US"/>
        </w:rPr>
        <w:t>negative stock price reaction</w:t>
      </w:r>
      <w:r w:rsidR="009A5859" w:rsidRPr="009B4528">
        <w:rPr>
          <w:lang w:val="en-US"/>
        </w:rPr>
        <w:t>s</w:t>
      </w:r>
      <w:r w:rsidR="00570FB7" w:rsidRPr="009B4528">
        <w:rPr>
          <w:lang w:val="en-US"/>
        </w:rPr>
        <w:t xml:space="preserve"> during the first through fourth event. Hence, t</w:t>
      </w:r>
      <w:r w:rsidRPr="009B4528">
        <w:rPr>
          <w:lang w:val="en-US"/>
        </w:rPr>
        <w:t>he stock price reaction of the events combined is statistical significant in the US and non-significant in Europe.</w:t>
      </w:r>
      <w:r w:rsidR="00570FB7" w:rsidRPr="009B4528">
        <w:rPr>
          <w:lang w:val="en-US"/>
        </w:rPr>
        <w:t xml:space="preserve"> </w:t>
      </w:r>
      <w:r w:rsidR="008A2957" w:rsidRPr="009B4528">
        <w:rPr>
          <w:lang w:val="en-US"/>
        </w:rPr>
        <w:t xml:space="preserve">Therefore, </w:t>
      </w:r>
      <w:r w:rsidR="00CA5956" w:rsidRPr="009B4528">
        <w:rPr>
          <w:lang w:val="en-US"/>
        </w:rPr>
        <w:t xml:space="preserve">we </w:t>
      </w:r>
      <w:r w:rsidR="008A2957" w:rsidRPr="009B4528">
        <w:rPr>
          <w:lang w:val="en-US"/>
        </w:rPr>
        <w:t xml:space="preserve">can conclude that the stock prices of banks in the US react stronger </w:t>
      </w:r>
      <w:r w:rsidR="00737D12">
        <w:rPr>
          <w:lang w:val="en-US"/>
        </w:rPr>
        <w:t>on</w:t>
      </w:r>
      <w:r w:rsidR="008A2957" w:rsidRPr="009B4528">
        <w:rPr>
          <w:lang w:val="en-US"/>
        </w:rPr>
        <w:t xml:space="preserve"> the </w:t>
      </w:r>
      <w:r w:rsidR="009B4528" w:rsidRPr="009B4528">
        <w:rPr>
          <w:lang w:val="en-US"/>
        </w:rPr>
        <w:t>event</w:t>
      </w:r>
      <w:r w:rsidR="008A2957" w:rsidRPr="009B4528">
        <w:rPr>
          <w:lang w:val="en-US"/>
        </w:rPr>
        <w:t xml:space="preserve">s </w:t>
      </w:r>
      <w:r w:rsidR="009B4528" w:rsidRPr="009B4528">
        <w:rPr>
          <w:lang w:val="en-US"/>
        </w:rPr>
        <w:t xml:space="preserve">combined </w:t>
      </w:r>
      <w:r w:rsidR="008A2957" w:rsidRPr="009B4528">
        <w:rPr>
          <w:lang w:val="en-US"/>
        </w:rPr>
        <w:t>than the stock prices of banks in Europe. In other words, stock prices of banks in Europe give a w</w:t>
      </w:r>
      <w:r w:rsidR="006C5F49">
        <w:rPr>
          <w:lang w:val="en-US"/>
        </w:rPr>
        <w:t>eaker reaction during the event</w:t>
      </w:r>
      <w:r w:rsidR="008A2957" w:rsidRPr="009B4528">
        <w:rPr>
          <w:lang w:val="en-US"/>
        </w:rPr>
        <w:t>s</w:t>
      </w:r>
      <w:r w:rsidR="009B4528" w:rsidRPr="009B4528">
        <w:rPr>
          <w:lang w:val="en-US"/>
        </w:rPr>
        <w:t xml:space="preserve"> combined</w:t>
      </w:r>
      <w:r w:rsidR="008A2957" w:rsidRPr="009B4528">
        <w:rPr>
          <w:lang w:val="en-US"/>
        </w:rPr>
        <w:t>. This outcome supports</w:t>
      </w:r>
      <w:r w:rsidR="00CA5956" w:rsidRPr="009B4528">
        <w:rPr>
          <w:lang w:val="en-US"/>
        </w:rPr>
        <w:t xml:space="preserve"> the second</w:t>
      </w:r>
      <w:r w:rsidR="008A2957" w:rsidRPr="009B4528">
        <w:rPr>
          <w:lang w:val="en-US"/>
        </w:rPr>
        <w:t xml:space="preserve"> hypothesis. </w:t>
      </w:r>
      <w:r w:rsidR="00CC6E98" w:rsidRPr="009B4528">
        <w:rPr>
          <w:lang w:val="en-US"/>
        </w:rPr>
        <w:t xml:space="preserve">The combination of the stronger reaction on the second and eighth event in US compared with the fifth event in Europe and the stronger reaction in the US on the events combined, </w:t>
      </w:r>
      <w:r w:rsidR="00CE5A60" w:rsidRPr="009B4528">
        <w:rPr>
          <w:lang w:val="en-US"/>
        </w:rPr>
        <w:t xml:space="preserve">suggest that hypothesis two </w:t>
      </w:r>
      <w:r w:rsidR="00597919" w:rsidRPr="009B4528">
        <w:rPr>
          <w:lang w:val="en-US"/>
        </w:rPr>
        <w:t>can be accepted.</w:t>
      </w:r>
    </w:p>
    <w:p w:rsidR="006B0743" w:rsidRPr="00DA0DCD" w:rsidRDefault="006B0743" w:rsidP="006B0743">
      <w:pPr>
        <w:rPr>
          <w:lang w:val="en-US"/>
        </w:rPr>
      </w:pPr>
      <w:r w:rsidRPr="00DA0DCD">
        <w:rPr>
          <w:lang w:val="en-US"/>
        </w:rPr>
        <w:t xml:space="preserve">The outcome of hypothesis two, as presented in table 7.5, is </w:t>
      </w:r>
      <w:r w:rsidR="00D041FC" w:rsidRPr="00DA0DCD">
        <w:rPr>
          <w:lang w:val="en-US"/>
        </w:rPr>
        <w:t>consistent</w:t>
      </w:r>
      <w:r w:rsidRPr="00DA0DCD">
        <w:rPr>
          <w:lang w:val="en-US"/>
        </w:rPr>
        <w:t xml:space="preserve"> with researchers like Scholtens and de Wit (2004) and Van Dijk and Roosenboom (2009) who researched the difference in stock price reaction between Europe and the US. Scholtens and de Wit (2004) find a stronger capital market reaction in the US by bank mergers and Van Dijk and Roosenboom (2009) find a stronger stock price reaction in the US by certain events. The results of measuring the second hypothesis are also in line with chapter two, where </w:t>
      </w:r>
      <w:r w:rsidR="00826C74">
        <w:rPr>
          <w:lang w:val="en-US"/>
        </w:rPr>
        <w:t>is</w:t>
      </w:r>
      <w:r w:rsidRPr="00DA0DCD">
        <w:rPr>
          <w:lang w:val="en-US"/>
        </w:rPr>
        <w:t xml:space="preserve"> stated that the rules in the US are more relaxed tha</w:t>
      </w:r>
      <w:r w:rsidR="00826C74">
        <w:rPr>
          <w:lang w:val="en-US"/>
        </w:rPr>
        <w:t>n</w:t>
      </w:r>
      <w:r w:rsidRPr="00DA0DCD">
        <w:rPr>
          <w:lang w:val="en-US"/>
        </w:rPr>
        <w:t xml:space="preserve"> the reclassification option under IAS39 in Europe. Therefore, a stronger reaction in the US was expected.</w:t>
      </w:r>
      <w:r w:rsidRPr="00DA0DCD">
        <w:rPr>
          <w:color w:val="7030A0"/>
          <w:lang w:val="en-US"/>
        </w:rPr>
        <w:t xml:space="preserve">  </w:t>
      </w:r>
      <w:r w:rsidRPr="00DA0DCD">
        <w:rPr>
          <w:lang w:val="en-US"/>
        </w:rPr>
        <w:t>As a conclusion, the stock price reaction in the US was stronger at the events that increase or decrease the possibility of introducing a relaxation of FVA.</w:t>
      </w:r>
    </w:p>
    <w:p w:rsidR="006B0743" w:rsidRPr="00DA0DCD" w:rsidRDefault="00F72182" w:rsidP="008E3B67">
      <w:pPr>
        <w:pStyle w:val="Kop2"/>
        <w:numPr>
          <w:ilvl w:val="1"/>
          <w:numId w:val="14"/>
        </w:numPr>
        <w:rPr>
          <w:lang w:val="en-US"/>
        </w:rPr>
      </w:pPr>
      <w:bookmarkStart w:id="84" w:name="_Toc270770618"/>
      <w:r w:rsidRPr="00DA0DCD">
        <w:rPr>
          <w:lang w:val="en-US"/>
        </w:rPr>
        <w:t>Analy</w:t>
      </w:r>
      <w:r w:rsidR="0084056B">
        <w:rPr>
          <w:lang w:val="en-US"/>
        </w:rPr>
        <w:t>sis</w:t>
      </w:r>
      <w:r w:rsidRPr="00DA0DCD">
        <w:rPr>
          <w:lang w:val="en-US"/>
        </w:rPr>
        <w:t xml:space="preserve"> h</w:t>
      </w:r>
      <w:r w:rsidR="008E3B67" w:rsidRPr="00DA0DCD">
        <w:rPr>
          <w:lang w:val="en-US"/>
        </w:rPr>
        <w:t>ypothesis three</w:t>
      </w:r>
      <w:bookmarkEnd w:id="84"/>
    </w:p>
    <w:p w:rsidR="00F72182" w:rsidRPr="00DA0DCD" w:rsidRDefault="00F72182" w:rsidP="00F72182">
      <w:pPr>
        <w:rPr>
          <w:rStyle w:val="longtext1"/>
          <w:rFonts w:cs="Times New Roman"/>
          <w:i/>
          <w:sz w:val="22"/>
          <w:szCs w:val="22"/>
          <w:shd w:val="clear" w:color="auto" w:fill="FFFFFF"/>
          <w:lang w:val="en-US"/>
        </w:rPr>
      </w:pPr>
      <w:r w:rsidRPr="00DA0DCD">
        <w:rPr>
          <w:rStyle w:val="longtext1"/>
          <w:rFonts w:cs="Times New Roman"/>
          <w:i/>
          <w:sz w:val="22"/>
          <w:szCs w:val="22"/>
          <w:shd w:val="clear" w:color="auto" w:fill="FFFFFF"/>
          <w:lang w:val="en-US"/>
        </w:rPr>
        <w:t>The absolute value of the stock price reaction of banks on the events in Europe will be stronger than the absolute value stock price reactions of insurance companies in Europe.</w:t>
      </w:r>
    </w:p>
    <w:p w:rsidR="003A2B9D" w:rsidRPr="00DA0DCD" w:rsidRDefault="003A2B9D" w:rsidP="003A2B9D">
      <w:pPr>
        <w:spacing w:after="0"/>
        <w:rPr>
          <w:rStyle w:val="longtext1"/>
          <w:rFonts w:cs="Times New Roman"/>
          <w:b/>
          <w:i/>
          <w:sz w:val="22"/>
          <w:szCs w:val="22"/>
          <w:shd w:val="clear" w:color="auto" w:fill="FFFFFF"/>
          <w:lang w:val="en-US"/>
        </w:rPr>
      </w:pPr>
      <w:r w:rsidRPr="00DA0DCD">
        <w:rPr>
          <w:rStyle w:val="longtext1"/>
          <w:rFonts w:cs="Times New Roman"/>
          <w:b/>
          <w:i/>
          <w:sz w:val="22"/>
          <w:szCs w:val="22"/>
          <w:shd w:val="clear" w:color="auto" w:fill="FFFFFF"/>
          <w:lang w:val="en-US"/>
        </w:rPr>
        <w:t>Banks and insurance companies sample together</w:t>
      </w:r>
    </w:p>
    <w:p w:rsidR="00570FB7" w:rsidRPr="00DA0DCD" w:rsidRDefault="00570FB7" w:rsidP="00570FB7">
      <w:pPr>
        <w:rPr>
          <w:lang w:val="en-US"/>
        </w:rPr>
      </w:pPr>
      <w:r w:rsidRPr="00DA0DCD">
        <w:rPr>
          <w:rStyle w:val="longtext1"/>
          <w:rFonts w:cs="Times New Roman"/>
          <w:sz w:val="22"/>
          <w:szCs w:val="22"/>
          <w:shd w:val="clear" w:color="auto" w:fill="FFFFFF"/>
          <w:lang w:val="en-US"/>
        </w:rPr>
        <w:t xml:space="preserve">The </w:t>
      </w:r>
      <w:r w:rsidR="00BA15F4" w:rsidRPr="00DA0DCD">
        <w:rPr>
          <w:rStyle w:val="longtext1"/>
          <w:rFonts w:cs="Times New Roman"/>
          <w:sz w:val="22"/>
          <w:szCs w:val="22"/>
          <w:shd w:val="clear" w:color="auto" w:fill="FFFFFF"/>
          <w:lang w:val="en-US"/>
        </w:rPr>
        <w:t>results of the banks and insurance companies sample on the left side of table 7.6 give an indication that stock prices of banks and insurance companies together react positively to the introduction of the reclassification option (</w:t>
      </w:r>
      <w:r w:rsidR="00D041FC" w:rsidRPr="00DA0DCD">
        <w:rPr>
          <w:rStyle w:val="longtext1"/>
          <w:rFonts w:cs="Times New Roman"/>
          <w:sz w:val="22"/>
          <w:szCs w:val="22"/>
          <w:shd w:val="clear" w:color="auto" w:fill="FFFFFF"/>
          <w:lang w:val="en-US"/>
        </w:rPr>
        <w:t>fifth</w:t>
      </w:r>
      <w:r w:rsidR="00BA15F4" w:rsidRPr="00DA0DCD">
        <w:rPr>
          <w:rStyle w:val="longtext1"/>
          <w:rFonts w:cs="Times New Roman"/>
          <w:sz w:val="22"/>
          <w:szCs w:val="22"/>
          <w:shd w:val="clear" w:color="auto" w:fill="FFFFFF"/>
          <w:lang w:val="en-US"/>
        </w:rPr>
        <w:t xml:space="preserve"> event). During the first through fourth event, stock prices of banks and insurance companies together react negatively. This pattern was also </w:t>
      </w:r>
      <w:r w:rsidR="00D041FC" w:rsidRPr="00DA0DCD">
        <w:rPr>
          <w:rStyle w:val="longtext1"/>
          <w:rFonts w:cs="Times New Roman"/>
          <w:sz w:val="22"/>
          <w:szCs w:val="22"/>
          <w:shd w:val="clear" w:color="auto" w:fill="FFFFFF"/>
          <w:lang w:val="en-US"/>
        </w:rPr>
        <w:t>visible</w:t>
      </w:r>
      <w:r w:rsidR="00BA15F4" w:rsidRPr="00DA0DCD">
        <w:rPr>
          <w:rStyle w:val="longtext1"/>
          <w:rFonts w:cs="Times New Roman"/>
          <w:sz w:val="22"/>
          <w:szCs w:val="22"/>
          <w:shd w:val="clear" w:color="auto" w:fill="FFFFFF"/>
          <w:lang w:val="en-US"/>
        </w:rPr>
        <w:t xml:space="preserve"> in the statistical results of hypothesis one.</w:t>
      </w:r>
      <w:r w:rsidR="0096221C" w:rsidRPr="009B4528">
        <w:rPr>
          <w:lang w:val="en-US"/>
        </w:rPr>
        <w:t xml:space="preserve"> In paragraph 8.1, the possible reasons for a negative stock price reaction during the first through fourth event </w:t>
      </w:r>
      <w:r w:rsidR="00826C74">
        <w:rPr>
          <w:lang w:val="en-US"/>
        </w:rPr>
        <w:t xml:space="preserve">are </w:t>
      </w:r>
      <w:r w:rsidR="0096221C" w:rsidRPr="009B4528">
        <w:rPr>
          <w:lang w:val="en-US"/>
        </w:rPr>
        <w:t>described</w:t>
      </w:r>
      <w:r w:rsidR="0096221C">
        <w:rPr>
          <w:lang w:val="en-US"/>
        </w:rPr>
        <w:t xml:space="preserve">. </w:t>
      </w:r>
      <w:r w:rsidR="00BA15F4" w:rsidRPr="00DA0DCD">
        <w:rPr>
          <w:lang w:val="en-US"/>
        </w:rPr>
        <w:t xml:space="preserve">As shown </w:t>
      </w:r>
      <w:r w:rsidR="005E2A97">
        <w:rPr>
          <w:lang w:val="en-US"/>
        </w:rPr>
        <w:t>on the right side</w:t>
      </w:r>
      <w:r w:rsidR="006C5F49">
        <w:rPr>
          <w:lang w:val="en-US"/>
        </w:rPr>
        <w:t xml:space="preserve"> of table </w:t>
      </w:r>
      <w:r w:rsidR="006C5F49">
        <w:rPr>
          <w:lang w:val="en-US"/>
        </w:rPr>
        <w:lastRenderedPageBreak/>
        <w:t>7.6, the event</w:t>
      </w:r>
      <w:r w:rsidR="00BA15F4" w:rsidRPr="00DA0DCD">
        <w:rPr>
          <w:lang w:val="en-US"/>
        </w:rPr>
        <w:t xml:space="preserve">s combined show a negative stock price reaction because of the negative stock price reaction on the first through </w:t>
      </w:r>
      <w:r w:rsidR="00D041FC" w:rsidRPr="00DA0DCD">
        <w:rPr>
          <w:lang w:val="en-US"/>
        </w:rPr>
        <w:t>fourth</w:t>
      </w:r>
      <w:r w:rsidR="00BA15F4" w:rsidRPr="00DA0DCD">
        <w:rPr>
          <w:lang w:val="en-US"/>
        </w:rPr>
        <w:t xml:space="preserve"> event.</w:t>
      </w:r>
      <w:r w:rsidR="00D024E7" w:rsidRPr="00DA0DCD">
        <w:rPr>
          <w:lang w:val="en-US"/>
        </w:rPr>
        <w:t xml:space="preserve"> </w:t>
      </w:r>
    </w:p>
    <w:p w:rsidR="006033A0" w:rsidRDefault="006033A0" w:rsidP="006033A0">
      <w:pPr>
        <w:rPr>
          <w:lang w:val="en-US"/>
        </w:rPr>
      </w:pPr>
      <w:r w:rsidRPr="00DA0DCD">
        <w:rPr>
          <w:lang w:val="en-US"/>
        </w:rPr>
        <w:t xml:space="preserve">The results of stock price reactions of banks and insurance companies together </w:t>
      </w:r>
      <w:r w:rsidR="00385984">
        <w:rPr>
          <w:lang w:val="en-US"/>
        </w:rPr>
        <w:t>generally</w:t>
      </w:r>
      <w:r w:rsidR="00385984" w:rsidRPr="00DA0DCD">
        <w:rPr>
          <w:lang w:val="en-US"/>
        </w:rPr>
        <w:t xml:space="preserve"> </w:t>
      </w:r>
      <w:r w:rsidRPr="00DA0DCD">
        <w:rPr>
          <w:lang w:val="en-US"/>
        </w:rPr>
        <w:t>indicates</w:t>
      </w:r>
      <w:r w:rsidR="00385984">
        <w:rPr>
          <w:lang w:val="en-US"/>
        </w:rPr>
        <w:t xml:space="preserve"> </w:t>
      </w:r>
      <w:r w:rsidRPr="00DA0DCD">
        <w:rPr>
          <w:lang w:val="en-US"/>
        </w:rPr>
        <w:t xml:space="preserve">that banks and insurance companies together react </w:t>
      </w:r>
      <w:r w:rsidR="00F70E93">
        <w:rPr>
          <w:lang w:val="en-US"/>
        </w:rPr>
        <w:t xml:space="preserve">statistically </w:t>
      </w:r>
      <w:r w:rsidRPr="00DA0DCD">
        <w:rPr>
          <w:lang w:val="en-US"/>
        </w:rPr>
        <w:t>no</w:t>
      </w:r>
      <w:r w:rsidR="00F70E93">
        <w:rPr>
          <w:lang w:val="en-US"/>
        </w:rPr>
        <w:t xml:space="preserve">t </w:t>
      </w:r>
      <w:r w:rsidRPr="00DA0DCD">
        <w:rPr>
          <w:lang w:val="en-US"/>
        </w:rPr>
        <w:t xml:space="preserve">significant positive </w:t>
      </w:r>
      <w:r w:rsidR="00F70E93">
        <w:rPr>
          <w:lang w:val="en-US"/>
        </w:rPr>
        <w:t>to</w:t>
      </w:r>
      <w:r w:rsidRPr="00DA0DCD">
        <w:rPr>
          <w:lang w:val="en-US"/>
        </w:rPr>
        <w:t xml:space="preserve"> the amendment of IAS 39 (fifth </w:t>
      </w:r>
      <w:r w:rsidR="006C5F49">
        <w:rPr>
          <w:lang w:val="en-US"/>
        </w:rPr>
        <w:t>event</w:t>
      </w:r>
      <w:r w:rsidRPr="00DA0DCD">
        <w:rPr>
          <w:lang w:val="en-US"/>
        </w:rPr>
        <w:t xml:space="preserve">). </w:t>
      </w:r>
      <w:r w:rsidR="003A2B9D" w:rsidRPr="00DA0DCD">
        <w:rPr>
          <w:lang w:val="en-US"/>
        </w:rPr>
        <w:t>Therefore,</w:t>
      </w:r>
      <w:r w:rsidRPr="00DA0DCD">
        <w:rPr>
          <w:lang w:val="en-US"/>
        </w:rPr>
        <w:t xml:space="preserve"> only banks and only insurance companies </w:t>
      </w:r>
      <w:r w:rsidR="003A2B9D" w:rsidRPr="00DA0DCD">
        <w:rPr>
          <w:lang w:val="en-US"/>
        </w:rPr>
        <w:t>can be</w:t>
      </w:r>
      <w:r w:rsidRPr="00DA0DCD">
        <w:rPr>
          <w:lang w:val="en-US"/>
        </w:rPr>
        <w:t xml:space="preserve"> compared to give</w:t>
      </w:r>
      <w:r w:rsidR="00826C74">
        <w:rPr>
          <w:lang w:val="en-US"/>
        </w:rPr>
        <w:t xml:space="preserve"> an</w:t>
      </w:r>
      <w:r w:rsidRPr="00DA0DCD">
        <w:rPr>
          <w:lang w:val="en-US"/>
        </w:rPr>
        <w:t xml:space="preserve"> answer to the third hypothesis.</w:t>
      </w:r>
    </w:p>
    <w:p w:rsidR="00570FB7" w:rsidRPr="008D0AB9" w:rsidRDefault="00570FB7" w:rsidP="00570FB7">
      <w:pPr>
        <w:spacing w:after="0"/>
        <w:rPr>
          <w:b/>
          <w:i/>
          <w:lang w:val="en-US"/>
        </w:rPr>
      </w:pPr>
      <w:r w:rsidRPr="008D0AB9">
        <w:rPr>
          <w:b/>
          <w:i/>
          <w:lang w:val="en-US"/>
        </w:rPr>
        <w:t>Only banks sample</w:t>
      </w:r>
    </w:p>
    <w:p w:rsidR="009B51AD" w:rsidRPr="00DA0DCD" w:rsidRDefault="003A2B9D" w:rsidP="009B51AD">
      <w:pPr>
        <w:rPr>
          <w:lang w:val="en-US"/>
        </w:rPr>
      </w:pPr>
      <w:r w:rsidRPr="00DA0DCD">
        <w:rPr>
          <w:lang w:val="en-US"/>
        </w:rPr>
        <w:t>The only banks sample results</w:t>
      </w:r>
      <w:r w:rsidR="0096221C">
        <w:rPr>
          <w:lang w:val="en-US"/>
        </w:rPr>
        <w:t>, presented</w:t>
      </w:r>
      <w:r w:rsidRPr="00DA0DCD">
        <w:rPr>
          <w:lang w:val="en-US"/>
        </w:rPr>
        <w:t xml:space="preserve"> on the left side of table 7.7</w:t>
      </w:r>
      <w:r w:rsidR="0096221C">
        <w:rPr>
          <w:lang w:val="en-US"/>
        </w:rPr>
        <w:t>,</w:t>
      </w:r>
      <w:r w:rsidRPr="00DA0DCD">
        <w:rPr>
          <w:lang w:val="en-US"/>
        </w:rPr>
        <w:t xml:space="preserve"> also show statistically</w:t>
      </w:r>
      <w:r w:rsidR="008D0AB9">
        <w:rPr>
          <w:lang w:val="en-US"/>
        </w:rPr>
        <w:t xml:space="preserve"> </w:t>
      </w:r>
      <w:r w:rsidRPr="00DA0DCD">
        <w:rPr>
          <w:lang w:val="en-US"/>
        </w:rPr>
        <w:t>no</w:t>
      </w:r>
      <w:r w:rsidR="008D0AB9">
        <w:rPr>
          <w:lang w:val="en-US"/>
        </w:rPr>
        <w:t>t</w:t>
      </w:r>
      <w:r w:rsidRPr="00DA0DCD">
        <w:rPr>
          <w:lang w:val="en-US"/>
        </w:rPr>
        <w:t xml:space="preserve"> significant negative stock price reaction</w:t>
      </w:r>
      <w:r w:rsidR="0096221C">
        <w:rPr>
          <w:lang w:val="en-US"/>
        </w:rPr>
        <w:t>s</w:t>
      </w:r>
      <w:r w:rsidRPr="00DA0DCD">
        <w:rPr>
          <w:lang w:val="en-US"/>
        </w:rPr>
        <w:t xml:space="preserve"> during</w:t>
      </w:r>
      <w:r w:rsidR="00F44EC3">
        <w:rPr>
          <w:lang w:val="en-US"/>
        </w:rPr>
        <w:t xml:space="preserve"> the first through fourth event</w:t>
      </w:r>
      <w:r w:rsidRPr="00DA0DCD">
        <w:rPr>
          <w:lang w:val="en-US"/>
        </w:rPr>
        <w:t>. It is unlikely that the negative stock price reaction is a reaction on these events, because the fifth event (</w:t>
      </w:r>
      <w:r w:rsidR="00F70E93" w:rsidRPr="00DA0DCD">
        <w:rPr>
          <w:lang w:val="en-US"/>
        </w:rPr>
        <w:t>amendment</w:t>
      </w:r>
      <w:r w:rsidRPr="00DA0DCD">
        <w:rPr>
          <w:lang w:val="en-US"/>
        </w:rPr>
        <w:t xml:space="preserve"> of IAS 39) shows a positive stock price reaction.</w:t>
      </w:r>
      <w:r w:rsidR="00597919">
        <w:rPr>
          <w:lang w:val="en-US"/>
        </w:rPr>
        <w:t xml:space="preserve"> </w:t>
      </w:r>
      <w:r w:rsidR="001A4627" w:rsidRPr="00DA0DCD">
        <w:rPr>
          <w:lang w:val="en-US"/>
        </w:rPr>
        <w:t>Hence,</w:t>
      </w:r>
      <w:r w:rsidR="006C5F49">
        <w:rPr>
          <w:lang w:val="en-US"/>
        </w:rPr>
        <w:t xml:space="preserve"> the first through fourth event</w:t>
      </w:r>
      <w:r w:rsidR="001A4627" w:rsidRPr="009B4528">
        <w:rPr>
          <w:lang w:val="en-US"/>
        </w:rPr>
        <w:t xml:space="preserve"> represent an increase</w:t>
      </w:r>
      <w:r w:rsidR="00826C74">
        <w:rPr>
          <w:lang w:val="en-US"/>
        </w:rPr>
        <w:t>d</w:t>
      </w:r>
      <w:r w:rsidR="001A4627" w:rsidRPr="009B4528">
        <w:rPr>
          <w:lang w:val="en-US"/>
        </w:rPr>
        <w:t xml:space="preserve"> possibility of the introduction of a reclassification option in IAS 39. </w:t>
      </w:r>
      <w:r w:rsidR="009A4628" w:rsidRPr="009B4528">
        <w:rPr>
          <w:lang w:val="en-US"/>
        </w:rPr>
        <w:t xml:space="preserve">In </w:t>
      </w:r>
      <w:r w:rsidR="001A4627" w:rsidRPr="009B4528">
        <w:rPr>
          <w:lang w:val="en-US"/>
        </w:rPr>
        <w:t>paragraph</w:t>
      </w:r>
      <w:r w:rsidR="009A4628" w:rsidRPr="009B4528">
        <w:rPr>
          <w:lang w:val="en-US"/>
        </w:rPr>
        <w:t xml:space="preserve"> </w:t>
      </w:r>
      <w:r w:rsidR="001A4627" w:rsidRPr="009B4528">
        <w:rPr>
          <w:lang w:val="en-US"/>
        </w:rPr>
        <w:t xml:space="preserve">8.1, the possible reasons for a negative stock price reaction during the first through fourth event </w:t>
      </w:r>
      <w:r w:rsidR="00826C74">
        <w:rPr>
          <w:lang w:val="en-US"/>
        </w:rPr>
        <w:t xml:space="preserve">are </w:t>
      </w:r>
      <w:r w:rsidR="001A4627" w:rsidRPr="009B4528">
        <w:rPr>
          <w:lang w:val="en-US"/>
        </w:rPr>
        <w:t>described.</w:t>
      </w:r>
      <w:r w:rsidRPr="009B4528">
        <w:rPr>
          <w:lang w:val="en-US"/>
        </w:rPr>
        <w:t xml:space="preserve"> </w:t>
      </w:r>
      <w:r w:rsidR="009B51AD" w:rsidRPr="009B4528">
        <w:rPr>
          <w:lang w:val="en-US"/>
        </w:rPr>
        <w:t>However, during the fifth event stock prices of banks react</w:t>
      </w:r>
      <w:r w:rsidR="009B51AD" w:rsidRPr="00DA0DCD">
        <w:rPr>
          <w:lang w:val="en-US"/>
        </w:rPr>
        <w:t xml:space="preserve"> statistically not significant</w:t>
      </w:r>
      <w:r w:rsidR="001A4627">
        <w:rPr>
          <w:lang w:val="en-US"/>
        </w:rPr>
        <w:t xml:space="preserve"> but</w:t>
      </w:r>
      <w:r w:rsidR="009B51AD" w:rsidRPr="00DA0DCD">
        <w:rPr>
          <w:lang w:val="en-US"/>
        </w:rPr>
        <w:t xml:space="preserve"> positively</w:t>
      </w:r>
      <w:r w:rsidR="001A4627">
        <w:rPr>
          <w:lang w:val="en-US"/>
        </w:rPr>
        <w:t>,</w:t>
      </w:r>
      <w:r w:rsidR="009B51AD" w:rsidRPr="00DA0DCD">
        <w:rPr>
          <w:lang w:val="en-US"/>
        </w:rPr>
        <w:t xml:space="preserve"> to the introduction of the reclassification option in IAS 39. </w:t>
      </w:r>
      <w:r w:rsidR="00D041FC" w:rsidRPr="00DA0DCD">
        <w:rPr>
          <w:lang w:val="en-US"/>
        </w:rPr>
        <w:t>Despite</w:t>
      </w:r>
      <w:r w:rsidR="009B51AD" w:rsidRPr="00DA0DCD">
        <w:rPr>
          <w:lang w:val="en-US"/>
        </w:rPr>
        <w:t xml:space="preserve"> the </w:t>
      </w:r>
      <w:r w:rsidR="00A658DC">
        <w:rPr>
          <w:lang w:val="en-US"/>
        </w:rPr>
        <w:t xml:space="preserve">statistically </w:t>
      </w:r>
      <w:r w:rsidR="009B51AD" w:rsidRPr="00DA0DCD">
        <w:rPr>
          <w:lang w:val="en-US"/>
        </w:rPr>
        <w:t>no</w:t>
      </w:r>
      <w:r w:rsidR="00A658DC">
        <w:rPr>
          <w:lang w:val="en-US"/>
        </w:rPr>
        <w:t xml:space="preserve">t </w:t>
      </w:r>
      <w:r w:rsidR="009B51AD" w:rsidRPr="00DA0DCD">
        <w:rPr>
          <w:lang w:val="en-US"/>
        </w:rPr>
        <w:t>significan</w:t>
      </w:r>
      <w:r w:rsidR="00A658DC">
        <w:rPr>
          <w:lang w:val="en-US"/>
        </w:rPr>
        <w:t>t</w:t>
      </w:r>
      <w:r w:rsidR="009B51AD" w:rsidRPr="00DA0DCD">
        <w:rPr>
          <w:lang w:val="en-US"/>
        </w:rPr>
        <w:t xml:space="preserve"> positive stock price reaction, it gives some indication of a positive stock price reaction of banks in Europe.</w:t>
      </w:r>
    </w:p>
    <w:p w:rsidR="009B51AD" w:rsidRPr="00DA0DCD" w:rsidRDefault="005E2A97" w:rsidP="009B51AD">
      <w:pPr>
        <w:rPr>
          <w:lang w:val="en-US"/>
        </w:rPr>
      </w:pPr>
      <w:r>
        <w:rPr>
          <w:lang w:val="en-US"/>
        </w:rPr>
        <w:t>On the right side</w:t>
      </w:r>
      <w:r w:rsidR="009B51AD" w:rsidRPr="00DA0DCD">
        <w:rPr>
          <w:lang w:val="en-US"/>
        </w:rPr>
        <w:t xml:space="preserve"> of table </w:t>
      </w:r>
      <w:r w:rsidR="0096221C" w:rsidRPr="00DA0DCD">
        <w:rPr>
          <w:lang w:val="en-US"/>
        </w:rPr>
        <w:t>7.7,</w:t>
      </w:r>
      <w:r w:rsidR="009B51AD" w:rsidRPr="00DA0DCD">
        <w:rPr>
          <w:lang w:val="en-US"/>
        </w:rPr>
        <w:t xml:space="preserve"> the result of the event windows combined</w:t>
      </w:r>
      <w:r w:rsidR="00385984">
        <w:rPr>
          <w:lang w:val="en-US"/>
        </w:rPr>
        <w:t xml:space="preserve"> is shown</w:t>
      </w:r>
      <w:r w:rsidR="009B51AD" w:rsidRPr="00DA0DCD">
        <w:rPr>
          <w:lang w:val="en-US"/>
        </w:rPr>
        <w:t>.</w:t>
      </w:r>
      <w:r w:rsidR="00D4179A" w:rsidRPr="00DA0DCD">
        <w:rPr>
          <w:lang w:val="en-US"/>
        </w:rPr>
        <w:t xml:space="preserve"> Th</w:t>
      </w:r>
      <w:r w:rsidR="0096221C">
        <w:rPr>
          <w:lang w:val="en-US"/>
        </w:rPr>
        <w:t>is</w:t>
      </w:r>
      <w:r w:rsidR="00D4179A" w:rsidRPr="00DA0DCD">
        <w:rPr>
          <w:lang w:val="en-US"/>
        </w:rPr>
        <w:t xml:space="preserve"> result represents a statistically not significant negative stock price reaction. The negative </w:t>
      </w:r>
      <w:r w:rsidR="001A4627">
        <w:rPr>
          <w:lang w:val="en-US"/>
        </w:rPr>
        <w:t>stock price reaction of the events combined</w:t>
      </w:r>
      <w:r w:rsidR="00D4179A" w:rsidRPr="00DA0DCD">
        <w:rPr>
          <w:lang w:val="en-US"/>
        </w:rPr>
        <w:t xml:space="preserve"> is a result of the negative stock price reactions during the fir</w:t>
      </w:r>
      <w:r w:rsidR="00C5270C">
        <w:rPr>
          <w:lang w:val="en-US"/>
        </w:rPr>
        <w:t>st through fourth event</w:t>
      </w:r>
      <w:r>
        <w:rPr>
          <w:lang w:val="en-US"/>
        </w:rPr>
        <w:t>.</w:t>
      </w:r>
    </w:p>
    <w:p w:rsidR="00570FB7" w:rsidRPr="00DA0DCD" w:rsidRDefault="00570FB7" w:rsidP="00570FB7">
      <w:pPr>
        <w:spacing w:after="0"/>
        <w:rPr>
          <w:b/>
          <w:i/>
          <w:lang w:val="en-US"/>
        </w:rPr>
      </w:pPr>
      <w:r w:rsidRPr="00DA0DCD">
        <w:rPr>
          <w:b/>
          <w:i/>
          <w:lang w:val="en-US"/>
        </w:rPr>
        <w:t>Only insurance companies’ sample</w:t>
      </w:r>
    </w:p>
    <w:p w:rsidR="00825A3D" w:rsidRPr="00DA0DCD" w:rsidRDefault="00825A3D" w:rsidP="00570FB7">
      <w:pPr>
        <w:spacing w:after="0"/>
        <w:rPr>
          <w:lang w:val="en-US"/>
        </w:rPr>
      </w:pPr>
      <w:r w:rsidRPr="00DA0DCD">
        <w:rPr>
          <w:lang w:val="en-US"/>
        </w:rPr>
        <w:t xml:space="preserve">Next to the only </w:t>
      </w:r>
      <w:r w:rsidR="00807E15" w:rsidRPr="00DA0DCD">
        <w:rPr>
          <w:lang w:val="en-US"/>
        </w:rPr>
        <w:t xml:space="preserve">banks sample, the only insurance companies sample is tested and the results are presented in table 7.8. On the left side of the table is shown that stock prices of insurance companies react negatively during </w:t>
      </w:r>
      <w:r w:rsidR="00C5270C">
        <w:rPr>
          <w:lang w:val="en-US"/>
        </w:rPr>
        <w:t>the second through fourth event</w:t>
      </w:r>
      <w:r w:rsidR="00807E15" w:rsidRPr="00DA0DCD">
        <w:rPr>
          <w:lang w:val="en-US"/>
        </w:rPr>
        <w:t xml:space="preserve">. </w:t>
      </w:r>
      <w:r w:rsidR="00D041FC" w:rsidRPr="00DA0DCD">
        <w:rPr>
          <w:lang w:val="en-US"/>
        </w:rPr>
        <w:t>Remarkable</w:t>
      </w:r>
      <w:r w:rsidR="00807E15" w:rsidRPr="00DA0DCD">
        <w:rPr>
          <w:lang w:val="en-US"/>
        </w:rPr>
        <w:t xml:space="preserve"> is the small positive stock price reaction during the first event. However, the positive reaction during the first event window is statistically not significant with a low beta of 0,001 and is therefore negligible. </w:t>
      </w:r>
      <w:r w:rsidR="003E0D36" w:rsidRPr="00DA0DCD">
        <w:rPr>
          <w:lang w:val="en-US"/>
        </w:rPr>
        <w:t xml:space="preserve">The fifth event shows also a positive stock price reaction. The stock price reaction is statistically not significant, but indicates </w:t>
      </w:r>
      <w:r w:rsidR="00826C74">
        <w:rPr>
          <w:lang w:val="en-US"/>
        </w:rPr>
        <w:t xml:space="preserve">a </w:t>
      </w:r>
      <w:r w:rsidR="003E0D36" w:rsidRPr="00DA0DCD">
        <w:rPr>
          <w:lang w:val="en-US"/>
        </w:rPr>
        <w:t xml:space="preserve">positive stock price </w:t>
      </w:r>
      <w:r w:rsidR="00D041FC" w:rsidRPr="00DA0DCD">
        <w:rPr>
          <w:lang w:val="en-US"/>
        </w:rPr>
        <w:t>reaction</w:t>
      </w:r>
      <w:r w:rsidR="003E0D36" w:rsidRPr="00DA0DCD">
        <w:rPr>
          <w:lang w:val="en-US"/>
        </w:rPr>
        <w:t xml:space="preserve"> during the introduction of the reclassification option in IAS 39. </w:t>
      </w:r>
    </w:p>
    <w:p w:rsidR="003E0D36" w:rsidRPr="00DA0DCD" w:rsidRDefault="003E0D36" w:rsidP="00570FB7">
      <w:pPr>
        <w:spacing w:after="0"/>
        <w:rPr>
          <w:lang w:val="en-US"/>
        </w:rPr>
      </w:pPr>
    </w:p>
    <w:p w:rsidR="00AE1422" w:rsidRDefault="005E2A97" w:rsidP="00570FB7">
      <w:pPr>
        <w:spacing w:after="0"/>
        <w:rPr>
          <w:lang w:val="en-US"/>
        </w:rPr>
      </w:pPr>
      <w:r>
        <w:rPr>
          <w:lang w:val="en-US"/>
        </w:rPr>
        <w:t>The right side</w:t>
      </w:r>
      <w:r w:rsidRPr="00DA0DCD">
        <w:rPr>
          <w:lang w:val="en-US"/>
        </w:rPr>
        <w:t xml:space="preserve"> of table 7.8 shows</w:t>
      </w:r>
      <w:r w:rsidR="003E0D36" w:rsidRPr="00DA0DCD">
        <w:rPr>
          <w:lang w:val="en-US"/>
        </w:rPr>
        <w:t xml:space="preserve"> the result</w:t>
      </w:r>
      <w:r w:rsidR="00385984">
        <w:rPr>
          <w:lang w:val="en-US"/>
        </w:rPr>
        <w:t>s</w:t>
      </w:r>
      <w:r w:rsidR="003E0D36" w:rsidRPr="00DA0DCD">
        <w:rPr>
          <w:lang w:val="en-US"/>
        </w:rPr>
        <w:t xml:space="preserve"> of the event windows combined. The result shows a negative stock price reaction. This was also </w:t>
      </w:r>
      <w:r w:rsidR="00D041FC" w:rsidRPr="00DA0DCD">
        <w:rPr>
          <w:lang w:val="en-US"/>
        </w:rPr>
        <w:t>visible</w:t>
      </w:r>
      <w:r w:rsidR="003E0D36" w:rsidRPr="00DA0DCD">
        <w:rPr>
          <w:lang w:val="en-US"/>
        </w:rPr>
        <w:t xml:space="preserve"> </w:t>
      </w:r>
      <w:r w:rsidR="00D041FC">
        <w:rPr>
          <w:lang w:val="en-US"/>
        </w:rPr>
        <w:t>at</w:t>
      </w:r>
      <w:r w:rsidR="003E0D36" w:rsidRPr="00DA0DCD">
        <w:rPr>
          <w:lang w:val="en-US"/>
        </w:rPr>
        <w:t xml:space="preserve"> the banks and insurance companies sample together and the only banks sample. Here, the negative stock price reaction is a result of the negative stock price reaction during the second through fourth event </w:t>
      </w:r>
      <w:r w:rsidR="001A4627">
        <w:rPr>
          <w:lang w:val="en-US"/>
        </w:rPr>
        <w:t>also.</w:t>
      </w:r>
    </w:p>
    <w:p w:rsidR="005E2A97" w:rsidRPr="00DA0DCD" w:rsidRDefault="005E2A97" w:rsidP="00570FB7">
      <w:pPr>
        <w:spacing w:after="0"/>
        <w:rPr>
          <w:b/>
          <w:i/>
          <w:lang w:val="en-US"/>
        </w:rPr>
      </w:pPr>
    </w:p>
    <w:p w:rsidR="00570FB7" w:rsidRPr="00DA0DCD" w:rsidRDefault="00570FB7" w:rsidP="00570FB7">
      <w:pPr>
        <w:spacing w:after="0"/>
        <w:rPr>
          <w:b/>
          <w:i/>
          <w:lang w:val="en-US"/>
        </w:rPr>
      </w:pPr>
      <w:r w:rsidRPr="00DA0DCD">
        <w:rPr>
          <w:b/>
          <w:i/>
          <w:lang w:val="en-US"/>
        </w:rPr>
        <w:t>Comparison of both samples</w:t>
      </w:r>
    </w:p>
    <w:p w:rsidR="00570FB7" w:rsidRPr="00DA0DCD" w:rsidRDefault="00241CBC" w:rsidP="00570FB7">
      <w:pPr>
        <w:rPr>
          <w:lang w:val="en-US"/>
        </w:rPr>
      </w:pPr>
      <w:r w:rsidRPr="00241CBC">
        <w:rPr>
          <w:lang w:val="en-US"/>
        </w:rPr>
        <w:t>By comparing</w:t>
      </w:r>
      <w:r w:rsidR="00570FB7" w:rsidRPr="00241CBC">
        <w:rPr>
          <w:lang w:val="en-US"/>
        </w:rPr>
        <w:t xml:space="preserve"> the banks and insurance companies sample, </w:t>
      </w:r>
      <w:r w:rsidR="00826C74">
        <w:rPr>
          <w:lang w:val="en-US"/>
        </w:rPr>
        <w:t>it</w:t>
      </w:r>
      <w:r w:rsidR="00570FB7" w:rsidRPr="00241CBC">
        <w:rPr>
          <w:lang w:val="en-US"/>
        </w:rPr>
        <w:t xml:space="preserve"> can be conclude</w:t>
      </w:r>
      <w:r w:rsidR="00385984" w:rsidRPr="00241CBC">
        <w:rPr>
          <w:lang w:val="en-US"/>
        </w:rPr>
        <w:t>d</w:t>
      </w:r>
      <w:r w:rsidR="00570FB7" w:rsidRPr="00241CBC">
        <w:rPr>
          <w:lang w:val="en-US"/>
        </w:rPr>
        <w:t xml:space="preserve"> that at both samples the fifth </w:t>
      </w:r>
      <w:r w:rsidR="0096221C">
        <w:rPr>
          <w:lang w:val="en-US"/>
        </w:rPr>
        <w:t xml:space="preserve">event </w:t>
      </w:r>
      <w:r w:rsidR="00570FB7" w:rsidRPr="00241CBC">
        <w:rPr>
          <w:lang w:val="en-US"/>
        </w:rPr>
        <w:t xml:space="preserve">window gives a </w:t>
      </w:r>
      <w:r w:rsidR="00D041FC" w:rsidRPr="00241CBC">
        <w:rPr>
          <w:lang w:val="en-US"/>
        </w:rPr>
        <w:t>statically</w:t>
      </w:r>
      <w:r w:rsidR="00AE1422" w:rsidRPr="00241CBC">
        <w:rPr>
          <w:lang w:val="en-US"/>
        </w:rPr>
        <w:t xml:space="preserve"> not significant </w:t>
      </w:r>
      <w:r w:rsidR="00570FB7" w:rsidRPr="00241CBC">
        <w:rPr>
          <w:lang w:val="en-US"/>
        </w:rPr>
        <w:t xml:space="preserve">positive </w:t>
      </w:r>
      <w:r w:rsidR="00AE1422" w:rsidRPr="00241CBC">
        <w:rPr>
          <w:lang w:val="en-US"/>
        </w:rPr>
        <w:t>stock price reaction</w:t>
      </w:r>
      <w:r w:rsidR="00570FB7" w:rsidRPr="00241CBC">
        <w:rPr>
          <w:lang w:val="en-US"/>
        </w:rPr>
        <w:t xml:space="preserve"> of respectively</w:t>
      </w:r>
      <w:r w:rsidR="00AE1422" w:rsidRPr="00241CBC">
        <w:rPr>
          <w:lang w:val="en-US"/>
        </w:rPr>
        <w:t xml:space="preserve"> a beta</w:t>
      </w:r>
      <w:r w:rsidR="00570FB7" w:rsidRPr="00241CBC">
        <w:rPr>
          <w:lang w:val="en-US"/>
        </w:rPr>
        <w:t xml:space="preserve"> </w:t>
      </w:r>
      <w:r w:rsidR="00AE1422" w:rsidRPr="00241CBC">
        <w:rPr>
          <w:lang w:val="en-US"/>
        </w:rPr>
        <w:t xml:space="preserve">of </w:t>
      </w:r>
      <w:r w:rsidR="00570FB7" w:rsidRPr="00241CBC">
        <w:rPr>
          <w:lang w:val="en-US"/>
        </w:rPr>
        <w:t xml:space="preserve">0,004 and 0,003. </w:t>
      </w:r>
      <w:r w:rsidR="00B2690B" w:rsidRPr="00241CBC">
        <w:rPr>
          <w:lang w:val="en-US"/>
        </w:rPr>
        <w:t xml:space="preserve">These values give some indication that both </w:t>
      </w:r>
      <w:r w:rsidR="00D041FC" w:rsidRPr="00241CBC">
        <w:rPr>
          <w:lang w:val="en-US"/>
        </w:rPr>
        <w:t>samples</w:t>
      </w:r>
      <w:r w:rsidR="00B2690B" w:rsidRPr="00241CBC">
        <w:rPr>
          <w:lang w:val="en-US"/>
        </w:rPr>
        <w:t xml:space="preserve"> react positively to the introduction of the reclassification option in IAS 39. </w:t>
      </w:r>
      <w:r w:rsidR="00570FB7" w:rsidRPr="00241CBC">
        <w:rPr>
          <w:lang w:val="en-US"/>
        </w:rPr>
        <w:t xml:space="preserve">The combined </w:t>
      </w:r>
      <w:r w:rsidR="00B2690B" w:rsidRPr="00241CBC">
        <w:rPr>
          <w:lang w:val="en-US"/>
        </w:rPr>
        <w:t xml:space="preserve">event </w:t>
      </w:r>
      <w:r w:rsidR="00570FB7" w:rsidRPr="00241CBC">
        <w:rPr>
          <w:lang w:val="en-US"/>
        </w:rPr>
        <w:t xml:space="preserve">windows show respectively a </w:t>
      </w:r>
      <w:r w:rsidR="00B2690B" w:rsidRPr="00241CBC">
        <w:rPr>
          <w:lang w:val="en-US"/>
        </w:rPr>
        <w:t>statis</w:t>
      </w:r>
      <w:r w:rsidR="00D041FC" w:rsidRPr="00241CBC">
        <w:rPr>
          <w:lang w:val="en-US"/>
        </w:rPr>
        <w:t>ti</w:t>
      </w:r>
      <w:r w:rsidR="00B2690B" w:rsidRPr="00241CBC">
        <w:rPr>
          <w:lang w:val="en-US"/>
        </w:rPr>
        <w:t xml:space="preserve">cally </w:t>
      </w:r>
      <w:r w:rsidR="00570FB7" w:rsidRPr="00241CBC">
        <w:rPr>
          <w:lang w:val="en-US"/>
        </w:rPr>
        <w:t>no</w:t>
      </w:r>
      <w:r w:rsidR="00B2690B" w:rsidRPr="00241CBC">
        <w:rPr>
          <w:lang w:val="en-US"/>
        </w:rPr>
        <w:t>t s</w:t>
      </w:r>
      <w:r w:rsidR="00570FB7" w:rsidRPr="00241CBC">
        <w:rPr>
          <w:lang w:val="en-US"/>
        </w:rPr>
        <w:t>ignificant</w:t>
      </w:r>
      <w:r w:rsidR="00B2690B" w:rsidRPr="00241CBC">
        <w:rPr>
          <w:lang w:val="en-US"/>
        </w:rPr>
        <w:t xml:space="preserve"> stock price reaction with a</w:t>
      </w:r>
      <w:r w:rsidR="00B54CA5" w:rsidRPr="00241CBC">
        <w:rPr>
          <w:lang w:val="en-US"/>
        </w:rPr>
        <w:t xml:space="preserve"> beta of -0,008 and -0,007. </w:t>
      </w:r>
      <w:r w:rsidR="00EE3380" w:rsidRPr="00241CBC">
        <w:rPr>
          <w:lang w:val="en-US"/>
        </w:rPr>
        <w:t xml:space="preserve">So, during the fifth </w:t>
      </w:r>
      <w:r w:rsidR="00EE3380" w:rsidRPr="00241CBC">
        <w:rPr>
          <w:lang w:val="en-US"/>
        </w:rPr>
        <w:lastRenderedPageBreak/>
        <w:t>event banks react a little bit stronger</w:t>
      </w:r>
      <w:r w:rsidRPr="00241CBC">
        <w:rPr>
          <w:lang w:val="en-US"/>
        </w:rPr>
        <w:t xml:space="preserve"> (not significant)</w:t>
      </w:r>
      <w:r w:rsidR="00EE3380" w:rsidRPr="00241CBC">
        <w:rPr>
          <w:lang w:val="en-US"/>
        </w:rPr>
        <w:t xml:space="preserve"> than insurance companies.</w:t>
      </w:r>
      <w:r w:rsidR="001A4627" w:rsidRPr="00241CBC">
        <w:rPr>
          <w:lang w:val="en-US"/>
        </w:rPr>
        <w:t xml:space="preserve"> This result supports hypothesis three.</w:t>
      </w:r>
      <w:r w:rsidR="00EE3380" w:rsidRPr="00241CBC">
        <w:rPr>
          <w:lang w:val="en-US"/>
        </w:rPr>
        <w:t xml:space="preserve"> However, by comparing the events combined, insurance companies show a less negative reaction. </w:t>
      </w:r>
      <w:r w:rsidR="001A4627" w:rsidRPr="00241CBC">
        <w:rPr>
          <w:lang w:val="en-US"/>
        </w:rPr>
        <w:t>This</w:t>
      </w:r>
      <w:r w:rsidR="00EE3380" w:rsidRPr="00241CBC">
        <w:rPr>
          <w:lang w:val="en-US"/>
        </w:rPr>
        <w:t xml:space="preserve"> result does not support hypothesis three.</w:t>
      </w:r>
      <w:r w:rsidRPr="00241CBC">
        <w:rPr>
          <w:lang w:val="en-US"/>
        </w:rPr>
        <w:t xml:space="preserve"> </w:t>
      </w:r>
      <w:r w:rsidR="00B2690B" w:rsidRPr="00241CBC">
        <w:rPr>
          <w:lang w:val="en-US"/>
        </w:rPr>
        <w:t>As a conclusion</w:t>
      </w:r>
      <w:r w:rsidR="00570FB7" w:rsidRPr="00241CBC">
        <w:rPr>
          <w:lang w:val="en-US"/>
        </w:rPr>
        <w:t xml:space="preserve">, this comparison gives </w:t>
      </w:r>
      <w:r w:rsidR="00EE3380" w:rsidRPr="00241CBC">
        <w:rPr>
          <w:lang w:val="en-US"/>
        </w:rPr>
        <w:t>no</w:t>
      </w:r>
      <w:r w:rsidR="0096221C">
        <w:rPr>
          <w:lang w:val="en-US"/>
        </w:rPr>
        <w:t xml:space="preserve"> empirical</w:t>
      </w:r>
      <w:r w:rsidR="00570FB7" w:rsidRPr="00241CBC">
        <w:rPr>
          <w:lang w:val="en-US"/>
        </w:rPr>
        <w:t xml:space="preserve"> evidence that stock prices </w:t>
      </w:r>
      <w:r w:rsidR="00B2690B" w:rsidRPr="00241CBC">
        <w:rPr>
          <w:lang w:val="en-US"/>
        </w:rPr>
        <w:t>of</w:t>
      </w:r>
      <w:r w:rsidR="00570FB7" w:rsidRPr="00241CBC">
        <w:rPr>
          <w:lang w:val="en-US"/>
        </w:rPr>
        <w:t xml:space="preserve"> banks react stronger to the introduction of the reclassification option in IAS 39</w:t>
      </w:r>
      <w:r w:rsidR="00B2690B" w:rsidRPr="00241CBC">
        <w:rPr>
          <w:lang w:val="en-US"/>
        </w:rPr>
        <w:t xml:space="preserve"> than the stock price reaction of</w:t>
      </w:r>
      <w:r w:rsidR="00B2690B" w:rsidRPr="00DA0DCD">
        <w:rPr>
          <w:lang w:val="en-US"/>
        </w:rPr>
        <w:t xml:space="preserve"> insurance companies</w:t>
      </w:r>
      <w:r w:rsidR="00570FB7" w:rsidRPr="00DA0DCD">
        <w:rPr>
          <w:lang w:val="en-US"/>
        </w:rPr>
        <w:t xml:space="preserve">. This means that the difference between solvency and Basel II capital requirements, as described in chapter four, has a negligible effect on the difference between the stock prices reaction of banks </w:t>
      </w:r>
      <w:r w:rsidR="00385984">
        <w:rPr>
          <w:lang w:val="en-US"/>
        </w:rPr>
        <w:t>as well as</w:t>
      </w:r>
      <w:r w:rsidR="00570FB7" w:rsidRPr="00DA0DCD">
        <w:rPr>
          <w:lang w:val="en-US"/>
        </w:rPr>
        <w:t xml:space="preserve"> insurance companies</w:t>
      </w:r>
      <w:r w:rsidR="00385984">
        <w:rPr>
          <w:lang w:val="en-US"/>
        </w:rPr>
        <w:t xml:space="preserve"> separately</w:t>
      </w:r>
      <w:r w:rsidR="00570FB7" w:rsidRPr="00DA0DCD">
        <w:rPr>
          <w:lang w:val="en-US"/>
        </w:rPr>
        <w:t xml:space="preserve">. </w:t>
      </w:r>
    </w:p>
    <w:p w:rsidR="00BA5D31" w:rsidRPr="00DA0DCD" w:rsidRDefault="00BA5D31" w:rsidP="00BA5D31">
      <w:pPr>
        <w:rPr>
          <w:lang w:val="en-US"/>
        </w:rPr>
      </w:pPr>
      <w:r w:rsidRPr="00DA0DCD">
        <w:rPr>
          <w:lang w:val="en-US"/>
        </w:rPr>
        <w:t xml:space="preserve">So, it </w:t>
      </w:r>
      <w:r w:rsidR="00E603F5">
        <w:rPr>
          <w:lang w:val="en-US"/>
        </w:rPr>
        <w:t>is not shown</w:t>
      </w:r>
      <w:r w:rsidR="00241CBC">
        <w:rPr>
          <w:lang w:val="en-US"/>
        </w:rPr>
        <w:t xml:space="preserve"> </w:t>
      </w:r>
      <w:r w:rsidR="00E603F5">
        <w:rPr>
          <w:lang w:val="en-US"/>
        </w:rPr>
        <w:t>by the results</w:t>
      </w:r>
      <w:r w:rsidRPr="00DA0DCD">
        <w:rPr>
          <w:lang w:val="en-US"/>
        </w:rPr>
        <w:t xml:space="preserve"> that stock prices of banks react stronger to the introduction of the reclassification option </w:t>
      </w:r>
      <w:r w:rsidR="00241CBC">
        <w:rPr>
          <w:lang w:val="en-US"/>
        </w:rPr>
        <w:t>than</w:t>
      </w:r>
      <w:r w:rsidRPr="00DA0DCD">
        <w:rPr>
          <w:lang w:val="en-US"/>
        </w:rPr>
        <w:t xml:space="preserve"> insurance companies in Europe. This finding is consistent with the research of Paananen et al. (2009) who imply with their results that banks reclassify their financial instruments because of the market illiquidity. They find no sign that banks use reclassification because of their capital adequacy levels. This means that the unintended pro-cyclicality of Basel II by banks as described by researchers like Kashyap and Stein (2003) and Repullo and Suarez (2008) are not convincingly reflected in the results of testing hypothesis three. Hence, the effect of the difference between solvency requirements for insurance companies and the more stringent capital requirements of Basel II are not strongly visible in the stock price reaction of </w:t>
      </w:r>
      <w:r w:rsidR="00385984">
        <w:rPr>
          <w:lang w:val="en-US"/>
        </w:rPr>
        <w:t xml:space="preserve">banks and insurance companies. </w:t>
      </w:r>
      <w:r w:rsidRPr="00DA0DCD">
        <w:rPr>
          <w:lang w:val="en-US"/>
        </w:rPr>
        <w:t>Furthermore, the results of the measured hypothesis three (table 7.7 and 7.8) are slightly in line with Beatty et al. (1996) who find</w:t>
      </w:r>
      <w:r w:rsidR="00826C74">
        <w:rPr>
          <w:lang w:val="en-US"/>
        </w:rPr>
        <w:t>s</w:t>
      </w:r>
      <w:r w:rsidRPr="00DA0DCD">
        <w:rPr>
          <w:lang w:val="en-US"/>
        </w:rPr>
        <w:t xml:space="preserve"> small negative stock prices of insurance companies where banks react significant negative to the </w:t>
      </w:r>
      <w:r w:rsidR="00385984">
        <w:rPr>
          <w:lang w:val="en-US"/>
        </w:rPr>
        <w:t xml:space="preserve">introduction of FVA in the US. </w:t>
      </w:r>
      <w:r w:rsidRPr="00DA0DCD">
        <w:rPr>
          <w:lang w:val="en-US"/>
        </w:rPr>
        <w:t>This implies that stock prices of banks should react stronger to the reclassification option than stock prices of insurance companies. The results of this thesis give only weak evidence that stock prices of banks react stronger to the introduction of the reclassification option in IAS 39.</w:t>
      </w:r>
    </w:p>
    <w:p w:rsidR="00F72182" w:rsidRPr="00DA0DCD" w:rsidRDefault="00F72182" w:rsidP="00F72182">
      <w:pPr>
        <w:pStyle w:val="Kop2"/>
        <w:numPr>
          <w:ilvl w:val="1"/>
          <w:numId w:val="14"/>
        </w:numPr>
        <w:rPr>
          <w:lang w:val="en-US"/>
        </w:rPr>
      </w:pPr>
      <w:bookmarkStart w:id="85" w:name="_Toc270770619"/>
      <w:r w:rsidRPr="00DA0DCD">
        <w:rPr>
          <w:lang w:val="en-US"/>
        </w:rPr>
        <w:t>Analy</w:t>
      </w:r>
      <w:r w:rsidR="0084056B">
        <w:rPr>
          <w:lang w:val="en-US"/>
        </w:rPr>
        <w:t>sis</w:t>
      </w:r>
      <w:r w:rsidRPr="00DA0DCD">
        <w:rPr>
          <w:lang w:val="en-US"/>
        </w:rPr>
        <w:t xml:space="preserve"> hypothesis four</w:t>
      </w:r>
      <w:bookmarkEnd w:id="85"/>
    </w:p>
    <w:p w:rsidR="00F72182" w:rsidRPr="00DA0DCD" w:rsidRDefault="00F72182" w:rsidP="00F72182">
      <w:pPr>
        <w:rPr>
          <w:lang w:val="en-US"/>
        </w:rPr>
      </w:pPr>
      <w:r w:rsidRPr="00DA0DCD">
        <w:rPr>
          <w:rStyle w:val="longtext1"/>
          <w:rFonts w:cs="Times New Roman"/>
          <w:i/>
          <w:sz w:val="22"/>
          <w:szCs w:val="22"/>
          <w:shd w:val="clear" w:color="auto" w:fill="FFFFFF"/>
          <w:lang w:val="en-US"/>
        </w:rPr>
        <w:t>The absolute value of stock price reactions of financial institutions in Great Britain and Ireland to the introduction of the reclassification option for financial instruments in IAS 39 is expected to be weaker than the absolute value of stock price reactions of financial institutions in other European countries.</w:t>
      </w:r>
    </w:p>
    <w:p w:rsidR="00273787" w:rsidRPr="004D03DD" w:rsidRDefault="003351F2" w:rsidP="00273787">
      <w:pPr>
        <w:rPr>
          <w:lang w:val="en-US"/>
        </w:rPr>
      </w:pPr>
      <w:r>
        <w:rPr>
          <w:lang w:val="en-US"/>
        </w:rPr>
        <w:t>T</w:t>
      </w:r>
      <w:r w:rsidR="00026D6C" w:rsidRPr="00DA0DCD">
        <w:rPr>
          <w:lang w:val="en-US"/>
        </w:rPr>
        <w:t xml:space="preserve">able 7.9 </w:t>
      </w:r>
      <w:r>
        <w:rPr>
          <w:lang w:val="en-US"/>
        </w:rPr>
        <w:t>shows</w:t>
      </w:r>
      <w:r w:rsidR="00385984" w:rsidRPr="00DA0DCD">
        <w:rPr>
          <w:lang w:val="en-US"/>
        </w:rPr>
        <w:t xml:space="preserve"> the statistically not significant stock price reactions</w:t>
      </w:r>
      <w:r w:rsidR="00026D6C" w:rsidRPr="00DA0DCD">
        <w:rPr>
          <w:lang w:val="en-US"/>
        </w:rPr>
        <w:t xml:space="preserve"> </w:t>
      </w:r>
      <w:r w:rsidR="00235D60">
        <w:rPr>
          <w:lang w:val="en-US"/>
        </w:rPr>
        <w:t>during</w:t>
      </w:r>
      <w:r w:rsidR="00637BE8" w:rsidRPr="00DA0DCD">
        <w:rPr>
          <w:lang w:val="en-US"/>
        </w:rPr>
        <w:t xml:space="preserve"> t</w:t>
      </w:r>
      <w:r w:rsidR="00235D60">
        <w:rPr>
          <w:lang w:val="en-US"/>
        </w:rPr>
        <w:t>he fifth</w:t>
      </w:r>
      <w:r w:rsidR="009044DD">
        <w:rPr>
          <w:lang w:val="en-US"/>
        </w:rPr>
        <w:t xml:space="preserve"> event</w:t>
      </w:r>
      <w:r w:rsidR="00235D60">
        <w:rPr>
          <w:lang w:val="en-US"/>
        </w:rPr>
        <w:t xml:space="preserve"> in Ireland and </w:t>
      </w:r>
      <w:r w:rsidR="00637BE8" w:rsidRPr="00DA0DCD">
        <w:rPr>
          <w:lang w:val="en-US"/>
        </w:rPr>
        <w:t>Great Britain</w:t>
      </w:r>
      <w:r w:rsidR="00026D6C" w:rsidRPr="00DA0DCD">
        <w:rPr>
          <w:lang w:val="en-US"/>
        </w:rPr>
        <w:t>. These values</w:t>
      </w:r>
      <w:r w:rsidR="00637BE8" w:rsidRPr="00DA0DCD">
        <w:rPr>
          <w:lang w:val="en-US"/>
        </w:rPr>
        <w:t xml:space="preserve"> support the fourth hypothesis.  This means that the stock prices of financial institutions in Great </w:t>
      </w:r>
      <w:r w:rsidR="00AE2DE4" w:rsidRPr="00DA0DCD">
        <w:rPr>
          <w:lang w:val="en-US"/>
        </w:rPr>
        <w:t>Britain</w:t>
      </w:r>
      <w:r w:rsidR="00B54636" w:rsidRPr="00DA0DCD">
        <w:rPr>
          <w:lang w:val="en-US"/>
        </w:rPr>
        <w:t xml:space="preserve"> react weak (</w:t>
      </w:r>
      <w:r w:rsidR="00D041FC" w:rsidRPr="00DA0DCD">
        <w:rPr>
          <w:lang w:val="en-US"/>
        </w:rPr>
        <w:t>statistically</w:t>
      </w:r>
      <w:r w:rsidR="00B54636" w:rsidRPr="00DA0DCD">
        <w:rPr>
          <w:lang w:val="en-US"/>
        </w:rPr>
        <w:t xml:space="preserve"> not significant)</w:t>
      </w:r>
      <w:r w:rsidR="00637BE8" w:rsidRPr="00DA0DCD">
        <w:rPr>
          <w:lang w:val="en-US"/>
        </w:rPr>
        <w:t xml:space="preserve"> and</w:t>
      </w:r>
      <w:r w:rsidR="00B54636" w:rsidRPr="00DA0DCD">
        <w:rPr>
          <w:lang w:val="en-US"/>
        </w:rPr>
        <w:t xml:space="preserve"> stock prices of financial institutions in</w:t>
      </w:r>
      <w:r w:rsidR="00637BE8" w:rsidRPr="00DA0DCD">
        <w:rPr>
          <w:lang w:val="en-US"/>
        </w:rPr>
        <w:t xml:space="preserve"> Ireland react</w:t>
      </w:r>
      <w:r w:rsidR="00026D6C" w:rsidRPr="00DA0DCD">
        <w:rPr>
          <w:lang w:val="en-US"/>
        </w:rPr>
        <w:t xml:space="preserve"> negative to the introduction of the </w:t>
      </w:r>
      <w:r w:rsidR="00D041FC" w:rsidRPr="00DA0DCD">
        <w:rPr>
          <w:lang w:val="en-US"/>
        </w:rPr>
        <w:t>reclassification</w:t>
      </w:r>
      <w:r w:rsidR="00026D6C" w:rsidRPr="00DA0DCD">
        <w:rPr>
          <w:lang w:val="en-US"/>
        </w:rPr>
        <w:t xml:space="preserve"> option in IAS 39. As presented at </w:t>
      </w:r>
      <w:r w:rsidR="00A658DC">
        <w:rPr>
          <w:lang w:val="en-US"/>
        </w:rPr>
        <w:t>paragraph 8.1</w:t>
      </w:r>
      <w:r w:rsidR="00026D6C" w:rsidRPr="00DA0DCD">
        <w:rPr>
          <w:lang w:val="en-US"/>
        </w:rPr>
        <w:t>, the reason for the negative betas could be the financial crisis or the behavior and/or reliance in the financial system of investors.  The green countries in</w:t>
      </w:r>
      <w:r w:rsidR="00235D60">
        <w:rPr>
          <w:lang w:val="en-US"/>
        </w:rPr>
        <w:t xml:space="preserve"> table 7.9</w:t>
      </w:r>
      <w:r w:rsidR="00026D6C" w:rsidRPr="00DA0DCD">
        <w:rPr>
          <w:lang w:val="en-US"/>
        </w:rPr>
        <w:t xml:space="preserve"> (</w:t>
      </w:r>
      <w:r w:rsidR="00026D6C" w:rsidRPr="00DA0DCD">
        <w:rPr>
          <w:rStyle w:val="longtext1"/>
          <w:rFonts w:cs="Times New Roman"/>
          <w:sz w:val="22"/>
          <w:szCs w:val="22"/>
          <w:shd w:val="clear" w:color="auto" w:fill="FFFFFF"/>
          <w:lang w:val="en-US"/>
        </w:rPr>
        <w:t xml:space="preserve">Belgium, Denmark, Germany, Italy, Netherlands, Austria, Spain and Sweden) show a positive stock price reaction during the </w:t>
      </w:r>
      <w:r w:rsidR="00AE2DE4" w:rsidRPr="00DA0DCD">
        <w:rPr>
          <w:rStyle w:val="longtext1"/>
          <w:rFonts w:cs="Times New Roman"/>
          <w:sz w:val="22"/>
          <w:szCs w:val="22"/>
          <w:shd w:val="clear" w:color="auto" w:fill="FFFFFF"/>
          <w:lang w:val="en-US"/>
        </w:rPr>
        <w:t>fifth</w:t>
      </w:r>
      <w:r w:rsidR="00026D6C" w:rsidRPr="00DA0DCD">
        <w:rPr>
          <w:rStyle w:val="longtext1"/>
          <w:rFonts w:cs="Times New Roman"/>
          <w:sz w:val="22"/>
          <w:szCs w:val="22"/>
          <w:shd w:val="clear" w:color="auto" w:fill="FFFFFF"/>
          <w:lang w:val="en-US"/>
        </w:rPr>
        <w:t xml:space="preserve"> event. </w:t>
      </w:r>
      <w:r w:rsidR="00B54636" w:rsidRPr="00DA0DCD">
        <w:rPr>
          <w:rStyle w:val="longtext1"/>
          <w:rFonts w:cs="Times New Roman"/>
          <w:sz w:val="22"/>
          <w:szCs w:val="22"/>
          <w:shd w:val="clear" w:color="auto" w:fill="FFFFFF"/>
          <w:lang w:val="en-US"/>
        </w:rPr>
        <w:t>In t</w:t>
      </w:r>
      <w:r w:rsidR="00026D6C" w:rsidRPr="00DA0DCD">
        <w:rPr>
          <w:rStyle w:val="longtext1"/>
          <w:rFonts w:cs="Times New Roman"/>
          <w:sz w:val="22"/>
          <w:szCs w:val="22"/>
          <w:shd w:val="clear" w:color="auto" w:fill="FFFFFF"/>
          <w:lang w:val="en-US"/>
        </w:rPr>
        <w:t>he red countries (Finland, France, Ireland, Luxembourg</w:t>
      </w:r>
      <w:r w:rsidR="00ED613A" w:rsidRPr="00DA0DCD">
        <w:rPr>
          <w:rStyle w:val="longtext1"/>
          <w:rFonts w:cs="Times New Roman"/>
          <w:sz w:val="22"/>
          <w:szCs w:val="22"/>
          <w:shd w:val="clear" w:color="auto" w:fill="FFFFFF"/>
          <w:lang w:val="en-US"/>
        </w:rPr>
        <w:t>, Portugal</w:t>
      </w:r>
      <w:r w:rsidR="00026D6C" w:rsidRPr="00DA0DCD">
        <w:rPr>
          <w:rStyle w:val="longtext1"/>
          <w:rFonts w:cs="Times New Roman"/>
          <w:sz w:val="22"/>
          <w:szCs w:val="22"/>
          <w:shd w:val="clear" w:color="auto" w:fill="FFFFFF"/>
          <w:lang w:val="en-US"/>
        </w:rPr>
        <w:t xml:space="preserve"> and Great Britain)</w:t>
      </w:r>
      <w:r w:rsidR="00B54636" w:rsidRPr="00DA0DCD">
        <w:rPr>
          <w:rStyle w:val="longtext1"/>
          <w:rFonts w:cs="Times New Roman"/>
          <w:sz w:val="22"/>
          <w:szCs w:val="22"/>
          <w:shd w:val="clear" w:color="auto" w:fill="FFFFFF"/>
          <w:lang w:val="en-US"/>
        </w:rPr>
        <w:t>, the stock prices of financial institutions</w:t>
      </w:r>
      <w:r w:rsidR="00026D6C" w:rsidRPr="00DA0DCD">
        <w:rPr>
          <w:rStyle w:val="longtext1"/>
          <w:rFonts w:cs="Times New Roman"/>
          <w:sz w:val="22"/>
          <w:szCs w:val="22"/>
          <w:shd w:val="clear" w:color="auto" w:fill="FFFFFF"/>
          <w:lang w:val="en-US"/>
        </w:rPr>
        <w:t xml:space="preserve"> react weak </w:t>
      </w:r>
      <w:r w:rsidR="00B54636" w:rsidRPr="00DA0DCD">
        <w:rPr>
          <w:rStyle w:val="longtext1"/>
          <w:rFonts w:cs="Times New Roman"/>
          <w:sz w:val="22"/>
          <w:szCs w:val="22"/>
          <w:shd w:val="clear" w:color="auto" w:fill="FFFFFF"/>
          <w:lang w:val="en-US"/>
        </w:rPr>
        <w:t>(</w:t>
      </w:r>
      <w:r w:rsidR="00D041FC" w:rsidRPr="00DA0DCD">
        <w:rPr>
          <w:rStyle w:val="longtext1"/>
          <w:rFonts w:cs="Times New Roman"/>
          <w:sz w:val="22"/>
          <w:szCs w:val="22"/>
          <w:shd w:val="clear" w:color="auto" w:fill="FFFFFF"/>
          <w:lang w:val="en-US"/>
        </w:rPr>
        <w:t>statistically</w:t>
      </w:r>
      <w:r w:rsidR="00B54636" w:rsidRPr="00DA0DCD">
        <w:rPr>
          <w:rStyle w:val="longtext1"/>
          <w:rFonts w:cs="Times New Roman"/>
          <w:sz w:val="22"/>
          <w:szCs w:val="22"/>
          <w:shd w:val="clear" w:color="auto" w:fill="FFFFFF"/>
          <w:lang w:val="en-US"/>
        </w:rPr>
        <w:t xml:space="preserve"> not significant) </w:t>
      </w:r>
      <w:r w:rsidR="00026D6C" w:rsidRPr="00DA0DCD">
        <w:rPr>
          <w:rStyle w:val="longtext1"/>
          <w:rFonts w:cs="Times New Roman"/>
          <w:sz w:val="22"/>
          <w:szCs w:val="22"/>
          <w:shd w:val="clear" w:color="auto" w:fill="FFFFFF"/>
          <w:lang w:val="en-US"/>
        </w:rPr>
        <w:t xml:space="preserve">or </w:t>
      </w:r>
      <w:r w:rsidR="00235D60">
        <w:rPr>
          <w:rStyle w:val="longtext1"/>
          <w:rFonts w:cs="Times New Roman"/>
          <w:sz w:val="22"/>
          <w:szCs w:val="22"/>
          <w:shd w:val="clear" w:color="auto" w:fill="FFFFFF"/>
          <w:lang w:val="en-US"/>
        </w:rPr>
        <w:t xml:space="preserve">even </w:t>
      </w:r>
      <w:r w:rsidR="00B54636" w:rsidRPr="00DA0DCD">
        <w:rPr>
          <w:rStyle w:val="longtext1"/>
          <w:rFonts w:cs="Times New Roman"/>
          <w:sz w:val="22"/>
          <w:szCs w:val="22"/>
          <w:shd w:val="clear" w:color="auto" w:fill="FFFFFF"/>
          <w:lang w:val="en-US"/>
        </w:rPr>
        <w:t xml:space="preserve">negative to the introduction of the reclassification option in IAS 39. </w:t>
      </w:r>
      <w:r w:rsidR="00273787" w:rsidRPr="00DA0DCD">
        <w:rPr>
          <w:rStyle w:val="longtext1"/>
          <w:rFonts w:cs="Times New Roman"/>
          <w:sz w:val="22"/>
          <w:szCs w:val="22"/>
          <w:shd w:val="clear" w:color="auto" w:fill="FFFFFF"/>
          <w:lang w:val="en-US"/>
        </w:rPr>
        <w:t xml:space="preserve">The statistically not significant stock price reactions of </w:t>
      </w:r>
      <w:r w:rsidR="00D041FC" w:rsidRPr="00DA0DCD">
        <w:rPr>
          <w:rStyle w:val="longtext1"/>
          <w:rFonts w:cs="Times New Roman"/>
          <w:sz w:val="22"/>
          <w:szCs w:val="22"/>
          <w:shd w:val="clear" w:color="auto" w:fill="FFFFFF"/>
          <w:lang w:val="en-US"/>
        </w:rPr>
        <w:t>financial</w:t>
      </w:r>
      <w:r w:rsidR="00273787" w:rsidRPr="00DA0DCD">
        <w:rPr>
          <w:rStyle w:val="longtext1"/>
          <w:rFonts w:cs="Times New Roman"/>
          <w:sz w:val="22"/>
          <w:szCs w:val="22"/>
          <w:shd w:val="clear" w:color="auto" w:fill="FFFFFF"/>
          <w:lang w:val="en-US"/>
        </w:rPr>
        <w:t xml:space="preserve"> institutions in France</w:t>
      </w:r>
      <w:r w:rsidR="00235D60">
        <w:rPr>
          <w:rStyle w:val="longtext1"/>
          <w:rFonts w:cs="Times New Roman"/>
          <w:sz w:val="22"/>
          <w:szCs w:val="22"/>
          <w:shd w:val="clear" w:color="auto" w:fill="FFFFFF"/>
          <w:lang w:val="en-US"/>
        </w:rPr>
        <w:t xml:space="preserve"> during the fifth event </w:t>
      </w:r>
      <w:r w:rsidR="00273787" w:rsidRPr="00DA0DCD">
        <w:rPr>
          <w:rStyle w:val="longtext1"/>
          <w:rFonts w:cs="Times New Roman"/>
          <w:sz w:val="22"/>
          <w:szCs w:val="22"/>
          <w:shd w:val="clear" w:color="auto" w:fill="FFFFFF"/>
          <w:lang w:val="en-US"/>
        </w:rPr>
        <w:t xml:space="preserve">is </w:t>
      </w:r>
      <w:r w:rsidR="00D041FC" w:rsidRPr="00DA0DCD">
        <w:rPr>
          <w:rStyle w:val="longtext1"/>
          <w:rFonts w:cs="Times New Roman"/>
          <w:sz w:val="22"/>
          <w:szCs w:val="22"/>
          <w:shd w:val="clear" w:color="auto" w:fill="FFFFFF"/>
          <w:lang w:val="en-US"/>
        </w:rPr>
        <w:t>remarkable</w:t>
      </w:r>
      <w:r w:rsidR="00273787" w:rsidRPr="00DA0DCD">
        <w:rPr>
          <w:rStyle w:val="longtext1"/>
          <w:rFonts w:cs="Times New Roman"/>
          <w:sz w:val="22"/>
          <w:szCs w:val="22"/>
          <w:shd w:val="clear" w:color="auto" w:fill="FFFFFF"/>
          <w:lang w:val="en-US"/>
        </w:rPr>
        <w:t xml:space="preserve">, because the </w:t>
      </w:r>
      <w:r w:rsidR="00273787" w:rsidRPr="00DA0DCD">
        <w:rPr>
          <w:lang w:val="en-US"/>
        </w:rPr>
        <w:t xml:space="preserve">fourth event </w:t>
      </w:r>
      <w:r>
        <w:rPr>
          <w:lang w:val="en-US"/>
        </w:rPr>
        <w:t>is</w:t>
      </w:r>
      <w:r w:rsidR="00273787" w:rsidRPr="00DA0DCD">
        <w:rPr>
          <w:lang w:val="en-US"/>
        </w:rPr>
        <w:t xml:space="preserve"> </w:t>
      </w:r>
      <w:r>
        <w:rPr>
          <w:lang w:val="en-US"/>
        </w:rPr>
        <w:t xml:space="preserve">the </w:t>
      </w:r>
      <w:r w:rsidR="00D373FE">
        <w:rPr>
          <w:lang w:val="en-US"/>
        </w:rPr>
        <w:t>summon</w:t>
      </w:r>
      <w:r w:rsidR="00273787" w:rsidRPr="00DA0DCD">
        <w:rPr>
          <w:lang w:val="en-US"/>
        </w:rPr>
        <w:t xml:space="preserve"> of the French President Sarkozy to reform accounting rules on valuation. Therefore, you should expect a positive stock price reaction. However, there could be another event during those days or the reason is the financial crisis on its own.</w:t>
      </w:r>
      <w:r w:rsidR="00ED613A" w:rsidRPr="00DA0DCD">
        <w:rPr>
          <w:lang w:val="en-US"/>
        </w:rPr>
        <w:t xml:space="preserve"> The weak (</w:t>
      </w:r>
      <w:r w:rsidR="00D041FC" w:rsidRPr="00DA0DCD">
        <w:rPr>
          <w:lang w:val="en-US"/>
        </w:rPr>
        <w:t>statistically</w:t>
      </w:r>
      <w:r w:rsidR="00ED613A" w:rsidRPr="00DA0DCD">
        <w:rPr>
          <w:lang w:val="en-US"/>
        </w:rPr>
        <w:t xml:space="preserve"> not significant) stock price reaction of </w:t>
      </w:r>
      <w:r w:rsidR="00D041FC" w:rsidRPr="00DA0DCD">
        <w:rPr>
          <w:lang w:val="en-US"/>
        </w:rPr>
        <w:t>financial</w:t>
      </w:r>
      <w:r w:rsidR="00ED613A" w:rsidRPr="00DA0DCD">
        <w:rPr>
          <w:lang w:val="en-US"/>
        </w:rPr>
        <w:t xml:space="preserve"> institution in Luxembourg and Portugal could be explained by the low R-square value, which explains how much of the return of </w:t>
      </w:r>
      <w:r w:rsidR="00ED613A" w:rsidRPr="00DA0DCD">
        <w:rPr>
          <w:lang w:val="en-US"/>
        </w:rPr>
        <w:lastRenderedPageBreak/>
        <w:t xml:space="preserve">financial institution is explained by the regression model Eq. (6.1). This means that the </w:t>
      </w:r>
      <w:r w:rsidR="007F6B2E" w:rsidRPr="00DA0DCD">
        <w:rPr>
          <w:lang w:val="en-US"/>
        </w:rPr>
        <w:t>return of financial institution</w:t>
      </w:r>
      <w:r w:rsidR="00E603F5">
        <w:rPr>
          <w:lang w:val="en-US"/>
        </w:rPr>
        <w:t>s</w:t>
      </w:r>
      <w:r w:rsidR="007F6B2E" w:rsidRPr="00DA0DCD">
        <w:rPr>
          <w:lang w:val="en-US"/>
        </w:rPr>
        <w:t xml:space="preserve"> is not strongly </w:t>
      </w:r>
      <w:r w:rsidR="00E603F5">
        <w:rPr>
          <w:lang w:val="en-US"/>
        </w:rPr>
        <w:t>explained</w:t>
      </w:r>
      <w:r w:rsidR="007F6B2E" w:rsidRPr="00DA0DCD">
        <w:rPr>
          <w:lang w:val="en-US"/>
        </w:rPr>
        <w:t xml:space="preserve"> by the stock price</w:t>
      </w:r>
      <w:r w:rsidR="00ED613A" w:rsidRPr="00DA0DCD">
        <w:rPr>
          <w:lang w:val="en-US"/>
        </w:rPr>
        <w:t xml:space="preserve"> reactions</w:t>
      </w:r>
      <w:r w:rsidR="007F6B2E" w:rsidRPr="00DA0DCD">
        <w:rPr>
          <w:lang w:val="en-US"/>
        </w:rPr>
        <w:t xml:space="preserve"> </w:t>
      </w:r>
      <w:r w:rsidR="00ED613A" w:rsidRPr="00DA0DCD">
        <w:rPr>
          <w:lang w:val="en-US"/>
        </w:rPr>
        <w:t xml:space="preserve">during the fifth </w:t>
      </w:r>
      <w:r w:rsidR="00E603F5">
        <w:rPr>
          <w:lang w:val="en-US"/>
        </w:rPr>
        <w:t>event</w:t>
      </w:r>
      <w:r w:rsidR="007F6B2E" w:rsidRPr="00DA0DCD">
        <w:rPr>
          <w:lang w:val="en-US"/>
        </w:rPr>
        <w:t xml:space="preserve">. The weak positive </w:t>
      </w:r>
      <w:r w:rsidR="007F6B2E" w:rsidRPr="00DA0DCD">
        <w:rPr>
          <w:rStyle w:val="longtext1"/>
          <w:rFonts w:cs="Times New Roman"/>
          <w:sz w:val="22"/>
          <w:szCs w:val="22"/>
          <w:shd w:val="clear" w:color="auto" w:fill="FFFFFF"/>
          <w:lang w:val="en-US"/>
        </w:rPr>
        <w:t>(</w:t>
      </w:r>
      <w:r w:rsidR="00D041FC" w:rsidRPr="00DA0DCD">
        <w:rPr>
          <w:rStyle w:val="longtext1"/>
          <w:rFonts w:cs="Times New Roman"/>
          <w:sz w:val="22"/>
          <w:szCs w:val="22"/>
          <w:shd w:val="clear" w:color="auto" w:fill="FFFFFF"/>
          <w:lang w:val="en-US"/>
        </w:rPr>
        <w:t>statistically</w:t>
      </w:r>
      <w:r w:rsidR="007F6B2E" w:rsidRPr="00DA0DCD">
        <w:rPr>
          <w:rStyle w:val="longtext1"/>
          <w:rFonts w:cs="Times New Roman"/>
          <w:sz w:val="22"/>
          <w:szCs w:val="22"/>
          <w:shd w:val="clear" w:color="auto" w:fill="FFFFFF"/>
          <w:lang w:val="en-US"/>
        </w:rPr>
        <w:t xml:space="preserve"> not significant) stock price reaction in Finland is a question, because the value of the R-square is high. So, there could be other events (news) or the financial crisis on its own which resulted in the weak stock price reaction during the fifth event</w:t>
      </w:r>
      <w:r w:rsidR="007F6B2E" w:rsidRPr="004D03DD">
        <w:rPr>
          <w:rStyle w:val="longtext1"/>
          <w:rFonts w:cs="Times New Roman"/>
          <w:sz w:val="22"/>
          <w:szCs w:val="22"/>
          <w:shd w:val="clear" w:color="auto" w:fill="FFFFFF"/>
          <w:lang w:val="en-US"/>
        </w:rPr>
        <w:t>.</w:t>
      </w:r>
      <w:r w:rsidR="0024098C" w:rsidRPr="004D03DD">
        <w:rPr>
          <w:rStyle w:val="longtext1"/>
          <w:rFonts w:cs="Times New Roman"/>
          <w:sz w:val="22"/>
          <w:szCs w:val="22"/>
          <w:shd w:val="clear" w:color="auto" w:fill="FFFFFF"/>
          <w:lang w:val="en-US"/>
        </w:rPr>
        <w:t xml:space="preserve"> </w:t>
      </w:r>
      <w:r w:rsidR="004D03DD" w:rsidRPr="004D03DD">
        <w:rPr>
          <w:rStyle w:val="longtext1"/>
          <w:rFonts w:cs="Times New Roman"/>
          <w:sz w:val="22"/>
          <w:szCs w:val="22"/>
          <w:shd w:val="clear" w:color="auto" w:fill="FFFFFF"/>
          <w:lang w:val="en-US"/>
        </w:rPr>
        <w:t xml:space="preserve">The reaction in </w:t>
      </w:r>
      <w:r w:rsidR="0024098C" w:rsidRPr="004D03DD">
        <w:rPr>
          <w:rStyle w:val="longtext1"/>
          <w:rFonts w:cs="Times New Roman"/>
          <w:sz w:val="22"/>
          <w:szCs w:val="22"/>
          <w:shd w:val="clear" w:color="auto" w:fill="FFFFFF"/>
          <w:lang w:val="en-US"/>
        </w:rPr>
        <w:t>Great Britain</w:t>
      </w:r>
      <w:r w:rsidR="004D03DD" w:rsidRPr="004D03DD">
        <w:rPr>
          <w:rStyle w:val="longtext1"/>
          <w:rFonts w:cs="Times New Roman"/>
          <w:sz w:val="22"/>
          <w:szCs w:val="22"/>
          <w:shd w:val="clear" w:color="auto" w:fill="FFFFFF"/>
          <w:lang w:val="en-US"/>
        </w:rPr>
        <w:t xml:space="preserve"> to the fifth event is also weak with a statistically not significant positive stock price reaction. The stock price reaction in Ireland is even negative and statistically not significant. However, in Great Britain and Ireland the R-square is relative high.</w:t>
      </w:r>
    </w:p>
    <w:p w:rsidR="00637BE8" w:rsidRPr="00DA0DCD" w:rsidRDefault="008A69D9" w:rsidP="00637BE8">
      <w:pPr>
        <w:rPr>
          <w:color w:val="FF0000"/>
          <w:lang w:val="en-US"/>
        </w:rPr>
      </w:pPr>
      <w:r w:rsidRPr="00DA0DCD">
        <w:rPr>
          <w:lang w:val="en-US"/>
        </w:rPr>
        <w:t>Overall</w:t>
      </w:r>
      <w:r w:rsidR="00637BE8" w:rsidRPr="00DA0DCD">
        <w:rPr>
          <w:lang w:val="en-US"/>
        </w:rPr>
        <w:t xml:space="preserve">, there are eight countries with a positive </w:t>
      </w:r>
      <w:r w:rsidRPr="00DA0DCD">
        <w:rPr>
          <w:lang w:val="en-US"/>
        </w:rPr>
        <w:t>statis</w:t>
      </w:r>
      <w:r w:rsidR="00AE2DE4">
        <w:rPr>
          <w:lang w:val="en-US"/>
        </w:rPr>
        <w:t>ti</w:t>
      </w:r>
      <w:r w:rsidRPr="00DA0DCD">
        <w:rPr>
          <w:lang w:val="en-US"/>
        </w:rPr>
        <w:t xml:space="preserve">cally </w:t>
      </w:r>
      <w:r w:rsidR="00637BE8" w:rsidRPr="00DA0DCD">
        <w:rPr>
          <w:lang w:val="en-US"/>
        </w:rPr>
        <w:t xml:space="preserve">significant </w:t>
      </w:r>
      <w:r w:rsidRPr="00DA0DCD">
        <w:rPr>
          <w:lang w:val="en-US"/>
        </w:rPr>
        <w:t xml:space="preserve">stock price reaction of </w:t>
      </w:r>
      <w:r w:rsidR="00AE2DE4" w:rsidRPr="00DA0DCD">
        <w:rPr>
          <w:lang w:val="en-US"/>
        </w:rPr>
        <w:t>financial</w:t>
      </w:r>
      <w:r w:rsidRPr="00DA0DCD">
        <w:rPr>
          <w:lang w:val="en-US"/>
        </w:rPr>
        <w:t xml:space="preserve"> institutions during the fifth event </w:t>
      </w:r>
      <w:r w:rsidR="00637BE8" w:rsidRPr="00DA0DCD">
        <w:rPr>
          <w:lang w:val="en-US"/>
        </w:rPr>
        <w:t xml:space="preserve">and six countries with a </w:t>
      </w:r>
      <w:r w:rsidRPr="00DA0DCD">
        <w:rPr>
          <w:lang w:val="en-US"/>
        </w:rPr>
        <w:t>weak (</w:t>
      </w:r>
      <w:r w:rsidR="00AE2DE4" w:rsidRPr="00DA0DCD">
        <w:rPr>
          <w:lang w:val="en-US"/>
        </w:rPr>
        <w:t>statistically</w:t>
      </w:r>
      <w:r w:rsidRPr="00DA0DCD">
        <w:rPr>
          <w:lang w:val="en-US"/>
        </w:rPr>
        <w:t xml:space="preserve"> not significant) </w:t>
      </w:r>
      <w:r w:rsidR="00637BE8" w:rsidRPr="00DA0DCD">
        <w:rPr>
          <w:lang w:val="en-US"/>
        </w:rPr>
        <w:t xml:space="preserve">or negative </w:t>
      </w:r>
      <w:r w:rsidRPr="00DA0DCD">
        <w:rPr>
          <w:lang w:val="en-US"/>
        </w:rPr>
        <w:t xml:space="preserve">stock price reaction </w:t>
      </w:r>
      <w:r w:rsidR="00C5270C">
        <w:rPr>
          <w:lang w:val="en-US"/>
        </w:rPr>
        <w:t>during the fifth event</w:t>
      </w:r>
      <w:r w:rsidR="00637BE8" w:rsidRPr="00DA0DCD">
        <w:rPr>
          <w:lang w:val="en-US"/>
        </w:rPr>
        <w:t xml:space="preserve">. The </w:t>
      </w:r>
      <w:r w:rsidRPr="00DA0DCD">
        <w:rPr>
          <w:lang w:val="en-US"/>
        </w:rPr>
        <w:t>weak reaction</w:t>
      </w:r>
      <w:r w:rsidR="00637BE8" w:rsidRPr="00DA0DCD">
        <w:rPr>
          <w:lang w:val="en-US"/>
        </w:rPr>
        <w:t xml:space="preserve"> in Luxembourg and Portugal and negative </w:t>
      </w:r>
      <w:r w:rsidRPr="00DA0DCD">
        <w:rPr>
          <w:lang w:val="en-US"/>
        </w:rPr>
        <w:t>stock price reaction</w:t>
      </w:r>
      <w:r w:rsidR="00637BE8" w:rsidRPr="00DA0DCD">
        <w:rPr>
          <w:lang w:val="en-US"/>
        </w:rPr>
        <w:t xml:space="preserve"> in France could </w:t>
      </w:r>
      <w:r w:rsidRPr="00DA0DCD">
        <w:rPr>
          <w:lang w:val="en-US"/>
        </w:rPr>
        <w:t xml:space="preserve">be a result of the low R-square. </w:t>
      </w:r>
      <w:r w:rsidR="00637BE8" w:rsidRPr="00DA0DCD">
        <w:rPr>
          <w:lang w:val="en-US"/>
        </w:rPr>
        <w:t xml:space="preserve">The reason for a </w:t>
      </w:r>
      <w:r w:rsidRPr="00DA0DCD">
        <w:rPr>
          <w:lang w:val="en-US"/>
        </w:rPr>
        <w:t>weak reaction</w:t>
      </w:r>
      <w:r w:rsidR="00385984">
        <w:rPr>
          <w:lang w:val="en-US"/>
        </w:rPr>
        <w:t xml:space="preserve"> in</w:t>
      </w:r>
      <w:r w:rsidR="00637BE8" w:rsidRPr="00DA0DCD">
        <w:rPr>
          <w:lang w:val="en-US"/>
        </w:rPr>
        <w:t xml:space="preserve"> Finland, </w:t>
      </w:r>
      <w:r w:rsidR="00AE2DE4" w:rsidRPr="00DA0DCD">
        <w:rPr>
          <w:lang w:val="en-US"/>
        </w:rPr>
        <w:t>cannot</w:t>
      </w:r>
      <w:r w:rsidRPr="00DA0DCD">
        <w:rPr>
          <w:lang w:val="en-US"/>
        </w:rPr>
        <w:t xml:space="preserve"> be explained by a low</w:t>
      </w:r>
      <w:r w:rsidR="00637BE8" w:rsidRPr="00DA0DCD">
        <w:rPr>
          <w:lang w:val="en-US"/>
        </w:rPr>
        <w:t xml:space="preserve"> R-square level</w:t>
      </w:r>
      <w:r w:rsidRPr="00DA0DCD">
        <w:rPr>
          <w:lang w:val="en-US"/>
        </w:rPr>
        <w:t>, so there should be another reason.</w:t>
      </w:r>
      <w:r w:rsidR="00637BE8" w:rsidRPr="00DA0DCD">
        <w:rPr>
          <w:lang w:val="en-US"/>
        </w:rPr>
        <w:t xml:space="preserve"> </w:t>
      </w:r>
      <w:r w:rsidR="00586F67" w:rsidRPr="00DA0DCD">
        <w:rPr>
          <w:lang w:val="en-US"/>
        </w:rPr>
        <w:t xml:space="preserve">On the other hand, </w:t>
      </w:r>
      <w:r w:rsidR="00637BE8" w:rsidRPr="00DA0DCD">
        <w:rPr>
          <w:lang w:val="en-US"/>
        </w:rPr>
        <w:t xml:space="preserve">Great Britain and Ireland </w:t>
      </w:r>
      <w:r w:rsidR="00586F67" w:rsidRPr="00DA0DCD">
        <w:rPr>
          <w:lang w:val="en-US"/>
        </w:rPr>
        <w:t>show a high R-</w:t>
      </w:r>
      <w:r w:rsidR="00637BE8" w:rsidRPr="00DA0DCD">
        <w:rPr>
          <w:lang w:val="en-US"/>
        </w:rPr>
        <w:t xml:space="preserve">square </w:t>
      </w:r>
      <w:r w:rsidR="00586F67" w:rsidRPr="00DA0DCD">
        <w:rPr>
          <w:lang w:val="en-US"/>
        </w:rPr>
        <w:t xml:space="preserve"> in </w:t>
      </w:r>
      <w:r w:rsidR="00586F67" w:rsidRPr="00D66630">
        <w:rPr>
          <w:lang w:val="en-US"/>
        </w:rPr>
        <w:t>table 7.1</w:t>
      </w:r>
      <w:r w:rsidR="00FE69D3" w:rsidRPr="00D66630">
        <w:rPr>
          <w:lang w:val="en-US"/>
        </w:rPr>
        <w:t xml:space="preserve">. So, comparing the stock price reactions of financial institutions in different countries </w:t>
      </w:r>
      <w:r w:rsidR="00A658DC" w:rsidRPr="00D66630">
        <w:rPr>
          <w:lang w:val="en-US"/>
        </w:rPr>
        <w:t>there</w:t>
      </w:r>
      <w:r w:rsidR="0086700C" w:rsidRPr="00D66630">
        <w:rPr>
          <w:lang w:val="en-US"/>
        </w:rPr>
        <w:t xml:space="preserve"> </w:t>
      </w:r>
      <w:r w:rsidR="00637BE8" w:rsidRPr="00D66630">
        <w:rPr>
          <w:lang w:val="en-US"/>
        </w:rPr>
        <w:t>can</w:t>
      </w:r>
      <w:r w:rsidR="00A658DC" w:rsidRPr="00D66630">
        <w:rPr>
          <w:lang w:val="en-US"/>
        </w:rPr>
        <w:t xml:space="preserve"> be</w:t>
      </w:r>
      <w:r w:rsidR="00637BE8" w:rsidRPr="00D66630">
        <w:rPr>
          <w:lang w:val="en-US"/>
        </w:rPr>
        <w:t xml:space="preserve"> </w:t>
      </w:r>
      <w:r w:rsidR="0086700C" w:rsidRPr="00D66630">
        <w:rPr>
          <w:lang w:val="en-US"/>
        </w:rPr>
        <w:t>conclude</w:t>
      </w:r>
      <w:r w:rsidR="00637BE8" w:rsidRPr="00D66630">
        <w:rPr>
          <w:lang w:val="en-US"/>
        </w:rPr>
        <w:t xml:space="preserve"> that </w:t>
      </w:r>
      <w:r w:rsidR="006F512E" w:rsidRPr="00D66630">
        <w:rPr>
          <w:lang w:val="en-US"/>
        </w:rPr>
        <w:t>the statistics in table 7.9</w:t>
      </w:r>
      <w:r w:rsidR="006F512E">
        <w:rPr>
          <w:lang w:val="en-US"/>
        </w:rPr>
        <w:t xml:space="preserve"> </w:t>
      </w:r>
      <w:r w:rsidR="00E603F5">
        <w:rPr>
          <w:lang w:val="en-US"/>
        </w:rPr>
        <w:t xml:space="preserve">support </w:t>
      </w:r>
      <w:r w:rsidR="00637BE8" w:rsidRPr="00D66630">
        <w:rPr>
          <w:lang w:val="en-US"/>
        </w:rPr>
        <w:t>hypothesis four</w:t>
      </w:r>
      <w:r w:rsidR="00FE69D3" w:rsidRPr="00D66630">
        <w:rPr>
          <w:lang w:val="en-US"/>
        </w:rPr>
        <w:t xml:space="preserve">. As shown, in </w:t>
      </w:r>
      <w:r w:rsidR="00637BE8" w:rsidRPr="00D66630">
        <w:rPr>
          <w:lang w:val="en-US"/>
        </w:rPr>
        <w:t xml:space="preserve">Great Britain and Ireland </w:t>
      </w:r>
      <w:r w:rsidR="00FE69D3" w:rsidRPr="00D66630">
        <w:rPr>
          <w:lang w:val="en-US"/>
        </w:rPr>
        <w:t xml:space="preserve">the </w:t>
      </w:r>
      <w:r w:rsidR="00637BE8" w:rsidRPr="00D66630">
        <w:rPr>
          <w:lang w:val="en-US"/>
        </w:rPr>
        <w:t xml:space="preserve">R-square </w:t>
      </w:r>
      <w:r w:rsidR="00FE69D3" w:rsidRPr="00D66630">
        <w:rPr>
          <w:lang w:val="en-US"/>
        </w:rPr>
        <w:t xml:space="preserve">is </w:t>
      </w:r>
      <w:r w:rsidR="0086700C" w:rsidRPr="00D66630">
        <w:rPr>
          <w:lang w:val="en-US"/>
        </w:rPr>
        <w:t xml:space="preserve">relative </w:t>
      </w:r>
      <w:r w:rsidR="00FE69D3" w:rsidRPr="00D66630">
        <w:rPr>
          <w:lang w:val="en-US"/>
        </w:rPr>
        <w:t>high and the stock price reactions during the fifth event is weak</w:t>
      </w:r>
      <w:r w:rsidR="00A658DC" w:rsidRPr="00D66630">
        <w:rPr>
          <w:lang w:val="en-US"/>
        </w:rPr>
        <w:t>.</w:t>
      </w:r>
      <w:r w:rsidR="00637BE8" w:rsidRPr="00D66630">
        <w:rPr>
          <w:lang w:val="en-US"/>
        </w:rPr>
        <w:t xml:space="preserve"> Furthermore, eight countries (</w:t>
      </w:r>
      <w:r w:rsidR="00637BE8" w:rsidRPr="00D66630">
        <w:rPr>
          <w:rStyle w:val="longtext1"/>
          <w:rFonts w:cs="Times New Roman"/>
          <w:sz w:val="22"/>
          <w:szCs w:val="22"/>
          <w:shd w:val="clear" w:color="auto" w:fill="FFFFFF"/>
          <w:lang w:val="en-US"/>
        </w:rPr>
        <w:t>Belgium, Denmark, Germany, Italy, Netherlands, Austria, Spain and Sweden)</w:t>
      </w:r>
      <w:r w:rsidR="00637BE8" w:rsidRPr="00D66630">
        <w:rPr>
          <w:lang w:val="en-US"/>
        </w:rPr>
        <w:t xml:space="preserve"> show </w:t>
      </w:r>
      <w:r w:rsidR="00AE2DE4" w:rsidRPr="00D66630">
        <w:rPr>
          <w:lang w:val="en-US"/>
        </w:rPr>
        <w:t>statistically</w:t>
      </w:r>
      <w:r w:rsidR="00E34AD2" w:rsidRPr="00D66630">
        <w:rPr>
          <w:lang w:val="en-US"/>
        </w:rPr>
        <w:t xml:space="preserve"> significant positive stock price reactions during the fifth</w:t>
      </w:r>
      <w:r w:rsidR="0086700C" w:rsidRPr="00D66630">
        <w:rPr>
          <w:lang w:val="en-US"/>
        </w:rPr>
        <w:t xml:space="preserve"> event</w:t>
      </w:r>
      <w:r w:rsidR="00E34AD2" w:rsidRPr="00D66630">
        <w:rPr>
          <w:lang w:val="en-US"/>
        </w:rPr>
        <w:t xml:space="preserve">. </w:t>
      </w:r>
      <w:r w:rsidR="0086700C" w:rsidRPr="00D66630">
        <w:rPr>
          <w:lang w:val="en-US"/>
        </w:rPr>
        <w:t>So</w:t>
      </w:r>
      <w:r w:rsidR="00637BE8" w:rsidRPr="00D66630">
        <w:rPr>
          <w:lang w:val="en-US"/>
        </w:rPr>
        <w:t>,</w:t>
      </w:r>
      <w:r w:rsidR="0086700C" w:rsidRPr="00D66630">
        <w:rPr>
          <w:lang w:val="en-US"/>
        </w:rPr>
        <w:t xml:space="preserve"> by comparing the result of the different countries, there can be conclude</w:t>
      </w:r>
      <w:r w:rsidR="00385984">
        <w:rPr>
          <w:lang w:val="en-US"/>
        </w:rPr>
        <w:t>d</w:t>
      </w:r>
      <w:r w:rsidR="0086700C" w:rsidRPr="00D66630">
        <w:rPr>
          <w:lang w:val="en-US"/>
        </w:rPr>
        <w:t xml:space="preserve"> that</w:t>
      </w:r>
      <w:r w:rsidR="00637BE8" w:rsidRPr="00D66630">
        <w:rPr>
          <w:lang w:val="en-US"/>
        </w:rPr>
        <w:t xml:space="preserve"> the stock price reaction of financial institutions in Great Britain and Ireland is </w:t>
      </w:r>
      <w:r w:rsidR="00E34AD2" w:rsidRPr="00D66630">
        <w:rPr>
          <w:lang w:val="en-US"/>
        </w:rPr>
        <w:t>weaker</w:t>
      </w:r>
      <w:r w:rsidR="00637BE8" w:rsidRPr="00D66630">
        <w:rPr>
          <w:lang w:val="en-US"/>
        </w:rPr>
        <w:t xml:space="preserve"> during the fifth event than other European countries (eight countries convincing).</w:t>
      </w:r>
    </w:p>
    <w:p w:rsidR="006B0743" w:rsidRDefault="006B0743" w:rsidP="006B0743">
      <w:pPr>
        <w:rPr>
          <w:lang w:val="en-US"/>
        </w:rPr>
      </w:pPr>
      <w:r w:rsidRPr="00DA0DCD">
        <w:rPr>
          <w:lang w:val="en-US"/>
        </w:rPr>
        <w:t xml:space="preserve">These findings are consistent with the expectations described in paragraph 2.9, that financial institutions in the Great Britain and Ireland may react different from the other European countries. The reason for the different reaction could be the corporate governance regulation in the United Kingdom. Wymeersch (2005) describes that corporate governance codes have </w:t>
      </w:r>
      <w:r w:rsidR="00385984" w:rsidRPr="00DA0DCD">
        <w:rPr>
          <w:lang w:val="en-US"/>
        </w:rPr>
        <w:t xml:space="preserve">no specific legal basis </w:t>
      </w:r>
      <w:r w:rsidRPr="00DA0DCD">
        <w:rPr>
          <w:lang w:val="en-US"/>
        </w:rPr>
        <w:t>in most legal systems in Europe. In many European countries, the code has a status of recommendations whereby most of the time there is no explicit support of the public authorities. However, in the UK investors have traditionally strong legal rights and the Financial Service Authority (FSA</w:t>
      </w:r>
      <w:r w:rsidR="00733646" w:rsidRPr="00DA0DCD">
        <w:rPr>
          <w:lang w:val="en-US"/>
        </w:rPr>
        <w:t>) monitors</w:t>
      </w:r>
      <w:r w:rsidRPr="00DA0DCD">
        <w:rPr>
          <w:lang w:val="en-US"/>
        </w:rPr>
        <w:t xml:space="preserve"> the enforcement of the corporate governance code. This could be the reason for the weaker stock price reaction (non-significant beta) of financial institutions in Great Britain and</w:t>
      </w:r>
      <w:r w:rsidR="00D66630">
        <w:rPr>
          <w:lang w:val="en-US"/>
        </w:rPr>
        <w:t xml:space="preserve"> </w:t>
      </w:r>
      <w:r w:rsidRPr="00DA0DCD">
        <w:rPr>
          <w:lang w:val="en-US"/>
        </w:rPr>
        <w:t>Ireland. Further research is needed to investigate whether other factors have an effect on the different stock price reaction in Great Britain and Ireland.</w:t>
      </w:r>
    </w:p>
    <w:p w:rsidR="00163F58" w:rsidRDefault="00EE3380" w:rsidP="00F345AC">
      <w:pPr>
        <w:pStyle w:val="Kop2"/>
        <w:numPr>
          <w:ilvl w:val="1"/>
          <w:numId w:val="14"/>
        </w:numPr>
        <w:rPr>
          <w:lang w:val="en-US"/>
        </w:rPr>
      </w:pPr>
      <w:bookmarkStart w:id="86" w:name="_Toc270770620"/>
      <w:r>
        <w:rPr>
          <w:lang w:val="en-US"/>
        </w:rPr>
        <w:t>H</w:t>
      </w:r>
      <w:r w:rsidR="00F345AC">
        <w:rPr>
          <w:lang w:val="en-US"/>
        </w:rPr>
        <w:t>ypothetical situation event one through four</w:t>
      </w:r>
      <w:bookmarkEnd w:id="86"/>
    </w:p>
    <w:p w:rsidR="005E49A9" w:rsidRDefault="005E49A9" w:rsidP="005E49A9">
      <w:pPr>
        <w:rPr>
          <w:lang w:val="en-US"/>
        </w:rPr>
      </w:pPr>
      <w:r>
        <w:rPr>
          <w:lang w:val="en-US"/>
        </w:rPr>
        <w:t>In paragraph 8.1</w:t>
      </w:r>
      <w:r w:rsidR="00B66385">
        <w:rPr>
          <w:lang w:val="en-US"/>
        </w:rPr>
        <w:t>,</w:t>
      </w:r>
      <w:r>
        <w:rPr>
          <w:lang w:val="en-US"/>
        </w:rPr>
        <w:t xml:space="preserve"> the analy</w:t>
      </w:r>
      <w:r w:rsidR="00FA205D">
        <w:rPr>
          <w:lang w:val="en-US"/>
        </w:rPr>
        <w:t>sis</w:t>
      </w:r>
      <w:r>
        <w:rPr>
          <w:lang w:val="en-US"/>
        </w:rPr>
        <w:t xml:space="preserve"> of the first hypothesis </w:t>
      </w:r>
      <w:r w:rsidR="00B66385">
        <w:rPr>
          <w:lang w:val="en-US"/>
        </w:rPr>
        <w:t xml:space="preserve">is </w:t>
      </w:r>
      <w:r>
        <w:rPr>
          <w:lang w:val="en-US"/>
        </w:rPr>
        <w:t xml:space="preserve">described. </w:t>
      </w:r>
      <w:r w:rsidR="005D3610">
        <w:rPr>
          <w:lang w:val="en-US"/>
        </w:rPr>
        <w:t>In</w:t>
      </w:r>
      <w:r w:rsidR="00FA205D">
        <w:rPr>
          <w:lang w:val="en-US"/>
        </w:rPr>
        <w:t xml:space="preserve"> the analys</w:t>
      </w:r>
      <w:r w:rsidR="003351F2">
        <w:rPr>
          <w:lang w:val="en-US"/>
        </w:rPr>
        <w:t>i</w:t>
      </w:r>
      <w:r w:rsidR="00FA205D">
        <w:rPr>
          <w:lang w:val="en-US"/>
        </w:rPr>
        <w:t>s, t</w:t>
      </w:r>
      <w:r>
        <w:rPr>
          <w:lang w:val="en-US"/>
        </w:rPr>
        <w:t xml:space="preserve">here are different possibilities discussed as reason for the negative stock price reaction during the first through fourth event. If </w:t>
      </w:r>
      <w:r w:rsidR="002A4B58">
        <w:rPr>
          <w:lang w:val="en-US"/>
        </w:rPr>
        <w:t>one or more of the described possibilities are the reason for a negative stock price reaction, than the outcome of the event</w:t>
      </w:r>
      <w:r w:rsidR="003351F2">
        <w:rPr>
          <w:lang w:val="en-US"/>
        </w:rPr>
        <w:t>s</w:t>
      </w:r>
      <w:r w:rsidR="002A4B58">
        <w:rPr>
          <w:lang w:val="en-US"/>
        </w:rPr>
        <w:t xml:space="preserve"> combined would change. The reason therefore, is that in the regression model of Eq. 6.2 the predicted direction of the stock price reaction of the events are entered. On event days of a</w:t>
      </w:r>
      <w:r w:rsidR="003351F2">
        <w:rPr>
          <w:lang w:val="en-US"/>
        </w:rPr>
        <w:t>n</w:t>
      </w:r>
      <w:r w:rsidR="002A4B58">
        <w:rPr>
          <w:lang w:val="en-US"/>
        </w:rPr>
        <w:t xml:space="preserve"> expected positive direction of the stock price reaction, the event window </w:t>
      </w:r>
      <w:r w:rsidR="001A4627">
        <w:rPr>
          <w:lang w:val="en-US"/>
        </w:rPr>
        <w:t>(dat</w:t>
      </w:r>
      <w:r w:rsidR="005D3610">
        <w:rPr>
          <w:lang w:val="en-US"/>
        </w:rPr>
        <w:t>es</w:t>
      </w:r>
      <w:r w:rsidR="001A4627">
        <w:rPr>
          <w:lang w:val="en-US"/>
        </w:rPr>
        <w:t xml:space="preserve">) </w:t>
      </w:r>
      <w:r w:rsidR="002A4B58">
        <w:rPr>
          <w:lang w:val="en-US"/>
        </w:rPr>
        <w:t xml:space="preserve">get a value of 1 as windows_combined variable in Eq. 6.2 and a value of -1 when a negative stock price reaction is expected. This is further explained in appendix </w:t>
      </w:r>
      <w:r w:rsidR="00C828A8">
        <w:rPr>
          <w:lang w:val="en-US"/>
        </w:rPr>
        <w:t>G</w:t>
      </w:r>
      <w:r w:rsidR="002A4B58">
        <w:rPr>
          <w:lang w:val="en-US"/>
        </w:rPr>
        <w:t xml:space="preserve">. </w:t>
      </w:r>
    </w:p>
    <w:p w:rsidR="00034641" w:rsidRDefault="006C5F49" w:rsidP="005E49A9">
      <w:pPr>
        <w:rPr>
          <w:lang w:val="en-US"/>
        </w:rPr>
      </w:pPr>
      <w:r>
        <w:rPr>
          <w:lang w:val="en-US"/>
        </w:rPr>
        <w:lastRenderedPageBreak/>
        <w:t>By measuring the event</w:t>
      </w:r>
      <w:r w:rsidR="002A4B58">
        <w:rPr>
          <w:lang w:val="en-US"/>
        </w:rPr>
        <w:t>s combined, the windows_combined variable in Eq. 6.2 gets during all</w:t>
      </w:r>
      <w:r w:rsidR="005D3610">
        <w:rPr>
          <w:lang w:val="en-US"/>
        </w:rPr>
        <w:t xml:space="preserve"> the</w:t>
      </w:r>
      <w:r w:rsidR="002A4B58">
        <w:rPr>
          <w:lang w:val="en-US"/>
        </w:rPr>
        <w:t xml:space="preserve"> five event windows a value of 1, because a positive </w:t>
      </w:r>
      <w:r w:rsidR="005D3610">
        <w:rPr>
          <w:lang w:val="en-US"/>
        </w:rPr>
        <w:t xml:space="preserve">stock price reaction (direction) </w:t>
      </w:r>
      <w:r w:rsidR="002A4B58">
        <w:rPr>
          <w:lang w:val="en-US"/>
        </w:rPr>
        <w:t>was expected. When there is a reason to believe that during the first</w:t>
      </w:r>
      <w:r w:rsidR="00034641">
        <w:rPr>
          <w:lang w:val="en-US"/>
        </w:rPr>
        <w:t xml:space="preserve"> t</w:t>
      </w:r>
      <w:r w:rsidR="00B66385">
        <w:rPr>
          <w:lang w:val="en-US"/>
        </w:rPr>
        <w:t>h</w:t>
      </w:r>
      <w:r w:rsidR="00034641">
        <w:rPr>
          <w:lang w:val="en-US"/>
        </w:rPr>
        <w:t>rough fourth event a negative stock price</w:t>
      </w:r>
      <w:r w:rsidR="003351F2">
        <w:rPr>
          <w:lang w:val="en-US"/>
        </w:rPr>
        <w:t xml:space="preserve"> reaction would be expected, the</w:t>
      </w:r>
      <w:r w:rsidR="00034641">
        <w:rPr>
          <w:lang w:val="en-US"/>
        </w:rPr>
        <w:t xml:space="preserve">n the value of the </w:t>
      </w:r>
      <w:r w:rsidR="006270AD">
        <w:rPr>
          <w:lang w:val="en-US"/>
        </w:rPr>
        <w:t xml:space="preserve">independent variable </w:t>
      </w:r>
      <w:r w:rsidR="00034641">
        <w:rPr>
          <w:lang w:val="en-US"/>
        </w:rPr>
        <w:t>windows_combined variable in Eq. 6.2 gets a value of -1. On that m</w:t>
      </w:r>
      <w:r>
        <w:rPr>
          <w:lang w:val="en-US"/>
        </w:rPr>
        <w:t>oment, the outcome of the event</w:t>
      </w:r>
      <w:r w:rsidR="00034641">
        <w:rPr>
          <w:lang w:val="en-US"/>
        </w:rPr>
        <w:t xml:space="preserve">s combined </w:t>
      </w:r>
      <w:r w:rsidR="00733A9B">
        <w:rPr>
          <w:lang w:val="en-US"/>
        </w:rPr>
        <w:t>will show a different outcome</w:t>
      </w:r>
      <w:r w:rsidR="00034641">
        <w:rPr>
          <w:lang w:val="en-US"/>
        </w:rPr>
        <w:t xml:space="preserve">. The different outcome is shown under for </w:t>
      </w:r>
      <w:r w:rsidR="006270AD">
        <w:rPr>
          <w:lang w:val="en-US"/>
        </w:rPr>
        <w:t>the first</w:t>
      </w:r>
      <w:r w:rsidR="00034641">
        <w:rPr>
          <w:lang w:val="en-US"/>
        </w:rPr>
        <w:t xml:space="preserve"> through third hypothesis. </w:t>
      </w:r>
    </w:p>
    <w:p w:rsidR="006270AD" w:rsidRPr="006270AD" w:rsidRDefault="006270AD" w:rsidP="006270AD">
      <w:pPr>
        <w:pStyle w:val="Geenafstand"/>
        <w:rPr>
          <w:u w:val="single"/>
          <w:lang w:val="en-US"/>
        </w:rPr>
      </w:pPr>
      <w:r w:rsidRPr="006270AD">
        <w:rPr>
          <w:u w:val="single"/>
          <w:lang w:val="en-US"/>
        </w:rPr>
        <w:t>Hypothesis one</w:t>
      </w:r>
    </w:p>
    <w:p w:rsidR="00034641" w:rsidRPr="00FA205D" w:rsidRDefault="00034641" w:rsidP="00FA205D">
      <w:pPr>
        <w:spacing w:after="0"/>
        <w:rPr>
          <w:color w:val="FF0000"/>
          <w:lang w:val="en-US"/>
        </w:rPr>
      </w:pPr>
      <w:r w:rsidRPr="00DA0DCD">
        <w:rPr>
          <w:lang w:val="en-US"/>
        </w:rPr>
        <w:t>After th</w:t>
      </w:r>
      <w:r w:rsidR="006270AD">
        <w:rPr>
          <w:lang w:val="en-US"/>
        </w:rPr>
        <w:t>e</w:t>
      </w:r>
      <w:r w:rsidRPr="00DA0DCD">
        <w:rPr>
          <w:lang w:val="en-US"/>
        </w:rPr>
        <w:t xml:space="preserve"> change</w:t>
      </w:r>
      <w:r w:rsidR="006270AD">
        <w:rPr>
          <w:lang w:val="en-US"/>
        </w:rPr>
        <w:t xml:space="preserve"> of the </w:t>
      </w:r>
      <w:r w:rsidR="000449EE">
        <w:rPr>
          <w:lang w:val="en-US"/>
        </w:rPr>
        <w:t xml:space="preserve">positive </w:t>
      </w:r>
      <w:r w:rsidR="006270AD">
        <w:rPr>
          <w:lang w:val="en-US"/>
        </w:rPr>
        <w:t>predicted direction of the</w:t>
      </w:r>
      <w:r w:rsidRPr="00DA0DCD">
        <w:rPr>
          <w:lang w:val="en-US"/>
        </w:rPr>
        <w:t xml:space="preserve"> independent variable</w:t>
      </w:r>
      <w:r w:rsidR="006E3CBD" w:rsidRPr="006E3CBD">
        <w:rPr>
          <w:lang w:val="en-US"/>
        </w:rPr>
        <w:t xml:space="preserve"> </w:t>
      </w:r>
      <w:r w:rsidR="006E3CBD">
        <w:rPr>
          <w:lang w:val="en-US"/>
        </w:rPr>
        <w:t>windows_combined</w:t>
      </w:r>
      <w:r w:rsidR="006270AD">
        <w:rPr>
          <w:lang w:val="en-US"/>
        </w:rPr>
        <w:t xml:space="preserve"> to a negative expected stock price reaction during the first through fourth event window, the outcome</w:t>
      </w:r>
      <w:r w:rsidRPr="00DA0DCD">
        <w:rPr>
          <w:lang w:val="en-US"/>
        </w:rPr>
        <w:t xml:space="preserve"> </w:t>
      </w:r>
      <w:r w:rsidR="006270AD">
        <w:rPr>
          <w:lang w:val="en-US"/>
        </w:rPr>
        <w:t xml:space="preserve">of the </w:t>
      </w:r>
      <w:r w:rsidRPr="00DA0DCD">
        <w:rPr>
          <w:lang w:val="en-US"/>
        </w:rPr>
        <w:t xml:space="preserve">windows_combined is changed to a positive beta of 0,019 and is significant with a p-value of </w:t>
      </w:r>
      <w:r w:rsidRPr="00F361A3">
        <w:rPr>
          <w:lang w:val="en-US"/>
        </w:rPr>
        <w:t xml:space="preserve">&lt;0,001. </w:t>
      </w:r>
      <w:r w:rsidR="006E3CBD" w:rsidRPr="00F361A3">
        <w:rPr>
          <w:lang w:val="en-US"/>
        </w:rPr>
        <w:t>This is shown in table 8.1</w:t>
      </w:r>
      <w:r w:rsidRPr="00F361A3">
        <w:rPr>
          <w:lang w:val="en-US"/>
        </w:rPr>
        <w:t xml:space="preserve"> </w:t>
      </w:r>
      <w:r w:rsidR="006E3CBD" w:rsidRPr="00F361A3">
        <w:rPr>
          <w:lang w:val="en-US"/>
        </w:rPr>
        <w:t xml:space="preserve">and </w:t>
      </w:r>
      <w:r w:rsidR="00F361A3" w:rsidRPr="00F361A3">
        <w:rPr>
          <w:lang w:val="en-US"/>
        </w:rPr>
        <w:t>the positive stock price reaction of financial institutions shows</w:t>
      </w:r>
      <w:r w:rsidRPr="00F361A3">
        <w:rPr>
          <w:lang w:val="en-US"/>
        </w:rPr>
        <w:t xml:space="preserve"> </w:t>
      </w:r>
      <w:r w:rsidR="00F361A3" w:rsidRPr="00F361A3">
        <w:rPr>
          <w:lang w:val="en-US"/>
        </w:rPr>
        <w:t xml:space="preserve">for the most part the effect </w:t>
      </w:r>
      <w:r w:rsidRPr="00F361A3">
        <w:rPr>
          <w:lang w:val="en-US"/>
        </w:rPr>
        <w:t xml:space="preserve">of the amendment of IAS 39 (fifth </w:t>
      </w:r>
      <w:r w:rsidR="006C5F49">
        <w:rPr>
          <w:lang w:val="en-US"/>
        </w:rPr>
        <w:t>event</w:t>
      </w:r>
      <w:r w:rsidRPr="00F361A3">
        <w:rPr>
          <w:lang w:val="en-US"/>
        </w:rPr>
        <w:t>).</w:t>
      </w:r>
      <w:r w:rsidR="00F361A3">
        <w:rPr>
          <w:color w:val="FF0000"/>
          <w:lang w:val="en-US"/>
        </w:rPr>
        <w:t xml:space="preserve"> </w:t>
      </w:r>
    </w:p>
    <w:tbl>
      <w:tblPr>
        <w:tblW w:w="5812" w:type="dxa"/>
        <w:jc w:val="center"/>
        <w:tblInd w:w="30"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CellMar>
          <w:left w:w="30" w:type="dxa"/>
          <w:right w:w="30" w:type="dxa"/>
        </w:tblCellMar>
        <w:tblLook w:val="0000"/>
      </w:tblPr>
      <w:tblGrid>
        <w:gridCol w:w="284"/>
        <w:gridCol w:w="1843"/>
        <w:gridCol w:w="567"/>
        <w:gridCol w:w="708"/>
        <w:gridCol w:w="1134"/>
        <w:gridCol w:w="709"/>
        <w:gridCol w:w="567"/>
      </w:tblGrid>
      <w:tr w:rsidR="00034641" w:rsidRPr="00DA0DCD" w:rsidTr="006E3CBD">
        <w:trPr>
          <w:cantSplit/>
          <w:tblHeader/>
          <w:jc w:val="center"/>
        </w:trPr>
        <w:tc>
          <w:tcPr>
            <w:tcW w:w="2127" w:type="dxa"/>
            <w:gridSpan w:val="2"/>
            <w:vMerge w:val="restart"/>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r w:rsidRPr="00DA0DCD">
              <w:rPr>
                <w:sz w:val="18"/>
                <w:szCs w:val="18"/>
                <w:lang w:val="en-US"/>
              </w:rPr>
              <w:t>Model</w:t>
            </w:r>
          </w:p>
        </w:tc>
        <w:tc>
          <w:tcPr>
            <w:tcW w:w="1275" w:type="dxa"/>
            <w:gridSpan w:val="2"/>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r w:rsidRPr="00DA0DCD">
              <w:rPr>
                <w:sz w:val="18"/>
                <w:szCs w:val="18"/>
                <w:lang w:val="en-US"/>
              </w:rPr>
              <w:t>Unstandardized Coefficients</w:t>
            </w:r>
          </w:p>
        </w:tc>
        <w:tc>
          <w:tcPr>
            <w:tcW w:w="1134" w:type="dxa"/>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r w:rsidRPr="00DA0DCD">
              <w:rPr>
                <w:sz w:val="18"/>
                <w:szCs w:val="18"/>
                <w:lang w:val="en-US"/>
              </w:rPr>
              <w:t>Standardized Coefficients</w:t>
            </w:r>
          </w:p>
        </w:tc>
        <w:tc>
          <w:tcPr>
            <w:tcW w:w="709" w:type="dxa"/>
            <w:vMerge w:val="restart"/>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r w:rsidRPr="00DA0DCD">
              <w:rPr>
                <w:sz w:val="18"/>
                <w:szCs w:val="18"/>
                <w:lang w:val="en-US"/>
              </w:rPr>
              <w:t>t</w:t>
            </w:r>
          </w:p>
        </w:tc>
        <w:tc>
          <w:tcPr>
            <w:tcW w:w="567" w:type="dxa"/>
            <w:vMerge w:val="restart"/>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r w:rsidRPr="00DA0DCD">
              <w:rPr>
                <w:sz w:val="18"/>
                <w:szCs w:val="18"/>
                <w:lang w:val="en-US"/>
              </w:rPr>
              <w:t>Sig.</w:t>
            </w:r>
          </w:p>
        </w:tc>
      </w:tr>
      <w:tr w:rsidR="00034641" w:rsidRPr="00DA0DCD" w:rsidTr="006E3CBD">
        <w:trPr>
          <w:cantSplit/>
          <w:tblHeader/>
          <w:jc w:val="center"/>
        </w:trPr>
        <w:tc>
          <w:tcPr>
            <w:tcW w:w="2127" w:type="dxa"/>
            <w:gridSpan w:val="2"/>
            <w:vMerge/>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p>
        </w:tc>
        <w:tc>
          <w:tcPr>
            <w:tcW w:w="567" w:type="dxa"/>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r w:rsidRPr="00DA0DCD">
              <w:rPr>
                <w:sz w:val="18"/>
                <w:szCs w:val="18"/>
                <w:lang w:val="en-US"/>
              </w:rPr>
              <w:t>B</w:t>
            </w:r>
          </w:p>
        </w:tc>
        <w:tc>
          <w:tcPr>
            <w:tcW w:w="708" w:type="dxa"/>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r w:rsidRPr="00DA0DCD">
              <w:rPr>
                <w:sz w:val="18"/>
                <w:szCs w:val="18"/>
                <w:lang w:val="en-US"/>
              </w:rPr>
              <w:t>Std. Error</w:t>
            </w:r>
          </w:p>
        </w:tc>
        <w:tc>
          <w:tcPr>
            <w:tcW w:w="1134" w:type="dxa"/>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r w:rsidRPr="00DA0DCD">
              <w:rPr>
                <w:sz w:val="18"/>
                <w:szCs w:val="18"/>
                <w:lang w:val="en-US"/>
              </w:rPr>
              <w:t>Beta</w:t>
            </w:r>
          </w:p>
        </w:tc>
        <w:tc>
          <w:tcPr>
            <w:tcW w:w="709" w:type="dxa"/>
            <w:vMerge/>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p>
        </w:tc>
        <w:tc>
          <w:tcPr>
            <w:tcW w:w="567" w:type="dxa"/>
            <w:vMerge/>
            <w:shd w:val="clear" w:color="auto" w:fill="FFFFFF"/>
            <w:tcMar>
              <w:top w:w="30" w:type="dxa"/>
              <w:left w:w="30" w:type="dxa"/>
              <w:bottom w:w="30" w:type="dxa"/>
              <w:right w:w="30" w:type="dxa"/>
            </w:tcMar>
            <w:vAlign w:val="bottom"/>
          </w:tcPr>
          <w:p w:rsidR="00034641" w:rsidRPr="00DA0DCD" w:rsidRDefault="00034641" w:rsidP="006F0223">
            <w:pPr>
              <w:pStyle w:val="Geenafstand"/>
              <w:rPr>
                <w:sz w:val="18"/>
                <w:szCs w:val="18"/>
                <w:lang w:val="en-US"/>
              </w:rPr>
            </w:pPr>
          </w:p>
        </w:tc>
      </w:tr>
      <w:tr w:rsidR="00034641" w:rsidRPr="00DA0DCD" w:rsidTr="006E3CBD">
        <w:trPr>
          <w:cantSplit/>
          <w:tblHeader/>
          <w:jc w:val="center"/>
        </w:trPr>
        <w:tc>
          <w:tcPr>
            <w:tcW w:w="284" w:type="dxa"/>
            <w:vMerge w:val="restart"/>
            <w:shd w:val="clear" w:color="auto" w:fill="FFFFFF"/>
            <w:tcMar>
              <w:top w:w="30" w:type="dxa"/>
              <w:left w:w="30" w:type="dxa"/>
              <w:bottom w:w="30" w:type="dxa"/>
              <w:right w:w="30" w:type="dxa"/>
            </w:tcMar>
          </w:tcPr>
          <w:p w:rsidR="00034641" w:rsidRPr="00DA0DCD" w:rsidRDefault="00034641" w:rsidP="006F0223">
            <w:pPr>
              <w:pStyle w:val="Geenafstand"/>
              <w:rPr>
                <w:sz w:val="18"/>
                <w:szCs w:val="18"/>
                <w:lang w:val="en-US"/>
              </w:rPr>
            </w:pPr>
            <w:r w:rsidRPr="00DA0DCD">
              <w:rPr>
                <w:sz w:val="18"/>
                <w:szCs w:val="18"/>
                <w:lang w:val="en-US"/>
              </w:rPr>
              <w:t>1</w:t>
            </w:r>
          </w:p>
        </w:tc>
        <w:tc>
          <w:tcPr>
            <w:tcW w:w="1843" w:type="dxa"/>
            <w:shd w:val="clear" w:color="auto" w:fill="FFFFFF"/>
            <w:tcMar>
              <w:top w:w="30" w:type="dxa"/>
              <w:left w:w="30" w:type="dxa"/>
              <w:bottom w:w="30" w:type="dxa"/>
              <w:right w:w="30" w:type="dxa"/>
            </w:tcMar>
          </w:tcPr>
          <w:p w:rsidR="00034641" w:rsidRPr="00DA0DCD" w:rsidRDefault="00034641" w:rsidP="006F0223">
            <w:pPr>
              <w:pStyle w:val="Geenafstand"/>
              <w:rPr>
                <w:sz w:val="18"/>
                <w:szCs w:val="18"/>
                <w:lang w:val="en-US"/>
              </w:rPr>
            </w:pPr>
            <w:r w:rsidRPr="00DA0DCD">
              <w:rPr>
                <w:sz w:val="18"/>
                <w:szCs w:val="18"/>
                <w:lang w:val="en-US"/>
              </w:rPr>
              <w:t>(Constant)</w:t>
            </w:r>
          </w:p>
        </w:tc>
        <w:tc>
          <w:tcPr>
            <w:tcW w:w="567"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0,000</w:t>
            </w:r>
          </w:p>
        </w:tc>
        <w:tc>
          <w:tcPr>
            <w:tcW w:w="708"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0,000</w:t>
            </w:r>
          </w:p>
        </w:tc>
        <w:tc>
          <w:tcPr>
            <w:tcW w:w="1134" w:type="dxa"/>
            <w:shd w:val="clear" w:color="auto" w:fill="FFFFFF"/>
            <w:tcMar>
              <w:top w:w="30" w:type="dxa"/>
              <w:left w:w="30" w:type="dxa"/>
              <w:bottom w:w="30" w:type="dxa"/>
              <w:right w:w="30" w:type="dxa"/>
            </w:tcMar>
          </w:tcPr>
          <w:p w:rsidR="00034641" w:rsidRPr="00DA0DCD" w:rsidRDefault="00034641" w:rsidP="006F0223">
            <w:pPr>
              <w:pStyle w:val="Geenafstand"/>
              <w:rPr>
                <w:rFonts w:cs="Times New Roman"/>
                <w:sz w:val="18"/>
                <w:szCs w:val="18"/>
                <w:lang w:val="en-US"/>
              </w:rPr>
            </w:pPr>
          </w:p>
        </w:tc>
        <w:tc>
          <w:tcPr>
            <w:tcW w:w="709"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-0,491</w:t>
            </w:r>
          </w:p>
        </w:tc>
        <w:tc>
          <w:tcPr>
            <w:tcW w:w="567"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0,623</w:t>
            </w:r>
          </w:p>
        </w:tc>
      </w:tr>
      <w:tr w:rsidR="00034641" w:rsidRPr="00DA0DCD" w:rsidTr="006E3CBD">
        <w:trPr>
          <w:cantSplit/>
          <w:tblHeader/>
          <w:jc w:val="center"/>
        </w:trPr>
        <w:tc>
          <w:tcPr>
            <w:tcW w:w="284" w:type="dxa"/>
            <w:vMerge/>
            <w:shd w:val="clear" w:color="auto" w:fill="FFFFFF"/>
            <w:tcMar>
              <w:top w:w="30" w:type="dxa"/>
              <w:left w:w="30" w:type="dxa"/>
              <w:bottom w:w="30" w:type="dxa"/>
              <w:right w:w="30" w:type="dxa"/>
            </w:tcMar>
          </w:tcPr>
          <w:p w:rsidR="00034641" w:rsidRPr="00DA0DCD" w:rsidRDefault="00034641" w:rsidP="006F0223">
            <w:pPr>
              <w:pStyle w:val="Geenafstand"/>
              <w:rPr>
                <w:rFonts w:cs="Times New Roman"/>
                <w:sz w:val="18"/>
                <w:szCs w:val="18"/>
                <w:lang w:val="en-US"/>
              </w:rPr>
            </w:pPr>
          </w:p>
        </w:tc>
        <w:tc>
          <w:tcPr>
            <w:tcW w:w="1843" w:type="dxa"/>
            <w:shd w:val="clear" w:color="auto" w:fill="FFFFFF"/>
            <w:tcMar>
              <w:top w:w="30" w:type="dxa"/>
              <w:left w:w="30" w:type="dxa"/>
              <w:bottom w:w="30" w:type="dxa"/>
              <w:right w:w="30" w:type="dxa"/>
            </w:tcMar>
          </w:tcPr>
          <w:p w:rsidR="00034641" w:rsidRPr="00DA0DCD" w:rsidRDefault="00034641" w:rsidP="006F0223">
            <w:pPr>
              <w:pStyle w:val="Geenafstand"/>
              <w:rPr>
                <w:sz w:val="18"/>
                <w:szCs w:val="18"/>
                <w:lang w:val="en-US"/>
              </w:rPr>
            </w:pPr>
            <w:r w:rsidRPr="00DA0DCD">
              <w:rPr>
                <w:sz w:val="18"/>
                <w:szCs w:val="18"/>
                <w:lang w:val="en-US"/>
              </w:rPr>
              <w:t>Rmt</w:t>
            </w:r>
          </w:p>
        </w:tc>
        <w:tc>
          <w:tcPr>
            <w:tcW w:w="567"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0,758</w:t>
            </w:r>
          </w:p>
        </w:tc>
        <w:tc>
          <w:tcPr>
            <w:tcW w:w="708"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0,004</w:t>
            </w:r>
          </w:p>
        </w:tc>
        <w:tc>
          <w:tcPr>
            <w:tcW w:w="1134"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0,407</w:t>
            </w:r>
          </w:p>
        </w:tc>
        <w:tc>
          <w:tcPr>
            <w:tcW w:w="709"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172,861</w:t>
            </w:r>
          </w:p>
        </w:tc>
        <w:tc>
          <w:tcPr>
            <w:tcW w:w="567"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0,000</w:t>
            </w:r>
          </w:p>
        </w:tc>
      </w:tr>
      <w:tr w:rsidR="00034641" w:rsidRPr="00DA0DCD" w:rsidTr="006E3CBD">
        <w:trPr>
          <w:cantSplit/>
          <w:tblHeader/>
          <w:jc w:val="center"/>
        </w:trPr>
        <w:tc>
          <w:tcPr>
            <w:tcW w:w="284" w:type="dxa"/>
            <w:vMerge/>
            <w:shd w:val="clear" w:color="auto" w:fill="FFFFFF"/>
            <w:tcMar>
              <w:top w:w="30" w:type="dxa"/>
              <w:left w:w="30" w:type="dxa"/>
              <w:bottom w:w="30" w:type="dxa"/>
              <w:right w:w="30" w:type="dxa"/>
            </w:tcMar>
          </w:tcPr>
          <w:p w:rsidR="00034641" w:rsidRPr="00DA0DCD" w:rsidRDefault="00034641" w:rsidP="006F0223">
            <w:pPr>
              <w:pStyle w:val="Geenafstand"/>
              <w:rPr>
                <w:sz w:val="18"/>
                <w:szCs w:val="18"/>
                <w:lang w:val="en-US"/>
              </w:rPr>
            </w:pPr>
          </w:p>
        </w:tc>
        <w:tc>
          <w:tcPr>
            <w:tcW w:w="1843" w:type="dxa"/>
            <w:shd w:val="clear" w:color="auto" w:fill="FFFFFF"/>
            <w:tcMar>
              <w:top w:w="30" w:type="dxa"/>
              <w:left w:w="30" w:type="dxa"/>
              <w:bottom w:w="30" w:type="dxa"/>
              <w:right w:w="30" w:type="dxa"/>
            </w:tcMar>
          </w:tcPr>
          <w:p w:rsidR="00034641" w:rsidRPr="00DA0DCD" w:rsidRDefault="00034641" w:rsidP="006F0223">
            <w:pPr>
              <w:pStyle w:val="Geenafstand"/>
              <w:rPr>
                <w:sz w:val="18"/>
                <w:szCs w:val="18"/>
                <w:lang w:val="en-US"/>
              </w:rPr>
            </w:pPr>
            <w:r w:rsidRPr="00DA0DCD">
              <w:rPr>
                <w:sz w:val="18"/>
                <w:szCs w:val="18"/>
                <w:lang w:val="en-US"/>
              </w:rPr>
              <w:t>Intt</w:t>
            </w:r>
          </w:p>
        </w:tc>
        <w:tc>
          <w:tcPr>
            <w:tcW w:w="567"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-0,022</w:t>
            </w:r>
          </w:p>
        </w:tc>
        <w:tc>
          <w:tcPr>
            <w:tcW w:w="708"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0,007</w:t>
            </w:r>
          </w:p>
        </w:tc>
        <w:tc>
          <w:tcPr>
            <w:tcW w:w="1134"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-0,008</w:t>
            </w:r>
          </w:p>
        </w:tc>
        <w:tc>
          <w:tcPr>
            <w:tcW w:w="709"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-3,306</w:t>
            </w:r>
          </w:p>
        </w:tc>
        <w:tc>
          <w:tcPr>
            <w:tcW w:w="567"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0,001</w:t>
            </w:r>
          </w:p>
        </w:tc>
      </w:tr>
      <w:tr w:rsidR="00034641" w:rsidRPr="00DA0DCD" w:rsidTr="006E3CBD">
        <w:trPr>
          <w:cantSplit/>
          <w:tblHeader/>
          <w:jc w:val="center"/>
        </w:trPr>
        <w:tc>
          <w:tcPr>
            <w:tcW w:w="284" w:type="dxa"/>
            <w:vMerge/>
            <w:shd w:val="clear" w:color="auto" w:fill="FFFFFF"/>
            <w:tcMar>
              <w:top w:w="30" w:type="dxa"/>
              <w:left w:w="30" w:type="dxa"/>
              <w:bottom w:w="30" w:type="dxa"/>
              <w:right w:w="30" w:type="dxa"/>
            </w:tcMar>
          </w:tcPr>
          <w:p w:rsidR="00034641" w:rsidRPr="00DA0DCD" w:rsidRDefault="00034641" w:rsidP="006F0223">
            <w:pPr>
              <w:pStyle w:val="Geenafstand"/>
              <w:rPr>
                <w:sz w:val="18"/>
                <w:szCs w:val="18"/>
                <w:lang w:val="en-US"/>
              </w:rPr>
            </w:pPr>
          </w:p>
        </w:tc>
        <w:tc>
          <w:tcPr>
            <w:tcW w:w="1843" w:type="dxa"/>
            <w:shd w:val="clear" w:color="auto" w:fill="FFFFFF"/>
            <w:tcMar>
              <w:top w:w="30" w:type="dxa"/>
              <w:left w:w="30" w:type="dxa"/>
              <w:bottom w:w="30" w:type="dxa"/>
              <w:right w:w="30" w:type="dxa"/>
            </w:tcMar>
          </w:tcPr>
          <w:p w:rsidR="00034641" w:rsidRPr="00DA0DCD" w:rsidRDefault="00034641" w:rsidP="006F0223">
            <w:pPr>
              <w:pStyle w:val="Geenafstand"/>
              <w:rPr>
                <w:sz w:val="18"/>
                <w:szCs w:val="18"/>
                <w:lang w:val="en-US"/>
              </w:rPr>
            </w:pPr>
            <w:r w:rsidRPr="00DA0DCD">
              <w:rPr>
                <w:sz w:val="18"/>
                <w:szCs w:val="18"/>
                <w:lang w:val="en-US"/>
              </w:rPr>
              <w:t>Windows_Combined</w:t>
            </w:r>
          </w:p>
        </w:tc>
        <w:tc>
          <w:tcPr>
            <w:tcW w:w="567"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0,004</w:t>
            </w:r>
          </w:p>
        </w:tc>
        <w:tc>
          <w:tcPr>
            <w:tcW w:w="708" w:type="dxa"/>
            <w:shd w:val="clear" w:color="auto" w:fill="FFFFFF"/>
            <w:tcMar>
              <w:top w:w="30" w:type="dxa"/>
              <w:left w:w="30" w:type="dxa"/>
              <w:bottom w:w="30" w:type="dxa"/>
              <w:right w:w="30" w:type="dxa"/>
            </w:tcMar>
            <w:vAlign w:val="center"/>
          </w:tcPr>
          <w:p w:rsidR="00034641" w:rsidRPr="00DA0DCD" w:rsidRDefault="00034641" w:rsidP="006F0223">
            <w:pPr>
              <w:pStyle w:val="Geenafstand"/>
              <w:rPr>
                <w:sz w:val="18"/>
                <w:szCs w:val="18"/>
                <w:lang w:val="en-US"/>
              </w:rPr>
            </w:pPr>
            <w:r w:rsidRPr="00DA0DCD">
              <w:rPr>
                <w:sz w:val="18"/>
                <w:szCs w:val="18"/>
                <w:lang w:val="en-US"/>
              </w:rPr>
              <w:t>0,000</w:t>
            </w:r>
          </w:p>
        </w:tc>
        <w:tc>
          <w:tcPr>
            <w:tcW w:w="1134" w:type="dxa"/>
            <w:shd w:val="clear" w:color="auto" w:fill="FFFFFF"/>
            <w:tcMar>
              <w:top w:w="30" w:type="dxa"/>
              <w:left w:w="30" w:type="dxa"/>
              <w:bottom w:w="30" w:type="dxa"/>
              <w:right w:w="30" w:type="dxa"/>
            </w:tcMar>
            <w:vAlign w:val="center"/>
          </w:tcPr>
          <w:p w:rsidR="00034641" w:rsidRPr="00DA0DCD" w:rsidRDefault="00034641" w:rsidP="006F0223">
            <w:pPr>
              <w:pStyle w:val="Geenafstand"/>
              <w:rPr>
                <w:b/>
                <w:sz w:val="18"/>
                <w:szCs w:val="18"/>
                <w:lang w:val="en-US"/>
              </w:rPr>
            </w:pPr>
            <w:r w:rsidRPr="00DA0DCD">
              <w:rPr>
                <w:b/>
                <w:sz w:val="18"/>
                <w:szCs w:val="18"/>
                <w:lang w:val="en-US"/>
              </w:rPr>
              <w:t>0,019</w:t>
            </w:r>
          </w:p>
        </w:tc>
        <w:tc>
          <w:tcPr>
            <w:tcW w:w="709" w:type="dxa"/>
            <w:shd w:val="clear" w:color="auto" w:fill="FFFFFF"/>
            <w:tcMar>
              <w:top w:w="30" w:type="dxa"/>
              <w:left w:w="30" w:type="dxa"/>
              <w:bottom w:w="30" w:type="dxa"/>
              <w:right w:w="30" w:type="dxa"/>
            </w:tcMar>
            <w:vAlign w:val="center"/>
          </w:tcPr>
          <w:p w:rsidR="00034641" w:rsidRPr="00DA0DCD" w:rsidRDefault="00034641" w:rsidP="006F0223">
            <w:pPr>
              <w:pStyle w:val="Geenafstand"/>
              <w:rPr>
                <w:b/>
                <w:sz w:val="18"/>
                <w:szCs w:val="18"/>
                <w:lang w:val="en-US"/>
              </w:rPr>
            </w:pPr>
            <w:r w:rsidRPr="00DA0DCD">
              <w:rPr>
                <w:b/>
                <w:sz w:val="18"/>
                <w:szCs w:val="18"/>
                <w:lang w:val="en-US"/>
              </w:rPr>
              <w:t>8,134</w:t>
            </w:r>
          </w:p>
        </w:tc>
        <w:tc>
          <w:tcPr>
            <w:tcW w:w="567" w:type="dxa"/>
            <w:shd w:val="clear" w:color="auto" w:fill="FFFFFF"/>
            <w:tcMar>
              <w:top w:w="30" w:type="dxa"/>
              <w:left w:w="30" w:type="dxa"/>
              <w:bottom w:w="30" w:type="dxa"/>
              <w:right w:w="30" w:type="dxa"/>
            </w:tcMar>
            <w:vAlign w:val="center"/>
          </w:tcPr>
          <w:p w:rsidR="00034641" w:rsidRPr="00DA0DCD" w:rsidRDefault="00034641" w:rsidP="006F0223">
            <w:pPr>
              <w:pStyle w:val="Geenafstand"/>
              <w:rPr>
                <w:b/>
                <w:sz w:val="18"/>
                <w:szCs w:val="18"/>
                <w:lang w:val="en-US"/>
              </w:rPr>
            </w:pPr>
            <w:r w:rsidRPr="00DA0DCD">
              <w:rPr>
                <w:b/>
                <w:sz w:val="18"/>
                <w:szCs w:val="18"/>
                <w:lang w:val="en-US"/>
              </w:rPr>
              <w:t>0,000</w:t>
            </w:r>
          </w:p>
        </w:tc>
      </w:tr>
    </w:tbl>
    <w:p w:rsidR="00034641" w:rsidRDefault="00034641" w:rsidP="00034641">
      <w:pPr>
        <w:rPr>
          <w:sz w:val="20"/>
          <w:szCs w:val="20"/>
          <w:lang w:val="en-US"/>
        </w:rPr>
      </w:pPr>
      <w:r w:rsidRPr="00DA0DCD">
        <w:rPr>
          <w:sz w:val="20"/>
          <w:szCs w:val="20"/>
          <w:lang w:val="en-US"/>
        </w:rPr>
        <w:t xml:space="preserve">Table </w:t>
      </w:r>
      <w:r w:rsidR="006270AD">
        <w:rPr>
          <w:sz w:val="20"/>
          <w:szCs w:val="20"/>
          <w:lang w:val="en-US"/>
        </w:rPr>
        <w:t>8.1</w:t>
      </w:r>
      <w:r w:rsidRPr="00DA0DCD">
        <w:rPr>
          <w:sz w:val="20"/>
          <w:szCs w:val="20"/>
          <w:lang w:val="en-US"/>
        </w:rPr>
        <w:t xml:space="preserve"> Outcome total sample windows_combined after changing predicted </w:t>
      </w:r>
      <w:r w:rsidR="006F0223">
        <w:rPr>
          <w:sz w:val="20"/>
          <w:szCs w:val="20"/>
          <w:lang w:val="en-US"/>
        </w:rPr>
        <w:t>direction</w:t>
      </w:r>
      <w:r w:rsidRPr="00DA0DCD">
        <w:rPr>
          <w:sz w:val="20"/>
          <w:szCs w:val="20"/>
          <w:lang w:val="en-US"/>
        </w:rPr>
        <w:t xml:space="preserve"> of window 1-4</w:t>
      </w:r>
    </w:p>
    <w:p w:rsidR="00034641" w:rsidRDefault="006E3CBD" w:rsidP="00034641">
      <w:pPr>
        <w:rPr>
          <w:lang w:val="en-US"/>
        </w:rPr>
      </w:pPr>
      <w:r w:rsidRPr="006E3CBD">
        <w:rPr>
          <w:lang w:val="en-US"/>
        </w:rPr>
        <w:t>If we</w:t>
      </w:r>
      <w:r>
        <w:rPr>
          <w:lang w:val="en-US"/>
        </w:rPr>
        <w:t xml:space="preserve"> expected a negative stock price reaction of financial institutions during the first through fourth event,</w:t>
      </w:r>
      <w:r w:rsidRPr="006E3CBD">
        <w:rPr>
          <w:lang w:val="en-US"/>
        </w:rPr>
        <w:t xml:space="preserve"> th</w:t>
      </w:r>
      <w:r w:rsidR="003351F2">
        <w:rPr>
          <w:lang w:val="en-US"/>
        </w:rPr>
        <w:t>e</w:t>
      </w:r>
      <w:r w:rsidRPr="006E3CBD">
        <w:rPr>
          <w:lang w:val="en-US"/>
        </w:rPr>
        <w:t>n financial institutions show a positive stoc</w:t>
      </w:r>
      <w:r w:rsidR="006C5F49">
        <w:rPr>
          <w:lang w:val="en-US"/>
        </w:rPr>
        <w:t>k price reaction over the event</w:t>
      </w:r>
      <w:r w:rsidRPr="006E3CBD">
        <w:rPr>
          <w:lang w:val="en-US"/>
        </w:rPr>
        <w:t>s combined. This result would support the first overall hypothesis.</w:t>
      </w:r>
    </w:p>
    <w:p w:rsidR="006E3CBD" w:rsidRPr="006E3CBD" w:rsidRDefault="006E3CBD" w:rsidP="006E3CBD">
      <w:pPr>
        <w:pStyle w:val="Geenafstand"/>
        <w:rPr>
          <w:u w:val="single"/>
          <w:lang w:val="en-US"/>
        </w:rPr>
      </w:pPr>
      <w:r w:rsidRPr="006E3CBD">
        <w:rPr>
          <w:u w:val="single"/>
          <w:lang w:val="en-US"/>
        </w:rPr>
        <w:t>Hypothesis two</w:t>
      </w:r>
    </w:p>
    <w:p w:rsidR="006E3CBD" w:rsidRPr="00877095" w:rsidRDefault="006E3CBD" w:rsidP="00FA205D">
      <w:pPr>
        <w:spacing w:after="0"/>
        <w:rPr>
          <w:lang w:val="en-US"/>
        </w:rPr>
      </w:pPr>
      <w:r>
        <w:rPr>
          <w:lang w:val="en-US"/>
        </w:rPr>
        <w:t>The event windows</w:t>
      </w:r>
      <w:r w:rsidR="006C5F49">
        <w:rPr>
          <w:lang w:val="en-US"/>
        </w:rPr>
        <w:t>_</w:t>
      </w:r>
      <w:r>
        <w:rPr>
          <w:lang w:val="en-US"/>
        </w:rPr>
        <w:t>combined variable on the right side of table 7.5 show a negative stock price reaction</w:t>
      </w:r>
      <w:r w:rsidR="000C57CC">
        <w:rPr>
          <w:lang w:val="en-US"/>
        </w:rPr>
        <w:t xml:space="preserve"> for banks</w:t>
      </w:r>
      <w:r>
        <w:rPr>
          <w:lang w:val="en-US"/>
        </w:rPr>
        <w:t xml:space="preserve"> </w:t>
      </w:r>
      <w:r w:rsidR="006F0223">
        <w:rPr>
          <w:lang w:val="en-US"/>
        </w:rPr>
        <w:t xml:space="preserve">in </w:t>
      </w:r>
      <w:r>
        <w:rPr>
          <w:lang w:val="en-US"/>
        </w:rPr>
        <w:t>Europe.</w:t>
      </w:r>
      <w:r w:rsidR="006F0223">
        <w:rPr>
          <w:lang w:val="en-US"/>
        </w:rPr>
        <w:t xml:space="preserve"> The negative stock price reaction is the result of the negative stock price reaction of the first through fourth event. After the change of the </w:t>
      </w:r>
      <w:r w:rsidR="000C57CC">
        <w:rPr>
          <w:lang w:val="en-US"/>
        </w:rPr>
        <w:t>positive</w:t>
      </w:r>
      <w:r w:rsidR="006F0223">
        <w:rPr>
          <w:lang w:val="en-US"/>
        </w:rPr>
        <w:t xml:space="preserve"> predicted direction (event dummy) of the first through fourth event window in the independent </w:t>
      </w:r>
      <w:r w:rsidR="00877095">
        <w:rPr>
          <w:lang w:val="en-US"/>
        </w:rPr>
        <w:t xml:space="preserve">variable </w:t>
      </w:r>
      <w:r w:rsidR="006F0223">
        <w:rPr>
          <w:lang w:val="en-US"/>
        </w:rPr>
        <w:t>windows_combined</w:t>
      </w:r>
      <w:r w:rsidR="000C57CC">
        <w:rPr>
          <w:lang w:val="en-US"/>
        </w:rPr>
        <w:t xml:space="preserve"> into a negative direction</w:t>
      </w:r>
      <w:r w:rsidR="006F0223">
        <w:rPr>
          <w:lang w:val="en-US"/>
        </w:rPr>
        <w:t xml:space="preserve">, the </w:t>
      </w:r>
      <w:r w:rsidR="006F0223" w:rsidRPr="00DA0DCD">
        <w:rPr>
          <w:lang w:val="en-US"/>
        </w:rPr>
        <w:t>windows_combined is changed to a positive beta of 0,01</w:t>
      </w:r>
      <w:r w:rsidR="006F0223">
        <w:rPr>
          <w:lang w:val="en-US"/>
        </w:rPr>
        <w:t>2</w:t>
      </w:r>
      <w:r w:rsidR="006F0223" w:rsidRPr="00DA0DCD">
        <w:rPr>
          <w:lang w:val="en-US"/>
        </w:rPr>
        <w:t xml:space="preserve"> and is significant with a p-value of </w:t>
      </w:r>
      <w:r w:rsidR="006F0223" w:rsidRPr="00877095">
        <w:rPr>
          <w:lang w:val="en-US"/>
        </w:rPr>
        <w:t>&lt;0,012.</w:t>
      </w:r>
      <w:r w:rsidR="00DC6565" w:rsidRPr="00877095">
        <w:rPr>
          <w:lang w:val="en-US"/>
        </w:rPr>
        <w:t xml:space="preserve"> This is shown in table 8.1 and </w:t>
      </w:r>
      <w:r w:rsidR="00B66385">
        <w:rPr>
          <w:lang w:val="en-US"/>
        </w:rPr>
        <w:t xml:space="preserve">now </w:t>
      </w:r>
      <w:r w:rsidR="00877095" w:rsidRPr="00877095">
        <w:rPr>
          <w:lang w:val="en-US"/>
        </w:rPr>
        <w:t>shows for the most part the effect of the fifth event in Europe on the stock prices of banks.</w:t>
      </w:r>
    </w:p>
    <w:tbl>
      <w:tblPr>
        <w:tblStyle w:val="Tabelraster"/>
        <w:tblW w:w="6062" w:type="dxa"/>
        <w:jc w:val="center"/>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4A0"/>
      </w:tblPr>
      <w:tblGrid>
        <w:gridCol w:w="1809"/>
        <w:gridCol w:w="1418"/>
        <w:gridCol w:w="425"/>
        <w:gridCol w:w="851"/>
        <w:gridCol w:w="850"/>
        <w:gridCol w:w="709"/>
      </w:tblGrid>
      <w:tr w:rsidR="006F0223" w:rsidRPr="00872F8A" w:rsidTr="006F0223">
        <w:trPr>
          <w:jc w:val="center"/>
        </w:trPr>
        <w:tc>
          <w:tcPr>
            <w:tcW w:w="6062" w:type="dxa"/>
            <w:gridSpan w:val="6"/>
            <w:vAlign w:val="center"/>
          </w:tcPr>
          <w:p w:rsidR="006F0223" w:rsidRPr="006F0223" w:rsidRDefault="006F0223" w:rsidP="006F0223">
            <w:pPr>
              <w:pStyle w:val="Geenafstand"/>
              <w:rPr>
                <w:b/>
                <w:sz w:val="20"/>
                <w:szCs w:val="20"/>
                <w:lang w:val="en-US"/>
              </w:rPr>
            </w:pPr>
            <w:r w:rsidRPr="006F0223">
              <w:rPr>
                <w:b/>
                <w:sz w:val="20"/>
                <w:szCs w:val="20"/>
                <w:lang w:val="en-US"/>
              </w:rPr>
              <w:t>Results banks sample thesis (see table 7.7)</w:t>
            </w:r>
          </w:p>
        </w:tc>
      </w:tr>
      <w:tr w:rsidR="006F0223" w:rsidRPr="000F5506" w:rsidTr="006F0223">
        <w:trPr>
          <w:jc w:val="center"/>
        </w:trPr>
        <w:tc>
          <w:tcPr>
            <w:tcW w:w="1809" w:type="dxa"/>
            <w:vAlign w:val="center"/>
          </w:tcPr>
          <w:p w:rsidR="006F0223" w:rsidRPr="006F0223" w:rsidRDefault="006F0223" w:rsidP="006F0223">
            <w:pPr>
              <w:pStyle w:val="Geenafstand"/>
              <w:rPr>
                <w:sz w:val="18"/>
                <w:szCs w:val="18"/>
              </w:rPr>
            </w:pPr>
            <w:r w:rsidRPr="006F0223">
              <w:rPr>
                <w:sz w:val="18"/>
                <w:szCs w:val="18"/>
              </w:rPr>
              <w:t>Indep.</w:t>
            </w:r>
          </w:p>
          <w:p w:rsidR="006F0223" w:rsidRPr="006F0223" w:rsidRDefault="006F0223" w:rsidP="006F0223">
            <w:pPr>
              <w:pStyle w:val="Geenafstand"/>
              <w:rPr>
                <w:sz w:val="18"/>
                <w:szCs w:val="18"/>
              </w:rPr>
            </w:pPr>
            <w:r w:rsidRPr="006F0223">
              <w:rPr>
                <w:sz w:val="18"/>
                <w:szCs w:val="18"/>
              </w:rPr>
              <w:t>Variables</w:t>
            </w:r>
          </w:p>
        </w:tc>
        <w:tc>
          <w:tcPr>
            <w:tcW w:w="1418" w:type="dxa"/>
            <w:vAlign w:val="center"/>
          </w:tcPr>
          <w:p w:rsidR="006F0223" w:rsidRPr="006F0223" w:rsidRDefault="006F0223" w:rsidP="006F0223">
            <w:pPr>
              <w:pStyle w:val="Geenafstand"/>
              <w:rPr>
                <w:sz w:val="18"/>
                <w:szCs w:val="18"/>
              </w:rPr>
            </w:pPr>
            <w:r w:rsidRPr="006F0223">
              <w:rPr>
                <w:sz w:val="18"/>
                <w:szCs w:val="18"/>
              </w:rPr>
              <w:t>Event date range</w:t>
            </w:r>
          </w:p>
        </w:tc>
        <w:tc>
          <w:tcPr>
            <w:tcW w:w="425" w:type="dxa"/>
            <w:vAlign w:val="center"/>
          </w:tcPr>
          <w:p w:rsidR="006F0223" w:rsidRPr="006F0223" w:rsidRDefault="006F0223" w:rsidP="006F0223">
            <w:pPr>
              <w:pStyle w:val="Geenafstand"/>
              <w:rPr>
                <w:sz w:val="18"/>
                <w:szCs w:val="18"/>
              </w:rPr>
            </w:pPr>
          </w:p>
        </w:tc>
        <w:tc>
          <w:tcPr>
            <w:tcW w:w="851" w:type="dxa"/>
            <w:vAlign w:val="center"/>
          </w:tcPr>
          <w:p w:rsidR="006F0223" w:rsidRPr="006F0223" w:rsidRDefault="006F0223" w:rsidP="006F0223">
            <w:pPr>
              <w:pStyle w:val="Geenafstand"/>
              <w:rPr>
                <w:sz w:val="18"/>
                <w:szCs w:val="18"/>
              </w:rPr>
            </w:pPr>
            <w:r w:rsidRPr="006F0223">
              <w:rPr>
                <w:sz w:val="18"/>
                <w:szCs w:val="18"/>
              </w:rPr>
              <w:t>Coeffi-cient</w:t>
            </w:r>
          </w:p>
        </w:tc>
        <w:tc>
          <w:tcPr>
            <w:tcW w:w="850" w:type="dxa"/>
            <w:vAlign w:val="center"/>
          </w:tcPr>
          <w:p w:rsidR="006F0223" w:rsidRPr="006F0223" w:rsidRDefault="006F0223" w:rsidP="006F0223">
            <w:pPr>
              <w:pStyle w:val="Geenafstand"/>
              <w:rPr>
                <w:sz w:val="18"/>
                <w:szCs w:val="18"/>
              </w:rPr>
            </w:pPr>
            <w:r w:rsidRPr="006F0223">
              <w:rPr>
                <w:sz w:val="18"/>
                <w:szCs w:val="18"/>
              </w:rPr>
              <w:t>t-stat</w:t>
            </w:r>
          </w:p>
        </w:tc>
        <w:tc>
          <w:tcPr>
            <w:tcW w:w="709" w:type="dxa"/>
            <w:vAlign w:val="center"/>
          </w:tcPr>
          <w:p w:rsidR="006F0223" w:rsidRPr="006F0223" w:rsidRDefault="006F0223" w:rsidP="006F0223">
            <w:pPr>
              <w:pStyle w:val="Geenafstand"/>
              <w:rPr>
                <w:sz w:val="18"/>
                <w:szCs w:val="18"/>
              </w:rPr>
            </w:pPr>
            <w:r w:rsidRPr="006F0223">
              <w:rPr>
                <w:sz w:val="18"/>
                <w:szCs w:val="18"/>
              </w:rPr>
              <w:t>pvalue</w:t>
            </w:r>
          </w:p>
        </w:tc>
      </w:tr>
      <w:tr w:rsidR="00034641" w:rsidRPr="00872F8A" w:rsidTr="006F0223">
        <w:trPr>
          <w:jc w:val="center"/>
        </w:trPr>
        <w:tc>
          <w:tcPr>
            <w:tcW w:w="6062" w:type="dxa"/>
            <w:gridSpan w:val="6"/>
            <w:vAlign w:val="center"/>
          </w:tcPr>
          <w:p w:rsidR="00034641" w:rsidRPr="006F0223" w:rsidRDefault="00034641" w:rsidP="006F0223">
            <w:pPr>
              <w:pStyle w:val="Geenafstand"/>
              <w:rPr>
                <w:b/>
                <w:sz w:val="18"/>
                <w:szCs w:val="18"/>
                <w:lang w:val="en-US"/>
              </w:rPr>
            </w:pPr>
            <w:r w:rsidRPr="006F0223">
              <w:rPr>
                <w:b/>
                <w:sz w:val="18"/>
                <w:szCs w:val="18"/>
                <w:lang w:val="en-US"/>
              </w:rPr>
              <w:t>Results windows combined after changing predicted signs</w:t>
            </w:r>
          </w:p>
        </w:tc>
      </w:tr>
      <w:tr w:rsidR="00034641" w:rsidRPr="00B15AD8" w:rsidTr="006F0223">
        <w:trPr>
          <w:jc w:val="center"/>
        </w:trPr>
        <w:tc>
          <w:tcPr>
            <w:tcW w:w="1809" w:type="dxa"/>
          </w:tcPr>
          <w:p w:rsidR="00034641" w:rsidRPr="006F0223" w:rsidRDefault="00034641" w:rsidP="006F0223">
            <w:pPr>
              <w:pStyle w:val="Geenafstand"/>
              <w:rPr>
                <w:sz w:val="18"/>
                <w:szCs w:val="18"/>
              </w:rPr>
            </w:pPr>
            <w:r w:rsidRPr="006F0223">
              <w:rPr>
                <w:sz w:val="18"/>
                <w:szCs w:val="18"/>
              </w:rPr>
              <w:t>(Constant)</w:t>
            </w:r>
          </w:p>
        </w:tc>
        <w:tc>
          <w:tcPr>
            <w:tcW w:w="1418" w:type="dxa"/>
            <w:vAlign w:val="center"/>
          </w:tcPr>
          <w:p w:rsidR="00034641" w:rsidRPr="006F0223" w:rsidRDefault="00034641" w:rsidP="006F0223">
            <w:pPr>
              <w:pStyle w:val="Geenafstand"/>
              <w:rPr>
                <w:rFonts w:cs="TimesNewRomanPSMT"/>
                <w:sz w:val="18"/>
                <w:szCs w:val="18"/>
              </w:rPr>
            </w:pPr>
          </w:p>
        </w:tc>
        <w:tc>
          <w:tcPr>
            <w:tcW w:w="425" w:type="dxa"/>
            <w:vAlign w:val="center"/>
          </w:tcPr>
          <w:p w:rsidR="00034641" w:rsidRPr="006F0223" w:rsidRDefault="00034641" w:rsidP="006F0223">
            <w:pPr>
              <w:pStyle w:val="Geenafstand"/>
              <w:rPr>
                <w:rFonts w:cs="TimesNewRomanPSMT"/>
                <w:sz w:val="18"/>
                <w:szCs w:val="18"/>
              </w:rPr>
            </w:pPr>
          </w:p>
        </w:tc>
        <w:tc>
          <w:tcPr>
            <w:tcW w:w="851" w:type="dxa"/>
          </w:tcPr>
          <w:p w:rsidR="00034641" w:rsidRPr="006F0223" w:rsidRDefault="00034641" w:rsidP="006F0223">
            <w:pPr>
              <w:pStyle w:val="Geenafstand"/>
              <w:rPr>
                <w:rFonts w:cs="Times New Roman"/>
                <w:sz w:val="18"/>
                <w:szCs w:val="18"/>
              </w:rPr>
            </w:pPr>
          </w:p>
        </w:tc>
        <w:tc>
          <w:tcPr>
            <w:tcW w:w="850" w:type="dxa"/>
            <w:vAlign w:val="center"/>
          </w:tcPr>
          <w:p w:rsidR="00034641" w:rsidRPr="006F0223" w:rsidRDefault="00034641" w:rsidP="006F0223">
            <w:pPr>
              <w:pStyle w:val="Geenafstand"/>
              <w:rPr>
                <w:sz w:val="18"/>
                <w:szCs w:val="18"/>
              </w:rPr>
            </w:pPr>
            <w:r w:rsidRPr="006F0223">
              <w:rPr>
                <w:sz w:val="18"/>
                <w:szCs w:val="18"/>
              </w:rPr>
              <w:t>0,046</w:t>
            </w:r>
          </w:p>
        </w:tc>
        <w:tc>
          <w:tcPr>
            <w:tcW w:w="709" w:type="dxa"/>
            <w:vAlign w:val="center"/>
          </w:tcPr>
          <w:p w:rsidR="00034641" w:rsidRPr="006F0223" w:rsidRDefault="00034641" w:rsidP="006F0223">
            <w:pPr>
              <w:pStyle w:val="Geenafstand"/>
              <w:rPr>
                <w:sz w:val="18"/>
                <w:szCs w:val="18"/>
              </w:rPr>
            </w:pPr>
            <w:r w:rsidRPr="006F0223">
              <w:rPr>
                <w:sz w:val="18"/>
                <w:szCs w:val="18"/>
              </w:rPr>
              <w:t>0,963</w:t>
            </w:r>
          </w:p>
        </w:tc>
      </w:tr>
      <w:tr w:rsidR="00034641" w:rsidRPr="00B15AD8" w:rsidTr="006F0223">
        <w:trPr>
          <w:jc w:val="center"/>
        </w:trPr>
        <w:tc>
          <w:tcPr>
            <w:tcW w:w="1809" w:type="dxa"/>
          </w:tcPr>
          <w:p w:rsidR="00034641" w:rsidRPr="006F0223" w:rsidRDefault="00034641" w:rsidP="006F0223">
            <w:pPr>
              <w:pStyle w:val="Geenafstand"/>
              <w:rPr>
                <w:sz w:val="18"/>
                <w:szCs w:val="18"/>
              </w:rPr>
            </w:pPr>
            <w:r w:rsidRPr="006F0223">
              <w:rPr>
                <w:sz w:val="18"/>
                <w:szCs w:val="18"/>
              </w:rPr>
              <w:t>Rmt</w:t>
            </w:r>
          </w:p>
        </w:tc>
        <w:tc>
          <w:tcPr>
            <w:tcW w:w="1418" w:type="dxa"/>
            <w:vAlign w:val="center"/>
          </w:tcPr>
          <w:p w:rsidR="00034641" w:rsidRPr="006F0223" w:rsidRDefault="00034641" w:rsidP="006F0223">
            <w:pPr>
              <w:pStyle w:val="Geenafstand"/>
              <w:rPr>
                <w:rFonts w:cs="TimesNewRomanPSMT"/>
                <w:sz w:val="18"/>
                <w:szCs w:val="18"/>
              </w:rPr>
            </w:pPr>
          </w:p>
        </w:tc>
        <w:tc>
          <w:tcPr>
            <w:tcW w:w="425" w:type="dxa"/>
            <w:vAlign w:val="center"/>
          </w:tcPr>
          <w:p w:rsidR="00034641" w:rsidRPr="006F0223" w:rsidRDefault="00034641" w:rsidP="006F0223">
            <w:pPr>
              <w:pStyle w:val="Geenafstand"/>
              <w:rPr>
                <w:rFonts w:cs="TimesNewRomanPSMT"/>
                <w:sz w:val="18"/>
                <w:szCs w:val="18"/>
              </w:rPr>
            </w:pPr>
          </w:p>
        </w:tc>
        <w:tc>
          <w:tcPr>
            <w:tcW w:w="851" w:type="dxa"/>
            <w:vAlign w:val="center"/>
          </w:tcPr>
          <w:p w:rsidR="00034641" w:rsidRPr="006F0223" w:rsidRDefault="00034641" w:rsidP="006F0223">
            <w:pPr>
              <w:pStyle w:val="Geenafstand"/>
              <w:rPr>
                <w:b/>
                <w:sz w:val="18"/>
                <w:szCs w:val="18"/>
              </w:rPr>
            </w:pPr>
            <w:r w:rsidRPr="006F0223">
              <w:rPr>
                <w:b/>
                <w:sz w:val="18"/>
                <w:szCs w:val="18"/>
              </w:rPr>
              <w:t>0,519</w:t>
            </w:r>
          </w:p>
        </w:tc>
        <w:tc>
          <w:tcPr>
            <w:tcW w:w="850" w:type="dxa"/>
            <w:vAlign w:val="center"/>
          </w:tcPr>
          <w:p w:rsidR="00034641" w:rsidRPr="006F0223" w:rsidRDefault="00034641" w:rsidP="006F0223">
            <w:pPr>
              <w:pStyle w:val="Geenafstand"/>
              <w:rPr>
                <w:b/>
                <w:sz w:val="18"/>
                <w:szCs w:val="18"/>
              </w:rPr>
            </w:pPr>
            <w:r w:rsidRPr="006F0223">
              <w:rPr>
                <w:b/>
                <w:sz w:val="18"/>
                <w:szCs w:val="18"/>
              </w:rPr>
              <w:t>109,609</w:t>
            </w:r>
          </w:p>
        </w:tc>
        <w:tc>
          <w:tcPr>
            <w:tcW w:w="709" w:type="dxa"/>
            <w:vAlign w:val="center"/>
          </w:tcPr>
          <w:p w:rsidR="00034641" w:rsidRPr="006F0223" w:rsidRDefault="00034641" w:rsidP="006F0223">
            <w:pPr>
              <w:pStyle w:val="Geenafstand"/>
              <w:rPr>
                <w:b/>
                <w:sz w:val="18"/>
                <w:szCs w:val="18"/>
              </w:rPr>
            </w:pPr>
            <w:r w:rsidRPr="006F0223">
              <w:rPr>
                <w:b/>
                <w:sz w:val="18"/>
                <w:szCs w:val="18"/>
              </w:rPr>
              <w:t>0,000</w:t>
            </w:r>
          </w:p>
        </w:tc>
      </w:tr>
      <w:tr w:rsidR="00034641" w:rsidRPr="00B15AD8" w:rsidTr="006F0223">
        <w:trPr>
          <w:jc w:val="center"/>
        </w:trPr>
        <w:tc>
          <w:tcPr>
            <w:tcW w:w="1809" w:type="dxa"/>
          </w:tcPr>
          <w:p w:rsidR="00034641" w:rsidRPr="006F0223" w:rsidRDefault="00034641" w:rsidP="006F0223">
            <w:pPr>
              <w:pStyle w:val="Geenafstand"/>
              <w:rPr>
                <w:sz w:val="18"/>
                <w:szCs w:val="18"/>
              </w:rPr>
            </w:pPr>
            <w:r w:rsidRPr="006F0223">
              <w:rPr>
                <w:sz w:val="18"/>
                <w:szCs w:val="18"/>
              </w:rPr>
              <w:t>Intt</w:t>
            </w:r>
          </w:p>
        </w:tc>
        <w:tc>
          <w:tcPr>
            <w:tcW w:w="1418" w:type="dxa"/>
            <w:vAlign w:val="center"/>
          </w:tcPr>
          <w:p w:rsidR="00034641" w:rsidRPr="006F0223" w:rsidRDefault="00034641" w:rsidP="006F0223">
            <w:pPr>
              <w:pStyle w:val="Geenafstand"/>
              <w:rPr>
                <w:rFonts w:cs="TimesNewRomanPSMT"/>
                <w:sz w:val="18"/>
                <w:szCs w:val="18"/>
              </w:rPr>
            </w:pPr>
          </w:p>
        </w:tc>
        <w:tc>
          <w:tcPr>
            <w:tcW w:w="425" w:type="dxa"/>
            <w:vAlign w:val="center"/>
          </w:tcPr>
          <w:p w:rsidR="00034641" w:rsidRPr="006F0223" w:rsidRDefault="00034641" w:rsidP="006F0223">
            <w:pPr>
              <w:pStyle w:val="Geenafstand"/>
              <w:rPr>
                <w:rFonts w:cs="TimesNewRomanPSMT"/>
                <w:sz w:val="18"/>
                <w:szCs w:val="18"/>
              </w:rPr>
            </w:pPr>
          </w:p>
        </w:tc>
        <w:tc>
          <w:tcPr>
            <w:tcW w:w="851" w:type="dxa"/>
            <w:vAlign w:val="center"/>
          </w:tcPr>
          <w:p w:rsidR="00034641" w:rsidRPr="006F0223" w:rsidRDefault="00034641" w:rsidP="006F0223">
            <w:pPr>
              <w:pStyle w:val="Geenafstand"/>
              <w:rPr>
                <w:sz w:val="18"/>
                <w:szCs w:val="18"/>
              </w:rPr>
            </w:pPr>
            <w:r w:rsidRPr="006F0223">
              <w:rPr>
                <w:sz w:val="18"/>
                <w:szCs w:val="18"/>
              </w:rPr>
              <w:t>0,003</w:t>
            </w:r>
          </w:p>
        </w:tc>
        <w:tc>
          <w:tcPr>
            <w:tcW w:w="850" w:type="dxa"/>
            <w:vAlign w:val="center"/>
          </w:tcPr>
          <w:p w:rsidR="00034641" w:rsidRPr="006F0223" w:rsidRDefault="00034641" w:rsidP="006F0223">
            <w:pPr>
              <w:pStyle w:val="Geenafstand"/>
              <w:rPr>
                <w:sz w:val="18"/>
                <w:szCs w:val="18"/>
              </w:rPr>
            </w:pPr>
            <w:r w:rsidRPr="006F0223">
              <w:rPr>
                <w:sz w:val="18"/>
                <w:szCs w:val="18"/>
              </w:rPr>
              <w:t>0,721</w:t>
            </w:r>
          </w:p>
        </w:tc>
        <w:tc>
          <w:tcPr>
            <w:tcW w:w="709" w:type="dxa"/>
            <w:vAlign w:val="center"/>
          </w:tcPr>
          <w:p w:rsidR="00034641" w:rsidRPr="006F0223" w:rsidRDefault="00034641" w:rsidP="006F0223">
            <w:pPr>
              <w:pStyle w:val="Geenafstand"/>
              <w:rPr>
                <w:sz w:val="18"/>
                <w:szCs w:val="18"/>
              </w:rPr>
            </w:pPr>
            <w:r w:rsidRPr="006F0223">
              <w:rPr>
                <w:sz w:val="18"/>
                <w:szCs w:val="18"/>
              </w:rPr>
              <w:t>0,471</w:t>
            </w:r>
          </w:p>
        </w:tc>
      </w:tr>
      <w:tr w:rsidR="00034641" w:rsidRPr="00B15AD8" w:rsidTr="006F0223">
        <w:trPr>
          <w:jc w:val="center"/>
        </w:trPr>
        <w:tc>
          <w:tcPr>
            <w:tcW w:w="1809" w:type="dxa"/>
            <w:shd w:val="clear" w:color="auto" w:fill="FFFFFF" w:themeFill="background1"/>
          </w:tcPr>
          <w:p w:rsidR="00034641" w:rsidRPr="006F0223" w:rsidRDefault="00034641" w:rsidP="006F0223">
            <w:pPr>
              <w:pStyle w:val="Geenafstand"/>
              <w:rPr>
                <w:sz w:val="18"/>
                <w:szCs w:val="18"/>
              </w:rPr>
            </w:pPr>
            <w:r w:rsidRPr="006F0223">
              <w:rPr>
                <w:sz w:val="18"/>
                <w:szCs w:val="18"/>
              </w:rPr>
              <w:t>Windows_ Combined</w:t>
            </w:r>
          </w:p>
        </w:tc>
        <w:tc>
          <w:tcPr>
            <w:tcW w:w="1418" w:type="dxa"/>
            <w:shd w:val="clear" w:color="auto" w:fill="FFFFFF" w:themeFill="background1"/>
            <w:vAlign w:val="center"/>
          </w:tcPr>
          <w:p w:rsidR="00034641" w:rsidRPr="006F0223" w:rsidRDefault="00034641" w:rsidP="006F0223">
            <w:pPr>
              <w:pStyle w:val="Geenafstand"/>
              <w:rPr>
                <w:rFonts w:cs="TimesNewRomanPSMT"/>
                <w:sz w:val="18"/>
                <w:szCs w:val="18"/>
              </w:rPr>
            </w:pPr>
            <w:r w:rsidRPr="006F0223">
              <w:rPr>
                <w:rFonts w:cs="TimesNewRomanPSMT"/>
                <w:sz w:val="18"/>
                <w:szCs w:val="18"/>
              </w:rPr>
              <w:t>4/4/08 to 10/16/08</w:t>
            </w:r>
          </w:p>
        </w:tc>
        <w:tc>
          <w:tcPr>
            <w:tcW w:w="425" w:type="dxa"/>
            <w:shd w:val="clear" w:color="auto" w:fill="FFFFFF" w:themeFill="background1"/>
            <w:vAlign w:val="center"/>
          </w:tcPr>
          <w:p w:rsidR="00034641" w:rsidRPr="006F0223" w:rsidRDefault="00034641" w:rsidP="006F0223">
            <w:pPr>
              <w:pStyle w:val="Geenafstand"/>
              <w:rPr>
                <w:rFonts w:cs="TimesNewRomanPSMT"/>
                <w:sz w:val="18"/>
                <w:szCs w:val="18"/>
              </w:rPr>
            </w:pPr>
            <w:r w:rsidRPr="006F0223">
              <w:rPr>
                <w:rFonts w:cs="TimesNewRomanPSMT"/>
                <w:sz w:val="18"/>
                <w:szCs w:val="18"/>
              </w:rPr>
              <w:t>+</w:t>
            </w:r>
          </w:p>
        </w:tc>
        <w:tc>
          <w:tcPr>
            <w:tcW w:w="851" w:type="dxa"/>
            <w:shd w:val="clear" w:color="auto" w:fill="FFFFFF" w:themeFill="background1"/>
            <w:vAlign w:val="center"/>
          </w:tcPr>
          <w:p w:rsidR="00034641" w:rsidRPr="006F0223" w:rsidRDefault="00034641" w:rsidP="006F0223">
            <w:pPr>
              <w:pStyle w:val="Geenafstand"/>
              <w:rPr>
                <w:b/>
                <w:sz w:val="18"/>
                <w:szCs w:val="18"/>
              </w:rPr>
            </w:pPr>
            <w:r w:rsidRPr="006F0223">
              <w:rPr>
                <w:b/>
                <w:sz w:val="18"/>
                <w:szCs w:val="18"/>
              </w:rPr>
              <w:t>0,012</w:t>
            </w:r>
          </w:p>
        </w:tc>
        <w:tc>
          <w:tcPr>
            <w:tcW w:w="850" w:type="dxa"/>
            <w:shd w:val="clear" w:color="auto" w:fill="FFFFFF" w:themeFill="background1"/>
            <w:vAlign w:val="center"/>
          </w:tcPr>
          <w:p w:rsidR="00034641" w:rsidRPr="006F0223" w:rsidRDefault="00034641" w:rsidP="006F0223">
            <w:pPr>
              <w:pStyle w:val="Geenafstand"/>
              <w:rPr>
                <w:b/>
                <w:sz w:val="18"/>
                <w:szCs w:val="18"/>
              </w:rPr>
            </w:pPr>
            <w:r w:rsidRPr="006F0223">
              <w:rPr>
                <w:b/>
                <w:sz w:val="18"/>
                <w:szCs w:val="18"/>
              </w:rPr>
              <w:t>2,506</w:t>
            </w:r>
          </w:p>
        </w:tc>
        <w:tc>
          <w:tcPr>
            <w:tcW w:w="709" w:type="dxa"/>
            <w:shd w:val="clear" w:color="auto" w:fill="FFFFFF" w:themeFill="background1"/>
            <w:vAlign w:val="center"/>
          </w:tcPr>
          <w:p w:rsidR="00034641" w:rsidRPr="006F0223" w:rsidRDefault="00034641" w:rsidP="006F0223">
            <w:pPr>
              <w:pStyle w:val="Geenafstand"/>
              <w:rPr>
                <w:b/>
                <w:sz w:val="18"/>
                <w:szCs w:val="18"/>
              </w:rPr>
            </w:pPr>
            <w:r w:rsidRPr="006F0223">
              <w:rPr>
                <w:b/>
                <w:sz w:val="18"/>
                <w:szCs w:val="18"/>
              </w:rPr>
              <w:t>0,012</w:t>
            </w:r>
          </w:p>
        </w:tc>
      </w:tr>
    </w:tbl>
    <w:p w:rsidR="00034641" w:rsidRPr="00FA205D" w:rsidRDefault="006F0223" w:rsidP="00034641">
      <w:pPr>
        <w:rPr>
          <w:sz w:val="20"/>
          <w:szCs w:val="20"/>
          <w:lang w:val="en-US"/>
        </w:rPr>
      </w:pPr>
      <w:r w:rsidRPr="00FA205D">
        <w:rPr>
          <w:sz w:val="20"/>
          <w:szCs w:val="20"/>
          <w:lang w:val="en-US"/>
        </w:rPr>
        <w:t>Table 8.2 Outcome banks sample windows_combined after changing predicted direction of window 1-4</w:t>
      </w:r>
    </w:p>
    <w:p w:rsidR="006F0223" w:rsidRPr="00877095" w:rsidRDefault="000A2ACC" w:rsidP="00034641">
      <w:pPr>
        <w:rPr>
          <w:lang w:val="en-US"/>
        </w:rPr>
      </w:pPr>
      <w:r w:rsidRPr="00877095">
        <w:rPr>
          <w:lang w:val="en-US"/>
        </w:rPr>
        <w:t>The</w:t>
      </w:r>
      <w:r w:rsidR="00DC6565" w:rsidRPr="00877095">
        <w:rPr>
          <w:lang w:val="en-US"/>
        </w:rPr>
        <w:t xml:space="preserve"> </w:t>
      </w:r>
      <w:r w:rsidRPr="00877095">
        <w:rPr>
          <w:lang w:val="en-US"/>
        </w:rPr>
        <w:t xml:space="preserve">stock price reaction of the event windows combined with a value of 0,012 </w:t>
      </w:r>
      <w:r w:rsidR="00DC6565" w:rsidRPr="00877095">
        <w:rPr>
          <w:lang w:val="en-US"/>
        </w:rPr>
        <w:t>seems</w:t>
      </w:r>
      <w:r w:rsidRPr="00877095">
        <w:rPr>
          <w:lang w:val="en-US"/>
        </w:rPr>
        <w:t xml:space="preserve"> now</w:t>
      </w:r>
      <w:r w:rsidR="00DC6565" w:rsidRPr="00877095">
        <w:rPr>
          <w:lang w:val="en-US"/>
        </w:rPr>
        <w:t xml:space="preserve"> higher than </w:t>
      </w:r>
      <w:r w:rsidRPr="00877095">
        <w:rPr>
          <w:lang w:val="en-US"/>
        </w:rPr>
        <w:t>the combined windows in the US with a value of 0.0089. However,</w:t>
      </w:r>
      <w:r w:rsidR="00DC6565" w:rsidRPr="00877095">
        <w:rPr>
          <w:lang w:val="en-US"/>
        </w:rPr>
        <w:t xml:space="preserve"> th</w:t>
      </w:r>
      <w:r w:rsidRPr="00877095">
        <w:rPr>
          <w:lang w:val="en-US"/>
        </w:rPr>
        <w:t xml:space="preserve">e </w:t>
      </w:r>
      <w:r w:rsidR="00DC6565" w:rsidRPr="00877095">
        <w:rPr>
          <w:lang w:val="en-US"/>
        </w:rPr>
        <w:t>value</w:t>
      </w:r>
      <w:r w:rsidRPr="00877095">
        <w:rPr>
          <w:lang w:val="en-US"/>
        </w:rPr>
        <w:t xml:space="preserve"> of the beta in Europe</w:t>
      </w:r>
      <w:r w:rsidR="00DC6565" w:rsidRPr="00877095">
        <w:rPr>
          <w:lang w:val="en-US"/>
        </w:rPr>
        <w:t xml:space="preserve"> is positive</w:t>
      </w:r>
      <w:r w:rsidR="00F65994">
        <w:rPr>
          <w:lang w:val="en-US"/>
        </w:rPr>
        <w:t>,</w:t>
      </w:r>
      <w:r w:rsidR="00DC6565" w:rsidRPr="00877095">
        <w:rPr>
          <w:lang w:val="en-US"/>
        </w:rPr>
        <w:t xml:space="preserve"> because of </w:t>
      </w:r>
      <w:r w:rsidRPr="00877095">
        <w:rPr>
          <w:lang w:val="en-US"/>
        </w:rPr>
        <w:t xml:space="preserve">the </w:t>
      </w:r>
      <w:r w:rsidR="00DC6565" w:rsidRPr="00877095">
        <w:rPr>
          <w:lang w:val="en-US"/>
        </w:rPr>
        <w:t>chang</w:t>
      </w:r>
      <w:r w:rsidRPr="00877095">
        <w:rPr>
          <w:lang w:val="en-US"/>
        </w:rPr>
        <w:t>ed positive predicted direction of event window one through four into a negative predicted direction in the regression model of Eq. 6.2</w:t>
      </w:r>
      <w:r w:rsidR="00F65994">
        <w:rPr>
          <w:lang w:val="en-US"/>
        </w:rPr>
        <w:t>,</w:t>
      </w:r>
      <w:r w:rsidR="00591B34" w:rsidRPr="00877095">
        <w:rPr>
          <w:lang w:val="en-US"/>
        </w:rPr>
        <w:t xml:space="preserve"> and not because of a </w:t>
      </w:r>
      <w:r w:rsidR="00591B34" w:rsidRPr="00877095">
        <w:rPr>
          <w:lang w:val="en-US"/>
        </w:rPr>
        <w:lastRenderedPageBreak/>
        <w:t>stronger stock price reaction in Europe. T</w:t>
      </w:r>
      <w:r w:rsidR="007C14AB" w:rsidRPr="00877095">
        <w:rPr>
          <w:lang w:val="en-US"/>
        </w:rPr>
        <w:t>herefore</w:t>
      </w:r>
      <w:r w:rsidR="00591B34" w:rsidRPr="00877095">
        <w:rPr>
          <w:lang w:val="en-US"/>
        </w:rPr>
        <w:t xml:space="preserve">, </w:t>
      </w:r>
      <w:r w:rsidR="00F65994">
        <w:rPr>
          <w:lang w:val="en-US"/>
        </w:rPr>
        <w:t>the changed event windows combined is</w:t>
      </w:r>
      <w:r w:rsidR="00591B34" w:rsidRPr="00877095">
        <w:rPr>
          <w:lang w:val="en-US"/>
        </w:rPr>
        <w:t xml:space="preserve"> </w:t>
      </w:r>
      <w:r w:rsidR="007C14AB" w:rsidRPr="00877095">
        <w:rPr>
          <w:lang w:val="en-US"/>
        </w:rPr>
        <w:t>not</w:t>
      </w:r>
      <w:r w:rsidR="00DC6565" w:rsidRPr="00877095">
        <w:rPr>
          <w:lang w:val="en-US"/>
        </w:rPr>
        <w:t xml:space="preserve"> a g</w:t>
      </w:r>
      <w:r w:rsidR="007C14AB" w:rsidRPr="00877095">
        <w:rPr>
          <w:lang w:val="en-US"/>
        </w:rPr>
        <w:t xml:space="preserve">ood indicator </w:t>
      </w:r>
      <w:r w:rsidR="00B66385">
        <w:rPr>
          <w:lang w:val="en-US"/>
        </w:rPr>
        <w:t>for</w:t>
      </w:r>
      <w:r w:rsidR="007C14AB" w:rsidRPr="00877095">
        <w:rPr>
          <w:lang w:val="en-US"/>
        </w:rPr>
        <w:t xml:space="preserve"> this comparison</w:t>
      </w:r>
      <w:r w:rsidR="00DC6565" w:rsidRPr="00877095">
        <w:rPr>
          <w:lang w:val="en-US"/>
        </w:rPr>
        <w:t>.</w:t>
      </w:r>
      <w:r w:rsidR="007C14AB" w:rsidRPr="00877095">
        <w:rPr>
          <w:lang w:val="en-US"/>
        </w:rPr>
        <w:t xml:space="preserve"> The event windows combined </w:t>
      </w:r>
      <w:r w:rsidR="00B66385" w:rsidRPr="00877095">
        <w:rPr>
          <w:lang w:val="en-US"/>
        </w:rPr>
        <w:t xml:space="preserve">now </w:t>
      </w:r>
      <w:r w:rsidR="007C14AB" w:rsidRPr="00877095">
        <w:rPr>
          <w:lang w:val="en-US"/>
        </w:rPr>
        <w:t xml:space="preserve">shows </w:t>
      </w:r>
      <w:r w:rsidR="00591B34" w:rsidRPr="00877095">
        <w:rPr>
          <w:lang w:val="en-US"/>
        </w:rPr>
        <w:t xml:space="preserve">for the most part </w:t>
      </w:r>
      <w:r w:rsidR="007C14AB" w:rsidRPr="00877095">
        <w:rPr>
          <w:lang w:val="en-US"/>
        </w:rPr>
        <w:t>the effect of the fifth event in Europe.</w:t>
      </w:r>
    </w:p>
    <w:p w:rsidR="00DC6565" w:rsidRPr="000A2ACC" w:rsidRDefault="00DC6565" w:rsidP="000A2ACC">
      <w:pPr>
        <w:pStyle w:val="Geenafstand"/>
        <w:rPr>
          <w:u w:val="single"/>
          <w:lang w:val="en-US"/>
        </w:rPr>
      </w:pPr>
      <w:r w:rsidRPr="000A2ACC">
        <w:rPr>
          <w:u w:val="single"/>
          <w:lang w:val="en-US"/>
        </w:rPr>
        <w:t>Hypothesis three</w:t>
      </w:r>
    </w:p>
    <w:p w:rsidR="000A2ACC" w:rsidRPr="00365EFC" w:rsidRDefault="006C5F49" w:rsidP="00FA205D">
      <w:pPr>
        <w:spacing w:after="0"/>
        <w:rPr>
          <w:lang w:val="en-US"/>
        </w:rPr>
      </w:pPr>
      <w:r>
        <w:rPr>
          <w:lang w:val="en-US"/>
        </w:rPr>
        <w:t>The event</w:t>
      </w:r>
      <w:r w:rsidR="00CF2721">
        <w:rPr>
          <w:lang w:val="en-US"/>
        </w:rPr>
        <w:t>s combined show in table 7.6, 7.7 and 7.8 negative stock price reactions. The negative stock price reaction of</w:t>
      </w:r>
      <w:r w:rsidR="00240943">
        <w:rPr>
          <w:lang w:val="en-US"/>
        </w:rPr>
        <w:t xml:space="preserve"> the</w:t>
      </w:r>
      <w:r w:rsidR="00CF2721">
        <w:rPr>
          <w:lang w:val="en-US"/>
        </w:rPr>
        <w:t xml:space="preserve"> banks sample is a result of the negative stock price reactions during first </w:t>
      </w:r>
      <w:r>
        <w:rPr>
          <w:lang w:val="en-US"/>
        </w:rPr>
        <w:t>through fourth individual event</w:t>
      </w:r>
      <w:r w:rsidR="00CF2721">
        <w:rPr>
          <w:lang w:val="en-US"/>
        </w:rPr>
        <w:t xml:space="preserve">. </w:t>
      </w:r>
      <w:r w:rsidR="00240943">
        <w:rPr>
          <w:lang w:val="en-US"/>
        </w:rPr>
        <w:t xml:space="preserve">At the insurance companies’ sample, it is </w:t>
      </w:r>
      <w:r w:rsidR="00F65994">
        <w:rPr>
          <w:lang w:val="en-US"/>
        </w:rPr>
        <w:t>the</w:t>
      </w:r>
      <w:r w:rsidR="00240943">
        <w:rPr>
          <w:lang w:val="en-US"/>
        </w:rPr>
        <w:t xml:space="preserve"> result of the negative stock price reaction of </w:t>
      </w:r>
      <w:r>
        <w:rPr>
          <w:lang w:val="en-US"/>
        </w:rPr>
        <w:t>the second through fourth event</w:t>
      </w:r>
      <w:r w:rsidR="00240943">
        <w:rPr>
          <w:lang w:val="en-US"/>
        </w:rPr>
        <w:t>.</w:t>
      </w:r>
      <w:r w:rsidR="007C14AB">
        <w:rPr>
          <w:lang w:val="en-US"/>
        </w:rPr>
        <w:t xml:space="preserve"> After the change of the predicted direction of the first through fourth event at the banks sample and the second through fourth event at the insurance </w:t>
      </w:r>
      <w:r w:rsidR="00F65994">
        <w:rPr>
          <w:lang w:val="en-US"/>
        </w:rPr>
        <w:t>companies’</w:t>
      </w:r>
      <w:r w:rsidR="007C14AB">
        <w:rPr>
          <w:lang w:val="en-US"/>
        </w:rPr>
        <w:t xml:space="preserve"> sample, the value of the stock price reaction </w:t>
      </w:r>
      <w:r w:rsidR="00F65994">
        <w:rPr>
          <w:lang w:val="en-US"/>
        </w:rPr>
        <w:t xml:space="preserve">is </w:t>
      </w:r>
      <w:r w:rsidR="007C14AB">
        <w:rPr>
          <w:lang w:val="en-US"/>
        </w:rPr>
        <w:t xml:space="preserve">changed. As shown in table 8.3, the windows combined </w:t>
      </w:r>
      <w:r w:rsidR="00E422AC">
        <w:rPr>
          <w:lang w:val="en-US"/>
        </w:rPr>
        <w:t xml:space="preserve">now </w:t>
      </w:r>
      <w:r w:rsidR="007C14AB">
        <w:rPr>
          <w:lang w:val="en-US"/>
        </w:rPr>
        <w:t xml:space="preserve">show a positive significant stock price reaction at the banks + insurance companies sample with a value of 0,012 and the only banks sample with a value </w:t>
      </w:r>
      <w:r w:rsidR="000251A9">
        <w:rPr>
          <w:lang w:val="en-US"/>
        </w:rPr>
        <w:t>of</w:t>
      </w:r>
      <w:r w:rsidR="007C14AB">
        <w:rPr>
          <w:lang w:val="en-US"/>
        </w:rPr>
        <w:t xml:space="preserve"> 0,012</w:t>
      </w:r>
      <w:r w:rsidR="000251A9">
        <w:rPr>
          <w:lang w:val="en-US"/>
        </w:rPr>
        <w:t xml:space="preserve"> also</w:t>
      </w:r>
      <w:r w:rsidR="007C14AB">
        <w:rPr>
          <w:lang w:val="en-US"/>
        </w:rPr>
        <w:t>. The same values indicated that there is almost no difference in stock price reaction between the insurance and banks sample. The only insurance companies sample show</w:t>
      </w:r>
      <w:r w:rsidR="00E422AC">
        <w:rPr>
          <w:lang w:val="en-US"/>
        </w:rPr>
        <w:t>s</w:t>
      </w:r>
      <w:r w:rsidR="007C14AB">
        <w:rPr>
          <w:lang w:val="en-US"/>
        </w:rPr>
        <w:t xml:space="preserve"> a positive statistically not significant stock price reaction with a value of 0,011. </w:t>
      </w:r>
      <w:r w:rsidR="000251A9" w:rsidRPr="00365EFC">
        <w:rPr>
          <w:lang w:val="en-US"/>
        </w:rPr>
        <w:t>However, the only banks sample show</w:t>
      </w:r>
      <w:r w:rsidR="00E422AC">
        <w:rPr>
          <w:lang w:val="en-US"/>
        </w:rPr>
        <w:t>s</w:t>
      </w:r>
      <w:r w:rsidR="000251A9" w:rsidRPr="00365EFC">
        <w:rPr>
          <w:lang w:val="en-US"/>
        </w:rPr>
        <w:t xml:space="preserve"> a significance of 0,012 and the only insurance companies sample a non-significance of 0,064. </w:t>
      </w:r>
      <w:r w:rsidR="00AF1288" w:rsidRPr="00365EFC">
        <w:rPr>
          <w:lang w:val="en-US"/>
        </w:rPr>
        <w:t xml:space="preserve">The lower not significant stock price reaction of the insurance companies sample indicates that insurance companies react a little bit weaker to the fifth event </w:t>
      </w:r>
      <w:r w:rsidR="00365EFC" w:rsidRPr="00365EFC">
        <w:rPr>
          <w:lang w:val="en-US"/>
        </w:rPr>
        <w:t>(fifth event is most of the part of the windows combined beta)</w:t>
      </w:r>
      <w:r w:rsidR="00AF1288" w:rsidRPr="00365EFC">
        <w:rPr>
          <w:lang w:val="en-US"/>
        </w:rPr>
        <w:t>.</w:t>
      </w:r>
      <w:r w:rsidR="000251A9" w:rsidRPr="00365EFC">
        <w:rPr>
          <w:lang w:val="en-US"/>
        </w:rPr>
        <w:t xml:space="preserve"> This is consistent with the results in table 7.8.</w:t>
      </w:r>
    </w:p>
    <w:tbl>
      <w:tblPr>
        <w:tblW w:w="9214" w:type="dxa"/>
        <w:tblInd w:w="30" w:type="dxa"/>
        <w:tblBorders>
          <w:top w:val="single" w:sz="12" w:space="0" w:color="FF0000"/>
          <w:left w:val="single" w:sz="12" w:space="0" w:color="FF0000"/>
          <w:bottom w:val="single" w:sz="12" w:space="0" w:color="FF0000"/>
          <w:right w:val="single" w:sz="12" w:space="0" w:color="FF0000"/>
          <w:insideH w:val="single" w:sz="2" w:space="0" w:color="FF0000"/>
          <w:insideV w:val="single" w:sz="2" w:space="0" w:color="FF0000"/>
        </w:tblBorders>
        <w:tblLayout w:type="fixed"/>
        <w:tblCellMar>
          <w:left w:w="30" w:type="dxa"/>
          <w:right w:w="30" w:type="dxa"/>
        </w:tblCellMar>
        <w:tblLook w:val="0000"/>
      </w:tblPr>
      <w:tblGrid>
        <w:gridCol w:w="281"/>
        <w:gridCol w:w="853"/>
        <w:gridCol w:w="985"/>
        <w:gridCol w:w="708"/>
        <w:gridCol w:w="708"/>
        <w:gridCol w:w="850"/>
        <w:gridCol w:w="709"/>
        <w:gridCol w:w="1143"/>
        <w:gridCol w:w="993"/>
        <w:gridCol w:w="708"/>
        <w:gridCol w:w="1276"/>
      </w:tblGrid>
      <w:tr w:rsidR="00C14A1A" w:rsidRPr="00DA0DCD" w:rsidTr="00C14A1A">
        <w:trPr>
          <w:cantSplit/>
          <w:tblHeader/>
        </w:trPr>
        <w:tc>
          <w:tcPr>
            <w:tcW w:w="3535" w:type="dxa"/>
            <w:gridSpan w:val="5"/>
            <w:tcBorders>
              <w:right w:val="single" w:sz="12" w:space="0" w:color="FF0000"/>
            </w:tcBorders>
            <w:shd w:val="clear" w:color="auto" w:fill="FFFFFF"/>
            <w:tcMar>
              <w:top w:w="30" w:type="dxa"/>
              <w:left w:w="30" w:type="dxa"/>
              <w:bottom w:w="30" w:type="dxa"/>
              <w:right w:w="30" w:type="dxa"/>
            </w:tcMar>
            <w:vAlign w:val="bottom"/>
          </w:tcPr>
          <w:p w:rsidR="00C14A1A" w:rsidRPr="00C14A1A" w:rsidRDefault="00C14A1A" w:rsidP="00C14A1A">
            <w:pPr>
              <w:pStyle w:val="Geenafstand"/>
              <w:rPr>
                <w:b/>
                <w:sz w:val="18"/>
                <w:szCs w:val="18"/>
                <w:lang w:val="en-US"/>
              </w:rPr>
            </w:pPr>
            <w:r w:rsidRPr="00C14A1A">
              <w:rPr>
                <w:b/>
                <w:sz w:val="18"/>
                <w:szCs w:val="18"/>
                <w:lang w:val="en-US"/>
              </w:rPr>
              <w:t>Windows combined Banks + insurers</w:t>
            </w:r>
          </w:p>
        </w:tc>
        <w:tc>
          <w:tcPr>
            <w:tcW w:w="2702" w:type="dxa"/>
            <w:gridSpan w:val="3"/>
            <w:tcBorders>
              <w:left w:val="single" w:sz="12" w:space="0" w:color="FF0000"/>
              <w:right w:val="single" w:sz="12" w:space="0" w:color="FF0000"/>
            </w:tcBorders>
            <w:shd w:val="clear" w:color="auto" w:fill="FFFFFF"/>
            <w:tcMar>
              <w:top w:w="30" w:type="dxa"/>
              <w:left w:w="30" w:type="dxa"/>
              <w:bottom w:w="30" w:type="dxa"/>
              <w:right w:w="30" w:type="dxa"/>
            </w:tcMar>
            <w:vAlign w:val="bottom"/>
          </w:tcPr>
          <w:p w:rsidR="00C14A1A" w:rsidRPr="00C14A1A" w:rsidRDefault="00C14A1A" w:rsidP="00F24189">
            <w:pPr>
              <w:pStyle w:val="Geenafstand"/>
              <w:rPr>
                <w:b/>
                <w:sz w:val="18"/>
                <w:szCs w:val="18"/>
                <w:lang w:val="en-US"/>
              </w:rPr>
            </w:pPr>
            <w:r w:rsidRPr="00C14A1A">
              <w:rPr>
                <w:b/>
                <w:sz w:val="18"/>
                <w:szCs w:val="18"/>
                <w:lang w:val="en-US"/>
              </w:rPr>
              <w:t>Windows combined banks</w:t>
            </w:r>
          </w:p>
        </w:tc>
        <w:tc>
          <w:tcPr>
            <w:tcW w:w="2977" w:type="dxa"/>
            <w:gridSpan w:val="3"/>
            <w:tcBorders>
              <w:left w:val="single" w:sz="12" w:space="0" w:color="FF0000"/>
            </w:tcBorders>
            <w:shd w:val="clear" w:color="auto" w:fill="FFFFFF"/>
            <w:vAlign w:val="bottom"/>
          </w:tcPr>
          <w:p w:rsidR="00C14A1A" w:rsidRPr="00C14A1A" w:rsidRDefault="00C14A1A" w:rsidP="00C14A1A">
            <w:pPr>
              <w:pStyle w:val="Geenafstand"/>
              <w:rPr>
                <w:b/>
                <w:sz w:val="18"/>
                <w:szCs w:val="18"/>
                <w:lang w:val="en-US"/>
              </w:rPr>
            </w:pPr>
            <w:r w:rsidRPr="00C14A1A">
              <w:rPr>
                <w:b/>
                <w:sz w:val="18"/>
                <w:szCs w:val="18"/>
                <w:lang w:val="en-US"/>
              </w:rPr>
              <w:t>Windows_combined insurers</w:t>
            </w:r>
          </w:p>
        </w:tc>
      </w:tr>
      <w:tr w:rsidR="00C14A1A" w:rsidRPr="00DA0DCD" w:rsidTr="000A2ACC">
        <w:trPr>
          <w:cantSplit/>
          <w:tblHeader/>
        </w:trPr>
        <w:tc>
          <w:tcPr>
            <w:tcW w:w="1134" w:type="dxa"/>
            <w:gridSpan w:val="2"/>
            <w:vMerge w:val="restart"/>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Model</w:t>
            </w:r>
          </w:p>
        </w:tc>
        <w:tc>
          <w:tcPr>
            <w:tcW w:w="985" w:type="dxa"/>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St. Co- efficients</w:t>
            </w:r>
          </w:p>
        </w:tc>
        <w:tc>
          <w:tcPr>
            <w:tcW w:w="708" w:type="dxa"/>
            <w:vMerge w:val="restart"/>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t</w:t>
            </w:r>
          </w:p>
        </w:tc>
        <w:tc>
          <w:tcPr>
            <w:tcW w:w="708" w:type="dxa"/>
            <w:vMerge w:val="restart"/>
            <w:tcBorders>
              <w:right w:val="single" w:sz="12" w:space="0" w:color="FF0000"/>
            </w:tcBorders>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Sig.</w:t>
            </w:r>
          </w:p>
        </w:tc>
        <w:tc>
          <w:tcPr>
            <w:tcW w:w="850" w:type="dxa"/>
            <w:tcBorders>
              <w:left w:val="single" w:sz="12" w:space="0" w:color="FF0000"/>
            </w:tcBorders>
            <w:shd w:val="clear" w:color="auto" w:fill="FFFFFF"/>
            <w:vAlign w:val="bottom"/>
          </w:tcPr>
          <w:p w:rsidR="00C14A1A" w:rsidRPr="00C14A1A" w:rsidRDefault="00C14A1A" w:rsidP="00F24189">
            <w:pPr>
              <w:pStyle w:val="Geenafstand"/>
              <w:rPr>
                <w:sz w:val="18"/>
                <w:szCs w:val="18"/>
                <w:lang w:val="en-US"/>
              </w:rPr>
            </w:pPr>
            <w:r w:rsidRPr="00C14A1A">
              <w:rPr>
                <w:sz w:val="18"/>
                <w:szCs w:val="18"/>
                <w:lang w:val="en-US"/>
              </w:rPr>
              <w:t>St. Co- efficients</w:t>
            </w:r>
          </w:p>
        </w:tc>
        <w:tc>
          <w:tcPr>
            <w:tcW w:w="1852" w:type="dxa"/>
            <w:gridSpan w:val="2"/>
            <w:tcBorders>
              <w:right w:val="single" w:sz="12" w:space="0" w:color="FF0000"/>
            </w:tcBorders>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p>
        </w:tc>
        <w:tc>
          <w:tcPr>
            <w:tcW w:w="993" w:type="dxa"/>
            <w:tcBorders>
              <w:left w:val="single" w:sz="12" w:space="0" w:color="FF0000"/>
            </w:tcBorders>
            <w:shd w:val="clear" w:color="auto" w:fill="FFFFFF"/>
            <w:vAlign w:val="bottom"/>
          </w:tcPr>
          <w:p w:rsidR="00C14A1A" w:rsidRPr="00C14A1A" w:rsidRDefault="00C14A1A" w:rsidP="00F24189">
            <w:pPr>
              <w:pStyle w:val="Geenafstand"/>
              <w:rPr>
                <w:sz w:val="18"/>
                <w:szCs w:val="18"/>
                <w:lang w:val="en-US"/>
              </w:rPr>
            </w:pPr>
            <w:r w:rsidRPr="00C14A1A">
              <w:rPr>
                <w:sz w:val="18"/>
                <w:szCs w:val="18"/>
                <w:lang w:val="en-US"/>
              </w:rPr>
              <w:t>St. Co- efficients</w:t>
            </w:r>
          </w:p>
        </w:tc>
        <w:tc>
          <w:tcPr>
            <w:tcW w:w="1984" w:type="dxa"/>
            <w:gridSpan w:val="2"/>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p>
        </w:tc>
      </w:tr>
      <w:tr w:rsidR="00C14A1A" w:rsidRPr="00DA0DCD" w:rsidTr="000A2ACC">
        <w:trPr>
          <w:cantSplit/>
          <w:tblHeader/>
        </w:trPr>
        <w:tc>
          <w:tcPr>
            <w:tcW w:w="1134" w:type="dxa"/>
            <w:gridSpan w:val="2"/>
            <w:vMerge/>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p>
        </w:tc>
        <w:tc>
          <w:tcPr>
            <w:tcW w:w="985" w:type="dxa"/>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Beta</w:t>
            </w:r>
          </w:p>
        </w:tc>
        <w:tc>
          <w:tcPr>
            <w:tcW w:w="708" w:type="dxa"/>
            <w:vMerge/>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p>
        </w:tc>
        <w:tc>
          <w:tcPr>
            <w:tcW w:w="708" w:type="dxa"/>
            <w:vMerge/>
            <w:tcBorders>
              <w:right w:val="single" w:sz="12" w:space="0" w:color="FF0000"/>
            </w:tcBorders>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p>
        </w:tc>
        <w:tc>
          <w:tcPr>
            <w:tcW w:w="850" w:type="dxa"/>
            <w:tcBorders>
              <w:left w:val="single" w:sz="12" w:space="0" w:color="FF0000"/>
            </w:tcBorders>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Beta</w:t>
            </w:r>
          </w:p>
        </w:tc>
        <w:tc>
          <w:tcPr>
            <w:tcW w:w="709" w:type="dxa"/>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t</w:t>
            </w:r>
          </w:p>
        </w:tc>
        <w:tc>
          <w:tcPr>
            <w:tcW w:w="1143" w:type="dxa"/>
            <w:tcBorders>
              <w:right w:val="single" w:sz="12" w:space="0" w:color="FF0000"/>
            </w:tcBorders>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Sig.</w:t>
            </w:r>
          </w:p>
        </w:tc>
        <w:tc>
          <w:tcPr>
            <w:tcW w:w="993" w:type="dxa"/>
            <w:tcBorders>
              <w:left w:val="single" w:sz="12" w:space="0" w:color="FF0000"/>
            </w:tcBorders>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Beta</w:t>
            </w:r>
          </w:p>
        </w:tc>
        <w:tc>
          <w:tcPr>
            <w:tcW w:w="708" w:type="dxa"/>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t</w:t>
            </w:r>
          </w:p>
        </w:tc>
        <w:tc>
          <w:tcPr>
            <w:tcW w:w="1276" w:type="dxa"/>
            <w:shd w:val="clear" w:color="auto" w:fill="FFFFFF"/>
            <w:tcMar>
              <w:top w:w="30" w:type="dxa"/>
              <w:left w:w="30" w:type="dxa"/>
              <w:bottom w:w="30" w:type="dxa"/>
              <w:right w:w="30" w:type="dxa"/>
            </w:tcMar>
            <w:vAlign w:val="bottom"/>
          </w:tcPr>
          <w:p w:rsidR="00C14A1A" w:rsidRPr="00C14A1A" w:rsidRDefault="00C14A1A" w:rsidP="00F24189">
            <w:pPr>
              <w:pStyle w:val="Geenafstand"/>
              <w:rPr>
                <w:sz w:val="18"/>
                <w:szCs w:val="18"/>
                <w:lang w:val="en-US"/>
              </w:rPr>
            </w:pPr>
            <w:r w:rsidRPr="00C14A1A">
              <w:rPr>
                <w:sz w:val="18"/>
                <w:szCs w:val="18"/>
                <w:lang w:val="en-US"/>
              </w:rPr>
              <w:t>Sig</w:t>
            </w:r>
          </w:p>
        </w:tc>
      </w:tr>
      <w:tr w:rsidR="00C14A1A" w:rsidRPr="00DA0DCD" w:rsidTr="000A2ACC">
        <w:trPr>
          <w:cantSplit/>
          <w:tblHeader/>
        </w:trPr>
        <w:tc>
          <w:tcPr>
            <w:tcW w:w="281" w:type="dxa"/>
            <w:vMerge w:val="restart"/>
            <w:shd w:val="clear" w:color="auto" w:fill="FFFFFF"/>
            <w:tcMar>
              <w:top w:w="30" w:type="dxa"/>
              <w:left w:w="30" w:type="dxa"/>
              <w:bottom w:w="30" w:type="dxa"/>
              <w:right w:w="30" w:type="dxa"/>
            </w:tcMar>
          </w:tcPr>
          <w:p w:rsidR="00C14A1A" w:rsidRPr="00C14A1A" w:rsidRDefault="00C14A1A" w:rsidP="00F24189">
            <w:pPr>
              <w:pStyle w:val="Geenafstand"/>
              <w:rPr>
                <w:sz w:val="18"/>
                <w:szCs w:val="18"/>
                <w:lang w:val="en-US"/>
              </w:rPr>
            </w:pPr>
            <w:r w:rsidRPr="00C14A1A">
              <w:rPr>
                <w:sz w:val="18"/>
                <w:szCs w:val="18"/>
                <w:lang w:val="en-US"/>
              </w:rPr>
              <w:t>1</w:t>
            </w:r>
          </w:p>
        </w:tc>
        <w:tc>
          <w:tcPr>
            <w:tcW w:w="853" w:type="dxa"/>
            <w:shd w:val="clear" w:color="auto" w:fill="FFFFFF"/>
            <w:tcMar>
              <w:top w:w="30" w:type="dxa"/>
              <w:left w:w="30" w:type="dxa"/>
              <w:bottom w:w="30" w:type="dxa"/>
              <w:right w:w="30" w:type="dxa"/>
            </w:tcMar>
          </w:tcPr>
          <w:p w:rsidR="00C14A1A" w:rsidRPr="00C14A1A" w:rsidRDefault="00C14A1A" w:rsidP="00F24189">
            <w:pPr>
              <w:pStyle w:val="Geenafstand"/>
              <w:rPr>
                <w:sz w:val="18"/>
                <w:szCs w:val="18"/>
                <w:lang w:val="en-US"/>
              </w:rPr>
            </w:pPr>
            <w:r w:rsidRPr="00C14A1A">
              <w:rPr>
                <w:sz w:val="18"/>
                <w:szCs w:val="18"/>
                <w:lang w:val="en-US"/>
              </w:rPr>
              <w:t>(Constant)</w:t>
            </w:r>
          </w:p>
        </w:tc>
        <w:tc>
          <w:tcPr>
            <w:tcW w:w="985" w:type="dxa"/>
            <w:shd w:val="clear" w:color="auto" w:fill="FFFFFF"/>
            <w:tcMar>
              <w:top w:w="30" w:type="dxa"/>
              <w:left w:w="30" w:type="dxa"/>
              <w:bottom w:w="30" w:type="dxa"/>
              <w:right w:w="30" w:type="dxa"/>
            </w:tcMar>
          </w:tcPr>
          <w:p w:rsidR="00C14A1A" w:rsidRPr="00C14A1A" w:rsidRDefault="00C14A1A" w:rsidP="007C14AB">
            <w:pPr>
              <w:pStyle w:val="Geenafstand"/>
              <w:rPr>
                <w:rFonts w:ascii="Times New Roman" w:hAnsi="Times New Roman" w:cs="Times New Roman"/>
                <w:sz w:val="18"/>
                <w:szCs w:val="18"/>
                <w:lang w:val="en-US"/>
              </w:rPr>
            </w:pPr>
          </w:p>
        </w:tc>
        <w:tc>
          <w:tcPr>
            <w:tcW w:w="708"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1,075</w:t>
            </w:r>
          </w:p>
        </w:tc>
        <w:tc>
          <w:tcPr>
            <w:tcW w:w="708" w:type="dxa"/>
            <w:tcBorders>
              <w:right w:val="single" w:sz="12" w:space="0" w:color="FF0000"/>
            </w:tcBorders>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0,283</w:t>
            </w:r>
          </w:p>
        </w:tc>
        <w:tc>
          <w:tcPr>
            <w:tcW w:w="850" w:type="dxa"/>
            <w:tcBorders>
              <w:left w:val="single" w:sz="12" w:space="0" w:color="FF0000"/>
            </w:tcBorders>
            <w:shd w:val="clear" w:color="auto" w:fill="FFFFFF"/>
            <w:tcMar>
              <w:top w:w="30" w:type="dxa"/>
              <w:left w:w="30" w:type="dxa"/>
              <w:bottom w:w="30" w:type="dxa"/>
              <w:right w:w="30" w:type="dxa"/>
            </w:tcMar>
          </w:tcPr>
          <w:p w:rsidR="00C14A1A" w:rsidRPr="00C14A1A" w:rsidRDefault="00C14A1A" w:rsidP="007C14AB">
            <w:pPr>
              <w:pStyle w:val="Geenafstand"/>
              <w:rPr>
                <w:rFonts w:ascii="Times New Roman" w:hAnsi="Times New Roman" w:cs="Times New Roman"/>
                <w:sz w:val="18"/>
                <w:szCs w:val="18"/>
                <w:lang w:val="en-US"/>
              </w:rPr>
            </w:pPr>
          </w:p>
        </w:tc>
        <w:tc>
          <w:tcPr>
            <w:tcW w:w="709"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0,046</w:t>
            </w:r>
          </w:p>
        </w:tc>
        <w:tc>
          <w:tcPr>
            <w:tcW w:w="1143" w:type="dxa"/>
            <w:tcBorders>
              <w:right w:val="single" w:sz="12" w:space="0" w:color="FF0000"/>
            </w:tcBorders>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0,963</w:t>
            </w:r>
          </w:p>
        </w:tc>
        <w:tc>
          <w:tcPr>
            <w:tcW w:w="993" w:type="dxa"/>
            <w:tcBorders>
              <w:left w:val="single" w:sz="12" w:space="0" w:color="FF0000"/>
            </w:tcBorders>
            <w:shd w:val="clear" w:color="auto" w:fill="FFFFFF"/>
            <w:tcMar>
              <w:top w:w="30" w:type="dxa"/>
              <w:left w:w="30" w:type="dxa"/>
              <w:bottom w:w="30" w:type="dxa"/>
              <w:right w:w="30" w:type="dxa"/>
            </w:tcMar>
          </w:tcPr>
          <w:p w:rsidR="00C14A1A" w:rsidRPr="00C14A1A" w:rsidRDefault="00C14A1A" w:rsidP="007C14AB">
            <w:pPr>
              <w:pStyle w:val="Geenafstand"/>
              <w:rPr>
                <w:rFonts w:ascii="Times New Roman" w:hAnsi="Times New Roman" w:cs="Times New Roman"/>
                <w:sz w:val="18"/>
                <w:szCs w:val="18"/>
                <w:lang w:val="en-US"/>
              </w:rPr>
            </w:pPr>
          </w:p>
        </w:tc>
        <w:tc>
          <w:tcPr>
            <w:tcW w:w="708"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1,723</w:t>
            </w:r>
          </w:p>
        </w:tc>
        <w:tc>
          <w:tcPr>
            <w:tcW w:w="1276"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0,085</w:t>
            </w:r>
          </w:p>
        </w:tc>
      </w:tr>
      <w:tr w:rsidR="00C14A1A" w:rsidRPr="00DA0DCD" w:rsidTr="000A2ACC">
        <w:trPr>
          <w:cantSplit/>
          <w:tblHeader/>
        </w:trPr>
        <w:tc>
          <w:tcPr>
            <w:tcW w:w="281" w:type="dxa"/>
            <w:vMerge/>
            <w:shd w:val="clear" w:color="auto" w:fill="FFFFFF"/>
            <w:tcMar>
              <w:top w:w="30" w:type="dxa"/>
              <w:left w:w="30" w:type="dxa"/>
              <w:bottom w:w="30" w:type="dxa"/>
              <w:right w:w="30" w:type="dxa"/>
            </w:tcMar>
          </w:tcPr>
          <w:p w:rsidR="00C14A1A" w:rsidRPr="00C14A1A" w:rsidRDefault="00C14A1A" w:rsidP="00F24189">
            <w:pPr>
              <w:pStyle w:val="Geenafstand"/>
              <w:rPr>
                <w:rFonts w:cs="Times New Roman"/>
                <w:sz w:val="18"/>
                <w:szCs w:val="18"/>
                <w:lang w:val="en-US"/>
              </w:rPr>
            </w:pPr>
          </w:p>
        </w:tc>
        <w:tc>
          <w:tcPr>
            <w:tcW w:w="853" w:type="dxa"/>
            <w:shd w:val="clear" w:color="auto" w:fill="FFFFFF"/>
            <w:tcMar>
              <w:top w:w="30" w:type="dxa"/>
              <w:left w:w="30" w:type="dxa"/>
              <w:bottom w:w="30" w:type="dxa"/>
              <w:right w:w="30" w:type="dxa"/>
            </w:tcMar>
          </w:tcPr>
          <w:p w:rsidR="00C14A1A" w:rsidRPr="00C14A1A" w:rsidRDefault="00C14A1A" w:rsidP="00F24189">
            <w:pPr>
              <w:pStyle w:val="Geenafstand"/>
              <w:rPr>
                <w:sz w:val="18"/>
                <w:szCs w:val="18"/>
                <w:lang w:val="en-US"/>
              </w:rPr>
            </w:pPr>
            <w:r w:rsidRPr="00C14A1A">
              <w:rPr>
                <w:sz w:val="18"/>
                <w:szCs w:val="18"/>
                <w:lang w:val="en-US"/>
              </w:rPr>
              <w:t>Rmt</w:t>
            </w:r>
          </w:p>
        </w:tc>
        <w:tc>
          <w:tcPr>
            <w:tcW w:w="985" w:type="dxa"/>
            <w:shd w:val="clear" w:color="auto" w:fill="FFFFFF"/>
            <w:tcMar>
              <w:top w:w="30" w:type="dxa"/>
              <w:left w:w="30" w:type="dxa"/>
              <w:bottom w:w="30" w:type="dxa"/>
              <w:right w:w="30" w:type="dxa"/>
            </w:tcMar>
            <w:vAlign w:val="center"/>
          </w:tcPr>
          <w:p w:rsidR="00C14A1A" w:rsidRPr="00AF1288" w:rsidRDefault="00C14A1A" w:rsidP="007C14AB">
            <w:pPr>
              <w:pStyle w:val="Geenafstand"/>
              <w:rPr>
                <w:sz w:val="18"/>
                <w:szCs w:val="18"/>
                <w:lang w:val="en-US"/>
              </w:rPr>
            </w:pPr>
            <w:r w:rsidRPr="00AF1288">
              <w:rPr>
                <w:sz w:val="18"/>
                <w:szCs w:val="18"/>
                <w:lang w:val="en-US"/>
              </w:rPr>
              <w:t>0,512</w:t>
            </w:r>
          </w:p>
        </w:tc>
        <w:tc>
          <w:tcPr>
            <w:tcW w:w="708" w:type="dxa"/>
            <w:shd w:val="clear" w:color="auto" w:fill="FFFFFF"/>
            <w:tcMar>
              <w:top w:w="30" w:type="dxa"/>
              <w:left w:w="30" w:type="dxa"/>
              <w:bottom w:w="30" w:type="dxa"/>
              <w:right w:w="30" w:type="dxa"/>
            </w:tcMar>
            <w:vAlign w:val="center"/>
          </w:tcPr>
          <w:p w:rsidR="00C14A1A" w:rsidRPr="00AF1288" w:rsidRDefault="00C14A1A" w:rsidP="007C14AB">
            <w:pPr>
              <w:pStyle w:val="Geenafstand"/>
              <w:rPr>
                <w:sz w:val="18"/>
                <w:szCs w:val="18"/>
                <w:lang w:val="en-US"/>
              </w:rPr>
            </w:pPr>
            <w:r w:rsidRPr="00AF1288">
              <w:rPr>
                <w:sz w:val="18"/>
                <w:szCs w:val="18"/>
                <w:lang w:val="en-US"/>
              </w:rPr>
              <w:t>139,424</w:t>
            </w:r>
          </w:p>
        </w:tc>
        <w:tc>
          <w:tcPr>
            <w:tcW w:w="708" w:type="dxa"/>
            <w:tcBorders>
              <w:right w:val="single" w:sz="12" w:space="0" w:color="FF0000"/>
            </w:tcBorders>
            <w:shd w:val="clear" w:color="auto" w:fill="FFFFFF"/>
            <w:tcMar>
              <w:top w:w="30" w:type="dxa"/>
              <w:left w:w="30" w:type="dxa"/>
              <w:bottom w:w="30" w:type="dxa"/>
              <w:right w:w="30" w:type="dxa"/>
            </w:tcMar>
            <w:vAlign w:val="center"/>
          </w:tcPr>
          <w:p w:rsidR="00C14A1A" w:rsidRPr="00AF1288" w:rsidRDefault="00C14A1A" w:rsidP="007C14AB">
            <w:pPr>
              <w:pStyle w:val="Geenafstand"/>
              <w:rPr>
                <w:sz w:val="18"/>
                <w:szCs w:val="18"/>
                <w:lang w:val="en-US"/>
              </w:rPr>
            </w:pPr>
            <w:r w:rsidRPr="00AF1288">
              <w:rPr>
                <w:sz w:val="18"/>
                <w:szCs w:val="18"/>
                <w:lang w:val="en-US"/>
              </w:rPr>
              <w:t>0,000</w:t>
            </w:r>
          </w:p>
        </w:tc>
        <w:tc>
          <w:tcPr>
            <w:tcW w:w="850" w:type="dxa"/>
            <w:tcBorders>
              <w:left w:val="single" w:sz="12" w:space="0" w:color="FF0000"/>
            </w:tcBorders>
            <w:shd w:val="clear" w:color="auto" w:fill="FFFFFF"/>
            <w:tcMar>
              <w:top w:w="30" w:type="dxa"/>
              <w:left w:w="30" w:type="dxa"/>
              <w:bottom w:w="30" w:type="dxa"/>
              <w:right w:w="30" w:type="dxa"/>
            </w:tcMar>
            <w:vAlign w:val="center"/>
          </w:tcPr>
          <w:p w:rsidR="00C14A1A" w:rsidRPr="00AF1288" w:rsidRDefault="00C14A1A" w:rsidP="007C14AB">
            <w:pPr>
              <w:pStyle w:val="Geenafstand"/>
              <w:rPr>
                <w:sz w:val="18"/>
                <w:szCs w:val="18"/>
                <w:lang w:val="en-US"/>
              </w:rPr>
            </w:pPr>
            <w:r w:rsidRPr="00AF1288">
              <w:rPr>
                <w:sz w:val="18"/>
                <w:szCs w:val="18"/>
                <w:lang w:val="en-US"/>
              </w:rPr>
              <w:t>0,519</w:t>
            </w:r>
          </w:p>
        </w:tc>
        <w:tc>
          <w:tcPr>
            <w:tcW w:w="709" w:type="dxa"/>
            <w:shd w:val="clear" w:color="auto" w:fill="FFFFFF"/>
            <w:tcMar>
              <w:top w:w="30" w:type="dxa"/>
              <w:left w:w="30" w:type="dxa"/>
              <w:bottom w:w="30" w:type="dxa"/>
              <w:right w:w="30" w:type="dxa"/>
            </w:tcMar>
            <w:vAlign w:val="center"/>
          </w:tcPr>
          <w:p w:rsidR="00C14A1A" w:rsidRPr="00AF1288" w:rsidRDefault="00C14A1A" w:rsidP="007C14AB">
            <w:pPr>
              <w:pStyle w:val="Geenafstand"/>
              <w:rPr>
                <w:sz w:val="18"/>
                <w:szCs w:val="18"/>
                <w:lang w:val="en-US"/>
              </w:rPr>
            </w:pPr>
            <w:r w:rsidRPr="00AF1288">
              <w:rPr>
                <w:sz w:val="18"/>
                <w:szCs w:val="18"/>
                <w:lang w:val="en-US"/>
              </w:rPr>
              <w:t>109,609</w:t>
            </w:r>
          </w:p>
        </w:tc>
        <w:tc>
          <w:tcPr>
            <w:tcW w:w="1143" w:type="dxa"/>
            <w:tcBorders>
              <w:right w:val="single" w:sz="12" w:space="0" w:color="FF0000"/>
            </w:tcBorders>
            <w:shd w:val="clear" w:color="auto" w:fill="FFFFFF"/>
            <w:tcMar>
              <w:top w:w="30" w:type="dxa"/>
              <w:left w:w="30" w:type="dxa"/>
              <w:bottom w:w="30" w:type="dxa"/>
              <w:right w:w="30" w:type="dxa"/>
            </w:tcMar>
            <w:vAlign w:val="center"/>
          </w:tcPr>
          <w:p w:rsidR="00C14A1A" w:rsidRPr="00AF1288" w:rsidRDefault="00C14A1A" w:rsidP="007C14AB">
            <w:pPr>
              <w:pStyle w:val="Geenafstand"/>
              <w:rPr>
                <w:sz w:val="18"/>
                <w:szCs w:val="18"/>
                <w:lang w:val="en-US"/>
              </w:rPr>
            </w:pPr>
            <w:r w:rsidRPr="00AF1288">
              <w:rPr>
                <w:sz w:val="18"/>
                <w:szCs w:val="18"/>
                <w:lang w:val="en-US"/>
              </w:rPr>
              <w:t>0,000</w:t>
            </w:r>
          </w:p>
        </w:tc>
        <w:tc>
          <w:tcPr>
            <w:tcW w:w="993" w:type="dxa"/>
            <w:tcBorders>
              <w:left w:val="single" w:sz="12" w:space="0" w:color="FF0000"/>
            </w:tcBorders>
            <w:shd w:val="clear" w:color="auto" w:fill="FFFFFF"/>
            <w:tcMar>
              <w:top w:w="30" w:type="dxa"/>
              <w:left w:w="30" w:type="dxa"/>
              <w:bottom w:w="30" w:type="dxa"/>
              <w:right w:w="30" w:type="dxa"/>
            </w:tcMar>
            <w:vAlign w:val="center"/>
          </w:tcPr>
          <w:p w:rsidR="00C14A1A" w:rsidRPr="00AF1288" w:rsidRDefault="00C14A1A" w:rsidP="007C14AB">
            <w:pPr>
              <w:pStyle w:val="Geenafstand"/>
              <w:rPr>
                <w:sz w:val="18"/>
                <w:szCs w:val="18"/>
                <w:lang w:val="en-US"/>
              </w:rPr>
            </w:pPr>
            <w:r w:rsidRPr="00AF1288">
              <w:rPr>
                <w:sz w:val="18"/>
                <w:szCs w:val="18"/>
                <w:lang w:val="en-US"/>
              </w:rPr>
              <w:t>0,501</w:t>
            </w:r>
          </w:p>
        </w:tc>
        <w:tc>
          <w:tcPr>
            <w:tcW w:w="708" w:type="dxa"/>
            <w:shd w:val="clear" w:color="auto" w:fill="FFFFFF"/>
            <w:tcMar>
              <w:top w:w="30" w:type="dxa"/>
              <w:left w:w="30" w:type="dxa"/>
              <w:bottom w:w="30" w:type="dxa"/>
              <w:right w:w="30" w:type="dxa"/>
            </w:tcMar>
            <w:vAlign w:val="center"/>
          </w:tcPr>
          <w:p w:rsidR="00C14A1A" w:rsidRPr="00AF1288" w:rsidRDefault="00C14A1A" w:rsidP="007C14AB">
            <w:pPr>
              <w:pStyle w:val="Geenafstand"/>
              <w:rPr>
                <w:sz w:val="18"/>
                <w:szCs w:val="18"/>
                <w:lang w:val="en-US"/>
              </w:rPr>
            </w:pPr>
            <w:r w:rsidRPr="00AF1288">
              <w:rPr>
                <w:sz w:val="18"/>
                <w:szCs w:val="18"/>
                <w:lang w:val="en-US"/>
              </w:rPr>
              <w:t>86,255</w:t>
            </w:r>
          </w:p>
        </w:tc>
        <w:tc>
          <w:tcPr>
            <w:tcW w:w="1276" w:type="dxa"/>
            <w:shd w:val="clear" w:color="auto" w:fill="FFFFFF"/>
            <w:tcMar>
              <w:top w:w="30" w:type="dxa"/>
              <w:left w:w="30" w:type="dxa"/>
              <w:bottom w:w="30" w:type="dxa"/>
              <w:right w:w="30" w:type="dxa"/>
            </w:tcMar>
            <w:vAlign w:val="center"/>
          </w:tcPr>
          <w:p w:rsidR="00C14A1A" w:rsidRPr="00AF1288" w:rsidRDefault="00C14A1A" w:rsidP="007C14AB">
            <w:pPr>
              <w:pStyle w:val="Geenafstand"/>
              <w:rPr>
                <w:sz w:val="18"/>
                <w:szCs w:val="18"/>
                <w:lang w:val="en-US"/>
              </w:rPr>
            </w:pPr>
            <w:r w:rsidRPr="00AF1288">
              <w:rPr>
                <w:sz w:val="18"/>
                <w:szCs w:val="18"/>
                <w:lang w:val="en-US"/>
              </w:rPr>
              <w:t>0,000</w:t>
            </w:r>
          </w:p>
        </w:tc>
      </w:tr>
      <w:tr w:rsidR="00C14A1A" w:rsidRPr="00DA0DCD" w:rsidTr="000A2ACC">
        <w:trPr>
          <w:cantSplit/>
          <w:tblHeader/>
        </w:trPr>
        <w:tc>
          <w:tcPr>
            <w:tcW w:w="281" w:type="dxa"/>
            <w:vMerge/>
            <w:shd w:val="clear" w:color="auto" w:fill="FFFFFF"/>
            <w:tcMar>
              <w:top w:w="30" w:type="dxa"/>
              <w:left w:w="30" w:type="dxa"/>
              <w:bottom w:w="30" w:type="dxa"/>
              <w:right w:w="30" w:type="dxa"/>
            </w:tcMar>
          </w:tcPr>
          <w:p w:rsidR="00C14A1A" w:rsidRPr="00C14A1A" w:rsidRDefault="00C14A1A" w:rsidP="00F24189">
            <w:pPr>
              <w:pStyle w:val="Geenafstand"/>
              <w:rPr>
                <w:sz w:val="18"/>
                <w:szCs w:val="18"/>
                <w:lang w:val="en-US"/>
              </w:rPr>
            </w:pPr>
          </w:p>
        </w:tc>
        <w:tc>
          <w:tcPr>
            <w:tcW w:w="853" w:type="dxa"/>
            <w:shd w:val="clear" w:color="auto" w:fill="FFFFFF"/>
            <w:tcMar>
              <w:top w:w="30" w:type="dxa"/>
              <w:left w:w="30" w:type="dxa"/>
              <w:bottom w:w="30" w:type="dxa"/>
              <w:right w:w="30" w:type="dxa"/>
            </w:tcMar>
          </w:tcPr>
          <w:p w:rsidR="00C14A1A" w:rsidRPr="00C14A1A" w:rsidRDefault="00C14A1A" w:rsidP="00F24189">
            <w:pPr>
              <w:pStyle w:val="Geenafstand"/>
              <w:rPr>
                <w:sz w:val="18"/>
                <w:szCs w:val="18"/>
                <w:lang w:val="en-US"/>
              </w:rPr>
            </w:pPr>
            <w:r w:rsidRPr="00C14A1A">
              <w:rPr>
                <w:sz w:val="18"/>
                <w:szCs w:val="18"/>
                <w:lang w:val="en-US"/>
              </w:rPr>
              <w:t>Intt</w:t>
            </w:r>
          </w:p>
        </w:tc>
        <w:tc>
          <w:tcPr>
            <w:tcW w:w="985"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0,000</w:t>
            </w:r>
          </w:p>
        </w:tc>
        <w:tc>
          <w:tcPr>
            <w:tcW w:w="708"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-0,165</w:t>
            </w:r>
          </w:p>
        </w:tc>
        <w:tc>
          <w:tcPr>
            <w:tcW w:w="708" w:type="dxa"/>
            <w:tcBorders>
              <w:right w:val="single" w:sz="12" w:space="0" w:color="FF0000"/>
            </w:tcBorders>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0,869</w:t>
            </w:r>
          </w:p>
        </w:tc>
        <w:tc>
          <w:tcPr>
            <w:tcW w:w="850" w:type="dxa"/>
            <w:tcBorders>
              <w:left w:val="single" w:sz="12" w:space="0" w:color="FF0000"/>
            </w:tcBorders>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0,003</w:t>
            </w:r>
          </w:p>
        </w:tc>
        <w:tc>
          <w:tcPr>
            <w:tcW w:w="709"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0,721</w:t>
            </w:r>
          </w:p>
        </w:tc>
        <w:tc>
          <w:tcPr>
            <w:tcW w:w="1143" w:type="dxa"/>
            <w:tcBorders>
              <w:right w:val="single" w:sz="12" w:space="0" w:color="FF0000"/>
            </w:tcBorders>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0,471</w:t>
            </w:r>
          </w:p>
        </w:tc>
        <w:tc>
          <w:tcPr>
            <w:tcW w:w="993" w:type="dxa"/>
            <w:tcBorders>
              <w:left w:val="single" w:sz="12" w:space="0" w:color="FF0000"/>
            </w:tcBorders>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-0,006</w:t>
            </w:r>
          </w:p>
        </w:tc>
        <w:tc>
          <w:tcPr>
            <w:tcW w:w="708"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-0,989</w:t>
            </w:r>
          </w:p>
        </w:tc>
        <w:tc>
          <w:tcPr>
            <w:tcW w:w="1276"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0,323</w:t>
            </w:r>
          </w:p>
        </w:tc>
      </w:tr>
      <w:tr w:rsidR="00C14A1A" w:rsidRPr="00DA0DCD" w:rsidTr="000A2ACC">
        <w:trPr>
          <w:cantSplit/>
          <w:tblHeader/>
        </w:trPr>
        <w:tc>
          <w:tcPr>
            <w:tcW w:w="281" w:type="dxa"/>
            <w:vMerge/>
            <w:shd w:val="clear" w:color="auto" w:fill="FFFFFF"/>
            <w:tcMar>
              <w:top w:w="30" w:type="dxa"/>
              <w:left w:w="30" w:type="dxa"/>
              <w:bottom w:w="30" w:type="dxa"/>
              <w:right w:w="30" w:type="dxa"/>
            </w:tcMar>
          </w:tcPr>
          <w:p w:rsidR="00C14A1A" w:rsidRPr="00C14A1A" w:rsidRDefault="00C14A1A" w:rsidP="00F24189">
            <w:pPr>
              <w:pStyle w:val="Geenafstand"/>
              <w:rPr>
                <w:sz w:val="18"/>
                <w:szCs w:val="18"/>
                <w:lang w:val="en-US"/>
              </w:rPr>
            </w:pPr>
          </w:p>
        </w:tc>
        <w:tc>
          <w:tcPr>
            <w:tcW w:w="853" w:type="dxa"/>
            <w:shd w:val="clear" w:color="auto" w:fill="FFFFFF"/>
            <w:tcMar>
              <w:top w:w="30" w:type="dxa"/>
              <w:left w:w="30" w:type="dxa"/>
              <w:bottom w:w="30" w:type="dxa"/>
              <w:right w:w="30" w:type="dxa"/>
            </w:tcMar>
          </w:tcPr>
          <w:p w:rsidR="00C14A1A" w:rsidRPr="00C14A1A" w:rsidRDefault="00C14A1A" w:rsidP="00F24189">
            <w:pPr>
              <w:pStyle w:val="Geenafstand"/>
              <w:rPr>
                <w:sz w:val="18"/>
                <w:szCs w:val="18"/>
                <w:lang w:val="en-US"/>
              </w:rPr>
            </w:pPr>
            <w:r w:rsidRPr="00C14A1A">
              <w:rPr>
                <w:sz w:val="18"/>
                <w:szCs w:val="18"/>
                <w:lang w:val="en-US"/>
              </w:rPr>
              <w:t>Windows_Combined</w:t>
            </w:r>
          </w:p>
        </w:tc>
        <w:tc>
          <w:tcPr>
            <w:tcW w:w="985" w:type="dxa"/>
            <w:shd w:val="clear" w:color="auto" w:fill="FFFFFF"/>
            <w:tcMar>
              <w:top w:w="30" w:type="dxa"/>
              <w:left w:w="30" w:type="dxa"/>
              <w:bottom w:w="30" w:type="dxa"/>
              <w:right w:w="30" w:type="dxa"/>
            </w:tcMar>
            <w:vAlign w:val="center"/>
          </w:tcPr>
          <w:p w:rsidR="00C14A1A" w:rsidRPr="00C14A1A" w:rsidRDefault="00C14A1A" w:rsidP="007C14AB">
            <w:pPr>
              <w:pStyle w:val="Geenafstand"/>
              <w:rPr>
                <w:b/>
                <w:sz w:val="18"/>
                <w:szCs w:val="18"/>
                <w:lang w:val="en-US"/>
              </w:rPr>
            </w:pPr>
            <w:r w:rsidRPr="00C14A1A">
              <w:rPr>
                <w:b/>
                <w:sz w:val="18"/>
                <w:szCs w:val="18"/>
                <w:lang w:val="en-US"/>
              </w:rPr>
              <w:t>0,012</w:t>
            </w:r>
          </w:p>
        </w:tc>
        <w:tc>
          <w:tcPr>
            <w:tcW w:w="708" w:type="dxa"/>
            <w:shd w:val="clear" w:color="auto" w:fill="FFFFFF"/>
            <w:tcMar>
              <w:top w:w="30" w:type="dxa"/>
              <w:left w:w="30" w:type="dxa"/>
              <w:bottom w:w="30" w:type="dxa"/>
              <w:right w:w="30" w:type="dxa"/>
            </w:tcMar>
            <w:vAlign w:val="center"/>
          </w:tcPr>
          <w:p w:rsidR="00C14A1A" w:rsidRPr="00C14A1A" w:rsidRDefault="00C14A1A" w:rsidP="007C14AB">
            <w:pPr>
              <w:pStyle w:val="Geenafstand"/>
              <w:rPr>
                <w:b/>
                <w:sz w:val="18"/>
                <w:szCs w:val="18"/>
                <w:lang w:val="en-US"/>
              </w:rPr>
            </w:pPr>
            <w:r w:rsidRPr="00C14A1A">
              <w:rPr>
                <w:b/>
                <w:sz w:val="18"/>
                <w:szCs w:val="18"/>
                <w:lang w:val="en-US"/>
              </w:rPr>
              <w:t>3,126</w:t>
            </w:r>
          </w:p>
        </w:tc>
        <w:tc>
          <w:tcPr>
            <w:tcW w:w="708" w:type="dxa"/>
            <w:tcBorders>
              <w:right w:val="single" w:sz="12" w:space="0" w:color="FF0000"/>
            </w:tcBorders>
            <w:shd w:val="clear" w:color="auto" w:fill="FFFFFF"/>
            <w:tcMar>
              <w:top w:w="30" w:type="dxa"/>
              <w:left w:w="30" w:type="dxa"/>
              <w:bottom w:w="30" w:type="dxa"/>
              <w:right w:w="30" w:type="dxa"/>
            </w:tcMar>
            <w:vAlign w:val="center"/>
          </w:tcPr>
          <w:p w:rsidR="00C14A1A" w:rsidRPr="00C14A1A" w:rsidRDefault="00C14A1A" w:rsidP="007C14AB">
            <w:pPr>
              <w:pStyle w:val="Geenafstand"/>
              <w:rPr>
                <w:b/>
                <w:sz w:val="18"/>
                <w:szCs w:val="18"/>
                <w:lang w:val="en-US"/>
              </w:rPr>
            </w:pPr>
            <w:r w:rsidRPr="00C14A1A">
              <w:rPr>
                <w:b/>
                <w:sz w:val="18"/>
                <w:szCs w:val="18"/>
                <w:lang w:val="en-US"/>
              </w:rPr>
              <w:t>0,002</w:t>
            </w:r>
          </w:p>
        </w:tc>
        <w:tc>
          <w:tcPr>
            <w:tcW w:w="850" w:type="dxa"/>
            <w:tcBorders>
              <w:left w:val="single" w:sz="12" w:space="0" w:color="FF0000"/>
            </w:tcBorders>
            <w:shd w:val="clear" w:color="auto" w:fill="FFFFFF"/>
            <w:tcMar>
              <w:top w:w="30" w:type="dxa"/>
              <w:left w:w="30" w:type="dxa"/>
              <w:bottom w:w="30" w:type="dxa"/>
              <w:right w:w="30" w:type="dxa"/>
            </w:tcMar>
            <w:vAlign w:val="center"/>
          </w:tcPr>
          <w:p w:rsidR="00C14A1A" w:rsidRPr="00C14A1A" w:rsidRDefault="00C14A1A" w:rsidP="007C14AB">
            <w:pPr>
              <w:pStyle w:val="Geenafstand"/>
              <w:rPr>
                <w:b/>
                <w:sz w:val="18"/>
                <w:szCs w:val="18"/>
                <w:lang w:val="en-US"/>
              </w:rPr>
            </w:pPr>
            <w:r w:rsidRPr="00C14A1A">
              <w:rPr>
                <w:b/>
                <w:sz w:val="18"/>
                <w:szCs w:val="18"/>
                <w:lang w:val="en-US"/>
              </w:rPr>
              <w:t>0,012</w:t>
            </w:r>
          </w:p>
        </w:tc>
        <w:tc>
          <w:tcPr>
            <w:tcW w:w="709" w:type="dxa"/>
            <w:shd w:val="clear" w:color="auto" w:fill="FFFFFF"/>
            <w:tcMar>
              <w:top w:w="30" w:type="dxa"/>
              <w:left w:w="30" w:type="dxa"/>
              <w:bottom w:w="30" w:type="dxa"/>
              <w:right w:w="30" w:type="dxa"/>
            </w:tcMar>
            <w:vAlign w:val="center"/>
          </w:tcPr>
          <w:p w:rsidR="00C14A1A" w:rsidRPr="00C14A1A" w:rsidRDefault="00C14A1A" w:rsidP="007C14AB">
            <w:pPr>
              <w:pStyle w:val="Geenafstand"/>
              <w:rPr>
                <w:b/>
                <w:sz w:val="18"/>
                <w:szCs w:val="18"/>
                <w:lang w:val="en-US"/>
              </w:rPr>
            </w:pPr>
            <w:r w:rsidRPr="00C14A1A">
              <w:rPr>
                <w:b/>
                <w:sz w:val="18"/>
                <w:szCs w:val="18"/>
                <w:lang w:val="en-US"/>
              </w:rPr>
              <w:t>2,506</w:t>
            </w:r>
          </w:p>
        </w:tc>
        <w:tc>
          <w:tcPr>
            <w:tcW w:w="1143" w:type="dxa"/>
            <w:tcBorders>
              <w:right w:val="single" w:sz="12" w:space="0" w:color="FF0000"/>
            </w:tcBorders>
            <w:shd w:val="clear" w:color="auto" w:fill="FFFFFF"/>
            <w:tcMar>
              <w:top w:w="30" w:type="dxa"/>
              <w:left w:w="30" w:type="dxa"/>
              <w:bottom w:w="30" w:type="dxa"/>
              <w:right w:w="30" w:type="dxa"/>
            </w:tcMar>
            <w:vAlign w:val="center"/>
          </w:tcPr>
          <w:p w:rsidR="00C14A1A" w:rsidRPr="00C14A1A" w:rsidRDefault="00C14A1A" w:rsidP="007C14AB">
            <w:pPr>
              <w:pStyle w:val="Geenafstand"/>
              <w:rPr>
                <w:b/>
                <w:sz w:val="18"/>
                <w:szCs w:val="18"/>
                <w:lang w:val="en-US"/>
              </w:rPr>
            </w:pPr>
            <w:r w:rsidRPr="00C14A1A">
              <w:rPr>
                <w:b/>
                <w:sz w:val="18"/>
                <w:szCs w:val="18"/>
                <w:lang w:val="en-US"/>
              </w:rPr>
              <w:t>0,012</w:t>
            </w:r>
          </w:p>
        </w:tc>
        <w:tc>
          <w:tcPr>
            <w:tcW w:w="993" w:type="dxa"/>
            <w:tcBorders>
              <w:left w:val="single" w:sz="12" w:space="0" w:color="FF0000"/>
            </w:tcBorders>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0,011</w:t>
            </w:r>
          </w:p>
        </w:tc>
        <w:tc>
          <w:tcPr>
            <w:tcW w:w="708"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1,855</w:t>
            </w:r>
          </w:p>
        </w:tc>
        <w:tc>
          <w:tcPr>
            <w:tcW w:w="1276" w:type="dxa"/>
            <w:shd w:val="clear" w:color="auto" w:fill="FFFFFF"/>
            <w:tcMar>
              <w:top w:w="30" w:type="dxa"/>
              <w:left w:w="30" w:type="dxa"/>
              <w:bottom w:w="30" w:type="dxa"/>
              <w:right w:w="30" w:type="dxa"/>
            </w:tcMar>
            <w:vAlign w:val="center"/>
          </w:tcPr>
          <w:p w:rsidR="00C14A1A" w:rsidRPr="00C14A1A" w:rsidRDefault="00C14A1A" w:rsidP="007C14AB">
            <w:pPr>
              <w:pStyle w:val="Geenafstand"/>
              <w:rPr>
                <w:sz w:val="18"/>
                <w:szCs w:val="18"/>
                <w:lang w:val="en-US"/>
              </w:rPr>
            </w:pPr>
            <w:r w:rsidRPr="00C14A1A">
              <w:rPr>
                <w:sz w:val="18"/>
                <w:szCs w:val="18"/>
                <w:lang w:val="en-US"/>
              </w:rPr>
              <w:t>0,064</w:t>
            </w:r>
          </w:p>
        </w:tc>
      </w:tr>
    </w:tbl>
    <w:p w:rsidR="000A2ACC" w:rsidRPr="00FA205D" w:rsidRDefault="000A2ACC" w:rsidP="000A2ACC">
      <w:pPr>
        <w:rPr>
          <w:sz w:val="20"/>
          <w:szCs w:val="20"/>
          <w:lang w:val="en-US"/>
        </w:rPr>
      </w:pPr>
      <w:r w:rsidRPr="00FA205D">
        <w:rPr>
          <w:sz w:val="20"/>
          <w:szCs w:val="20"/>
          <w:lang w:val="en-US"/>
        </w:rPr>
        <w:t>Table 8.3 Outcome banks</w:t>
      </w:r>
      <w:r w:rsidR="00AF1288" w:rsidRPr="00FA205D">
        <w:rPr>
          <w:sz w:val="20"/>
          <w:szCs w:val="20"/>
          <w:lang w:val="en-US"/>
        </w:rPr>
        <w:t>/ in</w:t>
      </w:r>
      <w:r w:rsidR="00CF2721" w:rsidRPr="00FA205D">
        <w:rPr>
          <w:sz w:val="20"/>
          <w:szCs w:val="20"/>
          <w:lang w:val="en-US"/>
        </w:rPr>
        <w:t>sur</w:t>
      </w:r>
      <w:r w:rsidR="00AF1288" w:rsidRPr="00FA205D">
        <w:rPr>
          <w:sz w:val="20"/>
          <w:szCs w:val="20"/>
          <w:lang w:val="en-US"/>
        </w:rPr>
        <w:t>ance companies</w:t>
      </w:r>
      <w:r w:rsidRPr="00FA205D">
        <w:rPr>
          <w:sz w:val="20"/>
          <w:szCs w:val="20"/>
          <w:lang w:val="en-US"/>
        </w:rPr>
        <w:t xml:space="preserve"> sample windows_combined after changing predicted direction of window 1-4</w:t>
      </w:r>
      <w:r w:rsidR="00AF1288" w:rsidRPr="00FA205D">
        <w:rPr>
          <w:sz w:val="20"/>
          <w:szCs w:val="20"/>
          <w:lang w:val="en-US"/>
        </w:rPr>
        <w:t>/ 2-4</w:t>
      </w:r>
    </w:p>
    <w:p w:rsidR="00AF1288" w:rsidRPr="00AF1288" w:rsidRDefault="00B66672" w:rsidP="00034641">
      <w:pPr>
        <w:rPr>
          <w:lang w:val="en-US"/>
        </w:rPr>
      </w:pPr>
      <w:r>
        <w:rPr>
          <w:lang w:val="en-US"/>
        </w:rPr>
        <w:t>So, if one or more of the described possibilities are the reason for a negative stock price reaction during the fir</w:t>
      </w:r>
      <w:r w:rsidR="006C5F49">
        <w:rPr>
          <w:lang w:val="en-US"/>
        </w:rPr>
        <w:t>st/ second through fourth event</w:t>
      </w:r>
      <w:r>
        <w:rPr>
          <w:lang w:val="en-US"/>
        </w:rPr>
        <w:t xml:space="preserve">, than there would be a little bit weaker stock </w:t>
      </w:r>
      <w:r w:rsidR="006C5F49">
        <w:rPr>
          <w:lang w:val="en-US"/>
        </w:rPr>
        <w:t>price reaction during the event</w:t>
      </w:r>
      <w:r>
        <w:rPr>
          <w:lang w:val="en-US"/>
        </w:rPr>
        <w:t>s combined for the insurance companies sample.</w:t>
      </w:r>
      <w:r w:rsidR="00313EB4">
        <w:rPr>
          <w:lang w:val="en-US"/>
        </w:rPr>
        <w:t xml:space="preserve"> This result should support the third hypothesis.</w:t>
      </w:r>
    </w:p>
    <w:p w:rsidR="00E85D04" w:rsidRPr="00365EFC" w:rsidRDefault="000251A9">
      <w:pPr>
        <w:rPr>
          <w:lang w:val="en-US"/>
        </w:rPr>
      </w:pPr>
      <w:r w:rsidRPr="00365EFC">
        <w:rPr>
          <w:lang w:val="en-US"/>
        </w:rPr>
        <w:t>Overall, we can say that when one or more of the described possibilities</w:t>
      </w:r>
      <w:r w:rsidR="00F82548" w:rsidRPr="00365EFC">
        <w:rPr>
          <w:lang w:val="en-US"/>
        </w:rPr>
        <w:t xml:space="preserve"> in paragraph 8.1</w:t>
      </w:r>
      <w:r w:rsidRPr="00365EFC">
        <w:rPr>
          <w:lang w:val="en-US"/>
        </w:rPr>
        <w:t xml:space="preserve"> are the reason for a negative stock price reaction during the first</w:t>
      </w:r>
      <w:r w:rsidR="00F82548" w:rsidRPr="00365EFC">
        <w:rPr>
          <w:lang w:val="en-US"/>
        </w:rPr>
        <w:t xml:space="preserve"> </w:t>
      </w:r>
      <w:r w:rsidR="006C5F49">
        <w:rPr>
          <w:lang w:val="en-US"/>
        </w:rPr>
        <w:t>through fourth event</w:t>
      </w:r>
      <w:r w:rsidRPr="00365EFC">
        <w:rPr>
          <w:b/>
          <w:lang w:val="en-US"/>
        </w:rPr>
        <w:t xml:space="preserve">, </w:t>
      </w:r>
      <w:r w:rsidRPr="00365EFC">
        <w:rPr>
          <w:lang w:val="en-US"/>
        </w:rPr>
        <w:t>then the</w:t>
      </w:r>
      <w:r w:rsidR="006C5F49">
        <w:rPr>
          <w:lang w:val="en-US"/>
        </w:rPr>
        <w:t xml:space="preserve"> event</w:t>
      </w:r>
      <w:r w:rsidRPr="00365EFC">
        <w:rPr>
          <w:lang w:val="en-US"/>
        </w:rPr>
        <w:t xml:space="preserve">s combined would change in a positive </w:t>
      </w:r>
      <w:r w:rsidR="00F82548" w:rsidRPr="00365EFC">
        <w:rPr>
          <w:lang w:val="en-US"/>
        </w:rPr>
        <w:t>stock price reaction. All events combined are than statistically significant, except for the only insurance companies’ sample. The stock price reaction is positive</w:t>
      </w:r>
      <w:r w:rsidR="00E85D04" w:rsidRPr="00365EFC">
        <w:rPr>
          <w:lang w:val="en-US"/>
        </w:rPr>
        <w:t xml:space="preserve"> for the most part</w:t>
      </w:r>
      <w:r w:rsidR="00F82548" w:rsidRPr="00365EFC">
        <w:rPr>
          <w:lang w:val="en-US"/>
        </w:rPr>
        <w:t xml:space="preserve"> because of the f</w:t>
      </w:r>
      <w:r w:rsidR="006C5F49">
        <w:rPr>
          <w:lang w:val="en-US"/>
        </w:rPr>
        <w:t>ifth event</w:t>
      </w:r>
      <w:r w:rsidR="00F82548" w:rsidRPr="00365EFC">
        <w:rPr>
          <w:lang w:val="en-US"/>
        </w:rPr>
        <w:t>, which represents the introduction of the reclassification option in IAS 39.</w:t>
      </w:r>
      <w:r w:rsidR="006B1961" w:rsidRPr="00365EFC">
        <w:rPr>
          <w:lang w:val="en-US"/>
        </w:rPr>
        <w:t xml:space="preserve"> The statistical description</w:t>
      </w:r>
      <w:r w:rsidR="00E85D04" w:rsidRPr="00365EFC">
        <w:rPr>
          <w:lang w:val="en-US"/>
        </w:rPr>
        <w:t xml:space="preserve"> of the changed predicted direction</w:t>
      </w:r>
      <w:r w:rsidR="006B1961" w:rsidRPr="00365EFC">
        <w:rPr>
          <w:lang w:val="en-US"/>
        </w:rPr>
        <w:t xml:space="preserve"> is presented in appendix </w:t>
      </w:r>
      <w:r w:rsidR="00C828A8" w:rsidRPr="00365EFC">
        <w:rPr>
          <w:lang w:val="en-US"/>
        </w:rPr>
        <w:t>G</w:t>
      </w:r>
      <w:r w:rsidR="006B1961" w:rsidRPr="00365EFC">
        <w:rPr>
          <w:lang w:val="en-US"/>
        </w:rPr>
        <w:t xml:space="preserve">. </w:t>
      </w:r>
    </w:p>
    <w:p w:rsidR="006B0743" w:rsidRPr="00DA0DCD" w:rsidRDefault="00273787" w:rsidP="00273787">
      <w:pPr>
        <w:pStyle w:val="Kop2"/>
        <w:numPr>
          <w:ilvl w:val="1"/>
          <w:numId w:val="14"/>
        </w:numPr>
        <w:rPr>
          <w:lang w:val="en-US"/>
        </w:rPr>
      </w:pPr>
      <w:bookmarkStart w:id="87" w:name="_Toc270770621"/>
      <w:r w:rsidRPr="00DA0DCD">
        <w:rPr>
          <w:lang w:val="en-US"/>
        </w:rPr>
        <w:t>Conclusion</w:t>
      </w:r>
      <w:bookmarkEnd w:id="87"/>
    </w:p>
    <w:p w:rsidR="0032015C" w:rsidRPr="00F82548" w:rsidRDefault="00F541B9" w:rsidP="0032015C">
      <w:pPr>
        <w:rPr>
          <w:lang w:val="en-US"/>
        </w:rPr>
      </w:pPr>
      <w:r w:rsidRPr="00F82548">
        <w:rPr>
          <w:lang w:val="en-US"/>
        </w:rPr>
        <w:t>From the analyse</w:t>
      </w:r>
      <w:r w:rsidR="0086700C" w:rsidRPr="00F82548">
        <w:rPr>
          <w:lang w:val="en-US"/>
        </w:rPr>
        <w:t>s</w:t>
      </w:r>
      <w:r w:rsidRPr="00F82548">
        <w:rPr>
          <w:lang w:val="en-US"/>
        </w:rPr>
        <w:t xml:space="preserve"> of the </w:t>
      </w:r>
      <w:r w:rsidR="0086700C" w:rsidRPr="00F82548">
        <w:rPr>
          <w:lang w:val="en-US"/>
        </w:rPr>
        <w:t xml:space="preserve">statistical </w:t>
      </w:r>
      <w:r w:rsidRPr="00F82548">
        <w:rPr>
          <w:lang w:val="en-US"/>
        </w:rPr>
        <w:t>outco</w:t>
      </w:r>
      <w:r w:rsidR="00235D60" w:rsidRPr="00F82548">
        <w:rPr>
          <w:lang w:val="en-US"/>
        </w:rPr>
        <w:t>m</w:t>
      </w:r>
      <w:r w:rsidRPr="00F82548">
        <w:rPr>
          <w:lang w:val="en-US"/>
        </w:rPr>
        <w:t>e of the tested hypotheses in chapter 7, the following</w:t>
      </w:r>
      <w:r w:rsidR="0086700C" w:rsidRPr="00F82548">
        <w:rPr>
          <w:lang w:val="en-US"/>
        </w:rPr>
        <w:t xml:space="preserve"> can</w:t>
      </w:r>
      <w:r w:rsidRPr="00F82548">
        <w:rPr>
          <w:lang w:val="en-US"/>
        </w:rPr>
        <w:t xml:space="preserve"> be </w:t>
      </w:r>
      <w:r w:rsidR="00733646" w:rsidRPr="00F82548">
        <w:rPr>
          <w:lang w:val="en-US"/>
        </w:rPr>
        <w:t>conclude</w:t>
      </w:r>
      <w:r w:rsidR="00385984" w:rsidRPr="00F82548">
        <w:rPr>
          <w:lang w:val="en-US"/>
        </w:rPr>
        <w:t>d</w:t>
      </w:r>
      <w:r w:rsidRPr="00F82548">
        <w:rPr>
          <w:lang w:val="en-US"/>
        </w:rPr>
        <w:t xml:space="preserve">. During the fifth event </w:t>
      </w:r>
      <w:r w:rsidR="0032015C" w:rsidRPr="00F82548">
        <w:rPr>
          <w:lang w:val="en-US"/>
        </w:rPr>
        <w:t>(major point)</w:t>
      </w:r>
      <w:r w:rsidRPr="00F82548">
        <w:rPr>
          <w:lang w:val="en-US"/>
        </w:rPr>
        <w:t xml:space="preserve">, the introduction of the reclassification option in </w:t>
      </w:r>
      <w:r w:rsidRPr="00F82548">
        <w:rPr>
          <w:lang w:val="en-US"/>
        </w:rPr>
        <w:lastRenderedPageBreak/>
        <w:t>IAS 39, financial institutions</w:t>
      </w:r>
      <w:r w:rsidR="0086700C" w:rsidRPr="00F82548">
        <w:rPr>
          <w:lang w:val="en-US"/>
        </w:rPr>
        <w:t xml:space="preserve"> (total sample)</w:t>
      </w:r>
      <w:r w:rsidRPr="00F82548">
        <w:rPr>
          <w:lang w:val="en-US"/>
        </w:rPr>
        <w:t xml:space="preserve"> in Europe react with a </w:t>
      </w:r>
      <w:r w:rsidR="0032015C" w:rsidRPr="00F82548">
        <w:rPr>
          <w:lang w:val="en-US"/>
        </w:rPr>
        <w:t xml:space="preserve">significant </w:t>
      </w:r>
      <w:r w:rsidRPr="00F82548">
        <w:rPr>
          <w:lang w:val="en-US"/>
        </w:rPr>
        <w:t>positive stock price reaction. This means that investors of financial institutions</w:t>
      </w:r>
      <w:r w:rsidR="00FB2AFF">
        <w:rPr>
          <w:lang w:val="en-US"/>
        </w:rPr>
        <w:t xml:space="preserve"> are satisfied with the amendment and</w:t>
      </w:r>
      <w:r w:rsidRPr="00F82548">
        <w:rPr>
          <w:lang w:val="en-US"/>
        </w:rPr>
        <w:t xml:space="preserve"> embraced the reclassification option in I</w:t>
      </w:r>
      <w:r w:rsidR="0032015C" w:rsidRPr="00F82548">
        <w:rPr>
          <w:lang w:val="en-US"/>
        </w:rPr>
        <w:t>AS 39. This is in line with researches of Bowen et al. (2010), Cornett et al</w:t>
      </w:r>
      <w:r w:rsidR="006533FF">
        <w:rPr>
          <w:lang w:val="en-US"/>
        </w:rPr>
        <w:t xml:space="preserve">. </w:t>
      </w:r>
      <w:r w:rsidR="0032015C" w:rsidRPr="00F82548">
        <w:rPr>
          <w:lang w:val="en-US"/>
        </w:rPr>
        <w:t xml:space="preserve">(1996) and Beatty et al. (1996). </w:t>
      </w:r>
    </w:p>
    <w:p w:rsidR="0032015C" w:rsidRPr="00365EFC" w:rsidRDefault="006B0743" w:rsidP="0032015C">
      <w:pPr>
        <w:rPr>
          <w:lang w:val="en-US"/>
        </w:rPr>
      </w:pPr>
      <w:r w:rsidRPr="00365EFC">
        <w:rPr>
          <w:lang w:val="en-US"/>
        </w:rPr>
        <w:t>The stock price reaction of banks in the US on the introduction of the relaxation of FVA is more significant than the stock price reaction of banks on the reclassification option in Europe.</w:t>
      </w:r>
      <w:r w:rsidR="00F82548" w:rsidRPr="00365EFC">
        <w:rPr>
          <w:lang w:val="en-US"/>
        </w:rPr>
        <w:t xml:space="preserve"> The </w:t>
      </w:r>
      <w:r w:rsidR="00B77820" w:rsidRPr="00365EFC">
        <w:rPr>
          <w:lang w:val="en-US"/>
        </w:rPr>
        <w:t xml:space="preserve">combination of the stronger stock price reaction on the second and eighth event in US compared with the fifth event in Europe and the stronger reaction in the US on the events combined, </w:t>
      </w:r>
      <w:r w:rsidR="00F82548" w:rsidRPr="00365EFC">
        <w:rPr>
          <w:lang w:val="en-US"/>
        </w:rPr>
        <w:t xml:space="preserve">seems to </w:t>
      </w:r>
      <w:r w:rsidR="006F512E">
        <w:rPr>
          <w:lang w:val="en-US"/>
        </w:rPr>
        <w:t xml:space="preserve">support </w:t>
      </w:r>
      <w:r w:rsidRPr="00365EFC">
        <w:rPr>
          <w:lang w:val="en-US"/>
        </w:rPr>
        <w:t>the second hypothesis</w:t>
      </w:r>
      <w:r w:rsidR="0032015C" w:rsidRPr="00365EFC">
        <w:rPr>
          <w:lang w:val="en-US"/>
        </w:rPr>
        <w:t>. This finding is in line with research of Scholtens and de Wit (2004) and Van Dijk and Roosenboom (2009).</w:t>
      </w:r>
    </w:p>
    <w:p w:rsidR="00E25DB9" w:rsidRPr="00365EFC" w:rsidRDefault="006B0743" w:rsidP="0032015C">
      <w:pPr>
        <w:rPr>
          <w:lang w:val="en-US"/>
        </w:rPr>
      </w:pPr>
      <w:r w:rsidRPr="00365EFC">
        <w:rPr>
          <w:lang w:val="en-US"/>
        </w:rPr>
        <w:t xml:space="preserve">There is </w:t>
      </w:r>
      <w:r w:rsidR="00B77820" w:rsidRPr="00365EFC">
        <w:rPr>
          <w:lang w:val="en-US"/>
        </w:rPr>
        <w:t>no empirical</w:t>
      </w:r>
      <w:r w:rsidRPr="00365EFC">
        <w:rPr>
          <w:lang w:val="en-US"/>
        </w:rPr>
        <w:t xml:space="preserve"> evidence</w:t>
      </w:r>
      <w:r w:rsidR="006533FF">
        <w:rPr>
          <w:lang w:val="en-US"/>
        </w:rPr>
        <w:t xml:space="preserve"> found</w:t>
      </w:r>
      <w:r w:rsidRPr="00365EFC">
        <w:rPr>
          <w:lang w:val="en-US"/>
        </w:rPr>
        <w:t xml:space="preserve"> that stock prices of banks react stronger to the</w:t>
      </w:r>
      <w:r w:rsidR="00B77820" w:rsidRPr="00365EFC">
        <w:rPr>
          <w:lang w:val="en-US"/>
        </w:rPr>
        <w:t xml:space="preserve"> introduction of the </w:t>
      </w:r>
      <w:r w:rsidRPr="00365EFC">
        <w:rPr>
          <w:lang w:val="en-US"/>
        </w:rPr>
        <w:t>reclassification option of IAS 39 compared to insurance companies. This means that the</w:t>
      </w:r>
      <w:r w:rsidR="006F512E">
        <w:rPr>
          <w:lang w:val="en-US"/>
        </w:rPr>
        <w:t xml:space="preserve"> results do not support the third hypothesis</w:t>
      </w:r>
      <w:r w:rsidRPr="00365EFC">
        <w:rPr>
          <w:lang w:val="en-US"/>
        </w:rPr>
        <w:t>.</w:t>
      </w:r>
      <w:r w:rsidR="00E25DB9" w:rsidRPr="00365EFC">
        <w:rPr>
          <w:lang w:val="en-US"/>
        </w:rPr>
        <w:t xml:space="preserve"> </w:t>
      </w:r>
      <w:r w:rsidR="00B77820" w:rsidRPr="00365EFC">
        <w:rPr>
          <w:lang w:val="en-US"/>
        </w:rPr>
        <w:t>Therefore,</w:t>
      </w:r>
      <w:r w:rsidR="00E25DB9" w:rsidRPr="00365EFC">
        <w:rPr>
          <w:lang w:val="en-US"/>
        </w:rPr>
        <w:t xml:space="preserve"> the unintended pro-cyclicality of Basel II by banks as described by researcher</w:t>
      </w:r>
      <w:r w:rsidR="00D66630" w:rsidRPr="00365EFC">
        <w:rPr>
          <w:lang w:val="en-US"/>
        </w:rPr>
        <w:t xml:space="preserve">s like Kashyap and Stein (2003) </w:t>
      </w:r>
      <w:r w:rsidR="00E25DB9" w:rsidRPr="00365EFC">
        <w:rPr>
          <w:lang w:val="en-US"/>
        </w:rPr>
        <w:t xml:space="preserve">and Repullo and Suarez (2008) are not convincingly reflected in the statistical </w:t>
      </w:r>
      <w:r w:rsidR="00733646" w:rsidRPr="00365EFC">
        <w:rPr>
          <w:lang w:val="en-US"/>
        </w:rPr>
        <w:t>results. This</w:t>
      </w:r>
      <w:r w:rsidR="00E25DB9" w:rsidRPr="00365EFC">
        <w:rPr>
          <w:lang w:val="en-US"/>
        </w:rPr>
        <w:t xml:space="preserve"> is also in line with Paananen et al. (2009) who find no sign that banks use reclassification because of their capital adequacy levels. </w:t>
      </w:r>
      <w:r w:rsidR="00D66630" w:rsidRPr="00365EFC">
        <w:rPr>
          <w:lang w:val="en-US"/>
        </w:rPr>
        <w:t>In addition,</w:t>
      </w:r>
      <w:r w:rsidR="00E25DB9" w:rsidRPr="00365EFC">
        <w:rPr>
          <w:lang w:val="en-US"/>
        </w:rPr>
        <w:t xml:space="preserve"> the </w:t>
      </w:r>
      <w:r w:rsidR="00733646" w:rsidRPr="00365EFC">
        <w:rPr>
          <w:lang w:val="en-US"/>
        </w:rPr>
        <w:t>predicted</w:t>
      </w:r>
      <w:r w:rsidR="00E25DB9" w:rsidRPr="00365EFC">
        <w:rPr>
          <w:lang w:val="en-US"/>
        </w:rPr>
        <w:t xml:space="preserve"> effect of the difference between solvency requirements for insurance companies and the more stringent capital requirements of Basel II is not convincingly reflected in the statistical results.</w:t>
      </w:r>
    </w:p>
    <w:p w:rsidR="00E25DB9" w:rsidRPr="004B115D" w:rsidRDefault="00E25DB9" w:rsidP="0032015C">
      <w:pPr>
        <w:rPr>
          <w:lang w:val="en-US"/>
        </w:rPr>
      </w:pPr>
      <w:r w:rsidRPr="004B115D">
        <w:rPr>
          <w:lang w:val="en-US"/>
        </w:rPr>
        <w:t xml:space="preserve">By testing financial institutions </w:t>
      </w:r>
      <w:r w:rsidR="00385984">
        <w:rPr>
          <w:lang w:val="en-US"/>
        </w:rPr>
        <w:t>by</w:t>
      </w:r>
      <w:r w:rsidR="006B0743" w:rsidRPr="004B115D">
        <w:rPr>
          <w:lang w:val="en-US"/>
        </w:rPr>
        <w:t xml:space="preserve"> countr</w:t>
      </w:r>
      <w:r w:rsidRPr="004B115D">
        <w:rPr>
          <w:lang w:val="en-US"/>
        </w:rPr>
        <w:t>y</w:t>
      </w:r>
      <w:r w:rsidR="006B0743" w:rsidRPr="004B115D">
        <w:rPr>
          <w:lang w:val="en-US"/>
        </w:rPr>
        <w:t xml:space="preserve"> separately, eight countries (</w:t>
      </w:r>
      <w:r w:rsidR="006B0743" w:rsidRPr="004B115D">
        <w:rPr>
          <w:rStyle w:val="longtext1"/>
          <w:rFonts w:cs="Times New Roman"/>
          <w:sz w:val="22"/>
          <w:szCs w:val="22"/>
          <w:shd w:val="clear" w:color="auto" w:fill="FFFFFF"/>
          <w:lang w:val="en-US"/>
        </w:rPr>
        <w:t>Belgium, Denmark, Germany, Italy, Netherlands, Austria, Spain and Sweden)</w:t>
      </w:r>
      <w:r w:rsidR="006B0743" w:rsidRPr="004B115D">
        <w:rPr>
          <w:lang w:val="en-US"/>
        </w:rPr>
        <w:t xml:space="preserve"> show a </w:t>
      </w:r>
      <w:r w:rsidRPr="004B115D">
        <w:rPr>
          <w:lang w:val="en-US"/>
        </w:rPr>
        <w:t xml:space="preserve">significant </w:t>
      </w:r>
      <w:r w:rsidR="006B0743" w:rsidRPr="004B115D">
        <w:rPr>
          <w:lang w:val="en-US"/>
        </w:rPr>
        <w:t xml:space="preserve">positive </w:t>
      </w:r>
      <w:r w:rsidRPr="004B115D">
        <w:rPr>
          <w:lang w:val="en-US"/>
        </w:rPr>
        <w:t>stock price reaction</w:t>
      </w:r>
      <w:r w:rsidR="00733646" w:rsidRPr="004B115D">
        <w:rPr>
          <w:lang w:val="en-US"/>
        </w:rPr>
        <w:t xml:space="preserve"> during the introduction of the reclassificatio</w:t>
      </w:r>
      <w:r w:rsidR="006C5F49">
        <w:rPr>
          <w:lang w:val="en-US"/>
        </w:rPr>
        <w:t>n option in IAS 39 (fifth event</w:t>
      </w:r>
      <w:r w:rsidR="00DB57D2">
        <w:rPr>
          <w:lang w:val="en-US"/>
        </w:rPr>
        <w:t>)</w:t>
      </w:r>
      <w:r w:rsidR="006B0743" w:rsidRPr="004B115D">
        <w:rPr>
          <w:lang w:val="en-US"/>
        </w:rPr>
        <w:t xml:space="preserve">. The non-significant positive </w:t>
      </w:r>
      <w:r w:rsidRPr="004B115D">
        <w:rPr>
          <w:lang w:val="en-US"/>
        </w:rPr>
        <w:t xml:space="preserve">stock price reaction </w:t>
      </w:r>
      <w:r w:rsidR="006B0743" w:rsidRPr="004B115D">
        <w:rPr>
          <w:lang w:val="en-US"/>
        </w:rPr>
        <w:t xml:space="preserve">of Luxembourg, Portugal and </w:t>
      </w:r>
      <w:r w:rsidR="00E91F24" w:rsidRPr="004B115D">
        <w:rPr>
          <w:lang w:val="en-US"/>
        </w:rPr>
        <w:t xml:space="preserve">the negative stock price reaction in </w:t>
      </w:r>
      <w:r w:rsidR="006B0743" w:rsidRPr="004B115D">
        <w:rPr>
          <w:lang w:val="en-US"/>
        </w:rPr>
        <w:t>France could be explained by the low R-square</w:t>
      </w:r>
      <w:r w:rsidRPr="004B115D">
        <w:rPr>
          <w:lang w:val="en-US"/>
        </w:rPr>
        <w:t xml:space="preserve">. </w:t>
      </w:r>
      <w:r w:rsidR="00E91F24" w:rsidRPr="004B115D">
        <w:rPr>
          <w:lang w:val="en-US"/>
        </w:rPr>
        <w:t>The negative stock price in France on the fifth event is r</w:t>
      </w:r>
      <w:r w:rsidR="00733646" w:rsidRPr="004B115D">
        <w:rPr>
          <w:lang w:val="en-US"/>
        </w:rPr>
        <w:t>emarkable</w:t>
      </w:r>
      <w:r w:rsidR="00E91F24" w:rsidRPr="004B115D">
        <w:rPr>
          <w:rStyle w:val="longtext1"/>
          <w:rFonts w:cs="Times New Roman"/>
          <w:sz w:val="22"/>
          <w:szCs w:val="22"/>
          <w:shd w:val="clear" w:color="auto" w:fill="FFFFFF"/>
          <w:lang w:val="en-US"/>
        </w:rPr>
        <w:t xml:space="preserve">, because the </w:t>
      </w:r>
      <w:r w:rsidR="00E91F24" w:rsidRPr="004B115D">
        <w:rPr>
          <w:lang w:val="en-US"/>
        </w:rPr>
        <w:t>fourth event represent a summon of the French President Sarkozy to reform accounting rules on valuation.</w:t>
      </w:r>
    </w:p>
    <w:p w:rsidR="002640F9" w:rsidRDefault="00E25DB9">
      <w:pPr>
        <w:rPr>
          <w:lang w:val="en-US"/>
        </w:rPr>
      </w:pPr>
      <w:r w:rsidRPr="004B115D">
        <w:rPr>
          <w:lang w:val="en-US"/>
        </w:rPr>
        <w:t xml:space="preserve">The reason for the non-significant positive </w:t>
      </w:r>
      <w:r w:rsidR="006B0743" w:rsidRPr="004B115D">
        <w:rPr>
          <w:lang w:val="en-US"/>
        </w:rPr>
        <w:t xml:space="preserve">reaction of Finland is </w:t>
      </w:r>
      <w:r w:rsidRPr="004B115D">
        <w:rPr>
          <w:lang w:val="en-US"/>
        </w:rPr>
        <w:t>not clear</w:t>
      </w:r>
      <w:r w:rsidR="00733646" w:rsidRPr="004B115D">
        <w:rPr>
          <w:lang w:val="en-US"/>
        </w:rPr>
        <w:t xml:space="preserve"> and </w:t>
      </w:r>
      <w:r w:rsidR="00E91F24" w:rsidRPr="004B115D">
        <w:rPr>
          <w:lang w:val="en-US"/>
        </w:rPr>
        <w:t xml:space="preserve">further research is needed </w:t>
      </w:r>
      <w:r w:rsidR="00EC70BA">
        <w:rPr>
          <w:lang w:val="en-US"/>
        </w:rPr>
        <w:t xml:space="preserve">to </w:t>
      </w:r>
      <w:r w:rsidR="00E91F24" w:rsidRPr="004B115D">
        <w:rPr>
          <w:lang w:val="en-US"/>
        </w:rPr>
        <w:t>state a</w:t>
      </w:r>
      <w:r w:rsidR="004B115D" w:rsidRPr="004B115D">
        <w:rPr>
          <w:lang w:val="en-US"/>
        </w:rPr>
        <w:t xml:space="preserve"> </w:t>
      </w:r>
      <w:r w:rsidR="00D041FC" w:rsidRPr="004B115D">
        <w:rPr>
          <w:lang w:val="en-US"/>
        </w:rPr>
        <w:t>reason. The</w:t>
      </w:r>
      <w:r w:rsidR="006B0743" w:rsidRPr="004B115D">
        <w:rPr>
          <w:lang w:val="en-US"/>
        </w:rPr>
        <w:t xml:space="preserve"> stock price reaction of financial institutions in Great Britain and Ireland</w:t>
      </w:r>
      <w:r w:rsidR="004B115D" w:rsidRPr="004B115D">
        <w:rPr>
          <w:lang w:val="en-US"/>
        </w:rPr>
        <w:t xml:space="preserve"> could be state</w:t>
      </w:r>
      <w:r w:rsidR="00EC70BA">
        <w:rPr>
          <w:lang w:val="en-US"/>
        </w:rPr>
        <w:t>d</w:t>
      </w:r>
      <w:r w:rsidR="004B115D" w:rsidRPr="004B115D">
        <w:rPr>
          <w:lang w:val="en-US"/>
        </w:rPr>
        <w:t xml:space="preserve"> as </w:t>
      </w:r>
      <w:r w:rsidRPr="004B115D">
        <w:rPr>
          <w:lang w:val="en-US"/>
        </w:rPr>
        <w:t>weaker (statistically not significant or even negative)</w:t>
      </w:r>
      <w:r w:rsidR="006B0743" w:rsidRPr="004B115D">
        <w:rPr>
          <w:lang w:val="en-US"/>
        </w:rPr>
        <w:t xml:space="preserve"> during the fifth event th</w:t>
      </w:r>
      <w:r w:rsidR="00E033EC">
        <w:rPr>
          <w:lang w:val="en-US"/>
        </w:rPr>
        <w:t>e</w:t>
      </w:r>
      <w:r w:rsidR="006B0743" w:rsidRPr="004B115D">
        <w:rPr>
          <w:lang w:val="en-US"/>
        </w:rPr>
        <w:t xml:space="preserve">n other European countries (eight countries convincing). </w:t>
      </w:r>
      <w:r w:rsidR="004B115D" w:rsidRPr="004B115D">
        <w:rPr>
          <w:lang w:val="en-US"/>
        </w:rPr>
        <w:t>Overall, hypothesis</w:t>
      </w:r>
      <w:r w:rsidR="006B0743" w:rsidRPr="004B115D">
        <w:rPr>
          <w:lang w:val="en-US"/>
        </w:rPr>
        <w:t xml:space="preserve"> four is </w:t>
      </w:r>
      <w:r w:rsidR="006F512E">
        <w:rPr>
          <w:lang w:val="en-US"/>
        </w:rPr>
        <w:t>support</w:t>
      </w:r>
      <w:r w:rsidR="006B0743" w:rsidRPr="004B115D">
        <w:rPr>
          <w:lang w:val="en-US"/>
        </w:rPr>
        <w:t xml:space="preserve"> by the clear</w:t>
      </w:r>
      <w:r w:rsidR="004B115D" w:rsidRPr="004B115D">
        <w:rPr>
          <w:lang w:val="en-US"/>
        </w:rPr>
        <w:t>ly</w:t>
      </w:r>
      <w:r w:rsidR="006B0743" w:rsidRPr="004B115D">
        <w:rPr>
          <w:lang w:val="en-US"/>
        </w:rPr>
        <w:t xml:space="preserve"> non-significant positive reaction in Great Britain and</w:t>
      </w:r>
      <w:r w:rsidR="004B115D" w:rsidRPr="004B115D">
        <w:rPr>
          <w:lang w:val="en-US"/>
        </w:rPr>
        <w:t xml:space="preserve"> non- significant negative reaction in</w:t>
      </w:r>
      <w:r w:rsidR="006B0743" w:rsidRPr="004B115D">
        <w:rPr>
          <w:lang w:val="en-US"/>
        </w:rPr>
        <w:t xml:space="preserve"> Ireland</w:t>
      </w:r>
      <w:r w:rsidR="00E91F24" w:rsidRPr="004B115D">
        <w:rPr>
          <w:lang w:val="en-US"/>
        </w:rPr>
        <w:t>.</w:t>
      </w:r>
      <w:r w:rsidR="004B115D" w:rsidRPr="004B115D">
        <w:rPr>
          <w:lang w:val="en-US"/>
        </w:rPr>
        <w:t xml:space="preserve"> Where the other (eight) countries show a significant positive stock price reaction.</w:t>
      </w:r>
      <w:r w:rsidR="00E91F24" w:rsidRPr="004B115D">
        <w:rPr>
          <w:lang w:val="en-US"/>
        </w:rPr>
        <w:t xml:space="preserve"> This finding is in line with</w:t>
      </w:r>
      <w:r w:rsidR="004B115D" w:rsidRPr="004B115D">
        <w:rPr>
          <w:lang w:val="en-US"/>
        </w:rPr>
        <w:t xml:space="preserve"> expectations described in paragraph 2.9. </w:t>
      </w:r>
      <w:r w:rsidR="004B115D">
        <w:rPr>
          <w:lang w:val="en-US"/>
        </w:rPr>
        <w:t>This expectation is</w:t>
      </w:r>
      <w:r w:rsidR="004B115D" w:rsidRPr="004B115D">
        <w:rPr>
          <w:lang w:val="en-US"/>
        </w:rPr>
        <w:t xml:space="preserve"> derived from the difference between corporate </w:t>
      </w:r>
      <w:r w:rsidR="00D041FC" w:rsidRPr="004B115D">
        <w:rPr>
          <w:lang w:val="en-US"/>
        </w:rPr>
        <w:t>governance</w:t>
      </w:r>
      <w:r w:rsidR="004B115D" w:rsidRPr="004B115D">
        <w:rPr>
          <w:lang w:val="en-US"/>
        </w:rPr>
        <w:t xml:space="preserve"> as described by Wymeersch (2005).</w:t>
      </w:r>
    </w:p>
    <w:p w:rsidR="00B77820" w:rsidRPr="006F2E11" w:rsidRDefault="00B77820" w:rsidP="00B77820">
      <w:pPr>
        <w:rPr>
          <w:lang w:val="en-US"/>
        </w:rPr>
      </w:pPr>
      <w:r w:rsidRPr="006F2E11">
        <w:rPr>
          <w:lang w:val="en-US"/>
        </w:rPr>
        <w:t>If one or more of the described possibilities in paragraph 8.1</w:t>
      </w:r>
      <w:r w:rsidR="00166552" w:rsidRPr="006F2E11">
        <w:rPr>
          <w:lang w:val="en-US"/>
        </w:rPr>
        <w:t>,</w:t>
      </w:r>
      <w:r w:rsidRPr="006F2E11">
        <w:rPr>
          <w:lang w:val="en-US"/>
        </w:rPr>
        <w:t xml:space="preserve"> </w:t>
      </w:r>
      <w:r w:rsidR="00365EFC" w:rsidRPr="006F2E11">
        <w:rPr>
          <w:lang w:val="en-US"/>
        </w:rPr>
        <w:t>were</w:t>
      </w:r>
      <w:r w:rsidRPr="006F2E11">
        <w:rPr>
          <w:lang w:val="en-US"/>
        </w:rPr>
        <w:t xml:space="preserve"> the reason for a negative stock price reaction during the first through fourth event</w:t>
      </w:r>
      <w:r w:rsidR="00166552" w:rsidRPr="006F2E11">
        <w:rPr>
          <w:lang w:val="en-US"/>
        </w:rPr>
        <w:t xml:space="preserve"> </w:t>
      </w:r>
      <w:r w:rsidR="006533FF">
        <w:rPr>
          <w:lang w:val="en-US"/>
        </w:rPr>
        <w:t>in</w:t>
      </w:r>
      <w:r w:rsidR="00166552" w:rsidRPr="006F2E11">
        <w:rPr>
          <w:lang w:val="en-US"/>
        </w:rPr>
        <w:t xml:space="preserve"> the results of the tested hypothes</w:t>
      </w:r>
      <w:r w:rsidR="006B1961" w:rsidRPr="006F2E11">
        <w:rPr>
          <w:lang w:val="en-US"/>
        </w:rPr>
        <w:t>e</w:t>
      </w:r>
      <w:r w:rsidR="00166552" w:rsidRPr="006F2E11">
        <w:rPr>
          <w:lang w:val="en-US"/>
        </w:rPr>
        <w:t>s</w:t>
      </w:r>
      <w:r w:rsidRPr="006F2E11">
        <w:rPr>
          <w:b/>
          <w:lang w:val="en-US"/>
        </w:rPr>
        <w:t xml:space="preserve">, </w:t>
      </w:r>
      <w:r w:rsidRPr="006F2E11">
        <w:rPr>
          <w:lang w:val="en-US"/>
        </w:rPr>
        <w:t>then the</w:t>
      </w:r>
      <w:r w:rsidR="00166552" w:rsidRPr="006F2E11">
        <w:rPr>
          <w:lang w:val="en-US"/>
        </w:rPr>
        <w:t xml:space="preserve"> </w:t>
      </w:r>
      <w:r w:rsidR="00613E1F">
        <w:rPr>
          <w:lang w:val="en-US"/>
        </w:rPr>
        <w:t>stock price reaction</w:t>
      </w:r>
      <w:r w:rsidR="006533FF">
        <w:rPr>
          <w:lang w:val="en-US"/>
        </w:rPr>
        <w:t xml:space="preserve"> </w:t>
      </w:r>
      <w:r w:rsidR="00166552" w:rsidRPr="006F2E11">
        <w:rPr>
          <w:lang w:val="en-US"/>
        </w:rPr>
        <w:t>of the</w:t>
      </w:r>
      <w:r w:rsidR="00E033EC">
        <w:rPr>
          <w:lang w:val="en-US"/>
        </w:rPr>
        <w:t xml:space="preserve"> event</w:t>
      </w:r>
      <w:r w:rsidRPr="006F2E11">
        <w:rPr>
          <w:lang w:val="en-US"/>
        </w:rPr>
        <w:t>s combined would change</w:t>
      </w:r>
      <w:r w:rsidR="00166552" w:rsidRPr="006F2E11">
        <w:rPr>
          <w:lang w:val="en-US"/>
        </w:rPr>
        <w:t xml:space="preserve">. </w:t>
      </w:r>
      <w:r w:rsidR="006B1961" w:rsidRPr="006F2E11">
        <w:rPr>
          <w:lang w:val="en-US"/>
        </w:rPr>
        <w:t>In the regression model, the positive predicted direction of the first through fourth event is changed</w:t>
      </w:r>
      <w:r w:rsidR="00613E1F">
        <w:rPr>
          <w:lang w:val="en-US"/>
        </w:rPr>
        <w:t xml:space="preserve"> from a positive predicted direction</w:t>
      </w:r>
      <w:r w:rsidR="006B1961" w:rsidRPr="006F2E11">
        <w:rPr>
          <w:lang w:val="en-US"/>
        </w:rPr>
        <w:t xml:space="preserve"> into a negative direction (see appendix </w:t>
      </w:r>
      <w:r w:rsidR="00C828A8" w:rsidRPr="006F2E11">
        <w:rPr>
          <w:lang w:val="en-US"/>
        </w:rPr>
        <w:t>G</w:t>
      </w:r>
      <w:r w:rsidR="00E033EC">
        <w:rPr>
          <w:lang w:val="en-US"/>
        </w:rPr>
        <w:t>). After this change, the event</w:t>
      </w:r>
      <w:r w:rsidR="006B1961" w:rsidRPr="006F2E11">
        <w:rPr>
          <w:lang w:val="en-US"/>
        </w:rPr>
        <w:t>s combined of the tested hypotheses changed into a positive stock price reaction</w:t>
      </w:r>
      <w:r w:rsidR="002F7AC3" w:rsidRPr="006F2E11">
        <w:rPr>
          <w:lang w:val="en-US"/>
        </w:rPr>
        <w:t xml:space="preserve">. </w:t>
      </w:r>
      <w:r w:rsidR="00613E1F">
        <w:rPr>
          <w:lang w:val="en-US"/>
        </w:rPr>
        <w:t>Furthermore, t</w:t>
      </w:r>
      <w:r w:rsidR="002F7AC3" w:rsidRPr="006F2E11">
        <w:rPr>
          <w:lang w:val="en-US"/>
        </w:rPr>
        <w:t>he betas</w:t>
      </w:r>
      <w:r w:rsidR="006B1961" w:rsidRPr="006F2E11">
        <w:rPr>
          <w:lang w:val="en-US"/>
        </w:rPr>
        <w:t xml:space="preserve"> are statistically significant, exce</w:t>
      </w:r>
      <w:r w:rsidRPr="006F2E11">
        <w:rPr>
          <w:lang w:val="en-US"/>
        </w:rPr>
        <w:t xml:space="preserve">pt for the only insurance companies’ sample. </w:t>
      </w:r>
      <w:r w:rsidR="002F7AC3" w:rsidRPr="006F2E11">
        <w:rPr>
          <w:lang w:val="en-US"/>
        </w:rPr>
        <w:t xml:space="preserve">The positive stock </w:t>
      </w:r>
      <w:r w:rsidR="00E033EC">
        <w:rPr>
          <w:lang w:val="en-US"/>
        </w:rPr>
        <w:t>price reaction during the event</w:t>
      </w:r>
      <w:r w:rsidR="002F7AC3" w:rsidRPr="006F2E11">
        <w:rPr>
          <w:lang w:val="en-US"/>
        </w:rPr>
        <w:t xml:space="preserve">s combined is </w:t>
      </w:r>
      <w:r w:rsidR="00365EFC" w:rsidRPr="006F2E11">
        <w:rPr>
          <w:lang w:val="en-US"/>
        </w:rPr>
        <w:t xml:space="preserve">for the most part </w:t>
      </w:r>
      <w:r w:rsidR="00D85A54">
        <w:rPr>
          <w:lang w:val="en-US"/>
        </w:rPr>
        <w:t>the</w:t>
      </w:r>
      <w:r w:rsidR="002F7AC3" w:rsidRPr="006F2E11">
        <w:rPr>
          <w:lang w:val="en-US"/>
        </w:rPr>
        <w:t xml:space="preserve"> result of the</w:t>
      </w:r>
      <w:r w:rsidRPr="006F2E11">
        <w:rPr>
          <w:lang w:val="en-US"/>
        </w:rPr>
        <w:t xml:space="preserve"> fifth ev</w:t>
      </w:r>
      <w:r w:rsidR="00E033EC">
        <w:rPr>
          <w:lang w:val="en-US"/>
        </w:rPr>
        <w:t>ent</w:t>
      </w:r>
      <w:r w:rsidRPr="006F2E11">
        <w:rPr>
          <w:lang w:val="en-US"/>
        </w:rPr>
        <w:t>, which represents the introduction of the reclassification option in IAS 39.</w:t>
      </w:r>
      <w:r w:rsidRPr="006F2E11">
        <w:rPr>
          <w:b/>
          <w:u w:val="single"/>
          <w:lang w:val="en-US"/>
        </w:rPr>
        <w:br w:type="page"/>
      </w:r>
    </w:p>
    <w:p w:rsidR="007C0EBD" w:rsidRPr="00DA0DCD" w:rsidRDefault="00FD1E36" w:rsidP="007C0EBD">
      <w:pPr>
        <w:pStyle w:val="Kop1"/>
        <w:numPr>
          <w:ilvl w:val="0"/>
          <w:numId w:val="14"/>
        </w:numPr>
        <w:rPr>
          <w:lang w:val="en-US"/>
        </w:rPr>
      </w:pPr>
      <w:bookmarkStart w:id="88" w:name="_Toc270770622"/>
      <w:r>
        <w:rPr>
          <w:lang w:val="en-US"/>
        </w:rPr>
        <w:lastRenderedPageBreak/>
        <w:t>Summary and C</w:t>
      </w:r>
      <w:r w:rsidR="007C0EBD" w:rsidRPr="00DA0DCD">
        <w:rPr>
          <w:lang w:val="en-US"/>
        </w:rPr>
        <w:t>onclusion</w:t>
      </w:r>
      <w:bookmarkEnd w:id="88"/>
      <w:r w:rsidR="007C0EBD" w:rsidRPr="00DA0DCD">
        <w:rPr>
          <w:lang w:val="en-US"/>
        </w:rPr>
        <w:t xml:space="preserve"> </w:t>
      </w:r>
    </w:p>
    <w:p w:rsidR="001B7F46" w:rsidRPr="008941C0" w:rsidRDefault="001B7F46" w:rsidP="00845297">
      <w:pPr>
        <w:rPr>
          <w:lang w:val="en-US"/>
        </w:rPr>
      </w:pPr>
      <w:r w:rsidRPr="008941C0">
        <w:rPr>
          <w:lang w:val="en-US"/>
        </w:rPr>
        <w:t>In this chapter</w:t>
      </w:r>
      <w:r w:rsidR="00276BD1">
        <w:rPr>
          <w:lang w:val="en-US"/>
        </w:rPr>
        <w:t>,</w:t>
      </w:r>
      <w:r w:rsidR="008941C0" w:rsidRPr="008941C0">
        <w:rPr>
          <w:lang w:val="en-US"/>
        </w:rPr>
        <w:t xml:space="preserve"> </w:t>
      </w:r>
      <w:r w:rsidR="00FB2AFF">
        <w:rPr>
          <w:lang w:val="en-US"/>
        </w:rPr>
        <w:t>the summary, conclusion</w:t>
      </w:r>
      <w:r w:rsidRPr="008941C0">
        <w:rPr>
          <w:lang w:val="en-US"/>
        </w:rPr>
        <w:t xml:space="preserve">s, </w:t>
      </w:r>
      <w:r w:rsidR="008941C0" w:rsidRPr="008941C0">
        <w:rPr>
          <w:lang w:val="en-US"/>
        </w:rPr>
        <w:t xml:space="preserve">limitations of the research of this thesis and recommendations on further research </w:t>
      </w:r>
      <w:r w:rsidR="00276BD1" w:rsidRPr="008941C0">
        <w:rPr>
          <w:lang w:val="en-US"/>
        </w:rPr>
        <w:t xml:space="preserve">are </w:t>
      </w:r>
      <w:r w:rsidR="008941C0" w:rsidRPr="008941C0">
        <w:rPr>
          <w:lang w:val="en-US"/>
        </w:rPr>
        <w:t>described. First, the summary of this master thesis is presented.</w:t>
      </w:r>
    </w:p>
    <w:p w:rsidR="00FD1E36" w:rsidRDefault="00FD1E36" w:rsidP="00FD1E36">
      <w:pPr>
        <w:pStyle w:val="Kop2"/>
        <w:numPr>
          <w:ilvl w:val="1"/>
          <w:numId w:val="14"/>
        </w:numPr>
        <w:rPr>
          <w:lang w:val="en-US"/>
        </w:rPr>
      </w:pPr>
      <w:bookmarkStart w:id="89" w:name="_Toc270770623"/>
      <w:r>
        <w:rPr>
          <w:lang w:val="en-US"/>
        </w:rPr>
        <w:t>Summary</w:t>
      </w:r>
      <w:bookmarkEnd w:id="89"/>
    </w:p>
    <w:p w:rsidR="00DC31DE" w:rsidRPr="00877A0C" w:rsidRDefault="00DC31DE" w:rsidP="00FD1E36">
      <w:pPr>
        <w:rPr>
          <w:lang w:val="en-US"/>
        </w:rPr>
      </w:pPr>
      <w:r w:rsidRPr="00877A0C">
        <w:rPr>
          <w:lang w:val="en-US"/>
        </w:rPr>
        <w:t xml:space="preserve">During the financial </w:t>
      </w:r>
      <w:r w:rsidR="00613E1F">
        <w:rPr>
          <w:lang w:val="en-US"/>
        </w:rPr>
        <w:t>crisis</w:t>
      </w:r>
      <w:r w:rsidRPr="00877A0C">
        <w:rPr>
          <w:lang w:val="en-US"/>
        </w:rPr>
        <w:t xml:space="preserve"> </w:t>
      </w:r>
      <w:r w:rsidR="005C3B99" w:rsidRPr="00877A0C">
        <w:rPr>
          <w:lang w:val="en-US"/>
        </w:rPr>
        <w:t>markets became illiquid</w:t>
      </w:r>
      <w:r w:rsidR="00FB2AFF">
        <w:rPr>
          <w:lang w:val="en-US"/>
        </w:rPr>
        <w:t xml:space="preserve">, as a consequence of a lack of </w:t>
      </w:r>
      <w:r w:rsidR="005C3B99" w:rsidRPr="00877A0C">
        <w:rPr>
          <w:lang w:val="en-US"/>
        </w:rPr>
        <w:t xml:space="preserve">supply or demand. </w:t>
      </w:r>
      <w:r w:rsidR="008941C0">
        <w:rPr>
          <w:lang w:val="en-US"/>
        </w:rPr>
        <w:t xml:space="preserve">Therefore, </w:t>
      </w:r>
      <w:r w:rsidR="005C3B99" w:rsidRPr="00877A0C">
        <w:rPr>
          <w:lang w:val="en-US"/>
        </w:rPr>
        <w:t>F</w:t>
      </w:r>
      <w:r w:rsidR="00FB2AFF">
        <w:rPr>
          <w:lang w:val="en-US"/>
        </w:rPr>
        <w:t xml:space="preserve">air </w:t>
      </w:r>
      <w:r w:rsidR="005C3B99" w:rsidRPr="00877A0C">
        <w:rPr>
          <w:lang w:val="en-US"/>
        </w:rPr>
        <w:t>V</w:t>
      </w:r>
      <w:r w:rsidR="00FB2AFF">
        <w:rPr>
          <w:lang w:val="en-US"/>
        </w:rPr>
        <w:t xml:space="preserve">alue </w:t>
      </w:r>
      <w:r w:rsidR="005C3B99" w:rsidRPr="00877A0C">
        <w:rPr>
          <w:lang w:val="en-US"/>
        </w:rPr>
        <w:t>A</w:t>
      </w:r>
      <w:r w:rsidR="00FB2AFF">
        <w:rPr>
          <w:lang w:val="en-US"/>
        </w:rPr>
        <w:t>ccounting (FVA)</w:t>
      </w:r>
      <w:r w:rsidR="005C3B99" w:rsidRPr="00877A0C">
        <w:rPr>
          <w:lang w:val="en-US"/>
        </w:rPr>
        <w:t xml:space="preserve"> based on market prices did not give a fair presentation of the underlying assets and liabilities. This arose also in the market of financial instruments.  </w:t>
      </w:r>
      <w:r w:rsidR="00FB2AFF">
        <w:rPr>
          <w:lang w:val="en-US"/>
        </w:rPr>
        <w:t>This means that</w:t>
      </w:r>
      <w:r w:rsidR="00685981" w:rsidRPr="00877A0C">
        <w:rPr>
          <w:lang w:val="en-US"/>
        </w:rPr>
        <w:t xml:space="preserve"> financial</w:t>
      </w:r>
      <w:r w:rsidR="005C3B99" w:rsidRPr="00877A0C">
        <w:rPr>
          <w:lang w:val="en-US"/>
        </w:rPr>
        <w:t xml:space="preserve"> institutions had to mark down their financial instruments. The mark down also arises from the impairment rules on financial instruments. This impairment has an effect on the equity and income of an entity. Therefore, the impairment rules became also problematic during the financial crisis. This mark down finally resulted in a negative spiral, also </w:t>
      </w:r>
      <w:r w:rsidR="00E422AC">
        <w:rPr>
          <w:lang w:val="en-US"/>
        </w:rPr>
        <w:t xml:space="preserve">named </w:t>
      </w:r>
      <w:r w:rsidR="00E422AC" w:rsidRPr="00877A0C">
        <w:rPr>
          <w:lang w:val="en-US"/>
        </w:rPr>
        <w:t xml:space="preserve">the pro-cyclical effect (contagion) of FVA </w:t>
      </w:r>
      <w:r w:rsidR="005C3B99" w:rsidRPr="00877A0C">
        <w:rPr>
          <w:lang w:val="en-US"/>
        </w:rPr>
        <w:t xml:space="preserve">by Bowen et al. (2010), Boyer (2007) and Khan (2009). </w:t>
      </w:r>
      <w:r w:rsidR="00685981" w:rsidRPr="00877A0C">
        <w:rPr>
          <w:lang w:val="en-US"/>
        </w:rPr>
        <w:t xml:space="preserve">Therefore, politicians and bankers started a lobby for the relaxation of FVA of financial instruments, as established in IAS 39 and US GAAP. They argued according to Hughes and Tett (2008) that </w:t>
      </w:r>
      <w:r w:rsidR="002A5FC8" w:rsidRPr="00877A0C">
        <w:rPr>
          <w:lang w:val="en-US"/>
        </w:rPr>
        <w:t>FVA contributed to the main cause of the financial crisis.</w:t>
      </w:r>
    </w:p>
    <w:p w:rsidR="00714720" w:rsidRDefault="00BD1AEE" w:rsidP="00685981">
      <w:pPr>
        <w:rPr>
          <w:lang w:val="en-US"/>
        </w:rPr>
      </w:pPr>
      <w:r w:rsidRPr="00DA0DCD">
        <w:rPr>
          <w:lang w:val="en-US"/>
        </w:rPr>
        <w:t xml:space="preserve">At initial recognition, companies have to measure their financial instruments at fair value. After initial </w:t>
      </w:r>
      <w:r w:rsidR="00276BD1" w:rsidRPr="00DA0DCD">
        <w:rPr>
          <w:lang w:val="en-US"/>
        </w:rPr>
        <w:t>recognition,</w:t>
      </w:r>
      <w:r w:rsidRPr="00DA0DCD">
        <w:rPr>
          <w:lang w:val="en-US"/>
        </w:rPr>
        <w:t xml:space="preserve"> the instruments are categorized. Depending on the category</w:t>
      </w:r>
      <w:r>
        <w:rPr>
          <w:lang w:val="en-US"/>
        </w:rPr>
        <w:t>,</w:t>
      </w:r>
      <w:r w:rsidRPr="00DA0DCD">
        <w:rPr>
          <w:lang w:val="en-US"/>
        </w:rPr>
        <w:t xml:space="preserve"> a financial instrument </w:t>
      </w:r>
      <w:r>
        <w:rPr>
          <w:lang w:val="en-US"/>
        </w:rPr>
        <w:t>will be</w:t>
      </w:r>
      <w:r w:rsidRPr="00DA0DCD">
        <w:rPr>
          <w:lang w:val="en-US"/>
        </w:rPr>
        <w:t xml:space="preserve"> measured at fair value or amortized costs. At the end of  </w:t>
      </w:r>
      <w:r w:rsidR="00FB2AFF" w:rsidRPr="00DA0DCD">
        <w:rPr>
          <w:lang w:val="en-US"/>
        </w:rPr>
        <w:t>period</w:t>
      </w:r>
      <w:r w:rsidR="00FB2AFF">
        <w:rPr>
          <w:lang w:val="en-US"/>
        </w:rPr>
        <w:t>s,</w:t>
      </w:r>
      <w:r w:rsidRPr="00DA0DCD">
        <w:rPr>
          <w:lang w:val="en-US"/>
        </w:rPr>
        <w:t xml:space="preserve"> companies have to review the financial instruments for impairment, except instruments at fair value through profit and loss.</w:t>
      </w:r>
      <w:r>
        <w:rPr>
          <w:lang w:val="en-US"/>
        </w:rPr>
        <w:t xml:space="preserve"> </w:t>
      </w:r>
      <w:r w:rsidRPr="00DA0DCD">
        <w:rPr>
          <w:lang w:val="en-US"/>
        </w:rPr>
        <w:t xml:space="preserve">During the financial </w:t>
      </w:r>
      <w:r w:rsidR="0084015F" w:rsidRPr="00DA0DCD">
        <w:rPr>
          <w:lang w:val="en-US"/>
        </w:rPr>
        <w:t>crisis,</w:t>
      </w:r>
      <w:r w:rsidRPr="00DA0DCD">
        <w:rPr>
          <w:lang w:val="en-US"/>
        </w:rPr>
        <w:t xml:space="preserve"> the fair values of financial instrument decreased and some categories at amortized costs/ fair value had to be impaired. As reaction on the financial crisis in the US</w:t>
      </w:r>
      <w:r w:rsidR="0084015F">
        <w:rPr>
          <w:lang w:val="en-US"/>
        </w:rPr>
        <w:t>,</w:t>
      </w:r>
      <w:r w:rsidRPr="00DA0DCD">
        <w:rPr>
          <w:lang w:val="en-US"/>
        </w:rPr>
        <w:t xml:space="preserve"> the FASB relax</w:t>
      </w:r>
      <w:r>
        <w:rPr>
          <w:lang w:val="en-US"/>
        </w:rPr>
        <w:t>ed</w:t>
      </w:r>
      <w:r w:rsidRPr="00DA0DCD">
        <w:rPr>
          <w:lang w:val="en-US"/>
        </w:rPr>
        <w:t xml:space="preserve"> the standard on financial instruments, thereby reclassification was possible and the impairment rules were relaxed. To ensure that financial institutions in Europe are not </w:t>
      </w:r>
      <w:r w:rsidR="00413430">
        <w:rPr>
          <w:lang w:val="en-US"/>
        </w:rPr>
        <w:t xml:space="preserve">in </w:t>
      </w:r>
      <w:r w:rsidR="00B608D2" w:rsidRPr="00DA0DCD">
        <w:rPr>
          <w:lang w:val="en-US"/>
        </w:rPr>
        <w:t xml:space="preserve">disadvantage </w:t>
      </w:r>
      <w:r w:rsidR="00B608D2">
        <w:rPr>
          <w:lang w:val="en-US"/>
        </w:rPr>
        <w:t>in</w:t>
      </w:r>
      <w:r w:rsidR="00413430">
        <w:rPr>
          <w:lang w:val="en-US"/>
        </w:rPr>
        <w:t xml:space="preserve"> relation</w:t>
      </w:r>
      <w:r w:rsidRPr="00DA0DCD">
        <w:rPr>
          <w:lang w:val="en-US"/>
        </w:rPr>
        <w:t xml:space="preserve"> to international competitors, the IASB had to amend IAS 39 under pressure of the European Committee.</w:t>
      </w:r>
      <w:r>
        <w:rPr>
          <w:lang w:val="en-US"/>
        </w:rPr>
        <w:t xml:space="preserve"> </w:t>
      </w:r>
      <w:r w:rsidRPr="002B0014">
        <w:rPr>
          <w:lang w:val="en-US"/>
        </w:rPr>
        <w:t xml:space="preserve">In October 2008, the standard setter of the IFRS rules, the IASB, made an amendment of IAS39, </w:t>
      </w:r>
      <w:r w:rsidR="00DD480A" w:rsidRPr="002B0014">
        <w:rPr>
          <w:lang w:val="en-US"/>
        </w:rPr>
        <w:t>which</w:t>
      </w:r>
      <w:r w:rsidRPr="002B0014">
        <w:rPr>
          <w:lang w:val="en-US"/>
        </w:rPr>
        <w:t xml:space="preserve"> made it possible for companies to reclassify their financial instruments. This amendment of IAS 39 permitted the reclassification of some financial instruments under certain circumstances from fair value categories to categories at amortized costs. This has the advantage that financial institutions</w:t>
      </w:r>
      <w:r w:rsidR="00DD480A">
        <w:rPr>
          <w:lang w:val="en-US"/>
        </w:rPr>
        <w:t>,</w:t>
      </w:r>
      <w:r w:rsidRPr="002B0014">
        <w:rPr>
          <w:lang w:val="en-US"/>
        </w:rPr>
        <w:t xml:space="preserve"> active at </w:t>
      </w:r>
      <w:r w:rsidR="00276BD1" w:rsidRPr="002B0014">
        <w:rPr>
          <w:lang w:val="en-US"/>
        </w:rPr>
        <w:t>markets that</w:t>
      </w:r>
      <w:r w:rsidRPr="002B0014">
        <w:rPr>
          <w:lang w:val="en-US"/>
        </w:rPr>
        <w:t xml:space="preserve"> became illiquid during the financial crisis, do not have to deal with the valuations at market prices. This means that financial institutions have to write off less during a financial crisis when using amortized costs instead of FVA and therefore </w:t>
      </w:r>
      <w:r w:rsidR="00E422AC">
        <w:rPr>
          <w:lang w:val="en-US"/>
        </w:rPr>
        <w:t xml:space="preserve">have </w:t>
      </w:r>
      <w:r w:rsidRPr="002B0014">
        <w:rPr>
          <w:lang w:val="en-US"/>
        </w:rPr>
        <w:t xml:space="preserve">less effect in the income statement. Despite the amendment of IAS </w:t>
      </w:r>
      <w:r w:rsidR="00C25C12" w:rsidRPr="002B0014">
        <w:rPr>
          <w:lang w:val="en-US"/>
        </w:rPr>
        <w:t>39,</w:t>
      </w:r>
      <w:r w:rsidRPr="002B0014">
        <w:rPr>
          <w:lang w:val="en-US"/>
        </w:rPr>
        <w:t xml:space="preserve"> the relaxation of fair value accounting in the US is more significant.</w:t>
      </w:r>
      <w:r>
        <w:rPr>
          <w:lang w:val="en-US"/>
        </w:rPr>
        <w:t xml:space="preserve"> </w:t>
      </w:r>
    </w:p>
    <w:p w:rsidR="00C0081B" w:rsidRPr="00877A0C" w:rsidRDefault="00872F8A" w:rsidP="00C0081B">
      <w:pPr>
        <w:rPr>
          <w:lang w:val="en-US"/>
        </w:rPr>
      </w:pPr>
      <w:r>
        <w:rPr>
          <w:lang w:val="en-US"/>
        </w:rPr>
        <w:t>Thereby the</w:t>
      </w:r>
      <w:r w:rsidR="00CC7630">
        <w:rPr>
          <w:lang w:val="en-US"/>
        </w:rPr>
        <w:t xml:space="preserve"> next question raised</w:t>
      </w:r>
      <w:r w:rsidR="00C25C12">
        <w:rPr>
          <w:lang w:val="en-US"/>
        </w:rPr>
        <w:t>:</w:t>
      </w:r>
      <w:r w:rsidR="001406DB">
        <w:rPr>
          <w:lang w:val="en-US"/>
        </w:rPr>
        <w:t xml:space="preserve"> </w:t>
      </w:r>
      <w:r w:rsidR="00413430">
        <w:rPr>
          <w:lang w:val="en-US"/>
        </w:rPr>
        <w:t>“W</w:t>
      </w:r>
      <w:r w:rsidR="001406DB">
        <w:rPr>
          <w:lang w:val="en-US"/>
        </w:rPr>
        <w:t>hat are the economic consequences of the change in FVA rules on the capital market</w:t>
      </w:r>
      <w:r w:rsidR="00E422AC">
        <w:rPr>
          <w:lang w:val="en-US"/>
        </w:rPr>
        <w:t>?</w:t>
      </w:r>
      <w:r w:rsidR="00413430">
        <w:rPr>
          <w:lang w:val="en-US"/>
        </w:rPr>
        <w:t>”</w:t>
      </w:r>
      <w:r w:rsidR="00714720">
        <w:rPr>
          <w:lang w:val="en-US"/>
        </w:rPr>
        <w:t xml:space="preserve"> </w:t>
      </w:r>
      <w:r w:rsidR="00C25C12" w:rsidRPr="00877A0C">
        <w:rPr>
          <w:lang w:val="en-US"/>
        </w:rPr>
        <w:t>Prior research shows that the capital market reacts negatively on the introduction of FVA in the US</w:t>
      </w:r>
      <w:r w:rsidR="002B5CE6">
        <w:rPr>
          <w:lang w:val="en-US"/>
        </w:rPr>
        <w:t xml:space="preserve"> (Cornett et al. 1996, Beatty et al. 1996)</w:t>
      </w:r>
      <w:r w:rsidR="00C25C12" w:rsidRPr="00877A0C">
        <w:rPr>
          <w:lang w:val="en-US"/>
        </w:rPr>
        <w:t xml:space="preserve">. Also IAS 39 (includes FVA) in Europe was not received </w:t>
      </w:r>
      <w:r w:rsidR="00E422AC" w:rsidRPr="00877A0C">
        <w:rPr>
          <w:lang w:val="en-US"/>
        </w:rPr>
        <w:t xml:space="preserve">well </w:t>
      </w:r>
      <w:r w:rsidR="00C25C12" w:rsidRPr="00877A0C">
        <w:rPr>
          <w:lang w:val="en-US"/>
        </w:rPr>
        <w:t xml:space="preserve">by the society.  </w:t>
      </w:r>
      <w:r w:rsidR="00B15B5A">
        <w:rPr>
          <w:lang w:val="en-US"/>
        </w:rPr>
        <w:t>C</w:t>
      </w:r>
      <w:r w:rsidR="00C25C12" w:rsidRPr="00877A0C">
        <w:rPr>
          <w:lang w:val="en-US"/>
        </w:rPr>
        <w:t xml:space="preserve">riticism </w:t>
      </w:r>
      <w:r w:rsidR="00CC7630">
        <w:rPr>
          <w:lang w:val="en-US"/>
        </w:rPr>
        <w:t xml:space="preserve">of </w:t>
      </w:r>
      <w:r w:rsidR="00CC7630" w:rsidRPr="00877A0C">
        <w:rPr>
          <w:lang w:val="en-US"/>
        </w:rPr>
        <w:t>banks</w:t>
      </w:r>
      <w:r w:rsidR="00B15B5A">
        <w:rPr>
          <w:lang w:val="en-US"/>
        </w:rPr>
        <w:t xml:space="preserve"> was</w:t>
      </w:r>
      <w:r w:rsidR="00C25C12" w:rsidRPr="00877A0C">
        <w:rPr>
          <w:lang w:val="en-US"/>
        </w:rPr>
        <w:t xml:space="preserve"> that profit</w:t>
      </w:r>
      <w:r w:rsidR="00B608D2">
        <w:rPr>
          <w:lang w:val="en-US"/>
        </w:rPr>
        <w:t>s</w:t>
      </w:r>
      <w:r w:rsidR="00C25C12" w:rsidRPr="00877A0C">
        <w:rPr>
          <w:lang w:val="en-US"/>
        </w:rPr>
        <w:t xml:space="preserve"> and </w:t>
      </w:r>
      <w:r w:rsidR="00CC7630" w:rsidRPr="00877A0C">
        <w:rPr>
          <w:lang w:val="en-US"/>
        </w:rPr>
        <w:t>loss</w:t>
      </w:r>
      <w:r w:rsidR="00CC7630">
        <w:rPr>
          <w:lang w:val="en-US"/>
        </w:rPr>
        <w:t>es</w:t>
      </w:r>
      <w:r w:rsidR="00CC7630" w:rsidRPr="00877A0C">
        <w:rPr>
          <w:lang w:val="en-US"/>
        </w:rPr>
        <w:t xml:space="preserve"> </w:t>
      </w:r>
      <w:r w:rsidR="00CC7630">
        <w:rPr>
          <w:lang w:val="en-US"/>
        </w:rPr>
        <w:t>was</w:t>
      </w:r>
      <w:r w:rsidR="00B15B5A">
        <w:rPr>
          <w:lang w:val="en-US"/>
        </w:rPr>
        <w:t xml:space="preserve"> going to</w:t>
      </w:r>
      <w:r w:rsidR="00C25C12" w:rsidRPr="00877A0C">
        <w:rPr>
          <w:lang w:val="en-US"/>
        </w:rPr>
        <w:t xml:space="preserve"> be highly volatile and the balance </w:t>
      </w:r>
      <w:r w:rsidR="00CC7630" w:rsidRPr="00877A0C">
        <w:rPr>
          <w:lang w:val="en-US"/>
        </w:rPr>
        <w:t>sheet substantially</w:t>
      </w:r>
      <w:r w:rsidR="00C25C12" w:rsidRPr="00877A0C">
        <w:rPr>
          <w:lang w:val="en-US"/>
        </w:rPr>
        <w:t xml:space="preserve"> weakened. </w:t>
      </w:r>
      <w:r w:rsidR="00CC7630" w:rsidRPr="00877A0C">
        <w:rPr>
          <w:lang w:val="en-US"/>
        </w:rPr>
        <w:t>Despite criticism</w:t>
      </w:r>
      <w:r w:rsidR="00C25C12" w:rsidRPr="00877A0C">
        <w:rPr>
          <w:lang w:val="en-US"/>
        </w:rPr>
        <w:t xml:space="preserve"> on the introduction </w:t>
      </w:r>
      <w:r w:rsidR="00B15B5A">
        <w:rPr>
          <w:lang w:val="en-US"/>
        </w:rPr>
        <w:t xml:space="preserve">of </w:t>
      </w:r>
      <w:r w:rsidR="00C25C12" w:rsidRPr="00877A0C">
        <w:rPr>
          <w:lang w:val="en-US"/>
        </w:rPr>
        <w:t>IAS 39, the capital market reacts positively on the introduction of mandatory IFRS in Europe</w:t>
      </w:r>
      <w:r w:rsidR="006A190D">
        <w:rPr>
          <w:lang w:val="en-US"/>
        </w:rPr>
        <w:t xml:space="preserve"> (Armstrong et al. 2009)</w:t>
      </w:r>
      <w:r w:rsidR="00C25C12" w:rsidRPr="00877A0C">
        <w:rPr>
          <w:lang w:val="en-US"/>
        </w:rPr>
        <w:t>. A</w:t>
      </w:r>
      <w:r w:rsidR="00B15B5A">
        <w:rPr>
          <w:lang w:val="en-US"/>
        </w:rPr>
        <w:t xml:space="preserve"> couple</w:t>
      </w:r>
      <w:r w:rsidR="00C25C12" w:rsidRPr="00877A0C">
        <w:rPr>
          <w:lang w:val="en-US"/>
        </w:rPr>
        <w:t xml:space="preserve"> of years after the introduction o</w:t>
      </w:r>
      <w:r w:rsidR="00714720">
        <w:rPr>
          <w:lang w:val="en-US"/>
        </w:rPr>
        <w:t>f IFRS, the financial crisis aro</w:t>
      </w:r>
      <w:r w:rsidR="00C25C12" w:rsidRPr="00877A0C">
        <w:rPr>
          <w:lang w:val="en-US"/>
        </w:rPr>
        <w:t>se in 2008. During the financial crisis, there has been argued that FVA is problematic because of illiquidity of the capital market and the pro-cyclical effect. In research of for instance Khan et al</w:t>
      </w:r>
      <w:r w:rsidR="00714720">
        <w:rPr>
          <w:lang w:val="en-US"/>
        </w:rPr>
        <w:t>.</w:t>
      </w:r>
      <w:r w:rsidR="00C25C12" w:rsidRPr="00877A0C">
        <w:rPr>
          <w:lang w:val="en-US"/>
        </w:rPr>
        <w:t xml:space="preserve"> </w:t>
      </w:r>
      <w:r w:rsidR="00C25C12" w:rsidRPr="00877A0C">
        <w:rPr>
          <w:lang w:val="en-US"/>
        </w:rPr>
        <w:lastRenderedPageBreak/>
        <w:t>(2009) is shown a positive relation between fair value and pro-cyclical contagion. Therefore, researchers, banks and politicians</w:t>
      </w:r>
      <w:r w:rsidR="004C300A">
        <w:rPr>
          <w:lang w:val="en-US"/>
        </w:rPr>
        <w:t xml:space="preserve"> </w:t>
      </w:r>
      <w:r w:rsidR="00C25C12" w:rsidRPr="00877A0C">
        <w:rPr>
          <w:lang w:val="en-US"/>
        </w:rPr>
        <w:t>argue</w:t>
      </w:r>
      <w:r w:rsidR="00E422AC">
        <w:rPr>
          <w:lang w:val="en-US"/>
        </w:rPr>
        <w:t xml:space="preserve"> that</w:t>
      </w:r>
      <w:r w:rsidR="00C25C12" w:rsidRPr="00877A0C">
        <w:rPr>
          <w:lang w:val="en-US"/>
        </w:rPr>
        <w:t xml:space="preserve"> FVA</w:t>
      </w:r>
      <w:r w:rsidR="00E422AC">
        <w:rPr>
          <w:lang w:val="en-US"/>
        </w:rPr>
        <w:t xml:space="preserve"> is</w:t>
      </w:r>
      <w:r w:rsidR="00C25C12" w:rsidRPr="00877A0C">
        <w:rPr>
          <w:lang w:val="en-US"/>
        </w:rPr>
        <w:t xml:space="preserve"> a possible cause of the pro-cyclical downturn. Next to the pro-cyclicality of FVA, also capital requirements on banks (Basel II) work pro-cyclical. In the US, the FASB relaxed FVA and impairment rules</w:t>
      </w:r>
      <w:r w:rsidR="00820F1B">
        <w:rPr>
          <w:lang w:val="en-US"/>
        </w:rPr>
        <w:t>. I</w:t>
      </w:r>
      <w:r w:rsidR="00C25C12" w:rsidRPr="00877A0C">
        <w:rPr>
          <w:lang w:val="en-US"/>
        </w:rPr>
        <w:t xml:space="preserve">n </w:t>
      </w:r>
      <w:r w:rsidR="00CC7630" w:rsidRPr="00877A0C">
        <w:rPr>
          <w:lang w:val="en-US"/>
        </w:rPr>
        <w:t>Europe,</w:t>
      </w:r>
      <w:r w:rsidR="00C25C12" w:rsidRPr="00877A0C">
        <w:rPr>
          <w:lang w:val="en-US"/>
        </w:rPr>
        <w:t xml:space="preserve"> the IASB introduced the reclassification option. Both amendments resulted in economic consequences. In the US, research </w:t>
      </w:r>
      <w:r w:rsidR="00FB2AFF">
        <w:rPr>
          <w:lang w:val="en-US"/>
        </w:rPr>
        <w:t>of Bowen e</w:t>
      </w:r>
      <w:r w:rsidR="00C25C12" w:rsidRPr="00877A0C">
        <w:rPr>
          <w:lang w:val="en-US"/>
        </w:rPr>
        <w:t>t al. (2010) find</w:t>
      </w:r>
      <w:r w:rsidR="00FB2AFF">
        <w:rPr>
          <w:lang w:val="en-US"/>
        </w:rPr>
        <w:t>s</w:t>
      </w:r>
      <w:r w:rsidR="00C25C12" w:rsidRPr="00877A0C">
        <w:rPr>
          <w:lang w:val="en-US"/>
        </w:rPr>
        <w:t xml:space="preserve"> for a sample of banks that events</w:t>
      </w:r>
      <w:r w:rsidR="00FB2AFF">
        <w:rPr>
          <w:lang w:val="en-US"/>
        </w:rPr>
        <w:t xml:space="preserve"> that</w:t>
      </w:r>
      <w:r w:rsidR="00C25C12" w:rsidRPr="00877A0C">
        <w:rPr>
          <w:lang w:val="en-US"/>
        </w:rPr>
        <w:t xml:space="preserve"> signal an increase (decrease) of a possible relaxation on FVA standard generally produce a positive (negative) abnormal stock price reaction. The stock price reaction in Europe will be examined in this research. </w:t>
      </w:r>
      <w:r w:rsidR="00FB2AFF">
        <w:rPr>
          <w:lang w:val="en-US"/>
        </w:rPr>
        <w:t>Also o</w:t>
      </w:r>
      <w:r w:rsidR="00C25C12" w:rsidRPr="00877A0C">
        <w:rPr>
          <w:lang w:val="en-US"/>
        </w:rPr>
        <w:t>ther economic consequences of the reclassification option in Europe are researched. Paananen et al. (2009) find that illiquidity seems</w:t>
      </w:r>
      <w:r w:rsidR="00820F1B">
        <w:rPr>
          <w:lang w:val="en-US"/>
        </w:rPr>
        <w:t xml:space="preserve"> to be</w:t>
      </w:r>
      <w:r w:rsidR="00C25C12" w:rsidRPr="00877A0C">
        <w:rPr>
          <w:lang w:val="en-US"/>
        </w:rPr>
        <w:t xml:space="preserve"> the main driver for the reclassification of financial instruments by banks and investors rely more on earnings of reclassified banks. However, fair value seems more value relevant even during a financial crisis. Next, Kholmy and Ernstberger (2010) find that the decision of banks to reclassify is influenced by size, profitability, analyst coverage and law tradition. At last, Fiechter and Unger (2009) find that the return on equity by banks increased after reclassifying financial instruments. Next to the economic consequences, researches </w:t>
      </w:r>
      <w:r w:rsidR="00820F1B">
        <w:rPr>
          <w:lang w:val="en-US"/>
        </w:rPr>
        <w:t xml:space="preserve">have </w:t>
      </w:r>
      <w:r w:rsidR="00B608D2" w:rsidRPr="00877A0C">
        <w:rPr>
          <w:lang w:val="en-US"/>
        </w:rPr>
        <w:t>also criticism</w:t>
      </w:r>
      <w:r w:rsidR="00C25C12" w:rsidRPr="00877A0C">
        <w:rPr>
          <w:lang w:val="en-US"/>
        </w:rPr>
        <w:t xml:space="preserve"> o</w:t>
      </w:r>
      <w:r w:rsidR="00820F1B">
        <w:rPr>
          <w:lang w:val="en-US"/>
        </w:rPr>
        <w:t>n</w:t>
      </w:r>
      <w:r w:rsidR="00C25C12" w:rsidRPr="00877A0C">
        <w:rPr>
          <w:lang w:val="en-US"/>
        </w:rPr>
        <w:t xml:space="preserve"> the relaxation of FVA, like the reduction of transparency.</w:t>
      </w:r>
    </w:p>
    <w:p w:rsidR="001406DB" w:rsidRPr="00503C51" w:rsidRDefault="00C0081B" w:rsidP="00503C51">
      <w:pPr>
        <w:rPr>
          <w:lang w:val="en-US"/>
        </w:rPr>
      </w:pPr>
      <w:r w:rsidRPr="00503C51">
        <w:rPr>
          <w:lang w:val="en-US"/>
        </w:rPr>
        <w:t xml:space="preserve"> From the descrip</w:t>
      </w:r>
      <w:r w:rsidR="006A190D">
        <w:rPr>
          <w:lang w:val="en-US"/>
        </w:rPr>
        <w:t>tion of the accounting standard</w:t>
      </w:r>
      <w:r w:rsidR="00E422AC">
        <w:rPr>
          <w:lang w:val="en-US"/>
        </w:rPr>
        <w:t xml:space="preserve"> IAS 39</w:t>
      </w:r>
      <w:r w:rsidR="006A190D">
        <w:rPr>
          <w:lang w:val="en-US"/>
        </w:rPr>
        <w:t xml:space="preserve">, </w:t>
      </w:r>
      <w:r w:rsidRPr="00503C51">
        <w:rPr>
          <w:lang w:val="en-US"/>
        </w:rPr>
        <w:t xml:space="preserve">other regulations and prior </w:t>
      </w:r>
      <w:r w:rsidR="006A190D" w:rsidRPr="00503C51">
        <w:rPr>
          <w:lang w:val="en-US"/>
        </w:rPr>
        <w:t>research</w:t>
      </w:r>
      <w:r w:rsidR="00E422AC">
        <w:rPr>
          <w:lang w:val="en-US"/>
        </w:rPr>
        <w:t>,</w:t>
      </w:r>
      <w:r w:rsidRPr="00503C51">
        <w:rPr>
          <w:lang w:val="en-US"/>
        </w:rPr>
        <w:t xml:space="preserve"> expectation concerning the stock price reaction on the introduction of the reclassification option in IAS 39 </w:t>
      </w:r>
      <w:r w:rsidR="00E422AC" w:rsidRPr="00503C51">
        <w:rPr>
          <w:lang w:val="en-US"/>
        </w:rPr>
        <w:t xml:space="preserve">are </w:t>
      </w:r>
      <w:r w:rsidRPr="00503C51">
        <w:rPr>
          <w:lang w:val="en-US"/>
        </w:rPr>
        <w:t>derived. This means that a positive stock price reaction on events concerning the introduction of a reclassification option is expected. Thereby, given the difference between the US and Europe, a lower capital</w:t>
      </w:r>
      <w:r w:rsidR="00FB2AFF">
        <w:rPr>
          <w:lang w:val="en-US"/>
        </w:rPr>
        <w:t xml:space="preserve"> market</w:t>
      </w:r>
      <w:r w:rsidRPr="00503C51">
        <w:rPr>
          <w:lang w:val="en-US"/>
        </w:rPr>
        <w:t xml:space="preserve"> reaction </w:t>
      </w:r>
      <w:r w:rsidR="004C300A" w:rsidRPr="00503C51">
        <w:rPr>
          <w:lang w:val="en-US"/>
        </w:rPr>
        <w:t xml:space="preserve">is expected </w:t>
      </w:r>
      <w:r w:rsidR="004C300A">
        <w:rPr>
          <w:lang w:val="en-US"/>
        </w:rPr>
        <w:t xml:space="preserve">in Europe </w:t>
      </w:r>
      <w:r w:rsidRPr="00503C51">
        <w:rPr>
          <w:lang w:val="en-US"/>
        </w:rPr>
        <w:t xml:space="preserve">compared to the capital reaction in the US on the relaxation of FVA and the impairment rules. Here we talk about the difference in situation, </w:t>
      </w:r>
      <w:r w:rsidR="004C300A">
        <w:rPr>
          <w:lang w:val="en-US"/>
        </w:rPr>
        <w:t xml:space="preserve">the </w:t>
      </w:r>
      <w:r w:rsidRPr="00503C51">
        <w:rPr>
          <w:lang w:val="en-US"/>
        </w:rPr>
        <w:t xml:space="preserve">relaxation </w:t>
      </w:r>
      <w:r w:rsidR="004C300A">
        <w:rPr>
          <w:lang w:val="en-US"/>
        </w:rPr>
        <w:t xml:space="preserve">of FVA and impairment rules in the </w:t>
      </w:r>
      <w:r w:rsidRPr="00503C51">
        <w:rPr>
          <w:lang w:val="en-US"/>
        </w:rPr>
        <w:t xml:space="preserve">US and </w:t>
      </w:r>
      <w:r w:rsidR="004C300A">
        <w:rPr>
          <w:lang w:val="en-US"/>
        </w:rPr>
        <w:t>r</w:t>
      </w:r>
      <w:r w:rsidRPr="00503C51">
        <w:rPr>
          <w:lang w:val="en-US"/>
        </w:rPr>
        <w:t xml:space="preserve">eclassification option </w:t>
      </w:r>
      <w:r w:rsidR="004C300A">
        <w:rPr>
          <w:lang w:val="en-US"/>
        </w:rPr>
        <w:t xml:space="preserve">in </w:t>
      </w:r>
      <w:r w:rsidR="001D217A">
        <w:rPr>
          <w:lang w:val="en-US"/>
        </w:rPr>
        <w:t xml:space="preserve">IAS 39 in </w:t>
      </w:r>
      <w:r w:rsidRPr="00503C51">
        <w:rPr>
          <w:lang w:val="en-US"/>
        </w:rPr>
        <w:t xml:space="preserve">Europe and </w:t>
      </w:r>
      <w:r w:rsidR="001D217A">
        <w:rPr>
          <w:lang w:val="en-US"/>
        </w:rPr>
        <w:t>difference in capital market reaction. R</w:t>
      </w:r>
      <w:r w:rsidRPr="00503C51">
        <w:rPr>
          <w:lang w:val="en-US"/>
        </w:rPr>
        <w:t>esearches on difference in capital market reaction</w:t>
      </w:r>
      <w:r w:rsidR="006A190D">
        <w:rPr>
          <w:lang w:val="en-US"/>
        </w:rPr>
        <w:t>,</w:t>
      </w:r>
      <w:r w:rsidRPr="00503C51">
        <w:rPr>
          <w:lang w:val="en-US"/>
        </w:rPr>
        <w:t xml:space="preserve"> show that the abnormal return in the US is significant higher compared to Europe</w:t>
      </w:r>
      <w:r w:rsidR="00503C51" w:rsidRPr="00503C51">
        <w:rPr>
          <w:lang w:val="en-US"/>
        </w:rPr>
        <w:t xml:space="preserve"> (Scholtens and de Wit, 2004 and Van Dijk and Roosenboom, 2009)</w:t>
      </w:r>
      <w:r w:rsidRPr="00503C51">
        <w:rPr>
          <w:lang w:val="en-US"/>
        </w:rPr>
        <w:t xml:space="preserve">. With this in mind, the prior research in the US could be </w:t>
      </w:r>
      <w:r w:rsidR="001D217A" w:rsidRPr="00503C51">
        <w:rPr>
          <w:lang w:val="en-US"/>
        </w:rPr>
        <w:t>interpreted</w:t>
      </w:r>
      <w:r w:rsidRPr="00503C51">
        <w:rPr>
          <w:lang w:val="en-US"/>
        </w:rPr>
        <w:t xml:space="preserve"> into the situation in Europe. Next to the differences between Europe and the US, there are also differences in capital requirement regulation</w:t>
      </w:r>
      <w:r w:rsidR="00E422AC">
        <w:rPr>
          <w:lang w:val="en-US"/>
        </w:rPr>
        <w:t>s</w:t>
      </w:r>
      <w:r w:rsidRPr="00503C51">
        <w:rPr>
          <w:lang w:val="en-US"/>
        </w:rPr>
        <w:t xml:space="preserve"> on banks and insurance companies. Banks have to meet Basel </w:t>
      </w:r>
      <w:r w:rsidR="00ED45D2" w:rsidRPr="00503C51">
        <w:rPr>
          <w:lang w:val="en-US"/>
        </w:rPr>
        <w:t>II requirements</w:t>
      </w:r>
      <w:r w:rsidRPr="00503C51">
        <w:rPr>
          <w:lang w:val="en-US"/>
        </w:rPr>
        <w:t xml:space="preserve"> and insurance companies Solvency requirements. The Basel II required capital ratios</w:t>
      </w:r>
      <w:r w:rsidR="00E422AC">
        <w:rPr>
          <w:lang w:val="en-US"/>
        </w:rPr>
        <w:t>,</w:t>
      </w:r>
      <w:r w:rsidRPr="00503C51">
        <w:rPr>
          <w:lang w:val="en-US"/>
        </w:rPr>
        <w:t xml:space="preserve"> changes due to the change in fair value of financial instruments. Financial statements of insurance companies are subjected to prudential filters. This means that the pro-cyclical effect by Basel II is more significant than Solvency. Therefore</w:t>
      </w:r>
      <w:r w:rsidR="001D217A">
        <w:rPr>
          <w:lang w:val="en-US"/>
        </w:rPr>
        <w:t xml:space="preserve">, </w:t>
      </w:r>
      <w:r w:rsidR="00E422AC">
        <w:rPr>
          <w:lang w:val="en-US"/>
        </w:rPr>
        <w:t>it</w:t>
      </w:r>
      <w:r w:rsidRPr="00503C51">
        <w:rPr>
          <w:lang w:val="en-US"/>
        </w:rPr>
        <w:t xml:space="preserve"> is expected that banks will react more positively to the reclassification option compared to insurance companies. Hence, there are </w:t>
      </w:r>
      <w:r w:rsidR="00DA0C79" w:rsidRPr="00503C51">
        <w:rPr>
          <w:lang w:val="en-US"/>
        </w:rPr>
        <w:t>differences between</w:t>
      </w:r>
      <w:r w:rsidRPr="00503C51">
        <w:rPr>
          <w:lang w:val="en-US"/>
        </w:rPr>
        <w:t xml:space="preserve"> corporate governance enforcement in the US and Europe</w:t>
      </w:r>
      <w:r w:rsidR="00EB0D80">
        <w:rPr>
          <w:lang w:val="en-US"/>
        </w:rPr>
        <w:t xml:space="preserve"> as well</w:t>
      </w:r>
      <w:r w:rsidRPr="00503C51">
        <w:rPr>
          <w:lang w:val="en-US"/>
        </w:rPr>
        <w:t xml:space="preserve">. In the </w:t>
      </w:r>
      <w:r w:rsidR="00CC7630" w:rsidRPr="00503C51">
        <w:rPr>
          <w:lang w:val="en-US"/>
        </w:rPr>
        <w:t>US,</w:t>
      </w:r>
      <w:r w:rsidRPr="00503C51">
        <w:rPr>
          <w:lang w:val="en-US"/>
        </w:rPr>
        <w:t xml:space="preserve"> corporate governance under SOX is mandatory for public firms and is enforced by law. </w:t>
      </w:r>
      <w:r w:rsidR="00DA0C79" w:rsidRPr="00503C51">
        <w:rPr>
          <w:lang w:val="en-US"/>
        </w:rPr>
        <w:t>In many</w:t>
      </w:r>
      <w:r w:rsidRPr="00503C51">
        <w:rPr>
          <w:lang w:val="en-US"/>
        </w:rPr>
        <w:t xml:space="preserve"> jurisdictions</w:t>
      </w:r>
      <w:r w:rsidR="00EB0D80">
        <w:rPr>
          <w:lang w:val="en-US"/>
        </w:rPr>
        <w:t xml:space="preserve"> in Europe</w:t>
      </w:r>
      <w:r w:rsidRPr="00503C51">
        <w:rPr>
          <w:lang w:val="en-US"/>
        </w:rPr>
        <w:t>, the corporate governance code is not as mandatory as in the US</w:t>
      </w:r>
      <w:r w:rsidR="00503C51" w:rsidRPr="00503C51">
        <w:rPr>
          <w:lang w:val="en-US"/>
        </w:rPr>
        <w:t xml:space="preserve"> (Wymeersch, 2005)</w:t>
      </w:r>
      <w:r w:rsidRPr="00503C51">
        <w:rPr>
          <w:lang w:val="en-US"/>
        </w:rPr>
        <w:t xml:space="preserve">. This could indicate a difference in the extent of the capital market reaction. Within </w:t>
      </w:r>
      <w:r w:rsidR="001D217A" w:rsidRPr="00503C51">
        <w:rPr>
          <w:lang w:val="en-US"/>
        </w:rPr>
        <w:t>Europe,</w:t>
      </w:r>
      <w:r w:rsidRPr="00503C51">
        <w:rPr>
          <w:lang w:val="en-US"/>
        </w:rPr>
        <w:t xml:space="preserve"> there are differences in the enforcement of the corporate governance code a</w:t>
      </w:r>
      <w:r w:rsidR="00EB0D80">
        <w:rPr>
          <w:lang w:val="en-US"/>
        </w:rPr>
        <w:t xml:space="preserve">s </w:t>
      </w:r>
      <w:r w:rsidR="00DA0C79">
        <w:rPr>
          <w:lang w:val="en-US"/>
        </w:rPr>
        <w:t xml:space="preserve">well. </w:t>
      </w:r>
      <w:r w:rsidRPr="00503C51">
        <w:rPr>
          <w:lang w:val="en-US"/>
        </w:rPr>
        <w:t xml:space="preserve">In the </w:t>
      </w:r>
      <w:r w:rsidR="001D217A" w:rsidRPr="00503C51">
        <w:rPr>
          <w:lang w:val="en-US"/>
        </w:rPr>
        <w:t>UK,</w:t>
      </w:r>
      <w:r w:rsidRPr="00503C51">
        <w:rPr>
          <w:lang w:val="en-US"/>
        </w:rPr>
        <w:t xml:space="preserve"> investors have traditionally strong legal rights and the Financial Service Authority (FSA) monitors the enforcement of the corporate governance code. Therefore, a weaker stock price reaction in the UK compared to other European countries is expected. </w:t>
      </w:r>
      <w:r w:rsidR="00503C51">
        <w:rPr>
          <w:lang w:val="en-US"/>
        </w:rPr>
        <w:t>From</w:t>
      </w:r>
      <w:r w:rsidR="00886A5B">
        <w:rPr>
          <w:lang w:val="en-US"/>
        </w:rPr>
        <w:t xml:space="preserve"> all</w:t>
      </w:r>
      <w:r w:rsidR="00503C51">
        <w:rPr>
          <w:lang w:val="en-US"/>
        </w:rPr>
        <w:t xml:space="preserve"> these expectations</w:t>
      </w:r>
      <w:r w:rsidR="00886A5B">
        <w:rPr>
          <w:lang w:val="en-US"/>
        </w:rPr>
        <w:t xml:space="preserve"> </w:t>
      </w:r>
      <w:r w:rsidR="00877A0C">
        <w:rPr>
          <w:lang w:val="en-US"/>
        </w:rPr>
        <w:t xml:space="preserve">four </w:t>
      </w:r>
      <w:r w:rsidR="00503C51">
        <w:rPr>
          <w:lang w:val="en-US"/>
        </w:rPr>
        <w:t>hypotheses</w:t>
      </w:r>
      <w:r w:rsidR="00886A5B">
        <w:rPr>
          <w:lang w:val="en-US"/>
        </w:rPr>
        <w:t xml:space="preserve"> </w:t>
      </w:r>
      <w:r w:rsidR="00DC0005">
        <w:rPr>
          <w:lang w:val="en-US"/>
        </w:rPr>
        <w:t xml:space="preserve">are </w:t>
      </w:r>
      <w:r w:rsidR="00886A5B">
        <w:rPr>
          <w:lang w:val="en-US"/>
        </w:rPr>
        <w:t>formulated. The hypotheses and the conclusion on the hypotheses are described in paragraph 9.2.</w:t>
      </w:r>
      <w:r w:rsidR="00503C51">
        <w:rPr>
          <w:lang w:val="en-US"/>
        </w:rPr>
        <w:t xml:space="preserve"> </w:t>
      </w:r>
    </w:p>
    <w:p w:rsidR="00AD4D63" w:rsidRPr="00DA0DCD" w:rsidRDefault="00886A5B" w:rsidP="00AD4D63">
      <w:pPr>
        <w:rPr>
          <w:lang w:val="en-US"/>
        </w:rPr>
      </w:pPr>
      <w:r w:rsidRPr="00877A0C">
        <w:rPr>
          <w:lang w:val="en-US"/>
        </w:rPr>
        <w:lastRenderedPageBreak/>
        <w:t xml:space="preserve">This master thesis examined the stock price reactions of financial institutions (banks, insurance companies, pension funds, investment funds, trust companies, building societies, credit unions and mortgage loan companies) to the announcements (events) concerning a probable introduction of a reclassification option in IAS 39. </w:t>
      </w:r>
      <w:r w:rsidR="00AD4D63" w:rsidRPr="00DA0DCD">
        <w:rPr>
          <w:lang w:val="en-US"/>
        </w:rPr>
        <w:t xml:space="preserve">This research </w:t>
      </w:r>
      <w:r w:rsidR="00AD4D63">
        <w:rPr>
          <w:lang w:val="en-US"/>
        </w:rPr>
        <w:t>seeks</w:t>
      </w:r>
      <w:r w:rsidR="00AD4D63" w:rsidRPr="00DA0DCD">
        <w:rPr>
          <w:lang w:val="en-US"/>
        </w:rPr>
        <w:t xml:space="preserve"> to answer the research question as presented in the first chapter, that is:</w:t>
      </w:r>
    </w:p>
    <w:p w:rsidR="00AD4D63" w:rsidRDefault="00AD4D63" w:rsidP="00AD4D63">
      <w:pPr>
        <w:ind w:left="708"/>
        <w:rPr>
          <w:lang w:val="en-US"/>
        </w:rPr>
      </w:pPr>
      <w:r w:rsidRPr="00DA0DCD">
        <w:rPr>
          <w:lang w:val="en-US"/>
        </w:rPr>
        <w:t>How did the stock prices of listed banks, insurance companies and other financial institutions in Europe react to announcements concerning the probability of the introduction of reclassification option in IAS 39?</w:t>
      </w:r>
    </w:p>
    <w:p w:rsidR="001406DB" w:rsidRPr="00877A0C" w:rsidRDefault="00877A0C" w:rsidP="001406DB">
      <w:pPr>
        <w:rPr>
          <w:lang w:val="en-US"/>
        </w:rPr>
      </w:pPr>
      <w:r w:rsidRPr="00877A0C">
        <w:rPr>
          <w:lang w:val="en-US"/>
        </w:rPr>
        <w:t>The different events</w:t>
      </w:r>
      <w:r w:rsidR="00FB2AFF">
        <w:rPr>
          <w:lang w:val="en-US"/>
        </w:rPr>
        <w:t xml:space="preserve"> (</w:t>
      </w:r>
      <w:r w:rsidR="00FB2AFF" w:rsidRPr="00877A0C">
        <w:rPr>
          <w:lang w:val="en-US"/>
        </w:rPr>
        <w:t>announcements</w:t>
      </w:r>
      <w:r w:rsidR="00FB2AFF">
        <w:rPr>
          <w:lang w:val="en-US"/>
        </w:rPr>
        <w:t>)</w:t>
      </w:r>
      <w:r w:rsidRPr="00877A0C">
        <w:rPr>
          <w:lang w:val="en-US"/>
        </w:rPr>
        <w:t xml:space="preserve"> are described in paragraph 6.3. </w:t>
      </w:r>
      <w:r w:rsidR="00886A5B" w:rsidRPr="00877A0C">
        <w:rPr>
          <w:lang w:val="en-US"/>
        </w:rPr>
        <w:t xml:space="preserve">The sample is taken from fourteen European countries. </w:t>
      </w:r>
      <w:r w:rsidR="001406DB" w:rsidRPr="00877A0C">
        <w:rPr>
          <w:lang w:val="en-US"/>
        </w:rPr>
        <w:t>The research approach cons</w:t>
      </w:r>
      <w:r w:rsidR="00503C51" w:rsidRPr="00877A0C">
        <w:rPr>
          <w:lang w:val="en-US"/>
        </w:rPr>
        <w:t>ists of a market-based research, b</w:t>
      </w:r>
      <w:r w:rsidR="001406DB" w:rsidRPr="00877A0C">
        <w:rPr>
          <w:lang w:val="en-US"/>
        </w:rPr>
        <w:t>ecause this research examines the ex post reaction of relaxation announcements by means of an event study. An event study is used</w:t>
      </w:r>
      <w:r w:rsidR="00ED45D2">
        <w:rPr>
          <w:lang w:val="en-US"/>
        </w:rPr>
        <w:t>,</w:t>
      </w:r>
      <w:r w:rsidR="001406DB" w:rsidRPr="00877A0C">
        <w:rPr>
          <w:lang w:val="en-US"/>
        </w:rPr>
        <w:t xml:space="preserve"> because the goal of this research is to examine the impact of all the announcements during the whole “reclassification option” process. To measure the market reaction during the events, the multi factor model </w:t>
      </w:r>
      <w:r w:rsidR="00886A5B" w:rsidRPr="00877A0C">
        <w:rPr>
          <w:lang w:val="en-US"/>
        </w:rPr>
        <w:t>is</w:t>
      </w:r>
      <w:r w:rsidR="001406DB" w:rsidRPr="00877A0C">
        <w:rPr>
          <w:lang w:val="en-US"/>
        </w:rPr>
        <w:t xml:space="preserve"> used (like </w:t>
      </w:r>
      <w:r w:rsidR="001406DB" w:rsidRPr="00877A0C">
        <w:rPr>
          <w:bCs/>
          <w:lang w:val="en-US"/>
        </w:rPr>
        <w:t>Cornett et al. (1996), Beatty et al.</w:t>
      </w:r>
      <w:r w:rsidR="00886A5B" w:rsidRPr="00877A0C">
        <w:rPr>
          <w:bCs/>
          <w:lang w:val="en-US"/>
        </w:rPr>
        <w:t xml:space="preserve"> </w:t>
      </w:r>
      <w:r w:rsidR="001406DB" w:rsidRPr="00877A0C">
        <w:rPr>
          <w:bCs/>
          <w:lang w:val="en-US"/>
        </w:rPr>
        <w:t>(1996) and Bowen et al. (2010))</w:t>
      </w:r>
      <w:r w:rsidR="001406DB" w:rsidRPr="00877A0C">
        <w:rPr>
          <w:lang w:val="en-US"/>
        </w:rPr>
        <w:t xml:space="preserve">. </w:t>
      </w:r>
      <w:r w:rsidR="00886A5B" w:rsidRPr="00877A0C">
        <w:rPr>
          <w:lang w:val="en-US"/>
        </w:rPr>
        <w:t>The</w:t>
      </w:r>
      <w:r w:rsidRPr="00877A0C">
        <w:rPr>
          <w:lang w:val="en-US"/>
        </w:rPr>
        <w:t xml:space="preserve"> multi-factor model controls for the stock market return and the interest rate changes, to measure the effect of the individual event windows and the event windows together. </w:t>
      </w:r>
      <w:r w:rsidR="001406DB" w:rsidRPr="00877A0C">
        <w:rPr>
          <w:lang w:val="en-US"/>
        </w:rPr>
        <w:t>The reason</w:t>
      </w:r>
      <w:r w:rsidR="001D217A">
        <w:rPr>
          <w:lang w:val="en-US"/>
        </w:rPr>
        <w:t xml:space="preserve"> for choosing this model</w:t>
      </w:r>
      <w:r w:rsidR="001406DB" w:rsidRPr="00877A0C">
        <w:rPr>
          <w:lang w:val="en-US"/>
        </w:rPr>
        <w:t xml:space="preserve"> is</w:t>
      </w:r>
      <w:r w:rsidR="007A28CC">
        <w:rPr>
          <w:lang w:val="en-US"/>
        </w:rPr>
        <w:t>,</w:t>
      </w:r>
      <w:r w:rsidR="001406DB" w:rsidRPr="00877A0C">
        <w:rPr>
          <w:lang w:val="en-US"/>
        </w:rPr>
        <w:t xml:space="preserve"> that the multi factor model is common used in the accounting research on the economic consequences of introduction or change (relaxation) of accounting standards. </w:t>
      </w:r>
      <w:r w:rsidR="00503C51" w:rsidRPr="00877A0C">
        <w:rPr>
          <w:lang w:val="en-US"/>
        </w:rPr>
        <w:t>Hence</w:t>
      </w:r>
      <w:r w:rsidR="001406DB" w:rsidRPr="00877A0C">
        <w:rPr>
          <w:lang w:val="en-US"/>
        </w:rPr>
        <w:t>, the model measures the normal daily return of sample firms i</w:t>
      </w:r>
      <w:r w:rsidR="00503C51" w:rsidRPr="00877A0C">
        <w:rPr>
          <w:lang w:val="en-US"/>
        </w:rPr>
        <w:t>s explained by more variations.</w:t>
      </w:r>
    </w:p>
    <w:p w:rsidR="00503C51" w:rsidRDefault="00886A5B" w:rsidP="001406DB">
      <w:pPr>
        <w:rPr>
          <w:lang w:val="en-US"/>
        </w:rPr>
      </w:pPr>
      <w:r>
        <w:rPr>
          <w:lang w:val="en-US"/>
        </w:rPr>
        <w:t>The answer to th</w:t>
      </w:r>
      <w:r w:rsidR="00AD4D63">
        <w:rPr>
          <w:lang w:val="en-US"/>
        </w:rPr>
        <w:t>e</w:t>
      </w:r>
      <w:r>
        <w:rPr>
          <w:lang w:val="en-US"/>
        </w:rPr>
        <w:t xml:space="preserve"> research question is provided by testing four hypotheses. In t</w:t>
      </w:r>
      <w:r w:rsidR="00877A0C">
        <w:rPr>
          <w:lang w:val="en-US"/>
        </w:rPr>
        <w:t>he next paragraph,</w:t>
      </w:r>
      <w:r>
        <w:rPr>
          <w:lang w:val="en-US"/>
        </w:rPr>
        <w:t xml:space="preserve"> the </w:t>
      </w:r>
      <w:r w:rsidR="00FB2AFF">
        <w:rPr>
          <w:lang w:val="en-US"/>
        </w:rPr>
        <w:t>conclusions on the tests of the four hypotheses and answer to the research question are</w:t>
      </w:r>
      <w:r>
        <w:rPr>
          <w:lang w:val="en-US"/>
        </w:rPr>
        <w:t xml:space="preserve"> presented.</w:t>
      </w:r>
    </w:p>
    <w:p w:rsidR="007C0EBD" w:rsidRDefault="00FB2AFF" w:rsidP="007C0EBD">
      <w:pPr>
        <w:pStyle w:val="Kop2"/>
        <w:numPr>
          <w:ilvl w:val="1"/>
          <w:numId w:val="14"/>
        </w:numPr>
        <w:rPr>
          <w:lang w:val="en-US"/>
        </w:rPr>
      </w:pPr>
      <w:bookmarkStart w:id="90" w:name="_Toc270770624"/>
      <w:r>
        <w:rPr>
          <w:lang w:val="en-US"/>
        </w:rPr>
        <w:t>Results and c</w:t>
      </w:r>
      <w:r w:rsidR="007C0EBD" w:rsidRPr="00DA0DCD">
        <w:rPr>
          <w:lang w:val="en-US"/>
        </w:rPr>
        <w:t>onclusion</w:t>
      </w:r>
      <w:r>
        <w:rPr>
          <w:lang w:val="en-US"/>
        </w:rPr>
        <w:t>s</w:t>
      </w:r>
      <w:bookmarkEnd w:id="90"/>
    </w:p>
    <w:p w:rsidR="007F6D8A" w:rsidRPr="009A59AC" w:rsidRDefault="00740AE3" w:rsidP="009A59AC">
      <w:pPr>
        <w:rPr>
          <w:lang w:val="en-US"/>
        </w:rPr>
      </w:pPr>
      <w:r w:rsidRPr="006F2E11">
        <w:rPr>
          <w:lang w:val="en-US"/>
        </w:rPr>
        <w:t>The first</w:t>
      </w:r>
      <w:r w:rsidR="00CC22AB" w:rsidRPr="006F2E11">
        <w:rPr>
          <w:lang w:val="en-US"/>
        </w:rPr>
        <w:t xml:space="preserve"> overall </w:t>
      </w:r>
      <w:r w:rsidR="00A37F38" w:rsidRPr="006F2E11">
        <w:rPr>
          <w:lang w:val="en-US"/>
        </w:rPr>
        <w:t xml:space="preserve">tested </w:t>
      </w:r>
      <w:r w:rsidRPr="006F2E11">
        <w:rPr>
          <w:lang w:val="en-US"/>
        </w:rPr>
        <w:t xml:space="preserve">hypothesis </w:t>
      </w:r>
      <w:r w:rsidR="00CC22AB" w:rsidRPr="006F2E11">
        <w:rPr>
          <w:lang w:val="en-US"/>
        </w:rPr>
        <w:t xml:space="preserve">is: </w:t>
      </w:r>
      <w:r w:rsidR="0039106B" w:rsidRPr="006F2E11">
        <w:rPr>
          <w:i/>
          <w:lang w:val="en-US"/>
        </w:rPr>
        <w:t>Events that potentially increase the probability of introducing the reclassification option in IAS 39 in the financial industry are associated with significant abnormal positive stock price reactions by financial institutions.</w:t>
      </w:r>
      <w:r w:rsidR="00CC22AB" w:rsidRPr="006F2E11">
        <w:rPr>
          <w:lang w:val="en-US"/>
        </w:rPr>
        <w:t xml:space="preserve"> This hypothesis was developed by</w:t>
      </w:r>
      <w:r w:rsidR="00625CB1" w:rsidRPr="006F2E11">
        <w:rPr>
          <w:lang w:val="en-US"/>
        </w:rPr>
        <w:t xml:space="preserve"> the outcome</w:t>
      </w:r>
      <w:r w:rsidR="00625CB1">
        <w:rPr>
          <w:lang w:val="en-US"/>
        </w:rPr>
        <w:t xml:space="preserve"> of prior research. Prior research finds a</w:t>
      </w:r>
      <w:r w:rsidR="00CC22AB">
        <w:rPr>
          <w:lang w:val="en-US"/>
        </w:rPr>
        <w:t xml:space="preserve"> </w:t>
      </w:r>
      <w:r w:rsidR="00D041FC">
        <w:rPr>
          <w:lang w:val="en-US"/>
        </w:rPr>
        <w:t>negative</w:t>
      </w:r>
      <w:r w:rsidR="00CC22AB">
        <w:rPr>
          <w:lang w:val="en-US"/>
        </w:rPr>
        <w:t xml:space="preserve"> capital market reaction on the introduction of FVA</w:t>
      </w:r>
      <w:r w:rsidR="00625CB1">
        <w:rPr>
          <w:lang w:val="en-US"/>
        </w:rPr>
        <w:t xml:space="preserve"> (Beatty et al. 1996 and Cornett et al. 1996)</w:t>
      </w:r>
      <w:r w:rsidR="00CC22AB">
        <w:rPr>
          <w:lang w:val="en-US"/>
        </w:rPr>
        <w:t xml:space="preserve"> and a positive reaction on the relaxation of FVA in the US</w:t>
      </w:r>
      <w:r w:rsidR="00625CB1">
        <w:rPr>
          <w:lang w:val="en-US"/>
        </w:rPr>
        <w:t xml:space="preserve"> (Bowen et al. 2010)</w:t>
      </w:r>
      <w:r w:rsidR="00CC22AB">
        <w:rPr>
          <w:lang w:val="en-US"/>
        </w:rPr>
        <w:t xml:space="preserve">. </w:t>
      </w:r>
      <w:r w:rsidR="00625CB1">
        <w:rPr>
          <w:lang w:val="en-US"/>
        </w:rPr>
        <w:t>Hence,</w:t>
      </w:r>
      <w:r w:rsidR="00CC22AB" w:rsidRPr="00CC22AB">
        <w:rPr>
          <w:lang w:val="en-US"/>
        </w:rPr>
        <w:t xml:space="preserve"> a lot of bankers and politicians blamed IAS 39 for the crisis.</w:t>
      </w:r>
      <w:r w:rsidR="00625CB1" w:rsidRPr="00625CB1">
        <w:rPr>
          <w:color w:val="C00000"/>
          <w:lang w:val="en-US"/>
        </w:rPr>
        <w:t xml:space="preserve"> </w:t>
      </w:r>
      <w:r w:rsidR="00625CB1" w:rsidRPr="00625CB1">
        <w:rPr>
          <w:lang w:val="en-US"/>
        </w:rPr>
        <w:t>Further on, researches show that FVA of financial instruments during a financial crisis can work pro-cyclical.</w:t>
      </w:r>
      <w:r w:rsidR="00DC110C">
        <w:rPr>
          <w:lang w:val="en-US"/>
        </w:rPr>
        <w:t xml:space="preserve"> The introduction of the </w:t>
      </w:r>
      <w:r w:rsidR="00D2489E">
        <w:rPr>
          <w:lang w:val="en-US"/>
        </w:rPr>
        <w:t>reclassification opt</w:t>
      </w:r>
      <w:r w:rsidR="00DC110C">
        <w:rPr>
          <w:lang w:val="en-US"/>
        </w:rPr>
        <w:t>ion</w:t>
      </w:r>
      <w:r w:rsidR="00D2489E">
        <w:rPr>
          <w:lang w:val="en-US"/>
        </w:rPr>
        <w:t xml:space="preserve"> makes i</w:t>
      </w:r>
      <w:r w:rsidR="00613E1F">
        <w:rPr>
          <w:lang w:val="en-US"/>
        </w:rPr>
        <w:t>t</w:t>
      </w:r>
      <w:r w:rsidR="00D2489E">
        <w:rPr>
          <w:lang w:val="en-US"/>
        </w:rPr>
        <w:t xml:space="preserve"> possible to </w:t>
      </w:r>
      <w:r w:rsidR="00DC110C">
        <w:rPr>
          <w:lang w:val="en-US"/>
        </w:rPr>
        <w:t xml:space="preserve">reclassify financial instruments </w:t>
      </w:r>
      <w:r w:rsidR="00D2489E">
        <w:rPr>
          <w:lang w:val="en-US"/>
        </w:rPr>
        <w:t xml:space="preserve">from fair value </w:t>
      </w:r>
      <w:r w:rsidR="00DC110C">
        <w:rPr>
          <w:lang w:val="en-US"/>
        </w:rPr>
        <w:t xml:space="preserve">to </w:t>
      </w:r>
      <w:r w:rsidR="00D2489E">
        <w:rPr>
          <w:lang w:val="en-US"/>
        </w:rPr>
        <w:t xml:space="preserve">an </w:t>
      </w:r>
      <w:r w:rsidR="00DC110C" w:rsidRPr="002F5873">
        <w:rPr>
          <w:rFonts w:ascii="Calibri" w:eastAsia="Calibri" w:hAnsi="Calibri" w:cs="Times New Roman"/>
          <w:lang w:val="en-US"/>
        </w:rPr>
        <w:t>amortized costs</w:t>
      </w:r>
      <w:r w:rsidR="00DC110C">
        <w:rPr>
          <w:rFonts w:ascii="Calibri" w:eastAsia="Calibri" w:hAnsi="Calibri" w:cs="Times New Roman"/>
          <w:lang w:val="en-US"/>
        </w:rPr>
        <w:t xml:space="preserve"> category</w:t>
      </w:r>
      <w:r w:rsidR="00D2489E">
        <w:rPr>
          <w:rFonts w:ascii="Calibri" w:eastAsia="Calibri" w:hAnsi="Calibri" w:cs="Times New Roman"/>
          <w:lang w:val="en-US"/>
        </w:rPr>
        <w:t xml:space="preserve">. The advantage of reclassifying to amortized costs is that </w:t>
      </w:r>
      <w:r w:rsidR="00D2489E" w:rsidRPr="002F5873">
        <w:rPr>
          <w:rFonts w:ascii="Calibri" w:eastAsia="Calibri" w:hAnsi="Calibri" w:cs="Times New Roman"/>
          <w:lang w:val="en-US"/>
        </w:rPr>
        <w:t xml:space="preserve">the valuation of the financial instrument is no longer subjected to value changes </w:t>
      </w:r>
      <w:r w:rsidR="00D2489E">
        <w:rPr>
          <w:rFonts w:ascii="Calibri" w:eastAsia="Calibri" w:hAnsi="Calibri" w:cs="Times New Roman"/>
          <w:lang w:val="en-US"/>
        </w:rPr>
        <w:t xml:space="preserve">in illiquid markets. </w:t>
      </w:r>
      <w:r w:rsidR="00E14521" w:rsidRPr="00625CB1">
        <w:rPr>
          <w:lang w:val="en-US"/>
        </w:rPr>
        <w:t>Th</w:t>
      </w:r>
      <w:r w:rsidR="00E14521">
        <w:rPr>
          <w:lang w:val="en-US"/>
        </w:rPr>
        <w:t xml:space="preserve">erefore, a </w:t>
      </w:r>
      <w:r w:rsidR="00E14521" w:rsidRPr="00E14521">
        <w:rPr>
          <w:lang w:val="en-US"/>
        </w:rPr>
        <w:t>positive abnormal market return was expected by the events of a probable introduction of the reclassification option in IAS 39.</w:t>
      </w:r>
      <w:r w:rsidR="00E14521">
        <w:rPr>
          <w:color w:val="C00000"/>
          <w:lang w:val="en-US"/>
        </w:rPr>
        <w:t xml:space="preserve"> </w:t>
      </w:r>
      <w:r w:rsidR="00E14521">
        <w:rPr>
          <w:lang w:val="en-US"/>
        </w:rPr>
        <w:t xml:space="preserve">The results show that the first trough fourth event give a negative stock price reaction and therefore does not support the first hypothesis. The fifth event </w:t>
      </w:r>
      <w:r w:rsidR="004F7107">
        <w:rPr>
          <w:lang w:val="en-US"/>
        </w:rPr>
        <w:t>on the other hand</w:t>
      </w:r>
      <w:r w:rsidR="00E14521">
        <w:rPr>
          <w:lang w:val="en-US"/>
        </w:rPr>
        <w:t>, which represent the introduction of the reclassification option in IAS 39, show</w:t>
      </w:r>
      <w:r w:rsidR="00DC0005">
        <w:rPr>
          <w:lang w:val="en-US"/>
        </w:rPr>
        <w:t>s</w:t>
      </w:r>
      <w:r w:rsidR="00E14521">
        <w:rPr>
          <w:lang w:val="en-US"/>
        </w:rPr>
        <w:t xml:space="preserve"> a positive abnormal return </w:t>
      </w:r>
      <w:r w:rsidR="004F7107">
        <w:rPr>
          <w:lang w:val="en-US"/>
        </w:rPr>
        <w:t>by</w:t>
      </w:r>
      <w:r w:rsidR="00E14521">
        <w:rPr>
          <w:lang w:val="en-US"/>
        </w:rPr>
        <w:t xml:space="preserve"> financial institutions. This result supports the overall hypothesis. The result of the first through fourth event </w:t>
      </w:r>
      <w:r w:rsidR="004F7107">
        <w:rPr>
          <w:lang w:val="en-US"/>
        </w:rPr>
        <w:t xml:space="preserve">could be a reaction on the events, </w:t>
      </w:r>
      <w:r w:rsidR="00777BD1">
        <w:rPr>
          <w:lang w:val="en-US"/>
        </w:rPr>
        <w:t xml:space="preserve">however </w:t>
      </w:r>
      <w:r w:rsidR="004F7107">
        <w:rPr>
          <w:lang w:val="en-US"/>
        </w:rPr>
        <w:t xml:space="preserve">this </w:t>
      </w:r>
      <w:r w:rsidR="00777BD1">
        <w:rPr>
          <w:lang w:val="en-US"/>
        </w:rPr>
        <w:t>is not supported</w:t>
      </w:r>
      <w:r w:rsidR="004F7107">
        <w:rPr>
          <w:lang w:val="en-US"/>
        </w:rPr>
        <w:t xml:space="preserve"> by the positive </w:t>
      </w:r>
      <w:r w:rsidR="00D041FC">
        <w:rPr>
          <w:lang w:val="en-US"/>
        </w:rPr>
        <w:t>abnormal</w:t>
      </w:r>
      <w:r w:rsidR="00777BD1">
        <w:rPr>
          <w:lang w:val="en-US"/>
        </w:rPr>
        <w:t xml:space="preserve"> return during the fifth event</w:t>
      </w:r>
      <w:r w:rsidR="004F7107" w:rsidRPr="002B0B2A">
        <w:rPr>
          <w:lang w:val="en-US"/>
        </w:rPr>
        <w:t xml:space="preserve">. </w:t>
      </w:r>
      <w:r w:rsidR="00E53047" w:rsidRPr="002B0B2A">
        <w:rPr>
          <w:lang w:val="en-US"/>
        </w:rPr>
        <w:t>Therefore, there should be other reasons for the negative stock price reaction during the first through fourth even</w:t>
      </w:r>
      <w:r w:rsidR="00613E1F">
        <w:rPr>
          <w:lang w:val="en-US"/>
        </w:rPr>
        <w:t>t</w:t>
      </w:r>
      <w:r w:rsidR="00E53047" w:rsidRPr="002B0B2A">
        <w:rPr>
          <w:lang w:val="en-US"/>
        </w:rPr>
        <w:t>. In paragraph 8.1</w:t>
      </w:r>
      <w:r w:rsidR="00DC0005">
        <w:rPr>
          <w:lang w:val="en-US"/>
        </w:rPr>
        <w:t>,</w:t>
      </w:r>
      <w:r w:rsidR="00E53047" w:rsidRPr="002B0B2A">
        <w:rPr>
          <w:lang w:val="en-US"/>
        </w:rPr>
        <w:t xml:space="preserve"> </w:t>
      </w:r>
      <w:r w:rsidR="00E53047" w:rsidRPr="002B0B2A">
        <w:rPr>
          <w:lang w:val="en-US"/>
        </w:rPr>
        <w:lastRenderedPageBreak/>
        <w:t>the possible reasons</w:t>
      </w:r>
      <w:r w:rsidR="00DC0005">
        <w:rPr>
          <w:lang w:val="en-US"/>
        </w:rPr>
        <w:t xml:space="preserve"> for a negative stock price reaction during the first through fourth event </w:t>
      </w:r>
      <w:r w:rsidR="00DC0005" w:rsidRPr="002B0B2A">
        <w:rPr>
          <w:lang w:val="en-US"/>
        </w:rPr>
        <w:t xml:space="preserve">are </w:t>
      </w:r>
      <w:r w:rsidR="00E53047" w:rsidRPr="002B0B2A">
        <w:rPr>
          <w:lang w:val="en-US"/>
        </w:rPr>
        <w:t xml:space="preserve">described. Another possibility </w:t>
      </w:r>
      <w:r w:rsidR="009B4B05" w:rsidRPr="00637874">
        <w:rPr>
          <w:lang w:val="en-US"/>
        </w:rPr>
        <w:t xml:space="preserve">is the </w:t>
      </w:r>
      <w:r w:rsidR="009B4B05">
        <w:rPr>
          <w:lang w:val="en-US"/>
        </w:rPr>
        <w:t>experienced</w:t>
      </w:r>
      <w:r w:rsidR="009B4B05" w:rsidRPr="00637874">
        <w:rPr>
          <w:lang w:val="en-US"/>
        </w:rPr>
        <w:t xml:space="preserve"> doubt </w:t>
      </w:r>
      <w:r w:rsidR="009B4B05">
        <w:rPr>
          <w:lang w:val="en-US"/>
        </w:rPr>
        <w:t>of</w:t>
      </w:r>
      <w:r w:rsidR="009B4B05" w:rsidRPr="00637874">
        <w:rPr>
          <w:lang w:val="en-US"/>
        </w:rPr>
        <w:t xml:space="preserve"> investors </w:t>
      </w:r>
      <w:r w:rsidR="00E53047" w:rsidRPr="002B0B2A">
        <w:rPr>
          <w:lang w:val="en-US"/>
        </w:rPr>
        <w:t>of financial institutions</w:t>
      </w:r>
      <w:r w:rsidR="0028567D" w:rsidRPr="0028567D">
        <w:rPr>
          <w:lang w:val="en-US"/>
        </w:rPr>
        <w:t xml:space="preserve"> </w:t>
      </w:r>
      <w:r w:rsidR="0028567D" w:rsidRPr="00637874">
        <w:rPr>
          <w:lang w:val="en-US"/>
        </w:rPr>
        <w:t>about FVA</w:t>
      </w:r>
      <w:r w:rsidR="00E53047" w:rsidRPr="002B0B2A">
        <w:rPr>
          <w:lang w:val="en-US"/>
        </w:rPr>
        <w:t xml:space="preserve">. The length of the event windows could also be the reason for the resulting negative stock price reaction during the first through fourth event. The difference between the US and Europe could be a reason for a different way of stock price reactions on events concerning the introduction of </w:t>
      </w:r>
      <w:r w:rsidR="006F2E11" w:rsidRPr="002B0B2A">
        <w:rPr>
          <w:lang w:val="en-US"/>
        </w:rPr>
        <w:t xml:space="preserve">a change </w:t>
      </w:r>
      <w:r w:rsidR="00613E1F">
        <w:rPr>
          <w:lang w:val="en-US"/>
        </w:rPr>
        <w:t>in</w:t>
      </w:r>
      <w:r w:rsidR="006F2E11" w:rsidRPr="002B0B2A">
        <w:rPr>
          <w:lang w:val="en-US"/>
        </w:rPr>
        <w:t xml:space="preserve"> FVA </w:t>
      </w:r>
      <w:r w:rsidR="00E53047" w:rsidRPr="002B0B2A">
        <w:rPr>
          <w:lang w:val="en-US"/>
        </w:rPr>
        <w:t xml:space="preserve">accounting rules. Therefore, the difference </w:t>
      </w:r>
      <w:r w:rsidR="002B0B2A" w:rsidRPr="002B0B2A">
        <w:rPr>
          <w:lang w:val="en-US"/>
        </w:rPr>
        <w:t xml:space="preserve">in corporate governance </w:t>
      </w:r>
      <w:r w:rsidR="00E53047" w:rsidRPr="002B0B2A">
        <w:rPr>
          <w:lang w:val="en-US"/>
        </w:rPr>
        <w:t xml:space="preserve">between </w:t>
      </w:r>
      <w:r w:rsidR="004B5E80" w:rsidRPr="002B0B2A">
        <w:rPr>
          <w:lang w:val="en-US"/>
        </w:rPr>
        <w:t xml:space="preserve">the US and Europe </w:t>
      </w:r>
      <w:r w:rsidR="00105827" w:rsidRPr="002B0B2A">
        <w:rPr>
          <w:lang w:val="en-US"/>
        </w:rPr>
        <w:t>and differences between the US and Europe in relation to the source of financial information, flow of financial information and way of financial decisions could be a reason for the negative stock price reaction.</w:t>
      </w:r>
      <w:r w:rsidR="002B0B2A">
        <w:rPr>
          <w:color w:val="FF0000"/>
          <w:lang w:val="en-US"/>
        </w:rPr>
        <w:t xml:space="preserve"> </w:t>
      </w:r>
      <w:r w:rsidR="004F7107">
        <w:rPr>
          <w:lang w:val="en-US"/>
        </w:rPr>
        <w:t xml:space="preserve">However, the positive abnormal return during the fifth event </w:t>
      </w:r>
      <w:r w:rsidR="006F512E">
        <w:rPr>
          <w:lang w:val="en-US"/>
        </w:rPr>
        <w:t>supports</w:t>
      </w:r>
      <w:r w:rsidR="004F7107">
        <w:rPr>
          <w:lang w:val="en-US"/>
        </w:rPr>
        <w:t xml:space="preserve"> that financial institutions in Europe react positively to the introduction of the reclassification option in IAS 39. </w:t>
      </w:r>
      <w:r w:rsidR="009A59AC">
        <w:rPr>
          <w:lang w:val="en-US"/>
        </w:rPr>
        <w:t>In other words, financial institutions in Europe embraced the reclassification option. This finding is in line with research of Beatty et al. (1996), Cornett et al. (1996) and Bowen et al. (2010).</w:t>
      </w:r>
    </w:p>
    <w:p w:rsidR="00390411" w:rsidRPr="00A845EA" w:rsidRDefault="009A59AC" w:rsidP="00390411">
      <w:pPr>
        <w:rPr>
          <w:lang w:val="en-US"/>
        </w:rPr>
      </w:pPr>
      <w:r w:rsidRPr="00A845EA">
        <w:rPr>
          <w:lang w:val="en-US"/>
        </w:rPr>
        <w:t xml:space="preserve">The second </w:t>
      </w:r>
      <w:r w:rsidR="00A37F38" w:rsidRPr="00A845EA">
        <w:rPr>
          <w:lang w:val="en-US"/>
        </w:rPr>
        <w:t xml:space="preserve">tested </w:t>
      </w:r>
      <w:r w:rsidRPr="00A845EA">
        <w:rPr>
          <w:lang w:val="en-US"/>
        </w:rPr>
        <w:t xml:space="preserve">hypothesis is: </w:t>
      </w:r>
      <w:r w:rsidR="00CC22AB" w:rsidRPr="00A845EA">
        <w:rPr>
          <w:rStyle w:val="longtext1"/>
          <w:rFonts w:cs="Times New Roman"/>
          <w:i/>
          <w:sz w:val="22"/>
          <w:szCs w:val="22"/>
          <w:shd w:val="clear" w:color="auto" w:fill="FFFFFF"/>
          <w:lang w:val="en-US"/>
        </w:rPr>
        <w:t>The absolute value of the stock price reactions of banks in Europe to the introduction of the reclassification option for financial instruments in IAS 39 is expected to be weaker than the reaction on the announcements relaxing FVA in the US.</w:t>
      </w:r>
      <w:r w:rsidRPr="00A845EA">
        <w:rPr>
          <w:rStyle w:val="longtext1"/>
          <w:rFonts w:cs="Times New Roman"/>
          <w:sz w:val="22"/>
          <w:szCs w:val="22"/>
          <w:shd w:val="clear" w:color="auto" w:fill="FFFFFF"/>
          <w:lang w:val="en-US"/>
        </w:rPr>
        <w:t xml:space="preserve"> This hypothesis was expected by the</w:t>
      </w:r>
      <w:r w:rsidR="00BB15AE" w:rsidRPr="00A845EA">
        <w:rPr>
          <w:rStyle w:val="longtext1"/>
          <w:rFonts w:cs="Times New Roman"/>
          <w:sz w:val="22"/>
          <w:szCs w:val="22"/>
          <w:shd w:val="clear" w:color="auto" w:fill="FFFFFF"/>
          <w:lang w:val="en-US"/>
        </w:rPr>
        <w:t xml:space="preserve"> difference between relaxation of FVA in the US and the introduction of the reclassification option in Europe. This </w:t>
      </w:r>
      <w:r w:rsidR="00D041FC" w:rsidRPr="00A845EA">
        <w:rPr>
          <w:rStyle w:val="longtext1"/>
          <w:rFonts w:cs="Times New Roman"/>
          <w:sz w:val="22"/>
          <w:szCs w:val="22"/>
          <w:shd w:val="clear" w:color="auto" w:fill="FFFFFF"/>
          <w:lang w:val="en-US"/>
        </w:rPr>
        <w:t>difference</w:t>
      </w:r>
      <w:r w:rsidR="00BB15AE" w:rsidRPr="00A845EA">
        <w:rPr>
          <w:rStyle w:val="longtext1"/>
          <w:rFonts w:cs="Times New Roman"/>
          <w:sz w:val="22"/>
          <w:szCs w:val="22"/>
          <w:shd w:val="clear" w:color="auto" w:fill="FFFFFF"/>
          <w:lang w:val="en-US"/>
        </w:rPr>
        <w:t xml:space="preserve"> means that the rules on FVA in the US were more relaxed than the reclassification option in Europe. Hence,</w:t>
      </w:r>
      <w:r w:rsidRPr="00A845EA">
        <w:rPr>
          <w:rStyle w:val="longtext1"/>
          <w:rFonts w:cs="Times New Roman"/>
          <w:sz w:val="22"/>
          <w:szCs w:val="22"/>
          <w:shd w:val="clear" w:color="auto" w:fill="FFFFFF"/>
          <w:lang w:val="en-US"/>
        </w:rPr>
        <w:t xml:space="preserve"> outcome of prior research </w:t>
      </w:r>
      <w:r w:rsidR="00BB15AE" w:rsidRPr="00A845EA">
        <w:rPr>
          <w:rStyle w:val="longtext1"/>
          <w:rFonts w:cs="Times New Roman"/>
          <w:sz w:val="22"/>
          <w:szCs w:val="22"/>
          <w:shd w:val="clear" w:color="auto" w:fill="FFFFFF"/>
          <w:lang w:val="en-US"/>
        </w:rPr>
        <w:t xml:space="preserve">of </w:t>
      </w:r>
      <w:r w:rsidR="00BB15AE" w:rsidRPr="00A845EA">
        <w:rPr>
          <w:lang w:val="en-US"/>
        </w:rPr>
        <w:t xml:space="preserve">Scholtens and de Wit (2004) and Van Dijk and Roosenboom (2009), </w:t>
      </w:r>
      <w:r w:rsidR="00A37F38">
        <w:rPr>
          <w:rStyle w:val="longtext1"/>
          <w:rFonts w:cs="Times New Roman"/>
          <w:sz w:val="22"/>
          <w:szCs w:val="22"/>
          <w:shd w:val="clear" w:color="auto" w:fill="FFFFFF"/>
          <w:lang w:val="en-US"/>
        </w:rPr>
        <w:t>about</w:t>
      </w:r>
      <w:r w:rsidRPr="00A845EA">
        <w:rPr>
          <w:rStyle w:val="longtext1"/>
          <w:rFonts w:cs="Times New Roman"/>
          <w:sz w:val="22"/>
          <w:szCs w:val="22"/>
          <w:shd w:val="clear" w:color="auto" w:fill="FFFFFF"/>
          <w:lang w:val="en-US"/>
        </w:rPr>
        <w:t xml:space="preserve"> </w:t>
      </w:r>
      <w:r w:rsidR="00BB15AE" w:rsidRPr="00A845EA">
        <w:rPr>
          <w:rStyle w:val="longtext1"/>
          <w:rFonts w:cs="Times New Roman"/>
          <w:sz w:val="22"/>
          <w:szCs w:val="22"/>
          <w:shd w:val="clear" w:color="auto" w:fill="FFFFFF"/>
          <w:lang w:val="en-US"/>
        </w:rPr>
        <w:t xml:space="preserve">differences in stock price reaction between the US and Europe, </w:t>
      </w:r>
      <w:r w:rsidR="00BB15AE" w:rsidRPr="00A845EA">
        <w:rPr>
          <w:lang w:val="en-US"/>
        </w:rPr>
        <w:t>indicates that the capital market in the US reacts stronger on announcements of a possible relaxation of FVA compared to Europe</w:t>
      </w:r>
      <w:r w:rsidR="00427475" w:rsidRPr="00427475">
        <w:rPr>
          <w:lang w:val="en-US"/>
        </w:rPr>
        <w:t xml:space="preserve"> </w:t>
      </w:r>
      <w:r w:rsidR="00427475" w:rsidRPr="00A845EA">
        <w:rPr>
          <w:lang w:val="en-US"/>
        </w:rPr>
        <w:t>also</w:t>
      </w:r>
      <w:r w:rsidR="00BB15AE" w:rsidRPr="00A845EA">
        <w:rPr>
          <w:lang w:val="en-US"/>
        </w:rPr>
        <w:t xml:space="preserve">. </w:t>
      </w:r>
      <w:r w:rsidR="002B0B2A">
        <w:rPr>
          <w:lang w:val="en-US"/>
        </w:rPr>
        <w:t>T</w:t>
      </w:r>
      <w:r w:rsidR="00297A5F" w:rsidRPr="00A845EA">
        <w:rPr>
          <w:lang w:val="en-US"/>
        </w:rPr>
        <w:t>esting this hypothesis, the results of Bowen et al. (2010) and the results of the banks sample regression</w:t>
      </w:r>
      <w:r w:rsidR="00B630BB" w:rsidRPr="00A845EA">
        <w:rPr>
          <w:lang w:val="en-US"/>
        </w:rPr>
        <w:t xml:space="preserve"> of this thesis</w:t>
      </w:r>
      <w:r w:rsidR="00297A5F" w:rsidRPr="00A845EA">
        <w:rPr>
          <w:lang w:val="en-US"/>
        </w:rPr>
        <w:t xml:space="preserve"> were </w:t>
      </w:r>
      <w:r w:rsidR="00297A5F" w:rsidRPr="002B0B2A">
        <w:rPr>
          <w:lang w:val="en-US"/>
        </w:rPr>
        <w:t>compared</w:t>
      </w:r>
      <w:r w:rsidR="00B630BB" w:rsidRPr="002B0B2A">
        <w:rPr>
          <w:lang w:val="en-US"/>
        </w:rPr>
        <w:t>. By comparing th</w:t>
      </w:r>
      <w:r w:rsidR="007E1922" w:rsidRPr="002B0B2A">
        <w:rPr>
          <w:lang w:val="en-US"/>
        </w:rPr>
        <w:t>ese</w:t>
      </w:r>
      <w:r w:rsidR="00B630BB" w:rsidRPr="002B0B2A">
        <w:rPr>
          <w:lang w:val="en-US"/>
        </w:rPr>
        <w:t xml:space="preserve"> results, it is </w:t>
      </w:r>
      <w:r w:rsidR="00D041FC" w:rsidRPr="002B0B2A">
        <w:rPr>
          <w:lang w:val="en-US"/>
        </w:rPr>
        <w:t>visible</w:t>
      </w:r>
      <w:r w:rsidR="00B630BB" w:rsidRPr="002B0B2A">
        <w:rPr>
          <w:lang w:val="en-US"/>
        </w:rPr>
        <w:t xml:space="preserve"> that the </w:t>
      </w:r>
      <w:r w:rsidR="007E1922" w:rsidRPr="002B0B2A">
        <w:rPr>
          <w:lang w:val="en-US"/>
        </w:rPr>
        <w:t xml:space="preserve">stock price reaction in the US on the introduction of the relaxation of FVA is more significant than the stock price reaction in Europe to the reclassification option. </w:t>
      </w:r>
      <w:r w:rsidR="007F6D8A" w:rsidRPr="002B0B2A">
        <w:rPr>
          <w:lang w:val="en-US"/>
        </w:rPr>
        <w:t xml:space="preserve">The results of </w:t>
      </w:r>
      <w:r w:rsidR="007E1922" w:rsidRPr="002B0B2A">
        <w:rPr>
          <w:lang w:val="en-US"/>
        </w:rPr>
        <w:t>Bowen et al. (2010)</w:t>
      </w:r>
      <w:r w:rsidR="007F6D8A" w:rsidRPr="002B0B2A">
        <w:rPr>
          <w:lang w:val="en-US"/>
        </w:rPr>
        <w:t xml:space="preserve"> show</w:t>
      </w:r>
      <w:r w:rsidR="00106A07" w:rsidRPr="002B0B2A">
        <w:rPr>
          <w:lang w:val="en-US"/>
        </w:rPr>
        <w:t xml:space="preserve"> during</w:t>
      </w:r>
      <w:r w:rsidR="009B4B05">
        <w:rPr>
          <w:lang w:val="en-US"/>
        </w:rPr>
        <w:t xml:space="preserve"> seven out of t</w:t>
      </w:r>
      <w:r w:rsidR="007F6D8A" w:rsidRPr="002B0B2A">
        <w:rPr>
          <w:lang w:val="en-US"/>
        </w:rPr>
        <w:t xml:space="preserve">en events a positive abnormal return. </w:t>
      </w:r>
      <w:r w:rsidR="00E42971" w:rsidRPr="002B0B2A">
        <w:rPr>
          <w:lang w:val="en-US"/>
        </w:rPr>
        <w:t>Banks in</w:t>
      </w:r>
      <w:r w:rsidR="007F6D8A" w:rsidRPr="002B0B2A">
        <w:rPr>
          <w:lang w:val="en-US"/>
        </w:rPr>
        <w:t xml:space="preserve"> Europe </w:t>
      </w:r>
      <w:r w:rsidR="00E42971" w:rsidRPr="002B0B2A">
        <w:rPr>
          <w:lang w:val="en-US"/>
        </w:rPr>
        <w:t xml:space="preserve">show </w:t>
      </w:r>
      <w:r w:rsidR="007F6D8A" w:rsidRPr="002B0B2A">
        <w:rPr>
          <w:lang w:val="en-US"/>
        </w:rPr>
        <w:t xml:space="preserve">only </w:t>
      </w:r>
      <w:r w:rsidR="00E42971" w:rsidRPr="002B0B2A">
        <w:rPr>
          <w:lang w:val="en-US"/>
        </w:rPr>
        <w:t xml:space="preserve">a statistically non-significant abnormal return during </w:t>
      </w:r>
      <w:r w:rsidR="007F6D8A" w:rsidRPr="002B0B2A">
        <w:rPr>
          <w:lang w:val="en-US"/>
        </w:rPr>
        <w:t>the fifth event (</w:t>
      </w:r>
      <w:r w:rsidR="009B4B05">
        <w:rPr>
          <w:lang w:val="en-US"/>
        </w:rPr>
        <w:t xml:space="preserve">introduction of the </w:t>
      </w:r>
      <w:r w:rsidR="007F6D8A" w:rsidRPr="002B0B2A">
        <w:rPr>
          <w:lang w:val="en-US"/>
        </w:rPr>
        <w:t>reclassification option)</w:t>
      </w:r>
      <w:r w:rsidR="00E42971" w:rsidRPr="002B0B2A">
        <w:rPr>
          <w:lang w:val="en-US"/>
        </w:rPr>
        <w:t xml:space="preserve">. </w:t>
      </w:r>
      <w:r w:rsidR="00390411" w:rsidRPr="002B0B2A">
        <w:rPr>
          <w:lang w:val="en-US"/>
        </w:rPr>
        <w:t xml:space="preserve">The fifth </w:t>
      </w:r>
      <w:r w:rsidR="00505AD1">
        <w:rPr>
          <w:lang w:val="en-US"/>
        </w:rPr>
        <w:t xml:space="preserve">event </w:t>
      </w:r>
      <w:r w:rsidR="00390411" w:rsidRPr="002B0B2A">
        <w:rPr>
          <w:lang w:val="en-US"/>
        </w:rPr>
        <w:t xml:space="preserve">in Europe is the same event as the second event in the US. </w:t>
      </w:r>
      <w:r w:rsidR="009B4B05">
        <w:rPr>
          <w:lang w:val="en-US"/>
        </w:rPr>
        <w:t xml:space="preserve">Both events represent the introduction of the reclassification option in IAS 39. </w:t>
      </w:r>
      <w:r w:rsidR="00105827" w:rsidRPr="002B0B2A">
        <w:rPr>
          <w:lang w:val="en-US"/>
        </w:rPr>
        <w:t>T</w:t>
      </w:r>
      <w:r w:rsidR="00390411" w:rsidRPr="002B0B2A">
        <w:rPr>
          <w:lang w:val="en-US"/>
        </w:rPr>
        <w:t xml:space="preserve">he second event in the US shows a stronger reaction than the fifth event in Europe. </w:t>
      </w:r>
      <w:r w:rsidR="00105827" w:rsidRPr="002B0B2A">
        <w:rPr>
          <w:lang w:val="en-US"/>
        </w:rPr>
        <w:t xml:space="preserve">However, the second event of Bowen et al. (2010) is not </w:t>
      </w:r>
      <w:r w:rsidR="00105827" w:rsidRPr="002B0B2A">
        <w:rPr>
          <w:lang w:val="en-US" w:eastAsia="nl-NL"/>
        </w:rPr>
        <w:t>a major point of the relaxation of FVA in the US. The tenth event of the research of Bowen et al. (2010) represents the introduction of the relaxation of FVA and impairment rules in the US. Therefore, the tenth event in the US is compared with the fifth event i</w:t>
      </w:r>
      <w:r w:rsidR="00E033EC">
        <w:rPr>
          <w:lang w:val="en-US" w:eastAsia="nl-NL"/>
        </w:rPr>
        <w:t>n Europe. Both event</w:t>
      </w:r>
      <w:r w:rsidR="00105827" w:rsidRPr="002B0B2A">
        <w:rPr>
          <w:lang w:val="en-US" w:eastAsia="nl-NL"/>
        </w:rPr>
        <w:t xml:space="preserve">s show a statistical not significant positive stock price reaction. However, investors in the US already know at the eighth event that there should come a relaxation of FVA and </w:t>
      </w:r>
      <w:r w:rsidR="00105827" w:rsidRPr="00427475">
        <w:rPr>
          <w:lang w:val="en-US" w:eastAsia="nl-NL"/>
        </w:rPr>
        <w:t xml:space="preserve">impairment rules. Therefore, the stock price reaction on the relaxation in the US </w:t>
      </w:r>
      <w:r w:rsidR="00427475" w:rsidRPr="00427475">
        <w:rPr>
          <w:lang w:val="en-US" w:eastAsia="nl-NL"/>
        </w:rPr>
        <w:t xml:space="preserve">might possibly have already occurred before </w:t>
      </w:r>
      <w:r w:rsidR="00105827" w:rsidRPr="00427475">
        <w:rPr>
          <w:lang w:val="en-US" w:eastAsia="nl-NL"/>
        </w:rPr>
        <w:t>the introduction of the relaxation (tenth event ). During the eighth</w:t>
      </w:r>
      <w:r w:rsidR="00105827" w:rsidRPr="002B0B2A">
        <w:rPr>
          <w:lang w:val="en-US" w:eastAsia="nl-NL"/>
        </w:rPr>
        <w:t xml:space="preserve"> </w:t>
      </w:r>
      <w:r w:rsidR="00D31DBB" w:rsidRPr="002B0B2A">
        <w:rPr>
          <w:lang w:val="en-US" w:eastAsia="nl-NL"/>
        </w:rPr>
        <w:t>event</w:t>
      </w:r>
      <w:r w:rsidR="00D31DBB">
        <w:rPr>
          <w:lang w:val="en-US" w:eastAsia="nl-NL"/>
        </w:rPr>
        <w:t xml:space="preserve"> of Bowen et al. (2010)</w:t>
      </w:r>
      <w:r w:rsidR="00D31DBB" w:rsidRPr="002B0B2A">
        <w:rPr>
          <w:lang w:val="en-US" w:eastAsia="nl-NL"/>
        </w:rPr>
        <w:t>,</w:t>
      </w:r>
      <w:r w:rsidR="009B4B05">
        <w:rPr>
          <w:lang w:val="en-US" w:eastAsia="nl-NL"/>
        </w:rPr>
        <w:t xml:space="preserve"> which </w:t>
      </w:r>
      <w:r w:rsidR="009B4B05">
        <w:rPr>
          <w:lang w:val="en-US"/>
        </w:rPr>
        <w:t>represents the political pressure on the FASB to relax the FVA rules</w:t>
      </w:r>
      <w:r w:rsidR="00D31DBB">
        <w:rPr>
          <w:lang w:val="en-US"/>
        </w:rPr>
        <w:t>,</w:t>
      </w:r>
      <w:r w:rsidR="00105827" w:rsidRPr="002B0B2A">
        <w:rPr>
          <w:lang w:val="en-US" w:eastAsia="nl-NL"/>
        </w:rPr>
        <w:t xml:space="preserve"> there was a significant positive stock price reaction in the US. </w:t>
      </w:r>
      <w:r w:rsidR="00E033EC">
        <w:rPr>
          <w:lang w:val="en-US"/>
        </w:rPr>
        <w:t>The event</w:t>
      </w:r>
      <w:r w:rsidR="00390411" w:rsidRPr="002B0B2A">
        <w:rPr>
          <w:lang w:val="en-US"/>
        </w:rPr>
        <w:t xml:space="preserve">s combined </w:t>
      </w:r>
      <w:r w:rsidR="00105827" w:rsidRPr="002B0B2A">
        <w:rPr>
          <w:lang w:val="en-US"/>
        </w:rPr>
        <w:t>show</w:t>
      </w:r>
      <w:r w:rsidR="00390411" w:rsidRPr="002B0B2A">
        <w:rPr>
          <w:lang w:val="en-US"/>
        </w:rPr>
        <w:t xml:space="preserve"> a positive abnormal return</w:t>
      </w:r>
      <w:r w:rsidR="00427475" w:rsidRPr="002B0B2A">
        <w:rPr>
          <w:lang w:val="en-US"/>
        </w:rPr>
        <w:t xml:space="preserve"> in the US</w:t>
      </w:r>
      <w:r w:rsidR="00390411" w:rsidRPr="002B0B2A">
        <w:rPr>
          <w:lang w:val="en-US"/>
        </w:rPr>
        <w:t xml:space="preserve"> compared to a negative abnormal return in Europe. The negative abnorma</w:t>
      </w:r>
      <w:r w:rsidR="00E033EC">
        <w:rPr>
          <w:lang w:val="en-US"/>
        </w:rPr>
        <w:t>l return in Europe on the event</w:t>
      </w:r>
      <w:r w:rsidR="00390411" w:rsidRPr="002B0B2A">
        <w:rPr>
          <w:lang w:val="en-US"/>
        </w:rPr>
        <w:t>s combined is a result of the negative stock price reaction during</w:t>
      </w:r>
      <w:r w:rsidR="00E033EC">
        <w:rPr>
          <w:lang w:val="en-US"/>
        </w:rPr>
        <w:t xml:space="preserve"> the first through fourth event</w:t>
      </w:r>
      <w:r w:rsidR="00390411" w:rsidRPr="002B0B2A">
        <w:rPr>
          <w:lang w:val="en-US"/>
        </w:rPr>
        <w:t>.</w:t>
      </w:r>
      <w:r w:rsidR="00D96060" w:rsidRPr="002B0B2A">
        <w:rPr>
          <w:lang w:val="en-US"/>
        </w:rPr>
        <w:t xml:space="preserve"> </w:t>
      </w:r>
      <w:r w:rsidR="00390411" w:rsidRPr="002B0B2A">
        <w:rPr>
          <w:lang w:val="en-US"/>
        </w:rPr>
        <w:t>Overall, this means that the stock prices of banks in the US react stronger</w:t>
      </w:r>
      <w:r w:rsidR="00D96060" w:rsidRPr="002B0B2A">
        <w:rPr>
          <w:lang w:val="en-US"/>
        </w:rPr>
        <w:t xml:space="preserve"> to the announcements of relaxation, shown by the combination of</w:t>
      </w:r>
      <w:r w:rsidR="00390411" w:rsidRPr="002B0B2A">
        <w:rPr>
          <w:lang w:val="en-US"/>
        </w:rPr>
        <w:t xml:space="preserve"> </w:t>
      </w:r>
      <w:r w:rsidR="00105827" w:rsidRPr="002B0B2A">
        <w:rPr>
          <w:lang w:val="en-US"/>
        </w:rPr>
        <w:t>the</w:t>
      </w:r>
      <w:r w:rsidR="004176F1" w:rsidRPr="002B0B2A">
        <w:rPr>
          <w:lang w:val="en-US"/>
        </w:rPr>
        <w:t xml:space="preserve"> difference in reaction of the</w:t>
      </w:r>
      <w:r w:rsidR="00105827" w:rsidRPr="002B0B2A">
        <w:rPr>
          <w:lang w:val="en-US"/>
        </w:rPr>
        <w:t xml:space="preserve"> second and eighth event in US compared with the fifth event in Europe </w:t>
      </w:r>
      <w:r w:rsidR="00D96060" w:rsidRPr="002B0B2A">
        <w:rPr>
          <w:lang w:val="en-US"/>
        </w:rPr>
        <w:t xml:space="preserve">and </w:t>
      </w:r>
      <w:r w:rsidR="00390411" w:rsidRPr="002B0B2A">
        <w:rPr>
          <w:lang w:val="en-US"/>
        </w:rPr>
        <w:t xml:space="preserve">the </w:t>
      </w:r>
      <w:r w:rsidR="00E033EC">
        <w:rPr>
          <w:lang w:val="en-US"/>
        </w:rPr>
        <w:t xml:space="preserve">events </w:t>
      </w:r>
      <w:r w:rsidR="00390411" w:rsidRPr="002B0B2A">
        <w:rPr>
          <w:lang w:val="en-US"/>
        </w:rPr>
        <w:t xml:space="preserve">together of banks. In other words, </w:t>
      </w:r>
      <w:r w:rsidR="00390411" w:rsidRPr="002B0B2A">
        <w:rPr>
          <w:lang w:val="en-US"/>
        </w:rPr>
        <w:lastRenderedPageBreak/>
        <w:t xml:space="preserve">abnormal return of banks in Europe is weaker during the events. This result </w:t>
      </w:r>
      <w:r w:rsidR="002B0B2A" w:rsidRPr="002B0B2A">
        <w:rPr>
          <w:lang w:val="en-US"/>
        </w:rPr>
        <w:t xml:space="preserve">seems to </w:t>
      </w:r>
      <w:r w:rsidR="006F512E">
        <w:rPr>
          <w:lang w:val="en-US"/>
        </w:rPr>
        <w:t>support</w:t>
      </w:r>
      <w:r w:rsidR="00390411" w:rsidRPr="002B0B2A">
        <w:rPr>
          <w:lang w:val="en-US"/>
        </w:rPr>
        <w:t xml:space="preserve"> hypothesis two and is in line with researches of Scholtens and de Wit (2004) and Van Dijk and Roosenboom (2009). The difference in situation</w:t>
      </w:r>
      <w:r w:rsidR="00DB595A" w:rsidRPr="002B0B2A">
        <w:rPr>
          <w:lang w:val="en-US"/>
        </w:rPr>
        <w:t xml:space="preserve"> between the US and Europe, </w:t>
      </w:r>
      <w:r w:rsidR="002B0B2A" w:rsidRPr="002B0B2A">
        <w:rPr>
          <w:lang w:val="en-US"/>
        </w:rPr>
        <w:t xml:space="preserve">could </w:t>
      </w:r>
      <w:r w:rsidR="00DB595A" w:rsidRPr="002B0B2A">
        <w:rPr>
          <w:lang w:val="en-US"/>
        </w:rPr>
        <w:t>result in a difference between results of Bowen et al. (2010) and the banks sample of this thesis</w:t>
      </w:r>
      <w:r w:rsidR="00427475" w:rsidRPr="00427475">
        <w:rPr>
          <w:lang w:val="en-US"/>
        </w:rPr>
        <w:t xml:space="preserve"> </w:t>
      </w:r>
      <w:r w:rsidR="00427475" w:rsidRPr="002B0B2A">
        <w:rPr>
          <w:lang w:val="en-US"/>
        </w:rPr>
        <w:t>also</w:t>
      </w:r>
      <w:r w:rsidR="00DB595A" w:rsidRPr="002B0B2A">
        <w:rPr>
          <w:lang w:val="en-US"/>
        </w:rPr>
        <w:t>. Another reason could be the difference in behavior of investors and/or the difference in corporate governance regulation</w:t>
      </w:r>
      <w:r w:rsidR="00E940F4" w:rsidRPr="002B0B2A">
        <w:rPr>
          <w:lang w:val="en-US"/>
        </w:rPr>
        <w:t>,</w:t>
      </w:r>
      <w:r w:rsidR="00DB595A" w:rsidRPr="002B0B2A">
        <w:rPr>
          <w:lang w:val="en-US"/>
        </w:rPr>
        <w:t xml:space="preserve"> a</w:t>
      </w:r>
      <w:r w:rsidR="00E940F4" w:rsidRPr="002B0B2A">
        <w:rPr>
          <w:lang w:val="en-US"/>
        </w:rPr>
        <w:t>s presented in chapter two</w:t>
      </w:r>
      <w:r w:rsidR="00DB595A" w:rsidRPr="002B0B2A">
        <w:rPr>
          <w:lang w:val="en-US"/>
        </w:rPr>
        <w:t>.</w:t>
      </w:r>
    </w:p>
    <w:p w:rsidR="00286B4E" w:rsidRPr="00A845EA" w:rsidRDefault="000A13F4" w:rsidP="00CC22AB">
      <w:pPr>
        <w:rPr>
          <w:rStyle w:val="longtext1"/>
          <w:rFonts w:cs="Times New Roman"/>
          <w:sz w:val="22"/>
          <w:szCs w:val="22"/>
          <w:shd w:val="clear" w:color="auto" w:fill="FFFFFF"/>
          <w:lang w:val="en-US"/>
        </w:rPr>
      </w:pPr>
      <w:r w:rsidRPr="00A845EA">
        <w:rPr>
          <w:rStyle w:val="longtext1"/>
          <w:rFonts w:cs="Times New Roman"/>
          <w:sz w:val="22"/>
          <w:szCs w:val="22"/>
          <w:shd w:val="clear" w:color="auto" w:fill="FFFFFF"/>
          <w:lang w:val="en-US"/>
        </w:rPr>
        <w:t>The tested third hypothesis is:</w:t>
      </w:r>
      <w:r w:rsidR="00CC22AB" w:rsidRPr="00A845EA">
        <w:rPr>
          <w:rStyle w:val="longtext1"/>
          <w:rFonts w:cs="Times New Roman"/>
          <w:sz w:val="22"/>
          <w:szCs w:val="22"/>
          <w:shd w:val="clear" w:color="auto" w:fill="FFFFFF"/>
          <w:lang w:val="en-US"/>
        </w:rPr>
        <w:t xml:space="preserve"> </w:t>
      </w:r>
      <w:r w:rsidR="00CC22AB" w:rsidRPr="00A845EA">
        <w:rPr>
          <w:rStyle w:val="longtext1"/>
          <w:rFonts w:cs="Times New Roman"/>
          <w:i/>
          <w:sz w:val="22"/>
          <w:szCs w:val="22"/>
          <w:shd w:val="clear" w:color="auto" w:fill="FFFFFF"/>
          <w:lang w:val="en-US"/>
        </w:rPr>
        <w:t>The absolute value of the stock price reaction of banks on the events in Europe will be stronger than the absolute value stock price reactions o</w:t>
      </w:r>
      <w:r w:rsidRPr="00A845EA">
        <w:rPr>
          <w:rStyle w:val="longtext1"/>
          <w:rFonts w:cs="Times New Roman"/>
          <w:i/>
          <w:sz w:val="22"/>
          <w:szCs w:val="22"/>
          <w:shd w:val="clear" w:color="auto" w:fill="FFFFFF"/>
          <w:lang w:val="en-US"/>
        </w:rPr>
        <w:t xml:space="preserve">f insurance companies in Europe. </w:t>
      </w:r>
      <w:r w:rsidR="006A1989" w:rsidRPr="00A845EA">
        <w:rPr>
          <w:rStyle w:val="longtext1"/>
          <w:rFonts w:cs="Times New Roman"/>
          <w:sz w:val="22"/>
          <w:szCs w:val="22"/>
          <w:shd w:val="clear" w:color="auto" w:fill="FFFFFF"/>
          <w:lang w:val="en-US"/>
        </w:rPr>
        <w:t xml:space="preserve">This hypothesis is developed by the difference between specific regulation for banks and insurance companies on capital requirements. Banks are subjected to Basel II and insurance companies to Solvency regulation. Under Basel II banks have to meet more stringent certain financial ratios than insurance companies under Solvency. Financial ratios </w:t>
      </w:r>
      <w:r w:rsidR="003E7405" w:rsidRPr="00A845EA">
        <w:rPr>
          <w:rStyle w:val="longtext1"/>
          <w:rFonts w:cs="Times New Roman"/>
          <w:sz w:val="22"/>
          <w:szCs w:val="22"/>
          <w:shd w:val="clear" w:color="auto" w:fill="FFFFFF"/>
          <w:lang w:val="en-US"/>
        </w:rPr>
        <w:t xml:space="preserve">could be negative effected by FVA under IAS 39 during a financial crisis. The combination of </w:t>
      </w:r>
      <w:r w:rsidR="003E7405" w:rsidRPr="00A845EA">
        <w:rPr>
          <w:lang w:val="en-US"/>
        </w:rPr>
        <w:t xml:space="preserve">liquidation prices and an increased supply reduces the price of financial assets. </w:t>
      </w:r>
      <w:r w:rsidR="003E7405" w:rsidRPr="00A845EA">
        <w:rPr>
          <w:rStyle w:val="longtext1"/>
          <w:rFonts w:cs="Times New Roman"/>
          <w:sz w:val="22"/>
          <w:szCs w:val="22"/>
          <w:shd w:val="clear" w:color="auto" w:fill="FFFFFF"/>
          <w:lang w:val="en-US"/>
        </w:rPr>
        <w:t xml:space="preserve">Therefore, financial institutions had to impair their financial instruments. At that moment, </w:t>
      </w:r>
      <w:r w:rsidR="00D041FC" w:rsidRPr="00A845EA">
        <w:rPr>
          <w:rStyle w:val="longtext1"/>
          <w:rFonts w:cs="Times New Roman"/>
          <w:sz w:val="22"/>
          <w:szCs w:val="22"/>
          <w:shd w:val="clear" w:color="auto" w:fill="FFFFFF"/>
          <w:lang w:val="en-US"/>
        </w:rPr>
        <w:t>especially</w:t>
      </w:r>
      <w:r w:rsidR="003E7405" w:rsidRPr="00A845EA">
        <w:rPr>
          <w:rStyle w:val="longtext1"/>
          <w:rFonts w:cs="Times New Roman"/>
          <w:sz w:val="22"/>
          <w:szCs w:val="22"/>
          <w:shd w:val="clear" w:color="auto" w:fill="FFFFFF"/>
          <w:lang w:val="en-US"/>
        </w:rPr>
        <w:t xml:space="preserve"> banks </w:t>
      </w:r>
      <w:r w:rsidR="003E7405" w:rsidRPr="00A845EA">
        <w:rPr>
          <w:lang w:val="en-US"/>
        </w:rPr>
        <w:t xml:space="preserve">might face problems because of the more stringent Basel II capital requirements. </w:t>
      </w:r>
      <w:r w:rsidR="005D70F3" w:rsidRPr="00A845EA">
        <w:rPr>
          <w:lang w:val="en-US"/>
        </w:rPr>
        <w:t xml:space="preserve">Therefore, a stronger abnormal return was expected for banks during </w:t>
      </w:r>
      <w:r w:rsidR="00427475">
        <w:rPr>
          <w:lang w:val="en-US"/>
        </w:rPr>
        <w:t xml:space="preserve">the events. </w:t>
      </w:r>
      <w:r w:rsidR="005D70F3" w:rsidRPr="002B0B2A">
        <w:rPr>
          <w:lang w:val="en-US"/>
        </w:rPr>
        <w:t xml:space="preserve">The results show </w:t>
      </w:r>
      <w:r w:rsidR="00A845EA" w:rsidRPr="002B0B2A">
        <w:rPr>
          <w:lang w:val="en-US"/>
        </w:rPr>
        <w:t xml:space="preserve">no </w:t>
      </w:r>
      <w:r w:rsidR="00ED45D2" w:rsidRPr="002B0B2A">
        <w:rPr>
          <w:lang w:val="en-US"/>
        </w:rPr>
        <w:t>empirical</w:t>
      </w:r>
      <w:r w:rsidR="005D70F3" w:rsidRPr="002B0B2A">
        <w:rPr>
          <w:lang w:val="en-US"/>
        </w:rPr>
        <w:t xml:space="preserve"> evidence that banks react stronger to the introduction of the reclassification option than insurance companies. </w:t>
      </w:r>
      <w:r w:rsidR="00D56DA5" w:rsidRPr="002B0B2A">
        <w:rPr>
          <w:lang w:val="en-US"/>
        </w:rPr>
        <w:t>During the second through</w:t>
      </w:r>
      <w:r w:rsidR="00E033EC">
        <w:rPr>
          <w:lang w:val="en-US"/>
        </w:rPr>
        <w:t xml:space="preserve"> fourth event</w:t>
      </w:r>
      <w:r w:rsidR="00A845EA" w:rsidRPr="00A845EA">
        <w:rPr>
          <w:lang w:val="en-US"/>
        </w:rPr>
        <w:t>,</w:t>
      </w:r>
      <w:r w:rsidR="00D56DA5" w:rsidRPr="00A845EA">
        <w:rPr>
          <w:lang w:val="en-US"/>
        </w:rPr>
        <w:t xml:space="preserve"> both</w:t>
      </w:r>
      <w:r w:rsidR="00A845EA" w:rsidRPr="00A845EA">
        <w:rPr>
          <w:lang w:val="en-US"/>
        </w:rPr>
        <w:t xml:space="preserve"> banks and insurance companies</w:t>
      </w:r>
      <w:r w:rsidR="00D56DA5" w:rsidRPr="00A845EA">
        <w:rPr>
          <w:lang w:val="en-US"/>
        </w:rPr>
        <w:t xml:space="preserve"> show negative stock price reactions. Insurance companies show</w:t>
      </w:r>
      <w:r w:rsidR="00ED45D2">
        <w:rPr>
          <w:lang w:val="en-US"/>
        </w:rPr>
        <w:t xml:space="preserve"> non-significant</w:t>
      </w:r>
      <w:r w:rsidR="00D56DA5" w:rsidRPr="00A845EA">
        <w:rPr>
          <w:lang w:val="en-US"/>
        </w:rPr>
        <w:t xml:space="preserve"> positive stock price reactions during the first and fifth event. </w:t>
      </w:r>
      <w:r w:rsidR="00D041FC" w:rsidRPr="00A845EA">
        <w:rPr>
          <w:lang w:val="en-US"/>
        </w:rPr>
        <w:t xml:space="preserve">The banks </w:t>
      </w:r>
      <w:r w:rsidR="00ED45D2" w:rsidRPr="00A845EA">
        <w:rPr>
          <w:lang w:val="en-US"/>
        </w:rPr>
        <w:t>sample shows</w:t>
      </w:r>
      <w:r w:rsidR="00ED45D2">
        <w:rPr>
          <w:lang w:val="en-US"/>
        </w:rPr>
        <w:t xml:space="preserve"> </w:t>
      </w:r>
      <w:r w:rsidR="00D041FC" w:rsidRPr="00A845EA">
        <w:rPr>
          <w:lang w:val="en-US"/>
        </w:rPr>
        <w:t xml:space="preserve">a negative stock price reaction during the first event and a </w:t>
      </w:r>
      <w:r w:rsidR="00ED45D2">
        <w:rPr>
          <w:lang w:val="en-US"/>
        </w:rPr>
        <w:t xml:space="preserve">non-significant </w:t>
      </w:r>
      <w:r w:rsidR="00D041FC" w:rsidRPr="00A845EA">
        <w:rPr>
          <w:lang w:val="en-US"/>
        </w:rPr>
        <w:t xml:space="preserve">positive stock price </w:t>
      </w:r>
      <w:r w:rsidR="00E033EC">
        <w:rPr>
          <w:lang w:val="en-US"/>
        </w:rPr>
        <w:t>reaction during the fifth event</w:t>
      </w:r>
      <w:r w:rsidR="00D041FC" w:rsidRPr="00A845EA">
        <w:rPr>
          <w:lang w:val="en-US"/>
        </w:rPr>
        <w:t xml:space="preserve">. The abnormal return of the banks sample was </w:t>
      </w:r>
      <w:r w:rsidR="00286B4E" w:rsidRPr="00A845EA">
        <w:rPr>
          <w:lang w:val="en-US"/>
        </w:rPr>
        <w:t xml:space="preserve">negligible stronger during the fifth event compared to the insurance companies sample. </w:t>
      </w:r>
      <w:r w:rsidR="00517DAD">
        <w:rPr>
          <w:lang w:val="en-US"/>
        </w:rPr>
        <w:t>The events combined show at the insurance companies sample a less negative stock pri</w:t>
      </w:r>
      <w:r w:rsidR="00E033EC">
        <w:rPr>
          <w:lang w:val="en-US"/>
        </w:rPr>
        <w:t>ce reaction. However, the event</w:t>
      </w:r>
      <w:r w:rsidR="00517DAD">
        <w:rPr>
          <w:lang w:val="en-US"/>
        </w:rPr>
        <w:t>s combined is statistically</w:t>
      </w:r>
      <w:r w:rsidR="008A0D8D">
        <w:rPr>
          <w:lang w:val="en-US"/>
        </w:rPr>
        <w:t xml:space="preserve"> </w:t>
      </w:r>
      <w:r w:rsidR="00517DAD">
        <w:rPr>
          <w:lang w:val="en-US"/>
        </w:rPr>
        <w:t>not significant</w:t>
      </w:r>
      <w:r w:rsidR="008A0D8D" w:rsidRPr="008A0D8D">
        <w:rPr>
          <w:lang w:val="en-US"/>
        </w:rPr>
        <w:t xml:space="preserve"> </w:t>
      </w:r>
      <w:r w:rsidR="008A0D8D">
        <w:rPr>
          <w:lang w:val="en-US"/>
        </w:rPr>
        <w:t>for both samples</w:t>
      </w:r>
      <w:r w:rsidR="00517DAD">
        <w:rPr>
          <w:lang w:val="en-US"/>
        </w:rPr>
        <w:t xml:space="preserve">. </w:t>
      </w:r>
      <w:r w:rsidR="00286B4E" w:rsidRPr="00A845EA">
        <w:rPr>
          <w:lang w:val="en-US"/>
        </w:rPr>
        <w:t xml:space="preserve">Therefore, the third hypothesis </w:t>
      </w:r>
      <w:r w:rsidR="00A845EA" w:rsidRPr="00A845EA">
        <w:rPr>
          <w:lang w:val="en-US"/>
        </w:rPr>
        <w:t xml:space="preserve">seems not </w:t>
      </w:r>
      <w:r w:rsidR="006F512E">
        <w:rPr>
          <w:lang w:val="en-US"/>
        </w:rPr>
        <w:t>supported by the results</w:t>
      </w:r>
      <w:r w:rsidR="00286B4E" w:rsidRPr="00A845EA">
        <w:rPr>
          <w:lang w:val="en-US"/>
        </w:rPr>
        <w:t xml:space="preserve"> and the difference in stock price reaction is negligible</w:t>
      </w:r>
      <w:r w:rsidR="00E40956" w:rsidRPr="00A845EA">
        <w:rPr>
          <w:lang w:val="en-US"/>
        </w:rPr>
        <w:t>. This outcome does not convincingly reflect the unintended pro-cyclicality of Basel II by banks during the financial crisis, as researched by Kashyap and Stein (2003) and Repullo and Suarez (2008).</w:t>
      </w:r>
      <w:r w:rsidR="00A50090" w:rsidRPr="00A845EA">
        <w:rPr>
          <w:lang w:val="en-US"/>
        </w:rPr>
        <w:t xml:space="preserve"> The result </w:t>
      </w:r>
      <w:r w:rsidR="008A0D8D" w:rsidRPr="00A845EA">
        <w:rPr>
          <w:lang w:val="en-US"/>
        </w:rPr>
        <w:t>reflect</w:t>
      </w:r>
      <w:r w:rsidR="008A0D8D">
        <w:rPr>
          <w:lang w:val="en-US"/>
        </w:rPr>
        <w:t>s</w:t>
      </w:r>
      <w:r w:rsidR="008A0D8D" w:rsidRPr="00A845EA">
        <w:rPr>
          <w:lang w:val="en-US"/>
        </w:rPr>
        <w:t xml:space="preserve"> </w:t>
      </w:r>
      <w:r w:rsidR="00A50090" w:rsidRPr="00A845EA">
        <w:rPr>
          <w:lang w:val="en-US"/>
        </w:rPr>
        <w:t>not convincingly the predicted effect of the difference between solvency requirements for insurance companies and the more stringent capital requirements of Basel II</w:t>
      </w:r>
      <w:r w:rsidR="008A0D8D" w:rsidRPr="008A0D8D">
        <w:rPr>
          <w:lang w:val="en-US"/>
        </w:rPr>
        <w:t xml:space="preserve"> </w:t>
      </w:r>
      <w:r w:rsidR="008A0D8D" w:rsidRPr="00A845EA">
        <w:rPr>
          <w:lang w:val="en-US"/>
        </w:rPr>
        <w:t>also</w:t>
      </w:r>
      <w:r w:rsidR="00A50090" w:rsidRPr="00A845EA">
        <w:rPr>
          <w:lang w:val="en-US"/>
        </w:rPr>
        <w:t>. On the c</w:t>
      </w:r>
      <w:r w:rsidR="006777E1" w:rsidRPr="00A845EA">
        <w:rPr>
          <w:lang w:val="en-US"/>
        </w:rPr>
        <w:t xml:space="preserve">ontrary, this result is in line with the findings of </w:t>
      </w:r>
      <w:r w:rsidR="00286B4E" w:rsidRPr="00A845EA">
        <w:rPr>
          <w:lang w:val="en-US"/>
        </w:rPr>
        <w:t>Paananen et al.</w:t>
      </w:r>
      <w:r w:rsidR="006777E1" w:rsidRPr="00A845EA">
        <w:rPr>
          <w:lang w:val="en-US"/>
        </w:rPr>
        <w:t xml:space="preserve"> (2009)</w:t>
      </w:r>
      <w:r w:rsidR="00A50090" w:rsidRPr="00A845EA">
        <w:rPr>
          <w:lang w:val="en-US"/>
        </w:rPr>
        <w:t>. They find</w:t>
      </w:r>
      <w:r w:rsidR="006777E1" w:rsidRPr="00A845EA">
        <w:rPr>
          <w:lang w:val="en-US"/>
        </w:rPr>
        <w:t xml:space="preserve"> no sign that banks use the reclassification option because of their capital adequacy levels</w:t>
      </w:r>
      <w:r w:rsidR="00A50090" w:rsidRPr="00A845EA">
        <w:rPr>
          <w:lang w:val="en-US"/>
        </w:rPr>
        <w:t xml:space="preserve"> (Basel II)</w:t>
      </w:r>
      <w:r w:rsidR="006777E1" w:rsidRPr="00A845EA">
        <w:rPr>
          <w:lang w:val="en-US"/>
        </w:rPr>
        <w:t>.</w:t>
      </w:r>
      <w:r w:rsidR="00A50090" w:rsidRPr="00A845EA">
        <w:rPr>
          <w:lang w:val="en-US"/>
        </w:rPr>
        <w:t xml:space="preserve"> </w:t>
      </w:r>
    </w:p>
    <w:p w:rsidR="00905A20" w:rsidRDefault="00A50090" w:rsidP="00CC22AB">
      <w:pPr>
        <w:rPr>
          <w:lang w:val="en-US"/>
        </w:rPr>
      </w:pPr>
      <w:r w:rsidRPr="00A50090">
        <w:rPr>
          <w:rStyle w:val="longtext1"/>
          <w:rFonts w:cs="Times New Roman"/>
          <w:sz w:val="22"/>
          <w:szCs w:val="22"/>
          <w:shd w:val="clear" w:color="auto" w:fill="FFFFFF"/>
          <w:lang w:val="en-US"/>
        </w:rPr>
        <w:t>The tested fourth hypothesis is:</w:t>
      </w:r>
      <w:r w:rsidR="00CC22AB" w:rsidRPr="00A50090">
        <w:rPr>
          <w:rStyle w:val="longtext1"/>
          <w:rFonts w:cs="Times New Roman"/>
          <w:sz w:val="22"/>
          <w:szCs w:val="22"/>
          <w:shd w:val="clear" w:color="auto" w:fill="FFFFFF"/>
          <w:lang w:val="en-US"/>
        </w:rPr>
        <w:t xml:space="preserve"> </w:t>
      </w:r>
      <w:r w:rsidR="00CC22AB" w:rsidRPr="00A50090">
        <w:rPr>
          <w:rStyle w:val="longtext1"/>
          <w:rFonts w:cs="Times New Roman"/>
          <w:i/>
          <w:sz w:val="22"/>
          <w:szCs w:val="22"/>
          <w:shd w:val="clear" w:color="auto" w:fill="FFFFFF"/>
          <w:lang w:val="en-US"/>
        </w:rPr>
        <w:t>The absolute value of stock price reactions of financial institutions in Great Britain and Ireland to the introduction of the reclassification option for financial instruments in IAS 39 is expected to be weaker than the absolute value of stock price reactions of financial institutions in other European countries.</w:t>
      </w:r>
      <w:r w:rsidRPr="00A50090">
        <w:rPr>
          <w:rStyle w:val="longtext1"/>
          <w:rFonts w:cs="Times New Roman"/>
          <w:i/>
          <w:sz w:val="22"/>
          <w:szCs w:val="22"/>
          <w:shd w:val="clear" w:color="auto" w:fill="FFFFFF"/>
          <w:lang w:val="en-US"/>
        </w:rPr>
        <w:t xml:space="preserve"> </w:t>
      </w:r>
      <w:r w:rsidRPr="00A50090">
        <w:rPr>
          <w:rStyle w:val="longtext1"/>
          <w:rFonts w:cs="Times New Roman"/>
          <w:sz w:val="22"/>
          <w:szCs w:val="22"/>
          <w:shd w:val="clear" w:color="auto" w:fill="FFFFFF"/>
          <w:lang w:val="en-US"/>
        </w:rPr>
        <w:t xml:space="preserve">This </w:t>
      </w:r>
      <w:r>
        <w:rPr>
          <w:rStyle w:val="longtext1"/>
          <w:rFonts w:cs="Times New Roman"/>
          <w:sz w:val="22"/>
          <w:szCs w:val="22"/>
          <w:shd w:val="clear" w:color="auto" w:fill="FFFFFF"/>
          <w:lang w:val="en-US"/>
        </w:rPr>
        <w:t xml:space="preserve">hypothesis is developed by the </w:t>
      </w:r>
      <w:r w:rsidR="00AE2DE4">
        <w:rPr>
          <w:rStyle w:val="longtext1"/>
          <w:rFonts w:cs="Times New Roman"/>
          <w:sz w:val="22"/>
          <w:szCs w:val="22"/>
          <w:shd w:val="clear" w:color="auto" w:fill="FFFFFF"/>
          <w:lang w:val="en-US"/>
        </w:rPr>
        <w:t xml:space="preserve">differences in corporate </w:t>
      </w:r>
      <w:r w:rsidR="00AE2DE4" w:rsidRPr="00905A20">
        <w:rPr>
          <w:rStyle w:val="longtext1"/>
          <w:rFonts w:cs="Times New Roman"/>
          <w:sz w:val="22"/>
          <w:szCs w:val="22"/>
          <w:shd w:val="clear" w:color="auto" w:fill="FFFFFF"/>
          <w:lang w:val="en-US"/>
        </w:rPr>
        <w:t>governance code between the fourteen sample countries. The code has a status of recommendations</w:t>
      </w:r>
      <w:r w:rsidR="008A0D8D" w:rsidRPr="008A0D8D">
        <w:rPr>
          <w:rStyle w:val="longtext1"/>
          <w:rFonts w:cs="Times New Roman"/>
          <w:sz w:val="22"/>
          <w:szCs w:val="22"/>
          <w:shd w:val="clear" w:color="auto" w:fill="FFFFFF"/>
          <w:lang w:val="en-US"/>
        </w:rPr>
        <w:t xml:space="preserve"> </w:t>
      </w:r>
      <w:r w:rsidR="008A0D8D" w:rsidRPr="00905A20">
        <w:rPr>
          <w:rStyle w:val="longtext1"/>
          <w:rFonts w:cs="Times New Roman"/>
          <w:sz w:val="22"/>
          <w:szCs w:val="22"/>
          <w:shd w:val="clear" w:color="auto" w:fill="FFFFFF"/>
          <w:lang w:val="en-US"/>
        </w:rPr>
        <w:t>in many countries</w:t>
      </w:r>
      <w:r w:rsidR="00905A20" w:rsidRPr="00905A20">
        <w:rPr>
          <w:rStyle w:val="longtext1"/>
          <w:rFonts w:cs="Times New Roman"/>
          <w:sz w:val="22"/>
          <w:szCs w:val="22"/>
          <w:shd w:val="clear" w:color="auto" w:fill="FFFFFF"/>
          <w:lang w:val="en-US"/>
        </w:rPr>
        <w:t xml:space="preserve">, as stated by </w:t>
      </w:r>
      <w:r w:rsidR="00905A20" w:rsidRPr="00905A20">
        <w:rPr>
          <w:lang w:val="en-US"/>
        </w:rPr>
        <w:t>Wymeersch (2005)</w:t>
      </w:r>
      <w:r w:rsidR="00AE2DE4" w:rsidRPr="00905A20">
        <w:rPr>
          <w:rStyle w:val="longtext1"/>
          <w:rFonts w:cs="Times New Roman"/>
          <w:sz w:val="22"/>
          <w:szCs w:val="22"/>
          <w:shd w:val="clear" w:color="auto" w:fill="FFFFFF"/>
          <w:lang w:val="en-US"/>
        </w:rPr>
        <w:t xml:space="preserve">. However, in the UK the </w:t>
      </w:r>
      <w:r w:rsidR="00AE2DE4" w:rsidRPr="00905A20">
        <w:rPr>
          <w:lang w:val="en-US"/>
        </w:rPr>
        <w:t xml:space="preserve">Financial Service Authority (FSA) monitors the enforcement of the corporate governance code and investors have traditionally strong legal rights. Therefore, a different stock price reaction would be expected in Ireland and Great Britain. The results show that during the first through fourth event </w:t>
      </w:r>
      <w:r w:rsidR="00905A20" w:rsidRPr="00905A20">
        <w:rPr>
          <w:rStyle w:val="longtext1"/>
          <w:rFonts w:cs="Times New Roman"/>
          <w:sz w:val="22"/>
          <w:szCs w:val="22"/>
          <w:shd w:val="clear" w:color="auto" w:fill="FFFFFF"/>
          <w:lang w:val="en-US"/>
        </w:rPr>
        <w:t>there were no statistically significant positive stock price reactions. During the fifth event</w:t>
      </w:r>
      <w:r w:rsidR="00E033EC">
        <w:rPr>
          <w:rStyle w:val="longtext1"/>
          <w:rFonts w:cs="Times New Roman"/>
          <w:sz w:val="22"/>
          <w:szCs w:val="22"/>
          <w:shd w:val="clear" w:color="auto" w:fill="FFFFFF"/>
          <w:lang w:val="en-US"/>
        </w:rPr>
        <w:t>,</w:t>
      </w:r>
      <w:r w:rsidR="00905A20" w:rsidRPr="00905A20">
        <w:rPr>
          <w:rStyle w:val="longtext1"/>
          <w:rFonts w:cs="Times New Roman"/>
          <w:sz w:val="22"/>
          <w:szCs w:val="22"/>
          <w:shd w:val="clear" w:color="auto" w:fill="FFFFFF"/>
          <w:lang w:val="en-US"/>
        </w:rPr>
        <w:t xml:space="preserve"> </w:t>
      </w:r>
      <w:r w:rsidR="00AE2DE4" w:rsidRPr="00905A20">
        <w:rPr>
          <w:lang w:val="en-US"/>
        </w:rPr>
        <w:t>eight countries</w:t>
      </w:r>
      <w:r w:rsidR="00905A20" w:rsidRPr="00905A20">
        <w:rPr>
          <w:lang w:val="en-US"/>
        </w:rPr>
        <w:t xml:space="preserve"> (</w:t>
      </w:r>
      <w:r w:rsidR="00905A20" w:rsidRPr="00905A20">
        <w:rPr>
          <w:rStyle w:val="longtext1"/>
          <w:rFonts w:cs="Times New Roman"/>
          <w:sz w:val="22"/>
          <w:szCs w:val="22"/>
          <w:shd w:val="clear" w:color="auto" w:fill="FFFFFF"/>
          <w:lang w:val="en-US"/>
        </w:rPr>
        <w:t>Belgium, Denmark, Germany, Italy, Netherlands, Austria, Spain and Sweden) show significant positive abnormal returns. In these countries, the stock prices of financial institutions react positively to the</w:t>
      </w:r>
      <w:r w:rsidR="00787336">
        <w:rPr>
          <w:rStyle w:val="longtext1"/>
          <w:rFonts w:cs="Times New Roman"/>
          <w:sz w:val="22"/>
          <w:szCs w:val="22"/>
          <w:shd w:val="clear" w:color="auto" w:fill="FFFFFF"/>
          <w:lang w:val="en-US"/>
        </w:rPr>
        <w:t xml:space="preserve"> </w:t>
      </w:r>
      <w:r w:rsidR="00787336">
        <w:rPr>
          <w:rStyle w:val="longtext1"/>
          <w:rFonts w:cs="Times New Roman"/>
          <w:sz w:val="22"/>
          <w:szCs w:val="22"/>
          <w:shd w:val="clear" w:color="auto" w:fill="FFFFFF"/>
          <w:lang w:val="en-US"/>
        </w:rPr>
        <w:lastRenderedPageBreak/>
        <w:t>introduction of the</w:t>
      </w:r>
      <w:r w:rsidR="00905A20" w:rsidRPr="00905A20">
        <w:rPr>
          <w:rStyle w:val="longtext1"/>
          <w:rFonts w:cs="Times New Roman"/>
          <w:sz w:val="22"/>
          <w:szCs w:val="22"/>
          <w:shd w:val="clear" w:color="auto" w:fill="FFFFFF"/>
          <w:lang w:val="en-US"/>
        </w:rPr>
        <w:t xml:space="preserve"> reclassification option</w:t>
      </w:r>
      <w:r w:rsidR="00787336">
        <w:rPr>
          <w:rStyle w:val="longtext1"/>
          <w:rFonts w:cs="Times New Roman"/>
          <w:sz w:val="22"/>
          <w:szCs w:val="22"/>
          <w:shd w:val="clear" w:color="auto" w:fill="FFFFFF"/>
          <w:lang w:val="en-US"/>
        </w:rPr>
        <w:t xml:space="preserve"> in IAS 39</w:t>
      </w:r>
      <w:r w:rsidR="00905A20" w:rsidRPr="00905A20">
        <w:rPr>
          <w:rStyle w:val="longtext1"/>
          <w:rFonts w:cs="Times New Roman"/>
          <w:sz w:val="22"/>
          <w:szCs w:val="22"/>
          <w:shd w:val="clear" w:color="auto" w:fill="FFFFFF"/>
          <w:lang w:val="en-US"/>
        </w:rPr>
        <w:t xml:space="preserve">. </w:t>
      </w:r>
      <w:r w:rsidR="00312FBE">
        <w:rPr>
          <w:rStyle w:val="longtext1"/>
          <w:rFonts w:cs="Times New Roman"/>
          <w:sz w:val="22"/>
          <w:szCs w:val="22"/>
          <w:shd w:val="clear" w:color="auto" w:fill="FFFFFF"/>
          <w:lang w:val="en-US"/>
        </w:rPr>
        <w:t xml:space="preserve">In the other six countries </w:t>
      </w:r>
      <w:r w:rsidR="00905A20" w:rsidRPr="00DA0DCD">
        <w:rPr>
          <w:rStyle w:val="longtext1"/>
          <w:rFonts w:cs="Times New Roman"/>
          <w:sz w:val="22"/>
          <w:szCs w:val="22"/>
          <w:shd w:val="clear" w:color="auto" w:fill="FFFFFF"/>
          <w:lang w:val="en-US"/>
        </w:rPr>
        <w:t>(Finland, France, Ireland, Luxembourg, Portugal and Great Britain)</w:t>
      </w:r>
      <w:r w:rsidR="00312FBE">
        <w:rPr>
          <w:rStyle w:val="longtext1"/>
          <w:rFonts w:cs="Times New Roman"/>
          <w:sz w:val="22"/>
          <w:szCs w:val="22"/>
          <w:shd w:val="clear" w:color="auto" w:fill="FFFFFF"/>
          <w:lang w:val="en-US"/>
        </w:rPr>
        <w:t xml:space="preserve">, the stock prices of financial institutions react statistically </w:t>
      </w:r>
      <w:r w:rsidR="00905A20">
        <w:rPr>
          <w:rStyle w:val="longtext1"/>
          <w:rFonts w:cs="Times New Roman"/>
          <w:sz w:val="22"/>
          <w:szCs w:val="22"/>
          <w:shd w:val="clear" w:color="auto" w:fill="FFFFFF"/>
          <w:lang w:val="en-US"/>
        </w:rPr>
        <w:t>not sig</w:t>
      </w:r>
      <w:r w:rsidR="00312FBE">
        <w:rPr>
          <w:rStyle w:val="longtext1"/>
          <w:rFonts w:cs="Times New Roman"/>
          <w:sz w:val="22"/>
          <w:szCs w:val="22"/>
          <w:shd w:val="clear" w:color="auto" w:fill="FFFFFF"/>
          <w:lang w:val="en-US"/>
        </w:rPr>
        <w:t>nificant or</w:t>
      </w:r>
      <w:r w:rsidR="00905A20">
        <w:rPr>
          <w:rStyle w:val="longtext1"/>
          <w:rFonts w:cs="Times New Roman"/>
          <w:sz w:val="22"/>
          <w:szCs w:val="22"/>
          <w:shd w:val="clear" w:color="auto" w:fill="FFFFFF"/>
          <w:lang w:val="en-US"/>
        </w:rPr>
        <w:t xml:space="preserve"> even negative</w:t>
      </w:r>
      <w:r w:rsidR="00312FBE">
        <w:rPr>
          <w:rStyle w:val="longtext1"/>
          <w:rFonts w:cs="Times New Roman"/>
          <w:sz w:val="22"/>
          <w:szCs w:val="22"/>
          <w:shd w:val="clear" w:color="auto" w:fill="FFFFFF"/>
          <w:lang w:val="en-US"/>
        </w:rPr>
        <w:t xml:space="preserve">. The statistically not significant positive stock price reaction in Luxemburg and Portugal and the </w:t>
      </w:r>
      <w:r w:rsidR="009F1400">
        <w:rPr>
          <w:rStyle w:val="longtext1"/>
          <w:rFonts w:cs="Times New Roman"/>
          <w:sz w:val="22"/>
          <w:szCs w:val="22"/>
          <w:shd w:val="clear" w:color="auto" w:fill="FFFFFF"/>
          <w:lang w:val="en-US"/>
        </w:rPr>
        <w:t>negative stock price reaction in France could be a result of the</w:t>
      </w:r>
      <w:r w:rsidR="0024098C">
        <w:rPr>
          <w:rStyle w:val="longtext1"/>
          <w:rFonts w:cs="Times New Roman"/>
          <w:sz w:val="22"/>
          <w:szCs w:val="22"/>
          <w:shd w:val="clear" w:color="auto" w:fill="FFFFFF"/>
          <w:lang w:val="en-US"/>
        </w:rPr>
        <w:t xml:space="preserve"> weak explaining power of the</w:t>
      </w:r>
      <w:r w:rsidR="009F1400">
        <w:rPr>
          <w:rStyle w:val="longtext1"/>
          <w:rFonts w:cs="Times New Roman"/>
          <w:sz w:val="22"/>
          <w:szCs w:val="22"/>
          <w:shd w:val="clear" w:color="auto" w:fill="FFFFFF"/>
          <w:lang w:val="en-US"/>
        </w:rPr>
        <w:t xml:space="preserve"> regression model. The negative reaction in France is remarkable, because of </w:t>
      </w:r>
      <w:r w:rsidR="00787336">
        <w:rPr>
          <w:rStyle w:val="longtext1"/>
          <w:rFonts w:cs="Times New Roman"/>
          <w:sz w:val="22"/>
          <w:szCs w:val="22"/>
          <w:shd w:val="clear" w:color="auto" w:fill="FFFFFF"/>
          <w:lang w:val="en-US"/>
        </w:rPr>
        <w:t xml:space="preserve">the fourth event </w:t>
      </w:r>
      <w:r w:rsidR="009B4B05">
        <w:rPr>
          <w:rStyle w:val="longtext1"/>
          <w:rFonts w:cs="Times New Roman"/>
          <w:sz w:val="22"/>
          <w:szCs w:val="22"/>
          <w:shd w:val="clear" w:color="auto" w:fill="FFFFFF"/>
          <w:lang w:val="en-US"/>
        </w:rPr>
        <w:t>is the</w:t>
      </w:r>
      <w:r w:rsidR="009F1400" w:rsidRPr="009F1400">
        <w:rPr>
          <w:lang w:val="en-US"/>
        </w:rPr>
        <w:t xml:space="preserve"> </w:t>
      </w:r>
      <w:r w:rsidR="00D373FE">
        <w:rPr>
          <w:lang w:val="en-US"/>
        </w:rPr>
        <w:t>summon</w:t>
      </w:r>
      <w:r w:rsidR="009F1400" w:rsidRPr="009F1400">
        <w:rPr>
          <w:lang w:val="en-US"/>
        </w:rPr>
        <w:t xml:space="preserve"> of the French President Sarkozy to reform accounting rules on valuation.</w:t>
      </w:r>
      <w:r w:rsidR="009F1400">
        <w:rPr>
          <w:lang w:val="en-US"/>
        </w:rPr>
        <w:t xml:space="preserve"> The reason for the statistically not significant stock price reaction in Finland is not clear</w:t>
      </w:r>
      <w:r w:rsidR="0024098C">
        <w:rPr>
          <w:lang w:val="en-US"/>
        </w:rPr>
        <w:t xml:space="preserve"> and</w:t>
      </w:r>
      <w:r w:rsidR="009F1400">
        <w:rPr>
          <w:lang w:val="en-US"/>
        </w:rPr>
        <w:t xml:space="preserve"> further research is needed</w:t>
      </w:r>
      <w:r w:rsidR="0024098C">
        <w:rPr>
          <w:lang w:val="en-US"/>
        </w:rPr>
        <w:t xml:space="preserve"> to find a reason</w:t>
      </w:r>
      <w:r w:rsidR="009F1400">
        <w:rPr>
          <w:lang w:val="en-US"/>
        </w:rPr>
        <w:t>.</w:t>
      </w:r>
      <w:r w:rsidR="0024098C">
        <w:rPr>
          <w:lang w:val="en-US"/>
        </w:rPr>
        <w:t xml:space="preserve"> The negative stock price reaction in Ireland and the statistically not significant positive stock price reaction in Great Britain is not a result of the </w:t>
      </w:r>
      <w:r w:rsidR="0024098C">
        <w:rPr>
          <w:rStyle w:val="longtext1"/>
          <w:rFonts w:cs="Times New Roman"/>
          <w:sz w:val="22"/>
          <w:szCs w:val="22"/>
          <w:shd w:val="clear" w:color="auto" w:fill="FFFFFF"/>
          <w:lang w:val="en-US"/>
        </w:rPr>
        <w:t xml:space="preserve">weak explaining power of the regression model. This </w:t>
      </w:r>
      <w:r w:rsidR="0024098C" w:rsidRPr="006F686C">
        <w:rPr>
          <w:rStyle w:val="longtext1"/>
          <w:rFonts w:cs="Times New Roman"/>
          <w:sz w:val="22"/>
          <w:szCs w:val="22"/>
          <w:shd w:val="clear" w:color="auto" w:fill="FFFFFF"/>
          <w:lang w:val="en-US"/>
        </w:rPr>
        <w:t>means that there is a weaker reaction shown compared to the other European countries (</w:t>
      </w:r>
      <w:r w:rsidR="0024098C" w:rsidRPr="006F686C">
        <w:rPr>
          <w:lang w:val="en-US"/>
        </w:rPr>
        <w:t xml:space="preserve">eight countries convincing) to the introduction of the reclassification option in IAS 39. This outcome supports the fourth hypothesis. </w:t>
      </w:r>
      <w:r w:rsidR="006300CF" w:rsidRPr="006F686C">
        <w:rPr>
          <w:lang w:val="en-US"/>
        </w:rPr>
        <w:t xml:space="preserve">The result is in line with the expectation that </w:t>
      </w:r>
      <w:r w:rsidR="008F2E59" w:rsidRPr="006F686C">
        <w:rPr>
          <w:lang w:val="en-US"/>
        </w:rPr>
        <w:t xml:space="preserve">different stock price reactions could be expected </w:t>
      </w:r>
      <w:r w:rsidR="006300CF" w:rsidRPr="006F686C">
        <w:rPr>
          <w:lang w:val="en-US"/>
        </w:rPr>
        <w:t xml:space="preserve">from the differences in corporate governance between </w:t>
      </w:r>
      <w:r w:rsidR="006F686C" w:rsidRPr="006F686C">
        <w:rPr>
          <w:lang w:val="en-US"/>
        </w:rPr>
        <w:t>countries</w:t>
      </w:r>
      <w:r w:rsidR="006300CF" w:rsidRPr="006F686C">
        <w:rPr>
          <w:lang w:val="en-US"/>
        </w:rPr>
        <w:t>.</w:t>
      </w:r>
      <w:r w:rsidR="008F2E59">
        <w:rPr>
          <w:lang w:val="en-US"/>
        </w:rPr>
        <w:t xml:space="preserve"> This</w:t>
      </w:r>
      <w:r w:rsidR="006F686C" w:rsidRPr="006F686C">
        <w:rPr>
          <w:lang w:val="en-US"/>
        </w:rPr>
        <w:t xml:space="preserve"> expectation </w:t>
      </w:r>
      <w:r w:rsidR="006F686C">
        <w:rPr>
          <w:lang w:val="en-US"/>
        </w:rPr>
        <w:t xml:space="preserve">was </w:t>
      </w:r>
      <w:r w:rsidR="006F686C" w:rsidRPr="006F686C">
        <w:rPr>
          <w:lang w:val="en-US"/>
        </w:rPr>
        <w:t>derived from research of Wymeersch (2005).</w:t>
      </w:r>
    </w:p>
    <w:p w:rsidR="00BE6D45" w:rsidRPr="00D85A54" w:rsidRDefault="00517DAD" w:rsidP="00CC22AB">
      <w:pPr>
        <w:rPr>
          <w:rStyle w:val="longtext1"/>
          <w:rFonts w:cs="Times New Roman"/>
          <w:sz w:val="22"/>
          <w:szCs w:val="22"/>
          <w:shd w:val="clear" w:color="auto" w:fill="FFFFFF"/>
          <w:lang w:val="en-US"/>
        </w:rPr>
      </w:pPr>
      <w:r w:rsidRPr="00D373FE">
        <w:rPr>
          <w:lang w:val="en-US"/>
        </w:rPr>
        <w:t>If there is a reason to</w:t>
      </w:r>
      <w:r w:rsidR="00D85A54" w:rsidRPr="00D373FE">
        <w:rPr>
          <w:lang w:val="en-US"/>
        </w:rPr>
        <w:t xml:space="preserve"> believe that </w:t>
      </w:r>
      <w:r w:rsidR="00BE6D45" w:rsidRPr="00D373FE">
        <w:rPr>
          <w:lang w:val="en-US"/>
        </w:rPr>
        <w:t>one or more possibilities</w:t>
      </w:r>
      <w:r w:rsidR="00D373FE" w:rsidRPr="00D373FE">
        <w:rPr>
          <w:lang w:val="en-US"/>
        </w:rPr>
        <w:t>, as described above under the results and conclusions of the first overall hypothesis,</w:t>
      </w:r>
      <w:r w:rsidR="00BE6D45" w:rsidRPr="00D373FE">
        <w:rPr>
          <w:lang w:val="en-US"/>
        </w:rPr>
        <w:t xml:space="preserve"> are the reason</w:t>
      </w:r>
      <w:r w:rsidR="00BE6D45" w:rsidRPr="00D85A54">
        <w:rPr>
          <w:lang w:val="en-US"/>
        </w:rPr>
        <w:t xml:space="preserve"> for a negative stock price reaction during the first through fourth event, </w:t>
      </w:r>
      <w:r w:rsidR="00D85A54" w:rsidRPr="00D85A54">
        <w:rPr>
          <w:lang w:val="en-US"/>
        </w:rPr>
        <w:t>then</w:t>
      </w:r>
      <w:r w:rsidR="00BE6D45" w:rsidRPr="00D85A54">
        <w:rPr>
          <w:lang w:val="en-US"/>
        </w:rPr>
        <w:t xml:space="preserve"> the results of </w:t>
      </w:r>
      <w:r w:rsidR="008A0D8D">
        <w:rPr>
          <w:lang w:val="en-US"/>
        </w:rPr>
        <w:t>the event windows_</w:t>
      </w:r>
      <w:r w:rsidR="00D85A54" w:rsidRPr="00D85A54">
        <w:rPr>
          <w:lang w:val="en-US"/>
        </w:rPr>
        <w:t xml:space="preserve">combined variable of </w:t>
      </w:r>
      <w:r w:rsidR="00BE6D45" w:rsidRPr="00D85A54">
        <w:rPr>
          <w:lang w:val="en-US"/>
        </w:rPr>
        <w:t xml:space="preserve">the tested hypotheses would change. </w:t>
      </w:r>
      <w:r w:rsidR="00D85A54" w:rsidRPr="00D85A54">
        <w:rPr>
          <w:lang w:val="en-US"/>
        </w:rPr>
        <w:t>Th</w:t>
      </w:r>
      <w:r w:rsidR="00505AD1">
        <w:rPr>
          <w:lang w:val="en-US"/>
        </w:rPr>
        <w:t>is</w:t>
      </w:r>
      <w:r w:rsidR="00D85A54" w:rsidRPr="00D85A54">
        <w:rPr>
          <w:lang w:val="en-US"/>
        </w:rPr>
        <w:t xml:space="preserve"> means that i</w:t>
      </w:r>
      <w:r w:rsidR="00BE6D45" w:rsidRPr="00D85A54">
        <w:rPr>
          <w:lang w:val="en-US"/>
        </w:rPr>
        <w:t>n the regression model, the positive predicted direction of the first through fourth event is changed into a negative direction (see</w:t>
      </w:r>
      <w:r w:rsidR="00505AD1">
        <w:rPr>
          <w:lang w:val="en-US"/>
        </w:rPr>
        <w:t xml:space="preserve"> paragraph 8.5 and</w:t>
      </w:r>
      <w:r w:rsidR="00BE6D45" w:rsidRPr="00D85A54">
        <w:rPr>
          <w:lang w:val="en-US"/>
        </w:rPr>
        <w:t xml:space="preserve"> appendix G</w:t>
      </w:r>
      <w:r w:rsidR="00E033EC">
        <w:rPr>
          <w:lang w:val="en-US"/>
        </w:rPr>
        <w:t>). After this change, the event</w:t>
      </w:r>
      <w:r w:rsidR="00BE6D45" w:rsidRPr="00D85A54">
        <w:rPr>
          <w:lang w:val="en-US"/>
        </w:rPr>
        <w:t>s combined of the tested hypotheses changed into a positive stock price reaction. The betas are statistically significant, except for the only insurance companies’ sample. The positive stock price reaction during the events combined</w:t>
      </w:r>
      <w:r w:rsidR="00D85A54" w:rsidRPr="00D85A54">
        <w:rPr>
          <w:lang w:val="en-US"/>
        </w:rPr>
        <w:t xml:space="preserve"> is for the most part the result</w:t>
      </w:r>
      <w:r w:rsidR="00BE6D45" w:rsidRPr="00D85A54">
        <w:rPr>
          <w:lang w:val="en-US"/>
        </w:rPr>
        <w:t xml:space="preserve"> of the fifth event, which represents the introduction of the reclassification option in IAS 39.</w:t>
      </w:r>
    </w:p>
    <w:p w:rsidR="00905A20" w:rsidRPr="006F686C" w:rsidRDefault="00905A20" w:rsidP="00905A20">
      <w:pPr>
        <w:rPr>
          <w:lang w:val="en-US"/>
        </w:rPr>
      </w:pPr>
      <w:r w:rsidRPr="006F686C">
        <w:rPr>
          <w:lang w:val="en-US"/>
        </w:rPr>
        <w:t xml:space="preserve">As a general conclusion, there </w:t>
      </w:r>
      <w:r w:rsidR="006F686C" w:rsidRPr="006F686C">
        <w:rPr>
          <w:lang w:val="en-US"/>
        </w:rPr>
        <w:t xml:space="preserve">is empirical evidence that stock prices of financial institutions react </w:t>
      </w:r>
      <w:r w:rsidRPr="006F686C">
        <w:rPr>
          <w:lang w:val="en-US"/>
        </w:rPr>
        <w:t>positive</w:t>
      </w:r>
      <w:r w:rsidR="006F686C" w:rsidRPr="006F686C">
        <w:rPr>
          <w:lang w:val="en-US"/>
        </w:rPr>
        <w:t xml:space="preserve">ly (abnormal return) </w:t>
      </w:r>
      <w:r w:rsidRPr="006F686C">
        <w:rPr>
          <w:lang w:val="en-US"/>
        </w:rPr>
        <w:t>during the fifth event. Event five represents the amendment of IAS 39. Therefore, the answer to the research question is a significant positive reaction of financial institutions during the introduction of the reclassification option in IAS 39.</w:t>
      </w:r>
    </w:p>
    <w:p w:rsidR="007C0EBD" w:rsidRPr="00DA0DCD" w:rsidRDefault="007C0EBD" w:rsidP="007C0EBD">
      <w:pPr>
        <w:pStyle w:val="Kop2"/>
        <w:numPr>
          <w:ilvl w:val="1"/>
          <w:numId w:val="14"/>
        </w:numPr>
        <w:rPr>
          <w:lang w:val="en-US"/>
        </w:rPr>
      </w:pPr>
      <w:bookmarkStart w:id="91" w:name="_Toc270770625"/>
      <w:r w:rsidRPr="00DA0DCD">
        <w:rPr>
          <w:lang w:val="en-US"/>
        </w:rPr>
        <w:t>Limitations</w:t>
      </w:r>
      <w:bookmarkEnd w:id="91"/>
    </w:p>
    <w:p w:rsidR="00653E85" w:rsidRDefault="00A321A4" w:rsidP="00A321A4">
      <w:pPr>
        <w:rPr>
          <w:lang w:val="en-US"/>
        </w:rPr>
      </w:pPr>
      <w:r w:rsidRPr="00F551F3">
        <w:rPr>
          <w:lang w:val="en-US" w:eastAsia="nl-NL"/>
        </w:rPr>
        <w:t>The regression model</w:t>
      </w:r>
      <w:r w:rsidR="008F2E59">
        <w:rPr>
          <w:lang w:val="en-US" w:eastAsia="nl-NL"/>
        </w:rPr>
        <w:t>s</w:t>
      </w:r>
      <w:r w:rsidRPr="00F551F3">
        <w:rPr>
          <w:lang w:val="en-US" w:eastAsia="nl-NL"/>
        </w:rPr>
        <w:t xml:space="preserve"> have some limitation. As described in chapter 6, applying the regression </w:t>
      </w:r>
      <w:r w:rsidRPr="00071E70">
        <w:rPr>
          <w:lang w:val="en-US" w:eastAsia="nl-NL"/>
        </w:rPr>
        <w:t>te</w:t>
      </w:r>
      <w:r w:rsidR="00F551F3" w:rsidRPr="00071E70">
        <w:rPr>
          <w:lang w:val="en-US" w:eastAsia="nl-NL"/>
        </w:rPr>
        <w:t xml:space="preserve">chnique not </w:t>
      </w:r>
      <w:r w:rsidRPr="00071E70">
        <w:rPr>
          <w:lang w:val="en-US" w:eastAsia="nl-NL"/>
        </w:rPr>
        <w:t xml:space="preserve">only the </w:t>
      </w:r>
      <w:r w:rsidR="00CC7630" w:rsidRPr="00071E70">
        <w:rPr>
          <w:lang w:val="en-US" w:eastAsia="nl-NL"/>
        </w:rPr>
        <w:t>impacts of events are</w:t>
      </w:r>
      <w:r w:rsidR="00787336">
        <w:rPr>
          <w:lang w:val="en-US" w:eastAsia="nl-NL"/>
        </w:rPr>
        <w:t xml:space="preserve"> </w:t>
      </w:r>
      <w:r w:rsidRPr="00071E70">
        <w:rPr>
          <w:lang w:val="en-US" w:eastAsia="nl-NL"/>
        </w:rPr>
        <w:t>measured but also the effect of any other information</w:t>
      </w:r>
      <w:r w:rsidR="00787336">
        <w:rPr>
          <w:lang w:val="en-US" w:eastAsia="nl-NL"/>
        </w:rPr>
        <w:t>,</w:t>
      </w:r>
      <w:r w:rsidRPr="00071E70">
        <w:rPr>
          <w:lang w:val="en-US" w:eastAsia="nl-NL"/>
        </w:rPr>
        <w:t xml:space="preserve"> which are released during the calendar days of the events</w:t>
      </w:r>
      <w:r w:rsidR="007A0C6F" w:rsidRPr="00071E70">
        <w:rPr>
          <w:lang w:val="en-US" w:eastAsia="nl-NL"/>
        </w:rPr>
        <w:t xml:space="preserve"> (Leftwich, 1981)</w:t>
      </w:r>
      <w:r w:rsidRPr="00071E70">
        <w:rPr>
          <w:lang w:val="en-US" w:eastAsia="nl-NL"/>
        </w:rPr>
        <w:t>.</w:t>
      </w:r>
      <w:r w:rsidR="007A0C6F" w:rsidRPr="00071E70">
        <w:rPr>
          <w:lang w:val="en-US" w:eastAsia="nl-NL"/>
        </w:rPr>
        <w:t xml:space="preserve"> </w:t>
      </w:r>
      <w:r w:rsidR="00251655" w:rsidRPr="00071E70">
        <w:rPr>
          <w:lang w:val="en-US" w:eastAsia="nl-NL"/>
        </w:rPr>
        <w:t xml:space="preserve">Like </w:t>
      </w:r>
      <w:r w:rsidR="00540CB3" w:rsidRPr="00071E70">
        <w:rPr>
          <w:lang w:val="en-US" w:eastAsia="nl-NL"/>
        </w:rPr>
        <w:t xml:space="preserve">for instance </w:t>
      </w:r>
      <w:r w:rsidR="00251655" w:rsidRPr="00071E70">
        <w:rPr>
          <w:lang w:val="en-US" w:eastAsia="nl-NL"/>
        </w:rPr>
        <w:t>announcements of capital injections</w:t>
      </w:r>
      <w:r w:rsidR="00540CB3" w:rsidRPr="00071E70">
        <w:rPr>
          <w:lang w:val="en-US" w:eastAsia="nl-NL"/>
        </w:rPr>
        <w:t xml:space="preserve"> by the government. </w:t>
      </w:r>
      <w:r w:rsidR="007A0C6F" w:rsidRPr="00071E70">
        <w:rPr>
          <w:lang w:val="en-US" w:eastAsia="nl-NL"/>
        </w:rPr>
        <w:t>In addition, the financial crisis is a limitation of this research. During the financial crisis, markets became illiquid and therefore stock</w:t>
      </w:r>
      <w:r w:rsidR="007A0C6F">
        <w:rPr>
          <w:lang w:val="en-US" w:eastAsia="nl-NL"/>
        </w:rPr>
        <w:t xml:space="preserve"> price reactions of financial institutions could be the effect of the financial crisis. As presented in the results of the first hypothesis, during the first through fourth event financial institutions </w:t>
      </w:r>
      <w:r w:rsidR="007A0C6F" w:rsidRPr="00574E2C">
        <w:rPr>
          <w:lang w:val="en-US" w:eastAsia="nl-NL"/>
        </w:rPr>
        <w:t xml:space="preserve">show a negative stock price reaction. This reaction could be </w:t>
      </w:r>
      <w:r w:rsidR="007A0C6F" w:rsidRPr="00574E2C">
        <w:rPr>
          <w:lang w:val="en-US"/>
        </w:rPr>
        <w:t xml:space="preserve">the reliance in the financial system by investors during the financial crisis. </w:t>
      </w:r>
      <w:r w:rsidR="00540CB3" w:rsidRPr="00574E2C">
        <w:rPr>
          <w:lang w:val="en-US"/>
        </w:rPr>
        <w:t>Hence,</w:t>
      </w:r>
      <w:r w:rsidR="00251655" w:rsidRPr="00574E2C">
        <w:rPr>
          <w:lang w:val="en-US"/>
        </w:rPr>
        <w:t xml:space="preserve"> </w:t>
      </w:r>
      <w:r w:rsidR="00540CB3" w:rsidRPr="00574E2C">
        <w:rPr>
          <w:lang w:val="en-US"/>
        </w:rPr>
        <w:t xml:space="preserve">the changed predicted </w:t>
      </w:r>
      <w:r w:rsidR="003F5BCE" w:rsidRPr="00574E2C">
        <w:rPr>
          <w:lang w:val="en-US"/>
        </w:rPr>
        <w:t>direction</w:t>
      </w:r>
      <w:r w:rsidR="00540CB3" w:rsidRPr="00574E2C">
        <w:rPr>
          <w:lang w:val="en-US"/>
        </w:rPr>
        <w:t xml:space="preserve"> of the first through fourth event</w:t>
      </w:r>
      <w:r w:rsidR="00A04045">
        <w:rPr>
          <w:lang w:val="en-US"/>
        </w:rPr>
        <w:t xml:space="preserve"> </w:t>
      </w:r>
      <w:r w:rsidR="00540CB3" w:rsidRPr="00574E2C">
        <w:rPr>
          <w:lang w:val="en-US"/>
        </w:rPr>
        <w:t xml:space="preserve">as presented in </w:t>
      </w:r>
      <w:r w:rsidR="00D85A54" w:rsidRPr="00574E2C">
        <w:rPr>
          <w:lang w:val="en-US"/>
        </w:rPr>
        <w:t>paragraph</w:t>
      </w:r>
      <w:r w:rsidR="00540CB3" w:rsidRPr="00574E2C">
        <w:rPr>
          <w:lang w:val="en-US"/>
        </w:rPr>
        <w:t xml:space="preserve"> </w:t>
      </w:r>
      <w:r w:rsidR="00A845EA" w:rsidRPr="00574E2C">
        <w:rPr>
          <w:lang w:val="en-US"/>
        </w:rPr>
        <w:t>8</w:t>
      </w:r>
      <w:r w:rsidR="00D85A54" w:rsidRPr="00574E2C">
        <w:rPr>
          <w:lang w:val="en-US"/>
        </w:rPr>
        <w:t>.5</w:t>
      </w:r>
      <w:r w:rsidR="00540CB3" w:rsidRPr="00574E2C">
        <w:rPr>
          <w:lang w:val="en-US"/>
        </w:rPr>
        <w:t xml:space="preserve"> should </w:t>
      </w:r>
      <w:r w:rsidR="008A0D8D">
        <w:rPr>
          <w:lang w:val="en-US"/>
        </w:rPr>
        <w:t xml:space="preserve">be </w:t>
      </w:r>
      <w:r w:rsidR="00540CB3" w:rsidRPr="00574E2C">
        <w:rPr>
          <w:lang w:val="en-US"/>
        </w:rPr>
        <w:t>handled with caution</w:t>
      </w:r>
      <w:r w:rsidR="008F2E59" w:rsidRPr="00574E2C">
        <w:rPr>
          <w:lang w:val="en-US"/>
        </w:rPr>
        <w:t>,</w:t>
      </w:r>
      <w:r w:rsidR="00540CB3" w:rsidRPr="00574E2C">
        <w:rPr>
          <w:lang w:val="en-US"/>
        </w:rPr>
        <w:t xml:space="preserve"> because</w:t>
      </w:r>
      <w:r w:rsidR="003F5BCE" w:rsidRPr="00574E2C">
        <w:rPr>
          <w:lang w:val="en-US"/>
        </w:rPr>
        <w:t xml:space="preserve"> the possible reasons </w:t>
      </w:r>
      <w:r w:rsidR="00F84A52" w:rsidRPr="00574E2C">
        <w:rPr>
          <w:lang w:val="en-US"/>
        </w:rPr>
        <w:t xml:space="preserve">for a negative stock price reaction presented </w:t>
      </w:r>
      <w:r w:rsidR="003F5BCE" w:rsidRPr="00574E2C">
        <w:rPr>
          <w:lang w:val="en-US"/>
        </w:rPr>
        <w:t xml:space="preserve">in paragraph </w:t>
      </w:r>
      <w:r w:rsidR="00F84A52" w:rsidRPr="00574E2C">
        <w:rPr>
          <w:lang w:val="en-US"/>
        </w:rPr>
        <w:t>8.1 are not empirically tested in this thesis. Hence,</w:t>
      </w:r>
      <w:r w:rsidR="00540CB3" w:rsidRPr="00574E2C">
        <w:rPr>
          <w:lang w:val="en-US"/>
        </w:rPr>
        <w:t xml:space="preserve"> the </w:t>
      </w:r>
      <w:r w:rsidR="003F5BCE" w:rsidRPr="00574E2C">
        <w:rPr>
          <w:lang w:val="en-US"/>
        </w:rPr>
        <w:t>direction was predicted positive and in fact the stock price reaction was negative</w:t>
      </w:r>
      <w:r w:rsidR="00540CB3" w:rsidRPr="00574E2C">
        <w:rPr>
          <w:lang w:val="en-US"/>
        </w:rPr>
        <w:t xml:space="preserve">. Furthermore, the situation in the US and Europe differ. </w:t>
      </w:r>
      <w:r w:rsidR="008F2E59" w:rsidRPr="00574E2C">
        <w:rPr>
          <w:lang w:val="en-US"/>
        </w:rPr>
        <w:t xml:space="preserve">This </w:t>
      </w:r>
      <w:r w:rsidR="00540CB3" w:rsidRPr="00574E2C">
        <w:rPr>
          <w:lang w:val="en-US"/>
        </w:rPr>
        <w:t>differen</w:t>
      </w:r>
      <w:r w:rsidR="008F2E59" w:rsidRPr="00574E2C">
        <w:rPr>
          <w:lang w:val="en-US"/>
        </w:rPr>
        <w:t>ce in</w:t>
      </w:r>
      <w:r w:rsidR="00540CB3" w:rsidRPr="00574E2C">
        <w:rPr>
          <w:lang w:val="en-US"/>
        </w:rPr>
        <w:t xml:space="preserve"> situation</w:t>
      </w:r>
      <w:r w:rsidR="00071E70" w:rsidRPr="00574E2C">
        <w:rPr>
          <w:lang w:val="en-US"/>
        </w:rPr>
        <w:t>, as</w:t>
      </w:r>
      <w:r w:rsidR="00071E70">
        <w:rPr>
          <w:lang w:val="en-US"/>
        </w:rPr>
        <w:t xml:space="preserve"> presented at the second hypothesis, is a limitation</w:t>
      </w:r>
      <w:r w:rsidR="008F2E59" w:rsidRPr="008F2E59">
        <w:rPr>
          <w:lang w:val="en-US"/>
        </w:rPr>
        <w:t xml:space="preserve"> </w:t>
      </w:r>
      <w:r w:rsidR="008F2E59">
        <w:rPr>
          <w:lang w:val="en-US"/>
        </w:rPr>
        <w:t>of the comparison between the US and Europe</w:t>
      </w:r>
      <w:r w:rsidR="00540CB3">
        <w:rPr>
          <w:lang w:val="en-US"/>
        </w:rPr>
        <w:t xml:space="preserve">. </w:t>
      </w:r>
      <w:r w:rsidR="00E940F4">
        <w:rPr>
          <w:lang w:val="en-US"/>
        </w:rPr>
        <w:t>At last,</w:t>
      </w:r>
      <w:r w:rsidR="008A0D8D">
        <w:rPr>
          <w:lang w:val="en-US"/>
        </w:rPr>
        <w:t xml:space="preserve"> the </w:t>
      </w:r>
      <w:r w:rsidR="008A0D8D">
        <w:rPr>
          <w:lang w:val="en-US"/>
        </w:rPr>
        <w:lastRenderedPageBreak/>
        <w:t>results of tests of hypothesis four seem</w:t>
      </w:r>
      <w:r w:rsidR="00A04045">
        <w:rPr>
          <w:lang w:val="en-US"/>
        </w:rPr>
        <w:t xml:space="preserve"> to </w:t>
      </w:r>
      <w:r w:rsidR="006F512E">
        <w:rPr>
          <w:lang w:val="en-US"/>
        </w:rPr>
        <w:t>support</w:t>
      </w:r>
      <w:r w:rsidR="00E940F4">
        <w:rPr>
          <w:lang w:val="en-US"/>
        </w:rPr>
        <w:t xml:space="preserve"> that Ireland and Great Britain react weaker to the introduction of the reclassification option. However, </w:t>
      </w:r>
      <w:r w:rsidR="008F2E59">
        <w:rPr>
          <w:lang w:val="en-US"/>
        </w:rPr>
        <w:t xml:space="preserve">further </w:t>
      </w:r>
      <w:r w:rsidR="00E940F4">
        <w:rPr>
          <w:lang w:val="en-US"/>
        </w:rPr>
        <w:t xml:space="preserve">research </w:t>
      </w:r>
      <w:r w:rsidR="00A04045">
        <w:rPr>
          <w:lang w:val="en-US"/>
        </w:rPr>
        <w:t>is needed</w:t>
      </w:r>
      <w:r w:rsidR="00E940F4">
        <w:rPr>
          <w:lang w:val="en-US"/>
        </w:rPr>
        <w:t xml:space="preserve"> to prove whether difference in corporate governance is</w:t>
      </w:r>
      <w:r w:rsidR="00A04045">
        <w:rPr>
          <w:lang w:val="en-US"/>
        </w:rPr>
        <w:t xml:space="preserve"> in fact</w:t>
      </w:r>
      <w:r w:rsidR="00E940F4">
        <w:rPr>
          <w:lang w:val="en-US"/>
        </w:rPr>
        <w:t xml:space="preserve"> the reason for the weaker reaction.</w:t>
      </w:r>
    </w:p>
    <w:p w:rsidR="007C0EBD" w:rsidRPr="00DA0DCD" w:rsidRDefault="007C0EBD" w:rsidP="007C0EBD">
      <w:pPr>
        <w:pStyle w:val="Kop2"/>
        <w:numPr>
          <w:ilvl w:val="1"/>
          <w:numId w:val="14"/>
        </w:numPr>
        <w:rPr>
          <w:lang w:val="en-US"/>
        </w:rPr>
      </w:pPr>
      <w:bookmarkStart w:id="92" w:name="_Toc270770626"/>
      <w:r w:rsidRPr="00DA0DCD">
        <w:rPr>
          <w:lang w:val="en-US"/>
        </w:rPr>
        <w:t>Further research</w:t>
      </w:r>
      <w:bookmarkEnd w:id="92"/>
    </w:p>
    <w:p w:rsidR="00F84A52" w:rsidRPr="00F84A52" w:rsidRDefault="00161A9C" w:rsidP="007C0EBD">
      <w:pPr>
        <w:rPr>
          <w:color w:val="FF0000"/>
          <w:lang w:val="en-US"/>
        </w:rPr>
      </w:pPr>
      <w:r>
        <w:rPr>
          <w:lang w:val="en-US"/>
        </w:rPr>
        <w:t>Based on the results and limitations of this research, some recommendations on further research can be given. This study focuses on the capital market reaction</w:t>
      </w:r>
      <w:r w:rsidR="008A0D8D" w:rsidRPr="008A0D8D">
        <w:rPr>
          <w:lang w:val="en-US"/>
        </w:rPr>
        <w:t xml:space="preserve"> </w:t>
      </w:r>
      <w:r w:rsidR="008A0D8D">
        <w:rPr>
          <w:lang w:val="en-US"/>
        </w:rPr>
        <w:t>only</w:t>
      </w:r>
      <w:r>
        <w:rPr>
          <w:lang w:val="en-US"/>
        </w:rPr>
        <w:t xml:space="preserve">. </w:t>
      </w:r>
      <w:r w:rsidR="008F2E59">
        <w:rPr>
          <w:lang w:val="en-US"/>
        </w:rPr>
        <w:t>However,</w:t>
      </w:r>
      <w:r>
        <w:rPr>
          <w:lang w:val="en-US"/>
        </w:rPr>
        <w:t xml:space="preserve"> what is the relation between the degree of stock price reaction</w:t>
      </w:r>
      <w:r w:rsidR="00A04045">
        <w:rPr>
          <w:lang w:val="en-US"/>
        </w:rPr>
        <w:t>,</w:t>
      </w:r>
      <w:r>
        <w:rPr>
          <w:lang w:val="en-US"/>
        </w:rPr>
        <w:t xml:space="preserve"> on the introduction of the reclassification option</w:t>
      </w:r>
      <w:r w:rsidR="00A04045">
        <w:rPr>
          <w:lang w:val="en-US"/>
        </w:rPr>
        <w:t>,</w:t>
      </w:r>
      <w:r>
        <w:rPr>
          <w:lang w:val="en-US"/>
        </w:rPr>
        <w:t xml:space="preserve"> and the characteristics of the financial institutions. </w:t>
      </w:r>
      <w:r w:rsidR="00A04045">
        <w:rPr>
          <w:lang w:val="en-US"/>
        </w:rPr>
        <w:t>Further, a</w:t>
      </w:r>
      <w:r>
        <w:rPr>
          <w:lang w:val="en-US"/>
        </w:rPr>
        <w:t xml:space="preserve">s shown in chapter 8, the </w:t>
      </w:r>
      <w:r w:rsidRPr="00A50090">
        <w:rPr>
          <w:lang w:val="en-US"/>
        </w:rPr>
        <w:t>predicted effect of the difference between solvency requirements for insurance companies and the more stringent capital requirements of Basel</w:t>
      </w:r>
      <w:r>
        <w:rPr>
          <w:lang w:val="en-US"/>
        </w:rPr>
        <w:t xml:space="preserve"> II is not convincingly confirmed</w:t>
      </w:r>
      <w:r w:rsidR="00653E85">
        <w:rPr>
          <w:lang w:val="en-US"/>
        </w:rPr>
        <w:t xml:space="preserve"> by the results</w:t>
      </w:r>
      <w:r>
        <w:rPr>
          <w:lang w:val="en-US"/>
        </w:rPr>
        <w:t xml:space="preserve">. </w:t>
      </w:r>
      <w:r w:rsidR="00653E85">
        <w:rPr>
          <w:lang w:val="en-US"/>
        </w:rPr>
        <w:t>Therefore,</w:t>
      </w:r>
      <w:r>
        <w:rPr>
          <w:lang w:val="en-US"/>
        </w:rPr>
        <w:t xml:space="preserve"> further research is needed to </w:t>
      </w:r>
      <w:r w:rsidR="00653E85">
        <w:rPr>
          <w:lang w:val="en-US"/>
        </w:rPr>
        <w:t xml:space="preserve">find whether there is a difference in </w:t>
      </w:r>
      <w:r>
        <w:rPr>
          <w:lang w:val="en-US"/>
        </w:rPr>
        <w:t>pro-cyclical effect</w:t>
      </w:r>
      <w:r w:rsidR="00653E85">
        <w:rPr>
          <w:lang w:val="en-US"/>
        </w:rPr>
        <w:t xml:space="preserve"> between</w:t>
      </w:r>
      <w:r>
        <w:rPr>
          <w:lang w:val="en-US"/>
        </w:rPr>
        <w:t xml:space="preserve"> Basel II and Solvency</w:t>
      </w:r>
      <w:r w:rsidR="00A04045">
        <w:rPr>
          <w:lang w:val="en-US"/>
        </w:rPr>
        <w:t xml:space="preserve"> regulation. Hence</w:t>
      </w:r>
      <w:r w:rsidR="00653E85">
        <w:rPr>
          <w:lang w:val="en-US"/>
        </w:rPr>
        <w:t>, the analy</w:t>
      </w:r>
      <w:r w:rsidR="008F2E59">
        <w:rPr>
          <w:lang w:val="en-US"/>
        </w:rPr>
        <w:t>sis</w:t>
      </w:r>
      <w:r w:rsidR="00653E85">
        <w:rPr>
          <w:lang w:val="en-US"/>
        </w:rPr>
        <w:t xml:space="preserve"> of hypothesis three </w:t>
      </w:r>
      <w:r w:rsidR="00787336">
        <w:rPr>
          <w:lang w:val="en-US"/>
        </w:rPr>
        <w:t>shows</w:t>
      </w:r>
      <w:r w:rsidR="00653E85">
        <w:rPr>
          <w:lang w:val="en-US"/>
        </w:rPr>
        <w:t xml:space="preserve"> that Finland and</w:t>
      </w:r>
      <w:r w:rsidR="006F686C">
        <w:rPr>
          <w:lang w:val="en-US"/>
        </w:rPr>
        <w:t xml:space="preserve"> Great Britain</w:t>
      </w:r>
      <w:r w:rsidR="00653E85">
        <w:rPr>
          <w:lang w:val="en-US"/>
        </w:rPr>
        <w:t xml:space="preserve"> react statistically not significant and</w:t>
      </w:r>
      <w:r w:rsidR="00653E85" w:rsidRPr="00653E85">
        <w:rPr>
          <w:lang w:val="en-US"/>
        </w:rPr>
        <w:t xml:space="preserve"> </w:t>
      </w:r>
      <w:r w:rsidR="00653E85">
        <w:rPr>
          <w:lang w:val="en-US"/>
        </w:rPr>
        <w:t>Ireland even negative to the introduction of the reclassification option.</w:t>
      </w:r>
      <w:r w:rsidR="008F2E59">
        <w:rPr>
          <w:lang w:val="en-US"/>
        </w:rPr>
        <w:t xml:space="preserve"> </w:t>
      </w:r>
      <w:r w:rsidR="00A04045">
        <w:rPr>
          <w:lang w:val="en-US"/>
        </w:rPr>
        <w:t>F</w:t>
      </w:r>
      <w:r w:rsidR="00653E85">
        <w:rPr>
          <w:lang w:val="en-US"/>
        </w:rPr>
        <w:t xml:space="preserve">urther research is needed to find what the reason is for those reactions and whether </w:t>
      </w:r>
      <w:r w:rsidR="00653E85" w:rsidRPr="00A04045">
        <w:rPr>
          <w:lang w:val="en-US"/>
        </w:rPr>
        <w:t xml:space="preserve">corporate governance </w:t>
      </w:r>
      <w:r w:rsidR="00A04045" w:rsidRPr="00A04045">
        <w:rPr>
          <w:lang w:val="en-US"/>
        </w:rPr>
        <w:t>in fact</w:t>
      </w:r>
      <w:r w:rsidR="00653E85" w:rsidRPr="00A04045">
        <w:rPr>
          <w:lang w:val="en-US"/>
        </w:rPr>
        <w:t xml:space="preserve"> plays a role in the stock price reaction.</w:t>
      </w:r>
      <w:r w:rsidR="00574E2C" w:rsidRPr="00A04045">
        <w:rPr>
          <w:lang w:val="en-US"/>
        </w:rPr>
        <w:t xml:space="preserve"> </w:t>
      </w:r>
      <w:r w:rsidR="00A04045" w:rsidRPr="00A04045">
        <w:rPr>
          <w:lang w:val="en-US"/>
        </w:rPr>
        <w:t>As last remark, t</w:t>
      </w:r>
      <w:r w:rsidR="00F84A52" w:rsidRPr="00A04045">
        <w:rPr>
          <w:lang w:val="en-US"/>
        </w:rPr>
        <w:t xml:space="preserve">he possible reasons </w:t>
      </w:r>
      <w:r w:rsidR="00574E2C" w:rsidRPr="00A04045">
        <w:rPr>
          <w:lang w:val="en-US"/>
        </w:rPr>
        <w:t>for a negative stock price reaction during</w:t>
      </w:r>
      <w:r w:rsidR="00E033EC">
        <w:rPr>
          <w:lang w:val="en-US"/>
        </w:rPr>
        <w:t xml:space="preserve"> the first through fourth event</w:t>
      </w:r>
      <w:r w:rsidR="00574E2C" w:rsidRPr="00A04045">
        <w:rPr>
          <w:lang w:val="en-US"/>
        </w:rPr>
        <w:t>, as shown in paragraph 8.1, should be further researched to know whether one or more possibilities actually determine the direction of the stock price reaction.</w:t>
      </w:r>
    </w:p>
    <w:p w:rsidR="00653E85" w:rsidRDefault="00653E85">
      <w:pPr>
        <w:rPr>
          <w:rFonts w:asciiTheme="majorHAnsi" w:eastAsiaTheme="majorEastAsia" w:hAnsiTheme="majorHAnsi" w:cstheme="majorBidi"/>
          <w:b/>
          <w:bCs/>
          <w:color w:val="365F91" w:themeColor="accent1" w:themeShade="BF"/>
          <w:sz w:val="28"/>
          <w:szCs w:val="28"/>
          <w:lang w:val="en-US"/>
        </w:rPr>
      </w:pPr>
      <w:r>
        <w:rPr>
          <w:lang w:val="en-US"/>
        </w:rPr>
        <w:br w:type="page"/>
      </w:r>
    </w:p>
    <w:p w:rsidR="00F46D4F" w:rsidRPr="00DA0DCD" w:rsidRDefault="00F46D4F" w:rsidP="00F46D4F">
      <w:pPr>
        <w:pStyle w:val="Kop1"/>
        <w:rPr>
          <w:lang w:val="en-US"/>
        </w:rPr>
      </w:pPr>
      <w:bookmarkStart w:id="93" w:name="_Toc270770627"/>
      <w:r w:rsidRPr="00DA0DCD">
        <w:rPr>
          <w:lang w:val="en-US"/>
        </w:rPr>
        <w:lastRenderedPageBreak/>
        <w:t>References</w:t>
      </w:r>
      <w:bookmarkEnd w:id="93"/>
    </w:p>
    <w:p w:rsidR="00F46D4F" w:rsidRPr="00DC110C" w:rsidRDefault="00F46D4F" w:rsidP="00F46D4F">
      <w:pPr>
        <w:pStyle w:val="Geenafstand"/>
        <w:rPr>
          <w:lang w:val="en-US"/>
        </w:rPr>
      </w:pPr>
      <w:r w:rsidRPr="00DC110C">
        <w:rPr>
          <w:lang w:val="en-US"/>
        </w:rPr>
        <w:t>Adrian, T., &amp; Shin, H. S. (2008). Liquidity and leverage. Federal Reserve Bank of New York</w:t>
      </w:r>
    </w:p>
    <w:p w:rsidR="00F46D4F" w:rsidRPr="00DC110C" w:rsidRDefault="00F46D4F" w:rsidP="00F46D4F">
      <w:pPr>
        <w:pStyle w:val="Geenafstand"/>
        <w:ind w:firstLine="708"/>
        <w:rPr>
          <w:lang w:val="en-US"/>
        </w:rPr>
      </w:pPr>
      <w:r w:rsidRPr="00DC110C">
        <w:rPr>
          <w:lang w:val="en-US"/>
        </w:rPr>
        <w:t>Staff Reports, No. 328.</w:t>
      </w:r>
    </w:p>
    <w:p w:rsidR="00F46D4F" w:rsidRPr="00DC110C" w:rsidRDefault="00F46D4F" w:rsidP="00F46D4F">
      <w:pPr>
        <w:pStyle w:val="Geenafstand"/>
        <w:rPr>
          <w:lang w:val="en-US"/>
        </w:rPr>
      </w:pPr>
      <w:r w:rsidRPr="00DC110C">
        <w:rPr>
          <w:lang w:val="en-US"/>
        </w:rPr>
        <w:t>Amel-Zadeh, Amir and Meeks, G., Bank Failure, Mark-to-Market and the Financial Crisis</w:t>
      </w:r>
    </w:p>
    <w:p w:rsidR="00F46D4F" w:rsidRPr="00DC110C" w:rsidRDefault="00F46D4F" w:rsidP="00F46D4F">
      <w:pPr>
        <w:pStyle w:val="Geenafstand"/>
        <w:ind w:firstLine="708"/>
        <w:rPr>
          <w:lang w:val="en-US"/>
        </w:rPr>
      </w:pPr>
      <w:r w:rsidRPr="00DC110C">
        <w:rPr>
          <w:lang w:val="en-US"/>
        </w:rPr>
        <w:t xml:space="preserve">(October 26, 2009). Available at SSRN: </w:t>
      </w:r>
      <w:hyperlink r:id="rId36" w:history="1">
        <w:r w:rsidRPr="00DC110C">
          <w:rPr>
            <w:rStyle w:val="Hyperlink"/>
            <w:rFonts w:cs="Times New Roman"/>
            <w:color w:val="auto"/>
            <w:lang w:val="en-US"/>
          </w:rPr>
          <w:t>http://ssrn.com/abstract=1494452</w:t>
        </w:r>
      </w:hyperlink>
    </w:p>
    <w:p w:rsidR="00F46D4F" w:rsidRPr="00DC110C" w:rsidRDefault="00F46D4F" w:rsidP="00F46D4F">
      <w:pPr>
        <w:pStyle w:val="Geenafstand"/>
        <w:rPr>
          <w:lang w:val="en-US"/>
        </w:rPr>
      </w:pPr>
      <w:r w:rsidRPr="00DC110C">
        <w:rPr>
          <w:lang w:val="en-US"/>
        </w:rPr>
        <w:t>Allen, F., &amp; Carletti, E. (2008). Mark-to-market accounting and liquidity pricing. Journal of</w:t>
      </w:r>
    </w:p>
    <w:p w:rsidR="00F46D4F" w:rsidRPr="00DC110C" w:rsidRDefault="00F46D4F" w:rsidP="00F46D4F">
      <w:pPr>
        <w:pStyle w:val="Geenafstand"/>
        <w:ind w:firstLine="708"/>
        <w:rPr>
          <w:lang w:val="en-US"/>
        </w:rPr>
      </w:pPr>
      <w:r w:rsidRPr="00DC110C">
        <w:rPr>
          <w:lang w:val="en-US"/>
        </w:rPr>
        <w:t>Accounting and Economics, 45, 358–378.</w:t>
      </w:r>
    </w:p>
    <w:p w:rsidR="00F46D4F" w:rsidRPr="00DC110C" w:rsidRDefault="00F46D4F" w:rsidP="00F46D4F">
      <w:pPr>
        <w:pStyle w:val="Geenafstand"/>
        <w:rPr>
          <w:lang w:val="en-US"/>
        </w:rPr>
      </w:pPr>
      <w:r w:rsidRPr="00DC110C">
        <w:rPr>
          <w:lang w:val="en-US"/>
        </w:rPr>
        <w:t>Armstrong, C.S., M.E. Barth, A.D. Jagolinser and E.J. Riedl. 2009. Market Reaction to the</w:t>
      </w:r>
    </w:p>
    <w:p w:rsidR="00F46D4F" w:rsidRPr="00DC110C" w:rsidRDefault="00F46D4F" w:rsidP="00F46D4F">
      <w:pPr>
        <w:pStyle w:val="Geenafstand"/>
        <w:ind w:left="708"/>
        <w:rPr>
          <w:lang w:val="en-US"/>
        </w:rPr>
      </w:pPr>
      <w:r w:rsidRPr="00DC110C">
        <w:rPr>
          <w:lang w:val="en-US"/>
        </w:rPr>
        <w:t xml:space="preserve">Adoption of IFRS in Europe. </w:t>
      </w:r>
      <w:r w:rsidRPr="00DC110C">
        <w:rPr>
          <w:i/>
          <w:lang w:val="en-US"/>
        </w:rPr>
        <w:t>The Accounting Review, forthcoming</w:t>
      </w:r>
      <w:r w:rsidRPr="00DC110C">
        <w:rPr>
          <w:lang w:val="en-US"/>
        </w:rPr>
        <w:t>. http://www.ssrn.com/abstract=903429</w:t>
      </w:r>
    </w:p>
    <w:p w:rsidR="00F46D4F" w:rsidRPr="00DC110C" w:rsidRDefault="00F46D4F" w:rsidP="00F46D4F">
      <w:pPr>
        <w:pStyle w:val="Geenafstand"/>
        <w:rPr>
          <w:lang w:val="en-US"/>
        </w:rPr>
      </w:pPr>
      <w:r w:rsidRPr="00DC110C">
        <w:rPr>
          <w:lang w:val="en-US"/>
        </w:rPr>
        <w:t xml:space="preserve">Ball, R. &amp; Brown, P.(1968) ‘An empirical evaluation of accounting income numbers’, Journal </w:t>
      </w:r>
    </w:p>
    <w:p w:rsidR="00F46D4F" w:rsidRPr="00DC110C" w:rsidRDefault="00F46D4F" w:rsidP="00F46D4F">
      <w:pPr>
        <w:pStyle w:val="Geenafstand"/>
        <w:rPr>
          <w:lang w:val="en-US"/>
        </w:rPr>
      </w:pPr>
      <w:r w:rsidRPr="00DC110C">
        <w:rPr>
          <w:lang w:val="en-US"/>
        </w:rPr>
        <w:tab/>
        <w:t>of Accounting Research, 6(2), pp. 159-178</w:t>
      </w:r>
    </w:p>
    <w:p w:rsidR="00F46D4F" w:rsidRPr="00DC110C" w:rsidRDefault="00F46D4F" w:rsidP="00F46D4F">
      <w:pPr>
        <w:pStyle w:val="Geenafstand"/>
        <w:rPr>
          <w:lang w:val="en-US"/>
        </w:rPr>
      </w:pPr>
      <w:r w:rsidRPr="00DC110C">
        <w:rPr>
          <w:lang w:val="en-US"/>
        </w:rPr>
        <w:t xml:space="preserve">Ball, R. (2006) “International financial reporting standards (IFRS): pros and cons for </w:t>
      </w:r>
    </w:p>
    <w:p w:rsidR="00F46D4F" w:rsidRPr="00DC110C" w:rsidRDefault="00F46D4F" w:rsidP="00F46D4F">
      <w:pPr>
        <w:pStyle w:val="Geenafstand"/>
        <w:rPr>
          <w:lang w:val="en-US"/>
        </w:rPr>
      </w:pPr>
      <w:r w:rsidRPr="00DC110C">
        <w:rPr>
          <w:lang w:val="en-US"/>
        </w:rPr>
        <w:tab/>
        <w:t xml:space="preserve">investors,” </w:t>
      </w:r>
      <w:r w:rsidRPr="00DC110C">
        <w:rPr>
          <w:i/>
          <w:iCs/>
          <w:lang w:val="en-US"/>
        </w:rPr>
        <w:t>Accounting and Business Research</w:t>
      </w:r>
      <w:r w:rsidRPr="00DC110C">
        <w:rPr>
          <w:lang w:val="en-US"/>
        </w:rPr>
        <w:t>, Vol.36, pp.5-27.</w:t>
      </w:r>
    </w:p>
    <w:p w:rsidR="00F46D4F" w:rsidRPr="00DC110C" w:rsidRDefault="00F46D4F" w:rsidP="00F46D4F">
      <w:pPr>
        <w:pStyle w:val="Geenafstand"/>
        <w:rPr>
          <w:lang w:val="en-US"/>
        </w:rPr>
      </w:pPr>
      <w:r w:rsidRPr="00DC110C">
        <w:rPr>
          <w:lang w:val="en-US"/>
        </w:rPr>
        <w:t>Ball, R. 2008. “Don’t blame the messenger…or ignore the message.” Note, available at</w:t>
      </w:r>
    </w:p>
    <w:p w:rsidR="00F46D4F" w:rsidRPr="00DC110C" w:rsidRDefault="00F46D4F" w:rsidP="00F46D4F">
      <w:pPr>
        <w:pStyle w:val="Geenafstand"/>
        <w:ind w:firstLine="708"/>
        <w:rPr>
          <w:lang w:val="en-US"/>
        </w:rPr>
      </w:pPr>
      <w:r w:rsidRPr="00DC110C">
        <w:rPr>
          <w:lang w:val="en-US"/>
        </w:rPr>
        <w:t>http://faculty.chicagobooth.edu/brian.barry/igm/ShootingtheMessenger2008-10-12.pdf</w:t>
      </w:r>
    </w:p>
    <w:p w:rsidR="00F46D4F" w:rsidRPr="00DC110C" w:rsidRDefault="00F46D4F" w:rsidP="00F46D4F">
      <w:pPr>
        <w:pStyle w:val="Geenafstand"/>
        <w:rPr>
          <w:lang w:val="en-US"/>
        </w:rPr>
      </w:pPr>
      <w:r w:rsidRPr="00DC110C">
        <w:rPr>
          <w:lang w:val="en-US"/>
        </w:rPr>
        <w:t xml:space="preserve">Banque de France (2008). Financial stability review. Special issue on valuation, no. 12, </w:t>
      </w:r>
    </w:p>
    <w:p w:rsidR="00F46D4F" w:rsidRPr="00DC110C" w:rsidRDefault="00F46D4F" w:rsidP="00F46D4F">
      <w:pPr>
        <w:pStyle w:val="Geenafstand"/>
        <w:rPr>
          <w:lang w:val="en-US"/>
        </w:rPr>
      </w:pPr>
      <w:r w:rsidRPr="00DC110C">
        <w:rPr>
          <w:lang w:val="en-US"/>
        </w:rPr>
        <w:tab/>
        <w:t>October.</w:t>
      </w:r>
    </w:p>
    <w:p w:rsidR="00F46D4F" w:rsidRPr="00DC110C" w:rsidRDefault="00F46D4F" w:rsidP="00F46D4F">
      <w:pPr>
        <w:pStyle w:val="Geenafstand"/>
        <w:rPr>
          <w:lang w:val="en-US"/>
        </w:rPr>
      </w:pPr>
      <w:r w:rsidRPr="00DC110C">
        <w:rPr>
          <w:lang w:val="en-US"/>
        </w:rPr>
        <w:t xml:space="preserve">Barth, M.E., W.H. Beaver and W.R. Landsman. 2001. The Relevance of the Value Relevance </w:t>
      </w:r>
    </w:p>
    <w:p w:rsidR="00F46D4F" w:rsidRPr="00DC110C" w:rsidRDefault="00F46D4F" w:rsidP="00F46D4F">
      <w:pPr>
        <w:pStyle w:val="Geenafstand"/>
        <w:ind w:left="708"/>
        <w:rPr>
          <w:lang w:val="en-US"/>
        </w:rPr>
      </w:pPr>
      <w:r w:rsidRPr="00DC110C">
        <w:rPr>
          <w:lang w:val="en-US"/>
        </w:rPr>
        <w:t xml:space="preserve">Literature for Financial Accounting Standard Setting: Another View. </w:t>
      </w:r>
      <w:r w:rsidRPr="00DC110C">
        <w:rPr>
          <w:i/>
          <w:lang w:val="en-US"/>
        </w:rPr>
        <w:t>Journal of Accounting and Economics</w:t>
      </w:r>
      <w:r w:rsidRPr="00DC110C">
        <w:rPr>
          <w:lang w:val="en-US"/>
        </w:rPr>
        <w:t>. Vol 31. Iss. 1-3 (September): 77-104</w:t>
      </w:r>
    </w:p>
    <w:p w:rsidR="0013536F" w:rsidRPr="00DC110C" w:rsidRDefault="0013536F" w:rsidP="0013536F">
      <w:pPr>
        <w:pStyle w:val="Geenafstand"/>
        <w:rPr>
          <w:lang w:val="en-US"/>
        </w:rPr>
      </w:pPr>
      <w:r w:rsidRPr="00DC110C">
        <w:rPr>
          <w:lang w:val="en-US"/>
        </w:rPr>
        <w:t>Barth, M.E., W.R. Landsman, and J.M. Wahlen. 1995. “Fair value accounting: Effects on banks’</w:t>
      </w:r>
    </w:p>
    <w:p w:rsidR="0013536F" w:rsidRPr="00DC110C" w:rsidRDefault="0013536F" w:rsidP="0013536F">
      <w:pPr>
        <w:pStyle w:val="Geenafstand"/>
        <w:ind w:left="708"/>
        <w:rPr>
          <w:lang w:val="en-US"/>
        </w:rPr>
      </w:pPr>
      <w:r w:rsidRPr="00DC110C">
        <w:rPr>
          <w:lang w:val="en-US"/>
        </w:rPr>
        <w:t>earnings volatility, regulatory capital, and value of contractual cash flow.” Journal of Banking and Finance 19: 577-605.</w:t>
      </w:r>
    </w:p>
    <w:p w:rsidR="00F46D4F" w:rsidRPr="00DC110C" w:rsidRDefault="00F46D4F" w:rsidP="00F46D4F">
      <w:pPr>
        <w:pStyle w:val="Geenafstand"/>
        <w:rPr>
          <w:lang w:val="en-US"/>
        </w:rPr>
      </w:pPr>
      <w:r w:rsidRPr="00DC110C">
        <w:rPr>
          <w:lang w:val="en-US"/>
        </w:rPr>
        <w:t>Beatt</w:t>
      </w:r>
      <w:r w:rsidR="00911F1C" w:rsidRPr="00DC110C">
        <w:rPr>
          <w:lang w:val="en-US"/>
        </w:rPr>
        <w:t>y</w:t>
      </w:r>
      <w:r w:rsidRPr="00DC110C">
        <w:rPr>
          <w:lang w:val="en-US"/>
        </w:rPr>
        <w:t xml:space="preserve">, V., Goodacre, A. and Thomson, S.J. 2006., “International lease-accounting reform </w:t>
      </w:r>
    </w:p>
    <w:p w:rsidR="00F46D4F" w:rsidRPr="00DC110C" w:rsidRDefault="00F46D4F" w:rsidP="00F46D4F">
      <w:pPr>
        <w:pStyle w:val="Geenafstand"/>
        <w:ind w:left="708"/>
        <w:rPr>
          <w:rFonts w:cs="Times New Roman"/>
          <w:lang w:val="en-US" w:eastAsia="nl-NL"/>
        </w:rPr>
      </w:pPr>
      <w:r w:rsidRPr="00DC110C">
        <w:rPr>
          <w:lang w:val="en-US"/>
        </w:rPr>
        <w:t xml:space="preserve">and economic consequences: The views of U.K. users and preparers”, </w:t>
      </w:r>
      <w:r w:rsidRPr="00DC110C">
        <w:rPr>
          <w:i/>
          <w:lang w:val="en-US"/>
        </w:rPr>
        <w:t xml:space="preserve">The International Journal of Accounting, </w:t>
      </w:r>
      <w:r w:rsidRPr="00DC110C">
        <w:rPr>
          <w:lang w:val="en-US"/>
        </w:rPr>
        <w:t>41: 75-103.</w:t>
      </w:r>
    </w:p>
    <w:p w:rsidR="00F46D4F" w:rsidRPr="00DC110C" w:rsidRDefault="00F46D4F" w:rsidP="00F46D4F">
      <w:pPr>
        <w:pStyle w:val="Geenafstand"/>
        <w:rPr>
          <w:rFonts w:cs="Times New Roman"/>
          <w:lang w:val="en-US" w:eastAsia="nl-NL"/>
        </w:rPr>
      </w:pPr>
      <w:r w:rsidRPr="00DC110C">
        <w:rPr>
          <w:rFonts w:cs="Times New Roman"/>
          <w:lang w:val="en-US" w:eastAsia="nl-NL"/>
        </w:rPr>
        <w:t>Beatty, A., S. Chamberlain, and J. Magliolo. 1996. “An empirical analysis of the economic</w:t>
      </w:r>
    </w:p>
    <w:p w:rsidR="00F46D4F" w:rsidRPr="00DC110C" w:rsidRDefault="00F46D4F" w:rsidP="00F46D4F">
      <w:pPr>
        <w:pStyle w:val="Geenafstand"/>
        <w:ind w:left="708"/>
        <w:rPr>
          <w:rFonts w:cs="Times New Roman"/>
          <w:lang w:val="en-US" w:eastAsia="nl-NL"/>
        </w:rPr>
      </w:pPr>
      <w:r w:rsidRPr="00DC110C">
        <w:rPr>
          <w:rFonts w:cs="Times New Roman"/>
          <w:lang w:val="en-US" w:eastAsia="nl-NL"/>
        </w:rPr>
        <w:t>implications of fair value accounting for investment securities.” Journal of Accounting and Economics 22: 43-77.</w:t>
      </w:r>
    </w:p>
    <w:p w:rsidR="00F46D4F" w:rsidRPr="00DC110C" w:rsidRDefault="00F46D4F" w:rsidP="00F46D4F">
      <w:pPr>
        <w:pStyle w:val="Geenafstand"/>
        <w:rPr>
          <w:rFonts w:cs="Times New Roman"/>
          <w:lang w:val="en-US"/>
        </w:rPr>
      </w:pPr>
      <w:r w:rsidRPr="00DC110C">
        <w:rPr>
          <w:rFonts w:cs="Times New Roman"/>
          <w:lang w:val="en-US"/>
        </w:rPr>
        <w:t xml:space="preserve">Bowen, Robert M., Khan, Urooj and Rajgopal, Shivaram, The Economic Consequences of </w:t>
      </w:r>
    </w:p>
    <w:p w:rsidR="00F46D4F" w:rsidRPr="00DC110C" w:rsidRDefault="00F46D4F" w:rsidP="00F46D4F">
      <w:pPr>
        <w:pStyle w:val="Geenafstand"/>
        <w:ind w:left="708"/>
        <w:rPr>
          <w:rFonts w:cs="Times New Roman"/>
          <w:lang w:val="en-US"/>
        </w:rPr>
      </w:pPr>
      <w:r w:rsidRPr="00DC110C">
        <w:rPr>
          <w:rFonts w:cs="Times New Roman"/>
          <w:lang w:val="en-US"/>
        </w:rPr>
        <w:t>Relaxing Fair Value Accounting and Impairment Rules on Banks during the Financial Crisis of 2008-2009 (January 10, 2010). Available at SSRN: http://ssrn.com/abstract=1498912</w:t>
      </w:r>
    </w:p>
    <w:p w:rsidR="00F46D4F" w:rsidRPr="00DC110C" w:rsidRDefault="00F46D4F" w:rsidP="00F46D4F">
      <w:pPr>
        <w:pStyle w:val="Geenafstand"/>
        <w:rPr>
          <w:rFonts w:cs="Times New Roman"/>
          <w:i/>
          <w:iCs/>
          <w:lang w:val="en-US" w:eastAsia="nl-NL"/>
        </w:rPr>
      </w:pPr>
      <w:r w:rsidRPr="00DC110C">
        <w:rPr>
          <w:rFonts w:cs="Times New Roman"/>
          <w:lang w:val="en-US" w:eastAsia="nl-NL"/>
        </w:rPr>
        <w:t xml:space="preserve">Boyer, R. (2007), Assessing the impact of fair value upon financial crises, </w:t>
      </w:r>
      <w:r w:rsidRPr="00DC110C">
        <w:rPr>
          <w:rFonts w:cs="Times New Roman"/>
          <w:i/>
          <w:iCs/>
          <w:lang w:val="en-US" w:eastAsia="nl-NL"/>
        </w:rPr>
        <w:t>Socio Economic</w:t>
      </w:r>
    </w:p>
    <w:p w:rsidR="00F46D4F" w:rsidRPr="00DC110C" w:rsidRDefault="00F46D4F" w:rsidP="00F46D4F">
      <w:pPr>
        <w:pStyle w:val="Geenafstand"/>
        <w:ind w:firstLine="708"/>
        <w:rPr>
          <w:rFonts w:cs="Times New Roman"/>
          <w:lang w:val="en-US" w:eastAsia="nl-NL"/>
        </w:rPr>
      </w:pPr>
      <w:r w:rsidRPr="00DC110C">
        <w:rPr>
          <w:rFonts w:cs="Times New Roman"/>
          <w:i/>
          <w:iCs/>
          <w:lang w:val="en-US" w:eastAsia="nl-NL"/>
        </w:rPr>
        <w:t>Review</w:t>
      </w:r>
      <w:r w:rsidRPr="00DC110C">
        <w:rPr>
          <w:rFonts w:cs="Times New Roman"/>
          <w:lang w:val="en-US" w:eastAsia="nl-NL"/>
        </w:rPr>
        <w:t>, 5 (4), pp. 779-807.</w:t>
      </w:r>
    </w:p>
    <w:p w:rsidR="00C0597C" w:rsidRPr="00DC110C" w:rsidRDefault="00C0597C" w:rsidP="00C0597C">
      <w:pPr>
        <w:pStyle w:val="Geenafstand"/>
        <w:rPr>
          <w:szCs w:val="24"/>
          <w:lang w:val="en-US"/>
        </w:rPr>
      </w:pPr>
      <w:r w:rsidRPr="00DC110C">
        <w:rPr>
          <w:lang w:val="en-US"/>
        </w:rPr>
        <w:t>Carey, M.S., 1995, "Partial market value accounting, bank capital volatility, and bank risk," Journal of</w:t>
      </w:r>
      <w:r w:rsidRPr="00DC110C">
        <w:rPr>
          <w:szCs w:val="24"/>
          <w:lang w:val="en-US"/>
        </w:rPr>
        <w:t xml:space="preserve"> </w:t>
      </w:r>
    </w:p>
    <w:p w:rsidR="00C0597C" w:rsidRPr="00DC110C" w:rsidRDefault="00C0597C" w:rsidP="00C0597C">
      <w:pPr>
        <w:pStyle w:val="Geenafstand"/>
        <w:ind w:firstLine="708"/>
        <w:rPr>
          <w:lang w:val="en-US"/>
        </w:rPr>
      </w:pPr>
      <w:r w:rsidRPr="00DC110C">
        <w:rPr>
          <w:szCs w:val="24"/>
          <w:lang w:val="en-US"/>
        </w:rPr>
        <w:t>Banking and Finance, 19, (April).</w:t>
      </w:r>
    </w:p>
    <w:p w:rsidR="00F46D4F" w:rsidRPr="00DC110C" w:rsidRDefault="00F46D4F" w:rsidP="00F46D4F">
      <w:pPr>
        <w:pStyle w:val="Geenafstand"/>
        <w:rPr>
          <w:lang w:val="en-US"/>
        </w:rPr>
      </w:pPr>
      <w:r w:rsidRPr="00DC110C">
        <w:rPr>
          <w:rFonts w:cs="Times New Roman"/>
          <w:lang w:val="en-US" w:eastAsia="nl-NL"/>
        </w:rPr>
        <w:t xml:space="preserve">CESR. 2009. </w:t>
      </w:r>
      <w:r w:rsidRPr="00DC110C">
        <w:rPr>
          <w:lang w:val="en-US"/>
        </w:rPr>
        <w:t>Application of and disclosures related to the reclassification of financial</w:t>
      </w:r>
    </w:p>
    <w:p w:rsidR="00F46D4F" w:rsidRPr="00DC110C" w:rsidRDefault="00F46D4F" w:rsidP="00F46D4F">
      <w:pPr>
        <w:pStyle w:val="Geenafstand"/>
        <w:ind w:firstLine="708"/>
        <w:rPr>
          <w:rFonts w:cs="Times New Roman"/>
          <w:lang w:val="en-US"/>
        </w:rPr>
      </w:pPr>
      <w:r w:rsidRPr="00DC110C">
        <w:rPr>
          <w:lang w:val="en-US"/>
        </w:rPr>
        <w:t xml:space="preserve">instruments. </w:t>
      </w:r>
      <w:r w:rsidRPr="00DC110C">
        <w:rPr>
          <w:i/>
          <w:lang w:val="en-US"/>
        </w:rPr>
        <w:t>CESR Statement</w:t>
      </w:r>
      <w:r w:rsidRPr="00DC110C">
        <w:rPr>
          <w:lang w:val="en-US"/>
        </w:rPr>
        <w:t>, 15</w:t>
      </w:r>
      <w:r w:rsidRPr="00DC110C">
        <w:rPr>
          <w:vertAlign w:val="superscript"/>
          <w:lang w:val="en-US"/>
        </w:rPr>
        <w:t>th</w:t>
      </w:r>
      <w:r w:rsidRPr="00DC110C">
        <w:rPr>
          <w:lang w:val="en-US"/>
        </w:rPr>
        <w:t xml:space="preserve"> July 2009, Ref. nr. CESR/09-575</w:t>
      </w:r>
    </w:p>
    <w:p w:rsidR="00F46D4F" w:rsidRPr="00DC110C" w:rsidRDefault="00F46D4F" w:rsidP="00F46D4F">
      <w:pPr>
        <w:pStyle w:val="Geenafstand"/>
        <w:rPr>
          <w:rFonts w:cs="Times New Roman"/>
          <w:lang w:val="en-US" w:eastAsia="nl-NL"/>
        </w:rPr>
      </w:pPr>
      <w:r w:rsidRPr="00DC110C">
        <w:rPr>
          <w:rFonts w:cs="Times New Roman"/>
          <w:lang w:val="en-US" w:eastAsia="nl-NL"/>
        </w:rPr>
        <w:t>Cornett, M.M., Z. Rezaee, and H. Tehranian. 1996. “An investigation of capital market</w:t>
      </w:r>
    </w:p>
    <w:p w:rsidR="00F46D4F" w:rsidRPr="00DC110C" w:rsidRDefault="00F46D4F" w:rsidP="00F46D4F">
      <w:pPr>
        <w:pStyle w:val="Geenafstand"/>
        <w:ind w:left="708"/>
        <w:rPr>
          <w:rFonts w:cs="Times New Roman"/>
          <w:lang w:val="en-US" w:eastAsia="nl-NL"/>
        </w:rPr>
      </w:pPr>
      <w:r w:rsidRPr="00DC110C">
        <w:rPr>
          <w:rFonts w:cs="Times New Roman"/>
          <w:lang w:val="en-US" w:eastAsia="nl-NL"/>
        </w:rPr>
        <w:t>reactions to pronouncements on fair value accounting.” Journal of Accounting and Economics 22: 119-154.</w:t>
      </w:r>
    </w:p>
    <w:p w:rsidR="00F46D4F" w:rsidRPr="00DC110C" w:rsidRDefault="00F46D4F" w:rsidP="00F46D4F">
      <w:pPr>
        <w:pStyle w:val="Geenafstand"/>
        <w:rPr>
          <w:lang w:val="en-US"/>
        </w:rPr>
      </w:pPr>
      <w:r w:rsidRPr="00DC110C">
        <w:rPr>
          <w:lang w:val="en-US"/>
        </w:rPr>
        <w:t xml:space="preserve">Dann, L.Y., D. Mayers and R.J. Raab Jr.1977. Trading Rules, Large Blocks, and the Speed of </w:t>
      </w:r>
    </w:p>
    <w:p w:rsidR="00F46D4F" w:rsidRPr="00DC110C" w:rsidRDefault="00F46D4F" w:rsidP="00F46D4F">
      <w:pPr>
        <w:pStyle w:val="Geenafstand"/>
        <w:rPr>
          <w:lang w:val="en-US"/>
        </w:rPr>
      </w:pPr>
      <w:r w:rsidRPr="00DC110C">
        <w:rPr>
          <w:lang w:val="en-US"/>
        </w:rPr>
        <w:tab/>
        <w:t xml:space="preserve">Price Adjustments. </w:t>
      </w:r>
      <w:r w:rsidRPr="00DC110C">
        <w:rPr>
          <w:i/>
          <w:lang w:val="en-US"/>
        </w:rPr>
        <w:t>Journal of Financial Economics</w:t>
      </w:r>
      <w:r w:rsidRPr="00DC110C">
        <w:rPr>
          <w:lang w:val="en-US"/>
        </w:rPr>
        <w:t xml:space="preserve"> Vol. 4. Iss. 1: 3-22 </w:t>
      </w:r>
    </w:p>
    <w:p w:rsidR="00F46D4F" w:rsidRPr="00DC110C" w:rsidRDefault="00F46D4F" w:rsidP="00F46D4F">
      <w:pPr>
        <w:pStyle w:val="Geenafstand"/>
        <w:rPr>
          <w:rFonts w:cs="Times New Roman"/>
          <w:lang w:val="en-US"/>
        </w:rPr>
      </w:pPr>
      <w:r w:rsidRPr="00DC110C">
        <w:rPr>
          <w:rFonts w:cs="Times New Roman"/>
          <w:lang w:val="en-US"/>
        </w:rPr>
        <w:t xml:space="preserve">Daske, Holger, Hail, Luzi, Leuz, Christian and Verdi, Rodrigo S., Mandatory IFRS Reporting </w:t>
      </w:r>
    </w:p>
    <w:p w:rsidR="00F46D4F" w:rsidRPr="00DC110C" w:rsidRDefault="00F46D4F" w:rsidP="00F46D4F">
      <w:pPr>
        <w:pStyle w:val="Geenafstand"/>
        <w:ind w:left="708"/>
        <w:rPr>
          <w:rFonts w:cs="Times New Roman"/>
          <w:lang w:val="en-US"/>
        </w:rPr>
      </w:pPr>
      <w:r w:rsidRPr="00DC110C">
        <w:rPr>
          <w:rFonts w:cs="Times New Roman"/>
          <w:lang w:val="en-US"/>
        </w:rPr>
        <w:t>Around the World: Early Evidence on the Economic Consequences (August 2008). ECGI - Finance Working Paper No. 198/2008; Chicago GSB Research Paper No. 12. Available at SSRN: http://ssrn.com/abstract=1024240</w:t>
      </w:r>
    </w:p>
    <w:p w:rsidR="00F46D4F" w:rsidRPr="00DC110C" w:rsidRDefault="00F46D4F" w:rsidP="00F46D4F">
      <w:pPr>
        <w:pStyle w:val="Geenafstand"/>
        <w:rPr>
          <w:rFonts w:cs="Times New Roman"/>
          <w:lang w:val="en-US"/>
        </w:rPr>
      </w:pPr>
      <w:r w:rsidRPr="00DC110C">
        <w:rPr>
          <w:rFonts w:cs="Times New Roman"/>
          <w:lang w:val="en-US"/>
        </w:rPr>
        <w:t>Deegan, C., Unerman, J., 2006, Financial Accounting Theory, London: McGraw-Hill.</w:t>
      </w:r>
    </w:p>
    <w:p w:rsidR="00F46D4F" w:rsidRPr="00DC110C" w:rsidRDefault="00F46D4F" w:rsidP="00F46D4F">
      <w:pPr>
        <w:pStyle w:val="Geenafstand"/>
        <w:rPr>
          <w:lang w:val="en-US"/>
        </w:rPr>
      </w:pPr>
      <w:r w:rsidRPr="00DC110C">
        <w:t xml:space="preserve">Dijk van, M.A. and P. Roosenboom. </w:t>
      </w:r>
      <w:r w:rsidRPr="00DC110C">
        <w:rPr>
          <w:lang w:val="en-US"/>
        </w:rPr>
        <w:t xml:space="preserve">2009. The Market Reaction to Cross-Listings: Does the </w:t>
      </w:r>
    </w:p>
    <w:p w:rsidR="00F46D4F" w:rsidRPr="00DC110C" w:rsidRDefault="00F46D4F" w:rsidP="00F46D4F">
      <w:pPr>
        <w:pStyle w:val="Geenafstand"/>
        <w:rPr>
          <w:lang w:val="en-US"/>
        </w:rPr>
      </w:pPr>
      <w:r w:rsidRPr="00DC110C">
        <w:rPr>
          <w:lang w:val="en-US"/>
        </w:rPr>
        <w:tab/>
        <w:t xml:space="preserve">Destination Market Matter? </w:t>
      </w:r>
      <w:r w:rsidRPr="00DC110C">
        <w:rPr>
          <w:i/>
          <w:lang w:val="en-US"/>
        </w:rPr>
        <w:t>Journal of Banking &amp; Finance.</w:t>
      </w:r>
      <w:r w:rsidRPr="00DC110C">
        <w:rPr>
          <w:lang w:val="en-US"/>
        </w:rPr>
        <w:t xml:space="preserve"> 33: 1898-1908</w:t>
      </w:r>
    </w:p>
    <w:p w:rsidR="00F46D4F" w:rsidRPr="00DC110C" w:rsidRDefault="00F46D4F" w:rsidP="00F46D4F">
      <w:pPr>
        <w:pStyle w:val="Geenafstand"/>
        <w:rPr>
          <w:rFonts w:cs="Times New Roman"/>
          <w:lang w:val="en-US"/>
        </w:rPr>
      </w:pPr>
      <w:r w:rsidRPr="00DC110C">
        <w:rPr>
          <w:rFonts w:cs="Times New Roman"/>
          <w:lang w:val="en-US"/>
        </w:rPr>
        <w:lastRenderedPageBreak/>
        <w:t xml:space="preserve">ECB (2004). Fair value accounting and financial stability. By ECB staff team led by A. Enria. </w:t>
      </w:r>
    </w:p>
    <w:p w:rsidR="00F46D4F" w:rsidRPr="00DC110C" w:rsidRDefault="00F46D4F" w:rsidP="00F46D4F">
      <w:pPr>
        <w:pStyle w:val="Geenafstand"/>
        <w:rPr>
          <w:rFonts w:cs="Times New Roman"/>
          <w:lang w:val="en-US"/>
        </w:rPr>
      </w:pPr>
      <w:r w:rsidRPr="00DC110C">
        <w:rPr>
          <w:rFonts w:cs="Times New Roman"/>
          <w:lang w:val="en-US"/>
        </w:rPr>
        <w:tab/>
        <w:t xml:space="preserve">Occasional paper series, no. 13, April 2004. </w:t>
      </w:r>
    </w:p>
    <w:p w:rsidR="00F46D4F" w:rsidRPr="00DC110C" w:rsidRDefault="00F46D4F" w:rsidP="00F46D4F">
      <w:pPr>
        <w:pStyle w:val="Geenafstand"/>
        <w:rPr>
          <w:rFonts w:cs="Times New Roman"/>
          <w:lang w:val="en-US" w:eastAsia="nl-NL"/>
        </w:rPr>
      </w:pPr>
      <w:r w:rsidRPr="00DC110C">
        <w:rPr>
          <w:rFonts w:cs="Times New Roman"/>
          <w:lang w:val="en-US" w:eastAsia="nl-NL"/>
        </w:rPr>
        <w:t>Eccher, E.A., K. Ramesh, and S.R. Thiagarajan, 1996, Fair value disclosures by bank holding</w:t>
      </w:r>
    </w:p>
    <w:p w:rsidR="00F46D4F" w:rsidRPr="00DC110C" w:rsidRDefault="00F46D4F" w:rsidP="00F46D4F">
      <w:pPr>
        <w:pStyle w:val="Geenafstand"/>
        <w:ind w:firstLine="708"/>
        <w:rPr>
          <w:rFonts w:cs="Times New Roman"/>
          <w:lang w:val="en-US" w:eastAsia="nl-NL"/>
        </w:rPr>
      </w:pPr>
      <w:r w:rsidRPr="00DC110C">
        <w:rPr>
          <w:rFonts w:cs="Times New Roman"/>
          <w:lang w:val="en-US" w:eastAsia="nl-NL"/>
        </w:rPr>
        <w:t>companies, Journal of Accounting and Economics, this issue.</w:t>
      </w:r>
    </w:p>
    <w:p w:rsidR="00F46D4F" w:rsidRPr="00DC110C" w:rsidRDefault="00F46D4F" w:rsidP="00F46D4F">
      <w:pPr>
        <w:pStyle w:val="Geenafstand"/>
        <w:rPr>
          <w:lang w:val="en-US"/>
        </w:rPr>
      </w:pPr>
      <w:r w:rsidRPr="00DC110C">
        <w:rPr>
          <w:lang w:val="en-US"/>
        </w:rPr>
        <w:t xml:space="preserve">Fama, E.F., L. Fisher, M.C. Jensen and R. Roll. 1969. The Adjustment of Stock Prices to New </w:t>
      </w:r>
    </w:p>
    <w:p w:rsidR="00F46D4F" w:rsidRPr="00DC110C" w:rsidRDefault="00F46D4F" w:rsidP="00F46D4F">
      <w:pPr>
        <w:pStyle w:val="Geenafstand"/>
        <w:rPr>
          <w:lang w:val="en-US"/>
        </w:rPr>
      </w:pPr>
      <w:r w:rsidRPr="00DC110C">
        <w:rPr>
          <w:lang w:val="en-US"/>
        </w:rPr>
        <w:tab/>
        <w:t xml:space="preserve">Information. </w:t>
      </w:r>
      <w:r w:rsidRPr="00DC110C">
        <w:rPr>
          <w:i/>
          <w:lang w:val="en-US"/>
        </w:rPr>
        <w:t>International Economic review</w:t>
      </w:r>
      <w:r w:rsidRPr="00DC110C">
        <w:rPr>
          <w:lang w:val="en-US"/>
        </w:rPr>
        <w:t>. Vol. 10. Iss. 1: 1-21</w:t>
      </w:r>
    </w:p>
    <w:p w:rsidR="00F46D4F" w:rsidRPr="00DC110C" w:rsidRDefault="00F46D4F" w:rsidP="00F46D4F">
      <w:pPr>
        <w:pStyle w:val="Geenafstand"/>
        <w:rPr>
          <w:lang w:val="en-US"/>
        </w:rPr>
      </w:pPr>
      <w:r w:rsidRPr="00DC110C">
        <w:rPr>
          <w:lang w:val="en-US"/>
        </w:rPr>
        <w:t xml:space="preserve">Fama, Eugene F. 1970. "Efficient Capital Markets: A Review of Theory and Empirical </w:t>
      </w:r>
    </w:p>
    <w:p w:rsidR="00F46D4F" w:rsidRPr="00DC110C" w:rsidRDefault="00F46D4F" w:rsidP="00F46D4F">
      <w:pPr>
        <w:pStyle w:val="Geenafstand"/>
        <w:rPr>
          <w:rFonts w:cs="Times New Roman"/>
          <w:lang w:val="en-US"/>
        </w:rPr>
      </w:pPr>
      <w:r w:rsidRPr="00DC110C">
        <w:rPr>
          <w:lang w:val="en-US"/>
        </w:rPr>
        <w:tab/>
        <w:t>Work." Journal of Finance. 25:2, pp. 383-417.</w:t>
      </w:r>
    </w:p>
    <w:p w:rsidR="00DC110C" w:rsidRPr="00DC110C" w:rsidRDefault="00DC110C" w:rsidP="00DC110C">
      <w:pPr>
        <w:pStyle w:val="Geenafstand"/>
        <w:rPr>
          <w:lang w:val="en-US"/>
        </w:rPr>
      </w:pPr>
      <w:r w:rsidRPr="00DC110C">
        <w:rPr>
          <w:szCs w:val="18"/>
          <w:lang w:val="en-US"/>
        </w:rPr>
        <w:t>Field, A. (2009). Discovering Statistics Using SPSS. Third Edition, London: Sage.</w:t>
      </w:r>
      <w:r w:rsidRPr="00DC110C">
        <w:rPr>
          <w:lang w:val="en-US"/>
        </w:rPr>
        <w:t xml:space="preserve"> </w:t>
      </w:r>
    </w:p>
    <w:p w:rsidR="00DC110C" w:rsidRPr="00DC110C" w:rsidRDefault="00DC110C" w:rsidP="00DC110C">
      <w:pPr>
        <w:pStyle w:val="Geenafstand"/>
        <w:rPr>
          <w:szCs w:val="13"/>
          <w:lang w:val="en-US"/>
        </w:rPr>
      </w:pPr>
      <w:r w:rsidRPr="00DC110C">
        <w:rPr>
          <w:szCs w:val="13"/>
          <w:lang w:val="en-US"/>
        </w:rPr>
        <w:t xml:space="preserve">Financial Stability Forum (2009) Report of the Financial Stability Forum on Addressing Procyclicality in </w:t>
      </w:r>
    </w:p>
    <w:p w:rsidR="00DC110C" w:rsidRPr="00DC110C" w:rsidRDefault="00DC110C" w:rsidP="00DC110C">
      <w:pPr>
        <w:pStyle w:val="Geenafstand"/>
        <w:ind w:firstLine="708"/>
        <w:rPr>
          <w:lang w:val="en-US"/>
        </w:rPr>
      </w:pPr>
      <w:r w:rsidRPr="00DC110C">
        <w:rPr>
          <w:szCs w:val="13"/>
          <w:lang w:val="en-US"/>
        </w:rPr>
        <w:t>the Financial System. Basel: FSF.</w:t>
      </w:r>
      <w:r w:rsidRPr="00DC110C">
        <w:rPr>
          <w:lang w:val="en-US"/>
        </w:rPr>
        <w:t xml:space="preserve"> </w:t>
      </w:r>
    </w:p>
    <w:p w:rsidR="0013536F" w:rsidRPr="00DC110C" w:rsidRDefault="0013536F" w:rsidP="0013536F">
      <w:pPr>
        <w:pStyle w:val="Geenafstand"/>
        <w:rPr>
          <w:lang w:val="en-US"/>
        </w:rPr>
      </w:pPr>
      <w:r w:rsidRPr="00DC110C">
        <w:rPr>
          <w:lang w:val="en-US"/>
        </w:rPr>
        <w:t xml:space="preserve">Flannery, M., and C. James. 1984. “The effect of interest rate changes on the common stock returns </w:t>
      </w:r>
    </w:p>
    <w:p w:rsidR="0013536F" w:rsidRPr="00DC110C" w:rsidRDefault="0013536F" w:rsidP="0013536F">
      <w:pPr>
        <w:pStyle w:val="Geenafstand"/>
        <w:ind w:firstLine="708"/>
        <w:rPr>
          <w:lang w:val="en-US"/>
        </w:rPr>
      </w:pPr>
      <w:r w:rsidRPr="00DC110C">
        <w:rPr>
          <w:lang w:val="en-US"/>
        </w:rPr>
        <w:t>of financial institutions.” Journal of Finance 39: 1141-1153.</w:t>
      </w:r>
    </w:p>
    <w:p w:rsidR="00911F1C" w:rsidRPr="00DC110C" w:rsidRDefault="00911F1C" w:rsidP="00911F1C">
      <w:pPr>
        <w:pStyle w:val="Geenafstand"/>
        <w:rPr>
          <w:lang w:val="en-US"/>
        </w:rPr>
      </w:pPr>
      <w:r w:rsidRPr="00DC110C">
        <w:rPr>
          <w:lang w:val="en-US"/>
        </w:rPr>
        <w:t xml:space="preserve">Ho, S.M., and Wong K.S. (2001). A study of the relationship between corporate governance </w:t>
      </w:r>
    </w:p>
    <w:p w:rsidR="00911F1C" w:rsidRPr="00DC110C" w:rsidRDefault="00911F1C" w:rsidP="00911F1C">
      <w:pPr>
        <w:pStyle w:val="Geenafstand"/>
        <w:ind w:left="708"/>
        <w:rPr>
          <w:lang w:val="en-US"/>
        </w:rPr>
      </w:pPr>
      <w:r w:rsidRPr="00DC110C">
        <w:rPr>
          <w:lang w:val="en-US"/>
        </w:rPr>
        <w:t xml:space="preserve">structures and the extent of voluntary disclosure. </w:t>
      </w:r>
      <w:r w:rsidRPr="00DC110C">
        <w:rPr>
          <w:i/>
          <w:iCs/>
          <w:lang w:val="en-US"/>
        </w:rPr>
        <w:t xml:space="preserve">Journal of International Accounting Auditing &amp; Taxation, </w:t>
      </w:r>
      <w:r w:rsidRPr="00DC110C">
        <w:rPr>
          <w:lang w:val="en-US"/>
        </w:rPr>
        <w:t xml:space="preserve">No. 10, pp. 139-156 </w:t>
      </w:r>
    </w:p>
    <w:p w:rsidR="00F46D4F" w:rsidRPr="00DC110C" w:rsidRDefault="00F46D4F" w:rsidP="00F46D4F">
      <w:pPr>
        <w:pStyle w:val="Geenafstand"/>
      </w:pPr>
      <w:r w:rsidRPr="00DC110C">
        <w:t>Hoogendoorn, M. 27 november 2009. Boekhoudregels op de politieke agenda.</w:t>
      </w:r>
    </w:p>
    <w:p w:rsidR="00F46D4F" w:rsidRPr="00DC110C" w:rsidRDefault="00E77D2A" w:rsidP="00F46D4F">
      <w:pPr>
        <w:pStyle w:val="Geenafstand"/>
        <w:ind w:firstLine="708"/>
      </w:pPr>
      <w:hyperlink r:id="rId37" w:history="1">
        <w:r w:rsidR="00F46D4F" w:rsidRPr="00DC110C">
          <w:rPr>
            <w:rStyle w:val="Hyperlink"/>
            <w:rFonts w:cs="Times New Roman"/>
            <w:color w:val="auto"/>
          </w:rPr>
          <w:t>http://www.eur.nl/ese/nieuws/economieopinie/artikelen/detail/article/16122/</w:t>
        </w:r>
      </w:hyperlink>
    </w:p>
    <w:p w:rsidR="00F46D4F" w:rsidRPr="00DC110C" w:rsidRDefault="00F46D4F" w:rsidP="00F46D4F">
      <w:pPr>
        <w:pStyle w:val="Geenafstand"/>
        <w:rPr>
          <w:lang w:val="en-US"/>
        </w:rPr>
      </w:pPr>
      <w:r w:rsidRPr="00DC110C">
        <w:rPr>
          <w:lang w:val="en-US"/>
        </w:rPr>
        <w:t>Hughes, J. and G. Tett. 2008. An Unforgiving Eye: Bankers Cry Foul over Fair Value</w:t>
      </w:r>
    </w:p>
    <w:p w:rsidR="00F46D4F" w:rsidRPr="00DC110C" w:rsidRDefault="00F46D4F" w:rsidP="00F46D4F">
      <w:pPr>
        <w:pStyle w:val="Geenafstand"/>
        <w:ind w:firstLine="708"/>
        <w:rPr>
          <w:lang w:val="en-US"/>
        </w:rPr>
      </w:pPr>
      <w:r w:rsidRPr="00DC110C">
        <w:rPr>
          <w:lang w:val="en-US"/>
        </w:rPr>
        <w:t xml:space="preserve">Accounting Rules. </w:t>
      </w:r>
      <w:r w:rsidRPr="00DC110C">
        <w:rPr>
          <w:i/>
          <w:lang w:val="en-US"/>
        </w:rPr>
        <w:t>Financial Times</w:t>
      </w:r>
      <w:r w:rsidRPr="00DC110C">
        <w:rPr>
          <w:lang w:val="en-US"/>
        </w:rPr>
        <w:t>, March 13</w:t>
      </w:r>
      <w:r w:rsidRPr="00DC110C">
        <w:rPr>
          <w:vertAlign w:val="superscript"/>
          <w:lang w:val="en-US"/>
        </w:rPr>
        <w:t>th</w:t>
      </w:r>
      <w:r w:rsidRPr="00DC110C">
        <w:rPr>
          <w:lang w:val="en-US"/>
        </w:rPr>
        <w:t xml:space="preserve"> 2008.</w:t>
      </w:r>
    </w:p>
    <w:p w:rsidR="00F46D4F" w:rsidRDefault="00F46D4F" w:rsidP="00F46D4F">
      <w:pPr>
        <w:pStyle w:val="Geenafstand"/>
        <w:rPr>
          <w:lang w:val="en-US" w:eastAsia="nl-NL"/>
        </w:rPr>
      </w:pPr>
      <w:r w:rsidRPr="00DC110C">
        <w:rPr>
          <w:lang w:val="en-US" w:eastAsia="nl-NL"/>
        </w:rPr>
        <w:t xml:space="preserve">Hughes, J. 2008. IASB chairman warns meddling puts rules at risk. </w:t>
      </w:r>
      <w:r w:rsidRPr="00DC110C">
        <w:rPr>
          <w:i/>
          <w:lang w:val="en-US" w:eastAsia="nl-NL"/>
        </w:rPr>
        <w:t>Financial Times</w:t>
      </w:r>
      <w:r w:rsidRPr="00DC110C">
        <w:rPr>
          <w:lang w:val="en-US" w:eastAsia="nl-NL"/>
        </w:rPr>
        <w:t xml:space="preserve">, </w:t>
      </w:r>
      <w:r w:rsidRPr="00DC110C">
        <w:rPr>
          <w:lang w:val="en-US" w:eastAsia="nl-NL"/>
        </w:rPr>
        <w:br/>
        <w:t xml:space="preserve"> </w:t>
      </w:r>
      <w:r w:rsidRPr="00DC110C">
        <w:rPr>
          <w:lang w:val="en-US" w:eastAsia="nl-NL"/>
        </w:rPr>
        <w:tab/>
        <w:t>November 12</w:t>
      </w:r>
      <w:r w:rsidRPr="00DC110C">
        <w:rPr>
          <w:vertAlign w:val="superscript"/>
          <w:lang w:val="en-US" w:eastAsia="nl-NL"/>
        </w:rPr>
        <w:t>th</w:t>
      </w:r>
      <w:r w:rsidRPr="00DC110C">
        <w:rPr>
          <w:lang w:val="en-US" w:eastAsia="nl-NL"/>
        </w:rPr>
        <w:t xml:space="preserve"> 2008.</w:t>
      </w:r>
    </w:p>
    <w:p w:rsidR="00801D66" w:rsidRPr="00801D66" w:rsidRDefault="00801D66" w:rsidP="00801D66">
      <w:pPr>
        <w:pStyle w:val="Geenafstand"/>
        <w:rPr>
          <w:lang w:val="en-US" w:eastAsia="nl-NL"/>
        </w:rPr>
      </w:pPr>
      <w:r>
        <w:rPr>
          <w:lang w:val="en-US" w:eastAsia="nl-NL"/>
        </w:rPr>
        <w:t>Hughes, J.</w:t>
      </w:r>
      <w:r w:rsidRPr="00801D66">
        <w:rPr>
          <w:lang w:val="en-US" w:eastAsia="nl-NL"/>
        </w:rPr>
        <w:t> 2008</w:t>
      </w:r>
      <w:r>
        <w:rPr>
          <w:lang w:val="en-US" w:eastAsia="nl-NL"/>
        </w:rPr>
        <w:t>b</w:t>
      </w:r>
      <w:r w:rsidRPr="00801D66">
        <w:rPr>
          <w:lang w:val="en-US" w:eastAsia="nl-NL"/>
        </w:rPr>
        <w:t>. Accounting rulemakers defend use of 'fair value'. </w:t>
      </w:r>
      <w:r w:rsidRPr="00801D66">
        <w:rPr>
          <w:i/>
          <w:iCs/>
          <w:lang w:val="en-US" w:eastAsia="nl-NL"/>
        </w:rPr>
        <w:t>Financial Times,</w:t>
      </w:r>
      <w:r>
        <w:rPr>
          <w:lang w:val="en-US" w:eastAsia="nl-NL"/>
        </w:rPr>
        <w:t xml:space="preserve"> March 19</w:t>
      </w:r>
      <w:r w:rsidRPr="00801D66">
        <w:rPr>
          <w:vertAlign w:val="superscript"/>
          <w:lang w:val="en-US" w:eastAsia="nl-NL"/>
        </w:rPr>
        <w:t>th</w:t>
      </w:r>
      <w:r>
        <w:rPr>
          <w:lang w:val="en-US" w:eastAsia="nl-NL"/>
        </w:rPr>
        <w:t xml:space="preserve"> 2008</w:t>
      </w:r>
      <w:r w:rsidRPr="00801D66">
        <w:rPr>
          <w:lang w:val="en-US" w:eastAsia="nl-NL"/>
        </w:rPr>
        <w:t>.</w:t>
      </w:r>
    </w:p>
    <w:p w:rsidR="00F46D4F" w:rsidRPr="00DC110C" w:rsidRDefault="00F46D4F" w:rsidP="00F46D4F">
      <w:pPr>
        <w:pStyle w:val="Geenafstand"/>
        <w:rPr>
          <w:lang w:val="en-US"/>
        </w:rPr>
      </w:pPr>
      <w:r w:rsidRPr="00DC110C">
        <w:rPr>
          <w:lang w:val="en-US"/>
        </w:rPr>
        <w:t xml:space="preserve">IMF (2008). Global financial stability report. Chapter 3: Fair value accounting and </w:t>
      </w:r>
    </w:p>
    <w:p w:rsidR="00F46D4F" w:rsidRPr="00DC110C" w:rsidRDefault="00F46D4F" w:rsidP="00F46D4F">
      <w:pPr>
        <w:pStyle w:val="Geenafstand"/>
        <w:rPr>
          <w:lang w:val="en-US"/>
        </w:rPr>
      </w:pPr>
      <w:r w:rsidRPr="00DC110C">
        <w:rPr>
          <w:lang w:val="en-US"/>
        </w:rPr>
        <w:tab/>
        <w:t>procyclicality, October 2008.</w:t>
      </w:r>
    </w:p>
    <w:p w:rsidR="00F46D4F" w:rsidRPr="00DC110C" w:rsidRDefault="00F46D4F" w:rsidP="00F46D4F">
      <w:pPr>
        <w:pStyle w:val="Geenafstand"/>
        <w:rPr>
          <w:lang w:val="en-US"/>
        </w:rPr>
      </w:pPr>
      <w:r w:rsidRPr="00DC110C">
        <w:rPr>
          <w:lang w:val="en-US"/>
        </w:rPr>
        <w:t xml:space="preserve">International Accounting Standards Board. October 2008. “Reclassification of financial </w:t>
      </w:r>
    </w:p>
    <w:p w:rsidR="00F46D4F" w:rsidRPr="00DC110C" w:rsidRDefault="00F46D4F" w:rsidP="00F46D4F">
      <w:pPr>
        <w:pStyle w:val="Geenafstand"/>
        <w:rPr>
          <w:lang w:val="en-US"/>
        </w:rPr>
      </w:pPr>
      <w:r w:rsidRPr="00DC110C">
        <w:rPr>
          <w:lang w:val="en-US"/>
        </w:rPr>
        <w:tab/>
        <w:t>assets</w:t>
      </w:r>
      <w:r w:rsidRPr="00DC110C">
        <w:rPr>
          <w:b/>
          <w:lang w:val="en-US"/>
        </w:rPr>
        <w:t xml:space="preserve">: </w:t>
      </w:r>
      <w:r w:rsidRPr="00DC110C">
        <w:rPr>
          <w:lang w:val="en-US"/>
        </w:rPr>
        <w:t>Amendments to IAS 39 and IFRS 7.”</w:t>
      </w:r>
    </w:p>
    <w:p w:rsidR="00F46D4F" w:rsidRPr="00DC110C" w:rsidRDefault="00F46D4F" w:rsidP="00F46D4F">
      <w:pPr>
        <w:pStyle w:val="Geenafstand"/>
        <w:rPr>
          <w:rStyle w:val="Zwaar"/>
          <w:rFonts w:asciiTheme="minorHAnsi" w:hAnsiTheme="minorHAnsi" w:cstheme="minorBidi"/>
          <w:b w:val="0"/>
          <w:bCs w:val="0"/>
          <w:szCs w:val="24"/>
          <w:bdr w:val="none" w:sz="0" w:space="0" w:color="auto" w:frame="1"/>
          <w:lang w:val="en-US"/>
        </w:rPr>
      </w:pPr>
      <w:r w:rsidRPr="00DC110C">
        <w:rPr>
          <w:lang w:val="en-US"/>
        </w:rPr>
        <w:t>International Accounting Standards Board . (2009). A</w:t>
      </w:r>
      <w:r w:rsidRPr="00DC110C">
        <w:rPr>
          <w:rStyle w:val="Zwaar"/>
          <w:rFonts w:asciiTheme="minorHAnsi" w:hAnsiTheme="minorHAnsi" w:cstheme="minorBidi"/>
          <w:b w:val="0"/>
          <w:bCs w:val="0"/>
          <w:szCs w:val="24"/>
          <w:bdr w:val="none" w:sz="0" w:space="0" w:color="auto" w:frame="1"/>
          <w:lang w:val="en-US"/>
        </w:rPr>
        <w:t xml:space="preserve"> summary of how the IASB has </w:t>
      </w:r>
    </w:p>
    <w:p w:rsidR="00F46D4F" w:rsidRPr="00DC110C" w:rsidRDefault="00F46D4F" w:rsidP="00F46D4F">
      <w:pPr>
        <w:pStyle w:val="Geenafstand"/>
        <w:ind w:left="708"/>
      </w:pPr>
      <w:r w:rsidRPr="00DC110C">
        <w:rPr>
          <w:rStyle w:val="Zwaar"/>
          <w:rFonts w:asciiTheme="minorHAnsi" w:hAnsiTheme="minorHAnsi" w:cstheme="minorBidi"/>
          <w:b w:val="0"/>
          <w:bCs w:val="0"/>
          <w:szCs w:val="24"/>
          <w:bdr w:val="none" w:sz="0" w:space="0" w:color="auto" w:frame="1"/>
          <w:lang w:val="en-US"/>
        </w:rPr>
        <w:t xml:space="preserve">responded to concerns expressed by EU stakeholders on the project to replace IAS 39 </w:t>
      </w:r>
      <w:r w:rsidRPr="00DC110C">
        <w:rPr>
          <w:rStyle w:val="Nadruk"/>
          <w:i w:val="0"/>
          <w:iCs w:val="0"/>
          <w:szCs w:val="24"/>
          <w:bdr w:val="none" w:sz="0" w:space="0" w:color="auto" w:frame="1"/>
          <w:lang w:val="en-US"/>
        </w:rPr>
        <w:t>Financial Instruments</w:t>
      </w:r>
      <w:r w:rsidRPr="00DC110C">
        <w:rPr>
          <w:lang w:val="en-US"/>
        </w:rPr>
        <w:t xml:space="preserve"> (added 12 November 2009) . </w:t>
      </w:r>
      <w:hyperlink r:id="rId38" w:history="1">
        <w:r w:rsidRPr="00DC110C">
          <w:rPr>
            <w:rStyle w:val="Hyperlink"/>
            <w:rFonts w:cs="Times New Roman"/>
            <w:color w:val="auto"/>
            <w:sz w:val="24"/>
            <w:szCs w:val="24"/>
          </w:rPr>
          <w:t>http://www.iasb.org/Financial+crisis/Response+to+the+credit+crisis.htm</w:t>
        </w:r>
      </w:hyperlink>
    </w:p>
    <w:p w:rsidR="008000E0" w:rsidRPr="00DC110C" w:rsidRDefault="008000E0" w:rsidP="008000E0">
      <w:pPr>
        <w:pStyle w:val="Geenafstand"/>
        <w:rPr>
          <w:lang w:val="en-US"/>
        </w:rPr>
      </w:pPr>
      <w:r w:rsidRPr="00DC110C">
        <w:rPr>
          <w:bCs/>
          <w:lang w:val="en-US"/>
        </w:rPr>
        <w:t>Kashyap, Anil K. and Jeremy C. Stein (2004)</w:t>
      </w:r>
      <w:r w:rsidRPr="00DC110C">
        <w:rPr>
          <w:lang w:val="en-US"/>
        </w:rPr>
        <w:t xml:space="preserve">,  “Cyclical Implications of the Basel-II Capital </w:t>
      </w:r>
    </w:p>
    <w:p w:rsidR="008000E0" w:rsidRPr="00DC110C" w:rsidRDefault="008000E0" w:rsidP="008000E0">
      <w:pPr>
        <w:pStyle w:val="Geenafstand"/>
        <w:ind w:left="708"/>
        <w:rPr>
          <w:lang w:val="en-US"/>
        </w:rPr>
      </w:pPr>
      <w:r w:rsidRPr="00DC110C">
        <w:rPr>
          <w:lang w:val="en-US"/>
        </w:rPr>
        <w:t xml:space="preserve">Standard,” </w:t>
      </w:r>
      <w:r w:rsidRPr="00DC110C">
        <w:rPr>
          <w:i/>
          <w:iCs/>
          <w:lang w:val="en-US"/>
        </w:rPr>
        <w:t>Federal Reserve Bank of ChicagoEconomic Perspectives</w:t>
      </w:r>
      <w:r w:rsidRPr="00DC110C">
        <w:rPr>
          <w:lang w:val="en-US"/>
        </w:rPr>
        <w:t>, First Quarter 2004, pp. 18–31.</w:t>
      </w:r>
    </w:p>
    <w:p w:rsidR="00F46D4F" w:rsidRPr="00DC110C" w:rsidRDefault="00F46D4F" w:rsidP="00F46D4F">
      <w:pPr>
        <w:pStyle w:val="Geenafstand"/>
        <w:rPr>
          <w:lang w:val="en-US"/>
        </w:rPr>
      </w:pPr>
      <w:r w:rsidRPr="00DC110C">
        <w:rPr>
          <w:lang w:val="en-US"/>
        </w:rPr>
        <w:t xml:space="preserve">Khan, Urooj, Does Fair Value Accounting Contribute to Systemic Risk in the Banking </w:t>
      </w:r>
    </w:p>
    <w:p w:rsidR="00F46D4F" w:rsidRPr="00DD39B2" w:rsidRDefault="00F46D4F" w:rsidP="00F46D4F">
      <w:pPr>
        <w:pStyle w:val="Geenafstand"/>
        <w:rPr>
          <w:lang w:val="en-US"/>
        </w:rPr>
      </w:pPr>
      <w:r w:rsidRPr="00DC110C">
        <w:rPr>
          <w:lang w:val="en-US"/>
        </w:rPr>
        <w:tab/>
        <w:t xml:space="preserve">Industry? (August 27, 2009). Available at SSRN: </w:t>
      </w:r>
      <w:hyperlink r:id="rId39" w:history="1">
        <w:r w:rsidRPr="00DC110C">
          <w:rPr>
            <w:rStyle w:val="Hyperlink"/>
            <w:rFonts w:cs="Times New Roman"/>
            <w:color w:val="auto"/>
            <w:lang w:val="en-US"/>
          </w:rPr>
          <w:t>http://ssrn.com/abstract=1327596</w:t>
        </w:r>
      </w:hyperlink>
    </w:p>
    <w:p w:rsidR="00DC110C" w:rsidRPr="00DC110C" w:rsidRDefault="00DC110C" w:rsidP="00DC110C">
      <w:pPr>
        <w:pStyle w:val="Geenafstand"/>
        <w:rPr>
          <w:lang w:val="en-US"/>
        </w:rPr>
      </w:pPr>
      <w:r w:rsidRPr="00DC110C">
        <w:rPr>
          <w:lang w:val="en-US"/>
        </w:rPr>
        <w:t xml:space="preserve">Kholmy, Khaled and Ernstberger, Jürgen, Reclassification of Financial Instruments in the Financial </w:t>
      </w:r>
    </w:p>
    <w:p w:rsidR="00DC110C" w:rsidRPr="00DC110C" w:rsidRDefault="00DC110C" w:rsidP="00DC110C">
      <w:pPr>
        <w:pStyle w:val="Geenafstand"/>
        <w:ind w:left="708"/>
        <w:rPr>
          <w:lang w:val="en-US"/>
        </w:rPr>
      </w:pPr>
      <w:r w:rsidRPr="00DC110C">
        <w:rPr>
          <w:lang w:val="en-US"/>
        </w:rPr>
        <w:t>Crisis – Empirical Evidence from the European Banking Sector (March 26, 2010). Available at SSRN: http://ssrn.com/abstract=1578823</w:t>
      </w:r>
    </w:p>
    <w:p w:rsidR="00F46D4F" w:rsidRPr="00DC110C" w:rsidRDefault="00F46D4F" w:rsidP="00F46D4F">
      <w:pPr>
        <w:pStyle w:val="Geenafstand"/>
        <w:rPr>
          <w:lang w:val="en-US"/>
        </w:rPr>
      </w:pPr>
      <w:r w:rsidRPr="00DC110C">
        <w:rPr>
          <w:lang w:val="en-US"/>
        </w:rPr>
        <w:t xml:space="preserve">Laux, Christian, and Christian Leuz. 2009. “The Crisis of Fair-Value Accounting: Making </w:t>
      </w:r>
    </w:p>
    <w:p w:rsidR="00F46D4F" w:rsidRPr="00DC110C" w:rsidRDefault="00F46D4F" w:rsidP="00F46D4F">
      <w:pPr>
        <w:pStyle w:val="Geenafstand"/>
        <w:ind w:firstLine="708"/>
        <w:rPr>
          <w:lang w:val="en-US"/>
        </w:rPr>
      </w:pPr>
      <w:r w:rsidRPr="00DC110C">
        <w:rPr>
          <w:lang w:val="en-US"/>
        </w:rPr>
        <w:t xml:space="preserve">Sense of the Recent Debate.” </w:t>
      </w:r>
      <w:r w:rsidRPr="00DC110C">
        <w:rPr>
          <w:i/>
          <w:iCs/>
          <w:lang w:val="en-US"/>
        </w:rPr>
        <w:t>Accounting, Organizations and Society</w:t>
      </w:r>
      <w:r w:rsidRPr="00DC110C">
        <w:rPr>
          <w:lang w:val="en-US"/>
        </w:rPr>
        <w:t>, 34(6-7): 826–834.</w:t>
      </w:r>
    </w:p>
    <w:p w:rsidR="00F46D4F" w:rsidRPr="00DC110C" w:rsidRDefault="00F46D4F" w:rsidP="00F46D4F">
      <w:pPr>
        <w:pStyle w:val="Geenafstand"/>
        <w:rPr>
          <w:lang w:val="en-US"/>
        </w:rPr>
      </w:pPr>
      <w:r w:rsidRPr="00DC110C">
        <w:rPr>
          <w:lang w:val="en-US"/>
        </w:rPr>
        <w:t xml:space="preserve">Laux, Christian and Leuz, Christian, Did Fair-Value Accounting Contribute to the Financial </w:t>
      </w:r>
    </w:p>
    <w:p w:rsidR="00F46D4F" w:rsidRPr="00DC110C" w:rsidRDefault="00F46D4F" w:rsidP="00F46D4F">
      <w:pPr>
        <w:pStyle w:val="Geenafstand"/>
        <w:ind w:left="708"/>
        <w:rPr>
          <w:lang w:val="en-US"/>
        </w:rPr>
      </w:pPr>
      <w:r w:rsidRPr="00DC110C">
        <w:rPr>
          <w:lang w:val="en-US"/>
        </w:rPr>
        <w:t>Crisis? (October 12, 2009b). Chicago Booth Research Paper 09-38; ECGI - Finance Working Paper No. 266/2009; Journal of Economic Perspectives, Forthcoming. Available at SSRN: http://ssrn.com/abstract=1487905</w:t>
      </w:r>
    </w:p>
    <w:p w:rsidR="0013536F" w:rsidRPr="00DC110C" w:rsidRDefault="0013536F" w:rsidP="0013536F">
      <w:pPr>
        <w:pStyle w:val="Geenafstand"/>
        <w:rPr>
          <w:lang w:val="en-US"/>
        </w:rPr>
      </w:pPr>
      <w:r w:rsidRPr="00DC110C">
        <w:rPr>
          <w:lang w:val="en-US"/>
        </w:rPr>
        <w:t>Leftwich, R. 1981. “Evidence of the impact of mandatory changes in accounting principles on</w:t>
      </w:r>
    </w:p>
    <w:p w:rsidR="0013536F" w:rsidRPr="00DC110C" w:rsidRDefault="0013536F" w:rsidP="0013536F">
      <w:pPr>
        <w:pStyle w:val="Geenafstand"/>
        <w:rPr>
          <w:lang w:val="en-US"/>
        </w:rPr>
      </w:pPr>
      <w:r w:rsidRPr="00DC110C">
        <w:rPr>
          <w:lang w:val="en-US"/>
        </w:rPr>
        <w:tab/>
        <w:t>corporate loan agreements.” Journal of Accounting and Economics 3: 3-36.</w:t>
      </w:r>
    </w:p>
    <w:p w:rsidR="00F46D4F" w:rsidRPr="00DC110C" w:rsidRDefault="00F46D4F" w:rsidP="00F46D4F">
      <w:pPr>
        <w:pStyle w:val="Geenafstand"/>
        <w:rPr>
          <w:lang w:val="en-US"/>
        </w:rPr>
      </w:pPr>
      <w:r w:rsidRPr="00DC110C">
        <w:rPr>
          <w:lang w:val="en-US"/>
        </w:rPr>
        <w:t>Leone, M. September, 17 2008. Tweedie: Don't Blame Fair Value for the Crisis, Article on</w:t>
      </w:r>
    </w:p>
    <w:p w:rsidR="00F46D4F" w:rsidRPr="00DC110C" w:rsidRDefault="00F46D4F" w:rsidP="00F46D4F">
      <w:pPr>
        <w:pStyle w:val="Geenafstand"/>
        <w:ind w:firstLine="708"/>
        <w:rPr>
          <w:lang w:val="en-US" w:eastAsia="nl-NL"/>
        </w:rPr>
      </w:pPr>
      <w:r w:rsidRPr="00DC110C">
        <w:rPr>
          <w:lang w:val="en-US"/>
        </w:rPr>
        <w:t xml:space="preserve"> CFO.com: http://www.cfo.com/article.cfm/12244530?f=related</w:t>
      </w:r>
    </w:p>
    <w:p w:rsidR="00F46D4F" w:rsidRPr="00DC110C" w:rsidRDefault="00F46D4F" w:rsidP="00F46D4F">
      <w:pPr>
        <w:pStyle w:val="Geenafstand"/>
        <w:rPr>
          <w:lang w:val="en-US" w:eastAsia="nl-NL"/>
        </w:rPr>
      </w:pPr>
      <w:r w:rsidRPr="00DC110C">
        <w:rPr>
          <w:lang w:val="en-US" w:eastAsia="nl-NL"/>
        </w:rPr>
        <w:t>Lys, T. 1996. “Abandoning the transaction-based accounting model: Weighing the evidence.”</w:t>
      </w:r>
    </w:p>
    <w:p w:rsidR="00F46D4F" w:rsidRPr="00DC110C" w:rsidRDefault="00F46D4F" w:rsidP="00F46D4F">
      <w:pPr>
        <w:pStyle w:val="Geenafstand"/>
        <w:ind w:firstLine="708"/>
        <w:rPr>
          <w:lang w:val="en-US" w:eastAsia="nl-NL"/>
        </w:rPr>
      </w:pPr>
      <w:r w:rsidRPr="00DC110C">
        <w:rPr>
          <w:lang w:val="en-US" w:eastAsia="nl-NL"/>
        </w:rPr>
        <w:t>Journal of Accounting and Economics 22: 155-175.</w:t>
      </w:r>
    </w:p>
    <w:p w:rsidR="00F46D4F" w:rsidRPr="00DC110C" w:rsidRDefault="00F46D4F" w:rsidP="00F46D4F">
      <w:pPr>
        <w:pStyle w:val="Geenafstand"/>
        <w:rPr>
          <w:lang w:val="en-US" w:eastAsia="nl-NL"/>
        </w:rPr>
      </w:pPr>
      <w:r w:rsidRPr="00DC110C">
        <w:rPr>
          <w:lang w:val="en-US" w:eastAsia="nl-NL"/>
        </w:rPr>
        <w:lastRenderedPageBreak/>
        <w:t xml:space="preserve">McCreevy, C. 2008. </w:t>
      </w:r>
      <w:r w:rsidRPr="00DC110C">
        <w:rPr>
          <w:lang w:val="en-US"/>
        </w:rPr>
        <w:t xml:space="preserve">Latest developments on policy response to financial turmoil. </w:t>
      </w:r>
      <w:r w:rsidRPr="00DC110C">
        <w:rPr>
          <w:i/>
          <w:lang w:val="en-US"/>
        </w:rPr>
        <w:t xml:space="preserve">European </w:t>
      </w:r>
      <w:r w:rsidRPr="00DC110C">
        <w:rPr>
          <w:i/>
          <w:lang w:val="en-US"/>
        </w:rPr>
        <w:br/>
        <w:t xml:space="preserve"> </w:t>
      </w:r>
      <w:r w:rsidRPr="00DC110C">
        <w:rPr>
          <w:i/>
          <w:lang w:val="en-US"/>
        </w:rPr>
        <w:tab/>
        <w:t>Commissioner for Internal Market and Services</w:t>
      </w:r>
      <w:r w:rsidRPr="00DC110C">
        <w:rPr>
          <w:lang w:val="en-US"/>
        </w:rPr>
        <w:t xml:space="preserve">. </w:t>
      </w:r>
      <w:r w:rsidRPr="00DC110C">
        <w:rPr>
          <w:i/>
          <w:lang w:val="en-US"/>
        </w:rPr>
        <w:t>SPEECH/08/162</w:t>
      </w:r>
    </w:p>
    <w:p w:rsidR="00F46D4F" w:rsidRPr="00DC110C" w:rsidRDefault="00F46D4F" w:rsidP="00F46D4F">
      <w:pPr>
        <w:pStyle w:val="Geenafstand"/>
        <w:rPr>
          <w:i/>
          <w:lang w:val="en-US"/>
        </w:rPr>
      </w:pPr>
      <w:r w:rsidRPr="00DC110C">
        <w:rPr>
          <w:lang w:val="en-US"/>
        </w:rPr>
        <w:t xml:space="preserve">MacKinlay, A.C. 1997. Event Studies in Economics and Finance. </w:t>
      </w:r>
      <w:r w:rsidRPr="00DC110C">
        <w:rPr>
          <w:i/>
          <w:lang w:val="en-US"/>
        </w:rPr>
        <w:t xml:space="preserve">Journal of Economic </w:t>
      </w:r>
    </w:p>
    <w:p w:rsidR="00F46D4F" w:rsidRPr="00DC110C" w:rsidRDefault="00F46D4F" w:rsidP="00F46D4F">
      <w:pPr>
        <w:pStyle w:val="Geenafstand"/>
        <w:rPr>
          <w:lang w:val="en-US"/>
        </w:rPr>
      </w:pPr>
      <w:r w:rsidRPr="00DC110C">
        <w:rPr>
          <w:i/>
          <w:lang w:val="en-US"/>
        </w:rPr>
        <w:tab/>
        <w:t>Literature</w:t>
      </w:r>
      <w:r w:rsidRPr="00DC110C">
        <w:rPr>
          <w:lang w:val="en-US"/>
        </w:rPr>
        <w:t xml:space="preserve"> Vol. XXXV, Iss. 1: 13-39. </w:t>
      </w:r>
    </w:p>
    <w:p w:rsidR="00F46D4F" w:rsidRPr="00DC110C" w:rsidRDefault="00F46D4F" w:rsidP="00F46D4F">
      <w:pPr>
        <w:pStyle w:val="Geenafstand"/>
        <w:rPr>
          <w:lang w:val="en-US"/>
        </w:rPr>
      </w:pPr>
      <w:r w:rsidRPr="00DC110C">
        <w:rPr>
          <w:lang w:val="en-US"/>
        </w:rPr>
        <w:t>McWilliams, A. and D. Siegel. 1997. Event studies in management research: Theoretical and</w:t>
      </w:r>
    </w:p>
    <w:p w:rsidR="00F46D4F" w:rsidRPr="00DC110C" w:rsidRDefault="00F46D4F" w:rsidP="00F46D4F">
      <w:pPr>
        <w:pStyle w:val="Geenafstand"/>
        <w:ind w:firstLine="708"/>
        <w:rPr>
          <w:lang w:val="en-US"/>
        </w:rPr>
      </w:pPr>
      <w:r w:rsidRPr="00DC110C">
        <w:rPr>
          <w:lang w:val="en-US"/>
        </w:rPr>
        <w:t xml:space="preserve">emperical issues. </w:t>
      </w:r>
      <w:r w:rsidRPr="00DC110C">
        <w:rPr>
          <w:i/>
          <w:lang w:val="en-US"/>
        </w:rPr>
        <w:t>Academy of Management Journal</w:t>
      </w:r>
      <w:r w:rsidRPr="00DC110C">
        <w:rPr>
          <w:lang w:val="en-US"/>
        </w:rPr>
        <w:t>. Vol. 40 (3).</w:t>
      </w:r>
    </w:p>
    <w:p w:rsidR="00F46D4F" w:rsidRPr="00DC110C" w:rsidRDefault="00F46D4F" w:rsidP="00F46D4F">
      <w:pPr>
        <w:pStyle w:val="Geenafstand"/>
        <w:rPr>
          <w:lang w:val="en-US"/>
        </w:rPr>
      </w:pPr>
      <w:r w:rsidRPr="00DC110C">
        <w:rPr>
          <w:lang w:val="en-US"/>
        </w:rPr>
        <w:t xml:space="preserve">Mitchell, M.L. and J.M. Netter. 1994. The Role of Financial Economics in Security Fraud </w:t>
      </w:r>
    </w:p>
    <w:p w:rsidR="00F46D4F" w:rsidRPr="00DC110C" w:rsidRDefault="00F46D4F" w:rsidP="00F46D4F">
      <w:pPr>
        <w:pStyle w:val="Geenafstand"/>
        <w:ind w:left="708"/>
        <w:rPr>
          <w:lang w:val="en-US"/>
        </w:rPr>
      </w:pPr>
      <w:r w:rsidRPr="00DC110C">
        <w:rPr>
          <w:lang w:val="en-US"/>
        </w:rPr>
        <w:t xml:space="preserve">Cases: Applications at the Securities and Exchange Commission. </w:t>
      </w:r>
      <w:r w:rsidRPr="00DC110C">
        <w:rPr>
          <w:i/>
          <w:lang w:val="en-US"/>
        </w:rPr>
        <w:t>Business Lawyer</w:t>
      </w:r>
      <w:r w:rsidRPr="00DC110C">
        <w:rPr>
          <w:lang w:val="en-US"/>
        </w:rPr>
        <w:t>. Vol. 49,</w:t>
      </w:r>
      <w:r w:rsidRPr="00DC110C">
        <w:rPr>
          <w:lang w:val="en-US"/>
        </w:rPr>
        <w:br/>
        <w:t xml:space="preserve"> Iss. 2: 545-590</w:t>
      </w:r>
    </w:p>
    <w:p w:rsidR="00A01455" w:rsidRPr="00DC110C" w:rsidRDefault="00A01455" w:rsidP="00A01455">
      <w:pPr>
        <w:pStyle w:val="Geenafstand"/>
      </w:pPr>
      <w:r w:rsidRPr="00DC110C">
        <w:rPr>
          <w:lang w:val="en-US"/>
        </w:rPr>
        <w:t xml:space="preserve">Nivra 2008. </w:t>
      </w:r>
      <w:r w:rsidRPr="00DC110C">
        <w:t>IASB: wijzigingen in IAS 39 en IFRS 7 - Herclassificatie van financiële activa,</w:t>
      </w:r>
    </w:p>
    <w:p w:rsidR="00A01455" w:rsidRPr="00DC110C" w:rsidRDefault="00E77D2A" w:rsidP="00A01455">
      <w:pPr>
        <w:pStyle w:val="Geenafstand"/>
        <w:ind w:left="708"/>
        <w:rPr>
          <w:lang w:val="en-US"/>
        </w:rPr>
      </w:pPr>
      <w:hyperlink r:id="rId40" w:history="1">
        <w:r w:rsidR="00A01455" w:rsidRPr="00DC110C">
          <w:rPr>
            <w:rStyle w:val="Hyperlink"/>
            <w:color w:val="auto"/>
            <w:lang w:val="en-US"/>
          </w:rPr>
          <w:t>http://www.nivra.nl/NivraSite/Actualiteiten/Nieuwsarchief/Aanpassingen_IAS_39_en_IFRS_7.aspx</w:t>
        </w:r>
      </w:hyperlink>
      <w:r w:rsidR="00A01455" w:rsidRPr="00DC110C">
        <w:rPr>
          <w:lang w:val="en-US"/>
        </w:rPr>
        <w:t>, Oktober 14</w:t>
      </w:r>
      <w:r w:rsidR="00A01455" w:rsidRPr="00DC110C">
        <w:rPr>
          <w:vertAlign w:val="superscript"/>
          <w:lang w:val="en-US"/>
        </w:rPr>
        <w:t>th</w:t>
      </w:r>
      <w:r w:rsidR="00A01455" w:rsidRPr="00DC110C">
        <w:rPr>
          <w:lang w:val="en-US"/>
        </w:rPr>
        <w:t xml:space="preserve"> 2008.</w:t>
      </w:r>
    </w:p>
    <w:p w:rsidR="00DC110C" w:rsidRPr="00DC110C" w:rsidRDefault="00DC110C" w:rsidP="00DC110C">
      <w:pPr>
        <w:pStyle w:val="Geenafstand"/>
        <w:rPr>
          <w:lang w:val="en-US"/>
        </w:rPr>
      </w:pPr>
      <w:r w:rsidRPr="00DC110C">
        <w:rPr>
          <w:lang w:val="en-US"/>
        </w:rPr>
        <w:t xml:space="preserve">Paananen M, Renders A, Shima K, 2009, The amendment of IAS 39: determinants of reclassification </w:t>
      </w:r>
    </w:p>
    <w:p w:rsidR="00DC110C" w:rsidRPr="00DC110C" w:rsidRDefault="00DC110C" w:rsidP="00DC110C">
      <w:pPr>
        <w:pStyle w:val="Geenafstand"/>
        <w:ind w:left="708"/>
        <w:rPr>
          <w:lang w:val="en-US"/>
        </w:rPr>
      </w:pPr>
      <w:r w:rsidRPr="00DC110C">
        <w:rPr>
          <w:lang w:val="en-US"/>
        </w:rPr>
        <w:t>behavior and capital market consequences. International Accounting Section of the American Accounting Association (Palm Springs (USA))</w:t>
      </w:r>
    </w:p>
    <w:p w:rsidR="000775F9" w:rsidRDefault="002D109E" w:rsidP="000775F9">
      <w:pPr>
        <w:pStyle w:val="Geenafstand"/>
        <w:rPr>
          <w:lang w:val="en-US"/>
        </w:rPr>
      </w:pPr>
      <w:r w:rsidRPr="002D109E">
        <w:rPr>
          <w:lang w:val="en-US"/>
        </w:rPr>
        <w:t xml:space="preserve">Palepu, K., P. Healy, V. Bernard and E. Peek . Business Analysis and Valuation, IFRS edition </w:t>
      </w:r>
      <w:r w:rsidR="000775F9">
        <w:rPr>
          <w:lang w:val="en-US"/>
        </w:rPr>
        <w:t>(</w:t>
      </w:r>
      <w:r w:rsidRPr="002D109E">
        <w:rPr>
          <w:lang w:val="en-US"/>
        </w:rPr>
        <w:t>text only</w:t>
      </w:r>
      <w:r w:rsidR="000775F9">
        <w:rPr>
          <w:lang w:val="en-US"/>
        </w:rPr>
        <w:t>)</w:t>
      </w:r>
      <w:r w:rsidRPr="002D109E">
        <w:rPr>
          <w:lang w:val="en-US"/>
        </w:rPr>
        <w:t xml:space="preserve"> </w:t>
      </w:r>
      <w:r w:rsidR="000775F9">
        <w:rPr>
          <w:lang w:val="en-US"/>
        </w:rPr>
        <w:t xml:space="preserve"> </w:t>
      </w:r>
    </w:p>
    <w:p w:rsidR="000775F9" w:rsidRDefault="002D109E" w:rsidP="000775F9">
      <w:pPr>
        <w:pStyle w:val="Geenafstand"/>
        <w:ind w:firstLine="708"/>
        <w:rPr>
          <w:lang w:val="en-US"/>
        </w:rPr>
      </w:pPr>
      <w:r w:rsidRPr="002D109E">
        <w:rPr>
          <w:lang w:val="en-US"/>
        </w:rPr>
        <w:t>(South-Western Cengage Learning EMEA, 2007).</w:t>
      </w:r>
    </w:p>
    <w:p w:rsidR="00C0597C" w:rsidRPr="00DC110C" w:rsidRDefault="00C0597C" w:rsidP="00C0597C">
      <w:pPr>
        <w:pStyle w:val="Geenafstand"/>
        <w:rPr>
          <w:lang w:val="en-US"/>
        </w:rPr>
      </w:pPr>
      <w:r w:rsidRPr="00DC110C">
        <w:rPr>
          <w:lang w:val="en-US"/>
        </w:rPr>
        <w:t xml:space="preserve">Pallant, J (2007): SPSS Survival Manual: A Step-by-Step Guide to Data Analysis using SPSS verion 15.  </w:t>
      </w:r>
    </w:p>
    <w:p w:rsidR="00C0597C" w:rsidRPr="00DC110C" w:rsidRDefault="00C0597C" w:rsidP="00C0597C">
      <w:pPr>
        <w:pStyle w:val="Geenafstand"/>
        <w:ind w:firstLine="708"/>
        <w:rPr>
          <w:lang w:val="en-US"/>
        </w:rPr>
      </w:pPr>
      <w:r w:rsidRPr="00DC110C">
        <w:rPr>
          <w:lang w:val="en-US"/>
        </w:rPr>
        <w:t>New-York, Open University Press</w:t>
      </w:r>
    </w:p>
    <w:p w:rsidR="00F46D4F" w:rsidRPr="00DC110C" w:rsidRDefault="00F46D4F" w:rsidP="00F46D4F">
      <w:pPr>
        <w:pStyle w:val="Geenafstand"/>
        <w:rPr>
          <w:lang w:val="en-US"/>
        </w:rPr>
      </w:pPr>
      <w:r w:rsidRPr="00DC110C">
        <w:rPr>
          <w:lang w:val="en-US"/>
        </w:rPr>
        <w:t xml:space="preserve">Patell, J.M. and M. Wolfson. 1984. The Intraday Speed of Adjustments of Stock Prices to </w:t>
      </w:r>
    </w:p>
    <w:p w:rsidR="00F46D4F" w:rsidRPr="00DC110C" w:rsidRDefault="00F46D4F" w:rsidP="00F46D4F">
      <w:pPr>
        <w:pStyle w:val="Geenafstand"/>
        <w:ind w:firstLine="708"/>
        <w:rPr>
          <w:lang w:val="en-US"/>
        </w:rPr>
      </w:pPr>
      <w:r w:rsidRPr="00DC110C">
        <w:rPr>
          <w:lang w:val="en-US"/>
        </w:rPr>
        <w:t xml:space="preserve">Earnings and Dividend Announcements. </w:t>
      </w:r>
      <w:r w:rsidRPr="00DC110C">
        <w:rPr>
          <w:i/>
          <w:lang w:val="en-US"/>
        </w:rPr>
        <w:t>Journal of Financial Economics</w:t>
      </w:r>
      <w:r w:rsidRPr="00DC110C">
        <w:rPr>
          <w:lang w:val="en-US"/>
        </w:rPr>
        <w:t xml:space="preserve">. Vol. 13. </w:t>
      </w:r>
    </w:p>
    <w:p w:rsidR="00F46D4F" w:rsidRPr="00DC110C" w:rsidRDefault="00F46D4F" w:rsidP="00F46D4F">
      <w:pPr>
        <w:pStyle w:val="Geenafstand"/>
        <w:ind w:firstLine="708"/>
        <w:rPr>
          <w:lang w:val="en-US"/>
        </w:rPr>
      </w:pPr>
      <w:r w:rsidRPr="00DC110C">
        <w:rPr>
          <w:lang w:val="en-US"/>
        </w:rPr>
        <w:t xml:space="preserve">Iss. 2: 223-252 </w:t>
      </w:r>
    </w:p>
    <w:p w:rsidR="00F46D4F" w:rsidRPr="00DC110C" w:rsidRDefault="00F46D4F" w:rsidP="00F46D4F">
      <w:pPr>
        <w:pStyle w:val="Geenafstand"/>
        <w:rPr>
          <w:lang w:val="en-US"/>
        </w:rPr>
      </w:pPr>
      <w:r w:rsidRPr="00DC110C">
        <w:rPr>
          <w:lang w:val="en-US"/>
        </w:rPr>
        <w:t xml:space="preserve">Persaud, A. (2008). Regulation, valuation and systemic liquidity. Banque de France, financial </w:t>
      </w:r>
    </w:p>
    <w:p w:rsidR="00F46D4F" w:rsidRPr="00DC110C" w:rsidRDefault="00F46D4F" w:rsidP="00F46D4F">
      <w:pPr>
        <w:pStyle w:val="Geenafstand"/>
        <w:rPr>
          <w:lang w:val="en-US"/>
        </w:rPr>
      </w:pPr>
      <w:r w:rsidRPr="00DC110C">
        <w:rPr>
          <w:lang w:val="en-US"/>
        </w:rPr>
        <w:tab/>
        <w:t>stability review – Special issue on valuation, no. 12, October 2008.</w:t>
      </w:r>
    </w:p>
    <w:p w:rsidR="00F46D4F" w:rsidRPr="00DC110C" w:rsidRDefault="00F46D4F" w:rsidP="00F46D4F">
      <w:pPr>
        <w:pStyle w:val="Geenafstand"/>
        <w:rPr>
          <w:lang w:val="en-US"/>
        </w:rPr>
      </w:pPr>
      <w:r w:rsidRPr="00DC110C">
        <w:rPr>
          <w:lang w:val="en-US"/>
        </w:rPr>
        <w:t xml:space="preserve">Plantin, G., Sapra, H., &amp; Shin, H. S. (2008a). Fair value accounting and financial stability. </w:t>
      </w:r>
    </w:p>
    <w:p w:rsidR="00F46D4F" w:rsidRPr="00DC110C" w:rsidRDefault="00F46D4F" w:rsidP="008000E0">
      <w:pPr>
        <w:pStyle w:val="Geenafstand"/>
        <w:ind w:left="708"/>
        <w:rPr>
          <w:lang w:val="en-US"/>
        </w:rPr>
      </w:pPr>
      <w:r w:rsidRPr="00DC110C">
        <w:rPr>
          <w:lang w:val="en-US"/>
        </w:rPr>
        <w:t xml:space="preserve">Banque de France, financial stability review – Special issue on valuation, no. 12, October 2008. </w:t>
      </w:r>
    </w:p>
    <w:p w:rsidR="00F46D4F" w:rsidRPr="00DC110C" w:rsidRDefault="00F46D4F" w:rsidP="00F46D4F">
      <w:pPr>
        <w:pStyle w:val="Geenafstand"/>
        <w:rPr>
          <w:lang w:val="en-US"/>
        </w:rPr>
      </w:pPr>
      <w:r w:rsidRPr="00DC110C">
        <w:rPr>
          <w:lang w:val="en-US"/>
        </w:rPr>
        <w:t xml:space="preserve">Plantin, G., Sapra, H., &amp; Shin, H. S. (2008b). Marking-to-market: Panacea or Pandora’s box? </w:t>
      </w:r>
    </w:p>
    <w:p w:rsidR="00F46D4F" w:rsidRPr="00DC110C" w:rsidRDefault="00F46D4F" w:rsidP="00F46D4F">
      <w:pPr>
        <w:pStyle w:val="Geenafstand"/>
        <w:rPr>
          <w:lang w:val="en-US"/>
        </w:rPr>
      </w:pPr>
      <w:r w:rsidRPr="00DC110C">
        <w:rPr>
          <w:lang w:val="en-US"/>
        </w:rPr>
        <w:tab/>
        <w:t>Journal of Accounting Research, 46, 435–460.</w:t>
      </w:r>
    </w:p>
    <w:p w:rsidR="00F46D4F" w:rsidRPr="00DC110C" w:rsidRDefault="00F46D4F" w:rsidP="00F46D4F">
      <w:pPr>
        <w:pStyle w:val="Geenafstand"/>
        <w:rPr>
          <w:lang w:val="en-US"/>
        </w:rPr>
      </w:pPr>
      <w:r w:rsidRPr="00DC110C">
        <w:rPr>
          <w:lang w:val="en-US"/>
        </w:rPr>
        <w:t>Renders , A. 2009. Changing Fair Value Accounting, Financieel Forum/ Bank- en verzekringswezen</w:t>
      </w:r>
    </w:p>
    <w:p w:rsidR="00F46D4F" w:rsidRPr="00DC110C" w:rsidRDefault="00F46D4F" w:rsidP="00F46D4F">
      <w:pPr>
        <w:pStyle w:val="Geenafstand"/>
        <w:ind w:firstLine="708"/>
        <w:rPr>
          <w:lang w:val="en-US"/>
        </w:rPr>
      </w:pPr>
      <w:r w:rsidRPr="00DC110C">
        <w:rPr>
          <w:lang w:val="en-US"/>
        </w:rPr>
        <w:t xml:space="preserve"> 2009/2-3</w:t>
      </w:r>
    </w:p>
    <w:p w:rsidR="00DC110C" w:rsidRPr="00DC110C" w:rsidRDefault="00DC110C" w:rsidP="00DC110C">
      <w:pPr>
        <w:pStyle w:val="Geenafstand"/>
        <w:rPr>
          <w:lang w:val="en-US"/>
        </w:rPr>
      </w:pPr>
      <w:r w:rsidRPr="00DC110C">
        <w:rPr>
          <w:lang w:val="en-US"/>
        </w:rPr>
        <w:t xml:space="preserve">Repullo, RafaelJavier Suarez. “The Procyclical Effects of Basel II.” Working Paper Center for Economic </w:t>
      </w:r>
    </w:p>
    <w:p w:rsidR="00DC110C" w:rsidRPr="00DC110C" w:rsidRDefault="00DC110C" w:rsidP="00DC110C">
      <w:pPr>
        <w:pStyle w:val="Geenafstand"/>
        <w:ind w:firstLine="708"/>
        <w:rPr>
          <w:lang w:val="en-US"/>
        </w:rPr>
      </w:pPr>
      <w:r w:rsidRPr="00DC110C">
        <w:rPr>
          <w:lang w:val="en-US"/>
        </w:rPr>
        <w:t xml:space="preserve">Policy Research, 2008.  Available at SSRN: </w:t>
      </w:r>
      <w:hyperlink r:id="rId41" w:history="1">
        <w:r w:rsidRPr="00DC110C">
          <w:rPr>
            <w:rStyle w:val="Hyperlink"/>
            <w:color w:val="auto"/>
            <w:lang w:val="en-US"/>
          </w:rPr>
          <w:t>http://ssrn.com/abstract=1146826</w:t>
        </w:r>
      </w:hyperlink>
    </w:p>
    <w:p w:rsidR="0013536F" w:rsidRPr="00DC110C" w:rsidRDefault="0013536F" w:rsidP="0013536F">
      <w:pPr>
        <w:pStyle w:val="Geenafstand"/>
        <w:rPr>
          <w:lang w:val="en-US"/>
        </w:rPr>
      </w:pPr>
      <w:r w:rsidRPr="00DC110C">
        <w:rPr>
          <w:lang w:val="en-US"/>
        </w:rPr>
        <w:t xml:space="preserve">Ross, </w:t>
      </w:r>
      <w:r w:rsidRPr="00DC110C">
        <w:rPr>
          <w:szCs w:val="14"/>
          <w:lang w:val="en-US"/>
        </w:rPr>
        <w:t xml:space="preserve">Stephen </w:t>
      </w:r>
      <w:r w:rsidRPr="00DC110C">
        <w:rPr>
          <w:lang w:val="en-US"/>
        </w:rPr>
        <w:t>A. "The Arbitrage Theory of Capital Asset Pricing," J. Econ. Theory, Dec. 1976, 13(3),</w:t>
      </w:r>
      <w:r w:rsidRPr="00DC110C">
        <w:rPr>
          <w:lang w:val="en-US"/>
        </w:rPr>
        <w:tab/>
        <w:t>pp. 341-60.</w:t>
      </w:r>
    </w:p>
    <w:p w:rsidR="00F46D4F" w:rsidRPr="00DC110C" w:rsidRDefault="00F46D4F" w:rsidP="00F46D4F">
      <w:pPr>
        <w:pStyle w:val="Geenafstand"/>
        <w:rPr>
          <w:lang w:val="en-US"/>
        </w:rPr>
      </w:pPr>
      <w:r w:rsidRPr="00DC110C">
        <w:rPr>
          <w:lang w:val="en-US"/>
        </w:rPr>
        <w:t xml:space="preserve">Ryan, S.G. (2008). Accounting in and for the subprime crisis. </w:t>
      </w:r>
      <w:r w:rsidRPr="00DC110C">
        <w:rPr>
          <w:i/>
          <w:iCs/>
          <w:lang w:val="en-US"/>
        </w:rPr>
        <w:t xml:space="preserve">The Accounting Review </w:t>
      </w:r>
      <w:r w:rsidRPr="00DC110C">
        <w:rPr>
          <w:lang w:val="en-US"/>
        </w:rPr>
        <w:t>83, 1605-1638.</w:t>
      </w:r>
    </w:p>
    <w:p w:rsidR="00C0597C" w:rsidRPr="00DC110C" w:rsidRDefault="00C0597C" w:rsidP="00C0597C">
      <w:pPr>
        <w:pStyle w:val="Geenafstand"/>
        <w:rPr>
          <w:szCs w:val="24"/>
          <w:lang w:val="en-US"/>
        </w:rPr>
      </w:pPr>
      <w:r w:rsidRPr="00DC110C">
        <w:rPr>
          <w:szCs w:val="24"/>
          <w:lang w:val="en-US"/>
        </w:rPr>
        <w:t>Ryan, S.G. (2008). Fair value accounting: understanding the issues raised by the credit crunch,</w:t>
      </w:r>
    </w:p>
    <w:p w:rsidR="00C0597C" w:rsidRPr="00DC110C" w:rsidRDefault="00C0597C" w:rsidP="00C0597C">
      <w:pPr>
        <w:pStyle w:val="Geenafstand"/>
        <w:ind w:firstLine="708"/>
        <w:rPr>
          <w:lang w:val="en-US"/>
        </w:rPr>
      </w:pPr>
      <w:r w:rsidRPr="00DC110C">
        <w:rPr>
          <w:szCs w:val="24"/>
          <w:lang w:val="en-US"/>
        </w:rPr>
        <w:t>working paper, New York University.</w:t>
      </w:r>
      <w:r w:rsidRPr="00DC110C">
        <w:rPr>
          <w:lang w:val="en-US"/>
        </w:rPr>
        <w:t xml:space="preserve"> </w:t>
      </w:r>
    </w:p>
    <w:p w:rsidR="00C0597C" w:rsidRPr="00DC110C" w:rsidRDefault="00F46D4F" w:rsidP="00C0597C">
      <w:pPr>
        <w:pStyle w:val="Geenafstand"/>
        <w:rPr>
          <w:lang w:val="en-US"/>
        </w:rPr>
      </w:pPr>
      <w:r w:rsidRPr="00DC110C">
        <w:rPr>
          <w:lang w:val="en-US"/>
        </w:rPr>
        <w:t xml:space="preserve">Ryan, S.G. 2009. “Fair value accounting: Policy issues raised by the credit crunch.” In Restoring </w:t>
      </w:r>
    </w:p>
    <w:p w:rsidR="00F46D4F" w:rsidRPr="00DC110C" w:rsidRDefault="00F46D4F" w:rsidP="00C0597C">
      <w:pPr>
        <w:pStyle w:val="Geenafstand"/>
        <w:ind w:left="708"/>
        <w:rPr>
          <w:lang w:val="en-US"/>
        </w:rPr>
      </w:pPr>
      <w:r w:rsidRPr="00DC110C">
        <w:rPr>
          <w:lang w:val="en-US"/>
        </w:rPr>
        <w:t>Financial Stability: How to Repair a Failed System. Viral Acharya and Matthew Richardson (eds). John Wiley and Sons (New Jersey).</w:t>
      </w:r>
    </w:p>
    <w:p w:rsidR="00F46D4F" w:rsidRPr="00DC110C" w:rsidRDefault="00F46D4F" w:rsidP="00F46D4F">
      <w:pPr>
        <w:pStyle w:val="Geenafstand"/>
        <w:rPr>
          <w:lang w:val="en-US"/>
        </w:rPr>
      </w:pPr>
      <w:r w:rsidRPr="00DC110C">
        <w:rPr>
          <w:lang w:val="en-US"/>
        </w:rPr>
        <w:t xml:space="preserve">Scholtens, B. and R. de Wit. 2004. Announcement Effects of Bank Mergers in Europe and the </w:t>
      </w:r>
    </w:p>
    <w:p w:rsidR="00F46D4F" w:rsidRPr="00DC110C" w:rsidRDefault="00F46D4F" w:rsidP="00F46D4F">
      <w:pPr>
        <w:pStyle w:val="Geenafstand"/>
        <w:rPr>
          <w:lang w:val="en-US"/>
        </w:rPr>
      </w:pPr>
      <w:r w:rsidRPr="00DC110C">
        <w:rPr>
          <w:lang w:val="en-US"/>
        </w:rPr>
        <w:tab/>
        <w:t xml:space="preserve">US. </w:t>
      </w:r>
      <w:r w:rsidRPr="00DC110C">
        <w:rPr>
          <w:i/>
          <w:lang w:val="en-US"/>
        </w:rPr>
        <w:t>Research in International Business and Finance</w:t>
      </w:r>
      <w:r w:rsidRPr="00DC110C">
        <w:rPr>
          <w:lang w:val="en-US"/>
        </w:rPr>
        <w:t>. 18: 217-228</w:t>
      </w:r>
    </w:p>
    <w:p w:rsidR="00F46D4F" w:rsidRPr="00DC110C" w:rsidRDefault="00F46D4F" w:rsidP="00F46D4F">
      <w:pPr>
        <w:pStyle w:val="Geenafstand"/>
        <w:rPr>
          <w:lang w:val="en-US"/>
        </w:rPr>
      </w:pPr>
      <w:r w:rsidRPr="00DC110C">
        <w:rPr>
          <w:lang w:val="en-US"/>
        </w:rPr>
        <w:t xml:space="preserve">Sefcik, S.E. and R. Thompson. 1986. “An approach to statistical inference in cross-sectional </w:t>
      </w:r>
    </w:p>
    <w:p w:rsidR="00F46D4F" w:rsidRPr="00DC110C" w:rsidRDefault="00F46D4F" w:rsidP="00F46D4F">
      <w:pPr>
        <w:pStyle w:val="Geenafstand"/>
        <w:ind w:left="708"/>
        <w:rPr>
          <w:b/>
          <w:lang w:val="en-US"/>
        </w:rPr>
      </w:pPr>
      <w:r w:rsidRPr="00DC110C">
        <w:rPr>
          <w:lang w:val="en-US"/>
        </w:rPr>
        <w:t>models with security abnormal returns as dependent variable.” Journal of Accounting Research 24 (2): 316-334.</w:t>
      </w:r>
    </w:p>
    <w:p w:rsidR="0013536F" w:rsidRPr="00DC110C" w:rsidRDefault="0013536F" w:rsidP="0013536F">
      <w:pPr>
        <w:pStyle w:val="Geenafstand"/>
        <w:rPr>
          <w:lang w:val="en-US"/>
        </w:rPr>
      </w:pPr>
      <w:r w:rsidRPr="00DC110C">
        <w:rPr>
          <w:szCs w:val="14"/>
          <w:lang w:val="en-US"/>
        </w:rPr>
        <w:t xml:space="preserve">Sharpe, William </w:t>
      </w:r>
      <w:r w:rsidRPr="00DC110C">
        <w:rPr>
          <w:szCs w:val="16"/>
          <w:lang w:val="en-US"/>
        </w:rPr>
        <w:t>F. "Capital Asset Prices: A Theory of Market Equilibrium Under Condi- tions of Risk,"</w:t>
      </w:r>
      <w:r w:rsidRPr="00DC110C">
        <w:rPr>
          <w:szCs w:val="16"/>
          <w:lang w:val="en-US"/>
        </w:rPr>
        <w:tab/>
        <w:t xml:space="preserve"> J. Finance, Sept. 1964, 19(3), pp. 425-42.</w:t>
      </w:r>
    </w:p>
    <w:p w:rsidR="00F46D4F" w:rsidRPr="00DD39B2" w:rsidRDefault="00F46D4F" w:rsidP="00F46D4F">
      <w:pPr>
        <w:pStyle w:val="Geenafstand"/>
        <w:rPr>
          <w:lang w:val="en-US"/>
        </w:rPr>
      </w:pPr>
      <w:r w:rsidRPr="00DC110C">
        <w:rPr>
          <w:lang w:val="en-US"/>
        </w:rPr>
        <w:t>Sole, Juan A., Novoa, Alicia and Scarlata, Jodi, Procyclicality and Fair Value Accounting (March 2009).</w:t>
      </w:r>
      <w:r w:rsidRPr="00DC110C">
        <w:rPr>
          <w:lang w:val="en-US"/>
        </w:rPr>
        <w:br/>
      </w:r>
      <w:r w:rsidRPr="00DC110C">
        <w:rPr>
          <w:lang w:val="en-US"/>
        </w:rPr>
        <w:tab/>
        <w:t>IMF Working Papers, Vol. , pp. 1-40, 2009. Available at SSRN:</w:t>
      </w:r>
      <w:r w:rsidRPr="00DC110C">
        <w:rPr>
          <w:lang w:val="en-US"/>
        </w:rPr>
        <w:br/>
      </w:r>
      <w:r w:rsidRPr="00DC110C">
        <w:rPr>
          <w:lang w:val="en-US"/>
        </w:rPr>
        <w:tab/>
      </w:r>
      <w:hyperlink r:id="rId42" w:history="1">
        <w:r w:rsidRPr="00DC110C">
          <w:rPr>
            <w:rStyle w:val="Hyperlink"/>
            <w:color w:val="auto"/>
            <w:lang w:val="en-US"/>
          </w:rPr>
          <w:t>http://ssrn.com/abstract=1366168</w:t>
        </w:r>
      </w:hyperlink>
    </w:p>
    <w:p w:rsidR="00F46D4F" w:rsidRPr="00DC110C" w:rsidRDefault="00F46D4F" w:rsidP="00F46D4F">
      <w:pPr>
        <w:pStyle w:val="Geenafstand"/>
        <w:rPr>
          <w:lang w:val="en-US"/>
        </w:rPr>
      </w:pPr>
      <w:r w:rsidRPr="00DC110C">
        <w:rPr>
          <w:lang w:val="en-US"/>
        </w:rPr>
        <w:t xml:space="preserve">Unger, Pascal and Fiechter, Peter, Reclassification of Financial Assets (December 22, 2009). Available </w:t>
      </w:r>
    </w:p>
    <w:p w:rsidR="00F46D4F" w:rsidRPr="00DC110C" w:rsidRDefault="00F46D4F" w:rsidP="00F46D4F">
      <w:pPr>
        <w:pStyle w:val="Geenafstand"/>
        <w:ind w:firstLine="708"/>
        <w:rPr>
          <w:lang w:val="en-US"/>
        </w:rPr>
      </w:pPr>
      <w:r w:rsidRPr="00DC110C">
        <w:rPr>
          <w:lang w:val="en-US"/>
        </w:rPr>
        <w:lastRenderedPageBreak/>
        <w:t xml:space="preserve">at SSRN: </w:t>
      </w:r>
      <w:hyperlink r:id="rId43" w:history="1">
        <w:r w:rsidRPr="00DC110C">
          <w:rPr>
            <w:rStyle w:val="Hyperlink"/>
            <w:rFonts w:cs="Arial"/>
            <w:color w:val="auto"/>
            <w:lang w:val="en-US"/>
          </w:rPr>
          <w:t>http://ssrn.com/abstract=1527107</w:t>
        </w:r>
      </w:hyperlink>
    </w:p>
    <w:p w:rsidR="00F46D4F" w:rsidRPr="00DC110C" w:rsidRDefault="00F46D4F" w:rsidP="00F46D4F">
      <w:pPr>
        <w:pStyle w:val="Geenafstand"/>
        <w:rPr>
          <w:i/>
          <w:iCs/>
          <w:lang w:val="en-US"/>
        </w:rPr>
      </w:pPr>
      <w:r w:rsidRPr="00DC110C">
        <w:rPr>
          <w:lang w:val="en-US"/>
        </w:rPr>
        <w:t xml:space="preserve">Veron, N. (2008): Fair value accounting is the wrong scapegoat for this crisis. </w:t>
      </w:r>
      <w:r w:rsidRPr="00DC110C">
        <w:rPr>
          <w:i/>
          <w:iCs/>
          <w:lang w:val="en-US"/>
        </w:rPr>
        <w:t>European</w:t>
      </w:r>
    </w:p>
    <w:p w:rsidR="00F46D4F" w:rsidRPr="00DC110C" w:rsidRDefault="00F46D4F" w:rsidP="00F46D4F">
      <w:pPr>
        <w:pStyle w:val="Geenafstand"/>
        <w:ind w:firstLine="708"/>
        <w:rPr>
          <w:lang w:val="en-US"/>
        </w:rPr>
      </w:pPr>
      <w:r w:rsidRPr="00DC110C">
        <w:rPr>
          <w:i/>
          <w:iCs/>
          <w:lang w:val="en-US"/>
        </w:rPr>
        <w:t xml:space="preserve">Accounting Review </w:t>
      </w:r>
      <w:r w:rsidRPr="00DC110C">
        <w:rPr>
          <w:lang w:val="en-US"/>
        </w:rPr>
        <w:t>5, 63-69.</w:t>
      </w:r>
    </w:p>
    <w:p w:rsidR="007A1749" w:rsidRPr="00DC110C" w:rsidRDefault="007A1749" w:rsidP="007A1749">
      <w:pPr>
        <w:pStyle w:val="Geenafstand"/>
        <w:rPr>
          <w:lang w:val="en-US"/>
        </w:rPr>
      </w:pPr>
      <w:r w:rsidRPr="00DC110C">
        <w:rPr>
          <w:lang w:val="en-US"/>
        </w:rPr>
        <w:t>Wymeersch, E. 2005. “</w:t>
      </w:r>
      <w:r w:rsidRPr="00DC110C">
        <w:rPr>
          <w:szCs w:val="42"/>
          <w:lang w:val="en-US"/>
        </w:rPr>
        <w:t xml:space="preserve">Enforcement of Corporate Governance Codes” </w:t>
      </w:r>
      <w:r w:rsidRPr="00DC110C">
        <w:rPr>
          <w:lang w:val="en-US"/>
        </w:rPr>
        <w:t>ECGI - Law Working Paper</w:t>
      </w:r>
    </w:p>
    <w:p w:rsidR="007A1749" w:rsidRPr="00DC110C" w:rsidRDefault="007A1749" w:rsidP="007A1749">
      <w:pPr>
        <w:pStyle w:val="Geenafstand"/>
        <w:ind w:left="708"/>
        <w:rPr>
          <w:lang w:val="en-US"/>
        </w:rPr>
      </w:pPr>
      <w:r w:rsidRPr="00DC110C">
        <w:rPr>
          <w:lang w:val="en-US"/>
        </w:rPr>
        <w:t>No.46/2005; Available at SSRN: http://ssrn.com/abstract=759364</w:t>
      </w:r>
    </w:p>
    <w:p w:rsidR="00A01455" w:rsidRPr="00DC110C" w:rsidRDefault="00A01455" w:rsidP="00A01455">
      <w:pPr>
        <w:pStyle w:val="Geenafstand"/>
        <w:rPr>
          <w:kern w:val="36"/>
          <w:lang w:val="en-US"/>
        </w:rPr>
      </w:pPr>
      <w:r w:rsidRPr="00DC110C">
        <w:rPr>
          <w:kern w:val="36"/>
          <w:lang w:val="en-US"/>
        </w:rPr>
        <w:t>Yong, K. O. Fair Value Accounting: SFAS 157 and IAS 39, Qfinance,</w:t>
      </w:r>
    </w:p>
    <w:p w:rsidR="00A01455" w:rsidRPr="00DC110C" w:rsidRDefault="00E77D2A" w:rsidP="00A01455">
      <w:pPr>
        <w:pStyle w:val="Geenafstand"/>
        <w:ind w:left="708"/>
        <w:rPr>
          <w:b/>
          <w:lang w:val="en-US"/>
        </w:rPr>
      </w:pPr>
      <w:hyperlink r:id="rId44" w:history="1">
        <w:r w:rsidR="00A01455" w:rsidRPr="00DC110C">
          <w:rPr>
            <w:rStyle w:val="Hyperlink"/>
            <w:rFonts w:cs="Times New Roman"/>
            <w:color w:val="auto"/>
            <w:lang w:val="en-US"/>
          </w:rPr>
          <w:t>http://www.qfinance.com/balance-sheets-best-practice/fair-value-accounting-sfas-157-and-ias-39?full</w:t>
        </w:r>
      </w:hyperlink>
    </w:p>
    <w:p w:rsidR="00F46D4F" w:rsidRPr="00DC110C" w:rsidRDefault="00F46D4F" w:rsidP="00F46D4F">
      <w:pPr>
        <w:pStyle w:val="Geenafstand"/>
        <w:rPr>
          <w:lang w:val="en-US"/>
        </w:rPr>
      </w:pPr>
      <w:r w:rsidRPr="00DC110C">
        <w:rPr>
          <w:lang w:val="en-US"/>
        </w:rPr>
        <w:t xml:space="preserve">Zeff, S.A., The rise of “economic consequences”, Journal of Accountancy, vol. 146, issue 6, </w:t>
      </w:r>
    </w:p>
    <w:p w:rsidR="00AB63A6" w:rsidRDefault="00F46D4F" w:rsidP="00DC110C">
      <w:pPr>
        <w:pStyle w:val="Geenafstand"/>
        <w:rPr>
          <w:lang w:val="en-US"/>
        </w:rPr>
      </w:pPr>
      <w:r w:rsidRPr="00DC110C">
        <w:rPr>
          <w:lang w:val="en-US"/>
        </w:rPr>
        <w:tab/>
        <w:t>december 1978, pp. 56-63.</w:t>
      </w:r>
    </w:p>
    <w:p w:rsidR="002D109E" w:rsidRDefault="002D109E" w:rsidP="002D109E">
      <w:pPr>
        <w:pStyle w:val="Geenafstand"/>
        <w:rPr>
          <w:lang w:val="en-US"/>
        </w:rPr>
      </w:pPr>
    </w:p>
    <w:p w:rsidR="00C64A8E" w:rsidRPr="00FC1514" w:rsidRDefault="00C64A8E" w:rsidP="002D109E">
      <w:pPr>
        <w:pStyle w:val="Geenafstand"/>
        <w:rPr>
          <w:lang w:val="en-US"/>
        </w:rPr>
        <w:sectPr w:rsidR="00C64A8E" w:rsidRPr="00FC1514" w:rsidSect="00E60445">
          <w:footerReference w:type="default" r:id="rId45"/>
          <w:pgSz w:w="11906" w:h="16838"/>
          <w:pgMar w:top="1417" w:right="1417" w:bottom="1417" w:left="1417" w:header="708" w:footer="708" w:gutter="0"/>
          <w:cols w:space="708"/>
          <w:docGrid w:linePitch="360"/>
        </w:sectPr>
      </w:pPr>
    </w:p>
    <w:p w:rsidR="00AB63A6" w:rsidRPr="00B55DEA" w:rsidRDefault="00AB63A6" w:rsidP="00AB63A6">
      <w:pPr>
        <w:pStyle w:val="Kop1"/>
        <w:spacing w:before="0" w:line="360" w:lineRule="auto"/>
        <w:rPr>
          <w:lang w:val="en-US"/>
        </w:rPr>
      </w:pPr>
      <w:bookmarkStart w:id="94" w:name="_Toc254174506"/>
      <w:bookmarkStart w:id="95" w:name="_Toc270770628"/>
      <w:r w:rsidRPr="00B55DEA">
        <w:rPr>
          <w:lang w:val="en-US"/>
        </w:rPr>
        <w:lastRenderedPageBreak/>
        <w:t xml:space="preserve">Appendix </w:t>
      </w:r>
      <w:bookmarkEnd w:id="94"/>
      <w:r w:rsidR="00592154" w:rsidRPr="00B55DEA">
        <w:rPr>
          <w:lang w:val="en-US"/>
        </w:rPr>
        <w:t>A</w:t>
      </w:r>
      <w:r w:rsidRPr="00B55DEA">
        <w:rPr>
          <w:lang w:val="en-US"/>
        </w:rPr>
        <w:t>: list prior research</w:t>
      </w:r>
      <w:bookmarkEnd w:id="95"/>
    </w:p>
    <w:tbl>
      <w:tblPr>
        <w:tblW w:w="14640"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80"/>
        <w:gridCol w:w="1560"/>
        <w:gridCol w:w="2040"/>
        <w:gridCol w:w="2160"/>
        <w:gridCol w:w="1680"/>
        <w:gridCol w:w="5520"/>
      </w:tblGrid>
      <w:tr w:rsidR="00AB63A6" w:rsidRPr="00DA0DCD" w:rsidTr="000C3C74">
        <w:trPr>
          <w:trHeight w:val="300"/>
          <w:tblHeader/>
        </w:trPr>
        <w:tc>
          <w:tcPr>
            <w:tcW w:w="1680" w:type="dxa"/>
            <w:noWrap/>
          </w:tcPr>
          <w:p w:rsidR="00AB63A6" w:rsidRPr="00DA0DCD" w:rsidRDefault="00AB63A6" w:rsidP="00AB63A6">
            <w:pPr>
              <w:pStyle w:val="Geenafstand"/>
              <w:rPr>
                <w:rFonts w:ascii="Times New Roman" w:hAnsi="Times New Roman" w:cs="Times New Roman"/>
                <w:b/>
                <w:sz w:val="20"/>
                <w:szCs w:val="20"/>
                <w:lang w:val="en-US" w:eastAsia="nl-NL"/>
              </w:rPr>
            </w:pPr>
            <w:r w:rsidRPr="00DA0DCD">
              <w:rPr>
                <w:rFonts w:ascii="Times New Roman" w:hAnsi="Times New Roman" w:cs="Times New Roman"/>
                <w:b/>
                <w:sz w:val="20"/>
                <w:szCs w:val="20"/>
                <w:lang w:val="en-US" w:eastAsia="nl-NL"/>
              </w:rPr>
              <w:t>Object of study</w:t>
            </w:r>
          </w:p>
        </w:tc>
        <w:tc>
          <w:tcPr>
            <w:tcW w:w="1560" w:type="dxa"/>
            <w:noWrap/>
          </w:tcPr>
          <w:p w:rsidR="00AB63A6" w:rsidRPr="00DA0DCD" w:rsidRDefault="00AB63A6" w:rsidP="00AB63A6">
            <w:pPr>
              <w:pStyle w:val="Geenafstand"/>
              <w:rPr>
                <w:rFonts w:ascii="Times New Roman" w:hAnsi="Times New Roman" w:cs="Times New Roman"/>
                <w:b/>
                <w:sz w:val="20"/>
                <w:szCs w:val="20"/>
                <w:lang w:val="en-US" w:eastAsia="nl-NL"/>
              </w:rPr>
            </w:pPr>
            <w:r w:rsidRPr="00DA0DCD">
              <w:rPr>
                <w:rFonts w:ascii="Times New Roman" w:hAnsi="Times New Roman" w:cs="Times New Roman"/>
                <w:b/>
                <w:sz w:val="20"/>
                <w:szCs w:val="20"/>
                <w:lang w:val="en-US" w:eastAsia="nl-NL"/>
              </w:rPr>
              <w:t>Author(s)</w:t>
            </w:r>
          </w:p>
        </w:tc>
        <w:tc>
          <w:tcPr>
            <w:tcW w:w="2040" w:type="dxa"/>
            <w:noWrap/>
          </w:tcPr>
          <w:p w:rsidR="00AB63A6" w:rsidRPr="00DA0DCD" w:rsidRDefault="00AB63A6" w:rsidP="00AB63A6">
            <w:pPr>
              <w:pStyle w:val="Geenafstand"/>
              <w:rPr>
                <w:rFonts w:ascii="Times New Roman" w:hAnsi="Times New Roman" w:cs="Times New Roman"/>
                <w:b/>
                <w:sz w:val="20"/>
                <w:szCs w:val="20"/>
                <w:lang w:val="en-US" w:eastAsia="nl-NL"/>
              </w:rPr>
            </w:pPr>
            <w:r w:rsidRPr="00DA0DCD">
              <w:rPr>
                <w:rFonts w:ascii="Times New Roman" w:hAnsi="Times New Roman" w:cs="Times New Roman"/>
                <w:b/>
                <w:sz w:val="20"/>
                <w:szCs w:val="20"/>
                <w:lang w:val="en-US" w:eastAsia="nl-NL"/>
              </w:rPr>
              <w:t>Journal</w:t>
            </w:r>
          </w:p>
        </w:tc>
        <w:tc>
          <w:tcPr>
            <w:tcW w:w="2160" w:type="dxa"/>
            <w:noWrap/>
          </w:tcPr>
          <w:p w:rsidR="00AB63A6" w:rsidRPr="00DA0DCD" w:rsidRDefault="00AB63A6" w:rsidP="00AB63A6">
            <w:pPr>
              <w:pStyle w:val="Geenafstand"/>
              <w:rPr>
                <w:rFonts w:ascii="Times New Roman" w:hAnsi="Times New Roman" w:cs="Times New Roman"/>
                <w:b/>
                <w:sz w:val="20"/>
                <w:szCs w:val="20"/>
                <w:lang w:val="en-US" w:eastAsia="nl-NL"/>
              </w:rPr>
            </w:pPr>
            <w:r w:rsidRPr="00DA0DCD">
              <w:rPr>
                <w:rFonts w:ascii="Times New Roman" w:hAnsi="Times New Roman" w:cs="Times New Roman"/>
                <w:b/>
                <w:sz w:val="20"/>
                <w:szCs w:val="20"/>
                <w:lang w:val="en-US" w:eastAsia="nl-NL"/>
              </w:rPr>
              <w:t>Sample (Size, country and period)</w:t>
            </w:r>
          </w:p>
        </w:tc>
        <w:tc>
          <w:tcPr>
            <w:tcW w:w="1680" w:type="dxa"/>
            <w:noWrap/>
          </w:tcPr>
          <w:p w:rsidR="00AB63A6" w:rsidRPr="00DA0DCD" w:rsidRDefault="00AB63A6" w:rsidP="00AB63A6">
            <w:pPr>
              <w:pStyle w:val="Geenafstand"/>
              <w:rPr>
                <w:rFonts w:ascii="Times New Roman" w:hAnsi="Times New Roman" w:cs="Times New Roman"/>
                <w:b/>
                <w:sz w:val="20"/>
                <w:szCs w:val="20"/>
                <w:lang w:val="en-US" w:eastAsia="nl-NL"/>
              </w:rPr>
            </w:pPr>
            <w:r w:rsidRPr="00DA0DCD">
              <w:rPr>
                <w:rFonts w:ascii="Times New Roman" w:hAnsi="Times New Roman" w:cs="Times New Roman"/>
                <w:b/>
                <w:sz w:val="20"/>
                <w:szCs w:val="20"/>
                <w:lang w:val="en-US" w:eastAsia="nl-NL"/>
              </w:rPr>
              <w:t>Research methodology</w:t>
            </w:r>
          </w:p>
        </w:tc>
        <w:tc>
          <w:tcPr>
            <w:tcW w:w="5520" w:type="dxa"/>
            <w:noWrap/>
          </w:tcPr>
          <w:p w:rsidR="00AB63A6" w:rsidRPr="00DA0DCD" w:rsidRDefault="00AB63A6" w:rsidP="00AB63A6">
            <w:pPr>
              <w:pStyle w:val="Geenafstand"/>
              <w:rPr>
                <w:rFonts w:ascii="Times New Roman" w:hAnsi="Times New Roman" w:cs="Times New Roman"/>
                <w:b/>
                <w:sz w:val="20"/>
                <w:szCs w:val="20"/>
                <w:lang w:val="en-US" w:eastAsia="nl-NL"/>
              </w:rPr>
            </w:pPr>
            <w:r w:rsidRPr="00DA0DCD">
              <w:rPr>
                <w:rFonts w:ascii="Times New Roman" w:hAnsi="Times New Roman" w:cs="Times New Roman"/>
                <w:b/>
                <w:sz w:val="20"/>
                <w:szCs w:val="20"/>
                <w:lang w:val="en-US" w:eastAsia="nl-NL"/>
              </w:rPr>
              <w:t>Result(s)</w:t>
            </w:r>
          </w:p>
        </w:tc>
      </w:tr>
      <w:tr w:rsidR="00AB63A6" w:rsidRPr="00872F8A" w:rsidTr="000C3C74">
        <w:trPr>
          <w:trHeight w:val="9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Did Fair-Value Accounting</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Contribute to the Financial</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Crisis?</w:t>
            </w:r>
          </w:p>
        </w:tc>
        <w:tc>
          <w:tcPr>
            <w:tcW w:w="15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Christian Laux, Christian Leuz (2009)</w:t>
            </w: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Chicago Booth Research Paper 09-38; ECGI - Finance Working Paper No. 266/2009; Journal of Economic Perspectives, Forthcoming. SSRN: http://ssrn.com/abstract=1487905</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Banks in the US, period 2008-2009</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Using descriptive data and empirical evidence</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Based on their analysis and the evidence in the literature, they have little reason to believe that fair-value accounting contributed to U.S. banks’ problems in the financial crisis in a major way.</w:t>
            </w:r>
          </w:p>
        </w:tc>
      </w:tr>
      <w:tr w:rsidR="00AB63A6" w:rsidRPr="00872F8A" w:rsidTr="000C3C74">
        <w:trPr>
          <w:trHeight w:val="12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Market Pricing of Banks’ Fair Value Assets Reported under SFAS 157 during the 2008 Economic Crisis</w:t>
            </w:r>
          </w:p>
        </w:tc>
        <w:tc>
          <w:tcPr>
            <w:tcW w:w="15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Beng Wee Goh, Jeffrey Ng, Kevin Ow Yong (2009)</w:t>
            </w: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SSRN</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sample of 1,462 observations from 516 unique US banks. Period of three quarters of 2008</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Time-series and cross-sectional analyses</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The pricing of mark-to-model assets declined over the course of 2008, consistent with increasing market concerns about illiquidity and information risk associated with these assets. The mark-to-model assets are priced higher by investors for banks with greater capital adequacy. The pricing of fair value assets, especially the mark-to-model assets, is higher when banks are audited by better auditors.</w:t>
            </w:r>
          </w:p>
        </w:tc>
      </w:tr>
      <w:tr w:rsidR="00AB63A6" w:rsidRPr="00872F8A" w:rsidTr="000C3C74">
        <w:trPr>
          <w:trHeight w:val="15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The Economic Consequences of Relaxing Fair Value Accounting and Impairment Rules on</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Banks during the Financial Crisis of 2008-2009</w:t>
            </w:r>
          </w:p>
        </w:tc>
        <w:tc>
          <w:tcPr>
            <w:tcW w:w="15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Robert M. Bowen,</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Urooj Khan, Shiva Rajgopal (2010)</w:t>
            </w: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SSRN: http://ssrn.com/abstract=1498912</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These restrictions result in a sample of 299 bank</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holding companies in the US. Period 2008-2009</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Cross-sectional analysis</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Find events that signaled an increased (decreased) probability that existing FVA standards would be relaxed (retained) generally produced positive (negative) abnormal stock price reactions for sample banks</w:t>
            </w:r>
          </w:p>
        </w:tc>
      </w:tr>
      <w:tr w:rsidR="00AB63A6" w:rsidRPr="00872F8A" w:rsidTr="000C3C74">
        <w:trPr>
          <w:trHeight w:val="283"/>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 xml:space="preserve">Liquidity and leverage. </w:t>
            </w:r>
          </w:p>
        </w:tc>
        <w:tc>
          <w:tcPr>
            <w:tcW w:w="15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Adrian, T., &amp; Shin, H. S. (2008)</w:t>
            </w:r>
          </w:p>
        </w:tc>
        <w:tc>
          <w:tcPr>
            <w:tcW w:w="204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Federal Reserve Bank of New York Staff Reports, No. 328.</w:t>
            </w:r>
          </w:p>
          <w:p w:rsidR="00AB63A6" w:rsidRPr="00DA0DCD" w:rsidRDefault="00AB63A6" w:rsidP="00AB63A6">
            <w:pPr>
              <w:pStyle w:val="Geenafstand"/>
              <w:rPr>
                <w:rFonts w:ascii="Times New Roman" w:hAnsi="Times New Roman" w:cs="Times New Roman"/>
                <w:sz w:val="20"/>
                <w:szCs w:val="20"/>
                <w:lang w:val="en-US" w:eastAsia="nl-NL"/>
              </w:rPr>
            </w:pP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Five US banks, Period varies between 1991-2008</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Time-series analyses</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They present evidence that marked-to-market leverage is strongly pro-cyclical and argue that such behavior has aggregate consequences. Changes in dealer repurchase agreements (repos) forecast changes in financial market risk as measured by the innovations in the Chicago Board Options Exchange Volatility Index (VIX). Aggregate liquidity can be seen as the rate of change of the aggregate balance sheet of the financial intermediaries.</w:t>
            </w:r>
          </w:p>
        </w:tc>
      </w:tr>
      <w:tr w:rsidR="00AB63A6" w:rsidRPr="00872F8A" w:rsidTr="000C3C74">
        <w:trPr>
          <w:trHeight w:val="15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lastRenderedPageBreak/>
              <w:t>Bank Failure, Mark-to-Market and the Financial Crisis</w:t>
            </w:r>
          </w:p>
        </w:tc>
        <w:tc>
          <w:tcPr>
            <w:tcW w:w="15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Amel-Zadeh, Amir and Meeks, G., (October 26, 2009)</w:t>
            </w: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SSRN: http://ssrn.com/abstract=1494452</w:t>
            </w:r>
          </w:p>
        </w:tc>
        <w:tc>
          <w:tcPr>
            <w:tcW w:w="216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US and international institutions listed on the US stock exchange (total 1460), Period 1980 -2008</w:t>
            </w:r>
          </w:p>
          <w:p w:rsidR="00AB63A6" w:rsidRPr="00DA0DCD" w:rsidRDefault="00AB63A6" w:rsidP="00AB63A6">
            <w:pPr>
              <w:pStyle w:val="Geenafstand"/>
              <w:rPr>
                <w:rFonts w:ascii="Times New Roman" w:hAnsi="Times New Roman" w:cs="Times New Roman"/>
                <w:sz w:val="20"/>
                <w:szCs w:val="20"/>
                <w:lang w:val="en-US" w:eastAsia="nl-NL"/>
              </w:rPr>
            </w:pP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Time-series and cross-sectional analyses</w:t>
            </w:r>
          </w:p>
        </w:tc>
        <w:tc>
          <w:tcPr>
            <w:tcW w:w="552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 xml:space="preserve">This paper is concerned with the allegation that fair value accounting rules have contributed significantly to the recent financial crisis. Two of the most prominent bank failures cannot, at first sight, be attributed to fair value accounting: we show that Northern Rock was balance sheet solvent, even on a fair value basis, as was Lehman Brothers. Moreover, in more formal tests daily mark-to-market risk does not seem to increase perceived bankruptcy risk which is rather explained by constraints in the interbank lending market. For some banks, however, the valuation basis appears to be material: they report that the average market value of a sample of banks rose in response to a relaxation of fair value rules by the accounting standard-setter, a result consistent with that relaxation reducing the risk of balance sheet insolvency or regulatory failure. </w:t>
            </w:r>
          </w:p>
        </w:tc>
      </w:tr>
      <w:tr w:rsidR="00AB63A6" w:rsidRPr="00872F8A" w:rsidTr="000C3C74">
        <w:trPr>
          <w:trHeight w:val="15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Mark-to-market accounting and liquidity pricing.</w:t>
            </w:r>
          </w:p>
        </w:tc>
        <w:tc>
          <w:tcPr>
            <w:tcW w:w="156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Allen, F., &amp; Carletti, E. (2008)</w:t>
            </w:r>
          </w:p>
          <w:p w:rsidR="00AB63A6" w:rsidRPr="00DA0DCD" w:rsidRDefault="00AB63A6" w:rsidP="00AB63A6">
            <w:pPr>
              <w:pStyle w:val="Geenafstand"/>
              <w:rPr>
                <w:rFonts w:ascii="Times New Roman" w:hAnsi="Times New Roman" w:cs="Times New Roman"/>
                <w:sz w:val="20"/>
                <w:szCs w:val="20"/>
                <w:lang w:val="en-US" w:eastAsia="nl-NL"/>
              </w:rPr>
            </w:pP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Journal of Accounting and Economics, 45, 358–378.</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Bank sector and insurance sector</w:t>
            </w:r>
          </w:p>
        </w:tc>
        <w:tc>
          <w:tcPr>
            <w:tcW w:w="168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Use the working of sectors as a benchmark for considering the interaction between liquidity</w:t>
            </w:r>
          </w:p>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pricing and accounting methods</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They show a shock in the insurance sector can cause the current market value of banks assets to fall below their liabilities so they are insolvent. In contrast, if values based on historic cost are used, banks can continue and meet all their future liabilities. They discuss the implications for the debate on mark-to-market versus historic cost accounting.</w:t>
            </w:r>
          </w:p>
        </w:tc>
      </w:tr>
      <w:tr w:rsidR="00AB63A6" w:rsidRPr="00872F8A" w:rsidTr="000C3C74">
        <w:trPr>
          <w:trHeight w:val="283"/>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International financial reporting standards (IFRS): pros and cons for investors</w:t>
            </w:r>
          </w:p>
        </w:tc>
        <w:tc>
          <w:tcPr>
            <w:tcW w:w="156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Ball, R. (2006)</w:t>
            </w:r>
          </w:p>
          <w:p w:rsidR="00AB63A6" w:rsidRPr="00DA0DCD" w:rsidRDefault="00AB63A6" w:rsidP="00AB63A6">
            <w:pPr>
              <w:pStyle w:val="Geenafstand"/>
              <w:rPr>
                <w:rFonts w:ascii="Times New Roman" w:hAnsi="Times New Roman" w:cs="Times New Roman"/>
                <w:sz w:val="20"/>
                <w:szCs w:val="20"/>
                <w:lang w:val="en-US" w:eastAsia="nl-NL"/>
              </w:rPr>
            </w:pP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i/>
                <w:iCs/>
                <w:sz w:val="20"/>
                <w:szCs w:val="20"/>
                <w:lang w:val="en-US"/>
              </w:rPr>
              <w:t>Accounting and Business Research</w:t>
            </w:r>
            <w:r w:rsidRPr="00DA0DCD">
              <w:rPr>
                <w:rFonts w:ascii="Times New Roman" w:hAnsi="Times New Roman" w:cs="Times New Roman"/>
                <w:sz w:val="20"/>
                <w:szCs w:val="20"/>
                <w:lang w:val="en-US"/>
              </w:rPr>
              <w:t>, Vol.36, pp.5-27.</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No sample</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Descriptive</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On the ‘pro’ side of the ledger, he conclude that extraordinary success has been achieved in developing a comprehensive set of ‘high quality’ IFRS standards, in persuading almost 100 countries to adopt them, and in obtaining convergence in standards with important non-adopters (notably, the US). On the ‘con’ side, He envisage problems with the current fascination of the IASB (and the FASB) with ‘fair value accounting’. A deeper concern is that there inevitably will be substantial differences among countries in implementation of IFRS, which now risk being concealed by a veneer of uniformity. The notion that uniform standards alone will produce uniform financial reporting seems naive. In addition, I express several longer run concerns. Time will tell.</w:t>
            </w:r>
          </w:p>
        </w:tc>
      </w:tr>
      <w:tr w:rsidR="00AB63A6" w:rsidRPr="00872F8A" w:rsidTr="000C3C74">
        <w:trPr>
          <w:trHeight w:val="15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lastRenderedPageBreak/>
              <w:t>An empirical analysis of the economic</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implications of fair value accounting for investment securities</w:t>
            </w:r>
          </w:p>
        </w:tc>
        <w:tc>
          <w:tcPr>
            <w:tcW w:w="15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Beatty, A., S. Chamberlain, and J. Magliolo. (1996)</w:t>
            </w:r>
          </w:p>
          <w:p w:rsidR="00AB63A6" w:rsidRPr="00DA0DCD" w:rsidRDefault="00AB63A6" w:rsidP="00AB63A6">
            <w:pPr>
              <w:pStyle w:val="Geenafstand"/>
              <w:rPr>
                <w:rFonts w:ascii="Times New Roman" w:hAnsi="Times New Roman" w:cs="Times New Roman"/>
                <w:sz w:val="20"/>
                <w:szCs w:val="20"/>
                <w:lang w:val="en-US" w:eastAsia="nl-NL"/>
              </w:rPr>
            </w:pPr>
          </w:p>
          <w:p w:rsidR="00AB63A6" w:rsidRPr="00DA0DCD" w:rsidRDefault="00AB63A6" w:rsidP="00AB63A6">
            <w:pPr>
              <w:pStyle w:val="Geenafstand"/>
              <w:rPr>
                <w:rFonts w:ascii="Times New Roman" w:hAnsi="Times New Roman" w:cs="Times New Roman"/>
                <w:sz w:val="20"/>
                <w:szCs w:val="20"/>
                <w:lang w:val="en-US" w:eastAsia="nl-NL"/>
              </w:rPr>
            </w:pP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Journal of Accounting and</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Economics 22: 43-77.</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260 banking firms and 96 insurance companies in the US. Period 1990 to 1993</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Time series and cross sectional analyses</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This paper analyzes security returns of bank holding companies and insurance companies during periods surrounding the adoption of SFAS 115. They find bank share prices were negatively affected by the examined events, but find little share price reaction for insurance companies. Their evidence suggests banks were adversely affected by the standard because of problems with the standard's market value accounting approach. Cross-sectional analysis of event period returns shows that banks that more frequently traded their investments, with longer maturing investments, and that are more fully hedged against interest rate changes, were the most negatively impacted by the standard.</w:t>
            </w:r>
          </w:p>
        </w:tc>
      </w:tr>
      <w:tr w:rsidR="00AB63A6" w:rsidRPr="00872F8A" w:rsidTr="000C3C74">
        <w:trPr>
          <w:trHeight w:val="15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Assessing the impact of fair value upon financial crises</w:t>
            </w:r>
          </w:p>
        </w:tc>
        <w:tc>
          <w:tcPr>
            <w:tcW w:w="156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eastAsia="nl-NL"/>
              </w:rPr>
              <w:t>Boyer, R. (2007)</w:t>
            </w:r>
          </w:p>
          <w:p w:rsidR="00AB63A6" w:rsidRPr="00DA0DCD" w:rsidRDefault="00AB63A6" w:rsidP="00AB63A6">
            <w:pPr>
              <w:pStyle w:val="Geenafstand"/>
              <w:rPr>
                <w:rFonts w:ascii="Times New Roman" w:hAnsi="Times New Roman" w:cs="Times New Roman"/>
                <w:sz w:val="20"/>
                <w:szCs w:val="20"/>
                <w:lang w:val="en-US" w:eastAsia="nl-NL"/>
              </w:rPr>
            </w:pP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i/>
                <w:iCs/>
                <w:sz w:val="20"/>
                <w:szCs w:val="20"/>
                <w:lang w:val="en-US" w:eastAsia="nl-NL"/>
              </w:rPr>
              <w:t>Socio Economic Review</w:t>
            </w:r>
            <w:r w:rsidRPr="00DA0DCD">
              <w:rPr>
                <w:rFonts w:ascii="Times New Roman" w:hAnsi="Times New Roman" w:cs="Times New Roman"/>
                <w:sz w:val="20"/>
                <w:szCs w:val="20"/>
                <w:lang w:val="en-US" w:eastAsia="nl-NL"/>
              </w:rPr>
              <w:t>, 5 (4), pp. 779-807</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No sample</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Literature study</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This article challenges the notion that the reform of accounting principles in accordance with fair value would provide better information, and that more transparency would reinforce the resilience of the economy. Actually, fair value gives at each instant a seemingly relevant liquidation value, but obscures the value creation process by mixing present profit with unrealized capital gains and losses. This discrepancy increases with an increased degree of uncertainty, which is at odds with widely held beliefs about the efficiency of existing financial markets. Fair value introduces an accounting accelerator on top of the already present and typical financial accelerator. It extends to the entire economic system, the source of financial fragility typical of the 1990s. If fair value accounting is applied to banks, an extra volatility may be created unless a new wave of innovations introduces countervailing forces.</w:t>
            </w:r>
          </w:p>
        </w:tc>
      </w:tr>
      <w:tr w:rsidR="00AB63A6" w:rsidRPr="00872F8A" w:rsidTr="000C3C74">
        <w:trPr>
          <w:trHeight w:val="709"/>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An investigation of capital market reactions to pronouncements on fair value accounting</w:t>
            </w:r>
          </w:p>
        </w:tc>
        <w:tc>
          <w:tcPr>
            <w:tcW w:w="15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Cornett, M.M., Z. Rezaee, and H. Tehranian. (1996)</w:t>
            </w:r>
          </w:p>
          <w:p w:rsidR="00AB63A6" w:rsidRPr="00DA0DCD" w:rsidRDefault="00AB63A6" w:rsidP="00AB63A6">
            <w:pPr>
              <w:pStyle w:val="Geenafstand"/>
              <w:rPr>
                <w:rFonts w:ascii="Times New Roman" w:hAnsi="Times New Roman" w:cs="Times New Roman"/>
                <w:sz w:val="20"/>
                <w:szCs w:val="20"/>
                <w:lang w:val="en-US" w:eastAsia="nl-NL"/>
              </w:rPr>
            </w:pP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Journal of Accounting and Economics 22: 119-154.</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416 US banks. Period between 1989 -1993</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Time series and cross sectional analyses</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This paper examines the impact of twenty-three pronouncements related to fair value accounting (FVA) rules on equity prices of financial institutions. The results document that announcements that signal an increased (decreased) probability of issuance of FVA standards produce negative (positive) abnormal stock price reactions for sample banks. Further, the magnitude of the stock price reactions is negatively related to a bank's primary capital ratio and positively related to the ratio of the book value of the investment portfolio to total assets and the ratio of the difference between the market and book value of the investment portfolio to total assets.</w:t>
            </w:r>
          </w:p>
        </w:tc>
      </w:tr>
      <w:tr w:rsidR="00AB63A6" w:rsidRPr="00872F8A" w:rsidTr="000C3C74">
        <w:trPr>
          <w:trHeight w:val="15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lastRenderedPageBreak/>
              <w:t>Mandatory IFRS Reporting Around the World: Early Evidence on the Economic Consequences</w:t>
            </w:r>
          </w:p>
        </w:tc>
        <w:tc>
          <w:tcPr>
            <w:tcW w:w="156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Daske, Holger, Hail, Luzi, Leuz, Christian and Verdi, Rodrigo S., (August 2008)</w:t>
            </w:r>
          </w:p>
          <w:p w:rsidR="00AB63A6" w:rsidRPr="00DA0DCD" w:rsidRDefault="00AB63A6" w:rsidP="00AB63A6">
            <w:pPr>
              <w:pStyle w:val="Geenafstand"/>
              <w:rPr>
                <w:rFonts w:ascii="Times New Roman" w:hAnsi="Times New Roman" w:cs="Times New Roman"/>
                <w:sz w:val="20"/>
                <w:szCs w:val="20"/>
                <w:lang w:val="en-US" w:eastAsia="nl-NL"/>
              </w:rPr>
            </w:pPr>
          </w:p>
        </w:tc>
        <w:tc>
          <w:tcPr>
            <w:tcW w:w="204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 xml:space="preserve">ECGI - Finance Working Paper No. 198/2008; Chicago GSB Research Paper No. 12. </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SSRN: http://ssrn.com/abstract=1024240</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105,527 firm-year observations from 51 countries .Period 2001-2005</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Time series and cross sectional analyses</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 xml:space="preserve">This paper examines the economic consequences of mandatory IFRS reporting around the world. They analyze the effects on market liquidity, cost of capital and Tobin’s q in 26 countries that mandated to adopt IFRS. They find that, on average, market liquidity increases around the time of the introduction of IFRS. They also document a decrease in firms cost of capital and an increase in equity valuations, but only if we account for the possibility that the effects occur prior to the official adoption date. Partitioning their sample, they find that the capital-market benefits occur </w:t>
            </w:r>
            <w:r w:rsidRPr="00DA0DCD">
              <w:rPr>
                <w:rFonts w:ascii="Times New Roman" w:hAnsi="Times New Roman" w:cs="Times New Roman"/>
                <w:i/>
                <w:iCs/>
                <w:sz w:val="20"/>
                <w:szCs w:val="20"/>
                <w:lang w:val="en-US" w:eastAsia="nl-NL"/>
              </w:rPr>
              <w:t xml:space="preserve">only </w:t>
            </w:r>
            <w:r w:rsidRPr="00DA0DCD">
              <w:rPr>
                <w:rFonts w:ascii="Times New Roman" w:hAnsi="Times New Roman" w:cs="Times New Roman"/>
                <w:sz w:val="20"/>
                <w:szCs w:val="20"/>
                <w:lang w:val="en-US" w:eastAsia="nl-NL"/>
              </w:rPr>
              <w:t xml:space="preserve">in countries where firms have incentives to be transparent and where legal enforcement is strong, underscoring the central importance of firms’ reporting incentives and countries’ enforcement regimes for the quality of financial reporting. Comparing mandatory and voluntary adopters, they find that the capital market effects are most pronounced for firms that voluntarily switch to IFRS, both in the year when they switch and again later, when IFRS become mandatory. </w:t>
            </w:r>
          </w:p>
        </w:tc>
      </w:tr>
      <w:tr w:rsidR="00AB63A6" w:rsidRPr="00872F8A" w:rsidTr="000C3C74">
        <w:trPr>
          <w:trHeight w:val="15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Does Fair Value Accounting Contribute to Systemic Risk in the Banking Industry?</w:t>
            </w:r>
          </w:p>
        </w:tc>
        <w:tc>
          <w:tcPr>
            <w:tcW w:w="156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Khan, Urooj, (August 27, 2009)</w:t>
            </w: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SSRN: http://ssrn.com/abstract=1327596</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793 U.S. bank holding companies. period 1988 to 2007</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Time series and cross sectional analyses</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He find that the extent of fair value reporting is associated with an increase in contagion among banks. The increase in bank contagion is most severe during periods of market illiquidity. Further, his cross-sectional analyses suggest that increased bank contagion associated with fair value accounting is more likely to spread to banks that are poorly capitalized or have a relatively higher proportion of fair value assets and liabilities.</w:t>
            </w:r>
          </w:p>
        </w:tc>
      </w:tr>
      <w:tr w:rsidR="00AB63A6" w:rsidRPr="00872F8A" w:rsidTr="000C3C74">
        <w:trPr>
          <w:trHeight w:val="15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The Crisis of Fair-Value Accounting: Making Sense of the Recent Debate</w:t>
            </w:r>
          </w:p>
        </w:tc>
        <w:tc>
          <w:tcPr>
            <w:tcW w:w="156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Laux, Christian, and Christian Leuz. (2009)</w:t>
            </w:r>
          </w:p>
          <w:p w:rsidR="00AB63A6" w:rsidRPr="00DA0DCD" w:rsidRDefault="00AB63A6" w:rsidP="00AB63A6">
            <w:pPr>
              <w:pStyle w:val="Geenafstand"/>
              <w:rPr>
                <w:rFonts w:ascii="Times New Roman" w:hAnsi="Times New Roman" w:cs="Times New Roman"/>
                <w:sz w:val="20"/>
                <w:szCs w:val="20"/>
                <w:lang w:val="en-US"/>
              </w:rPr>
            </w:pP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i/>
                <w:iCs/>
                <w:sz w:val="20"/>
                <w:szCs w:val="20"/>
                <w:lang w:val="en-US"/>
              </w:rPr>
              <w:t>Accounting, Organizations and Society</w:t>
            </w:r>
            <w:r w:rsidRPr="00DA0DCD">
              <w:rPr>
                <w:rFonts w:ascii="Times New Roman" w:hAnsi="Times New Roman" w:cs="Times New Roman"/>
                <w:sz w:val="20"/>
                <w:szCs w:val="20"/>
                <w:lang w:val="en-US"/>
              </w:rPr>
              <w:t>, 34(6-7): 826–834.</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No sample</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Literature research</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The recent financial crisis has led to a vigorous debate about the pros and cons of fair-value accounting (FVA). In this article, they highlight four important issues as an attempt to make sense of the debate. First, much of the controversy results from confusion about what is new and different about FVA. Second, while there are legitimate concerns about marking to market (or pure FVA) in times of financial crisis, it is less clear that these problems apply to FVA as stipulated by the accounting standards. Third, historical cost accounting (HCA) is unlikely to be the remedy. There are a number of concerns about HCA as well and these problems could be larger than those with FVA. Fourth, although it is difficult to fault the FVA standards per se, implementation issues are a potential concern, especially with respect to litigation.</w:t>
            </w:r>
          </w:p>
        </w:tc>
      </w:tr>
      <w:tr w:rsidR="00AB63A6" w:rsidRPr="00872F8A" w:rsidTr="000C3C74">
        <w:trPr>
          <w:trHeight w:val="15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lastRenderedPageBreak/>
              <w:t>Abandoning the transaction-based accounting model: Weighing the evidence</w:t>
            </w:r>
          </w:p>
        </w:tc>
        <w:tc>
          <w:tcPr>
            <w:tcW w:w="15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Lys, T. (1996)</w:t>
            </w:r>
          </w:p>
          <w:p w:rsidR="00AB63A6" w:rsidRPr="00DA0DCD" w:rsidRDefault="00AB63A6" w:rsidP="00AB63A6">
            <w:pPr>
              <w:pStyle w:val="Geenafstand"/>
              <w:rPr>
                <w:rFonts w:ascii="Times New Roman" w:hAnsi="Times New Roman" w:cs="Times New Roman"/>
                <w:sz w:val="20"/>
                <w:szCs w:val="20"/>
                <w:lang w:val="en-US"/>
              </w:rPr>
            </w:pP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Journal of Accounting and Economics 22: 155-175.</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A comparison of the mean stock price response to events related to the FASB's acceptance of SFAS</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105, 107, and 115 in the US, reported by Cornett, Rezaee, and Tehranian (1996) and Beatt, Chamberlain, and</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Magliolo (1996) US</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Time series and cross sectional analyses (literature research)</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He develop a benchmark for evaluating whether fair values disclosed by banks differ from investors' estimates of the market value of financial assets and liabilities. Using this</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benchmark, he conclude that the hypothesis that disclosed fair values closely approximate investors' estimates should be rejected. He present evidence suggesting that the procedure used in establishing fair values results in an understatement of the value of financial assets and an overstatement of liabilities. He also conclude that the reaction of bank stocks to the adoption of SFAS 105, 107, and 115 is more consistent with regulatory concerns and not</w:t>
            </w:r>
          </w:p>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with potential adverse effects of those statements for contracting.</w:t>
            </w:r>
          </w:p>
        </w:tc>
      </w:tr>
      <w:tr w:rsidR="00AB63A6" w:rsidRPr="00872F8A" w:rsidTr="000C3C74">
        <w:trPr>
          <w:trHeight w:val="1500"/>
        </w:trPr>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Marking-to-market: Panacea or Pandora’s box?</w:t>
            </w:r>
          </w:p>
        </w:tc>
        <w:tc>
          <w:tcPr>
            <w:tcW w:w="1560" w:type="dxa"/>
          </w:tcPr>
          <w:p w:rsidR="00AB63A6" w:rsidRPr="00DA0DCD" w:rsidRDefault="00AB63A6" w:rsidP="00AB63A6">
            <w:pPr>
              <w:pStyle w:val="Geenafstand"/>
              <w:rPr>
                <w:rFonts w:ascii="Times New Roman" w:hAnsi="Times New Roman" w:cs="Times New Roman"/>
                <w:sz w:val="20"/>
                <w:szCs w:val="20"/>
                <w:lang w:val="en-US"/>
              </w:rPr>
            </w:pPr>
            <w:r w:rsidRPr="00DA0DCD">
              <w:rPr>
                <w:rFonts w:ascii="Times New Roman" w:hAnsi="Times New Roman" w:cs="Times New Roman"/>
                <w:sz w:val="20"/>
                <w:szCs w:val="20"/>
                <w:lang w:val="en-US"/>
              </w:rPr>
              <w:t xml:space="preserve">Plantin, G., Sapra, H., &amp; Shin, H. S. (2008). </w:t>
            </w:r>
          </w:p>
          <w:p w:rsidR="00AB63A6" w:rsidRPr="00DA0DCD" w:rsidRDefault="00AB63A6" w:rsidP="00AB63A6">
            <w:pPr>
              <w:pStyle w:val="Geenafstand"/>
              <w:rPr>
                <w:rFonts w:ascii="Times New Roman" w:hAnsi="Times New Roman" w:cs="Times New Roman"/>
                <w:sz w:val="20"/>
                <w:szCs w:val="20"/>
                <w:lang w:val="en-US"/>
              </w:rPr>
            </w:pPr>
          </w:p>
        </w:tc>
        <w:tc>
          <w:tcPr>
            <w:tcW w:w="204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rPr>
              <w:t>Journal of Accounting Research, 46, 435–460.</w:t>
            </w:r>
          </w:p>
        </w:tc>
        <w:tc>
          <w:tcPr>
            <w:tcW w:w="216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No sample</w:t>
            </w:r>
          </w:p>
        </w:tc>
        <w:tc>
          <w:tcPr>
            <w:tcW w:w="168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Provide a framework of analysis</w:t>
            </w:r>
          </w:p>
        </w:tc>
        <w:tc>
          <w:tcPr>
            <w:tcW w:w="5520" w:type="dxa"/>
          </w:tcPr>
          <w:p w:rsidR="00AB63A6" w:rsidRPr="00DA0DCD" w:rsidRDefault="00AB63A6" w:rsidP="00AB63A6">
            <w:pPr>
              <w:pStyle w:val="Geenafstand"/>
              <w:rPr>
                <w:rFonts w:ascii="Times New Roman" w:hAnsi="Times New Roman" w:cs="Times New Roman"/>
                <w:sz w:val="20"/>
                <w:szCs w:val="20"/>
                <w:lang w:val="en-US" w:eastAsia="nl-NL"/>
              </w:rPr>
            </w:pPr>
            <w:r w:rsidRPr="00DA0DCD">
              <w:rPr>
                <w:rFonts w:ascii="Times New Roman" w:hAnsi="Times New Roman" w:cs="Times New Roman"/>
                <w:sz w:val="20"/>
                <w:szCs w:val="20"/>
                <w:lang w:val="en-US" w:eastAsia="nl-NL"/>
              </w:rPr>
              <w:t>Financial institutions have been at the forefront of the debate on the controversial shift in international standards from historical cost accounting to mark-to-market accounting. They show that the trade-offs at stake in this debate are far from one-sided. They construct a framework that can weigh the pros and cons. They find that the damage done by marking-to-market is greatest when claims are (1) long–lived, (2) illiquid, and (3) senior. These are precisely the attributes of the key balance sheet items of banks and insurance companies. Their results therefore shed light on why banks and insurance companies have been the most vocal opponents of the shift to marking-to-market.</w:t>
            </w:r>
          </w:p>
        </w:tc>
      </w:tr>
    </w:tbl>
    <w:p w:rsidR="00AB63A6" w:rsidRPr="00DA0DCD" w:rsidRDefault="00AB63A6" w:rsidP="00AB63A6">
      <w:pPr>
        <w:rPr>
          <w:lang w:val="en-US"/>
        </w:rPr>
      </w:pPr>
    </w:p>
    <w:p w:rsidR="00AB63A6" w:rsidRPr="00DA0DCD" w:rsidRDefault="00AB63A6" w:rsidP="005525CE">
      <w:pPr>
        <w:ind w:left="360"/>
        <w:rPr>
          <w:lang w:val="en-US"/>
        </w:rPr>
      </w:pPr>
    </w:p>
    <w:p w:rsidR="00AB63A6" w:rsidRPr="00DA0DCD" w:rsidRDefault="00AB63A6">
      <w:pPr>
        <w:rPr>
          <w:lang w:val="en-US"/>
        </w:rPr>
      </w:pPr>
      <w:r w:rsidRPr="00DA0DCD">
        <w:rPr>
          <w:lang w:val="en-US"/>
        </w:rPr>
        <w:br w:type="page"/>
      </w:r>
    </w:p>
    <w:p w:rsidR="00592154" w:rsidRPr="00DA0DCD" w:rsidRDefault="00592154" w:rsidP="00592154">
      <w:pPr>
        <w:pStyle w:val="Kop1"/>
        <w:spacing w:after="240"/>
        <w:rPr>
          <w:lang w:val="en-US"/>
        </w:rPr>
      </w:pPr>
      <w:bookmarkStart w:id="96" w:name="_Toc270770629"/>
      <w:r w:rsidRPr="00DA0DCD">
        <w:rPr>
          <w:lang w:val="en-US"/>
        </w:rPr>
        <w:lastRenderedPageBreak/>
        <w:t>Appendix B: Events and sample data</w:t>
      </w:r>
      <w:bookmarkEnd w:id="96"/>
    </w:p>
    <w:tbl>
      <w:tblPr>
        <w:tblW w:w="139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50"/>
        <w:gridCol w:w="1257"/>
        <w:gridCol w:w="7640"/>
        <w:gridCol w:w="2076"/>
        <w:gridCol w:w="1897"/>
      </w:tblGrid>
      <w:tr w:rsidR="00592154" w:rsidRPr="00872F8A" w:rsidTr="000C3C74">
        <w:trPr>
          <w:trHeight w:val="555"/>
        </w:trPr>
        <w:tc>
          <w:tcPr>
            <w:tcW w:w="1041" w:type="dxa"/>
            <w:shd w:val="clear" w:color="auto" w:fill="auto"/>
          </w:tcPr>
          <w:p w:rsidR="00592154" w:rsidRPr="00DA0DCD" w:rsidRDefault="00592154" w:rsidP="00592154">
            <w:pPr>
              <w:pStyle w:val="Geenafstand"/>
              <w:rPr>
                <w:b/>
                <w:lang w:val="en-US" w:eastAsia="nl-NL"/>
              </w:rPr>
            </w:pPr>
            <w:r w:rsidRPr="00DA0DCD">
              <w:rPr>
                <w:b/>
                <w:lang w:val="en-US" w:eastAsia="nl-NL"/>
              </w:rPr>
              <w:t>Event (Window)</w:t>
            </w:r>
          </w:p>
        </w:tc>
        <w:tc>
          <w:tcPr>
            <w:tcW w:w="1258" w:type="dxa"/>
            <w:shd w:val="clear" w:color="auto" w:fill="auto"/>
          </w:tcPr>
          <w:p w:rsidR="00592154" w:rsidRPr="00DA0DCD" w:rsidRDefault="00592154" w:rsidP="00592154">
            <w:pPr>
              <w:pStyle w:val="Geenafstand"/>
              <w:rPr>
                <w:b/>
                <w:lang w:val="en-US" w:eastAsia="nl-NL"/>
              </w:rPr>
            </w:pPr>
            <w:r w:rsidRPr="00DA0DCD">
              <w:rPr>
                <w:b/>
                <w:lang w:val="en-US" w:eastAsia="nl-NL"/>
              </w:rPr>
              <w:t>Date</w:t>
            </w:r>
          </w:p>
        </w:tc>
        <w:tc>
          <w:tcPr>
            <w:tcW w:w="7646" w:type="dxa"/>
            <w:shd w:val="clear" w:color="auto" w:fill="auto"/>
          </w:tcPr>
          <w:p w:rsidR="00592154" w:rsidRPr="00DA0DCD" w:rsidRDefault="00592154" w:rsidP="00592154">
            <w:pPr>
              <w:pStyle w:val="Geenafstand"/>
              <w:rPr>
                <w:b/>
                <w:lang w:val="en-US" w:eastAsia="nl-NL"/>
              </w:rPr>
            </w:pPr>
            <w:r w:rsidRPr="00DA0DCD">
              <w:rPr>
                <w:b/>
                <w:lang w:val="en-US" w:eastAsia="nl-NL"/>
              </w:rPr>
              <w:t>Description</w:t>
            </w:r>
          </w:p>
        </w:tc>
        <w:tc>
          <w:tcPr>
            <w:tcW w:w="2077" w:type="dxa"/>
            <w:shd w:val="clear" w:color="auto" w:fill="auto"/>
          </w:tcPr>
          <w:p w:rsidR="00592154" w:rsidRPr="00DA0DCD" w:rsidRDefault="00592154" w:rsidP="00592154">
            <w:pPr>
              <w:pStyle w:val="Geenafstand"/>
              <w:rPr>
                <w:b/>
                <w:lang w:val="en-US" w:eastAsia="nl-NL"/>
              </w:rPr>
            </w:pPr>
            <w:r w:rsidRPr="00DA0DCD">
              <w:rPr>
                <w:b/>
                <w:lang w:val="en-US" w:eastAsia="nl-NL"/>
              </w:rPr>
              <w:t>Source</w:t>
            </w:r>
          </w:p>
        </w:tc>
        <w:tc>
          <w:tcPr>
            <w:tcW w:w="1898" w:type="dxa"/>
            <w:shd w:val="clear" w:color="auto" w:fill="auto"/>
          </w:tcPr>
          <w:p w:rsidR="00592154" w:rsidRPr="00DA0DCD" w:rsidRDefault="00592154" w:rsidP="00592154">
            <w:pPr>
              <w:pStyle w:val="Geenafstand"/>
              <w:rPr>
                <w:b/>
                <w:lang w:val="en-US" w:eastAsia="nl-NL"/>
              </w:rPr>
            </w:pPr>
            <w:r w:rsidRPr="00DA0DCD">
              <w:rPr>
                <w:b/>
                <w:lang w:val="en-US" w:eastAsia="nl-NL"/>
              </w:rPr>
              <w:t>Δ probability of relaxation of FVA</w:t>
            </w:r>
          </w:p>
        </w:tc>
      </w:tr>
      <w:tr w:rsidR="00592154" w:rsidRPr="00DA0DCD" w:rsidTr="000C3C74">
        <w:trPr>
          <w:trHeight w:val="1020"/>
        </w:trPr>
        <w:tc>
          <w:tcPr>
            <w:tcW w:w="1041" w:type="dxa"/>
            <w:shd w:val="clear" w:color="auto" w:fill="auto"/>
          </w:tcPr>
          <w:p w:rsidR="00592154" w:rsidRPr="00DA0DCD" w:rsidRDefault="00592154" w:rsidP="00592154">
            <w:pPr>
              <w:pStyle w:val="Geenafstand"/>
              <w:rPr>
                <w:lang w:val="en-US" w:eastAsia="nl-NL"/>
              </w:rPr>
            </w:pPr>
            <w:r w:rsidRPr="00DA0DCD">
              <w:rPr>
                <w:lang w:val="en-US" w:eastAsia="nl-NL"/>
              </w:rPr>
              <w:t>1 (W1)</w:t>
            </w:r>
          </w:p>
        </w:tc>
        <w:tc>
          <w:tcPr>
            <w:tcW w:w="1258" w:type="dxa"/>
            <w:shd w:val="clear" w:color="auto" w:fill="auto"/>
          </w:tcPr>
          <w:p w:rsidR="00592154" w:rsidRPr="00DA0DCD" w:rsidRDefault="00592154" w:rsidP="00592154">
            <w:pPr>
              <w:pStyle w:val="Geenafstand"/>
              <w:rPr>
                <w:lang w:val="en-US" w:eastAsia="nl-NL"/>
              </w:rPr>
            </w:pPr>
            <w:r w:rsidRPr="00DA0DCD">
              <w:rPr>
                <w:lang w:val="en-US" w:eastAsia="nl-NL"/>
              </w:rPr>
              <w:t>7-4-2008</w:t>
            </w:r>
          </w:p>
        </w:tc>
        <w:tc>
          <w:tcPr>
            <w:tcW w:w="7646" w:type="dxa"/>
            <w:shd w:val="clear" w:color="auto" w:fill="auto"/>
          </w:tcPr>
          <w:p w:rsidR="00592154" w:rsidRPr="00DA0DCD" w:rsidRDefault="00592154" w:rsidP="00592154">
            <w:pPr>
              <w:pStyle w:val="Geenafstand"/>
              <w:rPr>
                <w:lang w:val="en-US" w:eastAsia="nl-NL"/>
              </w:rPr>
            </w:pPr>
            <w:r w:rsidRPr="00DA0DCD">
              <w:rPr>
                <w:lang w:val="en-US" w:eastAsia="nl-NL"/>
              </w:rPr>
              <w:t>Report of the Financial Stability Forum on Enhancing Market and Institutional Resilience. The FSF asks for clarity about FVA in illiquid markets and more general they suggests to develop a better understandable standard for FV measurement by financial instruments.</w:t>
            </w:r>
          </w:p>
        </w:tc>
        <w:tc>
          <w:tcPr>
            <w:tcW w:w="2077" w:type="dxa"/>
            <w:shd w:val="clear" w:color="auto" w:fill="auto"/>
          </w:tcPr>
          <w:p w:rsidR="00592154" w:rsidRPr="00DA0DCD" w:rsidRDefault="00592154" w:rsidP="00592154">
            <w:pPr>
              <w:pStyle w:val="Geenafstand"/>
              <w:rPr>
                <w:lang w:val="en-US" w:eastAsia="nl-NL"/>
              </w:rPr>
            </w:pPr>
            <w:r w:rsidRPr="00DA0DCD">
              <w:rPr>
                <w:lang w:val="en-US" w:eastAsia="nl-NL"/>
              </w:rPr>
              <w:t>FSF new release</w:t>
            </w:r>
          </w:p>
        </w:tc>
        <w:tc>
          <w:tcPr>
            <w:tcW w:w="1898" w:type="dxa"/>
            <w:shd w:val="clear" w:color="auto" w:fill="auto"/>
          </w:tcPr>
          <w:p w:rsidR="00592154" w:rsidRPr="00DA0DCD" w:rsidRDefault="00592154" w:rsidP="00592154">
            <w:pPr>
              <w:pStyle w:val="Geenafstand"/>
              <w:rPr>
                <w:lang w:val="en-US" w:eastAsia="nl-NL"/>
              </w:rPr>
            </w:pPr>
            <w:r w:rsidRPr="00DA0DCD">
              <w:rPr>
                <w:lang w:val="en-US" w:eastAsia="nl-NL"/>
              </w:rPr>
              <w:t>Increase</w:t>
            </w:r>
          </w:p>
        </w:tc>
      </w:tr>
      <w:tr w:rsidR="00592154" w:rsidRPr="00DA0DCD" w:rsidTr="000C3C74">
        <w:trPr>
          <w:trHeight w:val="525"/>
        </w:trPr>
        <w:tc>
          <w:tcPr>
            <w:tcW w:w="1041" w:type="dxa"/>
            <w:shd w:val="clear" w:color="auto" w:fill="auto"/>
          </w:tcPr>
          <w:p w:rsidR="00592154" w:rsidRPr="00DA0DCD" w:rsidRDefault="00592154" w:rsidP="00592154">
            <w:pPr>
              <w:pStyle w:val="Geenafstand"/>
              <w:rPr>
                <w:lang w:val="en-US" w:eastAsia="nl-NL"/>
              </w:rPr>
            </w:pPr>
            <w:r w:rsidRPr="00DA0DCD">
              <w:rPr>
                <w:lang w:val="en-US" w:eastAsia="nl-NL"/>
              </w:rPr>
              <w:t>2 (W2)</w:t>
            </w:r>
          </w:p>
        </w:tc>
        <w:tc>
          <w:tcPr>
            <w:tcW w:w="1258" w:type="dxa"/>
            <w:shd w:val="clear" w:color="auto" w:fill="auto"/>
          </w:tcPr>
          <w:p w:rsidR="00592154" w:rsidRPr="00DA0DCD" w:rsidRDefault="00592154" w:rsidP="00592154">
            <w:pPr>
              <w:pStyle w:val="Geenafstand"/>
              <w:rPr>
                <w:lang w:val="en-US" w:eastAsia="nl-NL"/>
              </w:rPr>
            </w:pPr>
            <w:r w:rsidRPr="00DA0DCD">
              <w:rPr>
                <w:lang w:val="en-US" w:eastAsia="nl-NL"/>
              </w:rPr>
              <w:t>20-5-2008</w:t>
            </w:r>
          </w:p>
        </w:tc>
        <w:tc>
          <w:tcPr>
            <w:tcW w:w="7646" w:type="dxa"/>
            <w:shd w:val="clear" w:color="auto" w:fill="auto"/>
          </w:tcPr>
          <w:p w:rsidR="00592154" w:rsidRPr="00DA0DCD" w:rsidRDefault="00592154" w:rsidP="00592154">
            <w:pPr>
              <w:pStyle w:val="Geenafstand"/>
              <w:rPr>
                <w:lang w:val="en-US" w:eastAsia="nl-NL"/>
              </w:rPr>
            </w:pPr>
            <w:r w:rsidRPr="00DA0DCD">
              <w:rPr>
                <w:lang w:val="en-US" w:eastAsia="nl-NL"/>
              </w:rPr>
              <w:t>At its May 2008 meeting, the IASB announced its plans for forming an expert advisory panel in response to the recommendations made by the Financial Stability Forum.</w:t>
            </w:r>
          </w:p>
        </w:tc>
        <w:tc>
          <w:tcPr>
            <w:tcW w:w="2077" w:type="dxa"/>
            <w:shd w:val="clear" w:color="auto" w:fill="auto"/>
          </w:tcPr>
          <w:p w:rsidR="00592154" w:rsidRPr="00DA0DCD" w:rsidRDefault="00592154" w:rsidP="00592154">
            <w:pPr>
              <w:pStyle w:val="Geenafstand"/>
              <w:rPr>
                <w:lang w:val="en-US" w:eastAsia="nl-NL"/>
              </w:rPr>
            </w:pPr>
            <w:r w:rsidRPr="00DA0DCD">
              <w:rPr>
                <w:lang w:val="en-US" w:eastAsia="nl-NL"/>
              </w:rPr>
              <w:t>IASB press release</w:t>
            </w:r>
          </w:p>
        </w:tc>
        <w:tc>
          <w:tcPr>
            <w:tcW w:w="1898" w:type="dxa"/>
            <w:shd w:val="clear" w:color="auto" w:fill="auto"/>
          </w:tcPr>
          <w:p w:rsidR="00592154" w:rsidRPr="00DA0DCD" w:rsidRDefault="00592154" w:rsidP="00592154">
            <w:pPr>
              <w:pStyle w:val="Geenafstand"/>
              <w:rPr>
                <w:lang w:val="en-US" w:eastAsia="nl-NL"/>
              </w:rPr>
            </w:pPr>
            <w:r w:rsidRPr="00DA0DCD">
              <w:rPr>
                <w:lang w:val="en-US" w:eastAsia="nl-NL"/>
              </w:rPr>
              <w:t>Increase</w:t>
            </w:r>
          </w:p>
        </w:tc>
      </w:tr>
      <w:tr w:rsidR="00592154" w:rsidRPr="00DA0DCD" w:rsidTr="000C3C74">
        <w:trPr>
          <w:trHeight w:val="510"/>
        </w:trPr>
        <w:tc>
          <w:tcPr>
            <w:tcW w:w="1041" w:type="dxa"/>
            <w:shd w:val="clear" w:color="auto" w:fill="auto"/>
          </w:tcPr>
          <w:p w:rsidR="00592154" w:rsidRPr="00DA0DCD" w:rsidRDefault="00592154" w:rsidP="00592154">
            <w:pPr>
              <w:pStyle w:val="Geenafstand"/>
              <w:rPr>
                <w:lang w:val="en-US" w:eastAsia="nl-NL"/>
              </w:rPr>
            </w:pPr>
            <w:r w:rsidRPr="00DA0DCD">
              <w:rPr>
                <w:lang w:val="en-US" w:eastAsia="nl-NL"/>
              </w:rPr>
              <w:t>3 (W3)</w:t>
            </w:r>
          </w:p>
        </w:tc>
        <w:tc>
          <w:tcPr>
            <w:tcW w:w="1258" w:type="dxa"/>
            <w:shd w:val="clear" w:color="auto" w:fill="auto"/>
          </w:tcPr>
          <w:p w:rsidR="00592154" w:rsidRPr="00DA0DCD" w:rsidRDefault="00592154" w:rsidP="00592154">
            <w:pPr>
              <w:pStyle w:val="Geenafstand"/>
              <w:rPr>
                <w:lang w:val="en-US" w:eastAsia="nl-NL"/>
              </w:rPr>
            </w:pPr>
            <w:r w:rsidRPr="00DA0DCD">
              <w:rPr>
                <w:lang w:val="en-US" w:eastAsia="nl-NL"/>
              </w:rPr>
              <w:t>16-9-2008</w:t>
            </w:r>
          </w:p>
        </w:tc>
        <w:tc>
          <w:tcPr>
            <w:tcW w:w="7646" w:type="dxa"/>
            <w:shd w:val="clear" w:color="auto" w:fill="auto"/>
          </w:tcPr>
          <w:p w:rsidR="00592154" w:rsidRPr="00DA0DCD" w:rsidRDefault="00592154" w:rsidP="00592154">
            <w:pPr>
              <w:pStyle w:val="Geenafstand"/>
              <w:rPr>
                <w:lang w:val="en-US" w:eastAsia="nl-NL"/>
              </w:rPr>
            </w:pPr>
            <w:r w:rsidRPr="00DA0DCD">
              <w:rPr>
                <w:lang w:val="en-US" w:eastAsia="nl-NL"/>
              </w:rPr>
              <w:t>Exposure Draft: IASB Expert Advisory Panel: Measuring and disclosing the fair value of financial instruments in markets that are no longer active</w:t>
            </w:r>
          </w:p>
        </w:tc>
        <w:tc>
          <w:tcPr>
            <w:tcW w:w="2077" w:type="dxa"/>
            <w:shd w:val="clear" w:color="auto" w:fill="auto"/>
          </w:tcPr>
          <w:p w:rsidR="00592154" w:rsidRPr="00DA0DCD" w:rsidRDefault="00592154" w:rsidP="00592154">
            <w:pPr>
              <w:pStyle w:val="Geenafstand"/>
              <w:rPr>
                <w:lang w:val="en-US" w:eastAsia="nl-NL"/>
              </w:rPr>
            </w:pPr>
            <w:r w:rsidRPr="00DA0DCD">
              <w:rPr>
                <w:lang w:val="en-US" w:eastAsia="nl-NL"/>
              </w:rPr>
              <w:t>IASB new release</w:t>
            </w:r>
          </w:p>
        </w:tc>
        <w:tc>
          <w:tcPr>
            <w:tcW w:w="1898" w:type="dxa"/>
            <w:shd w:val="clear" w:color="auto" w:fill="auto"/>
          </w:tcPr>
          <w:p w:rsidR="00592154" w:rsidRPr="00DA0DCD" w:rsidRDefault="00592154" w:rsidP="00592154">
            <w:pPr>
              <w:pStyle w:val="Geenafstand"/>
              <w:rPr>
                <w:lang w:val="en-US" w:eastAsia="nl-NL"/>
              </w:rPr>
            </w:pPr>
            <w:r w:rsidRPr="00DA0DCD">
              <w:rPr>
                <w:lang w:val="en-US" w:eastAsia="nl-NL"/>
              </w:rPr>
              <w:t>Increase</w:t>
            </w:r>
          </w:p>
        </w:tc>
      </w:tr>
      <w:tr w:rsidR="00592154" w:rsidRPr="00DA0DCD" w:rsidTr="000C3C74">
        <w:trPr>
          <w:trHeight w:val="765"/>
        </w:trPr>
        <w:tc>
          <w:tcPr>
            <w:tcW w:w="1041" w:type="dxa"/>
            <w:shd w:val="clear" w:color="auto" w:fill="auto"/>
          </w:tcPr>
          <w:p w:rsidR="00592154" w:rsidRPr="00DA0DCD" w:rsidRDefault="00592154" w:rsidP="00592154">
            <w:pPr>
              <w:pStyle w:val="Geenafstand"/>
              <w:rPr>
                <w:lang w:val="en-US" w:eastAsia="nl-NL"/>
              </w:rPr>
            </w:pPr>
            <w:r w:rsidRPr="00DA0DCD">
              <w:rPr>
                <w:lang w:val="en-US" w:eastAsia="nl-NL"/>
              </w:rPr>
              <w:t>4 (W4)</w:t>
            </w:r>
          </w:p>
        </w:tc>
        <w:tc>
          <w:tcPr>
            <w:tcW w:w="1258" w:type="dxa"/>
            <w:shd w:val="clear" w:color="auto" w:fill="auto"/>
          </w:tcPr>
          <w:p w:rsidR="00592154" w:rsidRPr="00DA0DCD" w:rsidRDefault="00592154" w:rsidP="00592154">
            <w:pPr>
              <w:pStyle w:val="Geenafstand"/>
              <w:rPr>
                <w:lang w:val="en-US" w:eastAsia="nl-NL"/>
              </w:rPr>
            </w:pPr>
            <w:r w:rsidRPr="00DA0DCD">
              <w:rPr>
                <w:lang w:val="en-US" w:eastAsia="nl-NL"/>
              </w:rPr>
              <w:t>30-9-2008</w:t>
            </w:r>
          </w:p>
        </w:tc>
        <w:tc>
          <w:tcPr>
            <w:tcW w:w="7646" w:type="dxa"/>
            <w:shd w:val="clear" w:color="auto" w:fill="auto"/>
          </w:tcPr>
          <w:p w:rsidR="00592154" w:rsidRPr="00DA0DCD" w:rsidRDefault="00592154" w:rsidP="00592154">
            <w:pPr>
              <w:pStyle w:val="Geenafstand"/>
              <w:rPr>
                <w:lang w:val="en-US" w:eastAsia="nl-NL"/>
              </w:rPr>
            </w:pPr>
            <w:bookmarkStart w:id="97" w:name="OLE_LINK1"/>
            <w:bookmarkStart w:id="98" w:name="OLE_LINK2"/>
            <w:r w:rsidRPr="00DA0DCD">
              <w:rPr>
                <w:lang w:val="en-US" w:eastAsia="nl-NL"/>
              </w:rPr>
              <w:t>French President Sarkozy has summoned finance executives to discuss ways to reform accounting rules on valuation, which Sarkozy claims has aggravated the credit crisis</w:t>
            </w:r>
            <w:bookmarkEnd w:id="97"/>
            <w:bookmarkEnd w:id="98"/>
          </w:p>
        </w:tc>
        <w:tc>
          <w:tcPr>
            <w:tcW w:w="2077" w:type="dxa"/>
            <w:shd w:val="clear" w:color="auto" w:fill="auto"/>
          </w:tcPr>
          <w:p w:rsidR="00592154" w:rsidRPr="00DA0DCD" w:rsidRDefault="00592154" w:rsidP="00592154">
            <w:pPr>
              <w:pStyle w:val="Geenafstand"/>
              <w:rPr>
                <w:lang w:val="en-US" w:eastAsia="nl-NL"/>
              </w:rPr>
            </w:pPr>
            <w:r w:rsidRPr="00DA0DCD">
              <w:rPr>
                <w:lang w:val="en-US" w:eastAsia="nl-NL"/>
              </w:rPr>
              <w:t>Various News sources</w:t>
            </w:r>
          </w:p>
        </w:tc>
        <w:tc>
          <w:tcPr>
            <w:tcW w:w="1898" w:type="dxa"/>
            <w:shd w:val="clear" w:color="auto" w:fill="auto"/>
          </w:tcPr>
          <w:p w:rsidR="00592154" w:rsidRPr="00DA0DCD" w:rsidRDefault="00592154" w:rsidP="00592154">
            <w:pPr>
              <w:pStyle w:val="Geenafstand"/>
              <w:rPr>
                <w:lang w:val="en-US" w:eastAsia="nl-NL"/>
              </w:rPr>
            </w:pPr>
            <w:r w:rsidRPr="00DA0DCD">
              <w:rPr>
                <w:lang w:val="en-US" w:eastAsia="nl-NL"/>
              </w:rPr>
              <w:t>Increase</w:t>
            </w:r>
          </w:p>
        </w:tc>
      </w:tr>
      <w:tr w:rsidR="00592154" w:rsidRPr="00DA0DCD" w:rsidTr="000C3C74">
        <w:trPr>
          <w:trHeight w:val="765"/>
        </w:trPr>
        <w:tc>
          <w:tcPr>
            <w:tcW w:w="1041" w:type="dxa"/>
            <w:shd w:val="clear" w:color="auto" w:fill="auto"/>
          </w:tcPr>
          <w:p w:rsidR="00592154" w:rsidRPr="00DA0DCD" w:rsidRDefault="00592154" w:rsidP="00592154">
            <w:pPr>
              <w:pStyle w:val="Geenafstand"/>
              <w:rPr>
                <w:lang w:val="en-US" w:eastAsia="nl-NL"/>
              </w:rPr>
            </w:pPr>
            <w:r w:rsidRPr="00DA0DCD">
              <w:rPr>
                <w:lang w:val="en-US" w:eastAsia="nl-NL"/>
              </w:rPr>
              <w:t>5 (W5)</w:t>
            </w:r>
          </w:p>
        </w:tc>
        <w:tc>
          <w:tcPr>
            <w:tcW w:w="1258" w:type="dxa"/>
            <w:shd w:val="clear" w:color="auto" w:fill="auto"/>
          </w:tcPr>
          <w:p w:rsidR="00592154" w:rsidRPr="00DA0DCD" w:rsidRDefault="00592154" w:rsidP="00592154">
            <w:pPr>
              <w:pStyle w:val="Geenafstand"/>
              <w:rPr>
                <w:lang w:val="en-US" w:eastAsia="nl-NL"/>
              </w:rPr>
            </w:pPr>
            <w:r w:rsidRPr="00DA0DCD">
              <w:rPr>
                <w:lang w:val="en-US" w:eastAsia="nl-NL"/>
              </w:rPr>
              <w:t>13-10-2008</w:t>
            </w:r>
          </w:p>
        </w:tc>
        <w:tc>
          <w:tcPr>
            <w:tcW w:w="7646" w:type="dxa"/>
            <w:shd w:val="clear" w:color="auto" w:fill="auto"/>
          </w:tcPr>
          <w:p w:rsidR="00592154" w:rsidRPr="00DA0DCD" w:rsidRDefault="00592154" w:rsidP="00592154">
            <w:pPr>
              <w:pStyle w:val="Geenafstand"/>
              <w:rPr>
                <w:lang w:val="en-US" w:eastAsia="nl-NL"/>
              </w:rPr>
            </w:pPr>
            <w:r w:rsidRPr="00DA0DCD">
              <w:rPr>
                <w:lang w:val="en-US" w:eastAsia="nl-NL"/>
              </w:rPr>
              <w:t xml:space="preserve">IASB issued amendments to IAS 39 and IFRS 7 that permitted the reclassification of some financial instruments that would allow banks to avoid using FV in reporting financial instruments. </w:t>
            </w:r>
          </w:p>
        </w:tc>
        <w:tc>
          <w:tcPr>
            <w:tcW w:w="2077" w:type="dxa"/>
            <w:shd w:val="clear" w:color="auto" w:fill="auto"/>
          </w:tcPr>
          <w:p w:rsidR="00592154" w:rsidRPr="00DA0DCD" w:rsidRDefault="00592154" w:rsidP="00592154">
            <w:pPr>
              <w:pStyle w:val="Geenafstand"/>
              <w:rPr>
                <w:lang w:val="en-US" w:eastAsia="nl-NL"/>
              </w:rPr>
            </w:pPr>
            <w:r w:rsidRPr="00DA0DCD">
              <w:rPr>
                <w:lang w:val="en-US" w:eastAsia="nl-NL"/>
              </w:rPr>
              <w:t>IASB new release</w:t>
            </w:r>
          </w:p>
        </w:tc>
        <w:tc>
          <w:tcPr>
            <w:tcW w:w="1898" w:type="dxa"/>
            <w:shd w:val="clear" w:color="auto" w:fill="auto"/>
          </w:tcPr>
          <w:p w:rsidR="00592154" w:rsidRPr="00DA0DCD" w:rsidRDefault="00592154" w:rsidP="00592154">
            <w:pPr>
              <w:pStyle w:val="Geenafstand"/>
              <w:rPr>
                <w:lang w:val="en-US" w:eastAsia="nl-NL"/>
              </w:rPr>
            </w:pPr>
            <w:r w:rsidRPr="00DA0DCD">
              <w:rPr>
                <w:lang w:val="en-US" w:eastAsia="nl-NL"/>
              </w:rPr>
              <w:t>Increase</w:t>
            </w:r>
          </w:p>
        </w:tc>
      </w:tr>
      <w:tr w:rsidR="00592154" w:rsidRPr="00DA0DCD" w:rsidTr="000C3C74">
        <w:trPr>
          <w:trHeight w:val="510"/>
        </w:trPr>
        <w:tc>
          <w:tcPr>
            <w:tcW w:w="1041" w:type="dxa"/>
            <w:shd w:val="clear" w:color="auto" w:fill="auto"/>
          </w:tcPr>
          <w:p w:rsidR="00592154" w:rsidRPr="00DA0DCD" w:rsidRDefault="00592154" w:rsidP="00592154">
            <w:pPr>
              <w:pStyle w:val="Geenafstand"/>
              <w:rPr>
                <w:lang w:val="en-US" w:eastAsia="nl-NL"/>
              </w:rPr>
            </w:pPr>
            <w:r w:rsidRPr="00DA0DCD">
              <w:rPr>
                <w:lang w:val="en-US" w:eastAsia="nl-NL"/>
              </w:rPr>
              <w:t>6 (W5)</w:t>
            </w:r>
          </w:p>
        </w:tc>
        <w:tc>
          <w:tcPr>
            <w:tcW w:w="1258" w:type="dxa"/>
            <w:shd w:val="clear" w:color="auto" w:fill="auto"/>
          </w:tcPr>
          <w:p w:rsidR="00592154" w:rsidRPr="00DA0DCD" w:rsidRDefault="00592154" w:rsidP="00592154">
            <w:pPr>
              <w:pStyle w:val="Geenafstand"/>
              <w:rPr>
                <w:lang w:val="en-US" w:eastAsia="nl-NL"/>
              </w:rPr>
            </w:pPr>
            <w:r w:rsidRPr="00DA0DCD">
              <w:rPr>
                <w:lang w:val="en-US" w:eastAsia="nl-NL"/>
              </w:rPr>
              <w:t>14-10-2008</w:t>
            </w:r>
          </w:p>
        </w:tc>
        <w:tc>
          <w:tcPr>
            <w:tcW w:w="7646" w:type="dxa"/>
            <w:shd w:val="clear" w:color="auto" w:fill="auto"/>
          </w:tcPr>
          <w:p w:rsidR="00592154" w:rsidRPr="00DA0DCD" w:rsidRDefault="00592154" w:rsidP="00592154">
            <w:pPr>
              <w:pStyle w:val="Geenafstand"/>
              <w:rPr>
                <w:lang w:val="en-US" w:eastAsia="nl-NL"/>
              </w:rPr>
            </w:pPr>
            <w:r w:rsidRPr="00DA0DCD">
              <w:rPr>
                <w:lang w:val="en-US" w:eastAsia="nl-NL"/>
              </w:rPr>
              <w:t>The IASB provided an update on its work to consider the application of fair value when markets become inactive.</w:t>
            </w:r>
          </w:p>
        </w:tc>
        <w:tc>
          <w:tcPr>
            <w:tcW w:w="2077" w:type="dxa"/>
            <w:shd w:val="clear" w:color="auto" w:fill="auto"/>
          </w:tcPr>
          <w:p w:rsidR="00592154" w:rsidRPr="00DA0DCD" w:rsidRDefault="00592154" w:rsidP="00592154">
            <w:pPr>
              <w:pStyle w:val="Geenafstand"/>
              <w:rPr>
                <w:lang w:val="en-US" w:eastAsia="nl-NL"/>
              </w:rPr>
            </w:pPr>
            <w:r w:rsidRPr="00DA0DCD">
              <w:rPr>
                <w:lang w:val="en-US" w:eastAsia="nl-NL"/>
              </w:rPr>
              <w:t>IASB new release</w:t>
            </w:r>
          </w:p>
        </w:tc>
        <w:tc>
          <w:tcPr>
            <w:tcW w:w="1898" w:type="dxa"/>
            <w:shd w:val="clear" w:color="auto" w:fill="auto"/>
          </w:tcPr>
          <w:p w:rsidR="00592154" w:rsidRPr="00DA0DCD" w:rsidRDefault="00592154" w:rsidP="00592154">
            <w:pPr>
              <w:pStyle w:val="Geenafstand"/>
              <w:rPr>
                <w:lang w:val="en-US" w:eastAsia="nl-NL"/>
              </w:rPr>
            </w:pPr>
            <w:r w:rsidRPr="00DA0DCD">
              <w:rPr>
                <w:lang w:val="en-US" w:eastAsia="nl-NL"/>
              </w:rPr>
              <w:t>Increase</w:t>
            </w:r>
          </w:p>
        </w:tc>
      </w:tr>
      <w:tr w:rsidR="00592154" w:rsidRPr="00DA0DCD" w:rsidTr="000C3C74">
        <w:trPr>
          <w:trHeight w:val="510"/>
        </w:trPr>
        <w:tc>
          <w:tcPr>
            <w:tcW w:w="1041" w:type="dxa"/>
            <w:shd w:val="clear" w:color="auto" w:fill="auto"/>
          </w:tcPr>
          <w:p w:rsidR="00592154" w:rsidRPr="00DA0DCD" w:rsidRDefault="00592154" w:rsidP="00592154">
            <w:pPr>
              <w:pStyle w:val="Geenafstand"/>
              <w:rPr>
                <w:lang w:val="en-US" w:eastAsia="nl-NL"/>
              </w:rPr>
            </w:pPr>
            <w:r w:rsidRPr="00DA0DCD">
              <w:rPr>
                <w:lang w:val="en-US" w:eastAsia="nl-NL"/>
              </w:rPr>
              <w:t>7 (W5)</w:t>
            </w:r>
          </w:p>
        </w:tc>
        <w:tc>
          <w:tcPr>
            <w:tcW w:w="1258" w:type="dxa"/>
            <w:shd w:val="clear" w:color="auto" w:fill="auto"/>
          </w:tcPr>
          <w:p w:rsidR="00592154" w:rsidRPr="00DA0DCD" w:rsidRDefault="00592154" w:rsidP="00592154">
            <w:pPr>
              <w:pStyle w:val="Geenafstand"/>
              <w:rPr>
                <w:lang w:val="en-US" w:eastAsia="nl-NL"/>
              </w:rPr>
            </w:pPr>
            <w:r w:rsidRPr="00DA0DCD">
              <w:rPr>
                <w:lang w:val="en-US" w:eastAsia="nl-NL"/>
              </w:rPr>
              <w:t>15-10-2008</w:t>
            </w:r>
          </w:p>
        </w:tc>
        <w:tc>
          <w:tcPr>
            <w:tcW w:w="7646" w:type="dxa"/>
            <w:shd w:val="clear" w:color="auto" w:fill="auto"/>
          </w:tcPr>
          <w:p w:rsidR="00592154" w:rsidRPr="00DA0DCD" w:rsidRDefault="00592154" w:rsidP="00592154">
            <w:pPr>
              <w:pStyle w:val="Geenafstand"/>
              <w:rPr>
                <w:lang w:val="en-US" w:eastAsia="nl-NL"/>
              </w:rPr>
            </w:pPr>
            <w:r w:rsidRPr="00DA0DCD">
              <w:rPr>
                <w:lang w:val="en-US" w:eastAsia="nl-NL"/>
              </w:rPr>
              <w:t>EU regulator’s committee votes unanimously to accept IASB’s emergency changes made to mark-to-market rules.</w:t>
            </w:r>
          </w:p>
        </w:tc>
        <w:tc>
          <w:tcPr>
            <w:tcW w:w="2077" w:type="dxa"/>
            <w:shd w:val="clear" w:color="auto" w:fill="auto"/>
          </w:tcPr>
          <w:p w:rsidR="00592154" w:rsidRPr="00DA0DCD" w:rsidRDefault="00592154" w:rsidP="00592154">
            <w:pPr>
              <w:pStyle w:val="Geenafstand"/>
              <w:rPr>
                <w:lang w:val="en-US" w:eastAsia="nl-NL"/>
              </w:rPr>
            </w:pPr>
            <w:r w:rsidRPr="00DA0DCD">
              <w:rPr>
                <w:lang w:val="en-US" w:eastAsia="nl-NL"/>
              </w:rPr>
              <w:t>Financial Times</w:t>
            </w:r>
          </w:p>
        </w:tc>
        <w:tc>
          <w:tcPr>
            <w:tcW w:w="1898" w:type="dxa"/>
            <w:shd w:val="clear" w:color="auto" w:fill="auto"/>
          </w:tcPr>
          <w:p w:rsidR="00592154" w:rsidRPr="00DA0DCD" w:rsidRDefault="00592154" w:rsidP="00592154">
            <w:pPr>
              <w:pStyle w:val="Geenafstand"/>
              <w:rPr>
                <w:lang w:val="en-US" w:eastAsia="nl-NL"/>
              </w:rPr>
            </w:pPr>
            <w:r w:rsidRPr="00DA0DCD">
              <w:rPr>
                <w:lang w:val="en-US" w:eastAsia="nl-NL"/>
              </w:rPr>
              <w:t>Increase</w:t>
            </w:r>
          </w:p>
        </w:tc>
      </w:tr>
    </w:tbl>
    <w:p w:rsidR="00592154" w:rsidRPr="00DA0DCD" w:rsidRDefault="00592154" w:rsidP="00592154">
      <w:pPr>
        <w:rPr>
          <w:lang w:val="en-US"/>
        </w:rPr>
      </w:pPr>
    </w:p>
    <w:p w:rsidR="00592154" w:rsidRPr="00DA0DCD" w:rsidRDefault="00592154" w:rsidP="00592154">
      <w:pPr>
        <w:rPr>
          <w:lang w:val="en-US"/>
        </w:rPr>
      </w:pPr>
      <w:r w:rsidRPr="00DA0DCD">
        <w:rPr>
          <w:lang w:val="en-US"/>
        </w:rPr>
        <w:br w:type="page"/>
      </w:r>
    </w:p>
    <w:p w:rsidR="00592154" w:rsidRPr="00DA0DCD" w:rsidRDefault="00592154" w:rsidP="00592154">
      <w:pPr>
        <w:spacing w:after="0"/>
        <w:rPr>
          <w:b/>
          <w:lang w:val="en-US"/>
        </w:rPr>
      </w:pPr>
      <w:r w:rsidRPr="00DA0DCD">
        <w:rPr>
          <w:b/>
          <w:lang w:val="en-US"/>
        </w:rPr>
        <w:lastRenderedPageBreak/>
        <w:t>Overview sample (per country and per type of financial institution)</w:t>
      </w:r>
    </w:p>
    <w:tbl>
      <w:tblPr>
        <w:tblW w:w="13320" w:type="dxa"/>
        <w:tblInd w:w="55" w:type="dxa"/>
        <w:tblCellMar>
          <w:left w:w="70" w:type="dxa"/>
          <w:right w:w="70" w:type="dxa"/>
        </w:tblCellMar>
        <w:tblLook w:val="04A0"/>
      </w:tblPr>
      <w:tblGrid>
        <w:gridCol w:w="720"/>
        <w:gridCol w:w="1220"/>
        <w:gridCol w:w="2400"/>
        <w:gridCol w:w="760"/>
        <w:gridCol w:w="1220"/>
        <w:gridCol w:w="2440"/>
        <w:gridCol w:w="720"/>
        <w:gridCol w:w="1160"/>
        <w:gridCol w:w="2680"/>
      </w:tblGrid>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Country</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Type</w:t>
            </w:r>
          </w:p>
        </w:tc>
        <w:tc>
          <w:tcPr>
            <w:tcW w:w="240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Financial institution</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Country</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Type</w:t>
            </w: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Financial institution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Country</w:t>
            </w: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Type</w:t>
            </w: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Financial institution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Belgium</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BANQUE NALE.DE BELGIQUE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Denmark</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ALM BRAND</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Germany</w:t>
            </w: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GBK BETEILIGUNGEN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DEXIA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TOPDANMARK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HAMBORNER REIT</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KBC ANCORA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TRYGVESTA</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HSBC TRINKAUS &amp; BURKHD.</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KBC GROUP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CARNEGIE WORLDWIDE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INTERHYP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FORTIS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FORMUEPLEJE EPIKUR</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IVG IMMOBILIEN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ACKERMANS &amp; VAN HAAREN</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FORMUEPLEJE PENTA</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MLP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AEDIFICA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FORMUEPLEJE SAFE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NYMPHENBURG IMMOBILIEN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ASCENCIO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JEUDAN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PATRIZIA IMMOBILIEN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ATENOR GROUP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Germany</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COMMERZBANK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PRINCESS PRIV.EQ.HOLDING</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AUXIMINES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DEUTSCHE BANK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SEDLMAYR GRUND &amp; IM.</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BANIMMO 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DEUTSCHE POSTBANK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TAG IMMOBILIEN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BEFIMMO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IKB DEUTSCHE INDSTRBK.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TRADEGATE</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BREDERODE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LANDESBANK BL.HLDG.</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WUESTENROT &amp; WUERTT.</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CIE.DU BOIS SAUVAGE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OLDENBURGISCHE LB.</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Finland</w:t>
            </w: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POHJOLA PANKKI 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CIE.NALE.A PTF.</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ALLIANZ</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SAMPO 'A'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COFINIMMO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ERGO VERSICHERUNGSGRUPPE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CITYCON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GBL NEW</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GENERALI DTL.HLDG.</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SPONDA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GIMV</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HANNOVER RUCK.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France</w:t>
            </w: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BANQUE TARNEAUD</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HOME INVEST BELGIUM</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MANNHEIMER HOLDING</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BNP PARIBAS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IMMOBEL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MUENCHENER RUCK.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CIC 'A'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INTERVEST OFFICES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NUERNBERGER BETS.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CRCAM BRIE PIC2CCI</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INTERVEST RETAIL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WURTTEMBERGISCHE LEB.</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E91F24" w:rsidRDefault="00592154" w:rsidP="000C3C74">
            <w:pPr>
              <w:spacing w:after="0" w:line="240" w:lineRule="auto"/>
              <w:rPr>
                <w:rFonts w:ascii="Calibri" w:eastAsia="Times New Roman" w:hAnsi="Calibri" w:cs="Times New Roman"/>
                <w:color w:val="333399"/>
                <w:sz w:val="14"/>
                <w:szCs w:val="14"/>
                <w:lang w:eastAsia="nl-NL"/>
              </w:rPr>
            </w:pPr>
            <w:r w:rsidRPr="00E91F24">
              <w:rPr>
                <w:rFonts w:ascii="Calibri" w:eastAsia="Times New Roman" w:hAnsi="Calibri" w:cs="Times New Roman"/>
                <w:color w:val="333399"/>
                <w:sz w:val="14"/>
                <w:szCs w:val="14"/>
                <w:lang w:eastAsia="nl-NL"/>
              </w:rPr>
              <w:t>CRCAM NORD DE FRANCE CCI</w:t>
            </w:r>
          </w:p>
        </w:tc>
      </w:tr>
      <w:tr w:rsidR="00592154" w:rsidRPr="00872F8A" w:rsidTr="000C3C74">
        <w:trPr>
          <w:trHeight w:val="180"/>
        </w:trPr>
        <w:tc>
          <w:tcPr>
            <w:tcW w:w="720" w:type="dxa"/>
            <w:tcBorders>
              <w:top w:val="nil"/>
              <w:left w:val="nil"/>
              <w:bottom w:val="nil"/>
              <w:right w:val="nil"/>
            </w:tcBorders>
            <w:shd w:val="clear" w:color="auto" w:fill="auto"/>
            <w:noWrap/>
            <w:vAlign w:val="bottom"/>
            <w:hideMark/>
          </w:tcPr>
          <w:p w:rsidR="00592154" w:rsidRPr="00E91F24" w:rsidRDefault="00592154" w:rsidP="000C3C74">
            <w:pPr>
              <w:spacing w:after="0" w:line="240" w:lineRule="auto"/>
              <w:rPr>
                <w:rFonts w:ascii="Calibri" w:eastAsia="Times New Roman" w:hAnsi="Calibri" w:cs="Times New Roman"/>
                <w:b/>
                <w:bCs/>
                <w:color w:val="000000"/>
                <w:sz w:val="14"/>
                <w:szCs w:val="14"/>
                <w:lang w:eastAsia="nl-NL"/>
              </w:rPr>
            </w:pPr>
          </w:p>
        </w:tc>
        <w:tc>
          <w:tcPr>
            <w:tcW w:w="1220" w:type="dxa"/>
            <w:tcBorders>
              <w:top w:val="nil"/>
              <w:left w:val="nil"/>
              <w:bottom w:val="nil"/>
              <w:right w:val="nil"/>
            </w:tcBorders>
            <w:shd w:val="clear" w:color="auto" w:fill="auto"/>
            <w:noWrap/>
            <w:vAlign w:val="bottom"/>
            <w:hideMark/>
          </w:tcPr>
          <w:p w:rsidR="00592154" w:rsidRPr="00E91F24" w:rsidRDefault="00592154" w:rsidP="000C3C74">
            <w:pPr>
              <w:spacing w:after="0" w:line="240" w:lineRule="auto"/>
              <w:rPr>
                <w:rFonts w:ascii="Calibri" w:eastAsia="Times New Roman" w:hAnsi="Calibri" w:cs="Times New Roman"/>
                <w:color w:val="000000"/>
                <w:sz w:val="14"/>
                <w:szCs w:val="14"/>
                <w:lang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LEASINVEST REAL ESTATE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AAREAL BANK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CREDIT AGR.ILE DE FRANCE</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MONTEA CVA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ALSTRIA OFFICE REIT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CREDIT AGRICOLE</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RETAIL ESTATES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BAADER BANK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CREDIT FONCIER DE MONACO</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RHJ INTERNATIONAL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BERLIN-HAN.HYPBK.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NATIXIS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SERVICEFLATS CERT.</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COMDIRECT BANK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SOCIETE GENERALE</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SOFINA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CUSTODIA HOLDING</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APRIL GROUP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VGP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DAB BANK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AXA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WAREHOUSES ESTATES 'B'</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DEUTSCHE BETEILIGUNGS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CNP ASSURANCES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WDP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DEUTSCHE BOERSE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EULER HERMES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WERELDHAVE BELGIUM</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DEUTSCHE EUROSHOP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SCOR SE</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WOLUWE SHOPPING</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DEUTSCHE WOHNEN BR.SHS.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ABC ARBITRAGE</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Denmark</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AMAGERBANKEN</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DIC ASSET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ALTAMIR AMBOISE</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DANSKE BANK</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DT.IMMOBILIEN HOLDING</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ALTAREA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FOROYA BANKI</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DVB BANK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ANF</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JYSKE BANK</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EUWAX</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ARTOIS INDFIN.DE L'ARTO.</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RINGKJOBING LANDBOBANK</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GAGFAH</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BOURSORAMA (EX FIMATEX)</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SPAR NORD BANK</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CEGEREAL</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SPAREKASSEN HIMLD.</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CFCAL-BANQUE</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SPAREKASSEN LOLLAND</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COFITEM COFIMUR</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SYDBANK</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DOCKS LYONNAIS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EURAZEO</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EUROSIC</w:t>
            </w:r>
          </w:p>
        </w:tc>
      </w:tr>
    </w:tbl>
    <w:p w:rsidR="00592154" w:rsidRPr="00DA0DCD" w:rsidRDefault="00592154" w:rsidP="00592154">
      <w:pPr>
        <w:rPr>
          <w:lang w:val="en-US"/>
        </w:rPr>
      </w:pPr>
      <w:r w:rsidRPr="00DA0DCD">
        <w:rPr>
          <w:lang w:val="en-US"/>
        </w:rPr>
        <w:br w:type="page"/>
      </w:r>
    </w:p>
    <w:tbl>
      <w:tblPr>
        <w:tblW w:w="13320" w:type="dxa"/>
        <w:tblInd w:w="55" w:type="dxa"/>
        <w:tblCellMar>
          <w:left w:w="70" w:type="dxa"/>
          <w:right w:w="70" w:type="dxa"/>
        </w:tblCellMar>
        <w:tblLook w:val="04A0"/>
      </w:tblPr>
      <w:tblGrid>
        <w:gridCol w:w="720"/>
        <w:gridCol w:w="1220"/>
        <w:gridCol w:w="2400"/>
        <w:gridCol w:w="760"/>
        <w:gridCol w:w="1220"/>
        <w:gridCol w:w="2440"/>
        <w:gridCol w:w="720"/>
        <w:gridCol w:w="1160"/>
        <w:gridCol w:w="2680"/>
      </w:tblGrid>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lastRenderedPageBreak/>
              <w:t>Country</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Type</w:t>
            </w:r>
          </w:p>
        </w:tc>
        <w:tc>
          <w:tcPr>
            <w:tcW w:w="240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Financial institution</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Country</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Type</w:t>
            </w: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Financial institution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Country</w:t>
            </w: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Type</w:t>
            </w: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Financial institution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France</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FDL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Italy</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CREDITO EMILIANO</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NL</w:t>
            </w: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VAN LANSCHOT</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FIMALAC</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CREDITO VALTELLINES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AEGON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FONCIERE 6 ET 7</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INTESA SANPAOLO</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ING GROEP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FONCIERE DES MURS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INTESA SANPAOLO RSP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SNS REAAL</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FONCIERE DES REGIONS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IW BANK</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BEVER HOLDING</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FONCIERE EURIS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MEDIOBANCA</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BINCKBANK</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FONCIERE MASSENA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UBI BANCA</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CONVERSUS CAPITAL</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FONCIERE PARIS FRANCE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UNICREDIT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CORIO</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GECIMED</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CATTOLICA ASSICURAZIONI</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DIM VASTGOED</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GECINA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FONDIARIA-SAI</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EUROCASTLE INV.</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ICADE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FONDIARIA-SAI RSP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EUROCOMMERCIAL</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KLEPIERRE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GENERALI</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GROOTHANDELSGEB.</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MB RETAIL EUROPE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MEDIOLANUM</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HAL TRUST</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MERCIALYS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MILANO ASSICURAZIONI</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KARDAN N V</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NEXITY</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PREMAFIN-HLDG.DI PART.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KAS BANK</w:t>
            </w:r>
          </w:p>
        </w:tc>
      </w:tr>
      <w:tr w:rsidR="00592154" w:rsidRPr="00872F8A"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ODET (FINC DE 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UNIPOL</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KKR &amp; CO GUERNSEY L 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PARIS ORLEANS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UNIPOL PRV</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NIEUWE STEEN INV.</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E91F24" w:rsidRDefault="00592154" w:rsidP="000C3C74">
            <w:pPr>
              <w:spacing w:after="0" w:line="240" w:lineRule="auto"/>
              <w:rPr>
                <w:rFonts w:ascii="Calibri" w:eastAsia="Times New Roman" w:hAnsi="Calibri" w:cs="Times New Roman"/>
                <w:color w:val="000000"/>
                <w:sz w:val="14"/>
                <w:szCs w:val="14"/>
                <w:lang w:eastAsia="nl-NL"/>
              </w:rPr>
            </w:pPr>
            <w:r w:rsidRPr="00E91F24">
              <w:rPr>
                <w:rFonts w:ascii="Calibri" w:eastAsia="Times New Roman" w:hAnsi="Calibri" w:cs="Times New Roman"/>
                <w:color w:val="000000"/>
                <w:sz w:val="14"/>
                <w:szCs w:val="14"/>
                <w:lang w:eastAsia="nl-NL"/>
              </w:rPr>
              <w:t>SC.FONFNC.ET DE PARTS.</w:t>
            </w:r>
          </w:p>
        </w:tc>
        <w:tc>
          <w:tcPr>
            <w:tcW w:w="760" w:type="dxa"/>
            <w:tcBorders>
              <w:top w:val="nil"/>
              <w:left w:val="nil"/>
              <w:bottom w:val="nil"/>
              <w:right w:val="nil"/>
            </w:tcBorders>
            <w:shd w:val="clear" w:color="auto" w:fill="auto"/>
            <w:noWrap/>
            <w:vAlign w:val="bottom"/>
            <w:hideMark/>
          </w:tcPr>
          <w:p w:rsidR="00592154" w:rsidRPr="00E91F24" w:rsidRDefault="00592154" w:rsidP="000C3C74">
            <w:pPr>
              <w:spacing w:after="0" w:line="240" w:lineRule="auto"/>
              <w:rPr>
                <w:rFonts w:ascii="Calibri" w:eastAsia="Times New Roman" w:hAnsi="Calibri" w:cs="Times New Roman"/>
                <w:b/>
                <w:bCs/>
                <w:color w:val="000000"/>
                <w:sz w:val="14"/>
                <w:szCs w:val="14"/>
                <w:lang w:eastAsia="nl-NL"/>
              </w:rPr>
            </w:pPr>
          </w:p>
        </w:tc>
        <w:tc>
          <w:tcPr>
            <w:tcW w:w="1220" w:type="dxa"/>
            <w:tcBorders>
              <w:top w:val="nil"/>
              <w:left w:val="nil"/>
              <w:bottom w:val="nil"/>
              <w:right w:val="nil"/>
            </w:tcBorders>
            <w:shd w:val="clear" w:color="auto" w:fill="auto"/>
            <w:noWrap/>
            <w:vAlign w:val="bottom"/>
            <w:hideMark/>
          </w:tcPr>
          <w:p w:rsidR="00592154" w:rsidRPr="00E91F24" w:rsidRDefault="00592154" w:rsidP="000C3C74">
            <w:pPr>
              <w:spacing w:after="0" w:line="240" w:lineRule="auto"/>
              <w:rPr>
                <w:rFonts w:ascii="Calibri" w:eastAsia="Times New Roman" w:hAnsi="Calibri" w:cs="Times New Roman"/>
                <w:color w:val="000000"/>
                <w:sz w:val="14"/>
                <w:szCs w:val="14"/>
                <w:lang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VITTORIA ASSICURAZIONI</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PROLOGIS EURO PROP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SIIC DE PARIS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AEDES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VAN DER MOOLEN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SILIC</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AZIMUT HOLDING</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VASTNED OFFICES INDL.</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SOCIETE FONC.LYONNAISE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BANCA GENERALI</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VASTNED RETAIL</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TESFRAN</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BANCA IFIS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WERELDHAVE</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TOUR EIFFEL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BANCA INTERMOBILIARE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Austria</w:t>
            </w: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 WOHNBAU-GSH.5</w:t>
            </w:r>
          </w:p>
        </w:tc>
      </w:tr>
      <w:tr w:rsidR="00592154" w:rsidRPr="00872F8A"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UNIBAIL-RODAMCO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BANCA ITALEASE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BK.FUR TIROL UND VBG.</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UNION FINC.FRANC.</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BANCA PROFILO</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BKS BANK</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VIEL ET CIE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BENI STABILI</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ERSTE GROUP BANK</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WENDEL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BRIOSCHI</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OBERBANK</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Ireland</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ALLIED IRISH BANKS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CAM-FIN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RAIFFEISEN INTL.BK.HLDG.</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BANK OF IRELAND</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DEA CAPITAL</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UNIQA VERSICHERUNGEN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FBD HOLDINGS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EXOR PRV</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VIENNA INSURANCE GROUP A</w:t>
            </w:r>
          </w:p>
        </w:tc>
      </w:tr>
      <w:tr w:rsidR="00592154" w:rsidRPr="00DA0DCD" w:rsidTr="000C3C74">
        <w:trPr>
          <w:trHeight w:val="36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IRISH LF.&amp; PERM.GHG.</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IMMOBILIARE GRANDE DISTRIBUZIONE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ATRIUM EUROPEAN RLST.</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BLACKROCK INTL.LAND(IEX)</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MITTEL</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CA IM.ANLAGEN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IFG GROUP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MUTUIONLINE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CA IMMO INTERNATIONAL</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TVC HOLDINGS (IEX)</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PIRELLI REAL ESTATE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CONWERT IM.INVEST</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Italy</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BANCA CARIGE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UNI LAND</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ECO BUSINESS-IMMOBILIEN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BANCA CARIGE RSP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Luxem</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ESPIRITO SANTO FINL.GP.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IMMOEAST AG</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BANCA FINNAT</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bourg</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ESPIRITO SANTO FINL.GP. REGD.</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IMMOFINANZ</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BANCA MONTE DEI PASCHI</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FOYER</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SPARKASSEN IMMOBILIEN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BANCA POPOLARE DI MILANO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BASINCO HOLDINGS SAH</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BANCA POPOLARE ETRURIA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BIP INVESTMENT PARTNERS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BANCA PPO.DI SONDRIO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BRAIT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BANCA PPO.DI SPOLETO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IDB HOLDINGS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BANCA PPO.EMILIA ROMAGNA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LUX AIRPORT CERT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POPOLARE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LUXEMPART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BNC.DI DESIO E DELB.</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QUILVEST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CREDITO ARTIGIANO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TIG HOLDING</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CREDITO BERGAMASCO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VENTOS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240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lastRenderedPageBreak/>
              <w:t>Country</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Type</w:t>
            </w:r>
          </w:p>
        </w:tc>
        <w:tc>
          <w:tcPr>
            <w:tcW w:w="240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Financial institution</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Country</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Type</w:t>
            </w: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Financial institution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Country</w:t>
            </w: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Type</w:t>
            </w: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Financial institution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Portugal</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BPI</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GB</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HISCOX</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GB</w:t>
            </w: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LMS CAPITAL</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COMR.PORTUGUES 'R'</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JARDINE LLOYD THOMPSON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LONDON STOCK EX.GROUP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ESPIRITO SANTO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LANCASHIRE HOLDINGS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LSL PROPERTY SERVICES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BANIF-SGPS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LEGAL &amp; GENERAL</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MAN GROUP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FINIBANCO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NOVAE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MINERVA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SONAGI LIMITED DATA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OLD MUTUAL</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MUCKLOW (A &amp; J) GROUP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Spain</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DE SABADELL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PRUDENTIAL</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PARAGON GP.OF COS.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DE VALENCIA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RSA INSURANCE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PRIMARY HEALTH PROPS.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ESPANOL DE CREDITO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ST.JAMES'S PLACE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PROVIDENT FINANCIAL</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GUIPUZCOANO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STANDARD LIFE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QUINTAIN ESTATES &amp; DEV.</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PASTOR</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ABERDEEN ASSET MAN.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RATHBONE BROTHERS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POPULAR ESPANOL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ASHMORE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RENSBURG SHEPPARDS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BANCO SANTANDER</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BIG YELLOW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SAFESTORE HOLDINGS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BANKINTER 'R'</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BLUEBAY ASSET MANAGEMENT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SAVILLS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BBV.ARGENTARIA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BREWIN DOLPHIN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SCHRODERS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GRUPO CATALANA OCCIDENTE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BRITISH LAND</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SCHRODERS NV</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MAPFRE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CAMELLIA</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SEGRO</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AFIRMA GRUPO INMO.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CAPITAL &amp; REGIONAL</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SHAFTESBURY</w:t>
            </w:r>
          </w:p>
        </w:tc>
      </w:tr>
      <w:tr w:rsidR="00592154" w:rsidRPr="00DA0DCD" w:rsidTr="000C3C74">
        <w:trPr>
          <w:trHeight w:val="36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BOLSAS Y MERCADOS ESPANOLES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CHARLES STANLEY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ST MODWEN PROPS.</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CORPORACION FINCA.ALBA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CHARLES TAYLOR CNSL.</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TULLETT PREBON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CRITERIA CAIXACORP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CLOSE BROTHERS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UNITE GROUP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DINAMIA CAPITAL PRIVADO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CLS HOLDINGS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WICHFORD</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FERGO AISA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COLLINS STEWART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WORKSPACE GROUP</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INMOBILIARIA COLONIAL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DAEJAN HOLDINGS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Sweden</w:t>
            </w: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NORDEA BANK</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METROVACESA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DERWENT LONDON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SEB 'A'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MONTEBALITO</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DEVELOPMENT SECS.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SVENSKA HANDBKN.'A'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REALIA BUSINESS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DTZ HOLDINGS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SWEDBANK 'A'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RENTA 4 SERV.DE INVN.</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EVOLUTION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'Other' finan inst</w:t>
            </w: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LJUNGBERG 'B'</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RENTA CORPN.REAL ESTATE</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F&amp;C ASSET MANAGEMENT</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CASTELLUM</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REYAL URBIS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GRAINGER</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FABEGE</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TESTA INMUEBLES EN RENTA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GREAT PORTLAND ESTATE</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HUFVUDSTADEN 'A'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URBAS GUADAHERMOSA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HAMMERSON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INDUSTRIVARDEN 'A'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r w:rsidRPr="00DA0DCD">
              <w:rPr>
                <w:rFonts w:ascii="Calibri" w:eastAsia="Times New Roman" w:hAnsi="Calibri" w:cs="Times New Roman"/>
                <w:b/>
                <w:bCs/>
                <w:color w:val="000000"/>
                <w:sz w:val="14"/>
                <w:szCs w:val="14"/>
                <w:lang w:val="en-US" w:eastAsia="nl-NL"/>
              </w:rPr>
              <w:t>GB</w:t>
            </w: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Banks</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BARCLAYS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HARGREAVES LANSDOWN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INDUSTRIVARDEN 'C'</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HSBC HDG. (ORD $0.50)</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HELICAL BAR</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INTRUM JUSTITIA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LLOYDS BANKING GROUP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HELPHIRE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INVESTOR 'A'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ROYAL BANK OF SCTL.GP.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HENDERSON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INVESTOR 'B'</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333399"/>
                <w:sz w:val="14"/>
                <w:szCs w:val="14"/>
                <w:lang w:val="en-US" w:eastAsia="nl-NL"/>
              </w:rPr>
            </w:pPr>
            <w:r w:rsidRPr="00DA0DCD">
              <w:rPr>
                <w:rFonts w:ascii="Calibri" w:eastAsia="Times New Roman" w:hAnsi="Calibri" w:cs="Times New Roman"/>
                <w:color w:val="333399"/>
                <w:sz w:val="14"/>
                <w:szCs w:val="14"/>
                <w:lang w:val="en-US" w:eastAsia="nl-NL"/>
              </w:rPr>
              <w:t>STANDARD CHARTERED</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ICAP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JM</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Insurance comp.</w:t>
            </w: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ADMIRAL GROUP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IG GROUP HOLDINGS</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KINNEVIK 'A'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AMLIN</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INTERMEDIATE CAPITAL GP.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KINNEVIK 'B'</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AVIVA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INTERNATIONAL PSNL.FIN.</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KUNGSLEDEN</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BEAZLEY</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INVESTEC</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LATOUR INVESTMENT 'B'</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BRIT INSURANCE HDG.N V</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IP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MELKER SCHORLING</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CATLIN GROUP</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LAND SECURITIES GROUP</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ORESUND INVESTMENT</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CHAUCER HOLDINGS</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LIBERTY INTL.</w:t>
            </w: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RATOS 'A'</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CHESNARA</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RATOS 'B'</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HANSARD GLOBAL</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r w:rsidRPr="00DA0DCD">
              <w:rPr>
                <w:rFonts w:ascii="Calibri" w:eastAsia="Times New Roman" w:hAnsi="Calibri" w:cs="Times New Roman"/>
                <w:color w:val="000000"/>
                <w:sz w:val="14"/>
                <w:szCs w:val="14"/>
                <w:lang w:val="en-US" w:eastAsia="nl-NL"/>
              </w:rPr>
              <w:t>WALLENSTAM 'B'</w:t>
            </w:r>
          </w:p>
        </w:tc>
      </w:tr>
      <w:tr w:rsidR="00592154" w:rsidRPr="00DA0DCD" w:rsidTr="000C3C74">
        <w:trPr>
          <w:trHeight w:val="180"/>
        </w:trPr>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00" w:type="dxa"/>
            <w:tcBorders>
              <w:top w:val="nil"/>
              <w:left w:val="nil"/>
              <w:bottom w:val="nil"/>
              <w:right w:val="nil"/>
            </w:tcBorders>
            <w:shd w:val="clear" w:color="auto" w:fill="auto"/>
            <w:vAlign w:val="bottom"/>
            <w:hideMark/>
          </w:tcPr>
          <w:p w:rsidR="00592154" w:rsidRPr="00DA0DCD" w:rsidRDefault="00592154" w:rsidP="000C3C74">
            <w:pPr>
              <w:spacing w:after="0" w:line="240" w:lineRule="auto"/>
              <w:rPr>
                <w:rFonts w:ascii="Calibri" w:eastAsia="Times New Roman" w:hAnsi="Calibri" w:cs="Times New Roman"/>
                <w:color w:val="FF0000"/>
                <w:sz w:val="14"/>
                <w:szCs w:val="14"/>
                <w:lang w:val="en-US" w:eastAsia="nl-NL"/>
              </w:rPr>
            </w:pPr>
            <w:r w:rsidRPr="00DA0DCD">
              <w:rPr>
                <w:rFonts w:ascii="Calibri" w:eastAsia="Times New Roman" w:hAnsi="Calibri" w:cs="Times New Roman"/>
                <w:color w:val="FF0000"/>
                <w:sz w:val="14"/>
                <w:szCs w:val="14"/>
                <w:lang w:val="en-US" w:eastAsia="nl-NL"/>
              </w:rPr>
              <w:t>HARDY UNDERWRITING BER. (DI)</w:t>
            </w:r>
          </w:p>
        </w:tc>
        <w:tc>
          <w:tcPr>
            <w:tcW w:w="7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2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44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72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b/>
                <w:bCs/>
                <w:color w:val="000000"/>
                <w:sz w:val="14"/>
                <w:szCs w:val="14"/>
                <w:lang w:val="en-US" w:eastAsia="nl-NL"/>
              </w:rPr>
            </w:pPr>
          </w:p>
        </w:tc>
        <w:tc>
          <w:tcPr>
            <w:tcW w:w="116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c>
          <w:tcPr>
            <w:tcW w:w="2680" w:type="dxa"/>
            <w:tcBorders>
              <w:top w:val="nil"/>
              <w:left w:val="nil"/>
              <w:bottom w:val="nil"/>
              <w:right w:val="nil"/>
            </w:tcBorders>
            <w:shd w:val="clear" w:color="auto" w:fill="auto"/>
            <w:noWrap/>
            <w:vAlign w:val="bottom"/>
            <w:hideMark/>
          </w:tcPr>
          <w:p w:rsidR="00592154" w:rsidRPr="00DA0DCD" w:rsidRDefault="00592154" w:rsidP="000C3C74">
            <w:pPr>
              <w:spacing w:after="0" w:line="240" w:lineRule="auto"/>
              <w:rPr>
                <w:rFonts w:ascii="Calibri" w:eastAsia="Times New Roman" w:hAnsi="Calibri" w:cs="Times New Roman"/>
                <w:color w:val="000000"/>
                <w:sz w:val="14"/>
                <w:szCs w:val="14"/>
                <w:lang w:val="en-US" w:eastAsia="nl-NL"/>
              </w:rPr>
            </w:pPr>
          </w:p>
        </w:tc>
      </w:tr>
    </w:tbl>
    <w:p w:rsidR="00592154" w:rsidRPr="00DA0DCD" w:rsidRDefault="00592154" w:rsidP="00592154">
      <w:pPr>
        <w:rPr>
          <w:lang w:val="en-US"/>
        </w:rPr>
        <w:sectPr w:rsidR="00592154" w:rsidRPr="00DA0DCD" w:rsidSect="00AB63A6">
          <w:pgSz w:w="16838" w:h="11906" w:orient="landscape"/>
          <w:pgMar w:top="1417" w:right="1417" w:bottom="1417" w:left="1417" w:header="708" w:footer="708" w:gutter="0"/>
          <w:cols w:space="708"/>
          <w:docGrid w:linePitch="360"/>
        </w:sectPr>
      </w:pPr>
    </w:p>
    <w:p w:rsidR="004B03CA" w:rsidRPr="00DA0DCD" w:rsidRDefault="004B03CA" w:rsidP="004B03CA">
      <w:pPr>
        <w:pStyle w:val="Kop1"/>
        <w:rPr>
          <w:lang w:val="en-US"/>
        </w:rPr>
      </w:pPr>
      <w:bookmarkStart w:id="99" w:name="_Toc270770630"/>
      <w:r w:rsidRPr="00DA0DCD">
        <w:rPr>
          <w:lang w:val="en-US"/>
        </w:rPr>
        <w:lastRenderedPageBreak/>
        <w:t>Appendix C: Evaluation of the regression models</w:t>
      </w:r>
      <w:bookmarkEnd w:id="99"/>
    </w:p>
    <w:tbl>
      <w:tblPr>
        <w:tblW w:w="0" w:type="auto"/>
        <w:tblLook w:val="04A0"/>
      </w:tblPr>
      <w:tblGrid>
        <w:gridCol w:w="4617"/>
        <w:gridCol w:w="4671"/>
      </w:tblGrid>
      <w:tr w:rsidR="004B03CA" w:rsidRPr="00872F8A" w:rsidTr="000C3C74">
        <w:tc>
          <w:tcPr>
            <w:tcW w:w="4617" w:type="dxa"/>
          </w:tcPr>
          <w:p w:rsidR="004B03CA" w:rsidRPr="00DA0DCD" w:rsidRDefault="004B03CA" w:rsidP="000C3C74">
            <w:pPr>
              <w:rPr>
                <w:b/>
                <w:lang w:val="en-US"/>
              </w:rPr>
            </w:pPr>
            <w:r w:rsidRPr="00DA0DCD">
              <w:rPr>
                <w:b/>
                <w:lang w:val="en-US"/>
              </w:rPr>
              <w:t>Total sample</w:t>
            </w:r>
          </w:p>
        </w:tc>
        <w:tc>
          <w:tcPr>
            <w:tcW w:w="4671" w:type="dxa"/>
          </w:tcPr>
          <w:p w:rsidR="004B03CA" w:rsidRPr="00DA0DCD" w:rsidRDefault="004B03CA" w:rsidP="000C3C74">
            <w:pPr>
              <w:rPr>
                <w:b/>
                <w:lang w:val="en-US"/>
              </w:rPr>
            </w:pPr>
            <w:r w:rsidRPr="00DA0DCD">
              <w:rPr>
                <w:b/>
                <w:lang w:val="en-US"/>
              </w:rPr>
              <w:t>Banks and insurance companies sample</w:t>
            </w:r>
          </w:p>
        </w:tc>
      </w:tr>
      <w:tr w:rsidR="004B03CA" w:rsidRPr="00DA0DCD" w:rsidTr="000C3C74">
        <w:tc>
          <w:tcPr>
            <w:tcW w:w="4617" w:type="dxa"/>
          </w:tcPr>
          <w:p w:rsidR="004B03CA" w:rsidRPr="00DA0DCD" w:rsidRDefault="004B03CA" w:rsidP="000C3C74">
            <w:pPr>
              <w:rPr>
                <w:lang w:val="en-US"/>
              </w:rPr>
            </w:pPr>
            <w:r w:rsidRPr="00DA0DCD">
              <w:rPr>
                <w:rFonts w:ascii="Times New Roman" w:hAnsi="Times New Roman"/>
                <w:noProof/>
                <w:sz w:val="24"/>
                <w:szCs w:val="24"/>
                <w:lang w:eastAsia="nl-NL"/>
              </w:rPr>
              <w:drawing>
                <wp:inline distT="0" distB="0" distL="0" distR="0">
                  <wp:extent cx="2842562" cy="2146041"/>
                  <wp:effectExtent l="19050" t="0" r="0" b="0"/>
                  <wp:docPr id="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srcRect l="2881" t="8434"/>
                          <a:stretch>
                            <a:fillRect/>
                          </a:stretch>
                        </pic:blipFill>
                        <pic:spPr bwMode="auto">
                          <a:xfrm>
                            <a:off x="0" y="0"/>
                            <a:ext cx="2845979" cy="2148621"/>
                          </a:xfrm>
                          <a:prstGeom prst="rect">
                            <a:avLst/>
                          </a:prstGeom>
                          <a:noFill/>
                          <a:ln w="9525">
                            <a:noFill/>
                            <a:miter lim="800000"/>
                            <a:headEnd/>
                            <a:tailEnd/>
                          </a:ln>
                        </pic:spPr>
                      </pic:pic>
                    </a:graphicData>
                  </a:graphic>
                </wp:inline>
              </w:drawing>
            </w:r>
          </w:p>
        </w:tc>
        <w:tc>
          <w:tcPr>
            <w:tcW w:w="4671" w:type="dxa"/>
          </w:tcPr>
          <w:p w:rsidR="004B03CA" w:rsidRPr="00DA0DCD" w:rsidRDefault="004B03CA" w:rsidP="000C3C74">
            <w:pPr>
              <w:rPr>
                <w:lang w:val="en-US"/>
              </w:rPr>
            </w:pPr>
            <w:r w:rsidRPr="00DA0DCD">
              <w:rPr>
                <w:rFonts w:ascii="Times New Roman" w:hAnsi="Times New Roman"/>
                <w:noProof/>
                <w:sz w:val="24"/>
                <w:szCs w:val="24"/>
                <w:lang w:eastAsia="nl-NL"/>
              </w:rPr>
              <w:drawing>
                <wp:inline distT="0" distB="0" distL="0" distR="0">
                  <wp:extent cx="2836506" cy="2146041"/>
                  <wp:effectExtent l="19050" t="0" r="1944" b="0"/>
                  <wp:docPr id="1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cstate="print"/>
                          <a:srcRect l="3479" t="8730"/>
                          <a:stretch>
                            <a:fillRect/>
                          </a:stretch>
                        </pic:blipFill>
                        <pic:spPr bwMode="auto">
                          <a:xfrm>
                            <a:off x="0" y="0"/>
                            <a:ext cx="2836506" cy="2146041"/>
                          </a:xfrm>
                          <a:prstGeom prst="rect">
                            <a:avLst/>
                          </a:prstGeom>
                          <a:noFill/>
                          <a:ln w="9525">
                            <a:noFill/>
                            <a:miter lim="800000"/>
                            <a:headEnd/>
                            <a:tailEnd/>
                          </a:ln>
                        </pic:spPr>
                      </pic:pic>
                    </a:graphicData>
                  </a:graphic>
                </wp:inline>
              </w:drawing>
            </w:r>
          </w:p>
        </w:tc>
      </w:tr>
      <w:tr w:rsidR="004B03CA" w:rsidRPr="00DA0DCD" w:rsidTr="000C3C74">
        <w:tc>
          <w:tcPr>
            <w:tcW w:w="4617" w:type="dxa"/>
          </w:tcPr>
          <w:p w:rsidR="004B03CA" w:rsidRPr="00DA0DCD" w:rsidRDefault="004B03CA" w:rsidP="000C3C74">
            <w:pPr>
              <w:rPr>
                <w:b/>
                <w:lang w:val="en-US"/>
              </w:rPr>
            </w:pPr>
            <w:r w:rsidRPr="00DA0DCD">
              <w:rPr>
                <w:b/>
                <w:lang w:val="en-US"/>
              </w:rPr>
              <w:t>Bank sample</w:t>
            </w:r>
          </w:p>
        </w:tc>
        <w:tc>
          <w:tcPr>
            <w:tcW w:w="4671" w:type="dxa"/>
          </w:tcPr>
          <w:p w:rsidR="004B03CA" w:rsidRPr="00DA0DCD" w:rsidRDefault="004B03CA" w:rsidP="000C3C74">
            <w:pPr>
              <w:rPr>
                <w:b/>
                <w:lang w:val="en-US"/>
              </w:rPr>
            </w:pPr>
            <w:r w:rsidRPr="00DA0DCD">
              <w:rPr>
                <w:b/>
                <w:lang w:val="en-US"/>
              </w:rPr>
              <w:t>Insurance sample</w:t>
            </w:r>
          </w:p>
        </w:tc>
      </w:tr>
      <w:tr w:rsidR="004B03CA" w:rsidRPr="00DA0DCD" w:rsidTr="000C3C74">
        <w:tc>
          <w:tcPr>
            <w:tcW w:w="4617" w:type="dxa"/>
          </w:tcPr>
          <w:p w:rsidR="004B03CA" w:rsidRPr="00DA0DCD" w:rsidRDefault="004B03CA" w:rsidP="000C3C74">
            <w:pPr>
              <w:rPr>
                <w:lang w:val="en-US"/>
              </w:rPr>
            </w:pPr>
            <w:r w:rsidRPr="00DA0DCD">
              <w:rPr>
                <w:rFonts w:ascii="Times New Roman" w:hAnsi="Times New Roman"/>
                <w:noProof/>
                <w:sz w:val="24"/>
                <w:szCs w:val="24"/>
                <w:lang w:eastAsia="nl-NL"/>
              </w:rPr>
              <w:drawing>
                <wp:inline distT="0" distB="0" distL="0" distR="0">
                  <wp:extent cx="2877909" cy="2192694"/>
                  <wp:effectExtent l="19050" t="0" r="0" b="0"/>
                  <wp:docPr id="12"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cstate="print"/>
                          <a:srcRect l="3657" t="8397"/>
                          <a:stretch>
                            <a:fillRect/>
                          </a:stretch>
                        </pic:blipFill>
                        <pic:spPr bwMode="auto">
                          <a:xfrm>
                            <a:off x="0" y="0"/>
                            <a:ext cx="2878697" cy="2193294"/>
                          </a:xfrm>
                          <a:prstGeom prst="rect">
                            <a:avLst/>
                          </a:prstGeom>
                          <a:noFill/>
                          <a:ln w="9525">
                            <a:noFill/>
                            <a:miter lim="800000"/>
                            <a:headEnd/>
                            <a:tailEnd/>
                          </a:ln>
                        </pic:spPr>
                      </pic:pic>
                    </a:graphicData>
                  </a:graphic>
                </wp:inline>
              </w:drawing>
            </w:r>
          </w:p>
        </w:tc>
        <w:tc>
          <w:tcPr>
            <w:tcW w:w="4671" w:type="dxa"/>
          </w:tcPr>
          <w:p w:rsidR="004B03CA" w:rsidRPr="00DA0DCD" w:rsidRDefault="004B03CA" w:rsidP="000C3C74">
            <w:pPr>
              <w:rPr>
                <w:lang w:val="en-US"/>
              </w:rPr>
            </w:pPr>
            <w:r w:rsidRPr="00DA0DCD">
              <w:rPr>
                <w:rFonts w:ascii="Times New Roman" w:hAnsi="Times New Roman"/>
                <w:noProof/>
                <w:sz w:val="24"/>
                <w:szCs w:val="24"/>
                <w:lang w:eastAsia="nl-NL"/>
              </w:rPr>
              <w:drawing>
                <wp:inline distT="0" distB="0" distL="0" distR="0">
                  <wp:extent cx="2911462" cy="2192694"/>
                  <wp:effectExtent l="19050" t="0" r="3188" b="0"/>
                  <wp:docPr id="17"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9" cstate="print"/>
                          <a:srcRect l="3311" t="9057"/>
                          <a:stretch>
                            <a:fillRect/>
                          </a:stretch>
                        </pic:blipFill>
                        <pic:spPr bwMode="auto">
                          <a:xfrm>
                            <a:off x="0" y="0"/>
                            <a:ext cx="2911462" cy="2192694"/>
                          </a:xfrm>
                          <a:prstGeom prst="rect">
                            <a:avLst/>
                          </a:prstGeom>
                          <a:noFill/>
                          <a:ln w="9525">
                            <a:noFill/>
                            <a:miter lim="800000"/>
                            <a:headEnd/>
                            <a:tailEnd/>
                          </a:ln>
                        </pic:spPr>
                      </pic:pic>
                    </a:graphicData>
                  </a:graphic>
                </wp:inline>
              </w:drawing>
            </w:r>
          </w:p>
        </w:tc>
      </w:tr>
      <w:tr w:rsidR="004B03CA" w:rsidRPr="00DA0DCD" w:rsidTr="000C3C74">
        <w:tc>
          <w:tcPr>
            <w:tcW w:w="4617" w:type="dxa"/>
          </w:tcPr>
          <w:p w:rsidR="004B03CA" w:rsidRPr="00DA0DCD" w:rsidRDefault="004B03CA" w:rsidP="000C3C74">
            <w:pPr>
              <w:rPr>
                <w:b/>
                <w:lang w:val="en-US"/>
              </w:rPr>
            </w:pPr>
            <w:r w:rsidRPr="00DA0DCD">
              <w:rPr>
                <w:lang w:val="en-US"/>
              </w:rPr>
              <w:t xml:space="preserve"> </w:t>
            </w:r>
            <w:r w:rsidRPr="00DA0DCD">
              <w:rPr>
                <w:b/>
                <w:lang w:val="en-US"/>
              </w:rPr>
              <w:t>‘Other’ financial institutions sample</w:t>
            </w:r>
          </w:p>
        </w:tc>
        <w:tc>
          <w:tcPr>
            <w:tcW w:w="4671" w:type="dxa"/>
          </w:tcPr>
          <w:p w:rsidR="004B03CA" w:rsidRPr="00DA0DCD" w:rsidRDefault="004B03CA" w:rsidP="000C3C74">
            <w:pPr>
              <w:rPr>
                <w:lang w:val="en-US"/>
              </w:rPr>
            </w:pPr>
          </w:p>
        </w:tc>
      </w:tr>
      <w:tr w:rsidR="004B03CA" w:rsidRPr="00DA0DCD" w:rsidTr="000C3C74">
        <w:tc>
          <w:tcPr>
            <w:tcW w:w="4617" w:type="dxa"/>
          </w:tcPr>
          <w:p w:rsidR="004B03CA" w:rsidRPr="00DA0DCD" w:rsidRDefault="004B03CA" w:rsidP="000C3C74">
            <w:pPr>
              <w:rPr>
                <w:lang w:val="en-US"/>
              </w:rPr>
            </w:pPr>
            <w:r w:rsidRPr="00DA0DCD">
              <w:rPr>
                <w:rFonts w:ascii="Times New Roman" w:hAnsi="Times New Roman"/>
                <w:noProof/>
                <w:sz w:val="24"/>
                <w:szCs w:val="24"/>
                <w:lang w:eastAsia="nl-NL"/>
              </w:rPr>
              <w:drawing>
                <wp:inline distT="0" distB="0" distL="0" distR="0">
                  <wp:extent cx="2873828" cy="2164702"/>
                  <wp:effectExtent l="19050" t="0" r="2722" b="0"/>
                  <wp:docPr id="22"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0" cstate="print"/>
                          <a:srcRect l="2826" t="8661"/>
                          <a:stretch>
                            <a:fillRect/>
                          </a:stretch>
                        </pic:blipFill>
                        <pic:spPr bwMode="auto">
                          <a:xfrm>
                            <a:off x="0" y="0"/>
                            <a:ext cx="2873828" cy="2164702"/>
                          </a:xfrm>
                          <a:prstGeom prst="rect">
                            <a:avLst/>
                          </a:prstGeom>
                          <a:noFill/>
                          <a:ln w="9525">
                            <a:noFill/>
                            <a:miter lim="800000"/>
                            <a:headEnd/>
                            <a:tailEnd/>
                          </a:ln>
                        </pic:spPr>
                      </pic:pic>
                    </a:graphicData>
                  </a:graphic>
                </wp:inline>
              </w:drawing>
            </w:r>
          </w:p>
        </w:tc>
        <w:tc>
          <w:tcPr>
            <w:tcW w:w="4671" w:type="dxa"/>
          </w:tcPr>
          <w:p w:rsidR="004B03CA" w:rsidRPr="00DA0DCD" w:rsidRDefault="004B03CA" w:rsidP="000C3C74">
            <w:pPr>
              <w:rPr>
                <w:lang w:val="en-US"/>
              </w:rPr>
            </w:pPr>
          </w:p>
        </w:tc>
      </w:tr>
    </w:tbl>
    <w:p w:rsidR="004B03CA" w:rsidRPr="00DA0DCD" w:rsidRDefault="004B03CA" w:rsidP="004B03CA">
      <w:pPr>
        <w:rPr>
          <w:lang w:val="en-US"/>
        </w:rPr>
      </w:pPr>
      <w:r w:rsidRPr="00DA0DCD">
        <w:rPr>
          <w:lang w:val="en-US"/>
        </w:rPr>
        <w:t xml:space="preserve">Table C.1: </w:t>
      </w:r>
      <w:r w:rsidRPr="00DA0DCD">
        <w:rPr>
          <w:sz w:val="24"/>
          <w:szCs w:val="24"/>
          <w:lang w:val="en-US"/>
        </w:rPr>
        <w:t>Evaluation of heterocedasticity, linearity and outliers</w:t>
      </w:r>
    </w:p>
    <w:p w:rsidR="004B03CA" w:rsidRPr="00DA0DCD" w:rsidRDefault="004B03CA" w:rsidP="004B03CA">
      <w:pPr>
        <w:rPr>
          <w:b/>
          <w:color w:val="FF0000"/>
          <w:lang w:val="en-US"/>
        </w:rPr>
      </w:pPr>
      <w:r w:rsidRPr="00DA0DCD">
        <w:rPr>
          <w:b/>
          <w:color w:val="FF0000"/>
          <w:lang w:val="en-US"/>
        </w:rPr>
        <w:br w:type="page"/>
      </w:r>
    </w:p>
    <w:tbl>
      <w:tblPr>
        <w:tblW w:w="0" w:type="auto"/>
        <w:tblLook w:val="04A0"/>
      </w:tblPr>
      <w:tblGrid>
        <w:gridCol w:w="4653"/>
        <w:gridCol w:w="4635"/>
      </w:tblGrid>
      <w:tr w:rsidR="004B03CA" w:rsidRPr="00872F8A" w:rsidTr="000C3C74">
        <w:tc>
          <w:tcPr>
            <w:tcW w:w="4653" w:type="dxa"/>
          </w:tcPr>
          <w:p w:rsidR="004B03CA" w:rsidRPr="00DA0DCD" w:rsidRDefault="004B03CA" w:rsidP="000C3C74">
            <w:pPr>
              <w:rPr>
                <w:b/>
                <w:lang w:val="en-US"/>
              </w:rPr>
            </w:pPr>
            <w:r w:rsidRPr="00DA0DCD">
              <w:rPr>
                <w:b/>
                <w:lang w:val="en-US"/>
              </w:rPr>
              <w:lastRenderedPageBreak/>
              <w:t>Total sample</w:t>
            </w:r>
          </w:p>
        </w:tc>
        <w:tc>
          <w:tcPr>
            <w:tcW w:w="4635" w:type="dxa"/>
          </w:tcPr>
          <w:p w:rsidR="004B03CA" w:rsidRPr="00DA0DCD" w:rsidRDefault="004B03CA" w:rsidP="000C3C74">
            <w:pPr>
              <w:rPr>
                <w:b/>
                <w:lang w:val="en-US"/>
              </w:rPr>
            </w:pPr>
            <w:r w:rsidRPr="00DA0DCD">
              <w:rPr>
                <w:b/>
                <w:lang w:val="en-US"/>
              </w:rPr>
              <w:t>Banks and insurance companies sample</w:t>
            </w:r>
          </w:p>
        </w:tc>
      </w:tr>
      <w:tr w:rsidR="004B03CA" w:rsidRPr="00DA0DCD" w:rsidTr="000C3C74">
        <w:tc>
          <w:tcPr>
            <w:tcW w:w="4653" w:type="dxa"/>
          </w:tcPr>
          <w:p w:rsidR="004B03CA" w:rsidRPr="00DA0DCD" w:rsidRDefault="004B03CA" w:rsidP="000C3C74">
            <w:pPr>
              <w:rPr>
                <w:lang w:val="en-US"/>
              </w:rPr>
            </w:pPr>
            <w:r w:rsidRPr="00DA0DCD">
              <w:rPr>
                <w:rFonts w:ascii="Times New Roman" w:hAnsi="Times New Roman"/>
                <w:noProof/>
                <w:sz w:val="24"/>
                <w:szCs w:val="24"/>
                <w:lang w:eastAsia="nl-NL"/>
              </w:rPr>
              <w:drawing>
                <wp:inline distT="0" distB="0" distL="0" distR="0">
                  <wp:extent cx="2789464" cy="2096502"/>
                  <wp:effectExtent l="19050" t="0" r="0" b="0"/>
                  <wp:docPr id="23"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1" cstate="print"/>
                          <a:srcRect l="3278" t="8989"/>
                          <a:stretch>
                            <a:fillRect/>
                          </a:stretch>
                        </pic:blipFill>
                        <pic:spPr bwMode="auto">
                          <a:xfrm>
                            <a:off x="0" y="0"/>
                            <a:ext cx="2792583" cy="2098846"/>
                          </a:xfrm>
                          <a:prstGeom prst="rect">
                            <a:avLst/>
                          </a:prstGeom>
                          <a:noFill/>
                          <a:ln w="9525">
                            <a:noFill/>
                            <a:miter lim="800000"/>
                            <a:headEnd/>
                            <a:tailEnd/>
                          </a:ln>
                        </pic:spPr>
                      </pic:pic>
                    </a:graphicData>
                  </a:graphic>
                </wp:inline>
              </w:drawing>
            </w:r>
          </w:p>
        </w:tc>
        <w:tc>
          <w:tcPr>
            <w:tcW w:w="4635" w:type="dxa"/>
          </w:tcPr>
          <w:p w:rsidR="004B03CA" w:rsidRPr="00DA0DCD" w:rsidRDefault="004B03CA" w:rsidP="000C3C74">
            <w:pPr>
              <w:rPr>
                <w:lang w:val="en-US"/>
              </w:rPr>
            </w:pPr>
            <w:r w:rsidRPr="00DA0DCD">
              <w:rPr>
                <w:rFonts w:ascii="Times New Roman" w:hAnsi="Times New Roman"/>
                <w:noProof/>
                <w:sz w:val="24"/>
                <w:szCs w:val="24"/>
                <w:lang w:eastAsia="nl-NL"/>
              </w:rPr>
              <w:drawing>
                <wp:inline distT="0" distB="0" distL="0" distR="0">
                  <wp:extent cx="2883159" cy="2164702"/>
                  <wp:effectExtent l="19050" t="0" r="0" b="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2" cstate="print"/>
                          <a:srcRect l="3122" t="9020"/>
                          <a:stretch>
                            <a:fillRect/>
                          </a:stretch>
                        </pic:blipFill>
                        <pic:spPr bwMode="auto">
                          <a:xfrm>
                            <a:off x="0" y="0"/>
                            <a:ext cx="2883159" cy="2164702"/>
                          </a:xfrm>
                          <a:prstGeom prst="rect">
                            <a:avLst/>
                          </a:prstGeom>
                          <a:noFill/>
                          <a:ln w="9525">
                            <a:noFill/>
                            <a:miter lim="800000"/>
                            <a:headEnd/>
                            <a:tailEnd/>
                          </a:ln>
                        </pic:spPr>
                      </pic:pic>
                    </a:graphicData>
                  </a:graphic>
                </wp:inline>
              </w:drawing>
            </w:r>
          </w:p>
        </w:tc>
      </w:tr>
      <w:tr w:rsidR="004B03CA" w:rsidRPr="00DA0DCD" w:rsidTr="000C3C74">
        <w:tc>
          <w:tcPr>
            <w:tcW w:w="4653" w:type="dxa"/>
          </w:tcPr>
          <w:p w:rsidR="004B03CA" w:rsidRPr="00DA0DCD" w:rsidRDefault="004B03CA" w:rsidP="000C3C74">
            <w:pPr>
              <w:rPr>
                <w:b/>
                <w:lang w:val="en-US"/>
              </w:rPr>
            </w:pPr>
            <w:r w:rsidRPr="00DA0DCD">
              <w:rPr>
                <w:b/>
                <w:lang w:val="en-US"/>
              </w:rPr>
              <w:t>Bank sample</w:t>
            </w:r>
          </w:p>
        </w:tc>
        <w:tc>
          <w:tcPr>
            <w:tcW w:w="4635" w:type="dxa"/>
          </w:tcPr>
          <w:p w:rsidR="004B03CA" w:rsidRPr="00DA0DCD" w:rsidRDefault="004B03CA" w:rsidP="000C3C74">
            <w:pPr>
              <w:rPr>
                <w:b/>
                <w:lang w:val="en-US"/>
              </w:rPr>
            </w:pPr>
            <w:r w:rsidRPr="00DA0DCD">
              <w:rPr>
                <w:b/>
                <w:lang w:val="en-US"/>
              </w:rPr>
              <w:t>Insurance sample</w:t>
            </w:r>
          </w:p>
        </w:tc>
      </w:tr>
      <w:tr w:rsidR="004B03CA" w:rsidRPr="00DA0DCD" w:rsidTr="000C3C74">
        <w:tc>
          <w:tcPr>
            <w:tcW w:w="4653" w:type="dxa"/>
          </w:tcPr>
          <w:p w:rsidR="004B03CA" w:rsidRPr="00DA0DCD" w:rsidRDefault="004B03CA" w:rsidP="000C3C74">
            <w:pPr>
              <w:rPr>
                <w:lang w:val="en-US"/>
              </w:rPr>
            </w:pPr>
            <w:r w:rsidRPr="00DA0DCD">
              <w:rPr>
                <w:rFonts w:ascii="Times New Roman" w:hAnsi="Times New Roman"/>
                <w:noProof/>
                <w:sz w:val="24"/>
                <w:szCs w:val="24"/>
                <w:lang w:eastAsia="nl-NL"/>
              </w:rPr>
              <w:drawing>
                <wp:inline distT="0" distB="0" distL="0" distR="0">
                  <wp:extent cx="2888529" cy="2183363"/>
                  <wp:effectExtent l="19050" t="0" r="7071" b="0"/>
                  <wp:docPr id="24"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3" cstate="print"/>
                          <a:srcRect l="3570" t="8946"/>
                          <a:stretch>
                            <a:fillRect/>
                          </a:stretch>
                        </pic:blipFill>
                        <pic:spPr bwMode="auto">
                          <a:xfrm>
                            <a:off x="0" y="0"/>
                            <a:ext cx="2888529" cy="2183363"/>
                          </a:xfrm>
                          <a:prstGeom prst="rect">
                            <a:avLst/>
                          </a:prstGeom>
                          <a:noFill/>
                          <a:ln w="9525">
                            <a:noFill/>
                            <a:miter lim="800000"/>
                            <a:headEnd/>
                            <a:tailEnd/>
                          </a:ln>
                        </pic:spPr>
                      </pic:pic>
                    </a:graphicData>
                  </a:graphic>
                </wp:inline>
              </w:drawing>
            </w:r>
          </w:p>
        </w:tc>
        <w:tc>
          <w:tcPr>
            <w:tcW w:w="4635" w:type="dxa"/>
          </w:tcPr>
          <w:p w:rsidR="004B03CA" w:rsidRPr="00DA0DCD" w:rsidRDefault="004B03CA" w:rsidP="000C3C74">
            <w:pPr>
              <w:rPr>
                <w:lang w:val="en-US"/>
              </w:rPr>
            </w:pPr>
            <w:r w:rsidRPr="00DA0DCD">
              <w:rPr>
                <w:rFonts w:ascii="Times New Roman" w:hAnsi="Times New Roman"/>
                <w:noProof/>
                <w:sz w:val="24"/>
                <w:szCs w:val="24"/>
                <w:lang w:eastAsia="nl-NL"/>
              </w:rPr>
              <w:drawing>
                <wp:inline distT="0" distB="0" distL="0" distR="0">
                  <wp:extent cx="2876916" cy="2183363"/>
                  <wp:effectExtent l="19050" t="0" r="0" b="0"/>
                  <wp:docPr id="26"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4" cstate="print"/>
                          <a:srcRect l="3726" t="8803"/>
                          <a:stretch>
                            <a:fillRect/>
                          </a:stretch>
                        </pic:blipFill>
                        <pic:spPr bwMode="auto">
                          <a:xfrm>
                            <a:off x="0" y="0"/>
                            <a:ext cx="2879565" cy="2185373"/>
                          </a:xfrm>
                          <a:prstGeom prst="rect">
                            <a:avLst/>
                          </a:prstGeom>
                          <a:noFill/>
                          <a:ln w="9525">
                            <a:noFill/>
                            <a:miter lim="800000"/>
                            <a:headEnd/>
                            <a:tailEnd/>
                          </a:ln>
                        </pic:spPr>
                      </pic:pic>
                    </a:graphicData>
                  </a:graphic>
                </wp:inline>
              </w:drawing>
            </w:r>
          </w:p>
        </w:tc>
      </w:tr>
      <w:tr w:rsidR="004B03CA" w:rsidRPr="00DA0DCD" w:rsidTr="000C3C74">
        <w:tc>
          <w:tcPr>
            <w:tcW w:w="4653" w:type="dxa"/>
          </w:tcPr>
          <w:p w:rsidR="004B03CA" w:rsidRPr="00DA0DCD" w:rsidRDefault="004B03CA" w:rsidP="000C3C74">
            <w:pPr>
              <w:rPr>
                <w:lang w:val="en-US"/>
              </w:rPr>
            </w:pPr>
            <w:r w:rsidRPr="00DA0DCD">
              <w:rPr>
                <w:lang w:val="en-US"/>
              </w:rPr>
              <w:t>‘</w:t>
            </w:r>
            <w:r w:rsidRPr="00DA0DCD">
              <w:rPr>
                <w:b/>
                <w:lang w:val="en-US"/>
              </w:rPr>
              <w:t>Other’ financial institutions sample</w:t>
            </w:r>
          </w:p>
        </w:tc>
        <w:tc>
          <w:tcPr>
            <w:tcW w:w="4635" w:type="dxa"/>
          </w:tcPr>
          <w:p w:rsidR="004B03CA" w:rsidRPr="00DA0DCD" w:rsidRDefault="004B03CA" w:rsidP="000C3C74">
            <w:pPr>
              <w:rPr>
                <w:lang w:val="en-US"/>
              </w:rPr>
            </w:pPr>
          </w:p>
        </w:tc>
      </w:tr>
      <w:tr w:rsidR="004B03CA" w:rsidRPr="00DA0DCD" w:rsidTr="000C3C74">
        <w:tc>
          <w:tcPr>
            <w:tcW w:w="4653" w:type="dxa"/>
          </w:tcPr>
          <w:p w:rsidR="004B03CA" w:rsidRPr="00DA0DCD" w:rsidRDefault="004B03CA" w:rsidP="000C3C74">
            <w:pPr>
              <w:rPr>
                <w:lang w:val="en-US"/>
              </w:rPr>
            </w:pPr>
            <w:r w:rsidRPr="00DA0DCD">
              <w:rPr>
                <w:rFonts w:ascii="Times New Roman" w:hAnsi="Times New Roman"/>
                <w:noProof/>
                <w:sz w:val="24"/>
                <w:szCs w:val="24"/>
                <w:lang w:eastAsia="nl-NL"/>
              </w:rPr>
              <w:drawing>
                <wp:inline distT="0" distB="0" distL="0" distR="0">
                  <wp:extent cx="2885116" cy="2180964"/>
                  <wp:effectExtent l="19050" t="0" r="0" b="0"/>
                  <wp:docPr id="27"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5" cstate="print"/>
                          <a:srcRect l="3297" t="8647"/>
                          <a:stretch>
                            <a:fillRect/>
                          </a:stretch>
                        </pic:blipFill>
                        <pic:spPr bwMode="auto">
                          <a:xfrm>
                            <a:off x="0" y="0"/>
                            <a:ext cx="2889669" cy="2184406"/>
                          </a:xfrm>
                          <a:prstGeom prst="rect">
                            <a:avLst/>
                          </a:prstGeom>
                          <a:noFill/>
                          <a:ln w="9525">
                            <a:noFill/>
                            <a:miter lim="800000"/>
                            <a:headEnd/>
                            <a:tailEnd/>
                          </a:ln>
                        </pic:spPr>
                      </pic:pic>
                    </a:graphicData>
                  </a:graphic>
                </wp:inline>
              </w:drawing>
            </w:r>
          </w:p>
        </w:tc>
        <w:tc>
          <w:tcPr>
            <w:tcW w:w="4635" w:type="dxa"/>
          </w:tcPr>
          <w:p w:rsidR="004B03CA" w:rsidRPr="00DA0DCD" w:rsidRDefault="004B03CA" w:rsidP="000C3C74">
            <w:pPr>
              <w:rPr>
                <w:lang w:val="en-US"/>
              </w:rPr>
            </w:pPr>
          </w:p>
        </w:tc>
      </w:tr>
    </w:tbl>
    <w:p w:rsidR="004B03CA" w:rsidRPr="00DA0DCD" w:rsidRDefault="004B03CA" w:rsidP="004B03CA">
      <w:pPr>
        <w:rPr>
          <w:lang w:val="en-US"/>
        </w:rPr>
      </w:pPr>
      <w:r w:rsidRPr="00DA0DCD">
        <w:rPr>
          <w:lang w:val="en-US"/>
        </w:rPr>
        <w:t xml:space="preserve">Table C.2: </w:t>
      </w:r>
      <w:r w:rsidRPr="00DA0DCD">
        <w:rPr>
          <w:sz w:val="24"/>
          <w:szCs w:val="24"/>
          <w:lang w:val="en-US"/>
        </w:rPr>
        <w:t xml:space="preserve">Evaluation </w:t>
      </w:r>
      <w:r w:rsidRPr="00DA0DCD">
        <w:rPr>
          <w:lang w:val="en-US"/>
        </w:rPr>
        <w:t>of normality</w:t>
      </w:r>
    </w:p>
    <w:p w:rsidR="004B03CA" w:rsidRPr="00DA0DCD" w:rsidRDefault="004B03CA" w:rsidP="004B03CA">
      <w:pPr>
        <w:rPr>
          <w:lang w:val="en-US"/>
        </w:rPr>
      </w:pPr>
    </w:p>
    <w:p w:rsidR="004B03CA" w:rsidRPr="00DA0DCD" w:rsidRDefault="004B03CA" w:rsidP="004B03CA">
      <w:pPr>
        <w:rPr>
          <w:lang w:val="en-US"/>
        </w:rPr>
      </w:pPr>
    </w:p>
    <w:p w:rsidR="004B03CA" w:rsidRPr="00DA0DCD" w:rsidRDefault="004B03CA" w:rsidP="004B03CA">
      <w:pPr>
        <w:pStyle w:val="Kop1"/>
        <w:rPr>
          <w:lang w:val="en-US"/>
        </w:rPr>
      </w:pPr>
      <w:bookmarkStart w:id="100" w:name="_Toc270770631"/>
      <w:r w:rsidRPr="00DA0DCD">
        <w:rPr>
          <w:lang w:val="en-US"/>
        </w:rPr>
        <w:lastRenderedPageBreak/>
        <w:t>Appendix D: SPSS outcome per group</w:t>
      </w:r>
      <w:bookmarkEnd w:id="100"/>
    </w:p>
    <w:p w:rsidR="004B03CA" w:rsidRPr="00DA0DCD" w:rsidRDefault="004B03CA" w:rsidP="004B03CA">
      <w:pPr>
        <w:pStyle w:val="Kop2"/>
        <w:rPr>
          <w:lang w:val="en-US"/>
        </w:rPr>
      </w:pPr>
      <w:bookmarkStart w:id="101" w:name="_Toc270770632"/>
      <w:r w:rsidRPr="00DA0DCD">
        <w:rPr>
          <w:lang w:val="en-US"/>
        </w:rPr>
        <w:t>Total sample outcome</w:t>
      </w:r>
      <w:bookmarkEnd w:id="101"/>
    </w:p>
    <w:tbl>
      <w:tblPr>
        <w:tblW w:w="475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002"/>
        <w:gridCol w:w="1671"/>
        <w:gridCol w:w="1382"/>
        <w:gridCol w:w="698"/>
      </w:tblGrid>
      <w:tr w:rsidR="004B03CA" w:rsidRPr="00DA0DCD" w:rsidTr="000C3C74">
        <w:trPr>
          <w:cantSplit/>
          <w:tblHeader/>
        </w:trPr>
        <w:tc>
          <w:tcPr>
            <w:tcW w:w="4753" w:type="dxa"/>
            <w:gridSpan w:val="4"/>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spacing w:after="0" w:line="320" w:lineRule="atLeast"/>
              <w:jc w:val="center"/>
              <w:rPr>
                <w:rFonts w:ascii="Arial" w:hAnsi="Arial" w:cs="Arial"/>
                <w:sz w:val="16"/>
                <w:szCs w:val="16"/>
                <w:lang w:val="en-US"/>
              </w:rPr>
            </w:pPr>
            <w:r w:rsidRPr="00DA0DCD">
              <w:rPr>
                <w:rFonts w:ascii="Arial" w:hAnsi="Arial" w:cs="Arial"/>
                <w:b/>
                <w:bCs/>
                <w:sz w:val="16"/>
                <w:szCs w:val="16"/>
                <w:lang w:val="en-US"/>
              </w:rPr>
              <w:t>Descriptive Statistics</w:t>
            </w:r>
          </w:p>
        </w:tc>
      </w:tr>
      <w:tr w:rsidR="004B03CA" w:rsidRPr="00DA0DCD" w:rsidTr="000C3C74">
        <w:trPr>
          <w:cantSplit/>
          <w:tblHeader/>
        </w:trPr>
        <w:tc>
          <w:tcPr>
            <w:tcW w:w="100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67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6"/>
                <w:szCs w:val="16"/>
                <w:lang w:val="en-US"/>
              </w:rPr>
            </w:pPr>
            <w:r w:rsidRPr="00DA0DCD">
              <w:rPr>
                <w:rFonts w:cs="Arial"/>
                <w:sz w:val="16"/>
                <w:szCs w:val="16"/>
                <w:lang w:val="en-US"/>
              </w:rPr>
              <w:t>Mean</w:t>
            </w:r>
          </w:p>
        </w:tc>
        <w:tc>
          <w:tcPr>
            <w:tcW w:w="138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6"/>
                <w:szCs w:val="16"/>
                <w:lang w:val="en-US"/>
              </w:rPr>
            </w:pPr>
            <w:r w:rsidRPr="00DA0DCD">
              <w:rPr>
                <w:rFonts w:cs="Arial"/>
                <w:sz w:val="16"/>
                <w:szCs w:val="16"/>
                <w:lang w:val="en-US"/>
              </w:rPr>
              <w:t>Std. Deviation</w:t>
            </w:r>
          </w:p>
        </w:tc>
        <w:tc>
          <w:tcPr>
            <w:tcW w:w="69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6"/>
                <w:szCs w:val="16"/>
                <w:lang w:val="en-US"/>
              </w:rPr>
            </w:pPr>
            <w:r w:rsidRPr="00DA0DCD">
              <w:rPr>
                <w:rFonts w:cs="Arial"/>
                <w:sz w:val="16"/>
                <w:szCs w:val="16"/>
                <w:lang w:val="en-US"/>
              </w:rPr>
              <w:t>N</w:t>
            </w:r>
          </w:p>
        </w:tc>
      </w:tr>
      <w:tr w:rsidR="004B03CA" w:rsidRPr="00DA0DCD" w:rsidTr="000C3C74">
        <w:trPr>
          <w:cantSplit/>
          <w:tblHeader/>
        </w:trPr>
        <w:tc>
          <w:tcPr>
            <w:tcW w:w="1002"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6"/>
                <w:szCs w:val="16"/>
                <w:lang w:val="en-US"/>
              </w:rPr>
            </w:pPr>
            <w:r w:rsidRPr="00DA0DCD">
              <w:rPr>
                <w:rFonts w:cs="Arial"/>
                <w:sz w:val="16"/>
                <w:szCs w:val="16"/>
                <w:lang w:val="en-US"/>
              </w:rPr>
              <w:t>Rit</w:t>
            </w:r>
          </w:p>
        </w:tc>
        <w:tc>
          <w:tcPr>
            <w:tcW w:w="167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-9.246869055999E-4</w:t>
            </w:r>
          </w:p>
        </w:tc>
        <w:tc>
          <w:tcPr>
            <w:tcW w:w="138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.0399183088060</w:t>
            </w:r>
          </w:p>
        </w:tc>
        <w:tc>
          <w:tcPr>
            <w:tcW w:w="69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150912</w:t>
            </w:r>
          </w:p>
        </w:tc>
      </w:tr>
      <w:tr w:rsidR="004B03CA" w:rsidRPr="00DA0DCD" w:rsidTr="000C3C74">
        <w:trPr>
          <w:cantSplit/>
          <w:tblHeader/>
        </w:trPr>
        <w:tc>
          <w:tcPr>
            <w:tcW w:w="100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6"/>
                <w:szCs w:val="16"/>
                <w:lang w:val="en-US"/>
              </w:rPr>
            </w:pPr>
            <w:r w:rsidRPr="00DA0DCD">
              <w:rPr>
                <w:rFonts w:cs="Arial"/>
                <w:sz w:val="16"/>
                <w:szCs w:val="16"/>
                <w:lang w:val="en-US"/>
              </w:rPr>
              <w:t>Rmt</w:t>
            </w:r>
          </w:p>
        </w:tc>
        <w:tc>
          <w:tcPr>
            <w:tcW w:w="167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-.001177151971</w:t>
            </w:r>
          </w:p>
        </w:tc>
        <w:tc>
          <w:tcPr>
            <w:tcW w:w="138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.0214129177890</w:t>
            </w:r>
          </w:p>
        </w:tc>
        <w:tc>
          <w:tcPr>
            <w:tcW w:w="698"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150912</w:t>
            </w:r>
          </w:p>
        </w:tc>
      </w:tr>
      <w:tr w:rsidR="004B03CA" w:rsidRPr="00DA0DCD" w:rsidTr="000C3C74">
        <w:trPr>
          <w:cantSplit/>
          <w:tblHeader/>
        </w:trPr>
        <w:tc>
          <w:tcPr>
            <w:tcW w:w="100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6"/>
                <w:szCs w:val="16"/>
                <w:lang w:val="en-US"/>
              </w:rPr>
            </w:pPr>
            <w:r w:rsidRPr="00DA0DCD">
              <w:rPr>
                <w:rFonts w:cs="Arial"/>
                <w:sz w:val="16"/>
                <w:szCs w:val="16"/>
                <w:lang w:val="en-US"/>
              </w:rPr>
              <w:t>Intt</w:t>
            </w:r>
          </w:p>
        </w:tc>
        <w:tc>
          <w:tcPr>
            <w:tcW w:w="167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-.003718373048</w:t>
            </w:r>
          </w:p>
        </w:tc>
        <w:tc>
          <w:tcPr>
            <w:tcW w:w="138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.0140932455748</w:t>
            </w:r>
          </w:p>
        </w:tc>
        <w:tc>
          <w:tcPr>
            <w:tcW w:w="698"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150912</w:t>
            </w:r>
          </w:p>
        </w:tc>
      </w:tr>
      <w:tr w:rsidR="004B03CA" w:rsidRPr="00DA0DCD" w:rsidTr="000C3C74">
        <w:trPr>
          <w:cantSplit/>
          <w:tblHeader/>
        </w:trPr>
        <w:tc>
          <w:tcPr>
            <w:tcW w:w="100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6"/>
                <w:szCs w:val="16"/>
                <w:lang w:val="en-US"/>
              </w:rPr>
            </w:pPr>
            <w:r w:rsidRPr="00DA0DCD">
              <w:rPr>
                <w:rFonts w:cs="Arial"/>
                <w:sz w:val="16"/>
                <w:szCs w:val="16"/>
                <w:lang w:val="en-US"/>
              </w:rPr>
              <w:t>E_window1</w:t>
            </w:r>
          </w:p>
        </w:tc>
        <w:tc>
          <w:tcPr>
            <w:tcW w:w="167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.01</w:t>
            </w:r>
          </w:p>
        </w:tc>
        <w:tc>
          <w:tcPr>
            <w:tcW w:w="138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.088</w:t>
            </w:r>
          </w:p>
        </w:tc>
        <w:tc>
          <w:tcPr>
            <w:tcW w:w="698"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150912</w:t>
            </w:r>
          </w:p>
        </w:tc>
      </w:tr>
      <w:tr w:rsidR="004B03CA" w:rsidRPr="00DA0DCD" w:rsidTr="000C3C74">
        <w:trPr>
          <w:cantSplit/>
          <w:tblHeader/>
        </w:trPr>
        <w:tc>
          <w:tcPr>
            <w:tcW w:w="100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6"/>
                <w:szCs w:val="16"/>
                <w:lang w:val="en-US"/>
              </w:rPr>
            </w:pPr>
            <w:r w:rsidRPr="00DA0DCD">
              <w:rPr>
                <w:rFonts w:cs="Arial"/>
                <w:sz w:val="16"/>
                <w:szCs w:val="16"/>
                <w:lang w:val="en-US"/>
              </w:rPr>
              <w:t>E_window2</w:t>
            </w:r>
          </w:p>
        </w:tc>
        <w:tc>
          <w:tcPr>
            <w:tcW w:w="167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.01</w:t>
            </w:r>
          </w:p>
        </w:tc>
        <w:tc>
          <w:tcPr>
            <w:tcW w:w="138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.088</w:t>
            </w:r>
          </w:p>
        </w:tc>
        <w:tc>
          <w:tcPr>
            <w:tcW w:w="698"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150912</w:t>
            </w:r>
          </w:p>
        </w:tc>
      </w:tr>
      <w:tr w:rsidR="004B03CA" w:rsidRPr="00DA0DCD" w:rsidTr="000C3C74">
        <w:trPr>
          <w:cantSplit/>
          <w:tblHeader/>
        </w:trPr>
        <w:tc>
          <w:tcPr>
            <w:tcW w:w="100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6"/>
                <w:szCs w:val="16"/>
                <w:lang w:val="en-US"/>
              </w:rPr>
            </w:pPr>
            <w:r w:rsidRPr="00DA0DCD">
              <w:rPr>
                <w:rFonts w:cs="Arial"/>
                <w:sz w:val="16"/>
                <w:szCs w:val="16"/>
                <w:lang w:val="en-US"/>
              </w:rPr>
              <w:t>E_window3</w:t>
            </w:r>
          </w:p>
        </w:tc>
        <w:tc>
          <w:tcPr>
            <w:tcW w:w="167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.01</w:t>
            </w:r>
          </w:p>
        </w:tc>
        <w:tc>
          <w:tcPr>
            <w:tcW w:w="138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.088</w:t>
            </w:r>
          </w:p>
        </w:tc>
        <w:tc>
          <w:tcPr>
            <w:tcW w:w="698"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150912</w:t>
            </w:r>
          </w:p>
        </w:tc>
      </w:tr>
      <w:tr w:rsidR="004B03CA" w:rsidRPr="00DA0DCD" w:rsidTr="000C3C74">
        <w:trPr>
          <w:cantSplit/>
          <w:tblHeader/>
        </w:trPr>
        <w:tc>
          <w:tcPr>
            <w:tcW w:w="100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6"/>
                <w:szCs w:val="16"/>
                <w:lang w:val="en-US"/>
              </w:rPr>
            </w:pPr>
            <w:r w:rsidRPr="00DA0DCD">
              <w:rPr>
                <w:rFonts w:cs="Arial"/>
                <w:sz w:val="16"/>
                <w:szCs w:val="16"/>
                <w:lang w:val="en-US"/>
              </w:rPr>
              <w:t>E_window4</w:t>
            </w:r>
          </w:p>
        </w:tc>
        <w:tc>
          <w:tcPr>
            <w:tcW w:w="167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.01</w:t>
            </w:r>
          </w:p>
        </w:tc>
        <w:tc>
          <w:tcPr>
            <w:tcW w:w="138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.088</w:t>
            </w:r>
          </w:p>
        </w:tc>
        <w:tc>
          <w:tcPr>
            <w:tcW w:w="698"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150912</w:t>
            </w:r>
          </w:p>
        </w:tc>
      </w:tr>
      <w:tr w:rsidR="004B03CA" w:rsidRPr="00DA0DCD" w:rsidTr="000C3C74">
        <w:trPr>
          <w:cantSplit/>
        </w:trPr>
        <w:tc>
          <w:tcPr>
            <w:tcW w:w="1002"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6"/>
                <w:szCs w:val="16"/>
                <w:lang w:val="en-US"/>
              </w:rPr>
            </w:pPr>
            <w:r w:rsidRPr="00DA0DCD">
              <w:rPr>
                <w:rFonts w:cs="Arial"/>
                <w:sz w:val="16"/>
                <w:szCs w:val="16"/>
                <w:lang w:val="en-US"/>
              </w:rPr>
              <w:t>E_window5</w:t>
            </w:r>
          </w:p>
        </w:tc>
        <w:tc>
          <w:tcPr>
            <w:tcW w:w="167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.01</w:t>
            </w:r>
          </w:p>
        </w:tc>
        <w:tc>
          <w:tcPr>
            <w:tcW w:w="1382"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.113</w:t>
            </w:r>
          </w:p>
        </w:tc>
        <w:tc>
          <w:tcPr>
            <w:tcW w:w="698"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6"/>
                <w:szCs w:val="16"/>
                <w:lang w:val="en-US"/>
              </w:rPr>
            </w:pPr>
            <w:r w:rsidRPr="00DA0DCD">
              <w:rPr>
                <w:rFonts w:cs="Arial"/>
                <w:sz w:val="16"/>
                <w:szCs w:val="16"/>
                <w:lang w:val="en-US"/>
              </w:rPr>
              <w:t>150912</w:t>
            </w:r>
          </w:p>
        </w:tc>
      </w:tr>
    </w:tbl>
    <w:p w:rsidR="004B03CA" w:rsidRPr="00DA0DCD" w:rsidRDefault="004B03CA" w:rsidP="004B03CA">
      <w:pPr>
        <w:pStyle w:val="Geenafstand"/>
        <w:rPr>
          <w:lang w:val="en-US"/>
        </w:rPr>
      </w:pPr>
      <w:r w:rsidRPr="00DA0DCD">
        <w:rPr>
          <w:lang w:val="en-US"/>
        </w:rPr>
        <w:t>Table D.1</w:t>
      </w:r>
    </w:p>
    <w:tbl>
      <w:tblPr>
        <w:tblW w:w="930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93"/>
        <w:gridCol w:w="1134"/>
        <w:gridCol w:w="708"/>
        <w:gridCol w:w="851"/>
        <w:gridCol w:w="709"/>
        <w:gridCol w:w="1002"/>
        <w:gridCol w:w="930"/>
        <w:gridCol w:w="993"/>
        <w:gridCol w:w="992"/>
        <w:gridCol w:w="992"/>
      </w:tblGrid>
      <w:tr w:rsidR="004B03CA" w:rsidRPr="00DA0DCD" w:rsidTr="000C3C74">
        <w:trPr>
          <w:cantSplit/>
          <w:tblHeader/>
        </w:trPr>
        <w:tc>
          <w:tcPr>
            <w:tcW w:w="9304" w:type="dxa"/>
            <w:gridSpan w:val="10"/>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Correlations</w:t>
            </w:r>
          </w:p>
        </w:tc>
      </w:tr>
      <w:tr w:rsidR="004B03CA" w:rsidRPr="00DA0DCD" w:rsidTr="000C3C74">
        <w:trPr>
          <w:cantSplit/>
          <w:tblHeader/>
        </w:trPr>
        <w:tc>
          <w:tcPr>
            <w:tcW w:w="993"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134"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8"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Rit</w:t>
            </w:r>
          </w:p>
        </w:tc>
        <w:tc>
          <w:tcPr>
            <w:tcW w:w="85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Rmt</w:t>
            </w:r>
          </w:p>
        </w:tc>
        <w:tc>
          <w:tcPr>
            <w:tcW w:w="7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Intt</w:t>
            </w:r>
          </w:p>
        </w:tc>
        <w:tc>
          <w:tcPr>
            <w:tcW w:w="10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E_window1</w:t>
            </w:r>
          </w:p>
        </w:tc>
        <w:tc>
          <w:tcPr>
            <w:tcW w:w="93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E_window2</w:t>
            </w:r>
          </w:p>
        </w:tc>
        <w:tc>
          <w:tcPr>
            <w:tcW w:w="99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E_window3</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E_window4</w:t>
            </w:r>
          </w:p>
        </w:tc>
        <w:tc>
          <w:tcPr>
            <w:tcW w:w="9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E_window5</w:t>
            </w:r>
          </w:p>
        </w:tc>
      </w:tr>
      <w:tr w:rsidR="004B03CA" w:rsidRPr="00DA0DCD" w:rsidTr="000C3C74">
        <w:trPr>
          <w:cantSplit/>
          <w:tblHeader/>
        </w:trPr>
        <w:tc>
          <w:tcPr>
            <w:tcW w:w="993"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Pearson Correlation</w:t>
            </w:r>
          </w:p>
        </w:tc>
        <w:tc>
          <w:tcPr>
            <w:tcW w:w="1134"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Rit</w:t>
            </w:r>
          </w:p>
        </w:tc>
        <w:tc>
          <w:tcPr>
            <w:tcW w:w="708"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851"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,407</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100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93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w:t>
            </w:r>
          </w:p>
        </w:tc>
        <w:tc>
          <w:tcPr>
            <w:tcW w:w="993"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-,029</w:t>
            </w:r>
          </w:p>
        </w:tc>
        <w:tc>
          <w:tcPr>
            <w:tcW w:w="992"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,407</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-,023</w:t>
            </w:r>
          </w:p>
        </w:tc>
        <w:tc>
          <w:tcPr>
            <w:tcW w:w="100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c>
          <w:tcPr>
            <w:tcW w:w="93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-,107</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-,061</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-,019</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100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,018</w:t>
            </w:r>
          </w:p>
        </w:tc>
        <w:tc>
          <w:tcPr>
            <w:tcW w:w="93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,046</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,076</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-,034</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,001</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,018</w:t>
            </w:r>
          </w:p>
        </w:tc>
        <w:tc>
          <w:tcPr>
            <w:tcW w:w="100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3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100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3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-,047</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,046</w:t>
            </w:r>
          </w:p>
        </w:tc>
        <w:tc>
          <w:tcPr>
            <w:tcW w:w="100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3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-,029</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,076</w:t>
            </w:r>
          </w:p>
        </w:tc>
        <w:tc>
          <w:tcPr>
            <w:tcW w:w="100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3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708" w:type="dxa"/>
            <w:tcBorders>
              <w:top w:val="nil"/>
              <w:lef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-,007</w:t>
            </w:r>
          </w:p>
        </w:tc>
        <w:tc>
          <w:tcPr>
            <w:tcW w:w="851"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-,061</w:t>
            </w:r>
          </w:p>
        </w:tc>
        <w:tc>
          <w:tcPr>
            <w:tcW w:w="709"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-,034</w:t>
            </w:r>
          </w:p>
        </w:tc>
        <w:tc>
          <w:tcPr>
            <w:tcW w:w="100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30"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3"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r>
    </w:tbl>
    <w:p w:rsidR="004B03CA" w:rsidRPr="00DA0DCD" w:rsidRDefault="004B03CA" w:rsidP="004B03CA">
      <w:pPr>
        <w:pStyle w:val="Geenafstand"/>
        <w:rPr>
          <w:lang w:val="en-US"/>
        </w:rPr>
      </w:pPr>
      <w:r w:rsidRPr="00DA0DCD">
        <w:rPr>
          <w:lang w:val="en-US"/>
        </w:rPr>
        <w:t>Table D.2</w:t>
      </w:r>
    </w:p>
    <w:tbl>
      <w:tblPr>
        <w:tblW w:w="630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01"/>
        <w:gridCol w:w="1112"/>
        <w:gridCol w:w="1186"/>
        <w:gridCol w:w="1603"/>
        <w:gridCol w:w="1603"/>
      </w:tblGrid>
      <w:tr w:rsidR="004B03CA" w:rsidRPr="00DA0DCD" w:rsidTr="000C3C74">
        <w:trPr>
          <w:cantSplit/>
          <w:tblHeader/>
        </w:trPr>
        <w:tc>
          <w:tcPr>
            <w:tcW w:w="6305"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Model Summary</w:t>
            </w:r>
            <w:r w:rsidRPr="00DA0DCD">
              <w:rPr>
                <w:b/>
                <w:sz w:val="16"/>
                <w:szCs w:val="16"/>
                <w:vertAlign w:val="superscript"/>
                <w:lang w:val="en-US"/>
              </w:rPr>
              <w:t>b</w:t>
            </w:r>
          </w:p>
        </w:tc>
      </w:tr>
      <w:tr w:rsidR="004B03CA" w:rsidRPr="00872F8A" w:rsidTr="000C3C74">
        <w:trPr>
          <w:cantSplit/>
          <w:tblHeader/>
        </w:trPr>
        <w:tc>
          <w:tcPr>
            <w:tcW w:w="801"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11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w:t>
            </w:r>
          </w:p>
        </w:tc>
        <w:tc>
          <w:tcPr>
            <w:tcW w:w="118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 Square</w:t>
            </w:r>
          </w:p>
        </w:tc>
        <w:tc>
          <w:tcPr>
            <w:tcW w:w="160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Adjusted R Square</w:t>
            </w:r>
          </w:p>
        </w:tc>
        <w:tc>
          <w:tcPr>
            <w:tcW w:w="160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 of the Estimate</w:t>
            </w:r>
          </w:p>
        </w:tc>
      </w:tr>
      <w:tr w:rsidR="004B03CA" w:rsidRPr="00DA0DCD" w:rsidTr="000C3C74">
        <w:trPr>
          <w:cantSplit/>
          <w:tblHeader/>
        </w:trPr>
        <w:tc>
          <w:tcPr>
            <w:tcW w:w="801"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11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,408</w:t>
            </w:r>
            <w:r w:rsidRPr="00DA0DCD">
              <w:rPr>
                <w:sz w:val="16"/>
                <w:szCs w:val="16"/>
                <w:vertAlign w:val="superscript"/>
                <w:lang w:val="en-US"/>
              </w:rPr>
              <w:t>a</w:t>
            </w:r>
          </w:p>
        </w:tc>
        <w:tc>
          <w:tcPr>
            <w:tcW w:w="1186"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,167</w:t>
            </w:r>
          </w:p>
        </w:tc>
        <w:tc>
          <w:tcPr>
            <w:tcW w:w="1603"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,166</w:t>
            </w:r>
          </w:p>
        </w:tc>
        <w:tc>
          <w:tcPr>
            <w:tcW w:w="160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.0364442824582</w:t>
            </w:r>
          </w:p>
        </w:tc>
      </w:tr>
      <w:tr w:rsidR="004B03CA" w:rsidRPr="00872F8A" w:rsidTr="000C3C74">
        <w:trPr>
          <w:cantSplit/>
          <w:tblHeader/>
        </w:trPr>
        <w:tc>
          <w:tcPr>
            <w:tcW w:w="6305" w:type="dxa"/>
            <w:gridSpan w:val="5"/>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Predictors: (Constant), E_window5, E_window4, E_window3, E_window2, E_window1, Intt, Rmt</w:t>
            </w:r>
          </w:p>
        </w:tc>
      </w:tr>
      <w:tr w:rsidR="004B03CA" w:rsidRPr="00DA0DCD" w:rsidTr="000C3C74">
        <w:trPr>
          <w:cantSplit/>
        </w:trPr>
        <w:tc>
          <w:tcPr>
            <w:tcW w:w="4702"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b. Dependent Variable: Rit</w:t>
            </w:r>
          </w:p>
        </w:tc>
        <w:tc>
          <w:tcPr>
            <w:tcW w:w="1603"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pStyle w:val="Geenafstand"/>
        <w:rPr>
          <w:lang w:val="en-US"/>
        </w:rPr>
      </w:pPr>
      <w:r w:rsidRPr="00DA0DCD">
        <w:rPr>
          <w:lang w:val="en-US"/>
        </w:rPr>
        <w:t>Table D.3</w:t>
      </w:r>
    </w:p>
    <w:tbl>
      <w:tblPr>
        <w:tblW w:w="876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02"/>
        <w:gridCol w:w="1400"/>
        <w:gridCol w:w="1603"/>
        <w:gridCol w:w="1111"/>
        <w:gridCol w:w="1539"/>
        <w:gridCol w:w="1196"/>
        <w:gridCol w:w="1112"/>
      </w:tblGrid>
      <w:tr w:rsidR="004B03CA" w:rsidRPr="00DA0DCD" w:rsidTr="000C3C74">
        <w:trPr>
          <w:cantSplit/>
          <w:tblHeader/>
        </w:trPr>
        <w:tc>
          <w:tcPr>
            <w:tcW w:w="8763"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ANOVA</w:t>
            </w:r>
            <w:r w:rsidRPr="00DA0DCD">
              <w:rPr>
                <w:b/>
                <w:sz w:val="16"/>
                <w:szCs w:val="16"/>
                <w:vertAlign w:val="superscript"/>
                <w:lang w:val="en-US"/>
              </w:rPr>
              <w:t>b</w:t>
            </w:r>
          </w:p>
        </w:tc>
      </w:tr>
      <w:tr w:rsidR="004B03CA" w:rsidRPr="00DA0DCD" w:rsidTr="000C3C74">
        <w:trPr>
          <w:cantSplit/>
          <w:tblHeader/>
        </w:trPr>
        <w:tc>
          <w:tcPr>
            <w:tcW w:w="2202"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603"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Sum of Squares</w:t>
            </w:r>
          </w:p>
        </w:tc>
        <w:tc>
          <w:tcPr>
            <w:tcW w:w="111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df</w:t>
            </w:r>
          </w:p>
        </w:tc>
        <w:tc>
          <w:tcPr>
            <w:tcW w:w="153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 Square</w:t>
            </w:r>
          </w:p>
        </w:tc>
        <w:tc>
          <w:tcPr>
            <w:tcW w:w="119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F</w:t>
            </w:r>
          </w:p>
        </w:tc>
        <w:tc>
          <w:tcPr>
            <w:tcW w:w="111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r>
      <w:tr w:rsidR="004B03CA" w:rsidRPr="00DA0DCD" w:rsidTr="000C3C74">
        <w:trPr>
          <w:cantSplit/>
          <w:tblHeader/>
        </w:trPr>
        <w:tc>
          <w:tcPr>
            <w:tcW w:w="80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40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Regression</w:t>
            </w:r>
          </w:p>
        </w:tc>
        <w:tc>
          <w:tcPr>
            <w:tcW w:w="1603"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40,044</w:t>
            </w:r>
          </w:p>
        </w:tc>
        <w:tc>
          <w:tcPr>
            <w:tcW w:w="1111"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w:t>
            </w:r>
          </w:p>
        </w:tc>
        <w:tc>
          <w:tcPr>
            <w:tcW w:w="153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5,721</w:t>
            </w:r>
          </w:p>
        </w:tc>
        <w:tc>
          <w:tcPr>
            <w:tcW w:w="1196"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4307,038</w:t>
            </w:r>
          </w:p>
        </w:tc>
        <w:tc>
          <w:tcPr>
            <w:tcW w:w="1112"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r w:rsidRPr="00DA0DCD">
              <w:rPr>
                <w:sz w:val="16"/>
                <w:szCs w:val="16"/>
                <w:vertAlign w:val="superscript"/>
                <w:lang w:val="en-US"/>
              </w:rPr>
              <w:t>a</w:t>
            </w:r>
          </w:p>
        </w:tc>
      </w:tr>
      <w:tr w:rsidR="004B03CA" w:rsidRPr="00DA0DCD" w:rsidTr="000C3C74">
        <w:trPr>
          <w:cantSplit/>
          <w:tblHeader/>
        </w:trPr>
        <w:tc>
          <w:tcPr>
            <w:tcW w:w="8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400"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Residual</w:t>
            </w:r>
          </w:p>
        </w:tc>
        <w:tc>
          <w:tcPr>
            <w:tcW w:w="160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200,429</w:t>
            </w:r>
          </w:p>
        </w:tc>
        <w:tc>
          <w:tcPr>
            <w:tcW w:w="111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150904</w:t>
            </w:r>
          </w:p>
        </w:tc>
        <w:tc>
          <w:tcPr>
            <w:tcW w:w="153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96"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2"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80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40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Total</w:t>
            </w:r>
          </w:p>
        </w:tc>
        <w:tc>
          <w:tcPr>
            <w:tcW w:w="1603"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240,472</w:t>
            </w:r>
          </w:p>
        </w:tc>
        <w:tc>
          <w:tcPr>
            <w:tcW w:w="111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150911</w:t>
            </w:r>
          </w:p>
        </w:tc>
        <w:tc>
          <w:tcPr>
            <w:tcW w:w="1539"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96"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872F8A" w:rsidTr="000C3C74">
        <w:trPr>
          <w:cantSplit/>
          <w:tblHeader/>
        </w:trPr>
        <w:tc>
          <w:tcPr>
            <w:tcW w:w="8763"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Predictors: (Constant), E_window5, E_window4, E_window3, E_window2, E_window1, Intt, Rmt</w:t>
            </w:r>
          </w:p>
        </w:tc>
      </w:tr>
      <w:tr w:rsidR="004B03CA" w:rsidRPr="00DA0DCD" w:rsidTr="000C3C74">
        <w:trPr>
          <w:cantSplit/>
        </w:trPr>
        <w:tc>
          <w:tcPr>
            <w:tcW w:w="3805"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b. Dependent Variable: Rit</w:t>
            </w:r>
          </w:p>
        </w:tc>
        <w:tc>
          <w:tcPr>
            <w:tcW w:w="111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53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9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lang w:val="en-US"/>
        </w:rPr>
      </w:pPr>
      <w:r w:rsidRPr="00DA0DCD">
        <w:rPr>
          <w:lang w:val="en-US"/>
        </w:rPr>
        <w:t>Table D.4</w:t>
      </w:r>
    </w:p>
    <w:p w:rsidR="004B03CA" w:rsidRPr="00DA0DCD" w:rsidRDefault="004B03CA" w:rsidP="004B03CA">
      <w:pPr>
        <w:rPr>
          <w:lang w:val="en-US"/>
        </w:rPr>
      </w:pPr>
    </w:p>
    <w:p w:rsidR="004B03CA" w:rsidRPr="00DA0DCD" w:rsidRDefault="004B03CA" w:rsidP="004B03CA">
      <w:pPr>
        <w:rPr>
          <w:lang w:val="en-US"/>
        </w:rPr>
      </w:pPr>
      <w:r w:rsidRPr="00DA0DCD">
        <w:rPr>
          <w:lang w:val="en-US"/>
        </w:rPr>
        <w:br w:type="page"/>
      </w:r>
    </w:p>
    <w:tbl>
      <w:tblPr>
        <w:tblW w:w="935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2"/>
        <w:gridCol w:w="992"/>
        <w:gridCol w:w="567"/>
        <w:gridCol w:w="567"/>
        <w:gridCol w:w="142"/>
        <w:gridCol w:w="1134"/>
        <w:gridCol w:w="709"/>
        <w:gridCol w:w="567"/>
        <w:gridCol w:w="850"/>
        <w:gridCol w:w="567"/>
        <w:gridCol w:w="567"/>
        <w:gridCol w:w="567"/>
        <w:gridCol w:w="567"/>
        <w:gridCol w:w="851"/>
        <w:gridCol w:w="567"/>
      </w:tblGrid>
      <w:tr w:rsidR="004B03CA" w:rsidRPr="00DA0DCD" w:rsidTr="000C3C74">
        <w:trPr>
          <w:cantSplit/>
          <w:tblHeader/>
        </w:trPr>
        <w:tc>
          <w:tcPr>
            <w:tcW w:w="9356"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lastRenderedPageBreak/>
              <w:t>Coefficients</w:t>
            </w:r>
            <w:r w:rsidRPr="00DA0DCD">
              <w:rPr>
                <w:b/>
                <w:sz w:val="18"/>
                <w:szCs w:val="18"/>
                <w:vertAlign w:val="superscript"/>
                <w:lang w:val="en-US"/>
              </w:rPr>
              <w:t>a</w:t>
            </w:r>
          </w:p>
        </w:tc>
      </w:tr>
      <w:tr w:rsidR="004B03CA" w:rsidRPr="00DA0DCD" w:rsidTr="000C3C74">
        <w:trPr>
          <w:cantSplit/>
          <w:tblHeader/>
        </w:trPr>
        <w:tc>
          <w:tcPr>
            <w:tcW w:w="113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c>
          <w:tcPr>
            <w:tcW w:w="1417"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Collinearity Statistics</w:t>
            </w:r>
          </w:p>
        </w:tc>
      </w:tr>
      <w:tr w:rsidR="004B03CA" w:rsidRPr="00DA0DCD" w:rsidTr="000C3C74">
        <w:trPr>
          <w:cantSplit/>
          <w:tblHeader/>
        </w:trPr>
        <w:tc>
          <w:tcPr>
            <w:tcW w:w="113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Lower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VIF</w:t>
            </w:r>
          </w:p>
        </w:tc>
      </w:tr>
      <w:tr w:rsidR="004B03CA" w:rsidRPr="00DA0DCD" w:rsidTr="000C3C74">
        <w:trPr>
          <w:cantSplit/>
          <w:tblHeader/>
        </w:trPr>
        <w:tc>
          <w:tcPr>
            <w:tcW w:w="14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-1,134</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,257</w:t>
            </w:r>
          </w:p>
        </w:tc>
        <w:tc>
          <w:tcPr>
            <w:tcW w:w="85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,760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,408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171,789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,751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,768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1,019</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-3,305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,001</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1,010</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-2,134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,033</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1,001</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-2,423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,015</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1,001</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-1,137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,255</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,986</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1,014</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-3,901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1,009</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,018</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7,429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,017</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,995</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1,005</w:t>
            </w:r>
          </w:p>
        </w:tc>
      </w:tr>
      <w:tr w:rsidR="004B03CA" w:rsidRPr="00DA0DCD" w:rsidTr="000C3C74">
        <w:trPr>
          <w:cantSplit/>
        </w:trPr>
        <w:tc>
          <w:tcPr>
            <w:tcW w:w="2268"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D.5</w:t>
      </w:r>
    </w:p>
    <w:tbl>
      <w:tblPr>
        <w:tblW w:w="1006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1843"/>
        <w:gridCol w:w="567"/>
        <w:gridCol w:w="708"/>
        <w:gridCol w:w="1134"/>
        <w:gridCol w:w="709"/>
        <w:gridCol w:w="425"/>
        <w:gridCol w:w="567"/>
        <w:gridCol w:w="709"/>
        <w:gridCol w:w="567"/>
        <w:gridCol w:w="567"/>
        <w:gridCol w:w="567"/>
        <w:gridCol w:w="851"/>
        <w:gridCol w:w="567"/>
      </w:tblGrid>
      <w:tr w:rsidR="004B03CA" w:rsidRPr="00DA0DCD" w:rsidTr="000C3C74">
        <w:trPr>
          <w:cantSplit/>
          <w:tblHeader/>
        </w:trPr>
        <w:tc>
          <w:tcPr>
            <w:tcW w:w="10065" w:type="dxa"/>
            <w:gridSpan w:val="14"/>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2127"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275"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Collinearity Statistics</w:t>
            </w:r>
          </w:p>
        </w:tc>
      </w:tr>
      <w:tr w:rsidR="004B03CA" w:rsidRPr="00DA0DCD" w:rsidTr="000C3C74">
        <w:trPr>
          <w:cantSplit/>
          <w:tblHeader/>
        </w:trPr>
        <w:tc>
          <w:tcPr>
            <w:tcW w:w="2127"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w:t>
            </w:r>
          </w:p>
        </w:tc>
        <w:tc>
          <w:tcPr>
            <w:tcW w:w="708"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Lower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84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-1,320</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,187</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843"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,759</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172,307</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,750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,768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,405</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843"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-,027</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-4,017</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84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Windows_Combined</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,029</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,977</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,987</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1,013</w:t>
            </w:r>
          </w:p>
        </w:tc>
      </w:tr>
      <w:tr w:rsidR="004B03CA" w:rsidRPr="00DA0DCD" w:rsidTr="000C3C74">
        <w:trPr>
          <w:cantSplit/>
        </w:trPr>
        <w:tc>
          <w:tcPr>
            <w:tcW w:w="2694"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70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sz w:val="18"/>
          <w:szCs w:val="18"/>
          <w:lang w:val="en-US"/>
        </w:rPr>
      </w:pPr>
      <w:r w:rsidRPr="00DA0DCD">
        <w:rPr>
          <w:lang w:val="en-US"/>
        </w:rPr>
        <w:t>Table D.6</w:t>
      </w:r>
    </w:p>
    <w:tbl>
      <w:tblPr>
        <w:tblW w:w="949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670"/>
        <w:gridCol w:w="1441"/>
        <w:gridCol w:w="1418"/>
        <w:gridCol w:w="1842"/>
        <w:gridCol w:w="1418"/>
        <w:gridCol w:w="709"/>
      </w:tblGrid>
      <w:tr w:rsidR="004B03CA" w:rsidRPr="00DA0DCD" w:rsidTr="000C3C74">
        <w:trPr>
          <w:cantSplit/>
          <w:tblHeader/>
        </w:trPr>
        <w:tc>
          <w:tcPr>
            <w:tcW w:w="9498" w:type="dxa"/>
            <w:gridSpan w:val="6"/>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Residuals Statistics</w:t>
            </w:r>
            <w:r w:rsidRPr="00DA0DCD">
              <w:rPr>
                <w:b/>
                <w:sz w:val="18"/>
                <w:szCs w:val="18"/>
                <w:vertAlign w:val="superscript"/>
                <w:lang w:val="en-US"/>
              </w:rPr>
              <w:t>a</w:t>
            </w:r>
          </w:p>
        </w:tc>
      </w:tr>
      <w:tr w:rsidR="004B03CA" w:rsidRPr="00DA0DCD" w:rsidTr="000C3C74">
        <w:trPr>
          <w:cantSplit/>
          <w:tblHeader/>
        </w:trPr>
        <w:tc>
          <w:tcPr>
            <w:tcW w:w="267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44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Minimum</w:t>
            </w:r>
          </w:p>
        </w:tc>
        <w:tc>
          <w:tcPr>
            <w:tcW w:w="141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Maximum</w:t>
            </w:r>
          </w:p>
        </w:tc>
        <w:tc>
          <w:tcPr>
            <w:tcW w:w="184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w:t>
            </w:r>
          </w:p>
        </w:tc>
        <w:tc>
          <w:tcPr>
            <w:tcW w:w="141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Deviation</w:t>
            </w:r>
          </w:p>
        </w:tc>
        <w:tc>
          <w:tcPr>
            <w:tcW w:w="709"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N</w:t>
            </w:r>
          </w:p>
        </w:tc>
      </w:tr>
      <w:tr w:rsidR="004B03CA" w:rsidRPr="00DA0DCD" w:rsidTr="000C3C74">
        <w:trPr>
          <w:cantSplit/>
          <w:tblHeader/>
        </w:trPr>
        <w:tc>
          <w:tcPr>
            <w:tcW w:w="267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Predicted Value</w:t>
            </w:r>
          </w:p>
        </w:tc>
        <w:tc>
          <w:tcPr>
            <w:tcW w:w="144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-.099732004106</w:t>
            </w:r>
          </w:p>
        </w:tc>
        <w:tc>
          <w:tcPr>
            <w:tcW w:w="141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.132350862026</w:t>
            </w:r>
          </w:p>
        </w:tc>
        <w:tc>
          <w:tcPr>
            <w:tcW w:w="184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-9.246869055999E-4</w:t>
            </w:r>
          </w:p>
        </w:tc>
        <w:tc>
          <w:tcPr>
            <w:tcW w:w="141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.0162894831677</w:t>
            </w:r>
          </w:p>
        </w:tc>
        <w:tc>
          <w:tcPr>
            <w:tcW w:w="709"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150912</w:t>
            </w:r>
          </w:p>
        </w:tc>
      </w:tr>
      <w:tr w:rsidR="004B03CA" w:rsidRPr="00DA0DCD" w:rsidTr="000C3C74">
        <w:trPr>
          <w:cantSplit/>
          <w:tblHeader/>
        </w:trPr>
        <w:tc>
          <w:tcPr>
            <w:tcW w:w="267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Mahal. Distance</w:t>
            </w:r>
          </w:p>
        </w:tc>
        <w:tc>
          <w:tcPr>
            <w:tcW w:w="144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,046</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485,738</w:t>
            </w:r>
          </w:p>
        </w:tc>
        <w:tc>
          <w:tcPr>
            <w:tcW w:w="184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7,000</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25,999</w:t>
            </w:r>
          </w:p>
        </w:tc>
        <w:tc>
          <w:tcPr>
            <w:tcW w:w="709"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150912</w:t>
            </w:r>
          </w:p>
        </w:tc>
      </w:tr>
      <w:tr w:rsidR="004B03CA" w:rsidRPr="00DA0DCD" w:rsidTr="000C3C74">
        <w:trPr>
          <w:cantSplit/>
          <w:tblHeader/>
        </w:trPr>
        <w:tc>
          <w:tcPr>
            <w:tcW w:w="267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b/>
                <w:sz w:val="16"/>
                <w:szCs w:val="16"/>
                <w:lang w:val="en-US"/>
              </w:rPr>
            </w:pPr>
            <w:r w:rsidRPr="00DA0DCD">
              <w:rPr>
                <w:b/>
                <w:sz w:val="16"/>
                <w:szCs w:val="16"/>
                <w:lang w:val="en-US"/>
              </w:rPr>
              <w:t>Cook's Distance</w:t>
            </w:r>
          </w:p>
        </w:tc>
        <w:tc>
          <w:tcPr>
            <w:tcW w:w="144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,028</w:t>
            </w:r>
          </w:p>
        </w:tc>
        <w:tc>
          <w:tcPr>
            <w:tcW w:w="184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150912</w:t>
            </w:r>
          </w:p>
        </w:tc>
      </w:tr>
      <w:tr w:rsidR="004B03CA" w:rsidRPr="00DA0DCD" w:rsidTr="000C3C74">
        <w:trPr>
          <w:cantSplit/>
          <w:tblHeader/>
        </w:trPr>
        <w:tc>
          <w:tcPr>
            <w:tcW w:w="267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Centered Leverage Value</w:t>
            </w:r>
          </w:p>
        </w:tc>
        <w:tc>
          <w:tcPr>
            <w:tcW w:w="144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1842"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150912</w:t>
            </w:r>
          </w:p>
        </w:tc>
      </w:tr>
      <w:tr w:rsidR="004B03CA" w:rsidRPr="00DA0DCD" w:rsidTr="000C3C74">
        <w:trPr>
          <w:cantSplit/>
        </w:trPr>
        <w:tc>
          <w:tcPr>
            <w:tcW w:w="4111"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1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18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141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bl>
    <w:p w:rsidR="004B03CA" w:rsidRPr="00DA0DCD" w:rsidRDefault="00835F11" w:rsidP="004B03CA">
      <w:pPr>
        <w:rPr>
          <w:lang w:val="en-US"/>
        </w:rPr>
      </w:pPr>
      <w:r>
        <w:rPr>
          <w:lang w:val="en-US"/>
        </w:rPr>
        <w:t>Table D.7</w:t>
      </w:r>
    </w:p>
    <w:p w:rsidR="004B03CA" w:rsidRPr="00DA0DCD" w:rsidRDefault="004B03CA" w:rsidP="004B03CA">
      <w:pPr>
        <w:rPr>
          <w:sz w:val="18"/>
          <w:szCs w:val="18"/>
          <w:lang w:val="en-US"/>
        </w:rPr>
      </w:pPr>
      <w:r w:rsidRPr="00DA0DCD">
        <w:rPr>
          <w:sz w:val="18"/>
          <w:szCs w:val="18"/>
          <w:lang w:val="en-US"/>
        </w:rPr>
        <w:br w:type="page"/>
      </w:r>
    </w:p>
    <w:p w:rsidR="004B03CA" w:rsidRPr="00DA0DCD" w:rsidRDefault="004B03CA" w:rsidP="004B03CA">
      <w:pPr>
        <w:pStyle w:val="Kop2"/>
        <w:rPr>
          <w:lang w:val="en-US"/>
        </w:rPr>
      </w:pPr>
      <w:bookmarkStart w:id="102" w:name="_Toc270770633"/>
      <w:r w:rsidRPr="00DA0DCD">
        <w:rPr>
          <w:lang w:val="en-US"/>
        </w:rPr>
        <w:lastRenderedPageBreak/>
        <w:t>Banks and Insurance companies sample outcome</w:t>
      </w:r>
      <w:bookmarkEnd w:id="102"/>
    </w:p>
    <w:p w:rsidR="004B03CA" w:rsidRPr="00DA0DCD" w:rsidRDefault="004B03CA" w:rsidP="004B03CA">
      <w:pPr>
        <w:pStyle w:val="Geenafstand"/>
        <w:rPr>
          <w:sz w:val="18"/>
          <w:szCs w:val="18"/>
          <w:lang w:val="en-US"/>
        </w:rPr>
      </w:pPr>
    </w:p>
    <w:tbl>
      <w:tblPr>
        <w:tblW w:w="520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391"/>
        <w:gridCol w:w="1303"/>
        <w:gridCol w:w="1392"/>
        <w:gridCol w:w="1117"/>
      </w:tblGrid>
      <w:tr w:rsidR="004B03CA" w:rsidRPr="00DA0DCD" w:rsidTr="000C3C74">
        <w:trPr>
          <w:cantSplit/>
          <w:tblHeader/>
        </w:trPr>
        <w:tc>
          <w:tcPr>
            <w:tcW w:w="5203" w:type="dxa"/>
            <w:gridSpan w:val="4"/>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Descriptive Statistics</w:t>
            </w:r>
          </w:p>
        </w:tc>
      </w:tr>
      <w:tr w:rsidR="004B03CA" w:rsidRPr="00DA0DCD" w:rsidTr="000C3C74">
        <w:trPr>
          <w:cantSplit/>
          <w:tblHeader/>
        </w:trPr>
        <w:tc>
          <w:tcPr>
            <w:tcW w:w="1391"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303"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w:t>
            </w:r>
          </w:p>
        </w:tc>
        <w:tc>
          <w:tcPr>
            <w:tcW w:w="13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Deviation</w:t>
            </w:r>
          </w:p>
        </w:tc>
        <w:tc>
          <w:tcPr>
            <w:tcW w:w="111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N</w:t>
            </w:r>
          </w:p>
        </w:tc>
      </w:tr>
      <w:tr w:rsidR="004B03CA" w:rsidRPr="00DA0DCD" w:rsidTr="000C3C74">
        <w:trPr>
          <w:cantSplit/>
          <w:tblHeader/>
        </w:trPr>
        <w:tc>
          <w:tcPr>
            <w:tcW w:w="1391"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Rit</w:t>
            </w:r>
          </w:p>
        </w:tc>
        <w:tc>
          <w:tcPr>
            <w:tcW w:w="1303"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-.001012512267</w:t>
            </w:r>
          </w:p>
        </w:tc>
        <w:tc>
          <w:tcPr>
            <w:tcW w:w="13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.0391161545135</w:t>
            </w:r>
          </w:p>
        </w:tc>
        <w:tc>
          <w:tcPr>
            <w:tcW w:w="1117"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blHeader/>
        </w:trPr>
        <w:tc>
          <w:tcPr>
            <w:tcW w:w="139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130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-.001222994621</w:t>
            </w:r>
          </w:p>
        </w:tc>
        <w:tc>
          <w:tcPr>
            <w:tcW w:w="13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.0214576841515</w:t>
            </w: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blHeader/>
        </w:trPr>
        <w:tc>
          <w:tcPr>
            <w:tcW w:w="139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130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-.003637104091</w:t>
            </w:r>
          </w:p>
        </w:tc>
        <w:tc>
          <w:tcPr>
            <w:tcW w:w="13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.0134721053518</w:t>
            </w: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blHeader/>
        </w:trPr>
        <w:tc>
          <w:tcPr>
            <w:tcW w:w="139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130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3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blHeader/>
        </w:trPr>
        <w:tc>
          <w:tcPr>
            <w:tcW w:w="139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130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3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blHeader/>
        </w:trPr>
        <w:tc>
          <w:tcPr>
            <w:tcW w:w="139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130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3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blHeader/>
        </w:trPr>
        <w:tc>
          <w:tcPr>
            <w:tcW w:w="139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130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3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rPr>
        <w:tc>
          <w:tcPr>
            <w:tcW w:w="1391"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1303"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392"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.113</w:t>
            </w:r>
          </w:p>
        </w:tc>
        <w:tc>
          <w:tcPr>
            <w:tcW w:w="111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bl>
    <w:p w:rsidR="004B03CA" w:rsidRPr="00DA0DCD" w:rsidRDefault="004B03CA" w:rsidP="004B03CA">
      <w:pPr>
        <w:rPr>
          <w:sz w:val="18"/>
          <w:szCs w:val="18"/>
          <w:lang w:val="en-US"/>
        </w:rPr>
      </w:pPr>
      <w:r w:rsidRPr="00DA0DCD">
        <w:rPr>
          <w:lang w:val="en-US"/>
        </w:rPr>
        <w:t>Table D.9</w:t>
      </w:r>
    </w:p>
    <w:tbl>
      <w:tblPr>
        <w:tblW w:w="8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93"/>
        <w:gridCol w:w="1134"/>
        <w:gridCol w:w="708"/>
        <w:gridCol w:w="567"/>
        <w:gridCol w:w="567"/>
        <w:gridCol w:w="993"/>
        <w:gridCol w:w="992"/>
        <w:gridCol w:w="992"/>
        <w:gridCol w:w="992"/>
        <w:gridCol w:w="993"/>
      </w:tblGrid>
      <w:tr w:rsidR="004B03CA" w:rsidRPr="00DA0DCD" w:rsidTr="000C3C74">
        <w:trPr>
          <w:cantSplit/>
          <w:tblHeader/>
        </w:trPr>
        <w:tc>
          <w:tcPr>
            <w:tcW w:w="8931" w:type="dxa"/>
            <w:gridSpan w:val="10"/>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Correlations</w:t>
            </w:r>
          </w:p>
        </w:tc>
      </w:tr>
      <w:tr w:rsidR="004B03CA" w:rsidRPr="00DA0DCD" w:rsidTr="000C3C74">
        <w:trPr>
          <w:cantSplit/>
          <w:tblHeader/>
        </w:trPr>
        <w:tc>
          <w:tcPr>
            <w:tcW w:w="993"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134"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8"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Rit</w:t>
            </w:r>
          </w:p>
        </w:tc>
        <w:tc>
          <w:tcPr>
            <w:tcW w:w="56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Intt</w:t>
            </w:r>
          </w:p>
        </w:tc>
        <w:tc>
          <w:tcPr>
            <w:tcW w:w="99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E_window1</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E_window2</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E_window3</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E_window4</w:t>
            </w:r>
          </w:p>
        </w:tc>
        <w:tc>
          <w:tcPr>
            <w:tcW w:w="99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E_window5</w:t>
            </w:r>
          </w:p>
        </w:tc>
      </w:tr>
      <w:tr w:rsidR="004B03CA" w:rsidRPr="00DA0DCD" w:rsidTr="000C3C74">
        <w:trPr>
          <w:cantSplit/>
          <w:tblHeader/>
        </w:trPr>
        <w:tc>
          <w:tcPr>
            <w:tcW w:w="993"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Pearson Correlation</w:t>
            </w:r>
          </w:p>
        </w:tc>
        <w:tc>
          <w:tcPr>
            <w:tcW w:w="1134"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Rit</w:t>
            </w:r>
          </w:p>
        </w:tc>
        <w:tc>
          <w:tcPr>
            <w:tcW w:w="708"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,512</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993"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-,020</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-,057</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-,034</w:t>
            </w:r>
          </w:p>
        </w:tc>
        <w:tc>
          <w:tcPr>
            <w:tcW w:w="993"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,512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-,026</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,017</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-,104</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-,052</w:t>
            </w:r>
          </w:p>
        </w:tc>
        <w:tc>
          <w:tcPr>
            <w:tcW w:w="993"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,044</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,079</w:t>
            </w:r>
          </w:p>
        </w:tc>
        <w:tc>
          <w:tcPr>
            <w:tcW w:w="993"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-,037</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-,057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,044</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708"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-,034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,079</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3"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134" w:type="dxa"/>
            <w:tcBorders>
              <w:top w:val="nil"/>
              <w:left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708" w:type="dxa"/>
            <w:tcBorders>
              <w:top w:val="nil"/>
              <w:lef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-,020</w:t>
            </w:r>
          </w:p>
        </w:tc>
        <w:tc>
          <w:tcPr>
            <w:tcW w:w="567"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c>
          <w:tcPr>
            <w:tcW w:w="567"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-,037</w:t>
            </w:r>
          </w:p>
        </w:tc>
        <w:tc>
          <w:tcPr>
            <w:tcW w:w="993"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3" w:type="dxa"/>
            <w:tcBorders>
              <w:top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r>
    </w:tbl>
    <w:p w:rsidR="004B03CA" w:rsidRPr="00DA0DCD" w:rsidRDefault="004B03CA" w:rsidP="004B03CA">
      <w:pPr>
        <w:rPr>
          <w:lang w:val="en-US"/>
        </w:rPr>
      </w:pPr>
      <w:r w:rsidRPr="00DA0DCD">
        <w:rPr>
          <w:lang w:val="en-US"/>
        </w:rPr>
        <w:t>Table D.10</w:t>
      </w:r>
    </w:p>
    <w:tbl>
      <w:tblPr>
        <w:tblW w:w="633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03"/>
        <w:gridCol w:w="1118"/>
        <w:gridCol w:w="1192"/>
        <w:gridCol w:w="1610"/>
        <w:gridCol w:w="1610"/>
      </w:tblGrid>
      <w:tr w:rsidR="004B03CA" w:rsidRPr="00DA0DCD" w:rsidTr="000C3C74">
        <w:trPr>
          <w:cantSplit/>
          <w:tblHeader/>
        </w:trPr>
        <w:tc>
          <w:tcPr>
            <w:tcW w:w="6333"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Model Summary</w:t>
            </w:r>
            <w:r w:rsidRPr="00DA0DCD">
              <w:rPr>
                <w:b/>
                <w:sz w:val="16"/>
                <w:szCs w:val="16"/>
                <w:vertAlign w:val="superscript"/>
                <w:lang w:val="en-US"/>
              </w:rPr>
              <w:t>b</w:t>
            </w:r>
          </w:p>
        </w:tc>
      </w:tr>
      <w:tr w:rsidR="004B03CA" w:rsidRPr="00872F8A" w:rsidTr="000C3C74">
        <w:trPr>
          <w:cantSplit/>
          <w:tblHeader/>
        </w:trPr>
        <w:tc>
          <w:tcPr>
            <w:tcW w:w="80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118"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w:t>
            </w:r>
          </w:p>
        </w:tc>
        <w:tc>
          <w:tcPr>
            <w:tcW w:w="11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 Square</w:t>
            </w:r>
          </w:p>
        </w:tc>
        <w:tc>
          <w:tcPr>
            <w:tcW w:w="16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Adjusted R Square</w:t>
            </w:r>
          </w:p>
        </w:tc>
        <w:tc>
          <w:tcPr>
            <w:tcW w:w="16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 of the Estimate</w:t>
            </w:r>
          </w:p>
        </w:tc>
      </w:tr>
      <w:tr w:rsidR="004B03CA" w:rsidRPr="00DA0DCD" w:rsidTr="000C3C74">
        <w:trPr>
          <w:cantSplit/>
          <w:tblHeader/>
        </w:trPr>
        <w:tc>
          <w:tcPr>
            <w:tcW w:w="80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118"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,512</w:t>
            </w:r>
            <w:r w:rsidRPr="00DA0DCD">
              <w:rPr>
                <w:sz w:val="16"/>
                <w:szCs w:val="16"/>
                <w:vertAlign w:val="superscript"/>
                <w:lang w:val="en-US"/>
              </w:rPr>
              <w:t>a</w:t>
            </w:r>
          </w:p>
        </w:tc>
        <w:tc>
          <w:tcPr>
            <w:tcW w:w="119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,262</w:t>
            </w:r>
          </w:p>
        </w:tc>
        <w:tc>
          <w:tcPr>
            <w:tcW w:w="161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,262</w:t>
            </w:r>
          </w:p>
        </w:tc>
        <w:tc>
          <w:tcPr>
            <w:tcW w:w="16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.0335964245685</w:t>
            </w:r>
          </w:p>
        </w:tc>
      </w:tr>
      <w:tr w:rsidR="004B03CA" w:rsidRPr="00872F8A" w:rsidTr="000C3C74">
        <w:trPr>
          <w:cantSplit/>
          <w:tblHeader/>
        </w:trPr>
        <w:tc>
          <w:tcPr>
            <w:tcW w:w="6333" w:type="dxa"/>
            <w:gridSpan w:val="5"/>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Predictors: (Constant), E_window5, E_window4, E_window3, E_window2, E_window1, Intt, Rmt</w:t>
            </w:r>
          </w:p>
        </w:tc>
      </w:tr>
      <w:tr w:rsidR="004B03CA" w:rsidRPr="00DA0DCD" w:rsidTr="000C3C74">
        <w:trPr>
          <w:cantSplit/>
        </w:trPr>
        <w:tc>
          <w:tcPr>
            <w:tcW w:w="4723"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b. Dependent Variable: Rit</w:t>
            </w:r>
          </w:p>
        </w:tc>
        <w:tc>
          <w:tcPr>
            <w:tcW w:w="161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D.11</w:t>
      </w:r>
    </w:p>
    <w:tbl>
      <w:tblPr>
        <w:tblW w:w="880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03"/>
        <w:gridCol w:w="1407"/>
        <w:gridCol w:w="1610"/>
        <w:gridCol w:w="1117"/>
        <w:gridCol w:w="1546"/>
        <w:gridCol w:w="1202"/>
        <w:gridCol w:w="1118"/>
      </w:tblGrid>
      <w:tr w:rsidR="004B03CA" w:rsidRPr="00DA0DCD" w:rsidTr="000C3C74">
        <w:trPr>
          <w:cantSplit/>
          <w:tblHeader/>
        </w:trPr>
        <w:tc>
          <w:tcPr>
            <w:tcW w:w="8803"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ANOVA</w:t>
            </w:r>
            <w:r w:rsidRPr="00DA0DCD">
              <w:rPr>
                <w:b/>
                <w:sz w:val="16"/>
                <w:szCs w:val="16"/>
                <w:vertAlign w:val="superscript"/>
                <w:lang w:val="en-US"/>
              </w:rPr>
              <w:t>b</w:t>
            </w:r>
          </w:p>
        </w:tc>
      </w:tr>
      <w:tr w:rsidR="004B03CA" w:rsidRPr="00DA0DCD" w:rsidTr="000C3C74">
        <w:trPr>
          <w:cantSplit/>
          <w:tblHeader/>
        </w:trPr>
        <w:tc>
          <w:tcPr>
            <w:tcW w:w="2210"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6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Sum of Squares</w:t>
            </w:r>
          </w:p>
        </w:tc>
        <w:tc>
          <w:tcPr>
            <w:tcW w:w="111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df</w:t>
            </w:r>
          </w:p>
        </w:tc>
        <w:tc>
          <w:tcPr>
            <w:tcW w:w="154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 Square</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F</w:t>
            </w:r>
          </w:p>
        </w:tc>
        <w:tc>
          <w:tcPr>
            <w:tcW w:w="111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r>
      <w:tr w:rsidR="004B03CA" w:rsidRPr="00DA0DCD" w:rsidTr="000C3C74">
        <w:trPr>
          <w:cantSplit/>
          <w:tblHeader/>
        </w:trPr>
        <w:tc>
          <w:tcPr>
            <w:tcW w:w="80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407"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Regression</w:t>
            </w:r>
          </w:p>
        </w:tc>
        <w:tc>
          <w:tcPr>
            <w:tcW w:w="161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22,047</w:t>
            </w:r>
          </w:p>
        </w:tc>
        <w:tc>
          <w:tcPr>
            <w:tcW w:w="111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w:t>
            </w:r>
          </w:p>
        </w:tc>
        <w:tc>
          <w:tcPr>
            <w:tcW w:w="1546"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3,150</w:t>
            </w:r>
          </w:p>
        </w:tc>
        <w:tc>
          <w:tcPr>
            <w:tcW w:w="120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2790,347</w:t>
            </w:r>
          </w:p>
        </w:tc>
        <w:tc>
          <w:tcPr>
            <w:tcW w:w="111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r w:rsidRPr="00DA0DCD">
              <w:rPr>
                <w:sz w:val="16"/>
                <w:szCs w:val="16"/>
                <w:vertAlign w:val="superscript"/>
                <w:lang w:val="en-US"/>
              </w:rPr>
              <w:t>a</w:t>
            </w:r>
          </w:p>
        </w:tc>
      </w:tr>
      <w:tr w:rsidR="004B03CA" w:rsidRPr="00DA0DCD" w:rsidTr="000C3C74">
        <w:trPr>
          <w:cantSplit/>
          <w:tblHeader/>
        </w:trPr>
        <w:tc>
          <w:tcPr>
            <w:tcW w:w="80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407"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Residual</w:t>
            </w:r>
          </w:p>
        </w:tc>
        <w:tc>
          <w:tcPr>
            <w:tcW w:w="1610"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61,971</w:t>
            </w:r>
          </w:p>
        </w:tc>
        <w:tc>
          <w:tcPr>
            <w:tcW w:w="111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54904</w:t>
            </w:r>
          </w:p>
        </w:tc>
        <w:tc>
          <w:tcPr>
            <w:tcW w:w="1546"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202"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8"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80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407"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Total</w:t>
            </w:r>
          </w:p>
        </w:tc>
        <w:tc>
          <w:tcPr>
            <w:tcW w:w="161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84,018</w:t>
            </w:r>
          </w:p>
        </w:tc>
        <w:tc>
          <w:tcPr>
            <w:tcW w:w="111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54911</w:t>
            </w:r>
          </w:p>
        </w:tc>
        <w:tc>
          <w:tcPr>
            <w:tcW w:w="1546"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202"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872F8A" w:rsidTr="000C3C74">
        <w:trPr>
          <w:cantSplit/>
          <w:tblHeader/>
        </w:trPr>
        <w:tc>
          <w:tcPr>
            <w:tcW w:w="8803"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Predictors: (Constant), E_window5, E_window4, E_window3, E_window2, E_window1, Intt, Rmt</w:t>
            </w:r>
          </w:p>
        </w:tc>
      </w:tr>
      <w:tr w:rsidR="004B03CA" w:rsidRPr="00DA0DCD" w:rsidTr="000C3C74">
        <w:trPr>
          <w:cantSplit/>
        </w:trPr>
        <w:tc>
          <w:tcPr>
            <w:tcW w:w="3820"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b. Dependent Variable: Rit</w:t>
            </w:r>
          </w:p>
        </w:tc>
        <w:tc>
          <w:tcPr>
            <w:tcW w:w="111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54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20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D.12</w:t>
      </w:r>
    </w:p>
    <w:p w:rsidR="004B03CA" w:rsidRPr="00DA0DCD" w:rsidRDefault="004B03CA" w:rsidP="004B03CA">
      <w:pPr>
        <w:rPr>
          <w:sz w:val="18"/>
          <w:szCs w:val="18"/>
          <w:lang w:val="en-US"/>
        </w:rPr>
      </w:pPr>
      <w:r w:rsidRPr="00DA0DCD">
        <w:rPr>
          <w:sz w:val="18"/>
          <w:szCs w:val="18"/>
          <w:lang w:val="en-US"/>
        </w:rPr>
        <w:br w:type="page"/>
      </w:r>
    </w:p>
    <w:p w:rsidR="004B03CA" w:rsidRPr="00DA0DCD" w:rsidRDefault="004B03CA" w:rsidP="004B03CA">
      <w:pPr>
        <w:pStyle w:val="Geenafstand"/>
        <w:rPr>
          <w:sz w:val="18"/>
          <w:szCs w:val="18"/>
          <w:lang w:val="en-US"/>
        </w:rPr>
      </w:pPr>
    </w:p>
    <w:tbl>
      <w:tblPr>
        <w:tblW w:w="935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567"/>
        <w:gridCol w:w="142"/>
        <w:gridCol w:w="1134"/>
        <w:gridCol w:w="709"/>
        <w:gridCol w:w="425"/>
        <w:gridCol w:w="709"/>
        <w:gridCol w:w="708"/>
        <w:gridCol w:w="567"/>
        <w:gridCol w:w="567"/>
        <w:gridCol w:w="567"/>
        <w:gridCol w:w="851"/>
        <w:gridCol w:w="567"/>
      </w:tblGrid>
      <w:tr w:rsidR="004B03CA" w:rsidRPr="00DA0DCD" w:rsidTr="000C3C74">
        <w:trPr>
          <w:cantSplit/>
          <w:tblHeader/>
        </w:trPr>
        <w:tc>
          <w:tcPr>
            <w:tcW w:w="9356"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c>
          <w:tcPr>
            <w:tcW w:w="1417"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Lower Bound</w:t>
            </w:r>
          </w:p>
        </w:tc>
        <w:tc>
          <w:tcPr>
            <w:tcW w:w="708"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1,226</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,932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,511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138,299</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,919</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,945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,507</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,983</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1,017</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-,124</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,902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-,022</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-,403</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,687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-2,669</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-1,001</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,317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-2,192</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1,009</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,338</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,996</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1,004</w:t>
            </w:r>
          </w:p>
        </w:tc>
      </w:tr>
      <w:tr w:rsidR="004B03CA" w:rsidRPr="00DA0DCD" w:rsidTr="000C3C74">
        <w:trPr>
          <w:cantSplit/>
        </w:trPr>
        <w:tc>
          <w:tcPr>
            <w:tcW w:w="2410"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bl>
    <w:p w:rsidR="004B03CA" w:rsidRPr="00DA0DCD" w:rsidRDefault="004B03CA" w:rsidP="004B03CA">
      <w:pPr>
        <w:rPr>
          <w:lang w:val="en-US"/>
        </w:rPr>
      </w:pPr>
      <w:r w:rsidRPr="00DA0DCD">
        <w:rPr>
          <w:lang w:val="en-US"/>
        </w:rPr>
        <w:t>Table D.13</w:t>
      </w: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850"/>
        <w:gridCol w:w="567"/>
        <w:gridCol w:w="426"/>
        <w:gridCol w:w="283"/>
        <w:gridCol w:w="1134"/>
        <w:gridCol w:w="709"/>
        <w:gridCol w:w="425"/>
        <w:gridCol w:w="709"/>
        <w:gridCol w:w="567"/>
        <w:gridCol w:w="567"/>
        <w:gridCol w:w="567"/>
        <w:gridCol w:w="567"/>
        <w:gridCol w:w="850"/>
        <w:gridCol w:w="567"/>
      </w:tblGrid>
      <w:tr w:rsidR="004B03CA" w:rsidRPr="00DA0DCD" w:rsidTr="000C3C74">
        <w:trPr>
          <w:cantSplit/>
          <w:tblHeader/>
        </w:trPr>
        <w:tc>
          <w:tcPr>
            <w:tcW w:w="9072"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4B03CA" w:rsidRPr="00DA0DCD" w:rsidTr="000C3C74">
        <w:trPr>
          <w:cantSplit/>
          <w:tblHeader/>
        </w:trPr>
        <w:tc>
          <w:tcPr>
            <w:tcW w:w="113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Correlations</w:t>
            </w:r>
          </w:p>
        </w:tc>
        <w:tc>
          <w:tcPr>
            <w:tcW w:w="141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Collinearity Statistics</w:t>
            </w:r>
          </w:p>
        </w:tc>
      </w:tr>
      <w:tr w:rsidR="004B03CA" w:rsidRPr="00DA0DCD" w:rsidTr="000C3C74">
        <w:trPr>
          <w:cantSplit/>
          <w:tblHeader/>
        </w:trPr>
        <w:tc>
          <w:tcPr>
            <w:tcW w:w="113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Lower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85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1,168</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,243</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0"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,932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138,853</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,919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,945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,509</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1,009</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850"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-,346</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,729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85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Windows_Combined</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-,008</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-2,054</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,040</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,989</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1,011</w:t>
            </w:r>
          </w:p>
        </w:tc>
      </w:tr>
      <w:tr w:rsidR="004B03CA" w:rsidRPr="00DA0DCD" w:rsidTr="000C3C74">
        <w:trPr>
          <w:cantSplit/>
        </w:trPr>
        <w:tc>
          <w:tcPr>
            <w:tcW w:w="2127"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283"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D.14</w:t>
      </w:r>
    </w:p>
    <w:tbl>
      <w:tblPr>
        <w:tblW w:w="937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552"/>
        <w:gridCol w:w="1417"/>
        <w:gridCol w:w="1418"/>
        <w:gridCol w:w="1843"/>
        <w:gridCol w:w="1417"/>
        <w:gridCol w:w="727"/>
      </w:tblGrid>
      <w:tr w:rsidR="004B03CA" w:rsidRPr="00DA0DCD" w:rsidTr="000C3C74">
        <w:trPr>
          <w:cantSplit/>
          <w:tblHeader/>
        </w:trPr>
        <w:tc>
          <w:tcPr>
            <w:tcW w:w="9374" w:type="dxa"/>
            <w:gridSpan w:val="6"/>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Residuals Statistics</w:t>
            </w:r>
            <w:r w:rsidRPr="00DA0DCD">
              <w:rPr>
                <w:b/>
                <w:sz w:val="16"/>
                <w:szCs w:val="16"/>
                <w:vertAlign w:val="superscript"/>
                <w:lang w:val="en-US"/>
              </w:rPr>
              <w:t>a</w:t>
            </w:r>
          </w:p>
        </w:tc>
      </w:tr>
      <w:tr w:rsidR="004B03CA" w:rsidRPr="00DA0DCD" w:rsidTr="000C3C74">
        <w:trPr>
          <w:cantSplit/>
          <w:tblHeader/>
        </w:trPr>
        <w:tc>
          <w:tcPr>
            <w:tcW w:w="255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41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Minimum</w:t>
            </w:r>
          </w:p>
        </w:tc>
        <w:tc>
          <w:tcPr>
            <w:tcW w:w="141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Maximum</w:t>
            </w:r>
          </w:p>
        </w:tc>
        <w:tc>
          <w:tcPr>
            <w:tcW w:w="184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w:t>
            </w:r>
          </w:p>
        </w:tc>
        <w:tc>
          <w:tcPr>
            <w:tcW w:w="141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Deviation</w:t>
            </w:r>
          </w:p>
        </w:tc>
        <w:tc>
          <w:tcPr>
            <w:tcW w:w="72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N</w:t>
            </w:r>
          </w:p>
        </w:tc>
      </w:tr>
      <w:tr w:rsidR="004B03CA" w:rsidRPr="00DA0DCD" w:rsidTr="000C3C74">
        <w:trPr>
          <w:cantSplit/>
          <w:tblHeader/>
        </w:trPr>
        <w:tc>
          <w:tcPr>
            <w:tcW w:w="2552"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Predicted Value</w:t>
            </w:r>
          </w:p>
        </w:tc>
        <w:tc>
          <w:tcPr>
            <w:tcW w:w="141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-.120012171566</w:t>
            </w:r>
          </w:p>
        </w:tc>
        <w:tc>
          <w:tcPr>
            <w:tcW w:w="141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.162415832281</w:t>
            </w:r>
          </w:p>
        </w:tc>
        <w:tc>
          <w:tcPr>
            <w:tcW w:w="1843"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-.001012512267</w:t>
            </w:r>
          </w:p>
        </w:tc>
        <w:tc>
          <w:tcPr>
            <w:tcW w:w="141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.0200374072228</w:t>
            </w:r>
          </w:p>
        </w:tc>
        <w:tc>
          <w:tcPr>
            <w:tcW w:w="727"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blHeader/>
        </w:trPr>
        <w:tc>
          <w:tcPr>
            <w:tcW w:w="255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Mahal. Distance</w:t>
            </w:r>
          </w:p>
        </w:tc>
        <w:tc>
          <w:tcPr>
            <w:tcW w:w="141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,046</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532,283</w:t>
            </w:r>
          </w:p>
        </w:tc>
        <w:tc>
          <w:tcPr>
            <w:tcW w:w="184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7,000</w:t>
            </w:r>
          </w:p>
        </w:tc>
        <w:tc>
          <w:tcPr>
            <w:tcW w:w="141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25,612</w:t>
            </w:r>
          </w:p>
        </w:tc>
        <w:tc>
          <w:tcPr>
            <w:tcW w:w="72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blHeader/>
        </w:trPr>
        <w:tc>
          <w:tcPr>
            <w:tcW w:w="255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b/>
                <w:sz w:val="16"/>
                <w:szCs w:val="16"/>
                <w:lang w:val="en-US"/>
              </w:rPr>
            </w:pPr>
            <w:r w:rsidRPr="00DA0DCD">
              <w:rPr>
                <w:b/>
                <w:sz w:val="16"/>
                <w:szCs w:val="16"/>
                <w:lang w:val="en-US"/>
              </w:rPr>
              <w:t>Cook's Distance</w:t>
            </w:r>
          </w:p>
        </w:tc>
        <w:tc>
          <w:tcPr>
            <w:tcW w:w="141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,087</w:t>
            </w:r>
          </w:p>
        </w:tc>
        <w:tc>
          <w:tcPr>
            <w:tcW w:w="184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2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blHeader/>
        </w:trPr>
        <w:tc>
          <w:tcPr>
            <w:tcW w:w="2552"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Centered Leverage Value</w:t>
            </w:r>
          </w:p>
        </w:tc>
        <w:tc>
          <w:tcPr>
            <w:tcW w:w="141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1843"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2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54912</w:t>
            </w:r>
          </w:p>
        </w:tc>
      </w:tr>
      <w:tr w:rsidR="004B03CA" w:rsidRPr="00DA0DCD" w:rsidTr="000C3C74">
        <w:trPr>
          <w:cantSplit/>
        </w:trPr>
        <w:tc>
          <w:tcPr>
            <w:tcW w:w="3969"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141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843"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41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bl>
    <w:p w:rsidR="004B03CA" w:rsidRPr="00DA0DCD" w:rsidRDefault="00835F11" w:rsidP="004B03CA">
      <w:pPr>
        <w:rPr>
          <w:sz w:val="18"/>
          <w:szCs w:val="18"/>
          <w:lang w:val="en-US"/>
        </w:rPr>
      </w:pPr>
      <w:r>
        <w:rPr>
          <w:lang w:val="en-US"/>
        </w:rPr>
        <w:t>Table D.15</w:t>
      </w:r>
    </w:p>
    <w:p w:rsidR="004B03CA" w:rsidRPr="00DA0DCD" w:rsidRDefault="004B03CA" w:rsidP="004B03CA">
      <w:pPr>
        <w:rPr>
          <w:sz w:val="18"/>
          <w:szCs w:val="18"/>
          <w:lang w:val="en-US"/>
        </w:rPr>
      </w:pPr>
      <w:r w:rsidRPr="00DA0DCD">
        <w:rPr>
          <w:sz w:val="18"/>
          <w:szCs w:val="18"/>
          <w:lang w:val="en-US"/>
        </w:rPr>
        <w:br w:type="page"/>
      </w:r>
    </w:p>
    <w:p w:rsidR="004B03CA" w:rsidRPr="00DA0DCD" w:rsidRDefault="004B03CA" w:rsidP="004B03CA">
      <w:pPr>
        <w:pStyle w:val="Kop2"/>
        <w:rPr>
          <w:lang w:val="en-US"/>
        </w:rPr>
      </w:pPr>
      <w:bookmarkStart w:id="103" w:name="_Toc270770634"/>
      <w:r w:rsidRPr="00DA0DCD">
        <w:rPr>
          <w:lang w:val="en-US"/>
        </w:rPr>
        <w:lastRenderedPageBreak/>
        <w:t>Banks sample outcome</w:t>
      </w:r>
      <w:bookmarkEnd w:id="103"/>
    </w:p>
    <w:p w:rsidR="004B03CA" w:rsidRPr="00DA0DCD" w:rsidRDefault="004B03CA" w:rsidP="004B03CA">
      <w:pPr>
        <w:pStyle w:val="Geenafstand"/>
        <w:rPr>
          <w:sz w:val="18"/>
          <w:szCs w:val="18"/>
          <w:lang w:val="en-US"/>
        </w:rPr>
      </w:pPr>
    </w:p>
    <w:tbl>
      <w:tblPr>
        <w:tblW w:w="517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382"/>
        <w:gridCol w:w="1312"/>
        <w:gridCol w:w="1369"/>
        <w:gridCol w:w="1112"/>
      </w:tblGrid>
      <w:tr w:rsidR="004B03CA" w:rsidRPr="00DA0DCD" w:rsidTr="000C3C74">
        <w:trPr>
          <w:cantSplit/>
          <w:tblHeader/>
        </w:trPr>
        <w:tc>
          <w:tcPr>
            <w:tcW w:w="5175" w:type="dxa"/>
            <w:gridSpan w:val="4"/>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Descriptive Statistics</w:t>
            </w:r>
          </w:p>
        </w:tc>
      </w:tr>
      <w:tr w:rsidR="004B03CA" w:rsidRPr="00DA0DCD" w:rsidTr="000C3C74">
        <w:trPr>
          <w:cantSplit/>
          <w:tblHeader/>
        </w:trPr>
        <w:tc>
          <w:tcPr>
            <w:tcW w:w="138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31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w:t>
            </w:r>
          </w:p>
        </w:tc>
        <w:tc>
          <w:tcPr>
            <w:tcW w:w="136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Deviation</w:t>
            </w:r>
          </w:p>
        </w:tc>
        <w:tc>
          <w:tcPr>
            <w:tcW w:w="111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N</w:t>
            </w:r>
          </w:p>
        </w:tc>
      </w:tr>
      <w:tr w:rsidR="004B03CA" w:rsidRPr="00DA0DCD" w:rsidTr="000C3C74">
        <w:trPr>
          <w:cantSplit/>
          <w:tblHeader/>
        </w:trPr>
        <w:tc>
          <w:tcPr>
            <w:tcW w:w="1382"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Rit</w:t>
            </w:r>
          </w:p>
        </w:tc>
        <w:tc>
          <w:tcPr>
            <w:tcW w:w="1312"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-.001282227964</w:t>
            </w:r>
          </w:p>
        </w:tc>
        <w:tc>
          <w:tcPr>
            <w:tcW w:w="136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.0395860386133</w:t>
            </w:r>
          </w:p>
        </w:tc>
        <w:tc>
          <w:tcPr>
            <w:tcW w:w="1112"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1312"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-.001264546479</w:t>
            </w:r>
          </w:p>
        </w:tc>
        <w:tc>
          <w:tcPr>
            <w:tcW w:w="13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.0214248257799</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1312"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-.003571265420</w:t>
            </w:r>
          </w:p>
        </w:tc>
        <w:tc>
          <w:tcPr>
            <w:tcW w:w="13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.0129652412381</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1312"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3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1312"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3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1312"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3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1312"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3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rPr>
        <w:tc>
          <w:tcPr>
            <w:tcW w:w="1382"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1312"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36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.113</w:t>
            </w:r>
          </w:p>
        </w:tc>
        <w:tc>
          <w:tcPr>
            <w:tcW w:w="1112"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bl>
    <w:p w:rsidR="004B03CA" w:rsidRPr="00DA0DCD" w:rsidRDefault="004B03CA" w:rsidP="004B03CA">
      <w:pPr>
        <w:rPr>
          <w:sz w:val="18"/>
          <w:szCs w:val="18"/>
          <w:lang w:val="en-US"/>
        </w:rPr>
      </w:pPr>
      <w:r w:rsidRPr="00DA0DCD">
        <w:rPr>
          <w:lang w:val="en-US"/>
        </w:rPr>
        <w:t>Table D.17</w:t>
      </w:r>
    </w:p>
    <w:tbl>
      <w:tblPr>
        <w:tblW w:w="864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93"/>
        <w:gridCol w:w="992"/>
        <w:gridCol w:w="567"/>
        <w:gridCol w:w="567"/>
        <w:gridCol w:w="567"/>
        <w:gridCol w:w="992"/>
        <w:gridCol w:w="992"/>
        <w:gridCol w:w="993"/>
        <w:gridCol w:w="992"/>
        <w:gridCol w:w="992"/>
      </w:tblGrid>
      <w:tr w:rsidR="004B03CA" w:rsidRPr="00DA0DCD" w:rsidTr="000C3C74">
        <w:trPr>
          <w:cantSplit/>
          <w:tblHeader/>
        </w:trPr>
        <w:tc>
          <w:tcPr>
            <w:tcW w:w="8647" w:type="dxa"/>
            <w:gridSpan w:val="10"/>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Correlations</w:t>
            </w:r>
          </w:p>
        </w:tc>
      </w:tr>
      <w:tr w:rsidR="004B03CA" w:rsidRPr="00DA0DCD" w:rsidTr="000C3C74">
        <w:trPr>
          <w:cantSplit/>
          <w:tblHeader/>
        </w:trPr>
        <w:tc>
          <w:tcPr>
            <w:tcW w:w="993"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992"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Rit</w:t>
            </w:r>
          </w:p>
        </w:tc>
        <w:tc>
          <w:tcPr>
            <w:tcW w:w="56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Intt</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E_window1</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E_window2</w:t>
            </w:r>
          </w:p>
        </w:tc>
        <w:tc>
          <w:tcPr>
            <w:tcW w:w="99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E_window3</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E_window4</w:t>
            </w:r>
          </w:p>
        </w:tc>
        <w:tc>
          <w:tcPr>
            <w:tcW w:w="9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E_window5</w:t>
            </w:r>
          </w:p>
        </w:tc>
      </w:tr>
      <w:tr w:rsidR="004B03CA" w:rsidRPr="00DA0DCD" w:rsidTr="000C3C74">
        <w:trPr>
          <w:cantSplit/>
          <w:tblHeader/>
        </w:trPr>
        <w:tc>
          <w:tcPr>
            <w:tcW w:w="993"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Pearson Correlation</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Rit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,520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993"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-,056</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-,036</w:t>
            </w:r>
          </w:p>
        </w:tc>
        <w:tc>
          <w:tcPr>
            <w:tcW w:w="992"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,520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-,033</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-,101</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-,054</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-,038</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,035</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,084</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-,056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,035</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-,036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,084</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567" w:type="dxa"/>
            <w:tcBorders>
              <w:top w:val="nil"/>
              <w:lef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-,016</w:t>
            </w:r>
          </w:p>
        </w:tc>
        <w:tc>
          <w:tcPr>
            <w:tcW w:w="567"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-,038</w:t>
            </w:r>
          </w:p>
        </w:tc>
        <w:tc>
          <w:tcPr>
            <w:tcW w:w="567"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3"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r>
    </w:tbl>
    <w:p w:rsidR="004B03CA" w:rsidRPr="00DA0DCD" w:rsidRDefault="004B03CA" w:rsidP="004B03CA">
      <w:pPr>
        <w:rPr>
          <w:sz w:val="18"/>
          <w:szCs w:val="18"/>
          <w:lang w:val="en-US"/>
        </w:rPr>
      </w:pPr>
      <w:r w:rsidRPr="00DA0DCD">
        <w:rPr>
          <w:lang w:val="en-US"/>
        </w:rPr>
        <w:t>Table D.18</w:t>
      </w:r>
    </w:p>
    <w:tbl>
      <w:tblPr>
        <w:tblW w:w="666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99"/>
        <w:gridCol w:w="1112"/>
        <w:gridCol w:w="1186"/>
        <w:gridCol w:w="1601"/>
        <w:gridCol w:w="1965"/>
      </w:tblGrid>
      <w:tr w:rsidR="004B03CA" w:rsidRPr="00DA0DCD" w:rsidTr="000C3C74">
        <w:trPr>
          <w:cantSplit/>
          <w:tblHeader/>
        </w:trPr>
        <w:tc>
          <w:tcPr>
            <w:tcW w:w="6663"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Model Summary</w:t>
            </w:r>
            <w:r w:rsidRPr="00DA0DCD">
              <w:rPr>
                <w:b/>
                <w:sz w:val="16"/>
                <w:szCs w:val="16"/>
                <w:vertAlign w:val="superscript"/>
                <w:lang w:val="en-US"/>
              </w:rPr>
              <w:t>b</w:t>
            </w:r>
          </w:p>
        </w:tc>
      </w:tr>
      <w:tr w:rsidR="004B03CA" w:rsidRPr="00872F8A" w:rsidTr="000C3C74">
        <w:trPr>
          <w:cantSplit/>
          <w:tblHeader/>
        </w:trPr>
        <w:tc>
          <w:tcPr>
            <w:tcW w:w="799"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11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w:t>
            </w:r>
          </w:p>
        </w:tc>
        <w:tc>
          <w:tcPr>
            <w:tcW w:w="118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 Square</w:t>
            </w:r>
          </w:p>
        </w:tc>
        <w:tc>
          <w:tcPr>
            <w:tcW w:w="160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Adjusted R Square</w:t>
            </w:r>
          </w:p>
        </w:tc>
        <w:tc>
          <w:tcPr>
            <w:tcW w:w="19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 of the Estimate</w:t>
            </w:r>
          </w:p>
        </w:tc>
      </w:tr>
      <w:tr w:rsidR="004B03CA" w:rsidRPr="00DA0DCD" w:rsidTr="000C3C74">
        <w:trPr>
          <w:cantSplit/>
          <w:tblHeader/>
        </w:trPr>
        <w:tc>
          <w:tcPr>
            <w:tcW w:w="799"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11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,520</w:t>
            </w:r>
            <w:r w:rsidRPr="00DA0DCD">
              <w:rPr>
                <w:sz w:val="16"/>
                <w:szCs w:val="16"/>
                <w:vertAlign w:val="superscript"/>
                <w:lang w:val="en-US"/>
              </w:rPr>
              <w:t>a</w:t>
            </w:r>
          </w:p>
        </w:tc>
        <w:tc>
          <w:tcPr>
            <w:tcW w:w="1186"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,270</w:t>
            </w:r>
          </w:p>
        </w:tc>
        <w:tc>
          <w:tcPr>
            <w:tcW w:w="1601"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,270</w:t>
            </w:r>
          </w:p>
        </w:tc>
        <w:tc>
          <w:tcPr>
            <w:tcW w:w="19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.0338232860835</w:t>
            </w:r>
          </w:p>
        </w:tc>
      </w:tr>
      <w:tr w:rsidR="004B03CA" w:rsidRPr="00872F8A" w:rsidTr="000C3C74">
        <w:trPr>
          <w:cantSplit/>
          <w:tblHeader/>
        </w:trPr>
        <w:tc>
          <w:tcPr>
            <w:tcW w:w="6663" w:type="dxa"/>
            <w:gridSpan w:val="5"/>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Predictors: (Constant), E_window5, E_window4, E_window3, E_window2, E_window1, Intt, Rmt</w:t>
            </w:r>
          </w:p>
        </w:tc>
      </w:tr>
      <w:tr w:rsidR="004B03CA" w:rsidRPr="00DA0DCD" w:rsidTr="000C3C74">
        <w:trPr>
          <w:cantSplit/>
        </w:trPr>
        <w:tc>
          <w:tcPr>
            <w:tcW w:w="4698"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b. Dependent Variable: Rit</w:t>
            </w:r>
          </w:p>
        </w:tc>
        <w:tc>
          <w:tcPr>
            <w:tcW w:w="196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D.19</w:t>
      </w:r>
    </w:p>
    <w:tbl>
      <w:tblPr>
        <w:tblW w:w="87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01"/>
        <w:gridCol w:w="1399"/>
        <w:gridCol w:w="1601"/>
        <w:gridCol w:w="1110"/>
        <w:gridCol w:w="1538"/>
        <w:gridCol w:w="1195"/>
        <w:gridCol w:w="1111"/>
      </w:tblGrid>
      <w:tr w:rsidR="004B03CA" w:rsidRPr="00DA0DCD" w:rsidTr="000C3C74">
        <w:trPr>
          <w:cantSplit/>
          <w:tblHeader/>
        </w:trPr>
        <w:tc>
          <w:tcPr>
            <w:tcW w:w="8755"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ANOVA</w:t>
            </w:r>
            <w:r w:rsidRPr="00DA0DCD">
              <w:rPr>
                <w:b/>
                <w:sz w:val="16"/>
                <w:szCs w:val="16"/>
                <w:vertAlign w:val="superscript"/>
                <w:lang w:val="en-US"/>
              </w:rPr>
              <w:t>b</w:t>
            </w:r>
          </w:p>
        </w:tc>
      </w:tr>
      <w:tr w:rsidR="004B03CA" w:rsidRPr="00DA0DCD" w:rsidTr="000C3C74">
        <w:trPr>
          <w:cantSplit/>
          <w:tblHeader/>
        </w:trPr>
        <w:tc>
          <w:tcPr>
            <w:tcW w:w="2200"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60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Sum of Squares</w:t>
            </w:r>
          </w:p>
        </w:tc>
        <w:tc>
          <w:tcPr>
            <w:tcW w:w="11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df</w:t>
            </w:r>
          </w:p>
        </w:tc>
        <w:tc>
          <w:tcPr>
            <w:tcW w:w="153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 Square</w:t>
            </w:r>
          </w:p>
        </w:tc>
        <w:tc>
          <w:tcPr>
            <w:tcW w:w="119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F</w:t>
            </w:r>
          </w:p>
        </w:tc>
        <w:tc>
          <w:tcPr>
            <w:tcW w:w="1111"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r>
      <w:tr w:rsidR="004B03CA" w:rsidRPr="00DA0DCD" w:rsidTr="000C3C74">
        <w:trPr>
          <w:cantSplit/>
          <w:tblHeader/>
        </w:trPr>
        <w:tc>
          <w:tcPr>
            <w:tcW w:w="80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39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Regression</w:t>
            </w:r>
          </w:p>
        </w:tc>
        <w:tc>
          <w:tcPr>
            <w:tcW w:w="160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13,816</w:t>
            </w:r>
          </w:p>
        </w:tc>
        <w:tc>
          <w:tcPr>
            <w:tcW w:w="111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w:t>
            </w:r>
          </w:p>
        </w:tc>
        <w:tc>
          <w:tcPr>
            <w:tcW w:w="153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1,974</w:t>
            </w:r>
          </w:p>
        </w:tc>
        <w:tc>
          <w:tcPr>
            <w:tcW w:w="119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1725,203</w:t>
            </w:r>
          </w:p>
        </w:tc>
        <w:tc>
          <w:tcPr>
            <w:tcW w:w="1111"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r w:rsidRPr="00DA0DCD">
              <w:rPr>
                <w:sz w:val="16"/>
                <w:szCs w:val="16"/>
                <w:vertAlign w:val="superscript"/>
                <w:lang w:val="en-US"/>
              </w:rPr>
              <w:t>a</w:t>
            </w:r>
          </w:p>
        </w:tc>
      </w:tr>
      <w:tr w:rsidR="004B03CA" w:rsidRPr="00DA0DCD" w:rsidTr="000C3C74">
        <w:trPr>
          <w:cantSplit/>
          <w:tblHeader/>
        </w:trPr>
        <w:tc>
          <w:tcPr>
            <w:tcW w:w="80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399"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Residual</w:t>
            </w:r>
          </w:p>
        </w:tc>
        <w:tc>
          <w:tcPr>
            <w:tcW w:w="160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37,331</w:t>
            </w:r>
          </w:p>
        </w:tc>
        <w:tc>
          <w:tcPr>
            <w:tcW w:w="111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32632</w:t>
            </w:r>
          </w:p>
        </w:tc>
        <w:tc>
          <w:tcPr>
            <w:tcW w:w="153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95"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1"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80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39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Total</w:t>
            </w:r>
          </w:p>
        </w:tc>
        <w:tc>
          <w:tcPr>
            <w:tcW w:w="160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51,147</w:t>
            </w:r>
          </w:p>
        </w:tc>
        <w:tc>
          <w:tcPr>
            <w:tcW w:w="111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32639</w:t>
            </w:r>
          </w:p>
        </w:tc>
        <w:tc>
          <w:tcPr>
            <w:tcW w:w="1538"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95"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872F8A" w:rsidTr="000C3C74">
        <w:trPr>
          <w:cantSplit/>
          <w:tblHeader/>
        </w:trPr>
        <w:tc>
          <w:tcPr>
            <w:tcW w:w="8755"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Predictors: (Constant), E_window5, E_window4, E_window3, E_window2, E_window1, Intt, Rmt</w:t>
            </w:r>
          </w:p>
        </w:tc>
      </w:tr>
      <w:tr w:rsidR="004B03CA" w:rsidRPr="00DA0DCD" w:rsidTr="000C3C74">
        <w:trPr>
          <w:cantSplit/>
        </w:trPr>
        <w:tc>
          <w:tcPr>
            <w:tcW w:w="3801"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b. Dependent Variable: Rit</w:t>
            </w:r>
          </w:p>
        </w:tc>
        <w:tc>
          <w:tcPr>
            <w:tcW w:w="111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53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9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D.20</w:t>
      </w:r>
    </w:p>
    <w:p w:rsidR="004B03CA" w:rsidRPr="00DA0DCD" w:rsidRDefault="004B03CA" w:rsidP="004B03CA">
      <w:pPr>
        <w:pStyle w:val="Geenafstand"/>
        <w:rPr>
          <w:sz w:val="18"/>
          <w:szCs w:val="18"/>
          <w:lang w:val="en-US"/>
        </w:rPr>
      </w:pPr>
    </w:p>
    <w:p w:rsidR="004B03CA" w:rsidRPr="00DA0DCD" w:rsidRDefault="004B03CA" w:rsidP="004B03CA">
      <w:pPr>
        <w:rPr>
          <w:sz w:val="18"/>
          <w:szCs w:val="18"/>
          <w:lang w:val="en-US"/>
        </w:rPr>
      </w:pPr>
      <w:r w:rsidRPr="00DA0DCD">
        <w:rPr>
          <w:sz w:val="18"/>
          <w:szCs w:val="18"/>
          <w:lang w:val="en-US"/>
        </w:rPr>
        <w:br w:type="page"/>
      </w:r>
    </w:p>
    <w:p w:rsidR="004B03CA" w:rsidRPr="00DA0DCD" w:rsidRDefault="004B03CA" w:rsidP="004B03CA">
      <w:pPr>
        <w:pStyle w:val="Geenafstand"/>
        <w:rPr>
          <w:sz w:val="18"/>
          <w:szCs w:val="18"/>
          <w:lang w:val="en-US"/>
        </w:rPr>
      </w:pPr>
    </w:p>
    <w:tbl>
      <w:tblPr>
        <w:tblW w:w="8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2"/>
        <w:gridCol w:w="992"/>
        <w:gridCol w:w="567"/>
        <w:gridCol w:w="284"/>
        <w:gridCol w:w="425"/>
        <w:gridCol w:w="1134"/>
        <w:gridCol w:w="709"/>
        <w:gridCol w:w="425"/>
        <w:gridCol w:w="567"/>
        <w:gridCol w:w="567"/>
        <w:gridCol w:w="567"/>
        <w:gridCol w:w="567"/>
        <w:gridCol w:w="567"/>
        <w:gridCol w:w="851"/>
        <w:gridCol w:w="567"/>
      </w:tblGrid>
      <w:tr w:rsidR="004B03CA" w:rsidRPr="00DA0DCD" w:rsidTr="000C3C74">
        <w:trPr>
          <w:cantSplit/>
          <w:tblHeader/>
        </w:trPr>
        <w:tc>
          <w:tcPr>
            <w:tcW w:w="8931"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4B03CA" w:rsidRPr="00DA0DCD" w:rsidTr="000C3C74">
        <w:trPr>
          <w:cantSplit/>
          <w:tblHeader/>
        </w:trPr>
        <w:tc>
          <w:tcPr>
            <w:tcW w:w="113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c>
          <w:tcPr>
            <w:tcW w:w="1134"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Collinearity Statistics</w:t>
            </w:r>
          </w:p>
        </w:tc>
      </w:tr>
      <w:tr w:rsidR="004B03CA" w:rsidRPr="00DA0DCD" w:rsidTr="000C3C74">
        <w:trPr>
          <w:cantSplit/>
          <w:tblHeader/>
        </w:trPr>
        <w:tc>
          <w:tcPr>
            <w:tcW w:w="113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Lower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VIF</w:t>
            </w:r>
          </w:p>
        </w:tc>
      </w:tr>
      <w:tr w:rsidR="004B03CA" w:rsidRPr="00DA0DCD" w:rsidTr="000C3C74">
        <w:trPr>
          <w:cantSplit/>
          <w:tblHeader/>
        </w:trPr>
        <w:tc>
          <w:tcPr>
            <w:tcW w:w="14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,184</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,854</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108,825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,941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,976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,515</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,984</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1,016</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,741</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,458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,988</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1,013</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-,702</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,483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1,001</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-1,905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,057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1,001</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-,834</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,988</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1,012</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-1,614</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1,010</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,746</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,456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,996</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1,004</w:t>
            </w:r>
          </w:p>
        </w:tc>
      </w:tr>
      <w:tr w:rsidR="004B03CA" w:rsidRPr="00DA0DCD" w:rsidTr="000C3C74">
        <w:trPr>
          <w:cantSplit/>
        </w:trPr>
        <w:tc>
          <w:tcPr>
            <w:tcW w:w="1985"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bl>
    <w:p w:rsidR="004B03CA" w:rsidRPr="00DA0DCD" w:rsidRDefault="004B03CA" w:rsidP="004B03CA">
      <w:pPr>
        <w:rPr>
          <w:sz w:val="18"/>
          <w:szCs w:val="18"/>
          <w:lang w:val="en-US"/>
        </w:rPr>
      </w:pPr>
      <w:r w:rsidRPr="00DA0DCD">
        <w:rPr>
          <w:lang w:val="en-US"/>
        </w:rPr>
        <w:t>Table D.21</w:t>
      </w: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850"/>
        <w:gridCol w:w="567"/>
        <w:gridCol w:w="142"/>
        <w:gridCol w:w="567"/>
        <w:gridCol w:w="1134"/>
        <w:gridCol w:w="709"/>
        <w:gridCol w:w="425"/>
        <w:gridCol w:w="567"/>
        <w:gridCol w:w="709"/>
        <w:gridCol w:w="567"/>
        <w:gridCol w:w="567"/>
        <w:gridCol w:w="567"/>
        <w:gridCol w:w="850"/>
        <w:gridCol w:w="567"/>
      </w:tblGrid>
      <w:tr w:rsidR="004B03CA" w:rsidRPr="00DA0DCD" w:rsidTr="000C3C74">
        <w:trPr>
          <w:cantSplit/>
          <w:tblHeader/>
        </w:trPr>
        <w:tc>
          <w:tcPr>
            <w:tcW w:w="9072"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4B03CA" w:rsidRPr="00DA0DCD" w:rsidTr="000C3C74">
        <w:trPr>
          <w:cantSplit/>
          <w:tblHeader/>
        </w:trPr>
        <w:tc>
          <w:tcPr>
            <w:tcW w:w="113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Correlations</w:t>
            </w:r>
          </w:p>
        </w:tc>
        <w:tc>
          <w:tcPr>
            <w:tcW w:w="141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Collinearity Statistics</w:t>
            </w:r>
          </w:p>
        </w:tc>
      </w:tr>
      <w:tr w:rsidR="004B03CA" w:rsidRPr="00DA0DCD" w:rsidTr="000C3C74">
        <w:trPr>
          <w:cantSplit/>
          <w:tblHeader/>
        </w:trPr>
        <w:tc>
          <w:tcPr>
            <w:tcW w:w="113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Lower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85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,135</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,893</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0"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109,245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,942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,976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,517</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1,009</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850"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,559</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,576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85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Windows_Combined</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-1,673</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,094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,990</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1,010</w:t>
            </w:r>
          </w:p>
        </w:tc>
      </w:tr>
      <w:tr w:rsidR="004B03CA" w:rsidRPr="00DA0DCD" w:rsidTr="000C3C74">
        <w:trPr>
          <w:cantSplit/>
        </w:trPr>
        <w:tc>
          <w:tcPr>
            <w:tcW w:w="1843"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D.22</w:t>
      </w:r>
    </w:p>
    <w:tbl>
      <w:tblPr>
        <w:tblW w:w="932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552"/>
        <w:gridCol w:w="1417"/>
        <w:gridCol w:w="1418"/>
        <w:gridCol w:w="1843"/>
        <w:gridCol w:w="1417"/>
        <w:gridCol w:w="676"/>
      </w:tblGrid>
      <w:tr w:rsidR="004B03CA" w:rsidRPr="00DA0DCD" w:rsidTr="000C3C74">
        <w:trPr>
          <w:cantSplit/>
          <w:tblHeader/>
        </w:trPr>
        <w:tc>
          <w:tcPr>
            <w:tcW w:w="9323" w:type="dxa"/>
            <w:gridSpan w:val="6"/>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Residuals Statistics</w:t>
            </w:r>
            <w:r w:rsidRPr="00DA0DCD">
              <w:rPr>
                <w:b/>
                <w:sz w:val="16"/>
                <w:szCs w:val="16"/>
                <w:vertAlign w:val="superscript"/>
                <w:lang w:val="en-US"/>
              </w:rPr>
              <w:t>a</w:t>
            </w:r>
          </w:p>
        </w:tc>
      </w:tr>
      <w:tr w:rsidR="004B03CA" w:rsidRPr="00DA0DCD" w:rsidTr="000C3C74">
        <w:trPr>
          <w:cantSplit/>
          <w:tblHeader/>
        </w:trPr>
        <w:tc>
          <w:tcPr>
            <w:tcW w:w="255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41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Minimum</w:t>
            </w:r>
          </w:p>
        </w:tc>
        <w:tc>
          <w:tcPr>
            <w:tcW w:w="141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Maximum</w:t>
            </w:r>
          </w:p>
        </w:tc>
        <w:tc>
          <w:tcPr>
            <w:tcW w:w="184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w:t>
            </w:r>
          </w:p>
        </w:tc>
        <w:tc>
          <w:tcPr>
            <w:tcW w:w="141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Deviation</w:t>
            </w:r>
          </w:p>
        </w:tc>
        <w:tc>
          <w:tcPr>
            <w:tcW w:w="67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N</w:t>
            </w:r>
          </w:p>
        </w:tc>
      </w:tr>
      <w:tr w:rsidR="004B03CA" w:rsidRPr="00DA0DCD" w:rsidTr="000C3C74">
        <w:trPr>
          <w:cantSplit/>
          <w:tblHeader/>
        </w:trPr>
        <w:tc>
          <w:tcPr>
            <w:tcW w:w="2552"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Predicted Value</w:t>
            </w:r>
          </w:p>
        </w:tc>
        <w:tc>
          <w:tcPr>
            <w:tcW w:w="141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-.123143419623</w:t>
            </w:r>
          </w:p>
        </w:tc>
        <w:tc>
          <w:tcPr>
            <w:tcW w:w="141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.166787102818</w:t>
            </w:r>
          </w:p>
        </w:tc>
        <w:tc>
          <w:tcPr>
            <w:tcW w:w="1843"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-.001282227964</w:t>
            </w:r>
          </w:p>
        </w:tc>
        <w:tc>
          <w:tcPr>
            <w:tcW w:w="141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.0205738942694</w:t>
            </w:r>
          </w:p>
        </w:tc>
        <w:tc>
          <w:tcPr>
            <w:tcW w:w="676"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blHeader/>
        </w:trPr>
        <w:tc>
          <w:tcPr>
            <w:tcW w:w="255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Mahal. Distance</w:t>
            </w:r>
          </w:p>
        </w:tc>
        <w:tc>
          <w:tcPr>
            <w:tcW w:w="141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,046</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575,840</w:t>
            </w:r>
          </w:p>
        </w:tc>
        <w:tc>
          <w:tcPr>
            <w:tcW w:w="184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7,000</w:t>
            </w:r>
          </w:p>
        </w:tc>
        <w:tc>
          <w:tcPr>
            <w:tcW w:w="141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25,902</w:t>
            </w:r>
          </w:p>
        </w:tc>
        <w:tc>
          <w:tcPr>
            <w:tcW w:w="676"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blHeader/>
        </w:trPr>
        <w:tc>
          <w:tcPr>
            <w:tcW w:w="255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b/>
                <w:sz w:val="16"/>
                <w:szCs w:val="16"/>
                <w:lang w:val="en-US"/>
              </w:rPr>
            </w:pPr>
            <w:r w:rsidRPr="00DA0DCD">
              <w:rPr>
                <w:b/>
                <w:sz w:val="16"/>
                <w:szCs w:val="16"/>
                <w:lang w:val="en-US"/>
              </w:rPr>
              <w:t>Cook's Distance</w:t>
            </w:r>
          </w:p>
        </w:tc>
        <w:tc>
          <w:tcPr>
            <w:tcW w:w="141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,040</w:t>
            </w:r>
          </w:p>
        </w:tc>
        <w:tc>
          <w:tcPr>
            <w:tcW w:w="184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676"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blHeader/>
        </w:trPr>
        <w:tc>
          <w:tcPr>
            <w:tcW w:w="2552"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Centered Leverage Value</w:t>
            </w:r>
          </w:p>
        </w:tc>
        <w:tc>
          <w:tcPr>
            <w:tcW w:w="141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,018</w:t>
            </w:r>
          </w:p>
        </w:tc>
        <w:tc>
          <w:tcPr>
            <w:tcW w:w="1843"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676"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32640</w:t>
            </w:r>
          </w:p>
        </w:tc>
      </w:tr>
      <w:tr w:rsidR="004B03CA" w:rsidRPr="00DA0DCD" w:rsidTr="000C3C74">
        <w:trPr>
          <w:cantSplit/>
        </w:trPr>
        <w:tc>
          <w:tcPr>
            <w:tcW w:w="3969"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141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843"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41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67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bl>
    <w:p w:rsidR="004B03CA" w:rsidRPr="00DA0DCD" w:rsidRDefault="00835F11" w:rsidP="004B03CA">
      <w:pPr>
        <w:rPr>
          <w:sz w:val="18"/>
          <w:szCs w:val="18"/>
          <w:lang w:val="en-US"/>
        </w:rPr>
      </w:pPr>
      <w:r>
        <w:rPr>
          <w:lang w:val="en-US"/>
        </w:rPr>
        <w:t>Table D.23</w:t>
      </w:r>
    </w:p>
    <w:p w:rsidR="004B03CA" w:rsidRPr="00DA0DCD" w:rsidRDefault="004B03CA" w:rsidP="004B03CA">
      <w:pPr>
        <w:rPr>
          <w:sz w:val="18"/>
          <w:szCs w:val="18"/>
          <w:lang w:val="en-US"/>
        </w:rPr>
      </w:pPr>
      <w:r w:rsidRPr="00DA0DCD">
        <w:rPr>
          <w:sz w:val="18"/>
          <w:szCs w:val="18"/>
          <w:lang w:val="en-US"/>
        </w:rPr>
        <w:br w:type="page"/>
      </w:r>
    </w:p>
    <w:p w:rsidR="004B03CA" w:rsidRPr="00DA0DCD" w:rsidRDefault="004B03CA" w:rsidP="004B03CA">
      <w:pPr>
        <w:pStyle w:val="Kop2"/>
        <w:rPr>
          <w:lang w:val="en-US"/>
        </w:rPr>
      </w:pPr>
      <w:bookmarkStart w:id="104" w:name="_Toc270770635"/>
      <w:r w:rsidRPr="00DA0DCD">
        <w:rPr>
          <w:lang w:val="en-US"/>
        </w:rPr>
        <w:lastRenderedPageBreak/>
        <w:t>Insurance companies sample outcome</w:t>
      </w:r>
      <w:bookmarkEnd w:id="104"/>
    </w:p>
    <w:p w:rsidR="004B03CA" w:rsidRPr="00DA0DCD" w:rsidRDefault="004B03CA" w:rsidP="004B03CA">
      <w:pPr>
        <w:pStyle w:val="Geenafstand"/>
        <w:rPr>
          <w:sz w:val="18"/>
          <w:szCs w:val="18"/>
          <w:lang w:val="en-US"/>
        </w:rPr>
      </w:pPr>
    </w:p>
    <w:tbl>
      <w:tblPr>
        <w:tblW w:w="565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381"/>
        <w:gridCol w:w="1600"/>
        <w:gridCol w:w="1568"/>
        <w:gridCol w:w="1110"/>
      </w:tblGrid>
      <w:tr w:rsidR="004B03CA" w:rsidRPr="00DA0DCD" w:rsidTr="000C3C74">
        <w:trPr>
          <w:cantSplit/>
          <w:tblHeader/>
        </w:trPr>
        <w:tc>
          <w:tcPr>
            <w:tcW w:w="5659" w:type="dxa"/>
            <w:gridSpan w:val="4"/>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Descriptive Statistics</w:t>
            </w:r>
          </w:p>
        </w:tc>
      </w:tr>
      <w:tr w:rsidR="004B03CA" w:rsidRPr="00DA0DCD" w:rsidTr="000C3C74">
        <w:trPr>
          <w:cantSplit/>
          <w:tblHeader/>
        </w:trPr>
        <w:tc>
          <w:tcPr>
            <w:tcW w:w="1381"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60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w:t>
            </w:r>
          </w:p>
        </w:tc>
        <w:tc>
          <w:tcPr>
            <w:tcW w:w="156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Deviation</w:t>
            </w:r>
          </w:p>
        </w:tc>
        <w:tc>
          <w:tcPr>
            <w:tcW w:w="11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N</w:t>
            </w:r>
          </w:p>
        </w:tc>
      </w:tr>
      <w:tr w:rsidR="004B03CA" w:rsidRPr="00DA0DCD" w:rsidTr="000C3C74">
        <w:trPr>
          <w:cantSplit/>
          <w:tblHeader/>
        </w:trPr>
        <w:tc>
          <w:tcPr>
            <w:tcW w:w="1381"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Rit</w:t>
            </w:r>
          </w:p>
        </w:tc>
        <w:tc>
          <w:tcPr>
            <w:tcW w:w="160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-6.172392614984E-4</w:t>
            </w:r>
          </w:p>
        </w:tc>
        <w:tc>
          <w:tcPr>
            <w:tcW w:w="156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.0384146124484</w:t>
            </w:r>
          </w:p>
        </w:tc>
        <w:tc>
          <w:tcPr>
            <w:tcW w:w="111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blHeader/>
        </w:trPr>
        <w:tc>
          <w:tcPr>
            <w:tcW w:w="13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1600"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-.001162099656</w:t>
            </w:r>
          </w:p>
        </w:tc>
        <w:tc>
          <w:tcPr>
            <w:tcW w:w="156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.0215060842588</w:t>
            </w:r>
          </w:p>
        </w:tc>
        <w:tc>
          <w:tcPr>
            <w:tcW w:w="1110"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blHeader/>
        </w:trPr>
        <w:tc>
          <w:tcPr>
            <w:tcW w:w="13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1600"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-.003733591800</w:t>
            </w:r>
          </w:p>
        </w:tc>
        <w:tc>
          <w:tcPr>
            <w:tcW w:w="156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.0141819790052</w:t>
            </w:r>
          </w:p>
        </w:tc>
        <w:tc>
          <w:tcPr>
            <w:tcW w:w="1110"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blHeader/>
        </w:trPr>
        <w:tc>
          <w:tcPr>
            <w:tcW w:w="13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1600"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56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0"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blHeader/>
        </w:trPr>
        <w:tc>
          <w:tcPr>
            <w:tcW w:w="13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1600"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56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0"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blHeader/>
        </w:trPr>
        <w:tc>
          <w:tcPr>
            <w:tcW w:w="13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1600"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56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0"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blHeader/>
        </w:trPr>
        <w:tc>
          <w:tcPr>
            <w:tcW w:w="13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1600"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56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0"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rPr>
        <w:tc>
          <w:tcPr>
            <w:tcW w:w="1381"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160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56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.113</w:t>
            </w:r>
          </w:p>
        </w:tc>
        <w:tc>
          <w:tcPr>
            <w:tcW w:w="11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bl>
    <w:p w:rsidR="004B03CA" w:rsidRPr="00DA0DCD" w:rsidRDefault="004B03CA" w:rsidP="004B03CA">
      <w:pPr>
        <w:rPr>
          <w:sz w:val="18"/>
          <w:szCs w:val="18"/>
          <w:lang w:val="en-US"/>
        </w:rPr>
      </w:pPr>
      <w:r w:rsidRPr="00DA0DCD">
        <w:rPr>
          <w:lang w:val="en-US"/>
        </w:rPr>
        <w:t>Table D.25</w:t>
      </w:r>
    </w:p>
    <w:tbl>
      <w:tblPr>
        <w:tblW w:w="864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93"/>
        <w:gridCol w:w="992"/>
        <w:gridCol w:w="567"/>
        <w:gridCol w:w="567"/>
        <w:gridCol w:w="567"/>
        <w:gridCol w:w="992"/>
        <w:gridCol w:w="992"/>
        <w:gridCol w:w="993"/>
        <w:gridCol w:w="992"/>
        <w:gridCol w:w="992"/>
      </w:tblGrid>
      <w:tr w:rsidR="004B03CA" w:rsidRPr="00DA0DCD" w:rsidTr="000C3C74">
        <w:trPr>
          <w:cantSplit/>
          <w:tblHeader/>
        </w:trPr>
        <w:tc>
          <w:tcPr>
            <w:tcW w:w="8647" w:type="dxa"/>
            <w:gridSpan w:val="10"/>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Correlations</w:t>
            </w:r>
          </w:p>
        </w:tc>
      </w:tr>
      <w:tr w:rsidR="004B03CA" w:rsidRPr="00DA0DCD" w:rsidTr="000C3C74">
        <w:trPr>
          <w:cantSplit/>
          <w:tblHeader/>
        </w:trPr>
        <w:tc>
          <w:tcPr>
            <w:tcW w:w="993"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992"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Rit</w:t>
            </w:r>
          </w:p>
        </w:tc>
        <w:tc>
          <w:tcPr>
            <w:tcW w:w="56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Intt</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E_window1</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E_window2</w:t>
            </w:r>
          </w:p>
        </w:tc>
        <w:tc>
          <w:tcPr>
            <w:tcW w:w="99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E_window3</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E_window4</w:t>
            </w:r>
          </w:p>
        </w:tc>
        <w:tc>
          <w:tcPr>
            <w:tcW w:w="9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E_window5</w:t>
            </w:r>
          </w:p>
        </w:tc>
      </w:tr>
      <w:tr w:rsidR="004B03CA" w:rsidRPr="00DA0DCD" w:rsidTr="000C3C74">
        <w:trPr>
          <w:cantSplit/>
          <w:tblHeader/>
        </w:trPr>
        <w:tc>
          <w:tcPr>
            <w:tcW w:w="993"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Pearson Correlation</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Rit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,501</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-,022</w:t>
            </w:r>
          </w:p>
        </w:tc>
        <w:tc>
          <w:tcPr>
            <w:tcW w:w="993"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-,058</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-,033</w:t>
            </w:r>
          </w:p>
        </w:tc>
        <w:tc>
          <w:tcPr>
            <w:tcW w:w="992"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-,027</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,501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-,021</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-,109</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-,060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,013</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,056</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,073</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-,025</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,013</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-,058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,056</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-,033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,073</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567" w:type="dxa"/>
            <w:tcBorders>
              <w:top w:val="nil"/>
              <w:lef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-,027</w:t>
            </w:r>
          </w:p>
        </w:tc>
        <w:tc>
          <w:tcPr>
            <w:tcW w:w="567"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-,060</w:t>
            </w:r>
          </w:p>
        </w:tc>
        <w:tc>
          <w:tcPr>
            <w:tcW w:w="567"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-,025</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3"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r>
    </w:tbl>
    <w:p w:rsidR="004B03CA" w:rsidRPr="00DA0DCD" w:rsidRDefault="004B03CA" w:rsidP="004B03CA">
      <w:pPr>
        <w:rPr>
          <w:sz w:val="18"/>
          <w:szCs w:val="18"/>
          <w:lang w:val="en-US"/>
        </w:rPr>
      </w:pPr>
      <w:r w:rsidRPr="00DA0DCD">
        <w:rPr>
          <w:lang w:val="en-US"/>
        </w:rPr>
        <w:t>Table D.26</w:t>
      </w:r>
    </w:p>
    <w:tbl>
      <w:tblPr>
        <w:tblW w:w="652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98"/>
        <w:gridCol w:w="1111"/>
        <w:gridCol w:w="1184"/>
        <w:gridCol w:w="1600"/>
        <w:gridCol w:w="1600"/>
        <w:gridCol w:w="228"/>
      </w:tblGrid>
      <w:tr w:rsidR="004B03CA" w:rsidRPr="00DA0DCD" w:rsidTr="000C3C74">
        <w:trPr>
          <w:gridAfter w:val="1"/>
          <w:wAfter w:w="228" w:type="dxa"/>
          <w:cantSplit/>
          <w:tblHeader/>
        </w:trPr>
        <w:tc>
          <w:tcPr>
            <w:tcW w:w="6293"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Model Summary</w:t>
            </w:r>
            <w:r w:rsidRPr="00DA0DCD">
              <w:rPr>
                <w:b/>
                <w:sz w:val="16"/>
                <w:szCs w:val="16"/>
                <w:vertAlign w:val="superscript"/>
                <w:lang w:val="en-US"/>
              </w:rPr>
              <w:t>b</w:t>
            </w:r>
          </w:p>
        </w:tc>
      </w:tr>
      <w:tr w:rsidR="004B03CA" w:rsidRPr="00872F8A" w:rsidTr="000C3C74">
        <w:trPr>
          <w:gridAfter w:val="1"/>
          <w:wAfter w:w="228" w:type="dxa"/>
          <w:cantSplit/>
          <w:tblHeader/>
        </w:trPr>
        <w:tc>
          <w:tcPr>
            <w:tcW w:w="798"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11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w:t>
            </w:r>
          </w:p>
        </w:tc>
        <w:tc>
          <w:tcPr>
            <w:tcW w:w="118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 Square</w:t>
            </w:r>
          </w:p>
        </w:tc>
        <w:tc>
          <w:tcPr>
            <w:tcW w:w="160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Adjusted R Square</w:t>
            </w:r>
          </w:p>
        </w:tc>
        <w:tc>
          <w:tcPr>
            <w:tcW w:w="160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 of the Estimate</w:t>
            </w:r>
          </w:p>
        </w:tc>
      </w:tr>
      <w:tr w:rsidR="004B03CA" w:rsidRPr="00DA0DCD" w:rsidTr="000C3C74">
        <w:trPr>
          <w:gridAfter w:val="1"/>
          <w:wAfter w:w="228" w:type="dxa"/>
          <w:cantSplit/>
          <w:tblHeader/>
        </w:trPr>
        <w:tc>
          <w:tcPr>
            <w:tcW w:w="798"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11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,501</w:t>
            </w:r>
            <w:r w:rsidRPr="00DA0DCD">
              <w:rPr>
                <w:sz w:val="16"/>
                <w:szCs w:val="16"/>
                <w:vertAlign w:val="superscript"/>
                <w:lang w:val="en-US"/>
              </w:rPr>
              <w:t>a</w:t>
            </w:r>
          </w:p>
        </w:tc>
        <w:tc>
          <w:tcPr>
            <w:tcW w:w="1184"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,251</w:t>
            </w:r>
          </w:p>
        </w:tc>
        <w:tc>
          <w:tcPr>
            <w:tcW w:w="160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,251</w:t>
            </w:r>
          </w:p>
        </w:tc>
        <w:tc>
          <w:tcPr>
            <w:tcW w:w="160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.0332455134801</w:t>
            </w:r>
          </w:p>
        </w:tc>
      </w:tr>
      <w:tr w:rsidR="004B03CA" w:rsidRPr="00872F8A" w:rsidTr="000C3C74">
        <w:trPr>
          <w:cantSplit/>
          <w:tblHeader/>
        </w:trPr>
        <w:tc>
          <w:tcPr>
            <w:tcW w:w="6521"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Predictors: (Constant), E_window5, E_window4, E_window3, E_window2, E_window1, Intt, Rmt</w:t>
            </w:r>
          </w:p>
        </w:tc>
      </w:tr>
      <w:tr w:rsidR="004B03CA" w:rsidRPr="00DA0DCD" w:rsidTr="000C3C74">
        <w:trPr>
          <w:cantSplit/>
        </w:trPr>
        <w:tc>
          <w:tcPr>
            <w:tcW w:w="4693"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b. Dependent Variable: Rit</w:t>
            </w:r>
          </w:p>
        </w:tc>
        <w:tc>
          <w:tcPr>
            <w:tcW w:w="1828"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D.27</w:t>
      </w:r>
    </w:p>
    <w:tbl>
      <w:tblPr>
        <w:tblW w:w="874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98"/>
        <w:gridCol w:w="1398"/>
        <w:gridCol w:w="1600"/>
        <w:gridCol w:w="1109"/>
        <w:gridCol w:w="1536"/>
        <w:gridCol w:w="1194"/>
        <w:gridCol w:w="1111"/>
      </w:tblGrid>
      <w:tr w:rsidR="004B03CA" w:rsidRPr="00DA0DCD" w:rsidTr="000C3C74">
        <w:trPr>
          <w:cantSplit/>
          <w:tblHeader/>
        </w:trPr>
        <w:tc>
          <w:tcPr>
            <w:tcW w:w="8746"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ANOVA</w:t>
            </w:r>
            <w:r w:rsidRPr="00DA0DCD">
              <w:rPr>
                <w:b/>
                <w:sz w:val="16"/>
                <w:szCs w:val="16"/>
                <w:vertAlign w:val="superscript"/>
                <w:lang w:val="en-US"/>
              </w:rPr>
              <w:t>b</w:t>
            </w:r>
          </w:p>
        </w:tc>
      </w:tr>
      <w:tr w:rsidR="004B03CA" w:rsidRPr="00DA0DCD" w:rsidTr="000C3C74">
        <w:trPr>
          <w:cantSplit/>
          <w:tblHeader/>
        </w:trPr>
        <w:tc>
          <w:tcPr>
            <w:tcW w:w="2196"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60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Sum of Squares</w:t>
            </w:r>
          </w:p>
        </w:tc>
        <w:tc>
          <w:tcPr>
            <w:tcW w:w="11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df</w:t>
            </w:r>
          </w:p>
        </w:tc>
        <w:tc>
          <w:tcPr>
            <w:tcW w:w="153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 Square</w:t>
            </w:r>
          </w:p>
        </w:tc>
        <w:tc>
          <w:tcPr>
            <w:tcW w:w="119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F</w:t>
            </w:r>
          </w:p>
        </w:tc>
        <w:tc>
          <w:tcPr>
            <w:tcW w:w="1111"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r>
      <w:tr w:rsidR="004B03CA" w:rsidRPr="00DA0DCD" w:rsidTr="000C3C74">
        <w:trPr>
          <w:cantSplit/>
          <w:tblHeader/>
        </w:trPr>
        <w:tc>
          <w:tcPr>
            <w:tcW w:w="79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39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Regression</w:t>
            </w:r>
          </w:p>
        </w:tc>
        <w:tc>
          <w:tcPr>
            <w:tcW w:w="160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8,257</w:t>
            </w:r>
          </w:p>
        </w:tc>
        <w:tc>
          <w:tcPr>
            <w:tcW w:w="11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w:t>
            </w:r>
          </w:p>
        </w:tc>
        <w:tc>
          <w:tcPr>
            <w:tcW w:w="1536"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1,180</w:t>
            </w:r>
          </w:p>
        </w:tc>
        <w:tc>
          <w:tcPr>
            <w:tcW w:w="1194"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1067,272</w:t>
            </w:r>
          </w:p>
        </w:tc>
        <w:tc>
          <w:tcPr>
            <w:tcW w:w="1111"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r w:rsidRPr="00DA0DCD">
              <w:rPr>
                <w:sz w:val="16"/>
                <w:szCs w:val="16"/>
                <w:vertAlign w:val="superscript"/>
                <w:lang w:val="en-US"/>
              </w:rPr>
              <w:t>a</w:t>
            </w:r>
          </w:p>
        </w:tc>
      </w:tr>
      <w:tr w:rsidR="004B03CA" w:rsidRPr="00DA0DCD" w:rsidTr="000C3C74">
        <w:trPr>
          <w:cantSplit/>
          <w:tblHeader/>
        </w:trPr>
        <w:tc>
          <w:tcPr>
            <w:tcW w:w="79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398"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Residual</w:t>
            </w:r>
          </w:p>
        </w:tc>
        <w:tc>
          <w:tcPr>
            <w:tcW w:w="1600"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24,608</w:t>
            </w:r>
          </w:p>
        </w:tc>
        <w:tc>
          <w:tcPr>
            <w:tcW w:w="11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22264</w:t>
            </w:r>
          </w:p>
        </w:tc>
        <w:tc>
          <w:tcPr>
            <w:tcW w:w="1536"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94"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1"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79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39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Total</w:t>
            </w:r>
          </w:p>
        </w:tc>
        <w:tc>
          <w:tcPr>
            <w:tcW w:w="160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32,865</w:t>
            </w:r>
          </w:p>
        </w:tc>
        <w:tc>
          <w:tcPr>
            <w:tcW w:w="11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22271</w:t>
            </w:r>
          </w:p>
        </w:tc>
        <w:tc>
          <w:tcPr>
            <w:tcW w:w="1536"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94"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872F8A" w:rsidTr="000C3C74">
        <w:trPr>
          <w:cantSplit/>
          <w:tblHeader/>
        </w:trPr>
        <w:tc>
          <w:tcPr>
            <w:tcW w:w="8746"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Predictors: (Constant), E_window5, E_window4, E_window3, E_window2, E_window1, Intt, Rmt</w:t>
            </w:r>
          </w:p>
        </w:tc>
      </w:tr>
      <w:tr w:rsidR="004B03CA" w:rsidRPr="00DA0DCD" w:rsidTr="000C3C74">
        <w:trPr>
          <w:cantSplit/>
        </w:trPr>
        <w:tc>
          <w:tcPr>
            <w:tcW w:w="3796"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b. Dependent Variable: Rit</w:t>
            </w:r>
          </w:p>
        </w:tc>
        <w:tc>
          <w:tcPr>
            <w:tcW w:w="11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53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9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D.28</w:t>
      </w:r>
    </w:p>
    <w:p w:rsidR="004B03CA" w:rsidRPr="00DA0DCD" w:rsidRDefault="004B03CA" w:rsidP="004B03CA">
      <w:pPr>
        <w:pStyle w:val="Geenafstand"/>
        <w:rPr>
          <w:sz w:val="18"/>
          <w:szCs w:val="18"/>
          <w:lang w:val="en-US"/>
        </w:rPr>
      </w:pPr>
    </w:p>
    <w:p w:rsidR="004B03CA" w:rsidRPr="00DA0DCD" w:rsidRDefault="004B03CA" w:rsidP="004B03CA">
      <w:pPr>
        <w:rPr>
          <w:sz w:val="18"/>
          <w:szCs w:val="18"/>
          <w:lang w:val="en-US"/>
        </w:rPr>
      </w:pPr>
      <w:r w:rsidRPr="00DA0DCD">
        <w:rPr>
          <w:sz w:val="18"/>
          <w:szCs w:val="18"/>
          <w:lang w:val="en-US"/>
        </w:rPr>
        <w:br w:type="page"/>
      </w:r>
    </w:p>
    <w:p w:rsidR="004B03CA" w:rsidRPr="00DA0DCD" w:rsidRDefault="004B03CA" w:rsidP="004B03CA">
      <w:pPr>
        <w:pStyle w:val="Geenafstand"/>
        <w:rPr>
          <w:sz w:val="18"/>
          <w:szCs w:val="18"/>
          <w:lang w:val="en-US"/>
        </w:rPr>
      </w:pPr>
    </w:p>
    <w:tbl>
      <w:tblPr>
        <w:tblW w:w="878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2"/>
        <w:gridCol w:w="992"/>
        <w:gridCol w:w="567"/>
        <w:gridCol w:w="284"/>
        <w:gridCol w:w="425"/>
        <w:gridCol w:w="1134"/>
        <w:gridCol w:w="567"/>
        <w:gridCol w:w="425"/>
        <w:gridCol w:w="567"/>
        <w:gridCol w:w="567"/>
        <w:gridCol w:w="567"/>
        <w:gridCol w:w="567"/>
        <w:gridCol w:w="567"/>
        <w:gridCol w:w="851"/>
        <w:gridCol w:w="567"/>
      </w:tblGrid>
      <w:tr w:rsidR="004B03CA" w:rsidRPr="00DA0DCD" w:rsidTr="000C3C74">
        <w:trPr>
          <w:cantSplit/>
          <w:tblHeader/>
        </w:trPr>
        <w:tc>
          <w:tcPr>
            <w:tcW w:w="8789"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4B03CA" w:rsidRPr="00DA0DCD" w:rsidTr="000C3C74">
        <w:trPr>
          <w:cantSplit/>
          <w:tblHeader/>
        </w:trPr>
        <w:tc>
          <w:tcPr>
            <w:tcW w:w="113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Standardized Coefficients</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c>
          <w:tcPr>
            <w:tcW w:w="1134"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Collinearity Statistics</w:t>
            </w:r>
          </w:p>
        </w:tc>
      </w:tr>
      <w:tr w:rsidR="004B03CA" w:rsidRPr="00DA0DCD" w:rsidTr="000C3C74">
        <w:trPr>
          <w:cantSplit/>
          <w:tblHeader/>
        </w:trPr>
        <w:tc>
          <w:tcPr>
            <w:tcW w:w="113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Beta</w:t>
            </w: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Lower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VIF</w:t>
            </w:r>
          </w:p>
        </w:tc>
      </w:tr>
      <w:tr w:rsidR="004B03CA" w:rsidRPr="00DA0DCD" w:rsidTr="000C3C74">
        <w:trPr>
          <w:cantSplit/>
          <w:tblHeader/>
        </w:trPr>
        <w:tc>
          <w:tcPr>
            <w:tcW w:w="14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1,801</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,072</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,893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,500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85,415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,873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,497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,495</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1,019</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-,946</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,344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1,010</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,216</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,829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1,001</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-1,900</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,057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-,011</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1,001</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-,577</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,564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,984</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1,016</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-1,488</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,137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,992</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1,008</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,547</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,584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-,027</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,995</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1,005</w:t>
            </w:r>
          </w:p>
        </w:tc>
      </w:tr>
      <w:tr w:rsidR="004B03CA" w:rsidRPr="00DA0DCD" w:rsidTr="000C3C74">
        <w:trPr>
          <w:cantSplit/>
        </w:trPr>
        <w:tc>
          <w:tcPr>
            <w:tcW w:w="1985"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bl>
    <w:p w:rsidR="004B03CA" w:rsidRPr="00DA0DCD" w:rsidRDefault="004B03CA" w:rsidP="004B03CA">
      <w:pPr>
        <w:rPr>
          <w:sz w:val="18"/>
          <w:szCs w:val="18"/>
          <w:lang w:val="en-US"/>
        </w:rPr>
      </w:pPr>
      <w:r w:rsidRPr="00DA0DCD">
        <w:rPr>
          <w:lang w:val="en-US"/>
        </w:rPr>
        <w:t>Table D.29</w:t>
      </w:r>
    </w:p>
    <w:tbl>
      <w:tblPr>
        <w:tblW w:w="8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850"/>
        <w:gridCol w:w="567"/>
        <w:gridCol w:w="426"/>
        <w:gridCol w:w="283"/>
        <w:gridCol w:w="1134"/>
        <w:gridCol w:w="567"/>
        <w:gridCol w:w="425"/>
        <w:gridCol w:w="567"/>
        <w:gridCol w:w="709"/>
        <w:gridCol w:w="567"/>
        <w:gridCol w:w="567"/>
        <w:gridCol w:w="567"/>
        <w:gridCol w:w="851"/>
        <w:gridCol w:w="567"/>
      </w:tblGrid>
      <w:tr w:rsidR="004B03CA" w:rsidRPr="00DA0DCD" w:rsidTr="000C3C74">
        <w:trPr>
          <w:cantSplit/>
          <w:tblHeader/>
        </w:trPr>
        <w:tc>
          <w:tcPr>
            <w:tcW w:w="8931"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4B03CA" w:rsidRPr="00DA0DCD" w:rsidTr="000C3C74">
        <w:trPr>
          <w:cantSplit/>
          <w:tblHeader/>
        </w:trPr>
        <w:tc>
          <w:tcPr>
            <w:tcW w:w="113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Standardized Coefficients</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Collinearity Statistics</w:t>
            </w:r>
          </w:p>
        </w:tc>
      </w:tr>
      <w:tr w:rsidR="004B03CA" w:rsidRPr="00DA0DCD" w:rsidTr="000C3C74">
        <w:trPr>
          <w:cantSplit/>
          <w:tblHeader/>
        </w:trPr>
        <w:tc>
          <w:tcPr>
            <w:tcW w:w="113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Beta</w:t>
            </w: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Lower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85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1,769</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,077</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0"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,893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85,797</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,873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,501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,498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,498</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850"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-,017</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-1,076</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,282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85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Windows_Combined</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-1,241</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,215</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-,058</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,987</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1,014</w:t>
            </w:r>
          </w:p>
        </w:tc>
      </w:tr>
      <w:tr w:rsidR="004B03CA" w:rsidRPr="00DA0DCD" w:rsidTr="000C3C74">
        <w:trPr>
          <w:cantSplit/>
        </w:trPr>
        <w:tc>
          <w:tcPr>
            <w:tcW w:w="2127"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283"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D.30</w:t>
      </w:r>
    </w:p>
    <w:tbl>
      <w:tblPr>
        <w:tblW w:w="93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552"/>
        <w:gridCol w:w="1417"/>
        <w:gridCol w:w="1418"/>
        <w:gridCol w:w="1843"/>
        <w:gridCol w:w="1417"/>
        <w:gridCol w:w="667"/>
      </w:tblGrid>
      <w:tr w:rsidR="004B03CA" w:rsidRPr="00DA0DCD" w:rsidTr="000C3C74">
        <w:trPr>
          <w:cantSplit/>
          <w:tblHeader/>
        </w:trPr>
        <w:tc>
          <w:tcPr>
            <w:tcW w:w="9314" w:type="dxa"/>
            <w:gridSpan w:val="6"/>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Residuals Statistics</w:t>
            </w:r>
            <w:r w:rsidRPr="00DA0DCD">
              <w:rPr>
                <w:b/>
                <w:sz w:val="16"/>
                <w:szCs w:val="16"/>
                <w:vertAlign w:val="superscript"/>
                <w:lang w:val="en-US"/>
              </w:rPr>
              <w:t>a</w:t>
            </w:r>
          </w:p>
        </w:tc>
      </w:tr>
      <w:tr w:rsidR="004B03CA" w:rsidRPr="00DA0DCD" w:rsidTr="000C3C74">
        <w:trPr>
          <w:cantSplit/>
          <w:tblHeader/>
        </w:trPr>
        <w:tc>
          <w:tcPr>
            <w:tcW w:w="255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41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Minimum</w:t>
            </w:r>
          </w:p>
        </w:tc>
        <w:tc>
          <w:tcPr>
            <w:tcW w:w="141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Maximum</w:t>
            </w:r>
          </w:p>
        </w:tc>
        <w:tc>
          <w:tcPr>
            <w:tcW w:w="184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w:t>
            </w:r>
          </w:p>
        </w:tc>
        <w:tc>
          <w:tcPr>
            <w:tcW w:w="141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Deviation</w:t>
            </w:r>
          </w:p>
        </w:tc>
        <w:tc>
          <w:tcPr>
            <w:tcW w:w="66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N</w:t>
            </w:r>
          </w:p>
        </w:tc>
      </w:tr>
      <w:tr w:rsidR="004B03CA" w:rsidRPr="00DA0DCD" w:rsidTr="000C3C74">
        <w:trPr>
          <w:cantSplit/>
          <w:tblHeader/>
        </w:trPr>
        <w:tc>
          <w:tcPr>
            <w:tcW w:w="2552"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Predicted Value</w:t>
            </w:r>
          </w:p>
        </w:tc>
        <w:tc>
          <w:tcPr>
            <w:tcW w:w="141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-.115369901061</w:t>
            </w:r>
          </w:p>
        </w:tc>
        <w:tc>
          <w:tcPr>
            <w:tcW w:w="141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.156051352620</w:t>
            </w:r>
          </w:p>
        </w:tc>
        <w:tc>
          <w:tcPr>
            <w:tcW w:w="1843"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-6.172392614984E-4</w:t>
            </w:r>
          </w:p>
        </w:tc>
        <w:tc>
          <w:tcPr>
            <w:tcW w:w="141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.0192552766452</w:t>
            </w:r>
          </w:p>
        </w:tc>
        <w:tc>
          <w:tcPr>
            <w:tcW w:w="667"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blHeader/>
        </w:trPr>
        <w:tc>
          <w:tcPr>
            <w:tcW w:w="255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Mahal. Distance</w:t>
            </w:r>
          </w:p>
        </w:tc>
        <w:tc>
          <w:tcPr>
            <w:tcW w:w="141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,046</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201,256</w:t>
            </w:r>
          </w:p>
        </w:tc>
        <w:tc>
          <w:tcPr>
            <w:tcW w:w="184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7,000</w:t>
            </w:r>
          </w:p>
        </w:tc>
        <w:tc>
          <w:tcPr>
            <w:tcW w:w="141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25,291</w:t>
            </w:r>
          </w:p>
        </w:tc>
        <w:tc>
          <w:tcPr>
            <w:tcW w:w="6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blHeader/>
        </w:trPr>
        <w:tc>
          <w:tcPr>
            <w:tcW w:w="255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b/>
                <w:sz w:val="16"/>
                <w:szCs w:val="16"/>
                <w:lang w:val="en-US"/>
              </w:rPr>
            </w:pPr>
            <w:r w:rsidRPr="00DA0DCD">
              <w:rPr>
                <w:b/>
                <w:sz w:val="16"/>
                <w:szCs w:val="16"/>
                <w:lang w:val="en-US"/>
              </w:rPr>
              <w:t>Cook's Distance</w:t>
            </w:r>
          </w:p>
        </w:tc>
        <w:tc>
          <w:tcPr>
            <w:tcW w:w="141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,221</w:t>
            </w:r>
          </w:p>
        </w:tc>
        <w:tc>
          <w:tcPr>
            <w:tcW w:w="184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6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blHeader/>
        </w:trPr>
        <w:tc>
          <w:tcPr>
            <w:tcW w:w="2552"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Centered Leverage Value</w:t>
            </w:r>
          </w:p>
        </w:tc>
        <w:tc>
          <w:tcPr>
            <w:tcW w:w="141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1843"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6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22272</w:t>
            </w:r>
          </w:p>
        </w:tc>
      </w:tr>
      <w:tr w:rsidR="004B03CA" w:rsidRPr="00DA0DCD" w:rsidTr="000C3C74">
        <w:trPr>
          <w:cantSplit/>
        </w:trPr>
        <w:tc>
          <w:tcPr>
            <w:tcW w:w="3969"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141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843"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41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6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835F11" w:rsidP="004B03CA">
      <w:pPr>
        <w:rPr>
          <w:sz w:val="18"/>
          <w:szCs w:val="18"/>
          <w:lang w:val="en-US"/>
        </w:rPr>
      </w:pPr>
      <w:r>
        <w:rPr>
          <w:lang w:val="en-US"/>
        </w:rPr>
        <w:t>Table D.31</w:t>
      </w:r>
    </w:p>
    <w:p w:rsidR="004B03CA" w:rsidRPr="00DA0DCD" w:rsidRDefault="004B03CA" w:rsidP="004B03CA">
      <w:pPr>
        <w:rPr>
          <w:sz w:val="18"/>
          <w:szCs w:val="18"/>
          <w:lang w:val="en-US"/>
        </w:rPr>
      </w:pPr>
      <w:r w:rsidRPr="00DA0DCD">
        <w:rPr>
          <w:sz w:val="18"/>
          <w:szCs w:val="18"/>
          <w:lang w:val="en-US"/>
        </w:rPr>
        <w:br w:type="page"/>
      </w:r>
    </w:p>
    <w:p w:rsidR="004B03CA" w:rsidRPr="00DA0DCD" w:rsidRDefault="004B03CA" w:rsidP="004B03CA">
      <w:pPr>
        <w:pStyle w:val="Kop2"/>
        <w:rPr>
          <w:lang w:val="en-US"/>
        </w:rPr>
      </w:pPr>
      <w:bookmarkStart w:id="105" w:name="_Toc270770636"/>
      <w:r w:rsidRPr="00DA0DCD">
        <w:rPr>
          <w:lang w:val="en-US"/>
        </w:rPr>
        <w:lastRenderedPageBreak/>
        <w:t>‘Other’ financial institutions sample outcome</w:t>
      </w:r>
      <w:bookmarkEnd w:id="105"/>
    </w:p>
    <w:p w:rsidR="004B03CA" w:rsidRPr="00DA0DCD" w:rsidRDefault="004B03CA" w:rsidP="004B03CA">
      <w:pPr>
        <w:pStyle w:val="Geenafstand"/>
        <w:rPr>
          <w:sz w:val="18"/>
          <w:szCs w:val="18"/>
          <w:lang w:val="en-US"/>
        </w:rPr>
      </w:pPr>
    </w:p>
    <w:tbl>
      <w:tblPr>
        <w:tblW w:w="566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382"/>
        <w:gridCol w:w="1601"/>
        <w:gridCol w:w="1569"/>
        <w:gridCol w:w="1112"/>
      </w:tblGrid>
      <w:tr w:rsidR="004B03CA" w:rsidRPr="00DA0DCD" w:rsidTr="000C3C74">
        <w:trPr>
          <w:cantSplit/>
          <w:tblHeader/>
        </w:trPr>
        <w:tc>
          <w:tcPr>
            <w:tcW w:w="5664" w:type="dxa"/>
            <w:gridSpan w:val="4"/>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Descriptive Statistics</w:t>
            </w:r>
          </w:p>
        </w:tc>
      </w:tr>
      <w:tr w:rsidR="004B03CA" w:rsidRPr="00DA0DCD" w:rsidTr="000C3C74">
        <w:trPr>
          <w:cantSplit/>
          <w:tblHeader/>
        </w:trPr>
        <w:tc>
          <w:tcPr>
            <w:tcW w:w="138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60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w:t>
            </w:r>
          </w:p>
        </w:tc>
        <w:tc>
          <w:tcPr>
            <w:tcW w:w="156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Deviation</w:t>
            </w:r>
          </w:p>
        </w:tc>
        <w:tc>
          <w:tcPr>
            <w:tcW w:w="111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N</w:t>
            </w:r>
          </w:p>
        </w:tc>
      </w:tr>
      <w:tr w:rsidR="004B03CA" w:rsidRPr="00DA0DCD" w:rsidTr="000C3C74">
        <w:trPr>
          <w:cantSplit/>
          <w:tblHeader/>
        </w:trPr>
        <w:tc>
          <w:tcPr>
            <w:tcW w:w="1382"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Rit</w:t>
            </w:r>
          </w:p>
        </w:tc>
        <w:tc>
          <w:tcPr>
            <w:tcW w:w="160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-8.903699191404E-4</w:t>
            </w:r>
          </w:p>
        </w:tc>
        <w:tc>
          <w:tcPr>
            <w:tcW w:w="156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.0403687827295</w:t>
            </w:r>
          </w:p>
        </w:tc>
        <w:tc>
          <w:tcPr>
            <w:tcW w:w="1112"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160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-.001182378898</w:t>
            </w:r>
          </w:p>
        </w:tc>
        <w:tc>
          <w:tcPr>
            <w:tcW w:w="15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.0213527766876</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160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-.003768772913</w:t>
            </w:r>
          </w:p>
        </w:tc>
        <w:tc>
          <w:tcPr>
            <w:tcW w:w="15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.0144396722111</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160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5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160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5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160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5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blHeader/>
        </w:trPr>
        <w:tc>
          <w:tcPr>
            <w:tcW w:w="138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160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56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.088</w:t>
            </w:r>
          </w:p>
        </w:tc>
        <w:tc>
          <w:tcPr>
            <w:tcW w:w="111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rPr>
        <w:tc>
          <w:tcPr>
            <w:tcW w:w="1382"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160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w:t>
            </w:r>
          </w:p>
        </w:tc>
        <w:tc>
          <w:tcPr>
            <w:tcW w:w="156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.113</w:t>
            </w:r>
          </w:p>
        </w:tc>
        <w:tc>
          <w:tcPr>
            <w:tcW w:w="1112"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bl>
    <w:p w:rsidR="004B03CA" w:rsidRPr="00DA0DCD" w:rsidRDefault="004B03CA" w:rsidP="004B03CA">
      <w:pPr>
        <w:rPr>
          <w:sz w:val="18"/>
          <w:szCs w:val="18"/>
          <w:lang w:val="en-US"/>
        </w:rPr>
      </w:pPr>
      <w:r w:rsidRPr="00DA0DCD">
        <w:rPr>
          <w:lang w:val="en-US"/>
        </w:rPr>
        <w:t>Table D.33</w:t>
      </w:r>
    </w:p>
    <w:tbl>
      <w:tblPr>
        <w:tblW w:w="864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93"/>
        <w:gridCol w:w="992"/>
        <w:gridCol w:w="567"/>
        <w:gridCol w:w="567"/>
        <w:gridCol w:w="567"/>
        <w:gridCol w:w="992"/>
        <w:gridCol w:w="992"/>
        <w:gridCol w:w="993"/>
        <w:gridCol w:w="992"/>
        <w:gridCol w:w="992"/>
      </w:tblGrid>
      <w:tr w:rsidR="004B03CA" w:rsidRPr="00DA0DCD" w:rsidTr="000C3C74">
        <w:trPr>
          <w:cantSplit/>
          <w:tblHeader/>
        </w:trPr>
        <w:tc>
          <w:tcPr>
            <w:tcW w:w="8647" w:type="dxa"/>
            <w:gridSpan w:val="10"/>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Correlations</w:t>
            </w:r>
          </w:p>
        </w:tc>
      </w:tr>
      <w:tr w:rsidR="004B03CA" w:rsidRPr="00DA0DCD" w:rsidTr="000C3C74">
        <w:trPr>
          <w:cantSplit/>
          <w:tblHeader/>
        </w:trPr>
        <w:tc>
          <w:tcPr>
            <w:tcW w:w="993"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992"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Rit</w:t>
            </w:r>
          </w:p>
        </w:tc>
        <w:tc>
          <w:tcPr>
            <w:tcW w:w="56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Intt</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E_window1</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E_window2</w:t>
            </w:r>
          </w:p>
        </w:tc>
        <w:tc>
          <w:tcPr>
            <w:tcW w:w="99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E_window3</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E_window4</w:t>
            </w:r>
          </w:p>
        </w:tc>
        <w:tc>
          <w:tcPr>
            <w:tcW w:w="9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E_window5</w:t>
            </w:r>
          </w:p>
        </w:tc>
      </w:tr>
      <w:tr w:rsidR="004B03CA" w:rsidRPr="00DA0DCD" w:rsidTr="000C3C74">
        <w:trPr>
          <w:cantSplit/>
          <w:tblHeader/>
        </w:trPr>
        <w:tc>
          <w:tcPr>
            <w:tcW w:w="993"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Pearson Correlation</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Rit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,349</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-,021</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3"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-,041</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-,027</w:t>
            </w:r>
          </w:p>
        </w:tc>
        <w:tc>
          <w:tcPr>
            <w:tcW w:w="992"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,349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-,023</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-,109</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-,046</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-,068</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,017</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,074</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-,032</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,017</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-,041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,074</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992"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r>
      <w:tr w:rsidR="004B03CA" w:rsidRPr="00DA0DCD" w:rsidTr="000C3C74">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567" w:type="dxa"/>
            <w:tcBorders>
              <w:top w:val="nil"/>
              <w:lef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,001</w:t>
            </w:r>
          </w:p>
        </w:tc>
        <w:tc>
          <w:tcPr>
            <w:tcW w:w="567"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-,068</w:t>
            </w:r>
          </w:p>
        </w:tc>
        <w:tc>
          <w:tcPr>
            <w:tcW w:w="567"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-,032</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3"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992" w:type="dxa"/>
            <w:tcBorders>
              <w:top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1,000</w:t>
            </w:r>
          </w:p>
        </w:tc>
      </w:tr>
    </w:tbl>
    <w:p w:rsidR="004B03CA" w:rsidRPr="00DA0DCD" w:rsidRDefault="004B03CA" w:rsidP="004B03CA">
      <w:pPr>
        <w:rPr>
          <w:sz w:val="18"/>
          <w:szCs w:val="18"/>
          <w:lang w:val="en-US"/>
        </w:rPr>
      </w:pPr>
      <w:r w:rsidRPr="00DA0DCD">
        <w:rPr>
          <w:lang w:val="en-US"/>
        </w:rPr>
        <w:t>Table D.34</w:t>
      </w:r>
    </w:p>
    <w:tbl>
      <w:tblPr>
        <w:tblW w:w="751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99"/>
        <w:gridCol w:w="1112"/>
        <w:gridCol w:w="1186"/>
        <w:gridCol w:w="1601"/>
        <w:gridCol w:w="1601"/>
        <w:gridCol w:w="1214"/>
      </w:tblGrid>
      <w:tr w:rsidR="004B03CA" w:rsidRPr="00DA0DCD" w:rsidTr="000C3C74">
        <w:trPr>
          <w:gridAfter w:val="1"/>
          <w:wAfter w:w="1214" w:type="dxa"/>
          <w:cantSplit/>
          <w:tblHeader/>
        </w:trPr>
        <w:tc>
          <w:tcPr>
            <w:tcW w:w="6299"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Model Summary</w:t>
            </w:r>
            <w:r w:rsidRPr="00DA0DCD">
              <w:rPr>
                <w:b/>
                <w:sz w:val="16"/>
                <w:szCs w:val="16"/>
                <w:vertAlign w:val="superscript"/>
                <w:lang w:val="en-US"/>
              </w:rPr>
              <w:t>b</w:t>
            </w:r>
          </w:p>
        </w:tc>
      </w:tr>
      <w:tr w:rsidR="004B03CA" w:rsidRPr="00872F8A" w:rsidTr="000C3C74">
        <w:trPr>
          <w:gridAfter w:val="1"/>
          <w:wAfter w:w="1214" w:type="dxa"/>
          <w:cantSplit/>
          <w:tblHeader/>
        </w:trPr>
        <w:tc>
          <w:tcPr>
            <w:tcW w:w="799"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11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w:t>
            </w:r>
          </w:p>
        </w:tc>
        <w:tc>
          <w:tcPr>
            <w:tcW w:w="118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R Square</w:t>
            </w:r>
          </w:p>
        </w:tc>
        <w:tc>
          <w:tcPr>
            <w:tcW w:w="160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Adjusted R Square</w:t>
            </w:r>
          </w:p>
        </w:tc>
        <w:tc>
          <w:tcPr>
            <w:tcW w:w="1601"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 of the Estimate</w:t>
            </w:r>
          </w:p>
        </w:tc>
      </w:tr>
      <w:tr w:rsidR="004B03CA" w:rsidRPr="00DA0DCD" w:rsidTr="000C3C74">
        <w:trPr>
          <w:gridAfter w:val="1"/>
          <w:wAfter w:w="1214" w:type="dxa"/>
          <w:cantSplit/>
          <w:tblHeader/>
        </w:trPr>
        <w:tc>
          <w:tcPr>
            <w:tcW w:w="799"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11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,350</w:t>
            </w:r>
            <w:r w:rsidRPr="00DA0DCD">
              <w:rPr>
                <w:sz w:val="16"/>
                <w:szCs w:val="16"/>
                <w:vertAlign w:val="superscript"/>
                <w:lang w:val="en-US"/>
              </w:rPr>
              <w:t>a</w:t>
            </w:r>
          </w:p>
        </w:tc>
        <w:tc>
          <w:tcPr>
            <w:tcW w:w="1186"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,123</w:t>
            </w:r>
          </w:p>
        </w:tc>
        <w:tc>
          <w:tcPr>
            <w:tcW w:w="1601"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,123</w:t>
            </w:r>
          </w:p>
        </w:tc>
        <w:tc>
          <w:tcPr>
            <w:tcW w:w="1601"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.0378099580211</w:t>
            </w:r>
          </w:p>
        </w:tc>
      </w:tr>
      <w:tr w:rsidR="004B03CA" w:rsidRPr="00872F8A" w:rsidTr="000C3C74">
        <w:trPr>
          <w:cantSplit/>
          <w:tblHeader/>
        </w:trPr>
        <w:tc>
          <w:tcPr>
            <w:tcW w:w="7513"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Predictors: (Constant), E_window5, E_window4, E_window3, E_window2, E_window1, Intt, Rmt</w:t>
            </w:r>
          </w:p>
        </w:tc>
      </w:tr>
      <w:tr w:rsidR="004B03CA" w:rsidRPr="00DA0DCD" w:rsidTr="000C3C74">
        <w:trPr>
          <w:cantSplit/>
        </w:trPr>
        <w:tc>
          <w:tcPr>
            <w:tcW w:w="4698"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b. Dependent Variable: Rit</w:t>
            </w:r>
          </w:p>
        </w:tc>
        <w:tc>
          <w:tcPr>
            <w:tcW w:w="2815"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D.35</w:t>
      </w:r>
    </w:p>
    <w:tbl>
      <w:tblPr>
        <w:tblW w:w="87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01"/>
        <w:gridCol w:w="1399"/>
        <w:gridCol w:w="1601"/>
        <w:gridCol w:w="1110"/>
        <w:gridCol w:w="1538"/>
        <w:gridCol w:w="1195"/>
        <w:gridCol w:w="1111"/>
      </w:tblGrid>
      <w:tr w:rsidR="004B03CA" w:rsidRPr="00DA0DCD" w:rsidTr="000C3C74">
        <w:trPr>
          <w:cantSplit/>
          <w:tblHeader/>
        </w:trPr>
        <w:tc>
          <w:tcPr>
            <w:tcW w:w="8755"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ANOVA</w:t>
            </w:r>
            <w:r w:rsidRPr="00DA0DCD">
              <w:rPr>
                <w:b/>
                <w:sz w:val="16"/>
                <w:szCs w:val="16"/>
                <w:vertAlign w:val="superscript"/>
                <w:lang w:val="en-US"/>
              </w:rPr>
              <w:t>b</w:t>
            </w:r>
          </w:p>
        </w:tc>
      </w:tr>
      <w:tr w:rsidR="004B03CA" w:rsidRPr="00DA0DCD" w:rsidTr="000C3C74">
        <w:trPr>
          <w:cantSplit/>
          <w:tblHeader/>
        </w:trPr>
        <w:tc>
          <w:tcPr>
            <w:tcW w:w="2200"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60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Sum of Squares</w:t>
            </w:r>
          </w:p>
        </w:tc>
        <w:tc>
          <w:tcPr>
            <w:tcW w:w="11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df</w:t>
            </w:r>
          </w:p>
        </w:tc>
        <w:tc>
          <w:tcPr>
            <w:tcW w:w="153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 Square</w:t>
            </w:r>
          </w:p>
        </w:tc>
        <w:tc>
          <w:tcPr>
            <w:tcW w:w="119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F</w:t>
            </w:r>
          </w:p>
        </w:tc>
        <w:tc>
          <w:tcPr>
            <w:tcW w:w="1111"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r>
      <w:tr w:rsidR="004B03CA" w:rsidRPr="00DA0DCD" w:rsidTr="000C3C74">
        <w:trPr>
          <w:cantSplit/>
          <w:tblHeader/>
        </w:trPr>
        <w:tc>
          <w:tcPr>
            <w:tcW w:w="80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139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Regression</w:t>
            </w:r>
          </w:p>
        </w:tc>
        <w:tc>
          <w:tcPr>
            <w:tcW w:w="160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19,203</w:t>
            </w:r>
          </w:p>
        </w:tc>
        <w:tc>
          <w:tcPr>
            <w:tcW w:w="111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w:t>
            </w:r>
          </w:p>
        </w:tc>
        <w:tc>
          <w:tcPr>
            <w:tcW w:w="153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2,743</w:t>
            </w:r>
          </w:p>
        </w:tc>
        <w:tc>
          <w:tcPr>
            <w:tcW w:w="119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1918,927</w:t>
            </w:r>
          </w:p>
        </w:tc>
        <w:tc>
          <w:tcPr>
            <w:tcW w:w="1111"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r w:rsidRPr="00DA0DCD">
              <w:rPr>
                <w:sz w:val="16"/>
                <w:szCs w:val="16"/>
                <w:vertAlign w:val="superscript"/>
                <w:lang w:val="en-US"/>
              </w:rPr>
              <w:t>a</w:t>
            </w:r>
          </w:p>
        </w:tc>
      </w:tr>
      <w:tr w:rsidR="004B03CA" w:rsidRPr="00DA0DCD" w:rsidTr="000C3C74">
        <w:trPr>
          <w:cantSplit/>
          <w:tblHeader/>
        </w:trPr>
        <w:tc>
          <w:tcPr>
            <w:tcW w:w="80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1399"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Residual</w:t>
            </w:r>
          </w:p>
        </w:tc>
        <w:tc>
          <w:tcPr>
            <w:tcW w:w="1601"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137,149</w:t>
            </w:r>
          </w:p>
        </w:tc>
        <w:tc>
          <w:tcPr>
            <w:tcW w:w="111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95936</w:t>
            </w:r>
          </w:p>
        </w:tc>
        <w:tc>
          <w:tcPr>
            <w:tcW w:w="153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95"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1"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80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39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Total</w:t>
            </w:r>
          </w:p>
        </w:tc>
        <w:tc>
          <w:tcPr>
            <w:tcW w:w="160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156,352</w:t>
            </w:r>
          </w:p>
        </w:tc>
        <w:tc>
          <w:tcPr>
            <w:tcW w:w="111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95943</w:t>
            </w:r>
          </w:p>
        </w:tc>
        <w:tc>
          <w:tcPr>
            <w:tcW w:w="1538"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95"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872F8A" w:rsidTr="000C3C74">
        <w:trPr>
          <w:cantSplit/>
          <w:tblHeader/>
        </w:trPr>
        <w:tc>
          <w:tcPr>
            <w:tcW w:w="8755"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Predictors: (Constant), E_window5, E_window4, E_window3, E_window2, E_window1, Intt, Rmt</w:t>
            </w:r>
          </w:p>
        </w:tc>
      </w:tr>
      <w:tr w:rsidR="004B03CA" w:rsidRPr="00DA0DCD" w:rsidTr="000C3C74">
        <w:trPr>
          <w:cantSplit/>
        </w:trPr>
        <w:tc>
          <w:tcPr>
            <w:tcW w:w="3801"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b. Dependent Variable: Rit</w:t>
            </w:r>
          </w:p>
        </w:tc>
        <w:tc>
          <w:tcPr>
            <w:tcW w:w="111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53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9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1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D.36</w:t>
      </w:r>
    </w:p>
    <w:p w:rsidR="004B03CA" w:rsidRPr="00DA0DCD" w:rsidRDefault="004B03CA" w:rsidP="004B03CA">
      <w:pPr>
        <w:rPr>
          <w:sz w:val="18"/>
          <w:szCs w:val="18"/>
          <w:lang w:val="en-US"/>
        </w:rPr>
      </w:pPr>
      <w:r w:rsidRPr="00DA0DCD">
        <w:rPr>
          <w:sz w:val="18"/>
          <w:szCs w:val="18"/>
          <w:lang w:val="en-US"/>
        </w:rPr>
        <w:br w:type="page"/>
      </w:r>
    </w:p>
    <w:p w:rsidR="004B03CA" w:rsidRPr="00DA0DCD" w:rsidRDefault="004B03CA" w:rsidP="004B03CA">
      <w:pPr>
        <w:pStyle w:val="Geenafstand"/>
        <w:rPr>
          <w:sz w:val="18"/>
          <w:szCs w:val="18"/>
          <w:lang w:val="en-US"/>
        </w:rPr>
      </w:pPr>
    </w:p>
    <w:tbl>
      <w:tblPr>
        <w:tblW w:w="949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709"/>
        <w:gridCol w:w="1134"/>
        <w:gridCol w:w="709"/>
        <w:gridCol w:w="425"/>
        <w:gridCol w:w="567"/>
        <w:gridCol w:w="709"/>
        <w:gridCol w:w="567"/>
        <w:gridCol w:w="567"/>
        <w:gridCol w:w="567"/>
        <w:gridCol w:w="850"/>
        <w:gridCol w:w="851"/>
      </w:tblGrid>
      <w:tr w:rsidR="004B03CA" w:rsidRPr="00DA0DCD" w:rsidTr="000C3C74">
        <w:trPr>
          <w:cantSplit/>
          <w:tblHeader/>
        </w:trPr>
        <w:tc>
          <w:tcPr>
            <w:tcW w:w="9498" w:type="dxa"/>
            <w:gridSpan w:val="14"/>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276"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Correlations</w:t>
            </w:r>
          </w:p>
        </w:tc>
        <w:tc>
          <w:tcPr>
            <w:tcW w:w="1701"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Lower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Tolerance</w:t>
            </w:r>
          </w:p>
        </w:tc>
        <w:tc>
          <w:tcPr>
            <w:tcW w:w="851"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-2,021</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,043</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85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,661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,350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114,564</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,650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,673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,349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,347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,346</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,980</w:t>
            </w:r>
          </w:p>
        </w:tc>
        <w:tc>
          <w:tcPr>
            <w:tcW w:w="851"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1,020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-3,781</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-,011</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,990</w:t>
            </w:r>
          </w:p>
        </w:tc>
        <w:tc>
          <w:tcPr>
            <w:tcW w:w="851"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-2,345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,999</w:t>
            </w:r>
          </w:p>
        </w:tc>
        <w:tc>
          <w:tcPr>
            <w:tcW w:w="851"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-1,110</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,267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,999</w:t>
            </w:r>
          </w:p>
        </w:tc>
        <w:tc>
          <w:tcPr>
            <w:tcW w:w="851"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-,779</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,436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,986</w:t>
            </w:r>
          </w:p>
        </w:tc>
        <w:tc>
          <w:tcPr>
            <w:tcW w:w="851"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1,015</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-,010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-3,161</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-,010</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,992</w:t>
            </w:r>
          </w:p>
        </w:tc>
        <w:tc>
          <w:tcPr>
            <w:tcW w:w="851"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1,008</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,009</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,024</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7,983</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,007</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,024</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,994</w:t>
            </w:r>
          </w:p>
        </w:tc>
        <w:tc>
          <w:tcPr>
            <w:tcW w:w="851"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1,006</w:t>
            </w:r>
          </w:p>
        </w:tc>
      </w:tr>
      <w:tr w:rsidR="004B03CA" w:rsidRPr="00DA0DCD" w:rsidTr="000C3C74">
        <w:trPr>
          <w:cantSplit/>
        </w:trPr>
        <w:tc>
          <w:tcPr>
            <w:tcW w:w="1843"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bl>
    <w:p w:rsidR="004B03CA" w:rsidRPr="00DA0DCD" w:rsidRDefault="004B03CA" w:rsidP="004B03CA">
      <w:pPr>
        <w:rPr>
          <w:sz w:val="18"/>
          <w:szCs w:val="18"/>
          <w:lang w:val="en-US"/>
        </w:rPr>
      </w:pPr>
      <w:r w:rsidRPr="00DA0DCD">
        <w:rPr>
          <w:lang w:val="en-US"/>
        </w:rPr>
        <w:t>Table D.37</w:t>
      </w: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850"/>
        <w:gridCol w:w="567"/>
        <w:gridCol w:w="426"/>
        <w:gridCol w:w="283"/>
        <w:gridCol w:w="1134"/>
        <w:gridCol w:w="709"/>
        <w:gridCol w:w="425"/>
        <w:gridCol w:w="567"/>
        <w:gridCol w:w="709"/>
        <w:gridCol w:w="567"/>
        <w:gridCol w:w="567"/>
        <w:gridCol w:w="567"/>
        <w:gridCol w:w="850"/>
        <w:gridCol w:w="567"/>
      </w:tblGrid>
      <w:tr w:rsidR="004B03CA" w:rsidRPr="00DA0DCD" w:rsidTr="000C3C74">
        <w:trPr>
          <w:cantSplit/>
          <w:tblHeader/>
        </w:trPr>
        <w:tc>
          <w:tcPr>
            <w:tcW w:w="9072"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4B03CA" w:rsidRPr="00DA0DCD" w:rsidTr="000C3C74">
        <w:trPr>
          <w:cantSplit/>
          <w:tblHeader/>
        </w:trPr>
        <w:tc>
          <w:tcPr>
            <w:tcW w:w="113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Correlations</w:t>
            </w:r>
          </w:p>
        </w:tc>
        <w:tc>
          <w:tcPr>
            <w:tcW w:w="141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Collinearity Statistics</w:t>
            </w:r>
          </w:p>
        </w:tc>
      </w:tr>
      <w:tr w:rsidR="004B03CA" w:rsidRPr="00DA0DCD" w:rsidTr="000C3C74">
        <w:trPr>
          <w:cantSplit/>
          <w:tblHeader/>
        </w:trPr>
        <w:tc>
          <w:tcPr>
            <w:tcW w:w="113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Lower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1</w:t>
            </w:r>
          </w:p>
        </w:tc>
        <w:tc>
          <w:tcPr>
            <w:tcW w:w="85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-2,197</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,028</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0"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,660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,006</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,349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114,793</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,649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,671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,349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,348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,347</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850"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-,038</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,008</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-4,454</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-,054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-,021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-,013</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p>
        </w:tc>
        <w:tc>
          <w:tcPr>
            <w:tcW w:w="85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Windows_Combined</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,001</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1,219</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,223</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-,033</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,004</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,987</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1,013</w:t>
            </w:r>
          </w:p>
        </w:tc>
      </w:tr>
      <w:tr w:rsidR="004B03CA" w:rsidRPr="00DA0DCD" w:rsidTr="000C3C74">
        <w:trPr>
          <w:cantSplit/>
        </w:trPr>
        <w:tc>
          <w:tcPr>
            <w:tcW w:w="2127"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283"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6"/>
                <w:szCs w:val="16"/>
                <w:lang w:val="en-US"/>
              </w:rPr>
            </w:pPr>
          </w:p>
        </w:tc>
      </w:tr>
    </w:tbl>
    <w:p w:rsidR="004B03CA" w:rsidRPr="00DA0DCD" w:rsidRDefault="004B03CA" w:rsidP="004B03CA">
      <w:pPr>
        <w:rPr>
          <w:sz w:val="18"/>
          <w:szCs w:val="18"/>
          <w:lang w:val="en-US"/>
        </w:rPr>
      </w:pPr>
      <w:r w:rsidRPr="00DA0DCD">
        <w:rPr>
          <w:lang w:val="en-US"/>
        </w:rPr>
        <w:t>Table D.38</w:t>
      </w:r>
    </w:p>
    <w:tbl>
      <w:tblPr>
        <w:tblW w:w="932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552"/>
        <w:gridCol w:w="1417"/>
        <w:gridCol w:w="1418"/>
        <w:gridCol w:w="1843"/>
        <w:gridCol w:w="1417"/>
        <w:gridCol w:w="676"/>
      </w:tblGrid>
      <w:tr w:rsidR="004B03CA" w:rsidRPr="00DA0DCD" w:rsidTr="000C3C74">
        <w:trPr>
          <w:cantSplit/>
          <w:tblHeader/>
        </w:trPr>
        <w:tc>
          <w:tcPr>
            <w:tcW w:w="9323" w:type="dxa"/>
            <w:gridSpan w:val="6"/>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Residuals Statistics</w:t>
            </w:r>
            <w:r w:rsidRPr="00DA0DCD">
              <w:rPr>
                <w:b/>
                <w:sz w:val="16"/>
                <w:szCs w:val="16"/>
                <w:vertAlign w:val="superscript"/>
                <w:lang w:val="en-US"/>
              </w:rPr>
              <w:t>a</w:t>
            </w:r>
          </w:p>
        </w:tc>
      </w:tr>
      <w:tr w:rsidR="004B03CA" w:rsidRPr="00DA0DCD" w:rsidTr="000C3C74">
        <w:trPr>
          <w:cantSplit/>
          <w:tblHeader/>
        </w:trPr>
        <w:tc>
          <w:tcPr>
            <w:tcW w:w="255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41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Minimum</w:t>
            </w:r>
          </w:p>
        </w:tc>
        <w:tc>
          <w:tcPr>
            <w:tcW w:w="141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Maximum</w:t>
            </w:r>
          </w:p>
        </w:tc>
        <w:tc>
          <w:tcPr>
            <w:tcW w:w="184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Mean</w:t>
            </w:r>
          </w:p>
        </w:tc>
        <w:tc>
          <w:tcPr>
            <w:tcW w:w="141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Std. Deviation</w:t>
            </w:r>
          </w:p>
        </w:tc>
        <w:tc>
          <w:tcPr>
            <w:tcW w:w="67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6"/>
                <w:szCs w:val="16"/>
                <w:lang w:val="en-US"/>
              </w:rPr>
            </w:pPr>
            <w:r w:rsidRPr="00DA0DCD">
              <w:rPr>
                <w:sz w:val="16"/>
                <w:szCs w:val="16"/>
                <w:lang w:val="en-US"/>
              </w:rPr>
              <w:t>N</w:t>
            </w:r>
          </w:p>
        </w:tc>
      </w:tr>
      <w:tr w:rsidR="004B03CA" w:rsidRPr="00DA0DCD" w:rsidTr="000C3C74">
        <w:trPr>
          <w:cantSplit/>
          <w:tblHeader/>
        </w:trPr>
        <w:tc>
          <w:tcPr>
            <w:tcW w:w="2552"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Predicted Value</w:t>
            </w:r>
          </w:p>
        </w:tc>
        <w:tc>
          <w:tcPr>
            <w:tcW w:w="141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-.087999187410</w:t>
            </w:r>
          </w:p>
        </w:tc>
        <w:tc>
          <w:tcPr>
            <w:tcW w:w="141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.115207329392</w:t>
            </w:r>
          </w:p>
        </w:tc>
        <w:tc>
          <w:tcPr>
            <w:tcW w:w="1843"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-8.903699191404E-4</w:t>
            </w:r>
          </w:p>
        </w:tc>
        <w:tc>
          <w:tcPr>
            <w:tcW w:w="141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.0141474378100</w:t>
            </w:r>
          </w:p>
        </w:tc>
        <w:tc>
          <w:tcPr>
            <w:tcW w:w="676"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blHeader/>
        </w:trPr>
        <w:tc>
          <w:tcPr>
            <w:tcW w:w="255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Mahal. Distance</w:t>
            </w:r>
          </w:p>
        </w:tc>
        <w:tc>
          <w:tcPr>
            <w:tcW w:w="141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,047</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462,385</w:t>
            </w:r>
          </w:p>
        </w:tc>
        <w:tc>
          <w:tcPr>
            <w:tcW w:w="184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7,000</w:t>
            </w:r>
          </w:p>
        </w:tc>
        <w:tc>
          <w:tcPr>
            <w:tcW w:w="141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26,145</w:t>
            </w:r>
          </w:p>
        </w:tc>
        <w:tc>
          <w:tcPr>
            <w:tcW w:w="676"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blHeader/>
        </w:trPr>
        <w:tc>
          <w:tcPr>
            <w:tcW w:w="255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b/>
                <w:sz w:val="16"/>
                <w:szCs w:val="16"/>
                <w:lang w:val="en-US"/>
              </w:rPr>
            </w:pPr>
            <w:r w:rsidRPr="00DA0DCD">
              <w:rPr>
                <w:b/>
                <w:sz w:val="16"/>
                <w:szCs w:val="16"/>
                <w:lang w:val="en-US"/>
              </w:rPr>
              <w:t>Cook's Distance</w:t>
            </w:r>
          </w:p>
        </w:tc>
        <w:tc>
          <w:tcPr>
            <w:tcW w:w="141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,000</w:t>
            </w:r>
          </w:p>
        </w:tc>
        <w:tc>
          <w:tcPr>
            <w:tcW w:w="141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6"/>
                <w:szCs w:val="16"/>
                <w:lang w:val="en-US"/>
              </w:rPr>
            </w:pPr>
            <w:r w:rsidRPr="00DA0DCD">
              <w:rPr>
                <w:b/>
                <w:sz w:val="16"/>
                <w:szCs w:val="16"/>
                <w:lang w:val="en-US"/>
              </w:rPr>
              <w:t>,023</w:t>
            </w:r>
          </w:p>
        </w:tc>
        <w:tc>
          <w:tcPr>
            <w:tcW w:w="1843"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676"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blHeader/>
        </w:trPr>
        <w:tc>
          <w:tcPr>
            <w:tcW w:w="2552"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Centered Leverage Value</w:t>
            </w:r>
          </w:p>
        </w:tc>
        <w:tc>
          <w:tcPr>
            <w:tcW w:w="141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,005</w:t>
            </w:r>
          </w:p>
        </w:tc>
        <w:tc>
          <w:tcPr>
            <w:tcW w:w="1843"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141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,000</w:t>
            </w:r>
          </w:p>
        </w:tc>
        <w:tc>
          <w:tcPr>
            <w:tcW w:w="676"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6"/>
                <w:szCs w:val="16"/>
                <w:lang w:val="en-US"/>
              </w:rPr>
            </w:pPr>
            <w:r w:rsidRPr="00DA0DCD">
              <w:rPr>
                <w:sz w:val="16"/>
                <w:szCs w:val="16"/>
                <w:lang w:val="en-US"/>
              </w:rPr>
              <w:t>95944</w:t>
            </w:r>
          </w:p>
        </w:tc>
      </w:tr>
      <w:tr w:rsidR="004B03CA" w:rsidRPr="00DA0DCD" w:rsidTr="000C3C74">
        <w:trPr>
          <w:cantSplit/>
        </w:trPr>
        <w:tc>
          <w:tcPr>
            <w:tcW w:w="3969"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6"/>
                <w:szCs w:val="16"/>
                <w:lang w:val="en-US"/>
              </w:rPr>
            </w:pPr>
            <w:r w:rsidRPr="00DA0DCD">
              <w:rPr>
                <w:sz w:val="16"/>
                <w:szCs w:val="16"/>
                <w:lang w:val="en-US"/>
              </w:rPr>
              <w:t>a. Dependent Variable: Rit</w:t>
            </w:r>
          </w:p>
        </w:tc>
        <w:tc>
          <w:tcPr>
            <w:tcW w:w="141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843"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141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c>
          <w:tcPr>
            <w:tcW w:w="67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6"/>
                <w:szCs w:val="16"/>
                <w:lang w:val="en-US"/>
              </w:rPr>
            </w:pPr>
          </w:p>
        </w:tc>
      </w:tr>
    </w:tbl>
    <w:p w:rsidR="004B03CA" w:rsidRPr="00DA0DCD" w:rsidRDefault="00835F11" w:rsidP="004B03CA">
      <w:pPr>
        <w:rPr>
          <w:sz w:val="18"/>
          <w:szCs w:val="18"/>
          <w:lang w:val="en-US"/>
        </w:rPr>
      </w:pPr>
      <w:r>
        <w:rPr>
          <w:lang w:val="en-US"/>
        </w:rPr>
        <w:t>Table D.39</w:t>
      </w:r>
    </w:p>
    <w:p w:rsidR="004B03CA" w:rsidRPr="00DA0DCD" w:rsidRDefault="004B03CA" w:rsidP="004B03CA">
      <w:pPr>
        <w:rPr>
          <w:sz w:val="18"/>
          <w:szCs w:val="18"/>
          <w:lang w:val="en-US"/>
        </w:rPr>
      </w:pPr>
      <w:r w:rsidRPr="00DA0DCD">
        <w:rPr>
          <w:sz w:val="18"/>
          <w:szCs w:val="18"/>
          <w:lang w:val="en-US"/>
        </w:rPr>
        <w:br w:type="page"/>
      </w:r>
    </w:p>
    <w:p w:rsidR="004B03CA" w:rsidRPr="00DA0DCD" w:rsidRDefault="004B03CA" w:rsidP="004B03CA">
      <w:pPr>
        <w:pStyle w:val="Kop1"/>
        <w:rPr>
          <w:lang w:val="en-US"/>
        </w:rPr>
      </w:pPr>
      <w:bookmarkStart w:id="106" w:name="_Toc270770637"/>
      <w:r w:rsidRPr="00DA0DCD">
        <w:rPr>
          <w:lang w:val="en-US"/>
        </w:rPr>
        <w:lastRenderedPageBreak/>
        <w:t>Appendix E: Hypothesis two</w:t>
      </w:r>
      <w:bookmarkEnd w:id="106"/>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1843"/>
        <w:gridCol w:w="1275"/>
        <w:gridCol w:w="1560"/>
        <w:gridCol w:w="992"/>
        <w:gridCol w:w="1417"/>
      </w:tblGrid>
      <w:tr w:rsidR="00DE004F" w:rsidRPr="008D4190" w:rsidTr="00333F75">
        <w:tc>
          <w:tcPr>
            <w:tcW w:w="9180" w:type="dxa"/>
            <w:gridSpan w:val="6"/>
            <w:shd w:val="clear" w:color="auto" w:fill="auto"/>
            <w:vAlign w:val="center"/>
          </w:tcPr>
          <w:p w:rsidR="00DE004F" w:rsidRPr="00DA0DCD" w:rsidRDefault="00DE004F" w:rsidP="000C3C74">
            <w:pPr>
              <w:pStyle w:val="Geenafstand"/>
              <w:rPr>
                <w:b/>
                <w:lang w:val="en-US"/>
              </w:rPr>
            </w:pPr>
            <w:r w:rsidRPr="00DA0DCD">
              <w:rPr>
                <w:b/>
                <w:lang w:val="en-US"/>
              </w:rPr>
              <w:t>Results Bowen et al. (2010)</w:t>
            </w:r>
          </w:p>
        </w:tc>
      </w:tr>
      <w:tr w:rsidR="00333F75" w:rsidRPr="00DA0DCD" w:rsidTr="00333F75">
        <w:tc>
          <w:tcPr>
            <w:tcW w:w="2093" w:type="dxa"/>
            <w:shd w:val="clear" w:color="auto" w:fill="auto"/>
            <w:vAlign w:val="center"/>
          </w:tcPr>
          <w:p w:rsidR="00DE004F" w:rsidRPr="00DA0DCD" w:rsidRDefault="00DE004F" w:rsidP="00333F75">
            <w:pPr>
              <w:pStyle w:val="Geenafstand"/>
              <w:rPr>
                <w:sz w:val="18"/>
                <w:szCs w:val="18"/>
                <w:lang w:val="en-US"/>
              </w:rPr>
            </w:pPr>
            <w:r w:rsidRPr="00DA0DCD">
              <w:rPr>
                <w:sz w:val="18"/>
                <w:szCs w:val="18"/>
                <w:lang w:val="en-US"/>
              </w:rPr>
              <w:t>Independent</w:t>
            </w:r>
            <w:r w:rsidR="00333F75">
              <w:rPr>
                <w:sz w:val="18"/>
                <w:szCs w:val="18"/>
                <w:lang w:val="en-US"/>
              </w:rPr>
              <w:t xml:space="preserve"> </w:t>
            </w:r>
            <w:r w:rsidRPr="00DA0DCD">
              <w:rPr>
                <w:sz w:val="18"/>
                <w:szCs w:val="18"/>
                <w:lang w:val="en-US"/>
              </w:rPr>
              <w:t>Variables</w:t>
            </w:r>
          </w:p>
        </w:tc>
        <w:tc>
          <w:tcPr>
            <w:tcW w:w="1843" w:type="dxa"/>
            <w:shd w:val="clear" w:color="auto" w:fill="auto"/>
            <w:vAlign w:val="center"/>
          </w:tcPr>
          <w:p w:rsidR="00DE004F" w:rsidRPr="00DA0DCD" w:rsidRDefault="00DE004F" w:rsidP="000C3C74">
            <w:pPr>
              <w:pStyle w:val="Geenafstand"/>
              <w:rPr>
                <w:sz w:val="18"/>
                <w:szCs w:val="18"/>
                <w:lang w:val="en-US"/>
              </w:rPr>
            </w:pPr>
            <w:r w:rsidRPr="00DA0DCD">
              <w:rPr>
                <w:sz w:val="18"/>
                <w:szCs w:val="18"/>
                <w:lang w:val="en-US"/>
              </w:rPr>
              <w:t>Event date range</w:t>
            </w:r>
          </w:p>
        </w:tc>
        <w:tc>
          <w:tcPr>
            <w:tcW w:w="1275" w:type="dxa"/>
            <w:shd w:val="clear" w:color="auto" w:fill="auto"/>
            <w:vAlign w:val="center"/>
          </w:tcPr>
          <w:p w:rsidR="00DE004F" w:rsidRPr="00DA0DCD" w:rsidRDefault="00333F75" w:rsidP="000C3C74">
            <w:pPr>
              <w:pStyle w:val="Geenafstand"/>
              <w:rPr>
                <w:sz w:val="18"/>
                <w:szCs w:val="18"/>
                <w:lang w:val="en-US"/>
              </w:rPr>
            </w:pPr>
            <w:r>
              <w:rPr>
                <w:sz w:val="18"/>
                <w:szCs w:val="18"/>
                <w:lang w:val="en-US"/>
              </w:rPr>
              <w:t>Predicted sign</w:t>
            </w:r>
          </w:p>
        </w:tc>
        <w:tc>
          <w:tcPr>
            <w:tcW w:w="1560" w:type="dxa"/>
            <w:shd w:val="clear" w:color="auto" w:fill="auto"/>
            <w:vAlign w:val="center"/>
          </w:tcPr>
          <w:p w:rsidR="00DE004F" w:rsidRPr="00DA0DCD" w:rsidRDefault="00333F75" w:rsidP="000C3C74">
            <w:pPr>
              <w:pStyle w:val="Geenafstand"/>
              <w:rPr>
                <w:sz w:val="18"/>
                <w:szCs w:val="18"/>
                <w:lang w:val="en-US"/>
              </w:rPr>
            </w:pPr>
            <w:r>
              <w:rPr>
                <w:sz w:val="18"/>
                <w:szCs w:val="18"/>
                <w:lang w:val="en-US"/>
              </w:rPr>
              <w:t>Coeffi</w:t>
            </w:r>
            <w:r w:rsidR="00DE004F" w:rsidRPr="00DA0DCD">
              <w:rPr>
                <w:sz w:val="18"/>
                <w:szCs w:val="18"/>
                <w:lang w:val="en-US"/>
              </w:rPr>
              <w:t>cient</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sz w:val="18"/>
                <w:szCs w:val="18"/>
                <w:lang w:val="en-US"/>
              </w:rPr>
              <w:t>t-stat</w:t>
            </w:r>
          </w:p>
        </w:tc>
        <w:tc>
          <w:tcPr>
            <w:tcW w:w="1417" w:type="dxa"/>
            <w:shd w:val="clear" w:color="auto" w:fill="auto"/>
            <w:vAlign w:val="center"/>
          </w:tcPr>
          <w:p w:rsidR="00DE004F" w:rsidRPr="00DA0DCD" w:rsidRDefault="00DE004F" w:rsidP="000C3C74">
            <w:pPr>
              <w:pStyle w:val="Geenafstand"/>
              <w:rPr>
                <w:sz w:val="18"/>
                <w:szCs w:val="18"/>
                <w:lang w:val="en-US"/>
              </w:rPr>
            </w:pPr>
            <w:r w:rsidRPr="00DA0DCD">
              <w:rPr>
                <w:sz w:val="18"/>
                <w:szCs w:val="18"/>
                <w:lang w:val="en-US"/>
              </w:rPr>
              <w:t>pvalue</w:t>
            </w:r>
          </w:p>
        </w:tc>
      </w:tr>
      <w:tr w:rsidR="00333F75" w:rsidRPr="00DA0DCD" w:rsidTr="00333F75">
        <w:tc>
          <w:tcPr>
            <w:tcW w:w="2093"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Intercept</w:t>
            </w:r>
          </w:p>
        </w:tc>
        <w:tc>
          <w:tcPr>
            <w:tcW w:w="1843" w:type="dxa"/>
            <w:shd w:val="clear" w:color="auto" w:fill="auto"/>
            <w:vAlign w:val="center"/>
          </w:tcPr>
          <w:p w:rsidR="00DE004F" w:rsidRPr="00DA0DCD" w:rsidRDefault="00DE004F" w:rsidP="000C3C74">
            <w:pPr>
              <w:pStyle w:val="Geenafstand"/>
              <w:rPr>
                <w:sz w:val="18"/>
                <w:szCs w:val="18"/>
                <w:lang w:val="en-US"/>
              </w:rPr>
            </w:pPr>
          </w:p>
        </w:tc>
        <w:tc>
          <w:tcPr>
            <w:tcW w:w="1275" w:type="dxa"/>
            <w:shd w:val="clear" w:color="auto" w:fill="auto"/>
            <w:vAlign w:val="center"/>
          </w:tcPr>
          <w:p w:rsidR="00DE004F" w:rsidRPr="00DA0DCD" w:rsidRDefault="00DE004F" w:rsidP="000C3C74">
            <w:pPr>
              <w:pStyle w:val="Geenafstand"/>
              <w:rPr>
                <w:sz w:val="18"/>
                <w:szCs w:val="18"/>
                <w:lang w:val="en-US"/>
              </w:rPr>
            </w:pP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-0.0006</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-0.37</w:t>
            </w:r>
          </w:p>
        </w:tc>
        <w:tc>
          <w:tcPr>
            <w:tcW w:w="1417"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0.712</w:t>
            </w:r>
          </w:p>
        </w:tc>
      </w:tr>
      <w:tr w:rsidR="00333F75" w:rsidRPr="00DA0DCD" w:rsidTr="00333F75">
        <w:tc>
          <w:tcPr>
            <w:tcW w:w="2093"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Mkt_Ret</w:t>
            </w:r>
          </w:p>
        </w:tc>
        <w:tc>
          <w:tcPr>
            <w:tcW w:w="1843" w:type="dxa"/>
            <w:shd w:val="clear" w:color="auto" w:fill="auto"/>
            <w:vAlign w:val="center"/>
          </w:tcPr>
          <w:p w:rsidR="00DE004F" w:rsidRPr="00DA0DCD" w:rsidRDefault="00DE004F" w:rsidP="000C3C74">
            <w:pPr>
              <w:pStyle w:val="Geenafstand"/>
              <w:rPr>
                <w:sz w:val="18"/>
                <w:szCs w:val="18"/>
                <w:lang w:val="en-US"/>
              </w:rPr>
            </w:pP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1.0339</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15.67</w:t>
            </w:r>
          </w:p>
        </w:tc>
        <w:tc>
          <w:tcPr>
            <w:tcW w:w="1417" w:type="dxa"/>
            <w:shd w:val="clear" w:color="auto" w:fill="auto"/>
            <w:vAlign w:val="center"/>
          </w:tcPr>
          <w:p w:rsidR="00DE004F" w:rsidRPr="00DA0DCD" w:rsidRDefault="00DE004F" w:rsidP="000C3C74">
            <w:pPr>
              <w:pStyle w:val="Geenafstand"/>
              <w:rPr>
                <w:b/>
                <w:sz w:val="18"/>
                <w:szCs w:val="18"/>
                <w:lang w:val="en-US"/>
              </w:rPr>
            </w:pPr>
            <w:r w:rsidRPr="00DA0DCD">
              <w:rPr>
                <w:rFonts w:cs="TimesNewRomanPSMT"/>
                <w:b/>
                <w:sz w:val="18"/>
                <w:szCs w:val="18"/>
                <w:lang w:val="en-US"/>
              </w:rPr>
              <w:t>&lt;0.001</w:t>
            </w:r>
          </w:p>
        </w:tc>
      </w:tr>
      <w:tr w:rsidR="00333F75" w:rsidRPr="00DA0DCD" w:rsidTr="00333F75">
        <w:tc>
          <w:tcPr>
            <w:tcW w:w="2093"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ΔT-Bill</w:t>
            </w:r>
          </w:p>
        </w:tc>
        <w:tc>
          <w:tcPr>
            <w:tcW w:w="1843" w:type="dxa"/>
            <w:shd w:val="clear" w:color="auto" w:fill="auto"/>
            <w:vAlign w:val="center"/>
          </w:tcPr>
          <w:p w:rsidR="00DE004F" w:rsidRPr="00DA0DCD" w:rsidRDefault="00DE004F" w:rsidP="000C3C74">
            <w:pPr>
              <w:pStyle w:val="Geenafstand"/>
              <w:rPr>
                <w:sz w:val="18"/>
                <w:szCs w:val="18"/>
                <w:lang w:val="en-US"/>
              </w:rPr>
            </w:pP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-0.0174</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-1.23</w:t>
            </w:r>
          </w:p>
        </w:tc>
        <w:tc>
          <w:tcPr>
            <w:tcW w:w="1417"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0.111</w:t>
            </w:r>
          </w:p>
        </w:tc>
      </w:tr>
      <w:tr w:rsidR="00333F75" w:rsidRPr="00DA0DCD" w:rsidTr="00333F75">
        <w:tc>
          <w:tcPr>
            <w:tcW w:w="2093"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FV_Window1</w:t>
            </w:r>
          </w:p>
        </w:tc>
        <w:tc>
          <w:tcPr>
            <w:tcW w:w="1843" w:type="dxa"/>
            <w:shd w:val="clear" w:color="auto" w:fill="auto"/>
            <w:vAlign w:val="center"/>
          </w:tcPr>
          <w:p w:rsidR="00DE004F" w:rsidRPr="00DA0DCD" w:rsidRDefault="00DE004F" w:rsidP="00333F75">
            <w:pPr>
              <w:pStyle w:val="Geenafstand"/>
              <w:rPr>
                <w:sz w:val="18"/>
                <w:szCs w:val="18"/>
                <w:lang w:val="en-US"/>
              </w:rPr>
            </w:pPr>
            <w:r w:rsidRPr="00DA0DCD">
              <w:rPr>
                <w:rFonts w:cs="TimesNewRomanPSMT"/>
                <w:sz w:val="18"/>
                <w:szCs w:val="18"/>
                <w:lang w:val="en-US"/>
              </w:rPr>
              <w:t>9/27/08 to</w:t>
            </w:r>
            <w:r w:rsidR="00333F75">
              <w:rPr>
                <w:rFonts w:cs="TimesNewRomanPSMT"/>
                <w:sz w:val="18"/>
                <w:szCs w:val="18"/>
                <w:lang w:val="en-US"/>
              </w:rPr>
              <w:t xml:space="preserve"> </w:t>
            </w:r>
            <w:r w:rsidRPr="00DA0DCD">
              <w:rPr>
                <w:rFonts w:cs="TimesNewRomanPSMT"/>
                <w:sz w:val="18"/>
                <w:szCs w:val="18"/>
                <w:lang w:val="en-US"/>
              </w:rPr>
              <w:t>10/4/08</w:t>
            </w: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0.0144</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2.75</w:t>
            </w:r>
          </w:p>
        </w:tc>
        <w:tc>
          <w:tcPr>
            <w:tcW w:w="1417" w:type="dxa"/>
            <w:shd w:val="clear" w:color="auto" w:fill="auto"/>
            <w:vAlign w:val="center"/>
          </w:tcPr>
          <w:p w:rsidR="00DE004F" w:rsidRPr="00DA0DCD" w:rsidRDefault="00DE004F" w:rsidP="000C3C74">
            <w:pPr>
              <w:pStyle w:val="Geenafstand"/>
              <w:rPr>
                <w:sz w:val="18"/>
                <w:szCs w:val="18"/>
                <w:lang w:val="en-US"/>
              </w:rPr>
            </w:pPr>
            <w:r w:rsidRPr="00DA0DCD">
              <w:rPr>
                <w:b/>
                <w:sz w:val="18"/>
                <w:szCs w:val="18"/>
                <w:lang w:val="en-US"/>
              </w:rPr>
              <w:t>0.003</w:t>
            </w:r>
          </w:p>
        </w:tc>
      </w:tr>
      <w:tr w:rsidR="00333F75" w:rsidRPr="00DA0DCD" w:rsidTr="00333F75">
        <w:tc>
          <w:tcPr>
            <w:tcW w:w="2093"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FV_Window2</w:t>
            </w:r>
          </w:p>
        </w:tc>
        <w:tc>
          <w:tcPr>
            <w:tcW w:w="1843" w:type="dxa"/>
            <w:shd w:val="clear" w:color="auto" w:fill="auto"/>
            <w:vAlign w:val="center"/>
          </w:tcPr>
          <w:p w:rsidR="00DE004F" w:rsidRPr="00DA0DCD" w:rsidRDefault="00DE004F" w:rsidP="00333F75">
            <w:pPr>
              <w:pStyle w:val="Geenafstand"/>
              <w:rPr>
                <w:sz w:val="18"/>
                <w:szCs w:val="18"/>
                <w:lang w:val="en-US"/>
              </w:rPr>
            </w:pPr>
            <w:r w:rsidRPr="00DA0DCD">
              <w:rPr>
                <w:rFonts w:cs="TimesNewRomanPSMT"/>
                <w:sz w:val="18"/>
                <w:szCs w:val="18"/>
                <w:lang w:val="en-US"/>
              </w:rPr>
              <w:t>10/12/08 to</w:t>
            </w:r>
            <w:r w:rsidR="00333F75">
              <w:rPr>
                <w:rFonts w:cs="TimesNewRomanPSMT"/>
                <w:sz w:val="18"/>
                <w:szCs w:val="18"/>
                <w:lang w:val="en-US"/>
              </w:rPr>
              <w:t xml:space="preserve"> </w:t>
            </w:r>
            <w:r w:rsidRPr="00DA0DCD">
              <w:rPr>
                <w:rFonts w:cs="TimesNewRomanPSMT"/>
                <w:sz w:val="18"/>
                <w:szCs w:val="18"/>
                <w:lang w:val="en-US"/>
              </w:rPr>
              <w:t>10/16/08</w:t>
            </w: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0.0078</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0.46</w:t>
            </w:r>
          </w:p>
        </w:tc>
        <w:tc>
          <w:tcPr>
            <w:tcW w:w="1417"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0.323</w:t>
            </w:r>
          </w:p>
        </w:tc>
      </w:tr>
      <w:tr w:rsidR="00333F75" w:rsidRPr="00DA0DCD" w:rsidTr="00333F75">
        <w:tc>
          <w:tcPr>
            <w:tcW w:w="2093"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FV_Window3</w:t>
            </w:r>
          </w:p>
        </w:tc>
        <w:tc>
          <w:tcPr>
            <w:tcW w:w="1843" w:type="dxa"/>
            <w:shd w:val="clear" w:color="auto" w:fill="auto"/>
            <w:vAlign w:val="center"/>
          </w:tcPr>
          <w:p w:rsidR="00DE004F" w:rsidRPr="00DA0DCD" w:rsidRDefault="00DE004F" w:rsidP="00333F75">
            <w:pPr>
              <w:pStyle w:val="Geenafstand"/>
              <w:rPr>
                <w:sz w:val="18"/>
                <w:szCs w:val="18"/>
                <w:lang w:val="en-US"/>
              </w:rPr>
            </w:pPr>
            <w:r w:rsidRPr="00DA0DCD">
              <w:rPr>
                <w:rFonts w:cs="TimesNewRomanPSMT"/>
                <w:sz w:val="18"/>
                <w:szCs w:val="18"/>
                <w:lang w:val="en-US"/>
              </w:rPr>
              <w:t>10/28/08 to</w:t>
            </w:r>
            <w:r w:rsidR="00333F75">
              <w:rPr>
                <w:rFonts w:cs="TimesNewRomanPSMT"/>
                <w:sz w:val="18"/>
                <w:szCs w:val="18"/>
                <w:lang w:val="en-US"/>
              </w:rPr>
              <w:t xml:space="preserve"> </w:t>
            </w:r>
            <w:r w:rsidRPr="00DA0DCD">
              <w:rPr>
                <w:rFonts w:cs="TimesNewRomanPSMT"/>
                <w:sz w:val="18"/>
                <w:szCs w:val="18"/>
                <w:lang w:val="en-US"/>
              </w:rPr>
              <w:t>10/30/08</w:t>
            </w: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-0.0109</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-1.24</w:t>
            </w:r>
          </w:p>
        </w:tc>
        <w:tc>
          <w:tcPr>
            <w:tcW w:w="1417"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0.108</w:t>
            </w:r>
          </w:p>
        </w:tc>
      </w:tr>
      <w:tr w:rsidR="00333F75" w:rsidRPr="00DA0DCD" w:rsidTr="00333F75">
        <w:tc>
          <w:tcPr>
            <w:tcW w:w="2093"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FV_Window4</w:t>
            </w:r>
          </w:p>
        </w:tc>
        <w:tc>
          <w:tcPr>
            <w:tcW w:w="1843" w:type="dxa"/>
            <w:shd w:val="clear" w:color="auto" w:fill="auto"/>
            <w:vAlign w:val="center"/>
          </w:tcPr>
          <w:p w:rsidR="00DE004F" w:rsidRPr="00DA0DCD" w:rsidRDefault="00DE004F" w:rsidP="00333F75">
            <w:pPr>
              <w:pStyle w:val="Geenafstand"/>
              <w:rPr>
                <w:sz w:val="18"/>
                <w:szCs w:val="18"/>
                <w:lang w:val="en-US"/>
              </w:rPr>
            </w:pPr>
            <w:r w:rsidRPr="00DA0DCD">
              <w:rPr>
                <w:rFonts w:cs="TimesNewRomanPSMT"/>
                <w:sz w:val="18"/>
                <w:szCs w:val="18"/>
                <w:lang w:val="en-US"/>
              </w:rPr>
              <w:t>11/20/08 to</w:t>
            </w:r>
            <w:r w:rsidR="00333F75">
              <w:rPr>
                <w:rFonts w:cs="TimesNewRomanPSMT"/>
                <w:sz w:val="18"/>
                <w:szCs w:val="18"/>
                <w:lang w:val="en-US"/>
              </w:rPr>
              <w:t xml:space="preserve"> </w:t>
            </w:r>
            <w:r w:rsidRPr="00DA0DCD">
              <w:rPr>
                <w:rFonts w:cs="TimesNewRomanPSMT"/>
                <w:sz w:val="18"/>
                <w:szCs w:val="18"/>
                <w:lang w:val="en-US"/>
              </w:rPr>
              <w:t>11/22/08</w:t>
            </w: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-0.0037</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-0.29</w:t>
            </w:r>
          </w:p>
        </w:tc>
        <w:tc>
          <w:tcPr>
            <w:tcW w:w="1417"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0.613</w:t>
            </w:r>
          </w:p>
        </w:tc>
      </w:tr>
      <w:tr w:rsidR="00333F75" w:rsidRPr="00DA0DCD" w:rsidTr="00333F75">
        <w:tc>
          <w:tcPr>
            <w:tcW w:w="2093" w:type="dxa"/>
            <w:shd w:val="clear" w:color="auto" w:fill="auto"/>
            <w:vAlign w:val="center"/>
          </w:tcPr>
          <w:p w:rsidR="00DE004F" w:rsidRPr="00DA0DCD" w:rsidRDefault="00DE004F" w:rsidP="000C3C74">
            <w:pPr>
              <w:pStyle w:val="Geenafstand"/>
              <w:rPr>
                <w:rFonts w:cs="TimesNewRomanPSMT"/>
                <w:sz w:val="18"/>
                <w:szCs w:val="18"/>
                <w:lang w:val="en-US"/>
              </w:rPr>
            </w:pPr>
            <w:r w:rsidRPr="00DA0DCD">
              <w:rPr>
                <w:rFonts w:cs="TimesNewRomanPSMT"/>
                <w:sz w:val="18"/>
                <w:szCs w:val="18"/>
                <w:lang w:val="en-US"/>
              </w:rPr>
              <w:t>FV_Window5</w:t>
            </w:r>
          </w:p>
        </w:tc>
        <w:tc>
          <w:tcPr>
            <w:tcW w:w="1843" w:type="dxa"/>
            <w:shd w:val="clear" w:color="auto" w:fill="auto"/>
            <w:vAlign w:val="center"/>
          </w:tcPr>
          <w:p w:rsidR="00DE004F" w:rsidRPr="00DA0DCD" w:rsidRDefault="00DE004F" w:rsidP="00333F75">
            <w:pPr>
              <w:pStyle w:val="Geenafstand"/>
              <w:rPr>
                <w:sz w:val="18"/>
                <w:szCs w:val="18"/>
                <w:lang w:val="en-US"/>
              </w:rPr>
            </w:pPr>
            <w:r w:rsidRPr="00DA0DCD">
              <w:rPr>
                <w:rFonts w:cs="TimesNewRomanPSMT"/>
                <w:sz w:val="18"/>
                <w:szCs w:val="18"/>
                <w:lang w:val="en-US"/>
              </w:rPr>
              <w:t>12/29/08 to</w:t>
            </w:r>
            <w:r w:rsidR="00333F75">
              <w:rPr>
                <w:rFonts w:cs="TimesNewRomanPSMT"/>
                <w:sz w:val="18"/>
                <w:szCs w:val="18"/>
                <w:lang w:val="en-US"/>
              </w:rPr>
              <w:t xml:space="preserve"> </w:t>
            </w:r>
            <w:r w:rsidRPr="00DA0DCD">
              <w:rPr>
                <w:rFonts w:cs="TimesNewRomanPSMT"/>
                <w:sz w:val="18"/>
                <w:szCs w:val="18"/>
                <w:lang w:val="en-US"/>
              </w:rPr>
              <w:t>12/31/08</w:t>
            </w: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-0.0042</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-1.63</w:t>
            </w:r>
          </w:p>
        </w:tc>
        <w:tc>
          <w:tcPr>
            <w:tcW w:w="1417" w:type="dxa"/>
            <w:shd w:val="clear" w:color="auto" w:fill="auto"/>
            <w:vAlign w:val="center"/>
          </w:tcPr>
          <w:p w:rsidR="00DE004F" w:rsidRPr="00DA0DCD" w:rsidRDefault="00DE004F" w:rsidP="000C3C74">
            <w:pPr>
              <w:pStyle w:val="Geenafstand"/>
              <w:rPr>
                <w:b/>
                <w:sz w:val="18"/>
                <w:szCs w:val="18"/>
                <w:lang w:val="en-US"/>
              </w:rPr>
            </w:pPr>
            <w:r w:rsidRPr="00DA0DCD">
              <w:rPr>
                <w:b/>
                <w:sz w:val="18"/>
                <w:szCs w:val="18"/>
                <w:lang w:val="en-US"/>
              </w:rPr>
              <w:t>0.052</w:t>
            </w:r>
          </w:p>
        </w:tc>
      </w:tr>
      <w:tr w:rsidR="00333F75" w:rsidRPr="008D4190" w:rsidTr="00333F75">
        <w:tc>
          <w:tcPr>
            <w:tcW w:w="2093" w:type="dxa"/>
            <w:shd w:val="clear" w:color="auto" w:fill="auto"/>
            <w:vAlign w:val="center"/>
          </w:tcPr>
          <w:p w:rsidR="00DE004F" w:rsidRPr="00DA0DCD" w:rsidRDefault="00DE004F" w:rsidP="000C3C74">
            <w:pPr>
              <w:pStyle w:val="Geenafstand"/>
              <w:rPr>
                <w:rFonts w:cs="TimesNewRomanPSMT"/>
                <w:sz w:val="18"/>
                <w:szCs w:val="18"/>
                <w:lang w:val="en-US"/>
              </w:rPr>
            </w:pPr>
            <w:r w:rsidRPr="00DA0DCD">
              <w:rPr>
                <w:rFonts w:cs="TimesNewRomanPSMT"/>
                <w:sz w:val="18"/>
                <w:szCs w:val="18"/>
                <w:lang w:val="en-US"/>
              </w:rPr>
              <w:t>FV_Window6</w:t>
            </w:r>
          </w:p>
        </w:tc>
        <w:tc>
          <w:tcPr>
            <w:tcW w:w="1843" w:type="dxa"/>
            <w:shd w:val="clear" w:color="auto" w:fill="auto"/>
            <w:vAlign w:val="center"/>
          </w:tcPr>
          <w:p w:rsidR="00DE004F" w:rsidRPr="00DA0DCD" w:rsidRDefault="00DE004F" w:rsidP="00333F75">
            <w:pPr>
              <w:pStyle w:val="Geenafstand"/>
              <w:rPr>
                <w:sz w:val="18"/>
                <w:szCs w:val="18"/>
                <w:lang w:val="en-US"/>
              </w:rPr>
            </w:pPr>
            <w:r w:rsidRPr="00DA0DCD">
              <w:rPr>
                <w:rFonts w:cs="TimesNewRomanPSMT"/>
                <w:sz w:val="18"/>
                <w:szCs w:val="18"/>
                <w:lang w:val="en-US"/>
              </w:rPr>
              <w:t>1/11/09 to</w:t>
            </w:r>
            <w:r w:rsidR="00333F75">
              <w:rPr>
                <w:rFonts w:cs="TimesNewRomanPSMT"/>
                <w:sz w:val="18"/>
                <w:szCs w:val="18"/>
                <w:lang w:val="en-US"/>
              </w:rPr>
              <w:t xml:space="preserve"> </w:t>
            </w:r>
            <w:r w:rsidRPr="00DA0DCD">
              <w:rPr>
                <w:rFonts w:cs="TimesNewRomanPSMT"/>
                <w:sz w:val="18"/>
                <w:szCs w:val="18"/>
                <w:lang w:val="en-US"/>
              </w:rPr>
              <w:t>1/13/09</w:t>
            </w: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0.0029</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1.72</w:t>
            </w:r>
          </w:p>
        </w:tc>
        <w:tc>
          <w:tcPr>
            <w:tcW w:w="1417" w:type="dxa"/>
            <w:shd w:val="clear" w:color="auto" w:fill="auto"/>
            <w:vAlign w:val="center"/>
          </w:tcPr>
          <w:p w:rsidR="00DE004F" w:rsidRPr="00DA0DCD" w:rsidRDefault="00DE004F" w:rsidP="000C3C74">
            <w:pPr>
              <w:pStyle w:val="Geenafstand"/>
              <w:rPr>
                <w:b/>
                <w:sz w:val="18"/>
                <w:szCs w:val="18"/>
                <w:lang w:val="en-US"/>
              </w:rPr>
            </w:pPr>
            <w:r w:rsidRPr="00DA0DCD">
              <w:rPr>
                <w:b/>
                <w:sz w:val="18"/>
                <w:szCs w:val="18"/>
                <w:lang w:val="en-US"/>
              </w:rPr>
              <w:t>0.044</w:t>
            </w:r>
          </w:p>
        </w:tc>
      </w:tr>
      <w:tr w:rsidR="00333F75" w:rsidRPr="00DA0DCD" w:rsidTr="00333F75">
        <w:tc>
          <w:tcPr>
            <w:tcW w:w="2093" w:type="dxa"/>
            <w:shd w:val="clear" w:color="auto" w:fill="auto"/>
            <w:vAlign w:val="center"/>
          </w:tcPr>
          <w:p w:rsidR="00DE004F" w:rsidRPr="00DA0DCD" w:rsidRDefault="00DE004F" w:rsidP="000C3C74">
            <w:pPr>
              <w:pStyle w:val="Geenafstand"/>
              <w:rPr>
                <w:rFonts w:cs="TimesNewRomanPSMT"/>
                <w:sz w:val="18"/>
                <w:szCs w:val="18"/>
                <w:lang w:val="en-US"/>
              </w:rPr>
            </w:pPr>
            <w:r w:rsidRPr="00DA0DCD">
              <w:rPr>
                <w:rFonts w:cs="TimesNewRomanPSMT"/>
                <w:sz w:val="18"/>
                <w:szCs w:val="18"/>
                <w:lang w:val="en-US"/>
              </w:rPr>
              <w:t>FV_Window7</w:t>
            </w:r>
          </w:p>
        </w:tc>
        <w:tc>
          <w:tcPr>
            <w:tcW w:w="1843" w:type="dxa"/>
            <w:shd w:val="clear" w:color="auto" w:fill="auto"/>
            <w:vAlign w:val="center"/>
          </w:tcPr>
          <w:p w:rsidR="00DE004F" w:rsidRPr="00DA0DCD" w:rsidRDefault="00DE004F" w:rsidP="00333F75">
            <w:pPr>
              <w:pStyle w:val="Geenafstand"/>
              <w:rPr>
                <w:sz w:val="18"/>
                <w:szCs w:val="18"/>
                <w:lang w:val="en-US"/>
              </w:rPr>
            </w:pPr>
            <w:r w:rsidRPr="00DA0DCD">
              <w:rPr>
                <w:rFonts w:cs="TimesNewRomanPSMT"/>
                <w:sz w:val="18"/>
                <w:szCs w:val="18"/>
                <w:lang w:val="en-US"/>
              </w:rPr>
              <w:t>2/17/09 to</w:t>
            </w:r>
            <w:r w:rsidR="00333F75">
              <w:rPr>
                <w:rFonts w:cs="TimesNewRomanPSMT"/>
                <w:sz w:val="18"/>
                <w:szCs w:val="18"/>
                <w:lang w:val="en-US"/>
              </w:rPr>
              <w:t xml:space="preserve"> </w:t>
            </w:r>
            <w:r w:rsidRPr="00DA0DCD">
              <w:rPr>
                <w:rFonts w:cs="TimesNewRomanPSMT"/>
                <w:sz w:val="18"/>
                <w:szCs w:val="18"/>
                <w:lang w:val="en-US"/>
              </w:rPr>
              <w:t>2/19/09</w:t>
            </w: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-0.0090</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-2.10</w:t>
            </w:r>
          </w:p>
        </w:tc>
        <w:tc>
          <w:tcPr>
            <w:tcW w:w="1417" w:type="dxa"/>
            <w:shd w:val="clear" w:color="auto" w:fill="auto"/>
            <w:vAlign w:val="center"/>
          </w:tcPr>
          <w:p w:rsidR="00DE004F" w:rsidRPr="00DA0DCD" w:rsidRDefault="00DE004F" w:rsidP="000C3C74">
            <w:pPr>
              <w:pStyle w:val="Geenafstand"/>
              <w:rPr>
                <w:b/>
                <w:sz w:val="18"/>
                <w:szCs w:val="18"/>
                <w:lang w:val="en-US"/>
              </w:rPr>
            </w:pPr>
            <w:r w:rsidRPr="00DA0DCD">
              <w:rPr>
                <w:b/>
                <w:sz w:val="18"/>
                <w:szCs w:val="18"/>
                <w:lang w:val="en-US"/>
              </w:rPr>
              <w:t>0.019</w:t>
            </w:r>
          </w:p>
        </w:tc>
      </w:tr>
      <w:tr w:rsidR="00333F75" w:rsidRPr="00DA0DCD" w:rsidTr="00333F75">
        <w:tc>
          <w:tcPr>
            <w:tcW w:w="2093" w:type="dxa"/>
            <w:shd w:val="clear" w:color="auto" w:fill="auto"/>
            <w:vAlign w:val="center"/>
          </w:tcPr>
          <w:p w:rsidR="00DE004F" w:rsidRPr="00DA0DCD" w:rsidRDefault="00DE004F" w:rsidP="000C3C74">
            <w:pPr>
              <w:pStyle w:val="Geenafstand"/>
              <w:rPr>
                <w:rFonts w:cs="TimesNewRomanPSMT"/>
                <w:sz w:val="18"/>
                <w:szCs w:val="18"/>
                <w:lang w:val="en-US"/>
              </w:rPr>
            </w:pPr>
            <w:r w:rsidRPr="00DA0DCD">
              <w:rPr>
                <w:rFonts w:cs="TimesNewRomanPSMT"/>
                <w:sz w:val="18"/>
                <w:szCs w:val="18"/>
                <w:lang w:val="en-US"/>
              </w:rPr>
              <w:t>FV_Window8</w:t>
            </w:r>
          </w:p>
        </w:tc>
        <w:tc>
          <w:tcPr>
            <w:tcW w:w="1843" w:type="dxa"/>
            <w:shd w:val="clear" w:color="auto" w:fill="auto"/>
            <w:vAlign w:val="center"/>
          </w:tcPr>
          <w:p w:rsidR="00DE004F" w:rsidRPr="00DA0DCD" w:rsidRDefault="00DE004F" w:rsidP="00333F75">
            <w:pPr>
              <w:pStyle w:val="Geenafstand"/>
              <w:rPr>
                <w:sz w:val="18"/>
                <w:szCs w:val="18"/>
                <w:lang w:val="en-US"/>
              </w:rPr>
            </w:pPr>
            <w:r w:rsidRPr="00DA0DCD">
              <w:rPr>
                <w:rFonts w:cs="TimesNewRomanPSMT"/>
                <w:sz w:val="18"/>
                <w:szCs w:val="18"/>
                <w:lang w:val="en-US"/>
              </w:rPr>
              <w:t>3/9/09 to</w:t>
            </w:r>
            <w:r w:rsidR="00333F75">
              <w:rPr>
                <w:rFonts w:cs="TimesNewRomanPSMT"/>
                <w:sz w:val="18"/>
                <w:szCs w:val="18"/>
                <w:lang w:val="en-US"/>
              </w:rPr>
              <w:t xml:space="preserve"> </w:t>
            </w:r>
            <w:r w:rsidRPr="00DA0DCD">
              <w:rPr>
                <w:rFonts w:cs="TimesNewRomanPSMT"/>
                <w:sz w:val="18"/>
                <w:szCs w:val="18"/>
                <w:lang w:val="en-US"/>
              </w:rPr>
              <w:t>3/13/09</w:t>
            </w: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0.0170</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2.20</w:t>
            </w:r>
          </w:p>
        </w:tc>
        <w:tc>
          <w:tcPr>
            <w:tcW w:w="1417" w:type="dxa"/>
            <w:shd w:val="clear" w:color="auto" w:fill="auto"/>
            <w:vAlign w:val="center"/>
          </w:tcPr>
          <w:p w:rsidR="00DE004F" w:rsidRPr="00DA0DCD" w:rsidRDefault="00DE004F" w:rsidP="000C3C74">
            <w:pPr>
              <w:pStyle w:val="Geenafstand"/>
              <w:rPr>
                <w:b/>
                <w:sz w:val="18"/>
                <w:szCs w:val="18"/>
                <w:lang w:val="en-US"/>
              </w:rPr>
            </w:pPr>
            <w:r w:rsidRPr="00DA0DCD">
              <w:rPr>
                <w:b/>
                <w:sz w:val="18"/>
                <w:szCs w:val="18"/>
                <w:lang w:val="en-US"/>
              </w:rPr>
              <w:t>0.015</w:t>
            </w:r>
          </w:p>
        </w:tc>
      </w:tr>
      <w:tr w:rsidR="00333F75" w:rsidRPr="00DA0DCD" w:rsidTr="00333F75">
        <w:tc>
          <w:tcPr>
            <w:tcW w:w="2093" w:type="dxa"/>
            <w:shd w:val="clear" w:color="auto" w:fill="auto"/>
            <w:vAlign w:val="center"/>
          </w:tcPr>
          <w:p w:rsidR="00DE004F" w:rsidRPr="00DA0DCD" w:rsidRDefault="00DE004F" w:rsidP="000C3C74">
            <w:pPr>
              <w:pStyle w:val="Geenafstand"/>
              <w:rPr>
                <w:rFonts w:cs="TimesNewRomanPSMT"/>
                <w:sz w:val="18"/>
                <w:szCs w:val="18"/>
                <w:lang w:val="en-US"/>
              </w:rPr>
            </w:pPr>
            <w:r w:rsidRPr="00DA0DCD">
              <w:rPr>
                <w:rFonts w:cs="TimesNewRomanPSMT"/>
                <w:sz w:val="18"/>
                <w:szCs w:val="18"/>
                <w:lang w:val="en-US"/>
              </w:rPr>
              <w:t>FV_Window9</w:t>
            </w:r>
          </w:p>
        </w:tc>
        <w:tc>
          <w:tcPr>
            <w:tcW w:w="1843" w:type="dxa"/>
            <w:shd w:val="clear" w:color="auto" w:fill="auto"/>
            <w:vAlign w:val="center"/>
          </w:tcPr>
          <w:p w:rsidR="00DE004F" w:rsidRPr="00DA0DCD" w:rsidRDefault="00DE004F" w:rsidP="00333F75">
            <w:pPr>
              <w:pStyle w:val="Geenafstand"/>
              <w:rPr>
                <w:sz w:val="18"/>
                <w:szCs w:val="18"/>
                <w:lang w:val="en-US"/>
              </w:rPr>
            </w:pPr>
            <w:r w:rsidRPr="00DA0DCD">
              <w:rPr>
                <w:rFonts w:cs="TimesNewRomanPSMT"/>
                <w:sz w:val="18"/>
                <w:szCs w:val="18"/>
                <w:lang w:val="en-US"/>
              </w:rPr>
              <w:t>3/15/09 to</w:t>
            </w:r>
            <w:r w:rsidR="00333F75">
              <w:rPr>
                <w:rFonts w:cs="TimesNewRomanPSMT"/>
                <w:sz w:val="18"/>
                <w:szCs w:val="18"/>
                <w:lang w:val="en-US"/>
              </w:rPr>
              <w:t xml:space="preserve"> </w:t>
            </w:r>
            <w:r w:rsidRPr="00DA0DCD">
              <w:rPr>
                <w:rFonts w:cs="TimesNewRomanPSMT"/>
                <w:sz w:val="18"/>
                <w:szCs w:val="18"/>
                <w:lang w:val="en-US"/>
              </w:rPr>
              <w:t>3/17/09</w:t>
            </w:r>
          </w:p>
        </w:tc>
        <w:tc>
          <w:tcPr>
            <w:tcW w:w="1275"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w:t>
            </w:r>
          </w:p>
        </w:tc>
        <w:tc>
          <w:tcPr>
            <w:tcW w:w="1560"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0.0119</w:t>
            </w:r>
          </w:p>
        </w:tc>
        <w:tc>
          <w:tcPr>
            <w:tcW w:w="992"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3.57</w:t>
            </w:r>
          </w:p>
        </w:tc>
        <w:tc>
          <w:tcPr>
            <w:tcW w:w="1417" w:type="dxa"/>
            <w:shd w:val="clear" w:color="auto" w:fill="auto"/>
            <w:vAlign w:val="center"/>
          </w:tcPr>
          <w:p w:rsidR="00DE004F" w:rsidRPr="00DA0DCD" w:rsidRDefault="00DE004F" w:rsidP="000C3C74">
            <w:pPr>
              <w:pStyle w:val="Geenafstand"/>
              <w:rPr>
                <w:b/>
                <w:sz w:val="18"/>
                <w:szCs w:val="18"/>
                <w:lang w:val="en-US"/>
              </w:rPr>
            </w:pPr>
            <w:r w:rsidRPr="00DA0DCD">
              <w:rPr>
                <w:b/>
                <w:sz w:val="18"/>
                <w:szCs w:val="18"/>
                <w:lang w:val="en-US"/>
              </w:rPr>
              <w:t>&lt;0.001</w:t>
            </w:r>
          </w:p>
        </w:tc>
      </w:tr>
      <w:tr w:rsidR="00333F75" w:rsidRPr="00DA0DCD" w:rsidTr="00333F75">
        <w:tc>
          <w:tcPr>
            <w:tcW w:w="2093" w:type="dxa"/>
            <w:shd w:val="clear" w:color="auto" w:fill="auto"/>
            <w:vAlign w:val="center"/>
          </w:tcPr>
          <w:p w:rsidR="00DE004F" w:rsidRPr="00DA0DCD" w:rsidRDefault="00DE004F" w:rsidP="000C3C74">
            <w:pPr>
              <w:pStyle w:val="Geenafstand"/>
              <w:rPr>
                <w:rFonts w:cs="TimesNewRomanPSMT"/>
                <w:sz w:val="18"/>
                <w:szCs w:val="18"/>
                <w:lang w:val="en-US"/>
              </w:rPr>
            </w:pPr>
            <w:r w:rsidRPr="00DA0DCD">
              <w:rPr>
                <w:rFonts w:cs="TimesNewRomanPSMT"/>
                <w:sz w:val="18"/>
                <w:szCs w:val="18"/>
                <w:lang w:val="en-US"/>
              </w:rPr>
              <w:t>FV_Window10</w:t>
            </w:r>
          </w:p>
        </w:tc>
        <w:tc>
          <w:tcPr>
            <w:tcW w:w="1843" w:type="dxa"/>
            <w:shd w:val="clear" w:color="auto" w:fill="auto"/>
            <w:vAlign w:val="center"/>
          </w:tcPr>
          <w:p w:rsidR="00DE004F" w:rsidRPr="00DA0DCD" w:rsidRDefault="00DE004F" w:rsidP="00333F75">
            <w:pPr>
              <w:pStyle w:val="Geenafstand"/>
              <w:rPr>
                <w:rFonts w:cs="TimesNewRomanPSMT"/>
                <w:sz w:val="18"/>
                <w:szCs w:val="18"/>
                <w:lang w:val="en-US"/>
              </w:rPr>
            </w:pPr>
            <w:r w:rsidRPr="00DA0DCD">
              <w:rPr>
                <w:rFonts w:cs="TimesNewRomanPSMT"/>
                <w:sz w:val="18"/>
                <w:szCs w:val="18"/>
                <w:lang w:val="en-US"/>
              </w:rPr>
              <w:t>3/31/09 to</w:t>
            </w:r>
            <w:r w:rsidR="00333F75">
              <w:rPr>
                <w:rFonts w:cs="TimesNewRomanPSMT"/>
                <w:sz w:val="18"/>
                <w:szCs w:val="18"/>
                <w:lang w:val="en-US"/>
              </w:rPr>
              <w:t xml:space="preserve"> </w:t>
            </w:r>
            <w:r w:rsidRPr="00DA0DCD">
              <w:rPr>
                <w:rFonts w:cs="TimesNewRomanPSMT"/>
                <w:sz w:val="18"/>
                <w:szCs w:val="18"/>
                <w:lang w:val="en-US"/>
              </w:rPr>
              <w:t>4/3/09</w:t>
            </w:r>
          </w:p>
        </w:tc>
        <w:tc>
          <w:tcPr>
            <w:tcW w:w="1275" w:type="dxa"/>
            <w:shd w:val="clear" w:color="auto" w:fill="auto"/>
            <w:vAlign w:val="center"/>
          </w:tcPr>
          <w:p w:rsidR="00DE004F" w:rsidRPr="00DA0DCD" w:rsidRDefault="00DE004F" w:rsidP="000C3C74">
            <w:pPr>
              <w:pStyle w:val="Geenafstand"/>
              <w:rPr>
                <w:rFonts w:cs="TimesNewRomanPSMT"/>
                <w:sz w:val="18"/>
                <w:szCs w:val="18"/>
                <w:lang w:val="en-US"/>
              </w:rPr>
            </w:pPr>
            <w:r w:rsidRPr="00DA0DCD">
              <w:rPr>
                <w:rFonts w:cs="TimesNewRomanPSMT"/>
                <w:sz w:val="18"/>
                <w:szCs w:val="18"/>
                <w:lang w:val="en-US"/>
              </w:rPr>
              <w:t>+</w:t>
            </w:r>
          </w:p>
        </w:tc>
        <w:tc>
          <w:tcPr>
            <w:tcW w:w="1560" w:type="dxa"/>
            <w:shd w:val="clear" w:color="auto" w:fill="auto"/>
            <w:vAlign w:val="center"/>
          </w:tcPr>
          <w:p w:rsidR="00DE004F" w:rsidRPr="00DA0DCD" w:rsidRDefault="00DE004F" w:rsidP="000C3C74">
            <w:pPr>
              <w:pStyle w:val="Geenafstand"/>
              <w:rPr>
                <w:rFonts w:cs="TimesNewRomanPSMT"/>
                <w:sz w:val="18"/>
                <w:szCs w:val="18"/>
                <w:lang w:val="en-US"/>
              </w:rPr>
            </w:pPr>
            <w:r w:rsidRPr="00DA0DCD">
              <w:rPr>
                <w:rFonts w:cs="TimesNewRomanPSMT"/>
                <w:sz w:val="18"/>
                <w:szCs w:val="18"/>
                <w:lang w:val="en-US"/>
              </w:rPr>
              <w:t>0.0032</w:t>
            </w:r>
          </w:p>
        </w:tc>
        <w:tc>
          <w:tcPr>
            <w:tcW w:w="992" w:type="dxa"/>
            <w:shd w:val="clear" w:color="auto" w:fill="auto"/>
            <w:vAlign w:val="center"/>
          </w:tcPr>
          <w:p w:rsidR="00DE004F" w:rsidRPr="00DA0DCD" w:rsidRDefault="00DE004F" w:rsidP="000C3C74">
            <w:pPr>
              <w:pStyle w:val="Geenafstand"/>
              <w:rPr>
                <w:rFonts w:cs="TimesNewRomanPSMT"/>
                <w:sz w:val="18"/>
                <w:szCs w:val="18"/>
                <w:lang w:val="en-US"/>
              </w:rPr>
            </w:pPr>
            <w:r w:rsidRPr="00DA0DCD">
              <w:rPr>
                <w:rFonts w:cs="TimesNewRomanPSMT"/>
                <w:sz w:val="18"/>
                <w:szCs w:val="18"/>
                <w:lang w:val="en-US"/>
              </w:rPr>
              <w:t>0.88</w:t>
            </w:r>
          </w:p>
        </w:tc>
        <w:tc>
          <w:tcPr>
            <w:tcW w:w="1417" w:type="dxa"/>
            <w:shd w:val="clear" w:color="auto" w:fill="auto"/>
            <w:vAlign w:val="center"/>
          </w:tcPr>
          <w:p w:rsidR="00DE004F" w:rsidRPr="00DA0DCD" w:rsidRDefault="00DE004F" w:rsidP="000C3C74">
            <w:pPr>
              <w:pStyle w:val="Geenafstand"/>
              <w:rPr>
                <w:sz w:val="18"/>
                <w:szCs w:val="18"/>
                <w:lang w:val="en-US"/>
              </w:rPr>
            </w:pPr>
            <w:r w:rsidRPr="00DA0DCD">
              <w:rPr>
                <w:rFonts w:cs="TimesNewRomanPSMT"/>
                <w:sz w:val="18"/>
                <w:szCs w:val="18"/>
                <w:lang w:val="en-US"/>
              </w:rPr>
              <w:t>0.190</w:t>
            </w:r>
          </w:p>
        </w:tc>
      </w:tr>
      <w:tr w:rsidR="00DE004F" w:rsidRPr="008D4190" w:rsidTr="00333F75">
        <w:tc>
          <w:tcPr>
            <w:tcW w:w="9180" w:type="dxa"/>
            <w:gridSpan w:val="6"/>
            <w:shd w:val="clear" w:color="auto" w:fill="auto"/>
            <w:vAlign w:val="center"/>
          </w:tcPr>
          <w:p w:rsidR="00DE004F" w:rsidRPr="00DA0DCD" w:rsidRDefault="00DE004F" w:rsidP="000C3C74">
            <w:pPr>
              <w:pStyle w:val="Geenafstand"/>
              <w:rPr>
                <w:b/>
                <w:sz w:val="18"/>
                <w:szCs w:val="18"/>
                <w:lang w:val="en-US"/>
              </w:rPr>
            </w:pPr>
            <w:r w:rsidRPr="00DA0DCD">
              <w:rPr>
                <w:b/>
                <w:sz w:val="18"/>
                <w:szCs w:val="18"/>
                <w:lang w:val="en-US"/>
              </w:rPr>
              <w:t>Results Event windows combined</w:t>
            </w:r>
          </w:p>
        </w:tc>
      </w:tr>
      <w:tr w:rsidR="00DE004F" w:rsidRPr="00DA0DCD" w:rsidTr="00333F75">
        <w:trPr>
          <w:trHeight w:val="270"/>
        </w:trPr>
        <w:tc>
          <w:tcPr>
            <w:tcW w:w="2093"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Intercept</w:t>
            </w:r>
          </w:p>
        </w:tc>
        <w:tc>
          <w:tcPr>
            <w:tcW w:w="1843" w:type="dxa"/>
            <w:shd w:val="clear" w:color="auto" w:fill="auto"/>
            <w:vAlign w:val="center"/>
          </w:tcPr>
          <w:p w:rsidR="00DE004F" w:rsidRPr="00333F75" w:rsidRDefault="00DE004F" w:rsidP="00333F75">
            <w:pPr>
              <w:pStyle w:val="Geenafstand"/>
              <w:rPr>
                <w:sz w:val="18"/>
                <w:szCs w:val="18"/>
                <w:lang w:val="en-US"/>
              </w:rPr>
            </w:pPr>
          </w:p>
        </w:tc>
        <w:tc>
          <w:tcPr>
            <w:tcW w:w="1275" w:type="dxa"/>
            <w:shd w:val="clear" w:color="auto" w:fill="auto"/>
            <w:vAlign w:val="center"/>
          </w:tcPr>
          <w:p w:rsidR="00DE004F" w:rsidRPr="00333F75" w:rsidRDefault="00DE004F" w:rsidP="00333F75">
            <w:pPr>
              <w:pStyle w:val="Geenafstand"/>
              <w:rPr>
                <w:sz w:val="18"/>
                <w:szCs w:val="18"/>
                <w:lang w:val="en-US"/>
              </w:rPr>
            </w:pPr>
          </w:p>
        </w:tc>
        <w:tc>
          <w:tcPr>
            <w:tcW w:w="1560"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-0.0005</w:t>
            </w:r>
          </w:p>
        </w:tc>
        <w:tc>
          <w:tcPr>
            <w:tcW w:w="992"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-0.35</w:t>
            </w:r>
          </w:p>
        </w:tc>
        <w:tc>
          <w:tcPr>
            <w:tcW w:w="1417"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0.731</w:t>
            </w:r>
          </w:p>
        </w:tc>
      </w:tr>
      <w:tr w:rsidR="00DE004F" w:rsidRPr="00DA0DCD" w:rsidTr="00333F75">
        <w:tc>
          <w:tcPr>
            <w:tcW w:w="2093"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Mkt_Ret</w:t>
            </w:r>
          </w:p>
        </w:tc>
        <w:tc>
          <w:tcPr>
            <w:tcW w:w="1843" w:type="dxa"/>
            <w:shd w:val="clear" w:color="auto" w:fill="auto"/>
            <w:vAlign w:val="center"/>
          </w:tcPr>
          <w:p w:rsidR="00DE004F" w:rsidRPr="00333F75" w:rsidRDefault="00DE004F" w:rsidP="00333F75">
            <w:pPr>
              <w:pStyle w:val="Geenafstand"/>
              <w:rPr>
                <w:sz w:val="18"/>
                <w:szCs w:val="18"/>
                <w:lang w:val="en-US"/>
              </w:rPr>
            </w:pPr>
          </w:p>
        </w:tc>
        <w:tc>
          <w:tcPr>
            <w:tcW w:w="1275"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w:t>
            </w:r>
          </w:p>
        </w:tc>
        <w:tc>
          <w:tcPr>
            <w:tcW w:w="1560"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1.0376</w:t>
            </w:r>
          </w:p>
        </w:tc>
        <w:tc>
          <w:tcPr>
            <w:tcW w:w="992"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16.30</w:t>
            </w:r>
          </w:p>
        </w:tc>
        <w:tc>
          <w:tcPr>
            <w:tcW w:w="1417"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&lt;0.001</w:t>
            </w:r>
          </w:p>
        </w:tc>
      </w:tr>
      <w:tr w:rsidR="00DE004F" w:rsidRPr="00DA0DCD" w:rsidTr="00333F75">
        <w:tc>
          <w:tcPr>
            <w:tcW w:w="2093"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ΔT-Bill</w:t>
            </w:r>
          </w:p>
        </w:tc>
        <w:tc>
          <w:tcPr>
            <w:tcW w:w="1843" w:type="dxa"/>
            <w:shd w:val="clear" w:color="auto" w:fill="auto"/>
            <w:vAlign w:val="center"/>
          </w:tcPr>
          <w:p w:rsidR="00DE004F" w:rsidRPr="00333F75" w:rsidRDefault="00DE004F" w:rsidP="00333F75">
            <w:pPr>
              <w:pStyle w:val="Geenafstand"/>
              <w:rPr>
                <w:sz w:val="18"/>
                <w:szCs w:val="18"/>
                <w:lang w:val="en-US"/>
              </w:rPr>
            </w:pPr>
          </w:p>
        </w:tc>
        <w:tc>
          <w:tcPr>
            <w:tcW w:w="1275"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w:t>
            </w:r>
          </w:p>
        </w:tc>
        <w:tc>
          <w:tcPr>
            <w:tcW w:w="1560"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-0.0178</w:t>
            </w:r>
          </w:p>
        </w:tc>
        <w:tc>
          <w:tcPr>
            <w:tcW w:w="992"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-1.31</w:t>
            </w:r>
          </w:p>
        </w:tc>
        <w:tc>
          <w:tcPr>
            <w:tcW w:w="1417"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0.096</w:t>
            </w:r>
          </w:p>
        </w:tc>
      </w:tr>
      <w:tr w:rsidR="00DE004F" w:rsidRPr="00DA0DCD" w:rsidTr="00333F75">
        <w:tc>
          <w:tcPr>
            <w:tcW w:w="2093"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FV_Events_Combined</w:t>
            </w:r>
          </w:p>
        </w:tc>
        <w:tc>
          <w:tcPr>
            <w:tcW w:w="1843"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8/29/08 to</w:t>
            </w:r>
            <w:r w:rsidR="00333F75" w:rsidRPr="00333F75">
              <w:rPr>
                <w:sz w:val="18"/>
                <w:szCs w:val="18"/>
                <w:lang w:val="en-US"/>
              </w:rPr>
              <w:t xml:space="preserve"> </w:t>
            </w:r>
            <w:r w:rsidRPr="00333F75">
              <w:rPr>
                <w:sz w:val="18"/>
                <w:szCs w:val="18"/>
                <w:lang w:val="en-US"/>
              </w:rPr>
              <w:t>4/3/09</w:t>
            </w:r>
          </w:p>
        </w:tc>
        <w:tc>
          <w:tcPr>
            <w:tcW w:w="1275"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w:t>
            </w:r>
          </w:p>
        </w:tc>
        <w:tc>
          <w:tcPr>
            <w:tcW w:w="1560"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0.0089</w:t>
            </w:r>
          </w:p>
        </w:tc>
        <w:tc>
          <w:tcPr>
            <w:tcW w:w="992" w:type="dxa"/>
            <w:shd w:val="clear" w:color="auto" w:fill="auto"/>
            <w:vAlign w:val="center"/>
          </w:tcPr>
          <w:p w:rsidR="00DE004F" w:rsidRPr="00333F75" w:rsidRDefault="00DE004F" w:rsidP="00333F75">
            <w:pPr>
              <w:pStyle w:val="Geenafstand"/>
              <w:rPr>
                <w:sz w:val="18"/>
                <w:szCs w:val="18"/>
                <w:lang w:val="en-US"/>
              </w:rPr>
            </w:pPr>
            <w:r w:rsidRPr="00333F75">
              <w:rPr>
                <w:sz w:val="18"/>
                <w:szCs w:val="18"/>
                <w:lang w:val="en-US"/>
              </w:rPr>
              <w:t>3.13</w:t>
            </w:r>
          </w:p>
        </w:tc>
        <w:tc>
          <w:tcPr>
            <w:tcW w:w="1417" w:type="dxa"/>
            <w:shd w:val="clear" w:color="auto" w:fill="auto"/>
            <w:vAlign w:val="center"/>
          </w:tcPr>
          <w:p w:rsidR="00DE004F" w:rsidRPr="00333F75" w:rsidRDefault="00DE004F" w:rsidP="00333F75">
            <w:pPr>
              <w:pStyle w:val="Geenafstand"/>
              <w:rPr>
                <w:sz w:val="18"/>
                <w:szCs w:val="18"/>
                <w:lang w:val="en-US"/>
              </w:rPr>
            </w:pPr>
            <w:r w:rsidRPr="00333F75">
              <w:rPr>
                <w:rFonts w:cs="TimesNewRomanPS-BoldMT"/>
                <w:b/>
                <w:bCs/>
                <w:sz w:val="18"/>
                <w:szCs w:val="18"/>
                <w:lang w:val="en-US"/>
              </w:rPr>
              <w:t>0.001</w:t>
            </w:r>
          </w:p>
        </w:tc>
      </w:tr>
    </w:tbl>
    <w:p w:rsidR="004B03CA" w:rsidRPr="00DA0DCD" w:rsidRDefault="00295850" w:rsidP="00295850">
      <w:pPr>
        <w:rPr>
          <w:lang w:val="en-US"/>
        </w:rPr>
      </w:pPr>
      <w:r>
        <w:rPr>
          <w:lang w:val="en-US"/>
        </w:rPr>
        <w:t>Table E.1</w:t>
      </w:r>
    </w:p>
    <w:p w:rsidR="00333F75" w:rsidRPr="00295850" w:rsidRDefault="00333F75" w:rsidP="004B03CA">
      <w:pPr>
        <w:rPr>
          <w:lang w:val="en-US"/>
        </w:rPr>
      </w:pPr>
      <w:r w:rsidRPr="00295850">
        <w:rPr>
          <w:lang w:val="en-US"/>
        </w:rPr>
        <w:t xml:space="preserve">This table represents the results of Bowen et al. (2010). They </w:t>
      </w:r>
      <w:r w:rsidR="00295850" w:rsidRPr="00295850">
        <w:rPr>
          <w:lang w:val="en-US"/>
        </w:rPr>
        <w:t>tested the stock price reactions of banks during t</w:t>
      </w:r>
      <w:r w:rsidRPr="00295850">
        <w:rPr>
          <w:lang w:val="en-US"/>
        </w:rPr>
        <w:t>he following events:</w:t>
      </w:r>
    </w:p>
    <w:tbl>
      <w:tblPr>
        <w:tblStyle w:val="Tabelraster"/>
        <w:tblW w:w="9464" w:type="dxa"/>
        <w:tblLayout w:type="fixed"/>
        <w:tblLook w:val="04A0"/>
      </w:tblPr>
      <w:tblGrid>
        <w:gridCol w:w="1101"/>
        <w:gridCol w:w="8363"/>
      </w:tblGrid>
      <w:tr w:rsidR="00295850" w:rsidRPr="00250174" w:rsidTr="004B584D">
        <w:tc>
          <w:tcPr>
            <w:tcW w:w="1101" w:type="dxa"/>
          </w:tcPr>
          <w:p w:rsidR="00295850" w:rsidRPr="00295850" w:rsidRDefault="00295850" w:rsidP="004B584D">
            <w:pPr>
              <w:autoSpaceDE w:val="0"/>
              <w:autoSpaceDN w:val="0"/>
              <w:adjustRightInd w:val="0"/>
              <w:rPr>
                <w:rFonts w:cs="TimesNewRomanPS-BoldMT"/>
                <w:b/>
                <w:bCs/>
                <w:sz w:val="20"/>
                <w:szCs w:val="20"/>
              </w:rPr>
            </w:pPr>
            <w:r w:rsidRPr="00295850">
              <w:rPr>
                <w:rFonts w:cs="TimesNewRomanPS-BoldMT"/>
                <w:b/>
                <w:bCs/>
                <w:sz w:val="20"/>
                <w:szCs w:val="20"/>
              </w:rPr>
              <w:t>Event</w:t>
            </w:r>
          </w:p>
          <w:p w:rsidR="00295850" w:rsidRPr="00295850" w:rsidRDefault="00295850" w:rsidP="004B584D">
            <w:pPr>
              <w:autoSpaceDE w:val="0"/>
              <w:autoSpaceDN w:val="0"/>
              <w:adjustRightInd w:val="0"/>
              <w:rPr>
                <w:rFonts w:cs="TimesNewRomanPS-BoldMT"/>
                <w:b/>
                <w:bCs/>
                <w:sz w:val="20"/>
                <w:szCs w:val="20"/>
              </w:rPr>
            </w:pPr>
            <w:r w:rsidRPr="00295850">
              <w:rPr>
                <w:rFonts w:cs="TimesNewRomanPS-BoldMT"/>
                <w:b/>
                <w:bCs/>
                <w:sz w:val="20"/>
                <w:szCs w:val="20"/>
              </w:rPr>
              <w:t>(Window)</w:t>
            </w:r>
          </w:p>
          <w:p w:rsidR="00295850" w:rsidRPr="00295850" w:rsidRDefault="00295850" w:rsidP="004B584D">
            <w:pPr>
              <w:rPr>
                <w:sz w:val="20"/>
                <w:szCs w:val="20"/>
                <w:lang w:val="en-US"/>
              </w:rPr>
            </w:pPr>
          </w:p>
        </w:tc>
        <w:tc>
          <w:tcPr>
            <w:tcW w:w="8363" w:type="dxa"/>
          </w:tcPr>
          <w:p w:rsidR="00295850" w:rsidRPr="00295850" w:rsidRDefault="00295850" w:rsidP="004B584D">
            <w:pPr>
              <w:rPr>
                <w:sz w:val="20"/>
                <w:szCs w:val="20"/>
                <w:lang w:val="en-US"/>
              </w:rPr>
            </w:pPr>
            <w:r w:rsidRPr="00295850">
              <w:rPr>
                <w:rFonts w:cs="TimesNewRomanPS-BoldMT"/>
                <w:b/>
                <w:bCs/>
                <w:sz w:val="20"/>
                <w:szCs w:val="20"/>
                <w:lang w:val="en-US"/>
              </w:rPr>
              <w:t>Description</w:t>
            </w:r>
            <w:r>
              <w:rPr>
                <w:rFonts w:cs="TimesNewRomanPS-BoldMT"/>
                <w:b/>
                <w:bCs/>
                <w:sz w:val="20"/>
                <w:szCs w:val="20"/>
                <w:lang w:val="en-US"/>
              </w:rPr>
              <w:t xml:space="preserve"> of the event windows of Bowen et al. (2010)</w:t>
            </w:r>
          </w:p>
        </w:tc>
      </w:tr>
      <w:tr w:rsidR="00295850" w:rsidRPr="00872F8A" w:rsidTr="004B584D">
        <w:tc>
          <w:tcPr>
            <w:tcW w:w="1101" w:type="dxa"/>
          </w:tcPr>
          <w:p w:rsidR="00295850" w:rsidRPr="00250174" w:rsidRDefault="00295850" w:rsidP="004B584D">
            <w:pPr>
              <w:rPr>
                <w:sz w:val="18"/>
                <w:szCs w:val="18"/>
                <w:lang w:val="en-US"/>
              </w:rPr>
            </w:pPr>
            <w:r w:rsidRPr="00250174">
              <w:rPr>
                <w:sz w:val="18"/>
                <w:szCs w:val="18"/>
                <w:lang w:val="en-US"/>
              </w:rPr>
              <w:t>1</w:t>
            </w:r>
          </w:p>
        </w:tc>
        <w:tc>
          <w:tcPr>
            <w:tcW w:w="8363" w:type="dxa"/>
          </w:tcPr>
          <w:p w:rsidR="00295850" w:rsidRPr="00250174" w:rsidRDefault="00295850" w:rsidP="004B584D">
            <w:pPr>
              <w:rPr>
                <w:rFonts w:eastAsia="Times New Roman" w:cs="Arial"/>
                <w:sz w:val="18"/>
                <w:szCs w:val="18"/>
                <w:lang w:val="en-US" w:eastAsia="nl-NL"/>
              </w:rPr>
            </w:pPr>
            <w:r w:rsidRPr="00250174">
              <w:rPr>
                <w:rFonts w:eastAsia="Times New Roman" w:cs="Arial"/>
                <w:sz w:val="18"/>
                <w:szCs w:val="18"/>
                <w:lang w:val="en-US" w:eastAsia="nl-NL"/>
              </w:rPr>
              <w:t>1) Draft of EESA 2008 released which gave SEC the authority to suspend the application of SFAS 157 and asks SEC to conduct a study on mark-to-market accounting standards and impairment rules within 90-days from the day of the enactment of EESA 2008.</w:t>
            </w:r>
          </w:p>
          <w:p w:rsidR="00295850" w:rsidRPr="00250174" w:rsidRDefault="00295850" w:rsidP="004B584D">
            <w:pPr>
              <w:rPr>
                <w:rFonts w:eastAsia="Times New Roman" w:cs="Arial"/>
                <w:sz w:val="18"/>
                <w:szCs w:val="18"/>
                <w:lang w:val="en-US" w:eastAsia="nl-NL"/>
              </w:rPr>
            </w:pPr>
            <w:r w:rsidRPr="00250174">
              <w:rPr>
                <w:rFonts w:eastAsia="Times New Roman" w:cs="Arial"/>
                <w:sz w:val="18"/>
                <w:szCs w:val="18"/>
                <w:lang w:val="en-US" w:eastAsia="nl-NL"/>
              </w:rPr>
              <w:t xml:space="preserve">2) Draft EESA 2008 put to vote in the house, but it did not pass. </w:t>
            </w:r>
          </w:p>
          <w:p w:rsidR="00295850" w:rsidRPr="00250174" w:rsidRDefault="00295850" w:rsidP="004B584D">
            <w:pPr>
              <w:rPr>
                <w:rFonts w:eastAsia="Times New Roman" w:cs="Arial"/>
                <w:sz w:val="18"/>
                <w:szCs w:val="18"/>
                <w:lang w:val="en-US" w:eastAsia="nl-NL"/>
              </w:rPr>
            </w:pPr>
            <w:r w:rsidRPr="00250174">
              <w:rPr>
                <w:rFonts w:eastAsia="Times New Roman" w:cs="Arial"/>
                <w:sz w:val="18"/>
                <w:szCs w:val="18"/>
                <w:lang w:val="en-US" w:eastAsia="nl-NL"/>
              </w:rPr>
              <w:t xml:space="preserve">3) SEC, in conjunction with the FASB, issues clarification and guidance on the application of SFAS 157 and other issues surrounding fair value measurements. SEC stresses that managers could use their own judgment when valuing securities in illiquid markets </w:t>
            </w:r>
          </w:p>
          <w:p w:rsidR="00295850" w:rsidRPr="00250174" w:rsidRDefault="00295850" w:rsidP="004B584D">
            <w:pPr>
              <w:rPr>
                <w:rFonts w:eastAsia="Times New Roman" w:cs="Arial"/>
                <w:sz w:val="18"/>
                <w:szCs w:val="18"/>
                <w:lang w:val="en-US" w:eastAsia="nl-NL"/>
              </w:rPr>
            </w:pPr>
            <w:r w:rsidRPr="00250174">
              <w:rPr>
                <w:rFonts w:eastAsia="Times New Roman" w:cs="Arial"/>
                <w:sz w:val="18"/>
                <w:szCs w:val="18"/>
                <w:lang w:val="en-US" w:eastAsia="nl-NL"/>
              </w:rPr>
              <w:t>4) On the evening of Oct 1, 2008, the Senate passed a revised version of the EESA 2008. 5) Financial Accounting Foundation (FAF) expresses deep concerns about efforts of some to legislate the suspension of SFAS 157 in a letter to the Chairman of the Committee on Financial Services, Barney Frank.12</w:t>
            </w:r>
          </w:p>
          <w:p w:rsidR="00295850" w:rsidRPr="00250174" w:rsidRDefault="00295850" w:rsidP="004B584D">
            <w:pPr>
              <w:rPr>
                <w:sz w:val="18"/>
                <w:szCs w:val="18"/>
                <w:lang w:val="en-US"/>
              </w:rPr>
            </w:pPr>
            <w:r w:rsidRPr="00250174">
              <w:rPr>
                <w:rFonts w:eastAsia="Times New Roman" w:cs="Arial"/>
                <w:sz w:val="18"/>
                <w:szCs w:val="18"/>
                <w:lang w:val="en-US" w:eastAsia="nl-NL"/>
              </w:rPr>
              <w:t>6) The House passed the revised version of the EESA. President Bush signed the bill into law within hours of the vote.</w:t>
            </w:r>
          </w:p>
        </w:tc>
      </w:tr>
      <w:tr w:rsidR="00295850" w:rsidRPr="00872F8A" w:rsidTr="004B584D">
        <w:tc>
          <w:tcPr>
            <w:tcW w:w="1101" w:type="dxa"/>
          </w:tcPr>
          <w:p w:rsidR="00295850" w:rsidRPr="00250174" w:rsidRDefault="00295850" w:rsidP="004B584D">
            <w:pPr>
              <w:rPr>
                <w:sz w:val="18"/>
                <w:szCs w:val="18"/>
                <w:lang w:val="en-US"/>
              </w:rPr>
            </w:pPr>
            <w:r w:rsidRPr="00250174">
              <w:rPr>
                <w:sz w:val="18"/>
                <w:szCs w:val="18"/>
                <w:lang w:val="en-US"/>
              </w:rPr>
              <w:t>2</w:t>
            </w:r>
          </w:p>
        </w:tc>
        <w:tc>
          <w:tcPr>
            <w:tcW w:w="8363" w:type="dxa"/>
          </w:tcPr>
          <w:p w:rsidR="00295850" w:rsidRPr="00250174" w:rsidRDefault="00295850" w:rsidP="004B584D">
            <w:pPr>
              <w:rPr>
                <w:rFonts w:eastAsia="Times New Roman" w:cs="Arial"/>
                <w:sz w:val="18"/>
                <w:szCs w:val="18"/>
                <w:lang w:val="en-US" w:eastAsia="nl-NL"/>
              </w:rPr>
            </w:pPr>
            <w:r w:rsidRPr="00250174">
              <w:rPr>
                <w:rFonts w:eastAsia="Times New Roman" w:cs="Arial"/>
                <w:sz w:val="18"/>
                <w:szCs w:val="18"/>
                <w:lang w:val="en-US" w:eastAsia="nl-NL"/>
              </w:rPr>
              <w:t xml:space="preserve">1) IASB issued amendments to IAS 39 and IFRS 7 that permitted the reclassification of some financial instruments that would allow banks to avoid using FV in reporting financial instruments. (These reclassifications were already allowed under US GAAP in rare circumstances.) Sir David Tweedy acknowledges that IASB was forced to amend rules due to political pressure. </w:t>
            </w:r>
          </w:p>
          <w:p w:rsidR="00295850" w:rsidRPr="00250174" w:rsidRDefault="00295850" w:rsidP="004B584D">
            <w:pPr>
              <w:rPr>
                <w:sz w:val="18"/>
                <w:szCs w:val="18"/>
                <w:lang w:val="en-US"/>
              </w:rPr>
            </w:pPr>
            <w:r w:rsidRPr="00250174">
              <w:rPr>
                <w:rFonts w:eastAsia="Times New Roman" w:cs="Arial"/>
                <w:sz w:val="18"/>
                <w:szCs w:val="18"/>
                <w:lang w:val="en-US" w:eastAsia="nl-NL"/>
              </w:rPr>
              <w:t>2) EU regulator’s committee votes unanimously to accept IASB’s emergency changes made to mark-to-market rules.</w:t>
            </w:r>
          </w:p>
        </w:tc>
      </w:tr>
      <w:tr w:rsidR="00295850" w:rsidRPr="00872F8A" w:rsidTr="004B584D">
        <w:tc>
          <w:tcPr>
            <w:tcW w:w="1101" w:type="dxa"/>
          </w:tcPr>
          <w:p w:rsidR="00295850" w:rsidRPr="00250174" w:rsidRDefault="00295850" w:rsidP="004B584D">
            <w:pPr>
              <w:rPr>
                <w:sz w:val="18"/>
                <w:szCs w:val="18"/>
                <w:lang w:val="en-US"/>
              </w:rPr>
            </w:pPr>
            <w:r w:rsidRPr="00250174">
              <w:rPr>
                <w:sz w:val="18"/>
                <w:szCs w:val="18"/>
                <w:lang w:val="en-US"/>
              </w:rPr>
              <w:t>3</w:t>
            </w:r>
          </w:p>
        </w:tc>
        <w:tc>
          <w:tcPr>
            <w:tcW w:w="8363" w:type="dxa"/>
          </w:tcPr>
          <w:p w:rsidR="00295850" w:rsidRPr="00250174" w:rsidRDefault="00295850" w:rsidP="004B584D">
            <w:pPr>
              <w:rPr>
                <w:sz w:val="18"/>
                <w:szCs w:val="18"/>
                <w:lang w:val="en-US"/>
              </w:rPr>
            </w:pPr>
            <w:r w:rsidRPr="00250174">
              <w:rPr>
                <w:sz w:val="18"/>
                <w:szCs w:val="18"/>
                <w:lang w:val="en-US"/>
              </w:rPr>
              <w:t>1)</w:t>
            </w:r>
            <w:r w:rsidRPr="00250174">
              <w:rPr>
                <w:rFonts w:eastAsia="Times New Roman" w:cs="Arial"/>
                <w:sz w:val="18"/>
                <w:szCs w:val="18"/>
                <w:lang w:val="en-US" w:eastAsia="nl-NL"/>
              </w:rPr>
              <w:t xml:space="preserve"> SEC hosts round table discussion on mark-to-market accounting. Articles indicate that several suggestions about improvements to FAS 157 were made but SEC did not indicate leaning towards a less restrictive interpretation of FAS 157 (see Proskauer Rose LLP client alert, pg 3 last paragraph). The update about the roundtable on www.securitization.net says that SEC did not indicate what future course of action it is considering.</w:t>
            </w:r>
          </w:p>
        </w:tc>
      </w:tr>
      <w:tr w:rsidR="00295850" w:rsidRPr="00250174" w:rsidTr="004B584D">
        <w:tc>
          <w:tcPr>
            <w:tcW w:w="1101" w:type="dxa"/>
          </w:tcPr>
          <w:p w:rsidR="00295850" w:rsidRPr="00250174" w:rsidRDefault="00295850" w:rsidP="004B584D">
            <w:pPr>
              <w:rPr>
                <w:sz w:val="18"/>
                <w:szCs w:val="18"/>
                <w:lang w:val="en-US"/>
              </w:rPr>
            </w:pPr>
            <w:r w:rsidRPr="00250174">
              <w:rPr>
                <w:sz w:val="18"/>
                <w:szCs w:val="18"/>
                <w:lang w:val="en-US"/>
              </w:rPr>
              <w:t>4</w:t>
            </w:r>
          </w:p>
        </w:tc>
        <w:tc>
          <w:tcPr>
            <w:tcW w:w="8363" w:type="dxa"/>
          </w:tcPr>
          <w:p w:rsidR="00295850" w:rsidRPr="00250174" w:rsidRDefault="00295850" w:rsidP="004B584D">
            <w:pPr>
              <w:rPr>
                <w:sz w:val="18"/>
                <w:szCs w:val="18"/>
                <w:lang w:val="en-US"/>
              </w:rPr>
            </w:pPr>
            <w:r w:rsidRPr="00250174">
              <w:rPr>
                <w:rFonts w:eastAsia="Times New Roman" w:cs="Arial"/>
                <w:sz w:val="18"/>
                <w:szCs w:val="18"/>
                <w:lang w:val="en-US" w:eastAsia="nl-NL"/>
              </w:rPr>
              <w:t xml:space="preserve">SEC held its second roundtable discussion on mark-to-market accounting. No consensus about what the future of mark-to-market rules will be. Though in his opening remarks Chairman Cox mentioned that “at a minimum there are areas where FV accounting could be improved.” </w:t>
            </w:r>
            <w:r w:rsidRPr="00250174">
              <w:rPr>
                <w:rFonts w:eastAsia="Times New Roman" w:cs="Arial"/>
                <w:sz w:val="18"/>
                <w:szCs w:val="18"/>
                <w:lang w:eastAsia="nl-NL"/>
              </w:rPr>
              <w:t>(FEI article)</w:t>
            </w:r>
          </w:p>
        </w:tc>
      </w:tr>
      <w:tr w:rsidR="00295850" w:rsidRPr="00872F8A" w:rsidTr="004B584D">
        <w:tc>
          <w:tcPr>
            <w:tcW w:w="1101" w:type="dxa"/>
          </w:tcPr>
          <w:p w:rsidR="00295850" w:rsidRPr="00250174" w:rsidRDefault="00295850" w:rsidP="004B584D">
            <w:pPr>
              <w:rPr>
                <w:sz w:val="18"/>
                <w:szCs w:val="18"/>
                <w:lang w:val="en-US"/>
              </w:rPr>
            </w:pPr>
            <w:r w:rsidRPr="00250174">
              <w:rPr>
                <w:sz w:val="18"/>
                <w:szCs w:val="18"/>
                <w:lang w:val="en-US"/>
              </w:rPr>
              <w:t>5</w:t>
            </w:r>
          </w:p>
        </w:tc>
        <w:tc>
          <w:tcPr>
            <w:tcW w:w="8363" w:type="dxa"/>
          </w:tcPr>
          <w:p w:rsidR="00295850" w:rsidRPr="00250174" w:rsidRDefault="00295850" w:rsidP="004B584D">
            <w:pPr>
              <w:rPr>
                <w:sz w:val="18"/>
                <w:szCs w:val="18"/>
                <w:lang w:val="en-US"/>
              </w:rPr>
            </w:pPr>
            <w:r w:rsidRPr="00250174">
              <w:rPr>
                <w:rFonts w:eastAsia="Times New Roman" w:cs="Arial"/>
                <w:sz w:val="18"/>
                <w:szCs w:val="18"/>
                <w:lang w:val="en-US" w:eastAsia="nl-NL"/>
              </w:rPr>
              <w:t>The SEC issued its staff study of mark-to-market accounting. The study recommended that SFAS 157 should be improved but that existing mark-to-market rules not</w:t>
            </w:r>
          </w:p>
        </w:tc>
      </w:tr>
      <w:tr w:rsidR="00295850" w:rsidRPr="00872F8A" w:rsidTr="004B584D">
        <w:tc>
          <w:tcPr>
            <w:tcW w:w="1101" w:type="dxa"/>
          </w:tcPr>
          <w:p w:rsidR="00295850" w:rsidRPr="00250174" w:rsidRDefault="00295850" w:rsidP="004B584D">
            <w:pPr>
              <w:rPr>
                <w:sz w:val="18"/>
                <w:szCs w:val="18"/>
                <w:lang w:val="en-US"/>
              </w:rPr>
            </w:pPr>
            <w:r w:rsidRPr="00250174">
              <w:rPr>
                <w:sz w:val="18"/>
                <w:szCs w:val="18"/>
                <w:lang w:val="en-US"/>
              </w:rPr>
              <w:t>6</w:t>
            </w:r>
          </w:p>
        </w:tc>
        <w:tc>
          <w:tcPr>
            <w:tcW w:w="8363" w:type="dxa"/>
          </w:tcPr>
          <w:p w:rsidR="00295850" w:rsidRPr="00250174" w:rsidRDefault="00295850" w:rsidP="004B584D">
            <w:pPr>
              <w:rPr>
                <w:sz w:val="18"/>
                <w:szCs w:val="18"/>
                <w:lang w:val="en-US"/>
              </w:rPr>
            </w:pPr>
            <w:r w:rsidRPr="00250174">
              <w:rPr>
                <w:rFonts w:eastAsia="Times New Roman" w:cs="Arial"/>
                <w:sz w:val="18"/>
                <w:szCs w:val="18"/>
                <w:lang w:val="en-US" w:eastAsia="nl-NL"/>
              </w:rPr>
              <w:t xml:space="preserve">FASB issued FSP EITF 99-20-1, amending impairment guidance of EITF Issue No. 99-20 and only applies to impairment of interests held by a transferor in a securitization transaction accounted for as a sale and in </w:t>
            </w:r>
            <w:r w:rsidRPr="00250174">
              <w:rPr>
                <w:rFonts w:eastAsia="Times New Roman" w:cs="Arial"/>
                <w:sz w:val="18"/>
                <w:szCs w:val="18"/>
                <w:lang w:val="en-US" w:eastAsia="nl-NL"/>
              </w:rPr>
              <w:lastRenderedPageBreak/>
              <w:t>purchased beneficial interests in securitized financial assets. Allows for more managerial judgment in determining other-than-temporary impairments. FSP EITF 99-20-1 aligns the guidance for OTTI under EITF 99-20 with FAS 115. See pg. 2 of FSP EITF 99-20-1 for differences in the guidance for estimating OTTIs between EITF 99-20 and FAS 115.</w:t>
            </w:r>
          </w:p>
        </w:tc>
      </w:tr>
      <w:tr w:rsidR="00295850" w:rsidRPr="00872F8A" w:rsidTr="004B584D">
        <w:tc>
          <w:tcPr>
            <w:tcW w:w="1101" w:type="dxa"/>
          </w:tcPr>
          <w:p w:rsidR="00295850" w:rsidRPr="00250174" w:rsidRDefault="00295850" w:rsidP="004B584D">
            <w:pPr>
              <w:rPr>
                <w:sz w:val="18"/>
                <w:szCs w:val="18"/>
                <w:lang w:val="en-US"/>
              </w:rPr>
            </w:pPr>
            <w:r w:rsidRPr="00250174">
              <w:rPr>
                <w:sz w:val="18"/>
                <w:szCs w:val="18"/>
                <w:lang w:val="en-US"/>
              </w:rPr>
              <w:lastRenderedPageBreak/>
              <w:t>7</w:t>
            </w:r>
          </w:p>
        </w:tc>
        <w:tc>
          <w:tcPr>
            <w:tcW w:w="8363" w:type="dxa"/>
          </w:tcPr>
          <w:p w:rsidR="00295850" w:rsidRPr="00250174" w:rsidRDefault="00295850" w:rsidP="004B584D">
            <w:pPr>
              <w:rPr>
                <w:sz w:val="18"/>
                <w:szCs w:val="18"/>
                <w:lang w:val="en-US"/>
              </w:rPr>
            </w:pPr>
            <w:r w:rsidRPr="00250174">
              <w:rPr>
                <w:rFonts w:eastAsia="Times New Roman" w:cs="Arial"/>
                <w:sz w:val="18"/>
                <w:szCs w:val="18"/>
                <w:lang w:val="en-US" w:eastAsia="nl-NL"/>
              </w:rPr>
              <w:t>FASB initiates project to improve measurement and disclosure of FV estimates. The FASB expressed continued support for mark-to-market accounting but planned to provide more guidance on determining when a market is active or inactive, when a transaction is distressed, etc.</w:t>
            </w:r>
          </w:p>
        </w:tc>
      </w:tr>
      <w:tr w:rsidR="00295850" w:rsidRPr="00872F8A" w:rsidTr="004B584D">
        <w:tc>
          <w:tcPr>
            <w:tcW w:w="1101" w:type="dxa"/>
          </w:tcPr>
          <w:p w:rsidR="00295850" w:rsidRPr="00250174" w:rsidRDefault="00295850" w:rsidP="004B584D">
            <w:pPr>
              <w:rPr>
                <w:sz w:val="18"/>
                <w:szCs w:val="18"/>
                <w:lang w:val="en-US"/>
              </w:rPr>
            </w:pPr>
            <w:r w:rsidRPr="00250174">
              <w:rPr>
                <w:sz w:val="18"/>
                <w:szCs w:val="18"/>
                <w:lang w:val="en-US"/>
              </w:rPr>
              <w:t>8</w:t>
            </w:r>
          </w:p>
        </w:tc>
        <w:tc>
          <w:tcPr>
            <w:tcW w:w="8363" w:type="dxa"/>
          </w:tcPr>
          <w:p w:rsidR="00295850" w:rsidRPr="00250174" w:rsidRDefault="00295850" w:rsidP="004B584D">
            <w:pPr>
              <w:rPr>
                <w:rFonts w:eastAsia="Times New Roman" w:cs="Arial"/>
                <w:sz w:val="18"/>
                <w:szCs w:val="18"/>
                <w:lang w:val="en-US" w:eastAsia="nl-NL"/>
              </w:rPr>
            </w:pPr>
            <w:r w:rsidRPr="00250174">
              <w:rPr>
                <w:sz w:val="18"/>
                <w:szCs w:val="18"/>
                <w:lang w:val="en-US"/>
              </w:rPr>
              <w:t xml:space="preserve">1) </w:t>
            </w:r>
            <w:r w:rsidRPr="00250174">
              <w:rPr>
                <w:rFonts w:eastAsia="Times New Roman" w:cs="Arial"/>
                <w:sz w:val="18"/>
                <w:szCs w:val="18"/>
                <w:lang w:val="en-US" w:eastAsia="nl-NL"/>
              </w:rPr>
              <w:t>Bernanke in a speech to before the Council of Foreign Relations said current accounting rules need to be revised so that they do not amplify negative effects of a downturn. Rep. Barney Frank echoed Bernanke’s views nudging regulators to explore the possibility of implementing new guidelines for mark-to-market rules.</w:t>
            </w:r>
          </w:p>
          <w:p w:rsidR="00295850" w:rsidRPr="00250174" w:rsidRDefault="00295850" w:rsidP="004B584D">
            <w:pPr>
              <w:rPr>
                <w:rFonts w:eastAsia="Times New Roman" w:cs="Arial"/>
                <w:sz w:val="18"/>
                <w:szCs w:val="18"/>
                <w:lang w:val="en-US" w:eastAsia="nl-NL"/>
              </w:rPr>
            </w:pPr>
            <w:r w:rsidRPr="00250174">
              <w:rPr>
                <w:rFonts w:eastAsia="Times New Roman" w:cs="Arial"/>
                <w:sz w:val="18"/>
                <w:szCs w:val="18"/>
                <w:lang w:val="en-US" w:eastAsia="nl-NL"/>
              </w:rPr>
              <w:t>2) In a testimony to the House Financial Services subcommittee, Mary Schapiro, SEC Chairwoman, supported changes to mark-to-market rules.</w:t>
            </w:r>
          </w:p>
          <w:p w:rsidR="00295850" w:rsidRPr="00250174" w:rsidRDefault="00295850" w:rsidP="004B584D">
            <w:pPr>
              <w:rPr>
                <w:sz w:val="18"/>
                <w:szCs w:val="18"/>
                <w:lang w:val="en-US"/>
              </w:rPr>
            </w:pPr>
            <w:r w:rsidRPr="00250174">
              <w:rPr>
                <w:rFonts w:eastAsia="Times New Roman" w:cs="Arial"/>
                <w:sz w:val="18"/>
                <w:szCs w:val="18"/>
                <w:lang w:val="en-US" w:eastAsia="nl-NL"/>
              </w:rPr>
              <w:t>3) In a House Financial Services subcommittee hearing standard setters and regulators were pressed hard to alter existing fair value accounting rules immediately.</w:t>
            </w:r>
          </w:p>
        </w:tc>
      </w:tr>
      <w:tr w:rsidR="00295850" w:rsidRPr="00872F8A" w:rsidTr="004B584D">
        <w:tc>
          <w:tcPr>
            <w:tcW w:w="1101" w:type="dxa"/>
          </w:tcPr>
          <w:p w:rsidR="00295850" w:rsidRPr="00250174" w:rsidRDefault="00295850" w:rsidP="004B584D">
            <w:pPr>
              <w:rPr>
                <w:sz w:val="18"/>
                <w:szCs w:val="18"/>
                <w:lang w:val="en-US"/>
              </w:rPr>
            </w:pPr>
            <w:r w:rsidRPr="00250174">
              <w:rPr>
                <w:sz w:val="18"/>
                <w:szCs w:val="18"/>
                <w:lang w:val="en-US"/>
              </w:rPr>
              <w:t>9</w:t>
            </w:r>
          </w:p>
        </w:tc>
        <w:tc>
          <w:tcPr>
            <w:tcW w:w="8363" w:type="dxa"/>
          </w:tcPr>
          <w:p w:rsidR="00295850" w:rsidRPr="00250174" w:rsidRDefault="00295850" w:rsidP="004B584D">
            <w:pPr>
              <w:rPr>
                <w:sz w:val="18"/>
                <w:szCs w:val="18"/>
                <w:lang w:val="en-US"/>
              </w:rPr>
            </w:pPr>
            <w:r w:rsidRPr="00250174">
              <w:rPr>
                <w:rFonts w:eastAsia="Times New Roman" w:cs="Arial"/>
                <w:sz w:val="18"/>
                <w:szCs w:val="18"/>
                <w:lang w:val="en-US" w:eastAsia="nl-NL"/>
              </w:rPr>
              <w:t>FASB proposes guidance on how to determine whether an asset’s market can be considered not active, whether a transaction being used to estimate an asset’s value is distressed. FASB issues two FASB Staff Positions (FSP) giving guidance on when markets are illiquid and OTTI.</w:t>
            </w:r>
          </w:p>
        </w:tc>
      </w:tr>
      <w:tr w:rsidR="00295850" w:rsidRPr="00250174" w:rsidTr="004B584D">
        <w:tc>
          <w:tcPr>
            <w:tcW w:w="1101" w:type="dxa"/>
          </w:tcPr>
          <w:p w:rsidR="00295850" w:rsidRPr="00250174" w:rsidRDefault="00295850" w:rsidP="004B584D">
            <w:pPr>
              <w:rPr>
                <w:sz w:val="18"/>
                <w:szCs w:val="18"/>
                <w:lang w:val="en-US"/>
              </w:rPr>
            </w:pPr>
            <w:r w:rsidRPr="00250174">
              <w:rPr>
                <w:sz w:val="18"/>
                <w:szCs w:val="18"/>
                <w:lang w:val="en-US"/>
              </w:rPr>
              <w:t>10</w:t>
            </w:r>
          </w:p>
        </w:tc>
        <w:tc>
          <w:tcPr>
            <w:tcW w:w="8363" w:type="dxa"/>
          </w:tcPr>
          <w:p w:rsidR="00295850" w:rsidRPr="00250174" w:rsidRDefault="00295850" w:rsidP="004B584D">
            <w:pPr>
              <w:rPr>
                <w:sz w:val="18"/>
                <w:szCs w:val="18"/>
                <w:lang w:val="en-US"/>
              </w:rPr>
            </w:pPr>
            <w:r w:rsidRPr="00250174">
              <w:rPr>
                <w:rFonts w:eastAsia="Times New Roman" w:cs="Arial"/>
                <w:sz w:val="18"/>
                <w:szCs w:val="18"/>
                <w:lang w:val="en-US" w:eastAsia="nl-NL"/>
              </w:rPr>
              <w:t xml:space="preserve">FASB affirms change in FV rules on April 2, 2009. FT reported that FASB is expected to approve change in FV rules on April 1, 2009. News release about the financial staff positions is dated Apr 9, 2009. </w:t>
            </w:r>
            <w:r w:rsidRPr="00250174">
              <w:rPr>
                <w:rFonts w:eastAsia="Times New Roman" w:cs="Arial"/>
                <w:sz w:val="18"/>
                <w:szCs w:val="18"/>
                <w:lang w:eastAsia="nl-NL"/>
              </w:rPr>
              <w:t>Do we include that as another event?</w:t>
            </w:r>
          </w:p>
        </w:tc>
      </w:tr>
    </w:tbl>
    <w:p w:rsidR="004B03CA" w:rsidRPr="00161A9C" w:rsidRDefault="00295850" w:rsidP="00295850">
      <w:pPr>
        <w:rPr>
          <w:rFonts w:asciiTheme="majorHAnsi" w:eastAsiaTheme="majorEastAsia" w:hAnsiTheme="majorHAnsi" w:cstheme="majorBidi"/>
          <w:b/>
          <w:bCs/>
          <w:sz w:val="28"/>
          <w:szCs w:val="28"/>
          <w:lang w:val="en-US"/>
        </w:rPr>
      </w:pPr>
      <w:r>
        <w:rPr>
          <w:lang w:val="en-US"/>
        </w:rPr>
        <w:t>Table E.2</w:t>
      </w:r>
      <w:r w:rsidR="004B03CA" w:rsidRPr="00161A9C">
        <w:rPr>
          <w:lang w:val="en-US"/>
        </w:rPr>
        <w:br w:type="page"/>
      </w:r>
    </w:p>
    <w:p w:rsidR="004B03CA" w:rsidRPr="00DA0DCD" w:rsidRDefault="004B03CA" w:rsidP="004B03CA">
      <w:pPr>
        <w:pStyle w:val="Kop1"/>
        <w:rPr>
          <w:lang w:val="en-US"/>
        </w:rPr>
      </w:pPr>
      <w:bookmarkStart w:id="107" w:name="_Toc270770638"/>
      <w:r w:rsidRPr="00DA0DCD">
        <w:rPr>
          <w:lang w:val="en-US"/>
        </w:rPr>
        <w:lastRenderedPageBreak/>
        <w:t>Appendix F: SPSS outcome per country</w:t>
      </w:r>
      <w:bookmarkEnd w:id="107"/>
    </w:p>
    <w:p w:rsidR="004B03CA" w:rsidRPr="00DA0DCD" w:rsidRDefault="004B03CA" w:rsidP="004B03CA">
      <w:pPr>
        <w:pStyle w:val="Kop2"/>
        <w:rPr>
          <w:lang w:val="en-US"/>
        </w:rPr>
      </w:pPr>
      <w:bookmarkStart w:id="108" w:name="_Toc270770639"/>
      <w:r w:rsidRPr="00DA0DCD">
        <w:rPr>
          <w:lang w:val="en-US"/>
        </w:rPr>
        <w:t>Belgium</w:t>
      </w:r>
      <w:bookmarkEnd w:id="108"/>
    </w:p>
    <w:p w:rsidR="004B03CA" w:rsidRPr="00DA0DCD" w:rsidRDefault="004B03CA" w:rsidP="004B03CA">
      <w:pPr>
        <w:pStyle w:val="Geenafstand"/>
        <w:rPr>
          <w:sz w:val="18"/>
          <w:szCs w:val="18"/>
          <w:lang w:val="en-US"/>
        </w:rPr>
      </w:pPr>
    </w:p>
    <w:tbl>
      <w:tblPr>
        <w:tblW w:w="76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3"/>
        <w:gridCol w:w="1127"/>
        <w:gridCol w:w="1202"/>
        <w:gridCol w:w="1624"/>
        <w:gridCol w:w="1624"/>
        <w:gridCol w:w="1265"/>
      </w:tblGrid>
      <w:tr w:rsidR="004B03CA" w:rsidRPr="00DA0DCD" w:rsidTr="000C3C74">
        <w:trPr>
          <w:gridAfter w:val="1"/>
          <w:wAfter w:w="1265" w:type="dxa"/>
          <w:cantSplit/>
          <w:tblHeader/>
        </w:trPr>
        <w:tc>
          <w:tcPr>
            <w:tcW w:w="6390"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gridAfter w:val="1"/>
          <w:wAfter w:w="1265" w:type="dxa"/>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1265" w:type="dxa"/>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,377</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,142</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,142</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.0303202577003</w:t>
            </w:r>
          </w:p>
        </w:tc>
      </w:tr>
      <w:tr w:rsidR="004B03CA" w:rsidRPr="00872F8A" w:rsidTr="000C3C74">
        <w:trPr>
          <w:cantSplit/>
          <w:tblHeader/>
        </w:trPr>
        <w:tc>
          <w:tcPr>
            <w:tcW w:w="7655"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4766"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2889"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F.1</w:t>
      </w:r>
    </w:p>
    <w:tbl>
      <w:tblPr>
        <w:tblW w:w="879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9"/>
        <w:gridCol w:w="1624"/>
        <w:gridCol w:w="1127"/>
        <w:gridCol w:w="1560"/>
        <w:gridCol w:w="1128"/>
        <w:gridCol w:w="1128"/>
      </w:tblGrid>
      <w:tr w:rsidR="004B03CA" w:rsidRPr="00DA0DCD"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6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4"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1,934</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6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,276</w:t>
            </w:r>
          </w:p>
        </w:tc>
        <w:tc>
          <w:tcPr>
            <w:tcW w:w="112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300,600</w:t>
            </w:r>
          </w:p>
        </w:tc>
        <w:tc>
          <w:tcPr>
            <w:tcW w:w="112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9"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4"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11,642</w:t>
            </w:r>
          </w:p>
        </w:tc>
        <w:tc>
          <w:tcPr>
            <w:tcW w:w="112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12664</w:t>
            </w:r>
          </w:p>
        </w:tc>
        <w:tc>
          <w:tcPr>
            <w:tcW w:w="156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28"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4"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13,577</w:t>
            </w:r>
          </w:p>
        </w:tc>
        <w:tc>
          <w:tcPr>
            <w:tcW w:w="112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12671</w:t>
            </w:r>
          </w:p>
        </w:tc>
        <w:tc>
          <w:tcPr>
            <w:tcW w:w="1560"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3853"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6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F.2</w:t>
      </w:r>
    </w:p>
    <w:tbl>
      <w:tblPr>
        <w:tblW w:w="978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709"/>
        <w:gridCol w:w="709"/>
        <w:gridCol w:w="1134"/>
        <w:gridCol w:w="708"/>
        <w:gridCol w:w="567"/>
        <w:gridCol w:w="851"/>
        <w:gridCol w:w="567"/>
        <w:gridCol w:w="709"/>
        <w:gridCol w:w="567"/>
        <w:gridCol w:w="567"/>
        <w:gridCol w:w="850"/>
        <w:gridCol w:w="567"/>
      </w:tblGrid>
      <w:tr w:rsidR="004B03CA" w:rsidRPr="00DA0DCD" w:rsidTr="000C3C74">
        <w:trPr>
          <w:cantSplit/>
          <w:tblHeader/>
        </w:trPr>
        <w:tc>
          <w:tcPr>
            <w:tcW w:w="9781" w:type="dxa"/>
            <w:gridSpan w:val="14"/>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418"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7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418"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843"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709"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7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709"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-,166</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,869</w:t>
            </w:r>
          </w:p>
        </w:tc>
        <w:tc>
          <w:tcPr>
            <w:tcW w:w="851"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709"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,383</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45,281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,574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,626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,374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,373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,373</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,948</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1,055</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709"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,039</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,535</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,943</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1,061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709"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-,765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,444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,996</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1,004</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709"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-,931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,352</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709"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1,713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,087</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709"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-,874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,382</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709"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,046</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5,488</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,045</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,955</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1,047</w:t>
            </w:r>
          </w:p>
        </w:tc>
      </w:tr>
      <w:tr w:rsidR="004B03CA" w:rsidRPr="00DA0DCD" w:rsidTr="000C3C74">
        <w:trPr>
          <w:cantSplit/>
        </w:trPr>
        <w:tc>
          <w:tcPr>
            <w:tcW w:w="1985"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bl>
    <w:p w:rsidR="004B03CA" w:rsidRPr="00DA0DCD" w:rsidRDefault="004B03CA" w:rsidP="004B03CA">
      <w:pPr>
        <w:rPr>
          <w:lang w:val="en-US"/>
        </w:rPr>
      </w:pPr>
      <w:r w:rsidRPr="00DA0DCD">
        <w:rPr>
          <w:lang w:val="en-US"/>
        </w:rPr>
        <w:t>Table F.3</w:t>
      </w:r>
    </w:p>
    <w:p w:rsidR="004B03CA" w:rsidRPr="00DA0DCD" w:rsidRDefault="004B03CA" w:rsidP="004B03CA">
      <w:pPr>
        <w:pStyle w:val="Geenafstand"/>
        <w:rPr>
          <w:sz w:val="18"/>
          <w:szCs w:val="18"/>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09" w:name="_Toc270770640"/>
      <w:r w:rsidRPr="00DA0DCD">
        <w:rPr>
          <w:lang w:val="en-US"/>
        </w:rPr>
        <w:lastRenderedPageBreak/>
        <w:t>Denmark</w:t>
      </w:r>
      <w:bookmarkEnd w:id="109"/>
    </w:p>
    <w:tbl>
      <w:tblPr>
        <w:tblW w:w="639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3"/>
        <w:gridCol w:w="1127"/>
        <w:gridCol w:w="1202"/>
        <w:gridCol w:w="1624"/>
        <w:gridCol w:w="1624"/>
      </w:tblGrid>
      <w:tr w:rsidR="004B03CA" w:rsidRPr="00DA0DCD" w:rsidTr="000C3C74">
        <w:trPr>
          <w:cantSplit/>
          <w:tblHeader/>
        </w:trPr>
        <w:tc>
          <w:tcPr>
            <w:tcW w:w="6390"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,526</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,277</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,276</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.0276517363638</w:t>
            </w:r>
          </w:p>
        </w:tc>
      </w:tr>
      <w:tr w:rsidR="004B03CA" w:rsidRPr="00872F8A" w:rsidTr="000C3C74">
        <w:trPr>
          <w:cantSplit/>
          <w:tblHeader/>
        </w:trPr>
        <w:tc>
          <w:tcPr>
            <w:tcW w:w="6390" w:type="dxa"/>
            <w:gridSpan w:val="5"/>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Intt, E_window3, E_window1, E_window2, E_window4, Rmt</w:t>
            </w:r>
          </w:p>
        </w:tc>
      </w:tr>
      <w:tr w:rsidR="004B03CA" w:rsidRPr="00DA0DCD" w:rsidTr="000C3C74">
        <w:trPr>
          <w:cantSplit/>
        </w:trPr>
        <w:tc>
          <w:tcPr>
            <w:tcW w:w="4766"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62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sz w:val="18"/>
          <w:szCs w:val="18"/>
          <w:lang w:val="en-US"/>
        </w:rPr>
      </w:pPr>
      <w:r w:rsidRPr="00DA0DCD">
        <w:rPr>
          <w:lang w:val="en-US"/>
        </w:rPr>
        <w:t>Table F.4</w:t>
      </w:r>
    </w:p>
    <w:tbl>
      <w:tblPr>
        <w:tblW w:w="879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9"/>
        <w:gridCol w:w="1624"/>
        <w:gridCol w:w="1127"/>
        <w:gridCol w:w="1560"/>
        <w:gridCol w:w="1128"/>
        <w:gridCol w:w="1128"/>
      </w:tblGrid>
      <w:tr w:rsidR="004B03CA" w:rsidRPr="00DA0DCD"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6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4"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1,908</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6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,273</w:t>
            </w:r>
          </w:p>
        </w:tc>
        <w:tc>
          <w:tcPr>
            <w:tcW w:w="112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356,491</w:t>
            </w:r>
          </w:p>
        </w:tc>
        <w:tc>
          <w:tcPr>
            <w:tcW w:w="112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9"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4"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4,985</w:t>
            </w:r>
          </w:p>
        </w:tc>
        <w:tc>
          <w:tcPr>
            <w:tcW w:w="112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6520</w:t>
            </w:r>
          </w:p>
        </w:tc>
        <w:tc>
          <w:tcPr>
            <w:tcW w:w="156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28"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4"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6,893</w:t>
            </w:r>
          </w:p>
        </w:tc>
        <w:tc>
          <w:tcPr>
            <w:tcW w:w="112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6527</w:t>
            </w:r>
          </w:p>
        </w:tc>
        <w:tc>
          <w:tcPr>
            <w:tcW w:w="1560"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Intt, E_window3, E_window1, E_window2, E_window4, Rmt</w:t>
            </w:r>
          </w:p>
        </w:tc>
      </w:tr>
      <w:tr w:rsidR="004B03CA" w:rsidRPr="00DA0DCD" w:rsidTr="000C3C74">
        <w:trPr>
          <w:cantSplit/>
        </w:trPr>
        <w:tc>
          <w:tcPr>
            <w:tcW w:w="3853"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6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F.5</w:t>
      </w: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425"/>
        <w:gridCol w:w="284"/>
        <w:gridCol w:w="1134"/>
        <w:gridCol w:w="567"/>
        <w:gridCol w:w="425"/>
        <w:gridCol w:w="567"/>
        <w:gridCol w:w="709"/>
        <w:gridCol w:w="567"/>
        <w:gridCol w:w="567"/>
        <w:gridCol w:w="567"/>
        <w:gridCol w:w="850"/>
        <w:gridCol w:w="567"/>
      </w:tblGrid>
      <w:tr w:rsidR="004B03CA" w:rsidRPr="00DA0DCD" w:rsidTr="000C3C74">
        <w:trPr>
          <w:cantSplit/>
          <w:tblHeader/>
        </w:trPr>
        <w:tc>
          <w:tcPr>
            <w:tcW w:w="9072"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-2,691</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,766</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,521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48,952</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,736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,797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,523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,518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,516</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,028</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-,038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-3,613</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-,154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-,074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-,038</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,992</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1,008</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-,536</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,592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,998</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1,002</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-,079</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,937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-,700</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,484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,994</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1,006</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-,642</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,521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,036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3,447</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,023</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,043</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,036</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,999</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1,001</w:t>
            </w:r>
          </w:p>
        </w:tc>
      </w:tr>
      <w:tr w:rsidR="004B03CA" w:rsidRPr="00DA0DCD" w:rsidTr="000C3C74">
        <w:trPr>
          <w:cantSplit/>
        </w:trPr>
        <w:tc>
          <w:tcPr>
            <w:tcW w:w="2268"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28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bl>
    <w:p w:rsidR="004B03CA" w:rsidRPr="00DA0DCD" w:rsidRDefault="004B03CA" w:rsidP="004B03CA">
      <w:pPr>
        <w:rPr>
          <w:lang w:val="en-US"/>
        </w:rPr>
      </w:pPr>
      <w:r w:rsidRPr="00DA0DCD">
        <w:rPr>
          <w:lang w:val="en-US"/>
        </w:rPr>
        <w:t>Table F.6</w:t>
      </w:r>
    </w:p>
    <w:p w:rsidR="004B03CA" w:rsidRPr="00DA0DCD" w:rsidRDefault="004B03CA" w:rsidP="004B03CA">
      <w:pPr>
        <w:pStyle w:val="Geenafstand"/>
        <w:rPr>
          <w:sz w:val="18"/>
          <w:szCs w:val="18"/>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10" w:name="_Toc270770641"/>
      <w:r w:rsidRPr="00DA0DCD">
        <w:rPr>
          <w:lang w:val="en-US"/>
        </w:rPr>
        <w:lastRenderedPageBreak/>
        <w:t>Germany</w:t>
      </w:r>
      <w:bookmarkEnd w:id="110"/>
    </w:p>
    <w:tbl>
      <w:tblPr>
        <w:tblW w:w="737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127"/>
        <w:gridCol w:w="1202"/>
        <w:gridCol w:w="1623"/>
        <w:gridCol w:w="1623"/>
        <w:gridCol w:w="986"/>
      </w:tblGrid>
      <w:tr w:rsidR="004B03CA" w:rsidRPr="00DA0DCD" w:rsidTr="000C3C74">
        <w:trPr>
          <w:gridAfter w:val="1"/>
          <w:wAfter w:w="986" w:type="dxa"/>
          <w:cantSplit/>
          <w:tblHeader/>
        </w:trPr>
        <w:tc>
          <w:tcPr>
            <w:tcW w:w="6385"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gridAfter w:val="1"/>
          <w:wAfter w:w="986" w:type="dxa"/>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986" w:type="dxa"/>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,306</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,093</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,093</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.0360225584678</w:t>
            </w:r>
          </w:p>
        </w:tc>
      </w:tr>
      <w:tr w:rsidR="004B03CA" w:rsidRPr="00872F8A" w:rsidTr="000C3C74">
        <w:trPr>
          <w:cantSplit/>
          <w:tblHeader/>
        </w:trPr>
        <w:tc>
          <w:tcPr>
            <w:tcW w:w="7371"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Rmt, E_window1, E_window2, E_window4, E_window3, Intt</w:t>
            </w:r>
          </w:p>
        </w:tc>
      </w:tr>
      <w:tr w:rsidR="004B03CA" w:rsidRPr="00DA0DCD" w:rsidTr="000C3C74">
        <w:trPr>
          <w:cantSplit/>
        </w:trPr>
        <w:tc>
          <w:tcPr>
            <w:tcW w:w="4762"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2609"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F.7</w:t>
      </w:r>
    </w:p>
    <w:tbl>
      <w:tblPr>
        <w:tblW w:w="879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8"/>
        <w:gridCol w:w="1623"/>
        <w:gridCol w:w="1126"/>
        <w:gridCol w:w="1559"/>
        <w:gridCol w:w="1127"/>
        <w:gridCol w:w="1127"/>
      </w:tblGrid>
      <w:tr w:rsidR="004B03CA" w:rsidRPr="00DA0DCD"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3"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5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3"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2,209</w:t>
            </w:r>
          </w:p>
        </w:tc>
        <w:tc>
          <w:tcPr>
            <w:tcW w:w="1126"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5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,316</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243,144</w:t>
            </w:r>
          </w:p>
        </w:tc>
        <w:tc>
          <w:tcPr>
            <w:tcW w:w="1127"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8"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21,416</w:t>
            </w:r>
          </w:p>
        </w:tc>
        <w:tc>
          <w:tcPr>
            <w:tcW w:w="1126"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16504</w:t>
            </w:r>
          </w:p>
        </w:tc>
        <w:tc>
          <w:tcPr>
            <w:tcW w:w="155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27"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3"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23,625</w:t>
            </w:r>
          </w:p>
        </w:tc>
        <w:tc>
          <w:tcPr>
            <w:tcW w:w="1126"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16511</w:t>
            </w:r>
          </w:p>
        </w:tc>
        <w:tc>
          <w:tcPr>
            <w:tcW w:w="1559"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Rmt, E_window1, E_window2, E_window4, E_window3, Intt</w:t>
            </w:r>
          </w:p>
        </w:tc>
      </w:tr>
      <w:tr w:rsidR="004B03CA" w:rsidRPr="00DA0DCD" w:rsidTr="000C3C74">
        <w:trPr>
          <w:cantSplit/>
        </w:trPr>
        <w:tc>
          <w:tcPr>
            <w:tcW w:w="3851"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5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F.8</w:t>
      </w:r>
    </w:p>
    <w:tbl>
      <w:tblPr>
        <w:tblW w:w="949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567"/>
        <w:gridCol w:w="142"/>
        <w:gridCol w:w="1134"/>
        <w:gridCol w:w="709"/>
        <w:gridCol w:w="425"/>
        <w:gridCol w:w="709"/>
        <w:gridCol w:w="850"/>
        <w:gridCol w:w="567"/>
        <w:gridCol w:w="567"/>
        <w:gridCol w:w="567"/>
        <w:gridCol w:w="851"/>
        <w:gridCol w:w="567"/>
      </w:tblGrid>
      <w:tr w:rsidR="004B03CA" w:rsidRPr="00DA0DCD" w:rsidTr="000C3C74">
        <w:trPr>
          <w:cantSplit/>
          <w:tblHeader/>
        </w:trPr>
        <w:tc>
          <w:tcPr>
            <w:tcW w:w="9498"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559"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-1,281</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85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,542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,298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40,035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,516</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,569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,297</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-,094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,040</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-,018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-2,313</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,021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-,173</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-,017</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,947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1,056</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-,263</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,792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,619</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,536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-,021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-2,781</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-,021</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1,009</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-,030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-4,047</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-,019</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-,030</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,018</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2,375</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,018</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,984</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1,016</w:t>
            </w:r>
          </w:p>
        </w:tc>
      </w:tr>
      <w:tr w:rsidR="004B03CA" w:rsidRPr="00DA0DCD" w:rsidTr="000C3C74">
        <w:trPr>
          <w:cantSplit/>
        </w:trPr>
        <w:tc>
          <w:tcPr>
            <w:tcW w:w="2410"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F.9</w:t>
      </w:r>
    </w:p>
    <w:p w:rsidR="004B03CA" w:rsidRPr="00DA0DCD" w:rsidRDefault="004B03CA" w:rsidP="004B03CA">
      <w:pPr>
        <w:pStyle w:val="Geenafstand"/>
        <w:rPr>
          <w:sz w:val="18"/>
          <w:szCs w:val="18"/>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11" w:name="_Toc270770642"/>
      <w:r w:rsidRPr="00DA0DCD">
        <w:rPr>
          <w:lang w:val="en-US"/>
        </w:rPr>
        <w:lastRenderedPageBreak/>
        <w:t>Finland</w:t>
      </w:r>
      <w:bookmarkEnd w:id="111"/>
    </w:p>
    <w:tbl>
      <w:tblPr>
        <w:tblW w:w="751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127"/>
        <w:gridCol w:w="1202"/>
        <w:gridCol w:w="1623"/>
        <w:gridCol w:w="1623"/>
        <w:gridCol w:w="1128"/>
      </w:tblGrid>
      <w:tr w:rsidR="004B03CA" w:rsidRPr="00DA0DCD" w:rsidTr="000C3C74">
        <w:trPr>
          <w:gridAfter w:val="1"/>
          <w:wAfter w:w="1128" w:type="dxa"/>
          <w:cantSplit/>
          <w:tblHeader/>
        </w:trPr>
        <w:tc>
          <w:tcPr>
            <w:tcW w:w="6385"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gridAfter w:val="1"/>
          <w:wAfter w:w="1128" w:type="dxa"/>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1128" w:type="dxa"/>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,545</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,297</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,293</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.0297637417090</w:t>
            </w:r>
          </w:p>
        </w:tc>
      </w:tr>
      <w:tr w:rsidR="004B03CA" w:rsidRPr="00872F8A" w:rsidTr="000C3C74">
        <w:trPr>
          <w:cantSplit/>
          <w:tblHeader/>
        </w:trPr>
        <w:tc>
          <w:tcPr>
            <w:tcW w:w="7513"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4762"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2751"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F.10</w:t>
      </w:r>
    </w:p>
    <w:tbl>
      <w:tblPr>
        <w:tblW w:w="879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8"/>
        <w:gridCol w:w="1623"/>
        <w:gridCol w:w="1126"/>
        <w:gridCol w:w="1559"/>
        <w:gridCol w:w="1127"/>
        <w:gridCol w:w="1127"/>
      </w:tblGrid>
      <w:tr w:rsidR="004B03CA" w:rsidRPr="00DA0DCD"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3"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5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3"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,571</w:t>
            </w:r>
          </w:p>
        </w:tc>
        <w:tc>
          <w:tcPr>
            <w:tcW w:w="1126"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5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,082</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92,058</w:t>
            </w:r>
          </w:p>
        </w:tc>
        <w:tc>
          <w:tcPr>
            <w:tcW w:w="1127"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8"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1,354</w:t>
            </w:r>
          </w:p>
        </w:tc>
        <w:tc>
          <w:tcPr>
            <w:tcW w:w="1126"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1528</w:t>
            </w:r>
          </w:p>
        </w:tc>
        <w:tc>
          <w:tcPr>
            <w:tcW w:w="155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27"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3"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1,924</w:t>
            </w:r>
          </w:p>
        </w:tc>
        <w:tc>
          <w:tcPr>
            <w:tcW w:w="1126"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1535</w:t>
            </w:r>
          </w:p>
        </w:tc>
        <w:tc>
          <w:tcPr>
            <w:tcW w:w="1559"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3851"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5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F.11</w:t>
      </w:r>
    </w:p>
    <w:tbl>
      <w:tblPr>
        <w:tblW w:w="8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2"/>
        <w:gridCol w:w="992"/>
        <w:gridCol w:w="567"/>
        <w:gridCol w:w="567"/>
        <w:gridCol w:w="142"/>
        <w:gridCol w:w="1134"/>
        <w:gridCol w:w="567"/>
        <w:gridCol w:w="425"/>
        <w:gridCol w:w="567"/>
        <w:gridCol w:w="709"/>
        <w:gridCol w:w="567"/>
        <w:gridCol w:w="567"/>
        <w:gridCol w:w="567"/>
        <w:gridCol w:w="851"/>
        <w:gridCol w:w="567"/>
      </w:tblGrid>
      <w:tr w:rsidR="004B03CA" w:rsidRPr="00DA0DCD" w:rsidTr="000C3C74">
        <w:trPr>
          <w:cantSplit/>
          <w:tblHeader/>
        </w:trPr>
        <w:tc>
          <w:tcPr>
            <w:tcW w:w="8931"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13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13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14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,433</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,665</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,787</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,534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24,725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,724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,849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,538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,535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,530</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,986</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1,014</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-,046</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,107</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-,428</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,668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-,256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,164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-,060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,948</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1,054</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,155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,877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-1,051</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-,023</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,980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1,010</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-,079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-3,620</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-,092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-,078</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,972</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1,029</w:t>
            </w:r>
          </w:p>
        </w:tc>
      </w:tr>
      <w:tr w:rsidR="004B03CA" w:rsidRPr="00DA0DCD" w:rsidTr="000C3C74">
        <w:trPr>
          <w:cantSplit/>
          <w:tblHeader/>
        </w:trPr>
        <w:tc>
          <w:tcPr>
            <w:tcW w:w="14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,561</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,575</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,017</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,983</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1,017</w:t>
            </w:r>
          </w:p>
        </w:tc>
      </w:tr>
      <w:tr w:rsidR="004B03CA" w:rsidRPr="00DA0DCD" w:rsidTr="000C3C74">
        <w:trPr>
          <w:cantSplit/>
        </w:trPr>
        <w:tc>
          <w:tcPr>
            <w:tcW w:w="2268"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bl>
    <w:p w:rsidR="004B03CA" w:rsidRPr="00DA0DCD" w:rsidRDefault="004B03CA" w:rsidP="004B03CA">
      <w:pPr>
        <w:rPr>
          <w:lang w:val="en-US"/>
        </w:rPr>
      </w:pPr>
      <w:r w:rsidRPr="00DA0DCD">
        <w:rPr>
          <w:lang w:val="en-US"/>
        </w:rPr>
        <w:t>Table F.12</w:t>
      </w:r>
    </w:p>
    <w:p w:rsidR="004B03CA" w:rsidRPr="00DA0DCD" w:rsidRDefault="004B03CA" w:rsidP="004B03CA">
      <w:pPr>
        <w:pStyle w:val="Geenafstand"/>
        <w:rPr>
          <w:szCs w:val="18"/>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12" w:name="_Toc270770643"/>
      <w:r w:rsidRPr="00DA0DCD">
        <w:rPr>
          <w:lang w:val="en-US"/>
        </w:rPr>
        <w:lastRenderedPageBreak/>
        <w:t>France</w:t>
      </w:r>
      <w:bookmarkEnd w:id="112"/>
    </w:p>
    <w:tbl>
      <w:tblPr>
        <w:tblW w:w="779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127"/>
        <w:gridCol w:w="1202"/>
        <w:gridCol w:w="1623"/>
        <w:gridCol w:w="1623"/>
        <w:gridCol w:w="1412"/>
      </w:tblGrid>
      <w:tr w:rsidR="004B03CA" w:rsidRPr="00DA0DCD" w:rsidTr="000C3C74">
        <w:trPr>
          <w:gridAfter w:val="1"/>
          <w:wAfter w:w="1412" w:type="dxa"/>
          <w:cantSplit/>
          <w:tblHeader/>
        </w:trPr>
        <w:tc>
          <w:tcPr>
            <w:tcW w:w="6385"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gridAfter w:val="1"/>
          <w:wAfter w:w="1412" w:type="dxa"/>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1412" w:type="dxa"/>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,314</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,099</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,098</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.0360906261020</w:t>
            </w:r>
          </w:p>
        </w:tc>
      </w:tr>
      <w:tr w:rsidR="004B03CA" w:rsidRPr="00872F8A" w:rsidTr="000C3C74">
        <w:trPr>
          <w:cantSplit/>
          <w:tblHeader/>
        </w:trPr>
        <w:tc>
          <w:tcPr>
            <w:tcW w:w="7797"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4762"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3035"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F.13</w:t>
      </w:r>
    </w:p>
    <w:tbl>
      <w:tblPr>
        <w:tblW w:w="879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8"/>
        <w:gridCol w:w="1623"/>
        <w:gridCol w:w="1126"/>
        <w:gridCol w:w="1559"/>
        <w:gridCol w:w="1127"/>
        <w:gridCol w:w="1127"/>
      </w:tblGrid>
      <w:tr w:rsidR="004B03CA" w:rsidRPr="00DA0DCD"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3"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5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3"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2,954</w:t>
            </w:r>
          </w:p>
        </w:tc>
        <w:tc>
          <w:tcPr>
            <w:tcW w:w="1126"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5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,422</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324,026</w:t>
            </w:r>
          </w:p>
        </w:tc>
        <w:tc>
          <w:tcPr>
            <w:tcW w:w="1127"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8"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26,999</w:t>
            </w:r>
          </w:p>
        </w:tc>
        <w:tc>
          <w:tcPr>
            <w:tcW w:w="1126"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20728</w:t>
            </w:r>
          </w:p>
        </w:tc>
        <w:tc>
          <w:tcPr>
            <w:tcW w:w="155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27"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3"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29,953</w:t>
            </w:r>
          </w:p>
        </w:tc>
        <w:tc>
          <w:tcPr>
            <w:tcW w:w="1126"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20735</w:t>
            </w:r>
          </w:p>
        </w:tc>
        <w:tc>
          <w:tcPr>
            <w:tcW w:w="1559"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3851"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5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F.14</w:t>
      </w:r>
    </w:p>
    <w:tbl>
      <w:tblPr>
        <w:tblW w:w="92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426"/>
        <w:gridCol w:w="992"/>
        <w:gridCol w:w="567"/>
        <w:gridCol w:w="709"/>
        <w:gridCol w:w="1134"/>
        <w:gridCol w:w="567"/>
        <w:gridCol w:w="425"/>
        <w:gridCol w:w="709"/>
        <w:gridCol w:w="567"/>
        <w:gridCol w:w="567"/>
        <w:gridCol w:w="567"/>
        <w:gridCol w:w="567"/>
        <w:gridCol w:w="850"/>
        <w:gridCol w:w="567"/>
      </w:tblGrid>
      <w:tr w:rsidR="004B03CA" w:rsidRPr="00DA0DCD" w:rsidTr="000C3C74">
        <w:trPr>
          <w:cantSplit/>
          <w:tblHeader/>
        </w:trPr>
        <w:tc>
          <w:tcPr>
            <w:tcW w:w="9214" w:type="dxa"/>
            <w:gridSpan w:val="14"/>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41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418"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426"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-,215</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,830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r w:rsidR="004B03CA" w:rsidRPr="00DA0DCD" w:rsidTr="000C3C74">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,562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,310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46,770</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,539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,586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,313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,308</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1,013</w:t>
            </w:r>
          </w:p>
        </w:tc>
      </w:tr>
      <w:tr w:rsidR="004B03CA" w:rsidRPr="00DA0DCD" w:rsidTr="000C3C74">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,036</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-,952</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,341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,948</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1,055</w:t>
            </w:r>
          </w:p>
        </w:tc>
      </w:tr>
      <w:tr w:rsidR="004B03CA" w:rsidRPr="00DA0DCD" w:rsidTr="000C3C74">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-,082</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,935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-1,238</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,216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-1,353</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,176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,988</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1,013</w:t>
            </w:r>
          </w:p>
        </w:tc>
      </w:tr>
      <w:tr w:rsidR="004B03CA" w:rsidRPr="00DA0DCD" w:rsidTr="000C3C74">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-2,275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,023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1,030</w:t>
            </w:r>
          </w:p>
        </w:tc>
      </w:tr>
      <w:tr w:rsidR="004B03CA" w:rsidRPr="00DA0DCD" w:rsidTr="000C3C74">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-,019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-2,794</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,005</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,982</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1,019</w:t>
            </w:r>
          </w:p>
        </w:tc>
      </w:tr>
      <w:tr w:rsidR="004B03CA" w:rsidRPr="00DA0DCD" w:rsidTr="000C3C74">
        <w:trPr>
          <w:cantSplit/>
        </w:trPr>
        <w:tc>
          <w:tcPr>
            <w:tcW w:w="1985"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bl>
    <w:p w:rsidR="004B03CA" w:rsidRPr="00DA0DCD" w:rsidRDefault="004B03CA" w:rsidP="004B03CA">
      <w:pPr>
        <w:rPr>
          <w:lang w:val="en-US"/>
        </w:rPr>
      </w:pPr>
      <w:r w:rsidRPr="00DA0DCD">
        <w:rPr>
          <w:lang w:val="en-US"/>
        </w:rPr>
        <w:t>Table F.15</w:t>
      </w:r>
    </w:p>
    <w:p w:rsidR="004B03CA" w:rsidRPr="00DA0DCD" w:rsidRDefault="004B03CA" w:rsidP="004B03CA">
      <w:pPr>
        <w:pStyle w:val="Geenafstand"/>
        <w:rPr>
          <w:szCs w:val="18"/>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13" w:name="_Toc270770644"/>
      <w:r w:rsidRPr="00DA0DCD">
        <w:rPr>
          <w:lang w:val="en-US"/>
        </w:rPr>
        <w:lastRenderedPageBreak/>
        <w:t>Ireland</w:t>
      </w:r>
      <w:bookmarkEnd w:id="113"/>
    </w:p>
    <w:tbl>
      <w:tblPr>
        <w:tblW w:w="779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2"/>
        <w:gridCol w:w="1128"/>
        <w:gridCol w:w="1203"/>
        <w:gridCol w:w="1626"/>
        <w:gridCol w:w="1626"/>
        <w:gridCol w:w="1402"/>
      </w:tblGrid>
      <w:tr w:rsidR="004B03CA" w:rsidRPr="00DA0DCD" w:rsidTr="000C3C74">
        <w:trPr>
          <w:gridAfter w:val="1"/>
          <w:wAfter w:w="1402" w:type="dxa"/>
          <w:cantSplit/>
          <w:tblHeader/>
        </w:trPr>
        <w:tc>
          <w:tcPr>
            <w:tcW w:w="6395"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gridAfter w:val="1"/>
          <w:wAfter w:w="1402" w:type="dxa"/>
          <w:cantSplit/>
          <w:tblHeader/>
        </w:trPr>
        <w:tc>
          <w:tcPr>
            <w:tcW w:w="81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8"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1402" w:type="dxa"/>
          <w:cantSplit/>
          <w:tblHeader/>
        </w:trPr>
        <w:tc>
          <w:tcPr>
            <w:tcW w:w="81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8"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,374</w:t>
            </w:r>
            <w:r w:rsidRPr="00DA0DCD">
              <w:rPr>
                <w:sz w:val="18"/>
                <w:szCs w:val="18"/>
                <w:vertAlign w:val="superscript"/>
                <w:lang w:val="en-US"/>
              </w:rPr>
              <w:t>a</w:t>
            </w:r>
          </w:p>
        </w:tc>
        <w:tc>
          <w:tcPr>
            <w:tcW w:w="1203"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,140</w:t>
            </w:r>
          </w:p>
        </w:tc>
        <w:tc>
          <w:tcPr>
            <w:tcW w:w="1626"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,138</w:t>
            </w:r>
          </w:p>
        </w:tc>
        <w:tc>
          <w:tcPr>
            <w:tcW w:w="162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.0687416499790</w:t>
            </w:r>
          </w:p>
        </w:tc>
      </w:tr>
      <w:tr w:rsidR="004B03CA" w:rsidRPr="00872F8A" w:rsidTr="000C3C74">
        <w:trPr>
          <w:cantSplit/>
          <w:tblHeader/>
        </w:trPr>
        <w:tc>
          <w:tcPr>
            <w:tcW w:w="7797"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4769"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3028"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F.16</w:t>
      </w:r>
    </w:p>
    <w:tbl>
      <w:tblPr>
        <w:tblW w:w="880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1"/>
        <w:gridCol w:w="1420"/>
        <w:gridCol w:w="1626"/>
        <w:gridCol w:w="1127"/>
        <w:gridCol w:w="1561"/>
        <w:gridCol w:w="1129"/>
        <w:gridCol w:w="1129"/>
      </w:tblGrid>
      <w:tr w:rsidR="004B03CA" w:rsidRPr="00DA0DCD" w:rsidTr="000C3C74">
        <w:trPr>
          <w:cantSplit/>
          <w:tblHeader/>
        </w:trPr>
        <w:tc>
          <w:tcPr>
            <w:tcW w:w="8803"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31"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6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9"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2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6"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2,065</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61"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,295</w:t>
            </w:r>
          </w:p>
        </w:tc>
        <w:tc>
          <w:tcPr>
            <w:tcW w:w="112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62,427</w:t>
            </w:r>
          </w:p>
        </w:tc>
        <w:tc>
          <w:tcPr>
            <w:tcW w:w="1129"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20"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6"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12,664</w:t>
            </w:r>
          </w:p>
        </w:tc>
        <w:tc>
          <w:tcPr>
            <w:tcW w:w="112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2680</w:t>
            </w:r>
          </w:p>
        </w:tc>
        <w:tc>
          <w:tcPr>
            <w:tcW w:w="156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1129"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9"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2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6"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14,729</w:t>
            </w:r>
          </w:p>
        </w:tc>
        <w:tc>
          <w:tcPr>
            <w:tcW w:w="112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2687</w:t>
            </w:r>
          </w:p>
        </w:tc>
        <w:tc>
          <w:tcPr>
            <w:tcW w:w="1561"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9"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9"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803"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3857"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6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F.17</w:t>
      </w:r>
    </w:p>
    <w:tbl>
      <w:tblPr>
        <w:tblW w:w="92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425"/>
        <w:gridCol w:w="284"/>
        <w:gridCol w:w="1134"/>
        <w:gridCol w:w="567"/>
        <w:gridCol w:w="567"/>
        <w:gridCol w:w="709"/>
        <w:gridCol w:w="567"/>
        <w:gridCol w:w="567"/>
        <w:gridCol w:w="567"/>
        <w:gridCol w:w="567"/>
        <w:gridCol w:w="850"/>
        <w:gridCol w:w="567"/>
      </w:tblGrid>
      <w:tr w:rsidR="004B03CA" w:rsidRPr="00DA0DCD" w:rsidTr="000C3C74">
        <w:trPr>
          <w:cantSplit/>
          <w:tblHeader/>
        </w:trPr>
        <w:tc>
          <w:tcPr>
            <w:tcW w:w="9214"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,761</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,446</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1,029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,050</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,372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20,488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,930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1,127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,374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,368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,367</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,974</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1,026</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-,046</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,191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-,242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,808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,329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,945</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1,058</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,456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,648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,289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,772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,996</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1,004</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-,844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,399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,983</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1,017</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,415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,768</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-,027</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,977</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1,024</w:t>
            </w:r>
          </w:p>
        </w:tc>
      </w:tr>
      <w:tr w:rsidR="004B03CA" w:rsidRPr="00DA0DCD" w:rsidTr="000C3C74">
        <w:trPr>
          <w:cantSplit/>
        </w:trPr>
        <w:tc>
          <w:tcPr>
            <w:tcW w:w="2268"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28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F.18</w:t>
      </w:r>
    </w:p>
    <w:p w:rsidR="004B03CA" w:rsidRPr="00DA0DCD" w:rsidRDefault="004B03CA" w:rsidP="004B03CA">
      <w:pPr>
        <w:pStyle w:val="Geenafstand"/>
        <w:rPr>
          <w:szCs w:val="18"/>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14" w:name="_Toc270770645"/>
      <w:r w:rsidRPr="00DA0DCD">
        <w:rPr>
          <w:lang w:val="en-US"/>
        </w:rPr>
        <w:lastRenderedPageBreak/>
        <w:t>Italy</w:t>
      </w:r>
      <w:bookmarkEnd w:id="114"/>
    </w:p>
    <w:tbl>
      <w:tblPr>
        <w:tblW w:w="638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127"/>
        <w:gridCol w:w="1202"/>
        <w:gridCol w:w="1623"/>
        <w:gridCol w:w="1623"/>
      </w:tblGrid>
      <w:tr w:rsidR="004B03CA" w:rsidRPr="00DA0DCD" w:rsidTr="000C3C74">
        <w:trPr>
          <w:cantSplit/>
          <w:tblHeader/>
        </w:trPr>
        <w:tc>
          <w:tcPr>
            <w:tcW w:w="6385"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,519</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,269</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,269</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.0288893121309</w:t>
            </w:r>
          </w:p>
        </w:tc>
      </w:tr>
      <w:tr w:rsidR="004B03CA" w:rsidRPr="00872F8A" w:rsidTr="000C3C74">
        <w:trPr>
          <w:cantSplit/>
          <w:tblHeader/>
        </w:trPr>
        <w:tc>
          <w:tcPr>
            <w:tcW w:w="6385" w:type="dxa"/>
            <w:gridSpan w:val="5"/>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4762"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623"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F.19</w:t>
      </w:r>
    </w:p>
    <w:tbl>
      <w:tblPr>
        <w:tblW w:w="879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8"/>
        <w:gridCol w:w="1623"/>
        <w:gridCol w:w="1126"/>
        <w:gridCol w:w="1559"/>
        <w:gridCol w:w="1127"/>
        <w:gridCol w:w="1127"/>
      </w:tblGrid>
      <w:tr w:rsidR="004B03CA" w:rsidRPr="00DA0DCD"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3"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5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3"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5,657</w:t>
            </w:r>
          </w:p>
        </w:tc>
        <w:tc>
          <w:tcPr>
            <w:tcW w:w="1126"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5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,808</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968,393</w:t>
            </w:r>
          </w:p>
        </w:tc>
        <w:tc>
          <w:tcPr>
            <w:tcW w:w="1127"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8"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15,377</w:t>
            </w:r>
          </w:p>
        </w:tc>
        <w:tc>
          <w:tcPr>
            <w:tcW w:w="1126"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18424</w:t>
            </w:r>
          </w:p>
        </w:tc>
        <w:tc>
          <w:tcPr>
            <w:tcW w:w="155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27"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3"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21,034</w:t>
            </w:r>
          </w:p>
        </w:tc>
        <w:tc>
          <w:tcPr>
            <w:tcW w:w="1126"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18431</w:t>
            </w:r>
          </w:p>
        </w:tc>
        <w:tc>
          <w:tcPr>
            <w:tcW w:w="1559"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3851"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5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F.20</w:t>
      </w:r>
    </w:p>
    <w:tbl>
      <w:tblPr>
        <w:tblW w:w="935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567"/>
        <w:gridCol w:w="142"/>
        <w:gridCol w:w="1134"/>
        <w:gridCol w:w="709"/>
        <w:gridCol w:w="567"/>
        <w:gridCol w:w="708"/>
        <w:gridCol w:w="567"/>
        <w:gridCol w:w="567"/>
        <w:gridCol w:w="567"/>
        <w:gridCol w:w="567"/>
        <w:gridCol w:w="851"/>
        <w:gridCol w:w="567"/>
      </w:tblGrid>
      <w:tr w:rsidR="004B03CA" w:rsidRPr="00DA0DCD" w:rsidTr="000C3C74">
        <w:trPr>
          <w:cantSplit/>
          <w:tblHeader/>
        </w:trPr>
        <w:tc>
          <w:tcPr>
            <w:tcW w:w="9356"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275"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708"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-1,090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,276</w:t>
            </w: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,809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,515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80,972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,789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,828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,517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,512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,510</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-,953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,341</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-,089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,949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1,054</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-,339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,735</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-,014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-2,171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,030</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,996</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1,004</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,317</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-,063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,984</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1,016</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-,016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-2,535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,011</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,967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1,034</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,035</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5,560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,035</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,984</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1,017</w:t>
            </w:r>
          </w:p>
        </w:tc>
      </w:tr>
      <w:tr w:rsidR="004B03CA" w:rsidRPr="00DA0DCD" w:rsidTr="000C3C74">
        <w:trPr>
          <w:cantSplit/>
        </w:trPr>
        <w:tc>
          <w:tcPr>
            <w:tcW w:w="2410"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bl>
    <w:p w:rsidR="004B03CA" w:rsidRPr="00DA0DCD" w:rsidRDefault="004B03CA" w:rsidP="004B03CA">
      <w:pPr>
        <w:rPr>
          <w:lang w:val="en-US"/>
        </w:rPr>
      </w:pPr>
      <w:r w:rsidRPr="00DA0DCD">
        <w:rPr>
          <w:lang w:val="en-US"/>
        </w:rPr>
        <w:t>Table F.21</w:t>
      </w:r>
    </w:p>
    <w:p w:rsidR="004B03CA" w:rsidRPr="00DA0DCD" w:rsidRDefault="004B03CA" w:rsidP="004B03CA">
      <w:pPr>
        <w:pStyle w:val="Geenafstand"/>
        <w:rPr>
          <w:szCs w:val="18"/>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15" w:name="_Toc270770646"/>
      <w:r w:rsidRPr="00DA0DCD">
        <w:rPr>
          <w:lang w:val="en-US"/>
        </w:rPr>
        <w:lastRenderedPageBreak/>
        <w:t>Luxembourg</w:t>
      </w:r>
      <w:bookmarkEnd w:id="115"/>
    </w:p>
    <w:p w:rsidR="004B03CA" w:rsidRPr="00DA0DCD" w:rsidRDefault="004B03CA" w:rsidP="004B03CA">
      <w:pPr>
        <w:pStyle w:val="Geenafstand"/>
        <w:rPr>
          <w:lang w:val="en-US"/>
        </w:rPr>
      </w:pPr>
    </w:p>
    <w:tbl>
      <w:tblPr>
        <w:tblW w:w="808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3"/>
        <w:gridCol w:w="1127"/>
        <w:gridCol w:w="1202"/>
        <w:gridCol w:w="1624"/>
        <w:gridCol w:w="1624"/>
        <w:gridCol w:w="1690"/>
      </w:tblGrid>
      <w:tr w:rsidR="004B03CA" w:rsidRPr="00DA0DCD" w:rsidTr="000C3C74">
        <w:trPr>
          <w:gridAfter w:val="1"/>
          <w:wAfter w:w="1690" w:type="dxa"/>
          <w:cantSplit/>
          <w:tblHeader/>
        </w:trPr>
        <w:tc>
          <w:tcPr>
            <w:tcW w:w="6390"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gridAfter w:val="1"/>
          <w:wAfter w:w="1690" w:type="dxa"/>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1690" w:type="dxa"/>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,137</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,019</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,017</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.0256785200147</w:t>
            </w:r>
          </w:p>
        </w:tc>
      </w:tr>
      <w:tr w:rsidR="004B03CA" w:rsidRPr="00872F8A" w:rsidTr="000C3C74">
        <w:trPr>
          <w:cantSplit/>
          <w:tblHeader/>
        </w:trPr>
        <w:tc>
          <w:tcPr>
            <w:tcW w:w="8080"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4766"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3314"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F.22</w:t>
      </w:r>
    </w:p>
    <w:tbl>
      <w:tblPr>
        <w:tblW w:w="879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9"/>
        <w:gridCol w:w="1624"/>
        <w:gridCol w:w="1127"/>
        <w:gridCol w:w="1560"/>
        <w:gridCol w:w="1128"/>
        <w:gridCol w:w="1128"/>
      </w:tblGrid>
      <w:tr w:rsidR="004B03CA" w:rsidRPr="00DA0DCD"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6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4"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,058</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6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112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12,536</w:t>
            </w:r>
          </w:p>
        </w:tc>
        <w:tc>
          <w:tcPr>
            <w:tcW w:w="112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9"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4"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3,033</w:t>
            </w:r>
          </w:p>
        </w:tc>
        <w:tc>
          <w:tcPr>
            <w:tcW w:w="112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4600</w:t>
            </w:r>
          </w:p>
        </w:tc>
        <w:tc>
          <w:tcPr>
            <w:tcW w:w="156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28"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4"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3,091</w:t>
            </w:r>
          </w:p>
        </w:tc>
        <w:tc>
          <w:tcPr>
            <w:tcW w:w="112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4607</w:t>
            </w:r>
          </w:p>
        </w:tc>
        <w:tc>
          <w:tcPr>
            <w:tcW w:w="1560"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3853"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6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F.23</w:t>
      </w:r>
    </w:p>
    <w:tbl>
      <w:tblPr>
        <w:tblW w:w="92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567"/>
        <w:gridCol w:w="142"/>
        <w:gridCol w:w="1134"/>
        <w:gridCol w:w="567"/>
        <w:gridCol w:w="567"/>
        <w:gridCol w:w="567"/>
        <w:gridCol w:w="709"/>
        <w:gridCol w:w="567"/>
        <w:gridCol w:w="567"/>
        <w:gridCol w:w="567"/>
        <w:gridCol w:w="850"/>
        <w:gridCol w:w="567"/>
      </w:tblGrid>
      <w:tr w:rsidR="004B03CA" w:rsidRPr="00DA0DCD" w:rsidTr="000C3C74">
        <w:trPr>
          <w:cantSplit/>
          <w:tblHeader/>
        </w:trPr>
        <w:tc>
          <w:tcPr>
            <w:tcW w:w="9214"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-,839</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,402</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,244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,027</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,133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8,980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,190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,131</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,967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1,035</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,038</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,693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,488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-,069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,145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,944</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1,059</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,690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,490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,551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,582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,277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,782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,976</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1,024</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-,031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-2,092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,036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-,031</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,838</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,402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,976</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1,024</w:t>
            </w:r>
          </w:p>
        </w:tc>
      </w:tr>
      <w:tr w:rsidR="004B03CA" w:rsidRPr="00DA0DCD" w:rsidTr="000C3C74">
        <w:trPr>
          <w:cantSplit/>
        </w:trPr>
        <w:tc>
          <w:tcPr>
            <w:tcW w:w="2410"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F.24</w:t>
      </w:r>
    </w:p>
    <w:p w:rsidR="004B03CA" w:rsidRPr="00DA0DCD" w:rsidRDefault="004B03CA" w:rsidP="004B03CA">
      <w:pPr>
        <w:spacing w:line="400" w:lineRule="atLeast"/>
        <w:rPr>
          <w:rFonts w:ascii="Times New Roman" w:hAnsi="Times New Roman" w:cs="Times New Roman"/>
          <w:sz w:val="24"/>
          <w:szCs w:val="24"/>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16" w:name="_Toc270770647"/>
      <w:r w:rsidRPr="00DA0DCD">
        <w:rPr>
          <w:lang w:val="en-US"/>
        </w:rPr>
        <w:lastRenderedPageBreak/>
        <w:t>Netherlands</w:t>
      </w:r>
      <w:bookmarkEnd w:id="116"/>
    </w:p>
    <w:tbl>
      <w:tblPr>
        <w:tblW w:w="779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127"/>
        <w:gridCol w:w="1202"/>
        <w:gridCol w:w="1623"/>
        <w:gridCol w:w="1623"/>
        <w:gridCol w:w="1412"/>
      </w:tblGrid>
      <w:tr w:rsidR="004B03CA" w:rsidRPr="00DA0DCD" w:rsidTr="000C3C74">
        <w:trPr>
          <w:gridAfter w:val="1"/>
          <w:wAfter w:w="1412" w:type="dxa"/>
          <w:cantSplit/>
          <w:tblHeader/>
        </w:trPr>
        <w:tc>
          <w:tcPr>
            <w:tcW w:w="6385"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gridAfter w:val="1"/>
          <w:wAfter w:w="1412" w:type="dxa"/>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1412" w:type="dxa"/>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,433</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,188</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,187</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.0408000557501</w:t>
            </w:r>
          </w:p>
        </w:tc>
      </w:tr>
      <w:tr w:rsidR="004B03CA" w:rsidRPr="00872F8A" w:rsidTr="000C3C74">
        <w:trPr>
          <w:cantSplit/>
          <w:tblHeader/>
        </w:trPr>
        <w:tc>
          <w:tcPr>
            <w:tcW w:w="7797"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4762"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3035"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F.25</w:t>
      </w:r>
    </w:p>
    <w:tbl>
      <w:tblPr>
        <w:tblW w:w="879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8"/>
        <w:gridCol w:w="1623"/>
        <w:gridCol w:w="1126"/>
        <w:gridCol w:w="1559"/>
        <w:gridCol w:w="1127"/>
        <w:gridCol w:w="1127"/>
      </w:tblGrid>
      <w:tr w:rsidR="004B03CA" w:rsidRPr="00DA0DCD"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3"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5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3"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3,249</w:t>
            </w:r>
          </w:p>
        </w:tc>
        <w:tc>
          <w:tcPr>
            <w:tcW w:w="1126"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5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,464</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278,857</w:t>
            </w:r>
          </w:p>
        </w:tc>
        <w:tc>
          <w:tcPr>
            <w:tcW w:w="1127"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8"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14,050</w:t>
            </w:r>
          </w:p>
        </w:tc>
        <w:tc>
          <w:tcPr>
            <w:tcW w:w="1126"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8440</w:t>
            </w:r>
          </w:p>
        </w:tc>
        <w:tc>
          <w:tcPr>
            <w:tcW w:w="155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27"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3"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17,299</w:t>
            </w:r>
          </w:p>
        </w:tc>
        <w:tc>
          <w:tcPr>
            <w:tcW w:w="1126"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8447</w:t>
            </w:r>
          </w:p>
        </w:tc>
        <w:tc>
          <w:tcPr>
            <w:tcW w:w="1559"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3851"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5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F.26</w:t>
      </w:r>
    </w:p>
    <w:tbl>
      <w:tblPr>
        <w:tblW w:w="935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567"/>
        <w:gridCol w:w="142"/>
        <w:gridCol w:w="1134"/>
        <w:gridCol w:w="709"/>
        <w:gridCol w:w="567"/>
        <w:gridCol w:w="567"/>
        <w:gridCol w:w="708"/>
        <w:gridCol w:w="567"/>
        <w:gridCol w:w="567"/>
        <w:gridCol w:w="567"/>
        <w:gridCol w:w="851"/>
        <w:gridCol w:w="567"/>
      </w:tblGrid>
      <w:tr w:rsidR="004B03CA" w:rsidRPr="00DA0DCD" w:rsidTr="000C3C74">
        <w:trPr>
          <w:cantSplit/>
          <w:tblHeader/>
        </w:trPr>
        <w:tc>
          <w:tcPr>
            <w:tcW w:w="9356"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275"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708"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-,047</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,962</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,862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,020</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,436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43,517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,823</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,431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,427</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,961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1,041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,064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,986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-,127</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,944</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1,060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,671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,996</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1,004</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,989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,432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,666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-1,261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-,017</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,968</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,045</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4,541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,049</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,045</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,970</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1,031</w:t>
            </w:r>
          </w:p>
        </w:tc>
      </w:tr>
      <w:tr w:rsidR="004B03CA" w:rsidRPr="00DA0DCD" w:rsidTr="000C3C74">
        <w:trPr>
          <w:cantSplit/>
        </w:trPr>
        <w:tc>
          <w:tcPr>
            <w:tcW w:w="2410"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F.27</w:t>
      </w:r>
    </w:p>
    <w:p w:rsidR="004B03CA" w:rsidRPr="00DA0DCD" w:rsidRDefault="004B03CA" w:rsidP="004B03CA">
      <w:pPr>
        <w:pStyle w:val="Geenafstand"/>
        <w:rPr>
          <w:rFonts w:ascii="Times New Roman" w:hAnsi="Times New Roman" w:cs="Times New Roman"/>
          <w:sz w:val="24"/>
          <w:szCs w:val="24"/>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17" w:name="_Toc270770648"/>
      <w:r w:rsidRPr="00DA0DCD">
        <w:rPr>
          <w:lang w:val="en-US"/>
        </w:rPr>
        <w:lastRenderedPageBreak/>
        <w:t>Austria</w:t>
      </w:r>
      <w:bookmarkEnd w:id="117"/>
    </w:p>
    <w:tbl>
      <w:tblPr>
        <w:tblW w:w="779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3"/>
        <w:gridCol w:w="1127"/>
        <w:gridCol w:w="1202"/>
        <w:gridCol w:w="1624"/>
        <w:gridCol w:w="1624"/>
        <w:gridCol w:w="1407"/>
      </w:tblGrid>
      <w:tr w:rsidR="004B03CA" w:rsidRPr="00DA0DCD" w:rsidTr="000C3C74">
        <w:trPr>
          <w:gridAfter w:val="1"/>
          <w:wAfter w:w="1407" w:type="dxa"/>
          <w:cantSplit/>
          <w:tblHeader/>
        </w:trPr>
        <w:tc>
          <w:tcPr>
            <w:tcW w:w="6390"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gridAfter w:val="1"/>
          <w:wAfter w:w="1407" w:type="dxa"/>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1407" w:type="dxa"/>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,445</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,198</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,197</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.0435577059216</w:t>
            </w:r>
          </w:p>
        </w:tc>
      </w:tr>
      <w:tr w:rsidR="004B03CA" w:rsidRPr="00872F8A" w:rsidTr="000C3C74">
        <w:trPr>
          <w:cantSplit/>
          <w:tblHeader/>
        </w:trPr>
        <w:tc>
          <w:tcPr>
            <w:tcW w:w="7797"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4766"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3031"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F.28</w:t>
      </w:r>
    </w:p>
    <w:p w:rsidR="004B03CA" w:rsidRPr="00DA0DCD" w:rsidRDefault="004B03CA" w:rsidP="004B03CA">
      <w:pPr>
        <w:pStyle w:val="Geenafstand"/>
        <w:rPr>
          <w:lang w:val="en-US"/>
        </w:rPr>
      </w:pPr>
    </w:p>
    <w:tbl>
      <w:tblPr>
        <w:tblW w:w="879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9"/>
        <w:gridCol w:w="1624"/>
        <w:gridCol w:w="1127"/>
        <w:gridCol w:w="1560"/>
        <w:gridCol w:w="1128"/>
        <w:gridCol w:w="1128"/>
      </w:tblGrid>
      <w:tr w:rsidR="004B03CA" w:rsidRPr="00DA0DCD"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6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4"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2,880</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6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,411</w:t>
            </w:r>
          </w:p>
        </w:tc>
        <w:tc>
          <w:tcPr>
            <w:tcW w:w="112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216,819</w:t>
            </w:r>
          </w:p>
        </w:tc>
        <w:tc>
          <w:tcPr>
            <w:tcW w:w="112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9"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4"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11,642</w:t>
            </w:r>
          </w:p>
        </w:tc>
        <w:tc>
          <w:tcPr>
            <w:tcW w:w="112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6136</w:t>
            </w:r>
          </w:p>
        </w:tc>
        <w:tc>
          <w:tcPr>
            <w:tcW w:w="156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28"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4"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14,521</w:t>
            </w:r>
          </w:p>
        </w:tc>
        <w:tc>
          <w:tcPr>
            <w:tcW w:w="112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6143</w:t>
            </w:r>
          </w:p>
        </w:tc>
        <w:tc>
          <w:tcPr>
            <w:tcW w:w="1560"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3853"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6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F.29</w:t>
      </w:r>
    </w:p>
    <w:tbl>
      <w:tblPr>
        <w:tblW w:w="949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567"/>
        <w:gridCol w:w="142"/>
        <w:gridCol w:w="1134"/>
        <w:gridCol w:w="709"/>
        <w:gridCol w:w="567"/>
        <w:gridCol w:w="708"/>
        <w:gridCol w:w="709"/>
        <w:gridCol w:w="567"/>
        <w:gridCol w:w="567"/>
        <w:gridCol w:w="567"/>
        <w:gridCol w:w="851"/>
        <w:gridCol w:w="567"/>
      </w:tblGrid>
      <w:tr w:rsidR="004B03CA" w:rsidRPr="00DA0DCD" w:rsidTr="000C3C74">
        <w:trPr>
          <w:cantSplit/>
          <w:tblHeader/>
        </w:trPr>
        <w:tc>
          <w:tcPr>
            <w:tcW w:w="9498"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417"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708"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,129</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,897</w:t>
            </w: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,914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,442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38,102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,867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,961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,444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,437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,436</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,080</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-1,730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,084</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-,296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-,020</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,946</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1,057</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-,344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,731</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,981</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,172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,863</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1,022</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-,823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,411</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,965</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1,036</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,023</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2,020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,043</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,023</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,984</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1,016</w:t>
            </w:r>
          </w:p>
        </w:tc>
      </w:tr>
      <w:tr w:rsidR="004B03CA" w:rsidRPr="00DA0DCD" w:rsidTr="000C3C74">
        <w:trPr>
          <w:cantSplit/>
        </w:trPr>
        <w:tc>
          <w:tcPr>
            <w:tcW w:w="2410"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Times New Roman"/>
                <w:sz w:val="18"/>
                <w:szCs w:val="18"/>
                <w:lang w:val="en-US"/>
              </w:rPr>
            </w:pPr>
          </w:p>
        </w:tc>
      </w:tr>
    </w:tbl>
    <w:p w:rsidR="004B03CA" w:rsidRPr="00DA0DCD" w:rsidRDefault="004B03CA" w:rsidP="004B03CA">
      <w:pPr>
        <w:rPr>
          <w:lang w:val="en-US"/>
        </w:rPr>
      </w:pPr>
      <w:r w:rsidRPr="00DA0DCD">
        <w:rPr>
          <w:lang w:val="en-US"/>
        </w:rPr>
        <w:t>Table F.30</w:t>
      </w:r>
    </w:p>
    <w:p w:rsidR="004B03CA" w:rsidRPr="00DA0DCD" w:rsidRDefault="004B03CA" w:rsidP="004B03CA">
      <w:pPr>
        <w:pStyle w:val="Geenafstand"/>
        <w:rPr>
          <w:rFonts w:ascii="Times New Roman" w:hAnsi="Times New Roman" w:cs="Times New Roman"/>
          <w:sz w:val="24"/>
          <w:szCs w:val="24"/>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18" w:name="_Toc270770649"/>
      <w:r w:rsidRPr="00DA0DCD">
        <w:rPr>
          <w:lang w:val="en-US"/>
        </w:rPr>
        <w:lastRenderedPageBreak/>
        <w:t>Portugal</w:t>
      </w:r>
      <w:bookmarkEnd w:id="118"/>
    </w:p>
    <w:p w:rsidR="004B03CA" w:rsidRPr="00DA0DCD" w:rsidRDefault="004B03CA" w:rsidP="004B03CA">
      <w:pPr>
        <w:pStyle w:val="Geenafstand"/>
        <w:rPr>
          <w:lang w:val="en-US"/>
        </w:rPr>
      </w:pPr>
    </w:p>
    <w:tbl>
      <w:tblPr>
        <w:tblW w:w="639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3"/>
        <w:gridCol w:w="1127"/>
        <w:gridCol w:w="1202"/>
        <w:gridCol w:w="1624"/>
        <w:gridCol w:w="1624"/>
      </w:tblGrid>
      <w:tr w:rsidR="004B03CA" w:rsidRPr="00DA0DCD" w:rsidTr="000C3C74">
        <w:trPr>
          <w:cantSplit/>
          <w:tblHeader/>
        </w:trPr>
        <w:tc>
          <w:tcPr>
            <w:tcW w:w="6390"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b/>
                <w:bCs/>
                <w:sz w:val="18"/>
                <w:szCs w:val="18"/>
                <w:lang w:val="en-US"/>
              </w:rPr>
              <w:t>Model Summary</w:t>
            </w:r>
            <w:r w:rsidRPr="00DA0DCD">
              <w:rPr>
                <w:rFonts w:cs="Arial"/>
                <w:b/>
                <w:bCs/>
                <w:sz w:val="18"/>
                <w:szCs w:val="18"/>
                <w:vertAlign w:val="superscript"/>
                <w:lang w:val="en-US"/>
              </w:rPr>
              <w:t>b</w:t>
            </w:r>
          </w:p>
        </w:tc>
      </w:tr>
      <w:tr w:rsidR="004B03CA" w:rsidRPr="00872F8A" w:rsidTr="000C3C74">
        <w:trPr>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R Square</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Adjusted R Square</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Std. Error of the Estimate</w:t>
            </w:r>
          </w:p>
        </w:tc>
      </w:tr>
      <w:tr w:rsidR="004B03CA" w:rsidRPr="00DA0DCD" w:rsidTr="000C3C74">
        <w:trPr>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,200</w:t>
            </w:r>
            <w:r w:rsidRPr="00DA0DCD">
              <w:rPr>
                <w:rFonts w:cs="Arial"/>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,040</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,037</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.0625803387957</w:t>
            </w:r>
          </w:p>
        </w:tc>
      </w:tr>
      <w:tr w:rsidR="004B03CA" w:rsidRPr="00872F8A" w:rsidTr="000C3C74">
        <w:trPr>
          <w:cantSplit/>
          <w:tblHeader/>
        </w:trPr>
        <w:tc>
          <w:tcPr>
            <w:tcW w:w="6390" w:type="dxa"/>
            <w:gridSpan w:val="5"/>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a. Predictors: (Constant), E_window5, E_window4, E_window3, E_window2, E_window1, Rmt, Intt</w:t>
            </w:r>
          </w:p>
        </w:tc>
      </w:tr>
      <w:tr w:rsidR="004B03CA" w:rsidRPr="00DA0DCD" w:rsidTr="000C3C74">
        <w:trPr>
          <w:cantSplit/>
        </w:trPr>
        <w:tc>
          <w:tcPr>
            <w:tcW w:w="4766"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b. Dependent Variable: Rit</w:t>
            </w:r>
          </w:p>
        </w:tc>
        <w:tc>
          <w:tcPr>
            <w:tcW w:w="162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lang w:val="en-US"/>
              </w:rPr>
            </w:pPr>
          </w:p>
        </w:tc>
      </w:tr>
    </w:tbl>
    <w:p w:rsidR="004B03CA" w:rsidRPr="00DA0DCD" w:rsidRDefault="004B03CA" w:rsidP="004B03CA">
      <w:pPr>
        <w:rPr>
          <w:lang w:val="en-US"/>
        </w:rPr>
      </w:pPr>
      <w:r w:rsidRPr="00DA0DCD">
        <w:rPr>
          <w:lang w:val="en-US"/>
        </w:rPr>
        <w:t>Table F.31</w:t>
      </w:r>
    </w:p>
    <w:tbl>
      <w:tblPr>
        <w:tblW w:w="879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9"/>
        <w:gridCol w:w="1624"/>
        <w:gridCol w:w="1127"/>
        <w:gridCol w:w="1560"/>
        <w:gridCol w:w="1128"/>
        <w:gridCol w:w="1128"/>
      </w:tblGrid>
      <w:tr w:rsidR="004B03CA" w:rsidRPr="00DA0DCD"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ANOVAb</w:t>
            </w:r>
          </w:p>
        </w:tc>
      </w:tr>
      <w:tr w:rsidR="004B03CA" w:rsidRPr="00DA0DCD" w:rsidTr="000C3C74">
        <w:trPr>
          <w:cantSplit/>
          <w:tblHeader/>
        </w:trPr>
        <w:tc>
          <w:tcPr>
            <w:tcW w:w="222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6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4"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,376</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6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,054</w:t>
            </w:r>
          </w:p>
        </w:tc>
        <w:tc>
          <w:tcPr>
            <w:tcW w:w="112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13,725</w:t>
            </w:r>
          </w:p>
        </w:tc>
        <w:tc>
          <w:tcPr>
            <w:tcW w:w="112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9"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4"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8,992</w:t>
            </w:r>
          </w:p>
        </w:tc>
        <w:tc>
          <w:tcPr>
            <w:tcW w:w="112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2296</w:t>
            </w:r>
          </w:p>
        </w:tc>
        <w:tc>
          <w:tcPr>
            <w:tcW w:w="156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28"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128"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4"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9,368</w:t>
            </w:r>
          </w:p>
        </w:tc>
        <w:tc>
          <w:tcPr>
            <w:tcW w:w="112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2303</w:t>
            </w:r>
          </w:p>
        </w:tc>
        <w:tc>
          <w:tcPr>
            <w:tcW w:w="1560"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128"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12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r>
      <w:tr w:rsidR="004B03CA" w:rsidRPr="00872F8A"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Rmt, Intt</w:t>
            </w:r>
          </w:p>
        </w:tc>
      </w:tr>
      <w:tr w:rsidR="004B03CA" w:rsidRPr="00DA0DCD" w:rsidTr="000C3C74">
        <w:trPr>
          <w:cantSplit/>
        </w:trPr>
        <w:tc>
          <w:tcPr>
            <w:tcW w:w="3853"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56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r>
    </w:tbl>
    <w:p w:rsidR="004B03CA" w:rsidRPr="00DA0DCD" w:rsidRDefault="004B03CA" w:rsidP="004B03CA">
      <w:pPr>
        <w:rPr>
          <w:lang w:val="en-US"/>
        </w:rPr>
      </w:pPr>
      <w:r w:rsidRPr="00DA0DCD">
        <w:rPr>
          <w:lang w:val="en-US"/>
        </w:rPr>
        <w:t>Table F.32</w:t>
      </w:r>
    </w:p>
    <w:tbl>
      <w:tblPr>
        <w:tblW w:w="935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567"/>
        <w:gridCol w:w="142"/>
        <w:gridCol w:w="1134"/>
        <w:gridCol w:w="567"/>
        <w:gridCol w:w="567"/>
        <w:gridCol w:w="709"/>
        <w:gridCol w:w="708"/>
        <w:gridCol w:w="567"/>
        <w:gridCol w:w="567"/>
        <w:gridCol w:w="567"/>
        <w:gridCol w:w="851"/>
        <w:gridCol w:w="567"/>
      </w:tblGrid>
      <w:tr w:rsidR="004B03CA" w:rsidRPr="00DA0DCD" w:rsidTr="000C3C74">
        <w:trPr>
          <w:cantSplit/>
          <w:tblHeader/>
        </w:trPr>
        <w:tc>
          <w:tcPr>
            <w:tcW w:w="9356"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b/>
                <w:bCs/>
                <w:sz w:val="18"/>
                <w:szCs w:val="18"/>
                <w:lang w:val="en-US"/>
              </w:rPr>
              <w:t>Coefficients</w:t>
            </w:r>
            <w:r w:rsidRPr="00DA0DCD">
              <w:rPr>
                <w:rFonts w:cs="Arial"/>
                <w:b/>
                <w:bCs/>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Standardized Coefficients</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Sig.</w:t>
            </w:r>
          </w:p>
        </w:tc>
        <w:tc>
          <w:tcPr>
            <w:tcW w:w="1417"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Beta</w:t>
            </w: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Lower Bound</w:t>
            </w:r>
          </w:p>
        </w:tc>
        <w:tc>
          <w:tcPr>
            <w:tcW w:w="708"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rFonts w:cs="Arial"/>
                <w:sz w:val="18"/>
                <w:szCs w:val="18"/>
                <w:lang w:val="en-US"/>
              </w:rPr>
            </w:pPr>
            <w:r w:rsidRPr="00DA0DCD">
              <w:rPr>
                <w:rFonts w:cs="Arial"/>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,001</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,002</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,571</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,568</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-,002</w:t>
            </w: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,004</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,693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,072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,199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9,646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,552</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,834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,197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,197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,197</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,983</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1,017</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,097</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,189</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,514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,608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-,273</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,467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,011</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,940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1,063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-,025</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-,035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-1,711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,087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-,054</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-,030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-,036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-,035</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-,008</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-,523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,601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-,037</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,021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-,011</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,096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,923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-,028</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,031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,002</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,990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1,010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,015</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,127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,899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-,028</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,031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,003</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,971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1,030</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,001</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,012</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,046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,963</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-,022</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,023</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,003</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sz w:val="18"/>
                <w:szCs w:val="18"/>
                <w:lang w:val="en-US"/>
              </w:rPr>
            </w:pPr>
            <w:r w:rsidRPr="00DA0DCD">
              <w:rPr>
                <w:rFonts w:cs="Arial"/>
                <w:sz w:val="18"/>
                <w:szCs w:val="18"/>
                <w:lang w:val="en-US"/>
              </w:rPr>
              <w:t>,001</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,984</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rFonts w:cs="Arial"/>
                <w:b/>
                <w:sz w:val="18"/>
                <w:szCs w:val="18"/>
                <w:lang w:val="en-US"/>
              </w:rPr>
            </w:pPr>
            <w:r w:rsidRPr="00DA0DCD">
              <w:rPr>
                <w:rFonts w:cs="Arial"/>
                <w:b/>
                <w:sz w:val="18"/>
                <w:szCs w:val="18"/>
                <w:lang w:val="en-US"/>
              </w:rPr>
              <w:t>1,016</w:t>
            </w:r>
          </w:p>
        </w:tc>
      </w:tr>
      <w:tr w:rsidR="004B03CA" w:rsidRPr="00DA0DCD" w:rsidTr="000C3C74">
        <w:trPr>
          <w:cantSplit/>
        </w:trPr>
        <w:tc>
          <w:tcPr>
            <w:tcW w:w="2410"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cs="Arial"/>
                <w:sz w:val="18"/>
                <w:szCs w:val="18"/>
                <w:lang w:val="en-US"/>
              </w:rPr>
            </w:pPr>
            <w:r w:rsidRPr="00DA0DCD">
              <w:rPr>
                <w:rFonts w:cs="Arial"/>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r>
    </w:tbl>
    <w:p w:rsidR="004B03CA" w:rsidRPr="00DA0DCD" w:rsidRDefault="004B03CA" w:rsidP="004B03CA">
      <w:pPr>
        <w:rPr>
          <w:lang w:val="en-US"/>
        </w:rPr>
      </w:pPr>
      <w:r w:rsidRPr="00DA0DCD">
        <w:rPr>
          <w:lang w:val="en-US"/>
        </w:rPr>
        <w:t>Table F.33</w:t>
      </w:r>
    </w:p>
    <w:p w:rsidR="004B03CA" w:rsidRPr="00DA0DCD" w:rsidRDefault="004B03CA" w:rsidP="004B03CA">
      <w:pPr>
        <w:pStyle w:val="Geenafstand"/>
        <w:rPr>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19" w:name="_Toc270770650"/>
      <w:r w:rsidRPr="00DA0DCD">
        <w:rPr>
          <w:lang w:val="en-US"/>
        </w:rPr>
        <w:lastRenderedPageBreak/>
        <w:t>Spain</w:t>
      </w:r>
      <w:bookmarkEnd w:id="119"/>
    </w:p>
    <w:tbl>
      <w:tblPr>
        <w:tblW w:w="864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127"/>
        <w:gridCol w:w="1202"/>
        <w:gridCol w:w="1623"/>
        <w:gridCol w:w="1623"/>
        <w:gridCol w:w="2262"/>
      </w:tblGrid>
      <w:tr w:rsidR="004B03CA" w:rsidRPr="00DA0DCD" w:rsidTr="000C3C74">
        <w:trPr>
          <w:gridAfter w:val="1"/>
          <w:wAfter w:w="2262" w:type="dxa"/>
          <w:cantSplit/>
          <w:tblHeader/>
        </w:trPr>
        <w:tc>
          <w:tcPr>
            <w:tcW w:w="6385"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Model Summary</w:t>
            </w:r>
            <w:r w:rsidRPr="00DA0DCD">
              <w:rPr>
                <w:sz w:val="18"/>
                <w:szCs w:val="18"/>
                <w:vertAlign w:val="superscript"/>
                <w:lang w:val="en-US"/>
              </w:rPr>
              <w:t>b</w:t>
            </w:r>
          </w:p>
        </w:tc>
      </w:tr>
      <w:tr w:rsidR="004B03CA" w:rsidRPr="00872F8A" w:rsidTr="000C3C74">
        <w:trPr>
          <w:gridAfter w:val="1"/>
          <w:wAfter w:w="2262" w:type="dxa"/>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2262" w:type="dxa"/>
          <w:cantSplit/>
          <w:tblHeader/>
        </w:trPr>
        <w:tc>
          <w:tcPr>
            <w:tcW w:w="81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,430</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,185</w:t>
            </w:r>
          </w:p>
        </w:tc>
        <w:tc>
          <w:tcPr>
            <w:tcW w:w="1623"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,184</w:t>
            </w:r>
          </w:p>
        </w:tc>
        <w:tc>
          <w:tcPr>
            <w:tcW w:w="162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.0335468331054</w:t>
            </w:r>
          </w:p>
        </w:tc>
      </w:tr>
      <w:tr w:rsidR="004B03CA" w:rsidRPr="00872F8A" w:rsidTr="000C3C74">
        <w:trPr>
          <w:cantSplit/>
          <w:tblHeader/>
        </w:trPr>
        <w:tc>
          <w:tcPr>
            <w:tcW w:w="8647"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Intt, Rmt</w:t>
            </w:r>
          </w:p>
        </w:tc>
      </w:tr>
      <w:tr w:rsidR="004B03CA" w:rsidRPr="00DA0DCD" w:rsidTr="000C3C74">
        <w:trPr>
          <w:cantSplit/>
        </w:trPr>
        <w:tc>
          <w:tcPr>
            <w:tcW w:w="4762"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3885"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F.34</w:t>
      </w:r>
    </w:p>
    <w:p w:rsidR="004B03CA" w:rsidRPr="00DA0DCD" w:rsidRDefault="004B03CA" w:rsidP="004B03CA">
      <w:pPr>
        <w:pStyle w:val="Geenafstand"/>
        <w:rPr>
          <w:lang w:val="en-US"/>
        </w:rPr>
      </w:pPr>
    </w:p>
    <w:tbl>
      <w:tblPr>
        <w:tblW w:w="879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8"/>
        <w:gridCol w:w="1623"/>
        <w:gridCol w:w="1126"/>
        <w:gridCol w:w="1559"/>
        <w:gridCol w:w="1127"/>
        <w:gridCol w:w="1127"/>
      </w:tblGrid>
      <w:tr w:rsidR="004B03CA" w:rsidRPr="00DA0DCD"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ANOVA</w:t>
            </w:r>
            <w:r w:rsidRPr="00DA0DCD">
              <w:rPr>
                <w:sz w:val="18"/>
                <w:szCs w:val="18"/>
                <w:vertAlign w:val="superscript"/>
                <w:lang w:val="en-US"/>
              </w:rPr>
              <w:t>b</w:t>
            </w:r>
          </w:p>
        </w:tc>
      </w:tr>
      <w:tr w:rsidR="004B03CA" w:rsidRPr="00DA0DCD" w:rsidTr="000C3C74">
        <w:trPr>
          <w:cantSplit/>
          <w:tblHeader/>
        </w:trPr>
        <w:tc>
          <w:tcPr>
            <w:tcW w:w="222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3"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5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3"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2,546</w:t>
            </w:r>
          </w:p>
        </w:tc>
        <w:tc>
          <w:tcPr>
            <w:tcW w:w="1126"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5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,364</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323,187</w:t>
            </w:r>
          </w:p>
        </w:tc>
        <w:tc>
          <w:tcPr>
            <w:tcW w:w="1127"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8"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3"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11,227</w:t>
            </w:r>
          </w:p>
        </w:tc>
        <w:tc>
          <w:tcPr>
            <w:tcW w:w="1126"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9976</w:t>
            </w:r>
          </w:p>
        </w:tc>
        <w:tc>
          <w:tcPr>
            <w:tcW w:w="155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27"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3"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13,773</w:t>
            </w:r>
          </w:p>
        </w:tc>
        <w:tc>
          <w:tcPr>
            <w:tcW w:w="1126"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9983</w:t>
            </w:r>
          </w:p>
        </w:tc>
        <w:tc>
          <w:tcPr>
            <w:tcW w:w="1559"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0"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Intt, Rmt</w:t>
            </w:r>
          </w:p>
        </w:tc>
      </w:tr>
      <w:tr w:rsidR="004B03CA" w:rsidRPr="00DA0DCD" w:rsidTr="000C3C74">
        <w:trPr>
          <w:cantSplit/>
        </w:trPr>
        <w:tc>
          <w:tcPr>
            <w:tcW w:w="3851"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6"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5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F.35</w:t>
      </w:r>
    </w:p>
    <w:p w:rsidR="004B03CA" w:rsidRPr="00DA0DCD" w:rsidRDefault="004B03CA" w:rsidP="004B03CA">
      <w:pPr>
        <w:pStyle w:val="Geenafstand"/>
        <w:rPr>
          <w:rFonts w:ascii="Times New Roman" w:hAnsi="Times New Roman" w:cs="Times New Roman"/>
          <w:sz w:val="24"/>
          <w:szCs w:val="24"/>
          <w:lang w:val="en-US"/>
        </w:rPr>
      </w:pPr>
    </w:p>
    <w:tbl>
      <w:tblPr>
        <w:tblW w:w="92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567"/>
        <w:gridCol w:w="142"/>
        <w:gridCol w:w="1134"/>
        <w:gridCol w:w="567"/>
        <w:gridCol w:w="567"/>
        <w:gridCol w:w="709"/>
        <w:gridCol w:w="567"/>
        <w:gridCol w:w="567"/>
        <w:gridCol w:w="567"/>
        <w:gridCol w:w="567"/>
        <w:gridCol w:w="850"/>
        <w:gridCol w:w="567"/>
      </w:tblGrid>
      <w:tr w:rsidR="004B03CA" w:rsidRPr="00DA0DCD" w:rsidTr="000C3C74">
        <w:trPr>
          <w:cantSplit/>
          <w:tblHeader/>
        </w:trPr>
        <w:tc>
          <w:tcPr>
            <w:tcW w:w="9214"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Coefficients</w:t>
            </w:r>
            <w:r w:rsidRPr="00DA0DCD">
              <w:rPr>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-2,789</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,795</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,017</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,429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47,225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,762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,828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,427</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,990</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-,456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,648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-1,533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,125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,363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,363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,717</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,992</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1,008</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-,226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,821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,996</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1,004</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,014</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,042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4,636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,042</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,998</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1,002</w:t>
            </w:r>
          </w:p>
        </w:tc>
      </w:tr>
      <w:tr w:rsidR="004B03CA" w:rsidRPr="00DA0DCD" w:rsidTr="000C3C74">
        <w:trPr>
          <w:cantSplit/>
        </w:trPr>
        <w:tc>
          <w:tcPr>
            <w:tcW w:w="2410"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F.36</w:t>
      </w:r>
    </w:p>
    <w:p w:rsidR="004B03CA" w:rsidRPr="00DA0DCD" w:rsidRDefault="004B03CA" w:rsidP="004B03CA">
      <w:pPr>
        <w:pStyle w:val="Geenafstand"/>
        <w:rPr>
          <w:rFonts w:ascii="Times New Roman" w:hAnsi="Times New Roman" w:cs="Times New Roman"/>
          <w:sz w:val="24"/>
          <w:szCs w:val="24"/>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20" w:name="_Toc270770651"/>
      <w:r w:rsidRPr="00DA0DCD">
        <w:rPr>
          <w:lang w:val="en-US"/>
        </w:rPr>
        <w:lastRenderedPageBreak/>
        <w:t>United Kingdom</w:t>
      </w:r>
      <w:bookmarkEnd w:id="120"/>
    </w:p>
    <w:tbl>
      <w:tblPr>
        <w:tblW w:w="793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3"/>
        <w:gridCol w:w="1127"/>
        <w:gridCol w:w="1202"/>
        <w:gridCol w:w="1624"/>
        <w:gridCol w:w="1624"/>
        <w:gridCol w:w="1548"/>
      </w:tblGrid>
      <w:tr w:rsidR="004B03CA" w:rsidRPr="00DA0DCD" w:rsidTr="000C3C74">
        <w:trPr>
          <w:gridAfter w:val="1"/>
          <w:wAfter w:w="1548" w:type="dxa"/>
          <w:cantSplit/>
          <w:tblHeader/>
        </w:trPr>
        <w:tc>
          <w:tcPr>
            <w:tcW w:w="6390"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gridAfter w:val="1"/>
          <w:wAfter w:w="1548" w:type="dxa"/>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1548" w:type="dxa"/>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,424</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,180</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,180</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.0394255744274</w:t>
            </w:r>
          </w:p>
        </w:tc>
      </w:tr>
      <w:tr w:rsidR="004B03CA" w:rsidRPr="00872F8A" w:rsidTr="000C3C74">
        <w:trPr>
          <w:cantSplit/>
          <w:tblHeader/>
        </w:trPr>
        <w:tc>
          <w:tcPr>
            <w:tcW w:w="7938"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Intt, Rmt</w:t>
            </w:r>
          </w:p>
        </w:tc>
      </w:tr>
      <w:tr w:rsidR="004B03CA" w:rsidRPr="00DA0DCD" w:rsidTr="000C3C74">
        <w:trPr>
          <w:cantSplit/>
        </w:trPr>
        <w:tc>
          <w:tcPr>
            <w:tcW w:w="4766"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3172"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F.37</w:t>
      </w:r>
    </w:p>
    <w:tbl>
      <w:tblPr>
        <w:tblW w:w="879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9"/>
        <w:gridCol w:w="1624"/>
        <w:gridCol w:w="1127"/>
        <w:gridCol w:w="1560"/>
        <w:gridCol w:w="1128"/>
        <w:gridCol w:w="1128"/>
      </w:tblGrid>
      <w:tr w:rsidR="004B03CA" w:rsidRPr="00DA0DCD"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6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4"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10,750</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6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1,536</w:t>
            </w:r>
          </w:p>
        </w:tc>
        <w:tc>
          <w:tcPr>
            <w:tcW w:w="112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988,010</w:t>
            </w:r>
          </w:p>
        </w:tc>
        <w:tc>
          <w:tcPr>
            <w:tcW w:w="112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9"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4"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48,932</w:t>
            </w:r>
          </w:p>
        </w:tc>
        <w:tc>
          <w:tcPr>
            <w:tcW w:w="112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31480</w:t>
            </w:r>
          </w:p>
        </w:tc>
        <w:tc>
          <w:tcPr>
            <w:tcW w:w="156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28"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4"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59,682</w:t>
            </w:r>
          </w:p>
        </w:tc>
        <w:tc>
          <w:tcPr>
            <w:tcW w:w="112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31487</w:t>
            </w:r>
          </w:p>
        </w:tc>
        <w:tc>
          <w:tcPr>
            <w:tcW w:w="1560"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E_window4, E_window3, E_window2, E_window1, Intt, Rmt</w:t>
            </w:r>
          </w:p>
        </w:tc>
      </w:tr>
      <w:tr w:rsidR="004B03CA" w:rsidRPr="00DA0DCD" w:rsidTr="000C3C74">
        <w:trPr>
          <w:cantSplit/>
        </w:trPr>
        <w:tc>
          <w:tcPr>
            <w:tcW w:w="3853"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6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F.38</w:t>
      </w:r>
    </w:p>
    <w:tbl>
      <w:tblPr>
        <w:tblW w:w="92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567"/>
        <w:gridCol w:w="142"/>
        <w:gridCol w:w="1134"/>
        <w:gridCol w:w="709"/>
        <w:gridCol w:w="425"/>
        <w:gridCol w:w="567"/>
        <w:gridCol w:w="709"/>
        <w:gridCol w:w="567"/>
        <w:gridCol w:w="567"/>
        <w:gridCol w:w="567"/>
        <w:gridCol w:w="850"/>
        <w:gridCol w:w="567"/>
      </w:tblGrid>
      <w:tr w:rsidR="004B03CA" w:rsidRPr="00DA0DCD" w:rsidTr="000C3C74">
        <w:trPr>
          <w:cantSplit/>
          <w:tblHeader/>
        </w:trPr>
        <w:tc>
          <w:tcPr>
            <w:tcW w:w="9214"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42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276"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42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709"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,025</w:t>
            </w:r>
          </w:p>
        </w:tc>
        <w:tc>
          <w:tcPr>
            <w:tcW w:w="425"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,980</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,876</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,425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82,067</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,855</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,897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,419</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,969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1,032</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-,865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,387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,991</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1,009</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-1,614</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-2,145</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-,010</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-,011</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1,177</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,239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,976</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1,024</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,427</w:t>
            </w:r>
          </w:p>
        </w:tc>
        <w:tc>
          <w:tcPr>
            <w:tcW w:w="425"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,669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85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1,004</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,910</w:t>
            </w:r>
          </w:p>
        </w:tc>
        <w:tc>
          <w:tcPr>
            <w:tcW w:w="425"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,363</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,005</w:t>
            </w:r>
          </w:p>
        </w:tc>
        <w:tc>
          <w:tcPr>
            <w:tcW w:w="850"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,987</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1,013</w:t>
            </w:r>
          </w:p>
        </w:tc>
      </w:tr>
      <w:tr w:rsidR="004B03CA" w:rsidRPr="00DA0DCD" w:rsidTr="000C3C74">
        <w:trPr>
          <w:cantSplit/>
        </w:trPr>
        <w:tc>
          <w:tcPr>
            <w:tcW w:w="2410"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425"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lang w:val="en-US"/>
        </w:rPr>
      </w:pPr>
      <w:r w:rsidRPr="00DA0DCD">
        <w:rPr>
          <w:lang w:val="en-US"/>
        </w:rPr>
        <w:t>Table F.39</w:t>
      </w:r>
    </w:p>
    <w:p w:rsidR="004B03CA" w:rsidRPr="00DA0DCD" w:rsidRDefault="004B03CA" w:rsidP="004B03CA">
      <w:pPr>
        <w:pStyle w:val="Geenafstand"/>
        <w:rPr>
          <w:rFonts w:ascii="Times New Roman" w:hAnsi="Times New Roman" w:cs="Times New Roman"/>
          <w:sz w:val="24"/>
          <w:szCs w:val="24"/>
          <w:lang w:val="en-US"/>
        </w:rPr>
      </w:pPr>
    </w:p>
    <w:p w:rsidR="004B03CA" w:rsidRPr="00DA0DCD" w:rsidRDefault="004B03CA" w:rsidP="004B03CA">
      <w:pPr>
        <w:rPr>
          <w:sz w:val="28"/>
          <w:szCs w:val="28"/>
          <w:lang w:val="en-US"/>
        </w:rPr>
      </w:pPr>
      <w:r w:rsidRPr="00DA0DCD">
        <w:rPr>
          <w:sz w:val="28"/>
          <w:szCs w:val="28"/>
          <w:lang w:val="en-US"/>
        </w:rPr>
        <w:br w:type="page"/>
      </w:r>
    </w:p>
    <w:p w:rsidR="004B03CA" w:rsidRPr="00DA0DCD" w:rsidRDefault="004B03CA" w:rsidP="004B03CA">
      <w:pPr>
        <w:pStyle w:val="Kop2"/>
        <w:rPr>
          <w:lang w:val="en-US"/>
        </w:rPr>
      </w:pPr>
      <w:bookmarkStart w:id="121" w:name="_Toc270770652"/>
      <w:r w:rsidRPr="00DA0DCD">
        <w:rPr>
          <w:lang w:val="en-US"/>
        </w:rPr>
        <w:lastRenderedPageBreak/>
        <w:t>Sweden</w:t>
      </w:r>
      <w:bookmarkEnd w:id="121"/>
    </w:p>
    <w:tbl>
      <w:tblPr>
        <w:tblW w:w="779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3"/>
        <w:gridCol w:w="1127"/>
        <w:gridCol w:w="1202"/>
        <w:gridCol w:w="1624"/>
        <w:gridCol w:w="1624"/>
        <w:gridCol w:w="1407"/>
      </w:tblGrid>
      <w:tr w:rsidR="004B03CA" w:rsidRPr="00DA0DCD" w:rsidTr="000C3C74">
        <w:trPr>
          <w:gridAfter w:val="1"/>
          <w:wAfter w:w="1407" w:type="dxa"/>
          <w:cantSplit/>
          <w:tblHeader/>
        </w:trPr>
        <w:tc>
          <w:tcPr>
            <w:tcW w:w="6390" w:type="dxa"/>
            <w:gridSpan w:val="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Model Summary</w:t>
            </w:r>
            <w:r w:rsidRPr="00DA0DCD">
              <w:rPr>
                <w:b/>
                <w:sz w:val="18"/>
                <w:szCs w:val="18"/>
                <w:vertAlign w:val="superscript"/>
                <w:lang w:val="en-US"/>
              </w:rPr>
              <w:t>b</w:t>
            </w:r>
          </w:p>
        </w:tc>
      </w:tr>
      <w:tr w:rsidR="004B03CA" w:rsidRPr="00872F8A" w:rsidTr="000C3C74">
        <w:trPr>
          <w:gridAfter w:val="1"/>
          <w:wAfter w:w="1407" w:type="dxa"/>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R Square</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Adjusted R Square</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 of the Estimate</w:t>
            </w:r>
          </w:p>
        </w:tc>
      </w:tr>
      <w:tr w:rsidR="004B03CA" w:rsidRPr="00DA0DCD" w:rsidTr="000C3C74">
        <w:trPr>
          <w:gridAfter w:val="1"/>
          <w:wAfter w:w="1407" w:type="dxa"/>
          <w:cantSplit/>
          <w:tblHeader/>
        </w:trPr>
        <w:tc>
          <w:tcPr>
            <w:tcW w:w="81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1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,665</w:t>
            </w:r>
            <w:r w:rsidRPr="00DA0DCD">
              <w:rPr>
                <w:sz w:val="18"/>
                <w:szCs w:val="18"/>
                <w:vertAlign w:val="superscript"/>
                <w:lang w:val="en-US"/>
              </w:rPr>
              <w:t>a</w:t>
            </w:r>
          </w:p>
        </w:tc>
        <w:tc>
          <w:tcPr>
            <w:tcW w:w="1202"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,442</w:t>
            </w:r>
          </w:p>
        </w:tc>
        <w:tc>
          <w:tcPr>
            <w:tcW w:w="1624"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,442</w:t>
            </w:r>
          </w:p>
        </w:tc>
        <w:tc>
          <w:tcPr>
            <w:tcW w:w="16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.0263512398212</w:t>
            </w:r>
          </w:p>
        </w:tc>
      </w:tr>
      <w:tr w:rsidR="004B03CA" w:rsidRPr="00872F8A" w:rsidTr="000C3C74">
        <w:trPr>
          <w:cantSplit/>
          <w:tblHeader/>
        </w:trPr>
        <w:tc>
          <w:tcPr>
            <w:tcW w:w="7797" w:type="dxa"/>
            <w:gridSpan w:val="6"/>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Intt, E_window1, E_window3, E_window2, E_window4, Rmt</w:t>
            </w:r>
          </w:p>
        </w:tc>
      </w:tr>
      <w:tr w:rsidR="004B03CA" w:rsidRPr="00DA0DCD" w:rsidTr="000C3C74">
        <w:trPr>
          <w:cantSplit/>
        </w:trPr>
        <w:tc>
          <w:tcPr>
            <w:tcW w:w="4766"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3031" w:type="dxa"/>
            <w:gridSpan w:val="2"/>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rFonts w:ascii="Times New Roman" w:hAnsi="Times New Roman" w:cs="Times New Roman"/>
          <w:sz w:val="24"/>
          <w:szCs w:val="24"/>
          <w:lang w:val="en-US"/>
        </w:rPr>
      </w:pPr>
      <w:r w:rsidRPr="00DA0DCD">
        <w:rPr>
          <w:lang w:val="en-US"/>
        </w:rPr>
        <w:t>Table F.40</w:t>
      </w:r>
    </w:p>
    <w:tbl>
      <w:tblPr>
        <w:tblW w:w="879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810"/>
        <w:gridCol w:w="1419"/>
        <w:gridCol w:w="1624"/>
        <w:gridCol w:w="1127"/>
        <w:gridCol w:w="1560"/>
        <w:gridCol w:w="1128"/>
        <w:gridCol w:w="1128"/>
      </w:tblGrid>
      <w:tr w:rsidR="004B03CA" w:rsidRPr="00DA0DCD"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ANOVA</w:t>
            </w:r>
            <w:r w:rsidRPr="00DA0DCD">
              <w:rPr>
                <w:b/>
                <w:sz w:val="18"/>
                <w:szCs w:val="18"/>
                <w:vertAlign w:val="superscript"/>
                <w:lang w:val="en-US"/>
              </w:rPr>
              <w:t>b</w:t>
            </w:r>
          </w:p>
        </w:tc>
      </w:tr>
      <w:tr w:rsidR="004B03CA" w:rsidRPr="00DA0DCD" w:rsidTr="000C3C74">
        <w:trPr>
          <w:cantSplit/>
          <w:tblHeader/>
        </w:trPr>
        <w:tc>
          <w:tcPr>
            <w:tcW w:w="222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62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Sum of Squares</w:t>
            </w:r>
          </w:p>
        </w:tc>
        <w:tc>
          <w:tcPr>
            <w:tcW w:w="112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df</w:t>
            </w:r>
          </w:p>
        </w:tc>
        <w:tc>
          <w:tcPr>
            <w:tcW w:w="156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Mean Square</w:t>
            </w:r>
          </w:p>
        </w:tc>
        <w:tc>
          <w:tcPr>
            <w:tcW w:w="112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F</w:t>
            </w:r>
          </w:p>
        </w:tc>
        <w:tc>
          <w:tcPr>
            <w:tcW w:w="112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r>
      <w:tr w:rsidR="004B03CA" w:rsidRPr="00DA0DCD" w:rsidTr="000C3C74">
        <w:trPr>
          <w:cantSplit/>
          <w:tblHeader/>
        </w:trPr>
        <w:tc>
          <w:tcPr>
            <w:tcW w:w="81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141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Regression</w:t>
            </w:r>
          </w:p>
        </w:tc>
        <w:tc>
          <w:tcPr>
            <w:tcW w:w="1624"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4,859</w:t>
            </w:r>
          </w:p>
        </w:tc>
        <w:tc>
          <w:tcPr>
            <w:tcW w:w="112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w:t>
            </w:r>
          </w:p>
        </w:tc>
        <w:tc>
          <w:tcPr>
            <w:tcW w:w="1560"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,694</w:t>
            </w:r>
          </w:p>
        </w:tc>
        <w:tc>
          <w:tcPr>
            <w:tcW w:w="112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999,613</w:t>
            </w:r>
          </w:p>
        </w:tc>
        <w:tc>
          <w:tcPr>
            <w:tcW w:w="112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r w:rsidRPr="00DA0DCD">
              <w:rPr>
                <w:sz w:val="18"/>
                <w:szCs w:val="18"/>
                <w:vertAlign w:val="superscript"/>
                <w:lang w:val="en-US"/>
              </w:rPr>
              <w:t>a</w:t>
            </w: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1419"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Residual</w:t>
            </w:r>
          </w:p>
        </w:tc>
        <w:tc>
          <w:tcPr>
            <w:tcW w:w="1624"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6,127</w:t>
            </w:r>
          </w:p>
        </w:tc>
        <w:tc>
          <w:tcPr>
            <w:tcW w:w="112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8824</w:t>
            </w:r>
          </w:p>
        </w:tc>
        <w:tc>
          <w:tcPr>
            <w:tcW w:w="1560"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,001</w:t>
            </w:r>
          </w:p>
        </w:tc>
        <w:tc>
          <w:tcPr>
            <w:tcW w:w="1128" w:type="dxa"/>
            <w:tcBorders>
              <w:top w:val="nil"/>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81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41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Total</w:t>
            </w:r>
          </w:p>
        </w:tc>
        <w:tc>
          <w:tcPr>
            <w:tcW w:w="1624"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10,986</w:t>
            </w:r>
          </w:p>
        </w:tc>
        <w:tc>
          <w:tcPr>
            <w:tcW w:w="112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8831</w:t>
            </w:r>
          </w:p>
        </w:tc>
        <w:tc>
          <w:tcPr>
            <w:tcW w:w="1560"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872F8A" w:rsidTr="000C3C74">
        <w:trPr>
          <w:cantSplit/>
          <w:tblHeader/>
        </w:trPr>
        <w:tc>
          <w:tcPr>
            <w:tcW w:w="8796" w:type="dxa"/>
            <w:gridSpan w:val="7"/>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Predictors: (Constant), E_window5, Intt, E_window1, E_window3, E_window2, E_window4, Rmt</w:t>
            </w:r>
          </w:p>
        </w:tc>
      </w:tr>
      <w:tr w:rsidR="004B03CA" w:rsidRPr="00DA0DCD" w:rsidTr="000C3C74">
        <w:trPr>
          <w:cantSplit/>
        </w:trPr>
        <w:tc>
          <w:tcPr>
            <w:tcW w:w="3853" w:type="dxa"/>
            <w:gridSpan w:val="3"/>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b. Dependent Variable: Rit</w:t>
            </w:r>
          </w:p>
        </w:tc>
        <w:tc>
          <w:tcPr>
            <w:tcW w:w="112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560"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2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4B03CA" w:rsidRPr="00DA0DCD" w:rsidRDefault="004B03CA" w:rsidP="004B03CA">
      <w:pPr>
        <w:rPr>
          <w:rFonts w:ascii="Times New Roman" w:hAnsi="Times New Roman" w:cs="Times New Roman"/>
          <w:sz w:val="24"/>
          <w:szCs w:val="24"/>
          <w:lang w:val="en-US"/>
        </w:rPr>
      </w:pPr>
      <w:r w:rsidRPr="00DA0DCD">
        <w:rPr>
          <w:lang w:val="en-US"/>
        </w:rPr>
        <w:t>Table F.41</w:t>
      </w:r>
    </w:p>
    <w:tbl>
      <w:tblPr>
        <w:tblW w:w="935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84"/>
        <w:gridCol w:w="992"/>
        <w:gridCol w:w="567"/>
        <w:gridCol w:w="567"/>
        <w:gridCol w:w="142"/>
        <w:gridCol w:w="1134"/>
        <w:gridCol w:w="709"/>
        <w:gridCol w:w="567"/>
        <w:gridCol w:w="567"/>
        <w:gridCol w:w="708"/>
        <w:gridCol w:w="567"/>
        <w:gridCol w:w="567"/>
        <w:gridCol w:w="567"/>
        <w:gridCol w:w="851"/>
        <w:gridCol w:w="567"/>
      </w:tblGrid>
      <w:tr w:rsidR="004B03CA" w:rsidRPr="00DA0DCD" w:rsidTr="000C3C74">
        <w:trPr>
          <w:cantSplit/>
          <w:tblHeader/>
        </w:trPr>
        <w:tc>
          <w:tcPr>
            <w:tcW w:w="9356" w:type="dxa"/>
            <w:gridSpan w:val="15"/>
            <w:tcBorders>
              <w:top w:val="nil"/>
              <w:left w:val="nil"/>
              <w:bottom w:val="nil"/>
              <w:right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Coefficients</w:t>
            </w:r>
            <w:r w:rsidRPr="00DA0DCD">
              <w:rPr>
                <w:b/>
                <w:sz w:val="18"/>
                <w:szCs w:val="18"/>
                <w:vertAlign w:val="superscript"/>
                <w:lang w:val="en-US"/>
              </w:rPr>
              <w:t>a</w:t>
            </w:r>
          </w:p>
        </w:tc>
      </w:tr>
      <w:tr w:rsidR="004B03CA" w:rsidRPr="00DA0DCD" w:rsidTr="000C3C74">
        <w:trPr>
          <w:cantSplit/>
          <w:tblHeader/>
        </w:trPr>
        <w:tc>
          <w:tcPr>
            <w:tcW w:w="127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Model</w:t>
            </w:r>
          </w:p>
        </w:tc>
        <w:tc>
          <w:tcPr>
            <w:tcW w:w="127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Sig.</w:t>
            </w:r>
          </w:p>
        </w:tc>
        <w:tc>
          <w:tcPr>
            <w:tcW w:w="1275" w:type="dxa"/>
            <w:gridSpan w:val="2"/>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95% Confidence Interval for B</w:t>
            </w:r>
          </w:p>
        </w:tc>
        <w:tc>
          <w:tcPr>
            <w:tcW w:w="1701" w:type="dxa"/>
            <w:gridSpan w:val="3"/>
            <w:tcBorders>
              <w:top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Correlations</w:t>
            </w:r>
          </w:p>
        </w:tc>
        <w:tc>
          <w:tcPr>
            <w:tcW w:w="1418"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Collinearity Statistics</w:t>
            </w:r>
          </w:p>
        </w:tc>
      </w:tr>
      <w:tr w:rsidR="004B03CA" w:rsidRPr="00DA0DCD" w:rsidTr="000C3C74">
        <w:trPr>
          <w:cantSplit/>
          <w:tblHeader/>
        </w:trPr>
        <w:tc>
          <w:tcPr>
            <w:tcW w:w="1276"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w:t>
            </w:r>
          </w:p>
        </w:tc>
        <w:tc>
          <w:tcPr>
            <w:tcW w:w="709" w:type="dxa"/>
            <w:gridSpan w:val="2"/>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Lower Bound</w:t>
            </w:r>
          </w:p>
        </w:tc>
        <w:tc>
          <w:tcPr>
            <w:tcW w:w="708"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Upper Bound</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Zero-order</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Partial</w:t>
            </w:r>
          </w:p>
        </w:tc>
        <w:tc>
          <w:tcPr>
            <w:tcW w:w="567"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Part</w:t>
            </w:r>
          </w:p>
        </w:tc>
        <w:tc>
          <w:tcPr>
            <w:tcW w:w="851" w:type="dxa"/>
            <w:tcBorders>
              <w:bottom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Tolerance</w:t>
            </w:r>
          </w:p>
        </w:tc>
        <w:tc>
          <w:tcPr>
            <w:tcW w:w="56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B03CA" w:rsidRPr="00DA0DCD" w:rsidRDefault="004B03CA" w:rsidP="000C3C74">
            <w:pPr>
              <w:pStyle w:val="Geenafstand"/>
              <w:rPr>
                <w:sz w:val="18"/>
                <w:szCs w:val="18"/>
                <w:lang w:val="en-US"/>
              </w:rPr>
            </w:pPr>
            <w:r w:rsidRPr="00DA0DCD">
              <w:rPr>
                <w:sz w:val="18"/>
                <w:szCs w:val="18"/>
                <w:lang w:val="en-US"/>
              </w:rPr>
              <w:t>VIF</w:t>
            </w:r>
          </w:p>
        </w:tc>
      </w:tr>
      <w:tr w:rsidR="004B03CA" w:rsidRPr="00DA0DCD" w:rsidTr="000C3C74">
        <w:trPr>
          <w:cantSplit/>
          <w:tblHeader/>
        </w:trPr>
        <w:tc>
          <w:tcPr>
            <w:tcW w:w="28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1</w:t>
            </w:r>
          </w:p>
        </w:tc>
        <w:tc>
          <w:tcPr>
            <w:tcW w:w="9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(Constant)</w:t>
            </w:r>
          </w:p>
        </w:tc>
        <w:tc>
          <w:tcPr>
            <w:tcW w:w="567"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9" w:type="dxa"/>
            <w:gridSpan w:val="2"/>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1134"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-1,186</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,236</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8" w:type="dxa"/>
            <w:tcBorders>
              <w:top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Rmt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,957</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,663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82,595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,934</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,980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,663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,660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,657</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,982</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1,019</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Intt</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-,049</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-,033</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-4,136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-,073</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-,044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-,033</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,997</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1,003</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E_window1</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-,564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,573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E_window2</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,708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,479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-,004</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,009</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E_window3</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-,016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-1,976</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,048</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-,084</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-,021</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,989</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1,011</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nil"/>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E_window4</w:t>
            </w:r>
          </w:p>
        </w:tc>
        <w:tc>
          <w:tcPr>
            <w:tcW w:w="567" w:type="dxa"/>
            <w:tcBorders>
              <w:top w:val="nil"/>
              <w:left w:val="single" w:sz="16" w:space="0" w:color="000000"/>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,006</w:t>
            </w:r>
          </w:p>
        </w:tc>
        <w:tc>
          <w:tcPr>
            <w:tcW w:w="709" w:type="dxa"/>
            <w:gridSpan w:val="2"/>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,003</w:t>
            </w:r>
          </w:p>
        </w:tc>
        <w:tc>
          <w:tcPr>
            <w:tcW w:w="1134"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,016</w:t>
            </w:r>
          </w:p>
        </w:tc>
        <w:tc>
          <w:tcPr>
            <w:tcW w:w="709"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2,023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,043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,000</w:t>
            </w:r>
          </w:p>
        </w:tc>
        <w:tc>
          <w:tcPr>
            <w:tcW w:w="708"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,013</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-,035</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,022</w:t>
            </w:r>
          </w:p>
        </w:tc>
        <w:tc>
          <w:tcPr>
            <w:tcW w:w="567"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851" w:type="dxa"/>
            <w:tcBorders>
              <w:top w:val="nil"/>
              <w:bottom w:val="nil"/>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,993</w:t>
            </w:r>
          </w:p>
        </w:tc>
        <w:tc>
          <w:tcPr>
            <w:tcW w:w="567" w:type="dxa"/>
            <w:tcBorders>
              <w:top w:val="nil"/>
              <w:bottom w:val="nil"/>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1,008</w:t>
            </w:r>
          </w:p>
        </w:tc>
      </w:tr>
      <w:tr w:rsidR="004B03CA" w:rsidRPr="00DA0DCD" w:rsidTr="000C3C74">
        <w:trPr>
          <w:cantSplit/>
          <w:tblHeader/>
        </w:trPr>
        <w:tc>
          <w:tcPr>
            <w:tcW w:w="28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p>
        </w:tc>
        <w:tc>
          <w:tcPr>
            <w:tcW w:w="9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E_window5</w:t>
            </w:r>
          </w:p>
        </w:tc>
        <w:tc>
          <w:tcPr>
            <w:tcW w:w="567"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,012</w:t>
            </w:r>
          </w:p>
        </w:tc>
        <w:tc>
          <w:tcPr>
            <w:tcW w:w="709" w:type="dxa"/>
            <w:gridSpan w:val="2"/>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,002</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,039</w:t>
            </w:r>
          </w:p>
        </w:tc>
        <w:tc>
          <w:tcPr>
            <w:tcW w:w="709"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4,867</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,000</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,007</w:t>
            </w:r>
          </w:p>
        </w:tc>
        <w:tc>
          <w:tcPr>
            <w:tcW w:w="708"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,017</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,016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,052</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sz w:val="18"/>
                <w:szCs w:val="18"/>
                <w:lang w:val="en-US"/>
              </w:rPr>
            </w:pPr>
            <w:r w:rsidRPr="00DA0DCD">
              <w:rPr>
                <w:sz w:val="18"/>
                <w:szCs w:val="18"/>
                <w:lang w:val="en-US"/>
              </w:rPr>
              <w:t>,039</w:t>
            </w:r>
          </w:p>
        </w:tc>
        <w:tc>
          <w:tcPr>
            <w:tcW w:w="851" w:type="dxa"/>
            <w:tcBorders>
              <w:top w:val="nil"/>
              <w:bottom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,998</w:t>
            </w:r>
          </w:p>
        </w:tc>
        <w:tc>
          <w:tcPr>
            <w:tcW w:w="56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B03CA" w:rsidRPr="00DA0DCD" w:rsidRDefault="004B03CA" w:rsidP="000C3C74">
            <w:pPr>
              <w:pStyle w:val="Geenafstand"/>
              <w:rPr>
                <w:b/>
                <w:sz w:val="18"/>
                <w:szCs w:val="18"/>
                <w:lang w:val="en-US"/>
              </w:rPr>
            </w:pPr>
            <w:r w:rsidRPr="00DA0DCD">
              <w:rPr>
                <w:b/>
                <w:sz w:val="18"/>
                <w:szCs w:val="18"/>
                <w:lang w:val="en-US"/>
              </w:rPr>
              <w:t>1,002</w:t>
            </w:r>
          </w:p>
        </w:tc>
      </w:tr>
      <w:tr w:rsidR="004B03CA" w:rsidRPr="00DA0DCD" w:rsidTr="000C3C74">
        <w:trPr>
          <w:cantSplit/>
        </w:trPr>
        <w:tc>
          <w:tcPr>
            <w:tcW w:w="2410" w:type="dxa"/>
            <w:gridSpan w:val="4"/>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sz w:val="18"/>
                <w:szCs w:val="18"/>
                <w:lang w:val="en-US"/>
              </w:rPr>
            </w:pPr>
            <w:r w:rsidRPr="00DA0DCD">
              <w:rPr>
                <w:sz w:val="18"/>
                <w:szCs w:val="18"/>
                <w:lang w:val="en-US"/>
              </w:rPr>
              <w:t>a. Dependent Variable: Rit</w:t>
            </w:r>
          </w:p>
        </w:tc>
        <w:tc>
          <w:tcPr>
            <w:tcW w:w="142"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1134"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9"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708"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851"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c>
          <w:tcPr>
            <w:tcW w:w="567" w:type="dxa"/>
            <w:tcBorders>
              <w:top w:val="nil"/>
              <w:left w:val="nil"/>
              <w:bottom w:val="nil"/>
              <w:right w:val="nil"/>
            </w:tcBorders>
            <w:shd w:val="clear" w:color="auto" w:fill="FFFFFF"/>
            <w:tcMar>
              <w:top w:w="30" w:type="dxa"/>
              <w:left w:w="30" w:type="dxa"/>
              <w:bottom w:w="30" w:type="dxa"/>
              <w:right w:w="30" w:type="dxa"/>
            </w:tcMar>
          </w:tcPr>
          <w:p w:rsidR="004B03CA" w:rsidRPr="00DA0DCD" w:rsidRDefault="004B03CA" w:rsidP="000C3C74">
            <w:pPr>
              <w:pStyle w:val="Geenafstand"/>
              <w:rPr>
                <w:rFonts w:ascii="Times New Roman" w:hAnsi="Times New Roman" w:cs="Times New Roman"/>
                <w:sz w:val="18"/>
                <w:szCs w:val="18"/>
                <w:lang w:val="en-US"/>
              </w:rPr>
            </w:pPr>
          </w:p>
        </w:tc>
      </w:tr>
    </w:tbl>
    <w:p w:rsidR="00F74093" w:rsidRDefault="004B03CA" w:rsidP="004B03CA">
      <w:pPr>
        <w:rPr>
          <w:lang w:val="en-US"/>
        </w:rPr>
      </w:pPr>
      <w:r w:rsidRPr="00DA0DCD">
        <w:rPr>
          <w:lang w:val="en-US"/>
        </w:rPr>
        <w:t>Table F.42</w:t>
      </w:r>
    </w:p>
    <w:p w:rsidR="00F74093" w:rsidRDefault="00F74093">
      <w:pPr>
        <w:rPr>
          <w:lang w:val="en-US"/>
        </w:rPr>
      </w:pPr>
      <w:r>
        <w:rPr>
          <w:lang w:val="en-US"/>
        </w:rPr>
        <w:br w:type="page"/>
      </w:r>
    </w:p>
    <w:p w:rsidR="00F74093" w:rsidRDefault="00F74093" w:rsidP="00F74093">
      <w:pPr>
        <w:pStyle w:val="Kop1"/>
        <w:rPr>
          <w:lang w:val="en-US"/>
        </w:rPr>
      </w:pPr>
      <w:bookmarkStart w:id="122" w:name="_Toc270770653"/>
      <w:r w:rsidRPr="00DA0DCD">
        <w:rPr>
          <w:lang w:val="en-US"/>
        </w:rPr>
        <w:lastRenderedPageBreak/>
        <w:t xml:space="preserve">Appendix </w:t>
      </w:r>
      <w:r>
        <w:rPr>
          <w:lang w:val="en-US"/>
        </w:rPr>
        <w:t>G: SPSS outcome after c</w:t>
      </w:r>
      <w:r w:rsidR="008570FC">
        <w:rPr>
          <w:lang w:val="en-US"/>
        </w:rPr>
        <w:t>hanging predicted direction</w:t>
      </w:r>
      <w:bookmarkEnd w:id="122"/>
    </w:p>
    <w:p w:rsidR="003379D1" w:rsidRDefault="008570FC" w:rsidP="003379D1">
      <w:pPr>
        <w:pStyle w:val="Kop2"/>
        <w:rPr>
          <w:lang w:val="en-US"/>
        </w:rPr>
      </w:pPr>
      <w:bookmarkStart w:id="123" w:name="_Toc270770654"/>
      <w:r>
        <w:rPr>
          <w:lang w:val="en-US"/>
        </w:rPr>
        <w:t xml:space="preserve">Regression model </w:t>
      </w:r>
      <w:r w:rsidR="003379D1">
        <w:rPr>
          <w:lang w:val="en-US"/>
        </w:rPr>
        <w:t>event windows combined</w:t>
      </w:r>
      <w:bookmarkEnd w:id="123"/>
    </w:p>
    <w:p w:rsidR="003379D1" w:rsidRPr="003379D1" w:rsidRDefault="003379D1" w:rsidP="003379D1">
      <w:pPr>
        <w:rPr>
          <w:lang w:val="en-US"/>
        </w:rPr>
      </w:pPr>
      <w:r>
        <w:rPr>
          <w:lang w:val="en-US"/>
        </w:rPr>
        <w:t>The multi-factor model is used for measuring the effect of the event windows. Equation 6.2, as presented</w:t>
      </w:r>
      <w:r w:rsidR="00C53039">
        <w:rPr>
          <w:lang w:val="en-US"/>
        </w:rPr>
        <w:t xml:space="preserve"> in chapter six and here</w:t>
      </w:r>
      <w:r>
        <w:rPr>
          <w:lang w:val="en-US"/>
        </w:rPr>
        <w:t>under, measures the effect of the event windows combined.</w:t>
      </w:r>
    </w:p>
    <w:p w:rsidR="003379D1" w:rsidRPr="00DA0DCD" w:rsidRDefault="003379D1" w:rsidP="003379D1">
      <w:pPr>
        <w:rPr>
          <w:rFonts w:ascii="Times New Roman" w:hAnsi="Times New Roman" w:cs="Times New Roman"/>
          <w:b/>
          <w:lang w:val="en-US" w:eastAsia="nl-NL"/>
        </w:rPr>
      </w:pPr>
      <w:r w:rsidRPr="00DA0DCD">
        <w:rPr>
          <w:rFonts w:ascii="Times New Roman" w:hAnsi="Times New Roman" w:cs="Times New Roman"/>
          <w:b/>
          <w:lang w:val="en-US" w:eastAsia="nl-NL"/>
        </w:rPr>
        <w:t>R</w:t>
      </w:r>
      <w:r w:rsidRPr="00DA0DCD">
        <w:rPr>
          <w:rFonts w:ascii="Times New Roman" w:hAnsi="Times New Roman" w:cs="Times New Roman"/>
          <w:b/>
          <w:sz w:val="18"/>
          <w:szCs w:val="18"/>
          <w:lang w:val="en-US" w:eastAsia="nl-NL"/>
        </w:rPr>
        <w:t>it</w:t>
      </w:r>
      <w:r w:rsidRPr="00DA0DCD">
        <w:rPr>
          <w:rFonts w:ascii="Times New Roman" w:hAnsi="Times New Roman" w:cs="Times New Roman"/>
          <w:b/>
          <w:lang w:val="en-US" w:eastAsia="nl-NL"/>
        </w:rPr>
        <w:t xml:space="preserve"> = </w:t>
      </w:r>
      <w:r w:rsidRPr="00DA0DCD">
        <w:rPr>
          <w:rFonts w:ascii="Times New Roman" w:hAnsi="Times New Roman" w:cs="Times New Roman"/>
          <w:b/>
          <w:sz w:val="26"/>
          <w:szCs w:val="26"/>
          <w:lang w:val="en-US" w:eastAsia="nl-NL"/>
        </w:rPr>
        <w:t>α</w:t>
      </w:r>
      <w:r w:rsidRPr="00DA0DCD">
        <w:rPr>
          <w:rFonts w:ascii="Times New Roman" w:hAnsi="Times New Roman" w:cs="Times New Roman"/>
          <w:b/>
          <w:lang w:val="en-US" w:eastAsia="nl-NL"/>
        </w:rPr>
        <w:t>i + βi (Rm</w:t>
      </w:r>
      <w:r w:rsidRPr="00DA0DCD">
        <w:rPr>
          <w:rFonts w:ascii="Times New Roman" w:hAnsi="Times New Roman" w:cs="Times New Roman"/>
          <w:b/>
          <w:sz w:val="18"/>
          <w:szCs w:val="18"/>
          <w:lang w:val="en-US" w:eastAsia="nl-NL"/>
        </w:rPr>
        <w:t>t)</w:t>
      </w:r>
      <w:r w:rsidRPr="00DA0DCD">
        <w:rPr>
          <w:rFonts w:ascii="Times New Roman" w:hAnsi="Times New Roman" w:cs="Times New Roman"/>
          <w:b/>
          <w:lang w:val="en-US" w:eastAsia="nl-NL"/>
        </w:rPr>
        <w:t xml:space="preserve"> + γi (Δ Int</w:t>
      </w:r>
      <w:r w:rsidRPr="00DA0DCD">
        <w:rPr>
          <w:rFonts w:ascii="Times New Roman" w:hAnsi="Times New Roman" w:cs="Times New Roman"/>
          <w:b/>
          <w:sz w:val="18"/>
          <w:szCs w:val="18"/>
          <w:lang w:val="en-US" w:eastAsia="nl-NL"/>
        </w:rPr>
        <w:t>t)</w:t>
      </w:r>
      <w:r w:rsidRPr="00DA0DCD">
        <w:rPr>
          <w:rFonts w:ascii="Times New Roman" w:hAnsi="Times New Roman" w:cs="Times New Roman"/>
          <w:b/>
          <w:lang w:val="en-US" w:eastAsia="nl-NL"/>
        </w:rPr>
        <w:t xml:space="preserve"> + δi (E_Window_</w:t>
      </w:r>
      <w:r>
        <w:rPr>
          <w:rFonts w:ascii="Times New Roman" w:hAnsi="Times New Roman" w:cs="Times New Roman"/>
          <w:b/>
          <w:lang w:val="en-US" w:eastAsia="nl-NL"/>
        </w:rPr>
        <w:t>combined</w:t>
      </w:r>
      <w:r w:rsidRPr="00DA0DCD">
        <w:rPr>
          <w:rFonts w:ascii="Times New Roman" w:hAnsi="Times New Roman" w:cs="Times New Roman"/>
          <w:b/>
          <w:sz w:val="18"/>
          <w:szCs w:val="18"/>
          <w:lang w:val="en-US" w:eastAsia="nl-NL"/>
        </w:rPr>
        <w:t>t)</w:t>
      </w:r>
      <w:r w:rsidRPr="00DA0DCD">
        <w:rPr>
          <w:rFonts w:ascii="Times New Roman" w:hAnsi="Times New Roman" w:cs="Times New Roman"/>
          <w:b/>
          <w:lang w:val="en-US" w:eastAsia="nl-NL"/>
        </w:rPr>
        <w:t xml:space="preserve"> + ε</w:t>
      </w:r>
      <w:r w:rsidRPr="00DA0DCD">
        <w:rPr>
          <w:rFonts w:ascii="Times New Roman" w:hAnsi="Times New Roman" w:cs="Times New Roman"/>
          <w:b/>
          <w:sz w:val="18"/>
          <w:szCs w:val="18"/>
          <w:lang w:val="en-US" w:eastAsia="nl-NL"/>
        </w:rPr>
        <w:t>it</w:t>
      </w:r>
      <w:r w:rsidRPr="00DA0DCD">
        <w:rPr>
          <w:rFonts w:ascii="Times New Roman" w:hAnsi="Times New Roman" w:cs="Times New Roman"/>
          <w:b/>
          <w:lang w:val="en-US" w:eastAsia="nl-NL"/>
        </w:rPr>
        <w:t xml:space="preserve"> </w:t>
      </w:r>
      <w:r w:rsidRPr="00DA0DCD">
        <w:rPr>
          <w:rFonts w:ascii="Times New Roman" w:hAnsi="Times New Roman" w:cs="Times New Roman"/>
          <w:b/>
          <w:lang w:val="en-US" w:eastAsia="nl-NL"/>
        </w:rPr>
        <w:tab/>
      </w:r>
      <w:r w:rsidRPr="00DA0DCD">
        <w:rPr>
          <w:rFonts w:ascii="Times New Roman" w:hAnsi="Times New Roman" w:cs="Times New Roman"/>
          <w:b/>
          <w:lang w:val="en-US" w:eastAsia="nl-NL"/>
        </w:rPr>
        <w:tab/>
      </w:r>
      <w:r w:rsidRPr="003379D1">
        <w:rPr>
          <w:rFonts w:ascii="Times New Roman" w:hAnsi="Times New Roman" w:cs="Times New Roman"/>
          <w:lang w:val="en-US" w:eastAsia="nl-NL"/>
        </w:rPr>
        <w:t xml:space="preserve">Eq. </w:t>
      </w:r>
      <w:r w:rsidRPr="003379D1">
        <w:rPr>
          <w:rFonts w:cs="Times New Roman"/>
          <w:lang w:val="en-US" w:eastAsia="nl-NL"/>
        </w:rPr>
        <w:t>(6.2)</w:t>
      </w:r>
    </w:p>
    <w:p w:rsidR="003379D1" w:rsidRPr="00C53039" w:rsidRDefault="003379D1" w:rsidP="003379D1">
      <w:pPr>
        <w:pStyle w:val="Geenafstand"/>
        <w:rPr>
          <w:sz w:val="20"/>
          <w:szCs w:val="20"/>
          <w:lang w:val="en-US"/>
        </w:rPr>
      </w:pPr>
      <w:r w:rsidRPr="00C53039">
        <w:rPr>
          <w:sz w:val="20"/>
          <w:szCs w:val="20"/>
          <w:lang w:val="en-US"/>
        </w:rPr>
        <w:t>Where:</w:t>
      </w:r>
    </w:p>
    <w:p w:rsidR="003379D1" w:rsidRPr="00C53039" w:rsidRDefault="003379D1" w:rsidP="003379D1">
      <w:pPr>
        <w:pStyle w:val="Geenafstand"/>
        <w:rPr>
          <w:sz w:val="20"/>
          <w:szCs w:val="20"/>
          <w:lang w:val="en-US" w:eastAsia="nl-NL"/>
        </w:rPr>
      </w:pPr>
      <w:r w:rsidRPr="00C53039">
        <w:rPr>
          <w:sz w:val="20"/>
          <w:szCs w:val="20"/>
          <w:lang w:val="en-US" w:eastAsia="nl-NL"/>
        </w:rPr>
        <w:t xml:space="preserve">Rit </w:t>
      </w:r>
      <w:r w:rsidRPr="00C53039">
        <w:rPr>
          <w:sz w:val="20"/>
          <w:szCs w:val="20"/>
          <w:lang w:val="en-US" w:eastAsia="nl-NL"/>
        </w:rPr>
        <w:tab/>
      </w:r>
      <w:r w:rsidRPr="00C53039">
        <w:rPr>
          <w:sz w:val="20"/>
          <w:szCs w:val="20"/>
          <w:lang w:val="en-US" w:eastAsia="nl-NL"/>
        </w:rPr>
        <w:tab/>
        <w:t>= daily stock price return for firm i;</w:t>
      </w:r>
    </w:p>
    <w:p w:rsidR="003379D1" w:rsidRPr="00C53039" w:rsidRDefault="003379D1" w:rsidP="003379D1">
      <w:pPr>
        <w:pStyle w:val="Geenafstand"/>
        <w:rPr>
          <w:sz w:val="20"/>
          <w:szCs w:val="20"/>
          <w:lang w:val="en-US" w:eastAsia="nl-NL"/>
        </w:rPr>
      </w:pPr>
      <w:r w:rsidRPr="00C53039">
        <w:rPr>
          <w:sz w:val="20"/>
          <w:szCs w:val="20"/>
          <w:lang w:val="en-US" w:eastAsia="nl-NL"/>
        </w:rPr>
        <w:t>αi</w:t>
      </w:r>
      <w:r w:rsidRPr="00C53039">
        <w:rPr>
          <w:sz w:val="20"/>
          <w:szCs w:val="20"/>
          <w:lang w:val="en-US" w:eastAsia="nl-NL"/>
        </w:rPr>
        <w:tab/>
      </w:r>
      <w:r w:rsidRPr="00C53039">
        <w:rPr>
          <w:sz w:val="20"/>
          <w:szCs w:val="20"/>
          <w:lang w:val="en-US" w:eastAsia="nl-NL"/>
        </w:rPr>
        <w:tab/>
        <w:t>= intercept coefficient for financial institutions i;</w:t>
      </w:r>
    </w:p>
    <w:p w:rsidR="003379D1" w:rsidRPr="00C53039" w:rsidRDefault="003379D1" w:rsidP="003379D1">
      <w:pPr>
        <w:pStyle w:val="Geenafstand"/>
        <w:rPr>
          <w:sz w:val="20"/>
          <w:szCs w:val="20"/>
          <w:lang w:val="en-US" w:eastAsia="nl-NL"/>
        </w:rPr>
      </w:pPr>
      <w:r w:rsidRPr="00C53039">
        <w:rPr>
          <w:sz w:val="20"/>
          <w:szCs w:val="20"/>
          <w:lang w:val="en-US" w:eastAsia="nl-NL"/>
        </w:rPr>
        <w:t>Rmt</w:t>
      </w:r>
      <w:r w:rsidRPr="00C53039">
        <w:rPr>
          <w:sz w:val="20"/>
          <w:szCs w:val="20"/>
          <w:lang w:val="en-US" w:eastAsia="nl-NL"/>
        </w:rPr>
        <w:tab/>
      </w:r>
      <w:r w:rsidRPr="00C53039">
        <w:rPr>
          <w:sz w:val="20"/>
          <w:szCs w:val="20"/>
          <w:lang w:val="en-US" w:eastAsia="nl-NL"/>
        </w:rPr>
        <w:tab/>
        <w:t>= daily market return for the whole stock market (index);</w:t>
      </w:r>
    </w:p>
    <w:p w:rsidR="003379D1" w:rsidRPr="00C53039" w:rsidRDefault="003379D1" w:rsidP="003379D1">
      <w:pPr>
        <w:pStyle w:val="Geenafstand"/>
        <w:ind w:left="1410" w:hanging="1410"/>
        <w:rPr>
          <w:sz w:val="20"/>
          <w:szCs w:val="20"/>
          <w:lang w:val="en-US" w:eastAsia="nl-NL"/>
        </w:rPr>
      </w:pPr>
      <w:r w:rsidRPr="00C53039">
        <w:rPr>
          <w:sz w:val="20"/>
          <w:szCs w:val="20"/>
          <w:lang w:val="en-US" w:eastAsia="nl-NL"/>
        </w:rPr>
        <w:t>Δ Intt</w:t>
      </w:r>
      <w:r w:rsidRPr="00C53039">
        <w:rPr>
          <w:sz w:val="20"/>
          <w:szCs w:val="20"/>
          <w:lang w:val="en-US" w:eastAsia="nl-NL"/>
        </w:rPr>
        <w:tab/>
      </w:r>
      <w:r w:rsidRPr="00C53039">
        <w:rPr>
          <w:sz w:val="20"/>
          <w:szCs w:val="20"/>
          <w:lang w:val="en-US" w:eastAsia="nl-NL"/>
        </w:rPr>
        <w:tab/>
        <w:t>= daily changes in the European interest rates based on data from the National banks or ECB;</w:t>
      </w:r>
    </w:p>
    <w:p w:rsidR="003379D1" w:rsidRPr="00C53039" w:rsidRDefault="003379D1" w:rsidP="003379D1">
      <w:pPr>
        <w:pStyle w:val="Geenafstand"/>
        <w:ind w:left="1410" w:hanging="1410"/>
        <w:rPr>
          <w:sz w:val="20"/>
          <w:szCs w:val="20"/>
          <w:lang w:val="en-US" w:eastAsia="nl-NL"/>
        </w:rPr>
      </w:pPr>
      <w:r w:rsidRPr="00C53039">
        <w:rPr>
          <w:sz w:val="20"/>
          <w:szCs w:val="20"/>
          <w:lang w:val="en-US" w:eastAsia="nl-NL"/>
        </w:rPr>
        <w:t>E_window_</w:t>
      </w:r>
      <w:r w:rsidRPr="00C53039">
        <w:rPr>
          <w:sz w:val="20"/>
          <w:szCs w:val="20"/>
          <w:lang w:val="en-US" w:eastAsia="nl-NL"/>
        </w:rPr>
        <w:tab/>
        <w:t>= event dummy variables, which show the effect of event</w:t>
      </w:r>
    </w:p>
    <w:p w:rsidR="003379D1" w:rsidRPr="00C53039" w:rsidRDefault="003379D1" w:rsidP="003379D1">
      <w:pPr>
        <w:pStyle w:val="Geenafstand"/>
        <w:ind w:left="1410" w:hanging="1410"/>
        <w:rPr>
          <w:sz w:val="20"/>
          <w:szCs w:val="20"/>
          <w:lang w:val="en-US" w:eastAsia="nl-NL"/>
        </w:rPr>
      </w:pPr>
      <w:r w:rsidRPr="00C53039">
        <w:rPr>
          <w:sz w:val="20"/>
          <w:szCs w:val="20"/>
          <w:lang w:val="en-US" w:eastAsia="nl-NL"/>
        </w:rPr>
        <w:t>Combined</w:t>
      </w:r>
      <w:r w:rsidRPr="00C53039">
        <w:rPr>
          <w:sz w:val="20"/>
          <w:szCs w:val="20"/>
          <w:lang w:val="en-US" w:eastAsia="nl-NL"/>
        </w:rPr>
        <w:tab/>
        <w:t xml:space="preserve"> windows together;</w:t>
      </w:r>
    </w:p>
    <w:p w:rsidR="003379D1" w:rsidRPr="00C53039" w:rsidRDefault="003379D1" w:rsidP="003379D1">
      <w:pPr>
        <w:pStyle w:val="Geenafstand"/>
        <w:rPr>
          <w:sz w:val="20"/>
          <w:szCs w:val="20"/>
          <w:lang w:val="en-US"/>
        </w:rPr>
      </w:pPr>
      <w:r w:rsidRPr="00C53039">
        <w:rPr>
          <w:rFonts w:ascii="Times New Roman" w:hAnsi="Times New Roman" w:cs="Times New Roman"/>
          <w:sz w:val="20"/>
          <w:szCs w:val="20"/>
          <w:lang w:val="en-US" w:eastAsia="nl-NL"/>
        </w:rPr>
        <w:t>βi, γi</w:t>
      </w:r>
      <w:r w:rsidRPr="00C53039">
        <w:rPr>
          <w:rFonts w:ascii="Times New Roman" w:hAnsi="Times New Roman" w:cs="Times New Roman"/>
          <w:sz w:val="20"/>
          <w:szCs w:val="20"/>
          <w:lang w:val="en-US" w:eastAsia="nl-NL"/>
        </w:rPr>
        <w:tab/>
      </w:r>
      <w:r w:rsidRPr="00C53039">
        <w:rPr>
          <w:rFonts w:ascii="Times New Roman" w:hAnsi="Times New Roman" w:cs="Times New Roman"/>
          <w:sz w:val="20"/>
          <w:szCs w:val="20"/>
          <w:lang w:val="en-US" w:eastAsia="nl-NL"/>
        </w:rPr>
        <w:tab/>
      </w:r>
      <w:r w:rsidRPr="00C53039">
        <w:rPr>
          <w:sz w:val="20"/>
          <w:szCs w:val="20"/>
          <w:lang w:val="en-US"/>
        </w:rPr>
        <w:t>= the coefficients of the regression model;</w:t>
      </w:r>
    </w:p>
    <w:p w:rsidR="003379D1" w:rsidRPr="00C53039" w:rsidRDefault="003379D1" w:rsidP="003379D1">
      <w:pPr>
        <w:pStyle w:val="Geenafstand"/>
        <w:ind w:left="1410" w:hanging="1410"/>
        <w:rPr>
          <w:sz w:val="20"/>
          <w:szCs w:val="20"/>
          <w:lang w:val="en-US"/>
        </w:rPr>
      </w:pPr>
      <w:r w:rsidRPr="00C53039">
        <w:rPr>
          <w:rFonts w:ascii="Times New Roman" w:hAnsi="Times New Roman" w:cs="Times New Roman"/>
          <w:sz w:val="20"/>
          <w:szCs w:val="20"/>
          <w:lang w:val="en-US" w:eastAsia="nl-NL"/>
        </w:rPr>
        <w:t>δi</w:t>
      </w:r>
      <w:r w:rsidRPr="00C53039">
        <w:rPr>
          <w:rFonts w:ascii="Times New Roman" w:hAnsi="Times New Roman" w:cs="Times New Roman"/>
          <w:sz w:val="20"/>
          <w:szCs w:val="20"/>
          <w:lang w:val="en-US" w:eastAsia="nl-NL"/>
        </w:rPr>
        <w:tab/>
      </w:r>
      <w:r w:rsidRPr="00C53039">
        <w:rPr>
          <w:sz w:val="20"/>
          <w:szCs w:val="20"/>
          <w:lang w:val="en-US"/>
        </w:rPr>
        <w:t>= the effect of the event windows on financial institutions (sample);</w:t>
      </w:r>
    </w:p>
    <w:p w:rsidR="003379D1" w:rsidRPr="00C53039" w:rsidRDefault="003379D1" w:rsidP="003379D1">
      <w:pPr>
        <w:pStyle w:val="Geenafstand"/>
        <w:rPr>
          <w:sz w:val="20"/>
          <w:szCs w:val="20"/>
          <w:lang w:val="en-US" w:eastAsia="nl-NL"/>
        </w:rPr>
      </w:pPr>
      <w:r w:rsidRPr="00C53039">
        <w:rPr>
          <w:sz w:val="20"/>
          <w:szCs w:val="20"/>
          <w:lang w:val="en-US" w:eastAsia="nl-NL"/>
        </w:rPr>
        <w:t>εit</w:t>
      </w:r>
      <w:r w:rsidRPr="00C53039">
        <w:rPr>
          <w:sz w:val="20"/>
          <w:szCs w:val="20"/>
          <w:lang w:val="en-US" w:eastAsia="nl-NL"/>
        </w:rPr>
        <w:tab/>
      </w:r>
      <w:r w:rsidRPr="00C53039">
        <w:rPr>
          <w:sz w:val="20"/>
          <w:szCs w:val="20"/>
          <w:lang w:val="en-US" w:eastAsia="nl-NL"/>
        </w:rPr>
        <w:tab/>
        <w:t>= error term.</w:t>
      </w:r>
    </w:p>
    <w:p w:rsidR="003379D1" w:rsidRDefault="003379D1" w:rsidP="003379D1">
      <w:pPr>
        <w:pStyle w:val="Geenafstand"/>
        <w:rPr>
          <w:lang w:val="en-US" w:eastAsia="nl-NL"/>
        </w:rPr>
      </w:pPr>
    </w:p>
    <w:p w:rsidR="003F43DA" w:rsidRDefault="003F43DA" w:rsidP="003379D1">
      <w:pPr>
        <w:rPr>
          <w:lang w:val="en-US" w:eastAsia="nl-NL"/>
        </w:rPr>
      </w:pPr>
      <w:r>
        <w:rPr>
          <w:lang w:val="en-US" w:eastAsia="nl-NL"/>
        </w:rPr>
        <w:t>See chapter 6 for more information about the regression model variables.</w:t>
      </w:r>
    </w:p>
    <w:p w:rsidR="00D37967" w:rsidRDefault="003379D1" w:rsidP="003379D1">
      <w:pPr>
        <w:rPr>
          <w:lang w:val="en-US"/>
        </w:rPr>
      </w:pPr>
      <w:r w:rsidRPr="00B04816">
        <w:rPr>
          <w:lang w:val="en-US" w:eastAsia="nl-NL"/>
        </w:rPr>
        <w:t xml:space="preserve">As stated at hypothesis two, there is expected that all the five individual event windows </w:t>
      </w:r>
      <w:r w:rsidR="00B04816" w:rsidRPr="00B04816">
        <w:rPr>
          <w:lang w:val="en-US"/>
        </w:rPr>
        <w:t>increase the probability of introducing the reclassification option in IAS 39.</w:t>
      </w:r>
      <w:r w:rsidR="00B04816">
        <w:rPr>
          <w:lang w:val="en-US"/>
        </w:rPr>
        <w:t xml:space="preserve"> Therefore, the E_window</w:t>
      </w:r>
      <w:r w:rsidR="006E5F79">
        <w:rPr>
          <w:lang w:val="en-US"/>
        </w:rPr>
        <w:t>_</w:t>
      </w:r>
      <w:r w:rsidR="00B04816">
        <w:rPr>
          <w:lang w:val="en-US"/>
        </w:rPr>
        <w:t>combined variable get</w:t>
      </w:r>
      <w:r w:rsidR="00DF7279">
        <w:rPr>
          <w:lang w:val="en-US"/>
        </w:rPr>
        <w:t>s</w:t>
      </w:r>
      <w:r w:rsidR="00B04816">
        <w:rPr>
          <w:lang w:val="en-US"/>
        </w:rPr>
        <w:t xml:space="preserve"> a value of 1 during the dates of </w:t>
      </w:r>
      <w:r w:rsidR="00DF7279">
        <w:rPr>
          <w:lang w:val="en-US"/>
        </w:rPr>
        <w:t>the individual</w:t>
      </w:r>
      <w:r w:rsidR="00B04816">
        <w:rPr>
          <w:lang w:val="en-US"/>
        </w:rPr>
        <w:t xml:space="preserve"> event windows.</w:t>
      </w:r>
      <w:r w:rsidR="00DF7279">
        <w:rPr>
          <w:lang w:val="en-US"/>
        </w:rPr>
        <w:t xml:space="preserve"> </w:t>
      </w:r>
      <w:r w:rsidR="006E5F79">
        <w:rPr>
          <w:lang w:val="en-US"/>
        </w:rPr>
        <w:t xml:space="preserve">The value of 1 is positive, because of the expected increased probability and therefore an expected positive stock price reaction. </w:t>
      </w:r>
      <w:r w:rsidR="00DF7279">
        <w:rPr>
          <w:lang w:val="en-US"/>
        </w:rPr>
        <w:t>As described in paragraph 8.5</w:t>
      </w:r>
      <w:r w:rsidR="006E5F79">
        <w:rPr>
          <w:lang w:val="en-US"/>
        </w:rPr>
        <w:t xml:space="preserve">, there are different possibilities discussed as reason for the negative stock price reaction during the first through fourth event window. If one or more of the described possibilities are the reason for a negative stock price reaction, than the outcome of the event windows combined would change. Now, for the first through fourth event </w:t>
      </w:r>
      <w:r w:rsidR="00D37967">
        <w:rPr>
          <w:lang w:val="en-US"/>
        </w:rPr>
        <w:t>window,</w:t>
      </w:r>
      <w:r w:rsidR="006E5F79">
        <w:rPr>
          <w:lang w:val="en-US"/>
        </w:rPr>
        <w:t xml:space="preserve"> there is a negative stock price reaction expected and therefore the E_window_combined variable gets a value of -1.</w:t>
      </w:r>
      <w:r w:rsidR="00D37967">
        <w:rPr>
          <w:lang w:val="en-US"/>
        </w:rPr>
        <w:t xml:space="preserve"> On that moment, the outcome of the regression model will show a positive </w:t>
      </w:r>
      <w:r w:rsidR="00C53039">
        <w:rPr>
          <w:lang w:val="en-US"/>
        </w:rPr>
        <w:t>beta</w:t>
      </w:r>
      <w:r w:rsidR="00D37967">
        <w:rPr>
          <w:lang w:val="en-US"/>
        </w:rPr>
        <w:t xml:space="preserve"> </w:t>
      </w:r>
      <w:r w:rsidR="002B6F21">
        <w:rPr>
          <w:lang w:val="en-US"/>
        </w:rPr>
        <w:t>for the expected negative stock price reaction</w:t>
      </w:r>
      <w:r w:rsidR="00C53039">
        <w:rPr>
          <w:lang w:val="en-US"/>
        </w:rPr>
        <w:t xml:space="preserve"> (</w:t>
      </w:r>
      <w:r w:rsidR="00C53039" w:rsidRPr="00DA0DCD">
        <w:rPr>
          <w:rFonts w:ascii="Times New Roman" w:hAnsi="Times New Roman" w:cs="Times New Roman"/>
          <w:lang w:val="en-US" w:eastAsia="nl-NL"/>
        </w:rPr>
        <w:t>δi</w:t>
      </w:r>
      <w:r w:rsidR="00C53039">
        <w:rPr>
          <w:rFonts w:ascii="Times New Roman" w:hAnsi="Times New Roman" w:cs="Times New Roman"/>
          <w:lang w:val="en-US" w:eastAsia="nl-NL"/>
        </w:rPr>
        <w:t xml:space="preserve"> x -1)</w:t>
      </w:r>
      <w:r w:rsidR="002B6F21">
        <w:rPr>
          <w:lang w:val="en-US"/>
        </w:rPr>
        <w:t xml:space="preserve">. If there is a positive stock price reaction expected and in fact there is a negative stock price reaction, than the </w:t>
      </w:r>
      <w:r w:rsidR="00C53039">
        <w:rPr>
          <w:lang w:val="en-US"/>
        </w:rPr>
        <w:t>beta</w:t>
      </w:r>
      <w:r w:rsidR="002B6F21">
        <w:rPr>
          <w:lang w:val="en-US"/>
        </w:rPr>
        <w:t xml:space="preserve"> is negative (as by event window 1-4).</w:t>
      </w:r>
    </w:p>
    <w:p w:rsidR="003379D1" w:rsidRPr="008570FC" w:rsidRDefault="003F43DA" w:rsidP="003F43DA">
      <w:pPr>
        <w:pStyle w:val="Kop2"/>
        <w:rPr>
          <w:lang w:val="en-US"/>
        </w:rPr>
      </w:pPr>
      <w:bookmarkStart w:id="124" w:name="_Toc270770655"/>
      <w:r>
        <w:rPr>
          <w:lang w:val="en-US"/>
        </w:rPr>
        <w:t>SPSS outcome</w:t>
      </w:r>
      <w:bookmarkEnd w:id="124"/>
    </w:p>
    <w:p w:rsidR="004B03CA" w:rsidRDefault="00C53039" w:rsidP="004B03CA">
      <w:pPr>
        <w:pStyle w:val="Geenafstand"/>
        <w:rPr>
          <w:lang w:val="en-US"/>
        </w:rPr>
      </w:pPr>
      <w:r>
        <w:rPr>
          <w:lang w:val="en-US"/>
        </w:rPr>
        <w:t>The SPSS outcome of equation 6.2, after changing the predicted direction of the first through fourth event window, is presented here.</w:t>
      </w:r>
    </w:p>
    <w:p w:rsidR="00C53039" w:rsidRPr="00DA0DCD" w:rsidRDefault="00C53039" w:rsidP="004B03CA">
      <w:pPr>
        <w:pStyle w:val="Geenafstand"/>
        <w:rPr>
          <w:lang w:val="en-US"/>
        </w:rPr>
      </w:pPr>
    </w:p>
    <w:tbl>
      <w:tblPr>
        <w:tblW w:w="8931" w:type="dxa"/>
        <w:tblInd w:w="30"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CellMar>
          <w:left w:w="30" w:type="dxa"/>
          <w:right w:w="30" w:type="dxa"/>
        </w:tblCellMar>
        <w:tblLook w:val="0000"/>
      </w:tblPr>
      <w:tblGrid>
        <w:gridCol w:w="284"/>
        <w:gridCol w:w="1843"/>
        <w:gridCol w:w="567"/>
        <w:gridCol w:w="708"/>
        <w:gridCol w:w="1134"/>
        <w:gridCol w:w="709"/>
        <w:gridCol w:w="425"/>
        <w:gridCol w:w="567"/>
        <w:gridCol w:w="709"/>
        <w:gridCol w:w="567"/>
        <w:gridCol w:w="851"/>
        <w:gridCol w:w="567"/>
      </w:tblGrid>
      <w:tr w:rsidR="00835F11" w:rsidRPr="00DA0DCD" w:rsidTr="006E5F79">
        <w:trPr>
          <w:cantSplit/>
          <w:tblHeader/>
        </w:trPr>
        <w:tc>
          <w:tcPr>
            <w:tcW w:w="8931" w:type="dxa"/>
            <w:gridSpan w:val="12"/>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Coefficients</w:t>
            </w:r>
            <w:r w:rsidRPr="00DA0DCD">
              <w:rPr>
                <w:sz w:val="16"/>
                <w:szCs w:val="16"/>
                <w:vertAlign w:val="superscript"/>
                <w:lang w:val="en-US"/>
              </w:rPr>
              <w:t>a</w:t>
            </w:r>
          </w:p>
        </w:tc>
      </w:tr>
      <w:tr w:rsidR="00835F11" w:rsidRPr="00DA0DCD" w:rsidTr="006E5F79">
        <w:trPr>
          <w:cantSplit/>
          <w:tblHeader/>
        </w:trPr>
        <w:tc>
          <w:tcPr>
            <w:tcW w:w="2127" w:type="dxa"/>
            <w:gridSpan w:val="2"/>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Model</w:t>
            </w:r>
          </w:p>
        </w:tc>
        <w:tc>
          <w:tcPr>
            <w:tcW w:w="1275" w:type="dxa"/>
            <w:gridSpan w:val="2"/>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Unstandardized Coefficients</w:t>
            </w:r>
          </w:p>
        </w:tc>
        <w:tc>
          <w:tcPr>
            <w:tcW w:w="1134"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Standardized Coefficients</w:t>
            </w:r>
          </w:p>
        </w:tc>
        <w:tc>
          <w:tcPr>
            <w:tcW w:w="709" w:type="dxa"/>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t</w:t>
            </w:r>
          </w:p>
        </w:tc>
        <w:tc>
          <w:tcPr>
            <w:tcW w:w="425" w:type="dxa"/>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Sig.</w:t>
            </w:r>
          </w:p>
        </w:tc>
        <w:tc>
          <w:tcPr>
            <w:tcW w:w="1843" w:type="dxa"/>
            <w:gridSpan w:val="3"/>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Correlations</w:t>
            </w:r>
          </w:p>
        </w:tc>
        <w:tc>
          <w:tcPr>
            <w:tcW w:w="1418" w:type="dxa"/>
            <w:gridSpan w:val="2"/>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Collinearity Statistics</w:t>
            </w:r>
          </w:p>
        </w:tc>
      </w:tr>
      <w:tr w:rsidR="00835F11" w:rsidRPr="00DA0DCD" w:rsidTr="006E5F79">
        <w:trPr>
          <w:cantSplit/>
          <w:tblHeader/>
        </w:trPr>
        <w:tc>
          <w:tcPr>
            <w:tcW w:w="2127" w:type="dxa"/>
            <w:gridSpan w:val="2"/>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B</w:t>
            </w:r>
          </w:p>
        </w:tc>
        <w:tc>
          <w:tcPr>
            <w:tcW w:w="708"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Std. Error</w:t>
            </w:r>
          </w:p>
        </w:tc>
        <w:tc>
          <w:tcPr>
            <w:tcW w:w="1134"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Beta</w:t>
            </w:r>
          </w:p>
        </w:tc>
        <w:tc>
          <w:tcPr>
            <w:tcW w:w="709" w:type="dxa"/>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425" w:type="dxa"/>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Zero-order</w:t>
            </w:r>
          </w:p>
        </w:tc>
        <w:tc>
          <w:tcPr>
            <w:tcW w:w="709"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Partial</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Part</w:t>
            </w:r>
          </w:p>
        </w:tc>
        <w:tc>
          <w:tcPr>
            <w:tcW w:w="851"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Tolerance</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VIF</w:t>
            </w:r>
          </w:p>
        </w:tc>
      </w:tr>
      <w:tr w:rsidR="00835F11" w:rsidRPr="00DA0DCD" w:rsidTr="006E5F79">
        <w:trPr>
          <w:cantSplit/>
          <w:tblHeader/>
        </w:trPr>
        <w:tc>
          <w:tcPr>
            <w:tcW w:w="284" w:type="dxa"/>
            <w:vMerge w:val="restart"/>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1</w:t>
            </w:r>
          </w:p>
        </w:tc>
        <w:tc>
          <w:tcPr>
            <w:tcW w:w="1843"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(Constant)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708"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1134" w:type="dxa"/>
            <w:shd w:val="clear" w:color="auto" w:fill="FFFFFF"/>
            <w:tcMar>
              <w:top w:w="30" w:type="dxa"/>
              <w:left w:w="30" w:type="dxa"/>
              <w:bottom w:w="30" w:type="dxa"/>
              <w:right w:w="30" w:type="dxa"/>
            </w:tcMar>
          </w:tcPr>
          <w:p w:rsidR="00835F11" w:rsidRPr="00DA0DCD" w:rsidRDefault="00835F11" w:rsidP="006E5F79">
            <w:pPr>
              <w:pStyle w:val="Geenafstand"/>
              <w:rPr>
                <w:rFonts w:cs="Times New Roman"/>
                <w:sz w:val="16"/>
                <w:szCs w:val="16"/>
                <w:lang w:val="en-US"/>
              </w:rPr>
            </w:pP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-,491</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,623</w:t>
            </w: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cs="Times New Roman"/>
                <w:sz w:val="16"/>
                <w:szCs w:val="16"/>
                <w:lang w:val="en-US"/>
              </w:rPr>
            </w:pPr>
          </w:p>
        </w:tc>
        <w:tc>
          <w:tcPr>
            <w:tcW w:w="709" w:type="dxa"/>
            <w:shd w:val="clear" w:color="auto" w:fill="FFFFFF"/>
            <w:tcMar>
              <w:top w:w="30" w:type="dxa"/>
              <w:left w:w="30" w:type="dxa"/>
              <w:bottom w:w="30" w:type="dxa"/>
              <w:right w:w="30" w:type="dxa"/>
            </w:tcMar>
          </w:tcPr>
          <w:p w:rsidR="00835F11" w:rsidRPr="00DA0DCD" w:rsidRDefault="00835F11" w:rsidP="006E5F79">
            <w:pPr>
              <w:pStyle w:val="Geenafstand"/>
              <w:rPr>
                <w:rFonts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cs="Times New Roman"/>
                <w:sz w:val="16"/>
                <w:szCs w:val="16"/>
                <w:lang w:val="en-US"/>
              </w:rPr>
            </w:pPr>
          </w:p>
        </w:tc>
        <w:tc>
          <w:tcPr>
            <w:tcW w:w="851" w:type="dxa"/>
            <w:shd w:val="clear" w:color="auto" w:fill="FFFFFF"/>
            <w:tcMar>
              <w:top w:w="30" w:type="dxa"/>
              <w:left w:w="30" w:type="dxa"/>
              <w:bottom w:w="30" w:type="dxa"/>
              <w:right w:w="30" w:type="dxa"/>
            </w:tcMar>
          </w:tcPr>
          <w:p w:rsidR="00835F11" w:rsidRPr="00DA0DCD" w:rsidRDefault="00835F11" w:rsidP="006E5F79">
            <w:pPr>
              <w:pStyle w:val="Geenafstand"/>
              <w:rPr>
                <w:rFonts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cs="Times New Roman"/>
                <w:sz w:val="16"/>
                <w:szCs w:val="16"/>
                <w:lang w:val="en-US"/>
              </w:rPr>
            </w:pP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rFonts w:cs="Times New Roman"/>
                <w:sz w:val="16"/>
                <w:szCs w:val="16"/>
                <w:lang w:val="en-US"/>
              </w:rPr>
            </w:pPr>
          </w:p>
        </w:tc>
        <w:tc>
          <w:tcPr>
            <w:tcW w:w="1843"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Rmt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,758</w:t>
            </w:r>
          </w:p>
        </w:tc>
        <w:tc>
          <w:tcPr>
            <w:tcW w:w="708"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,004</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,407</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172,861</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,000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,407</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,407</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,406</w:t>
            </w:r>
          </w:p>
        </w:tc>
        <w:tc>
          <w:tcPr>
            <w:tcW w:w="851"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,998</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1,002</w:t>
            </w: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p>
        </w:tc>
        <w:tc>
          <w:tcPr>
            <w:tcW w:w="1843"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Intt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-,022</w:t>
            </w:r>
          </w:p>
        </w:tc>
        <w:tc>
          <w:tcPr>
            <w:tcW w:w="708"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,007</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-,008</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-3,306</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,001</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-,019</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-,009</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-,008</w:t>
            </w:r>
          </w:p>
        </w:tc>
        <w:tc>
          <w:tcPr>
            <w:tcW w:w="851"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,992</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1,008</w:t>
            </w: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p>
        </w:tc>
        <w:tc>
          <w:tcPr>
            <w:tcW w:w="1843"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Windows_Combined</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,004</w:t>
            </w:r>
          </w:p>
        </w:tc>
        <w:tc>
          <w:tcPr>
            <w:tcW w:w="708"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,019</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8,134</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,000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,033</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,021</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,019</w:t>
            </w:r>
          </w:p>
        </w:tc>
        <w:tc>
          <w:tcPr>
            <w:tcW w:w="851"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,991</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1,009</w:t>
            </w:r>
          </w:p>
        </w:tc>
      </w:tr>
      <w:tr w:rsidR="00835F11" w:rsidRPr="00DA0DCD" w:rsidTr="006E5F79">
        <w:trPr>
          <w:cantSplit/>
        </w:trPr>
        <w:tc>
          <w:tcPr>
            <w:tcW w:w="8931" w:type="dxa"/>
            <w:gridSpan w:val="12"/>
            <w:shd w:val="clear" w:color="auto" w:fill="FFFFFF"/>
            <w:tcMar>
              <w:top w:w="30" w:type="dxa"/>
              <w:left w:w="30" w:type="dxa"/>
              <w:bottom w:w="30" w:type="dxa"/>
              <w:right w:w="30" w:type="dxa"/>
            </w:tcMar>
          </w:tcPr>
          <w:p w:rsidR="00835F11" w:rsidRPr="00DA0DCD" w:rsidRDefault="00835F11" w:rsidP="006E5F79">
            <w:pPr>
              <w:pStyle w:val="Geenafstand"/>
              <w:rPr>
                <w:rFonts w:cs="Times New Roman"/>
                <w:sz w:val="16"/>
                <w:szCs w:val="16"/>
                <w:lang w:val="en-US"/>
              </w:rPr>
            </w:pPr>
            <w:r w:rsidRPr="00DA0DCD">
              <w:rPr>
                <w:sz w:val="16"/>
                <w:szCs w:val="16"/>
                <w:lang w:val="en-US"/>
              </w:rPr>
              <w:t>a. Dependent Variable: Rit</w:t>
            </w:r>
          </w:p>
        </w:tc>
      </w:tr>
    </w:tbl>
    <w:p w:rsidR="00835F11" w:rsidRDefault="00835F11" w:rsidP="00835F11">
      <w:pPr>
        <w:rPr>
          <w:lang w:val="en-US"/>
        </w:rPr>
      </w:pPr>
      <w:r w:rsidRPr="00DA0DCD">
        <w:rPr>
          <w:lang w:val="en-US"/>
        </w:rPr>
        <w:t xml:space="preserve">Table </w:t>
      </w:r>
      <w:r w:rsidR="003F43DA">
        <w:rPr>
          <w:lang w:val="en-US"/>
        </w:rPr>
        <w:t>G</w:t>
      </w:r>
      <w:r w:rsidRPr="00DA0DCD">
        <w:rPr>
          <w:lang w:val="en-US"/>
        </w:rPr>
        <w:t>.</w:t>
      </w:r>
      <w:r w:rsidR="003F43DA">
        <w:rPr>
          <w:lang w:val="en-US"/>
        </w:rPr>
        <w:t>1</w:t>
      </w:r>
      <w:r w:rsidRPr="00DA0DCD">
        <w:rPr>
          <w:lang w:val="en-US"/>
        </w:rPr>
        <w:t xml:space="preserve"> (change of table D.6)</w:t>
      </w:r>
      <w:r w:rsidR="003F43DA">
        <w:rPr>
          <w:lang w:val="en-US"/>
        </w:rPr>
        <w:t xml:space="preserve"> Financial institutions sample</w:t>
      </w:r>
    </w:p>
    <w:tbl>
      <w:tblPr>
        <w:tblW w:w="7938" w:type="dxa"/>
        <w:tblInd w:w="30"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CellMar>
          <w:left w:w="30" w:type="dxa"/>
          <w:right w:w="30" w:type="dxa"/>
        </w:tblCellMar>
        <w:tblLook w:val="0000"/>
      </w:tblPr>
      <w:tblGrid>
        <w:gridCol w:w="284"/>
        <w:gridCol w:w="850"/>
        <w:gridCol w:w="567"/>
        <w:gridCol w:w="709"/>
        <w:gridCol w:w="1134"/>
        <w:gridCol w:w="709"/>
        <w:gridCol w:w="425"/>
        <w:gridCol w:w="709"/>
        <w:gridCol w:w="567"/>
        <w:gridCol w:w="567"/>
        <w:gridCol w:w="850"/>
        <w:gridCol w:w="567"/>
      </w:tblGrid>
      <w:tr w:rsidR="00835F11" w:rsidRPr="00DA0DCD" w:rsidTr="006E5F79">
        <w:trPr>
          <w:cantSplit/>
          <w:tblHeader/>
        </w:trPr>
        <w:tc>
          <w:tcPr>
            <w:tcW w:w="7938" w:type="dxa"/>
            <w:gridSpan w:val="12"/>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lastRenderedPageBreak/>
              <w:t>Coefficients</w:t>
            </w:r>
            <w:r w:rsidRPr="00DA0DCD">
              <w:rPr>
                <w:b/>
                <w:sz w:val="16"/>
                <w:szCs w:val="16"/>
                <w:vertAlign w:val="superscript"/>
                <w:lang w:val="en-US"/>
              </w:rPr>
              <w:t>a</w:t>
            </w:r>
          </w:p>
        </w:tc>
      </w:tr>
      <w:tr w:rsidR="00835F11" w:rsidRPr="00DA0DCD" w:rsidTr="006E5F79">
        <w:trPr>
          <w:cantSplit/>
          <w:tblHeader/>
        </w:trPr>
        <w:tc>
          <w:tcPr>
            <w:tcW w:w="1134" w:type="dxa"/>
            <w:gridSpan w:val="2"/>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Model</w:t>
            </w:r>
          </w:p>
        </w:tc>
        <w:tc>
          <w:tcPr>
            <w:tcW w:w="1276" w:type="dxa"/>
            <w:gridSpan w:val="2"/>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Unstandardized Coefficients</w:t>
            </w:r>
          </w:p>
        </w:tc>
        <w:tc>
          <w:tcPr>
            <w:tcW w:w="1134"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Standardized Coefficients</w:t>
            </w:r>
          </w:p>
        </w:tc>
        <w:tc>
          <w:tcPr>
            <w:tcW w:w="709" w:type="dxa"/>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t</w:t>
            </w:r>
          </w:p>
        </w:tc>
        <w:tc>
          <w:tcPr>
            <w:tcW w:w="425" w:type="dxa"/>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Sig.</w:t>
            </w:r>
          </w:p>
        </w:tc>
        <w:tc>
          <w:tcPr>
            <w:tcW w:w="1843" w:type="dxa"/>
            <w:gridSpan w:val="3"/>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Correlations</w:t>
            </w:r>
          </w:p>
        </w:tc>
        <w:tc>
          <w:tcPr>
            <w:tcW w:w="1417" w:type="dxa"/>
            <w:gridSpan w:val="2"/>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Collinearity Statistics</w:t>
            </w:r>
          </w:p>
        </w:tc>
      </w:tr>
      <w:tr w:rsidR="00835F11" w:rsidRPr="00DA0DCD" w:rsidTr="006E5F79">
        <w:trPr>
          <w:cantSplit/>
          <w:tblHeader/>
        </w:trPr>
        <w:tc>
          <w:tcPr>
            <w:tcW w:w="1134" w:type="dxa"/>
            <w:gridSpan w:val="2"/>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B</w:t>
            </w:r>
          </w:p>
        </w:tc>
        <w:tc>
          <w:tcPr>
            <w:tcW w:w="709"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Std. Error</w:t>
            </w:r>
          </w:p>
        </w:tc>
        <w:tc>
          <w:tcPr>
            <w:tcW w:w="1134"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Beta</w:t>
            </w:r>
          </w:p>
        </w:tc>
        <w:tc>
          <w:tcPr>
            <w:tcW w:w="709" w:type="dxa"/>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425" w:type="dxa"/>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709"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Zero-order</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Partial</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Part</w:t>
            </w:r>
          </w:p>
        </w:tc>
        <w:tc>
          <w:tcPr>
            <w:tcW w:w="850"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Tolerance</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VIF</w:t>
            </w:r>
          </w:p>
        </w:tc>
      </w:tr>
      <w:tr w:rsidR="00835F11" w:rsidRPr="00DA0DCD" w:rsidTr="006E5F79">
        <w:trPr>
          <w:cantSplit/>
          <w:tblHeader/>
        </w:trPr>
        <w:tc>
          <w:tcPr>
            <w:tcW w:w="284" w:type="dxa"/>
            <w:vMerge w:val="restart"/>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1</w:t>
            </w: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(Constant)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1134"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1,075</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,283</w:t>
            </w:r>
          </w:p>
        </w:tc>
        <w:tc>
          <w:tcPr>
            <w:tcW w:w="709"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Rmt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,933</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,007</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,512</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139,424</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,000</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,512</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,511</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,511</w:t>
            </w:r>
          </w:p>
        </w:tc>
        <w:tc>
          <w:tcPr>
            <w:tcW w:w="850"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,998</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1,002</w:t>
            </w: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Intt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-,002</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,011</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-,165</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,869</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-,015</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850"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,991</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1,009</w:t>
            </w: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Windows_Combined</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,002</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,001</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,012</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3,126</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,002</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,032</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,013</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,011</w:t>
            </w:r>
          </w:p>
        </w:tc>
        <w:tc>
          <w:tcPr>
            <w:tcW w:w="850"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1,010</w:t>
            </w:r>
          </w:p>
        </w:tc>
      </w:tr>
      <w:tr w:rsidR="00835F11" w:rsidRPr="00DA0DCD" w:rsidTr="006E5F79">
        <w:trPr>
          <w:cantSplit/>
        </w:trPr>
        <w:tc>
          <w:tcPr>
            <w:tcW w:w="7938" w:type="dxa"/>
            <w:gridSpan w:val="12"/>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r w:rsidRPr="00DA0DCD">
              <w:rPr>
                <w:sz w:val="16"/>
                <w:szCs w:val="16"/>
                <w:lang w:val="en-US"/>
              </w:rPr>
              <w:t>a. Dependent Variable: Rit</w:t>
            </w:r>
          </w:p>
        </w:tc>
      </w:tr>
    </w:tbl>
    <w:p w:rsidR="00835F11" w:rsidRPr="00DA0DCD" w:rsidRDefault="00835F11" w:rsidP="00835F11">
      <w:pPr>
        <w:rPr>
          <w:sz w:val="18"/>
          <w:szCs w:val="18"/>
          <w:lang w:val="en-US"/>
        </w:rPr>
      </w:pPr>
      <w:r w:rsidRPr="00DA0DCD">
        <w:rPr>
          <w:lang w:val="en-US"/>
        </w:rPr>
        <w:t xml:space="preserve">Table </w:t>
      </w:r>
      <w:r w:rsidR="003F43DA">
        <w:rPr>
          <w:lang w:val="en-US"/>
        </w:rPr>
        <w:t>G</w:t>
      </w:r>
      <w:r w:rsidRPr="00DA0DCD">
        <w:rPr>
          <w:lang w:val="en-US"/>
        </w:rPr>
        <w:t>.</w:t>
      </w:r>
      <w:r w:rsidR="003F43DA">
        <w:rPr>
          <w:lang w:val="en-US"/>
        </w:rPr>
        <w:t>2</w:t>
      </w:r>
      <w:r w:rsidRPr="00DA0DCD">
        <w:rPr>
          <w:lang w:val="en-US"/>
        </w:rPr>
        <w:t xml:space="preserve"> (change of table D.14)</w:t>
      </w:r>
      <w:r w:rsidR="003F43DA">
        <w:rPr>
          <w:lang w:val="en-US"/>
        </w:rPr>
        <w:t xml:space="preserve"> Banks + insurance companies sample</w:t>
      </w:r>
    </w:p>
    <w:tbl>
      <w:tblPr>
        <w:tblW w:w="7938" w:type="dxa"/>
        <w:tblInd w:w="30" w:type="dxa"/>
        <w:tblBorders>
          <w:top w:val="single" w:sz="8" w:space="0" w:color="FF0000"/>
          <w:left w:val="single" w:sz="8" w:space="0" w:color="FF0000"/>
          <w:bottom w:val="single" w:sz="8" w:space="0" w:color="FF0000"/>
          <w:right w:val="single" w:sz="8" w:space="0" w:color="FF0000"/>
          <w:insideH w:val="single" w:sz="6" w:space="0" w:color="FF0000"/>
          <w:insideV w:val="single" w:sz="6" w:space="0" w:color="FF0000"/>
        </w:tblBorders>
        <w:tblLayout w:type="fixed"/>
        <w:tblCellMar>
          <w:left w:w="30" w:type="dxa"/>
          <w:right w:w="30" w:type="dxa"/>
        </w:tblCellMar>
        <w:tblLook w:val="0000"/>
      </w:tblPr>
      <w:tblGrid>
        <w:gridCol w:w="284"/>
        <w:gridCol w:w="850"/>
        <w:gridCol w:w="567"/>
        <w:gridCol w:w="709"/>
        <w:gridCol w:w="1134"/>
        <w:gridCol w:w="709"/>
        <w:gridCol w:w="425"/>
        <w:gridCol w:w="567"/>
        <w:gridCol w:w="709"/>
        <w:gridCol w:w="567"/>
        <w:gridCol w:w="850"/>
        <w:gridCol w:w="567"/>
      </w:tblGrid>
      <w:tr w:rsidR="00835F11" w:rsidRPr="00DA0DCD" w:rsidTr="006E5F79">
        <w:trPr>
          <w:cantSplit/>
          <w:tblHeader/>
        </w:trPr>
        <w:tc>
          <w:tcPr>
            <w:tcW w:w="7938" w:type="dxa"/>
            <w:gridSpan w:val="12"/>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835F11" w:rsidRPr="00DA0DCD" w:rsidTr="006E5F79">
        <w:trPr>
          <w:cantSplit/>
          <w:tblHeader/>
        </w:trPr>
        <w:tc>
          <w:tcPr>
            <w:tcW w:w="1134" w:type="dxa"/>
            <w:gridSpan w:val="2"/>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Model</w:t>
            </w:r>
          </w:p>
        </w:tc>
        <w:tc>
          <w:tcPr>
            <w:tcW w:w="1276" w:type="dxa"/>
            <w:gridSpan w:val="2"/>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Unstandardized Coefficients</w:t>
            </w:r>
          </w:p>
        </w:tc>
        <w:tc>
          <w:tcPr>
            <w:tcW w:w="1134"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Standardized Coefficients</w:t>
            </w:r>
          </w:p>
        </w:tc>
        <w:tc>
          <w:tcPr>
            <w:tcW w:w="709" w:type="dxa"/>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t</w:t>
            </w:r>
          </w:p>
        </w:tc>
        <w:tc>
          <w:tcPr>
            <w:tcW w:w="425" w:type="dxa"/>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Sig.</w:t>
            </w:r>
          </w:p>
        </w:tc>
        <w:tc>
          <w:tcPr>
            <w:tcW w:w="1843" w:type="dxa"/>
            <w:gridSpan w:val="3"/>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Correlations</w:t>
            </w:r>
          </w:p>
        </w:tc>
        <w:tc>
          <w:tcPr>
            <w:tcW w:w="1417" w:type="dxa"/>
            <w:gridSpan w:val="2"/>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Collinearity Statistics</w:t>
            </w:r>
          </w:p>
        </w:tc>
      </w:tr>
      <w:tr w:rsidR="00835F11" w:rsidRPr="00DA0DCD" w:rsidTr="006E5F79">
        <w:trPr>
          <w:cantSplit/>
          <w:tblHeader/>
        </w:trPr>
        <w:tc>
          <w:tcPr>
            <w:tcW w:w="1134" w:type="dxa"/>
            <w:gridSpan w:val="2"/>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B</w:t>
            </w:r>
          </w:p>
        </w:tc>
        <w:tc>
          <w:tcPr>
            <w:tcW w:w="709"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Std. Error</w:t>
            </w:r>
          </w:p>
        </w:tc>
        <w:tc>
          <w:tcPr>
            <w:tcW w:w="1134"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Beta</w:t>
            </w:r>
          </w:p>
        </w:tc>
        <w:tc>
          <w:tcPr>
            <w:tcW w:w="709" w:type="dxa"/>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425" w:type="dxa"/>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Zero-order</w:t>
            </w:r>
          </w:p>
        </w:tc>
        <w:tc>
          <w:tcPr>
            <w:tcW w:w="709"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Partial</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Part</w:t>
            </w:r>
          </w:p>
        </w:tc>
        <w:tc>
          <w:tcPr>
            <w:tcW w:w="850"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Tolerance</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VIF</w:t>
            </w:r>
          </w:p>
        </w:tc>
      </w:tr>
      <w:tr w:rsidR="00835F11" w:rsidRPr="00DA0DCD" w:rsidTr="006E5F79">
        <w:trPr>
          <w:cantSplit/>
          <w:tblHeader/>
        </w:trPr>
        <w:tc>
          <w:tcPr>
            <w:tcW w:w="284" w:type="dxa"/>
            <w:vMerge w:val="restart"/>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1</w:t>
            </w: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(Constant)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1134"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,046</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,963</w:t>
            </w: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709"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Rmt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,959</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,009</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,519</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109,609</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,000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,520</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,519</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,518</w:t>
            </w:r>
          </w:p>
        </w:tc>
        <w:tc>
          <w:tcPr>
            <w:tcW w:w="850"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,997</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1,003</w:t>
            </w: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Intt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,010</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,015</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,003</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,721</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,471</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-,015</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,004</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,003</w:t>
            </w:r>
          </w:p>
        </w:tc>
        <w:tc>
          <w:tcPr>
            <w:tcW w:w="850"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1,010</w:t>
            </w: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Windows_Combined</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,002</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,001</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,012</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2,506</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,012</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,035</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,014</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,012</w:t>
            </w:r>
          </w:p>
        </w:tc>
        <w:tc>
          <w:tcPr>
            <w:tcW w:w="850"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,989</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1,011</w:t>
            </w:r>
          </w:p>
        </w:tc>
      </w:tr>
      <w:tr w:rsidR="00835F11" w:rsidRPr="00DA0DCD" w:rsidTr="006E5F79">
        <w:trPr>
          <w:cantSplit/>
        </w:trPr>
        <w:tc>
          <w:tcPr>
            <w:tcW w:w="7938" w:type="dxa"/>
            <w:gridSpan w:val="12"/>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r w:rsidRPr="00DA0DCD">
              <w:rPr>
                <w:sz w:val="16"/>
                <w:szCs w:val="16"/>
                <w:lang w:val="en-US"/>
              </w:rPr>
              <w:t>a. Dependent Variable: Rit</w:t>
            </w:r>
          </w:p>
        </w:tc>
      </w:tr>
    </w:tbl>
    <w:p w:rsidR="00835F11" w:rsidRPr="00DA0DCD" w:rsidRDefault="00835F11" w:rsidP="00835F11">
      <w:pPr>
        <w:rPr>
          <w:sz w:val="18"/>
          <w:szCs w:val="18"/>
          <w:lang w:val="en-US"/>
        </w:rPr>
      </w:pPr>
      <w:r w:rsidRPr="00DA0DCD">
        <w:rPr>
          <w:lang w:val="en-US"/>
        </w:rPr>
        <w:t xml:space="preserve">Table </w:t>
      </w:r>
      <w:r w:rsidR="003F43DA">
        <w:rPr>
          <w:lang w:val="en-US"/>
        </w:rPr>
        <w:t>G</w:t>
      </w:r>
      <w:r w:rsidRPr="00DA0DCD">
        <w:rPr>
          <w:lang w:val="en-US"/>
        </w:rPr>
        <w:t>.3 (change of table D.22)</w:t>
      </w:r>
      <w:r w:rsidR="003F43DA">
        <w:rPr>
          <w:lang w:val="en-US"/>
        </w:rPr>
        <w:t xml:space="preserve"> Banks sample</w:t>
      </w:r>
    </w:p>
    <w:tbl>
      <w:tblPr>
        <w:tblW w:w="7797" w:type="dxa"/>
        <w:tblInd w:w="30" w:type="dxa"/>
        <w:tblBorders>
          <w:top w:val="single" w:sz="8" w:space="0" w:color="FF0000"/>
          <w:left w:val="single" w:sz="8" w:space="0" w:color="FF0000"/>
          <w:bottom w:val="single" w:sz="8" w:space="0" w:color="FF0000"/>
          <w:right w:val="single" w:sz="8" w:space="0" w:color="FF0000"/>
          <w:insideH w:val="single" w:sz="6" w:space="0" w:color="FF0000"/>
          <w:insideV w:val="single" w:sz="6" w:space="0" w:color="FF0000"/>
        </w:tblBorders>
        <w:tblLayout w:type="fixed"/>
        <w:tblCellMar>
          <w:left w:w="30" w:type="dxa"/>
          <w:right w:w="30" w:type="dxa"/>
        </w:tblCellMar>
        <w:tblLook w:val="0000"/>
      </w:tblPr>
      <w:tblGrid>
        <w:gridCol w:w="284"/>
        <w:gridCol w:w="850"/>
        <w:gridCol w:w="567"/>
        <w:gridCol w:w="709"/>
        <w:gridCol w:w="1134"/>
        <w:gridCol w:w="567"/>
        <w:gridCol w:w="425"/>
        <w:gridCol w:w="567"/>
        <w:gridCol w:w="709"/>
        <w:gridCol w:w="567"/>
        <w:gridCol w:w="851"/>
        <w:gridCol w:w="567"/>
      </w:tblGrid>
      <w:tr w:rsidR="00835F11" w:rsidRPr="00DA0DCD" w:rsidTr="006E5F79">
        <w:trPr>
          <w:cantSplit/>
          <w:tblHeader/>
        </w:trPr>
        <w:tc>
          <w:tcPr>
            <w:tcW w:w="7797" w:type="dxa"/>
            <w:gridSpan w:val="12"/>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835F11" w:rsidRPr="00DA0DCD" w:rsidTr="006E5F79">
        <w:trPr>
          <w:cantSplit/>
          <w:tblHeader/>
        </w:trPr>
        <w:tc>
          <w:tcPr>
            <w:tcW w:w="1134" w:type="dxa"/>
            <w:gridSpan w:val="2"/>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Model</w:t>
            </w:r>
          </w:p>
        </w:tc>
        <w:tc>
          <w:tcPr>
            <w:tcW w:w="1276" w:type="dxa"/>
            <w:gridSpan w:val="2"/>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Unstandardized Coefficients</w:t>
            </w:r>
          </w:p>
        </w:tc>
        <w:tc>
          <w:tcPr>
            <w:tcW w:w="1134"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Standardized Coefficients</w:t>
            </w:r>
          </w:p>
        </w:tc>
        <w:tc>
          <w:tcPr>
            <w:tcW w:w="567" w:type="dxa"/>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t</w:t>
            </w:r>
          </w:p>
        </w:tc>
        <w:tc>
          <w:tcPr>
            <w:tcW w:w="425" w:type="dxa"/>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Sig.</w:t>
            </w:r>
          </w:p>
        </w:tc>
        <w:tc>
          <w:tcPr>
            <w:tcW w:w="1843" w:type="dxa"/>
            <w:gridSpan w:val="3"/>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Correlations</w:t>
            </w:r>
          </w:p>
        </w:tc>
        <w:tc>
          <w:tcPr>
            <w:tcW w:w="1418" w:type="dxa"/>
            <w:gridSpan w:val="2"/>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Collinearity Statistics</w:t>
            </w:r>
          </w:p>
        </w:tc>
      </w:tr>
      <w:tr w:rsidR="00835F11" w:rsidRPr="00DA0DCD" w:rsidTr="006E5F79">
        <w:trPr>
          <w:cantSplit/>
          <w:tblHeader/>
        </w:trPr>
        <w:tc>
          <w:tcPr>
            <w:tcW w:w="1134" w:type="dxa"/>
            <w:gridSpan w:val="2"/>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B</w:t>
            </w:r>
          </w:p>
        </w:tc>
        <w:tc>
          <w:tcPr>
            <w:tcW w:w="709"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Std. Error</w:t>
            </w:r>
          </w:p>
        </w:tc>
        <w:tc>
          <w:tcPr>
            <w:tcW w:w="1134"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Beta</w:t>
            </w:r>
          </w:p>
        </w:tc>
        <w:tc>
          <w:tcPr>
            <w:tcW w:w="567" w:type="dxa"/>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425" w:type="dxa"/>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Zero-order</w:t>
            </w:r>
          </w:p>
        </w:tc>
        <w:tc>
          <w:tcPr>
            <w:tcW w:w="709"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Partial</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Part</w:t>
            </w:r>
          </w:p>
        </w:tc>
        <w:tc>
          <w:tcPr>
            <w:tcW w:w="851"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Tolerance</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VIF</w:t>
            </w:r>
          </w:p>
        </w:tc>
      </w:tr>
      <w:tr w:rsidR="00835F11" w:rsidRPr="00DA0DCD" w:rsidTr="006E5F79">
        <w:trPr>
          <w:cantSplit/>
          <w:tblHeader/>
        </w:trPr>
        <w:tc>
          <w:tcPr>
            <w:tcW w:w="284" w:type="dxa"/>
            <w:vMerge w:val="restart"/>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1</w:t>
            </w: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(Constant)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1134"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1,723</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,085</w:t>
            </w: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709"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851"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Rmt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,894</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,010</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,501</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86,255</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,501</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,500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,500</w:t>
            </w:r>
          </w:p>
        </w:tc>
        <w:tc>
          <w:tcPr>
            <w:tcW w:w="851"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,999</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1,001</w:t>
            </w: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Intt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-,016</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,016</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-,006</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-,989</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,323</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-,014</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-,007</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-,006</w:t>
            </w:r>
          </w:p>
        </w:tc>
        <w:tc>
          <w:tcPr>
            <w:tcW w:w="851"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,993</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1,007</w:t>
            </w: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Windows_Combined</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,002</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,001</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,011</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1,855</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,064</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,028</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,012</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,011</w:t>
            </w:r>
          </w:p>
        </w:tc>
        <w:tc>
          <w:tcPr>
            <w:tcW w:w="851"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,992</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1,008</w:t>
            </w:r>
          </w:p>
        </w:tc>
      </w:tr>
      <w:tr w:rsidR="00835F11" w:rsidRPr="00DA0DCD" w:rsidTr="006E5F79">
        <w:trPr>
          <w:cantSplit/>
        </w:trPr>
        <w:tc>
          <w:tcPr>
            <w:tcW w:w="7797" w:type="dxa"/>
            <w:gridSpan w:val="12"/>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r w:rsidRPr="00DA0DCD">
              <w:rPr>
                <w:sz w:val="16"/>
                <w:szCs w:val="16"/>
                <w:lang w:val="en-US"/>
              </w:rPr>
              <w:t>a. Dependent Variable: Rit</w:t>
            </w:r>
          </w:p>
        </w:tc>
      </w:tr>
    </w:tbl>
    <w:p w:rsidR="00835F11" w:rsidRPr="00DA0DCD" w:rsidRDefault="00835F11" w:rsidP="00835F11">
      <w:pPr>
        <w:rPr>
          <w:sz w:val="18"/>
          <w:szCs w:val="18"/>
          <w:lang w:val="en-US"/>
        </w:rPr>
      </w:pPr>
      <w:r w:rsidRPr="00DA0DCD">
        <w:rPr>
          <w:lang w:val="en-US"/>
        </w:rPr>
        <w:t xml:space="preserve">Table </w:t>
      </w:r>
      <w:r w:rsidR="003F43DA">
        <w:rPr>
          <w:lang w:val="en-US"/>
        </w:rPr>
        <w:t>G</w:t>
      </w:r>
      <w:r w:rsidRPr="00DA0DCD">
        <w:rPr>
          <w:lang w:val="en-US"/>
        </w:rPr>
        <w:t>.</w:t>
      </w:r>
      <w:r w:rsidR="003F43DA">
        <w:rPr>
          <w:lang w:val="en-US"/>
        </w:rPr>
        <w:t>4</w:t>
      </w:r>
      <w:r w:rsidRPr="00DA0DCD">
        <w:rPr>
          <w:lang w:val="en-US"/>
        </w:rPr>
        <w:t xml:space="preserve"> (change of table D.30)</w:t>
      </w:r>
      <w:r w:rsidR="003F43DA">
        <w:rPr>
          <w:lang w:val="en-US"/>
        </w:rPr>
        <w:t xml:space="preserve"> Insurance companies sample</w:t>
      </w:r>
    </w:p>
    <w:tbl>
      <w:tblPr>
        <w:tblW w:w="7938" w:type="dxa"/>
        <w:tblInd w:w="30" w:type="dxa"/>
        <w:tblBorders>
          <w:top w:val="single" w:sz="8" w:space="0" w:color="FF0000"/>
          <w:left w:val="single" w:sz="8" w:space="0" w:color="FF0000"/>
          <w:bottom w:val="single" w:sz="8" w:space="0" w:color="FF0000"/>
          <w:right w:val="single" w:sz="8" w:space="0" w:color="FF0000"/>
          <w:insideH w:val="single" w:sz="6" w:space="0" w:color="FF0000"/>
          <w:insideV w:val="single" w:sz="6" w:space="0" w:color="FF0000"/>
        </w:tblBorders>
        <w:tblLayout w:type="fixed"/>
        <w:tblCellMar>
          <w:left w:w="30" w:type="dxa"/>
          <w:right w:w="30" w:type="dxa"/>
        </w:tblCellMar>
        <w:tblLook w:val="0000"/>
      </w:tblPr>
      <w:tblGrid>
        <w:gridCol w:w="284"/>
        <w:gridCol w:w="850"/>
        <w:gridCol w:w="567"/>
        <w:gridCol w:w="709"/>
        <w:gridCol w:w="1134"/>
        <w:gridCol w:w="709"/>
        <w:gridCol w:w="425"/>
        <w:gridCol w:w="567"/>
        <w:gridCol w:w="709"/>
        <w:gridCol w:w="567"/>
        <w:gridCol w:w="850"/>
        <w:gridCol w:w="567"/>
      </w:tblGrid>
      <w:tr w:rsidR="00835F11" w:rsidRPr="00DA0DCD" w:rsidTr="006E5F79">
        <w:trPr>
          <w:cantSplit/>
          <w:tblHeader/>
        </w:trPr>
        <w:tc>
          <w:tcPr>
            <w:tcW w:w="7938" w:type="dxa"/>
            <w:gridSpan w:val="12"/>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Coefficients</w:t>
            </w:r>
            <w:r w:rsidRPr="00DA0DCD">
              <w:rPr>
                <w:b/>
                <w:sz w:val="16"/>
                <w:szCs w:val="16"/>
                <w:vertAlign w:val="superscript"/>
                <w:lang w:val="en-US"/>
              </w:rPr>
              <w:t>a</w:t>
            </w:r>
          </w:p>
        </w:tc>
      </w:tr>
      <w:tr w:rsidR="00835F11" w:rsidRPr="00DA0DCD" w:rsidTr="006E5F79">
        <w:trPr>
          <w:cantSplit/>
          <w:tblHeader/>
        </w:trPr>
        <w:tc>
          <w:tcPr>
            <w:tcW w:w="1134" w:type="dxa"/>
            <w:gridSpan w:val="2"/>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Model</w:t>
            </w:r>
          </w:p>
        </w:tc>
        <w:tc>
          <w:tcPr>
            <w:tcW w:w="1276" w:type="dxa"/>
            <w:gridSpan w:val="2"/>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Unstandardized Coefficients</w:t>
            </w:r>
          </w:p>
        </w:tc>
        <w:tc>
          <w:tcPr>
            <w:tcW w:w="1134"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Standardized Coefficients</w:t>
            </w:r>
          </w:p>
        </w:tc>
        <w:tc>
          <w:tcPr>
            <w:tcW w:w="709" w:type="dxa"/>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t</w:t>
            </w:r>
          </w:p>
        </w:tc>
        <w:tc>
          <w:tcPr>
            <w:tcW w:w="425" w:type="dxa"/>
            <w:vMerge w:val="restart"/>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Sig.</w:t>
            </w:r>
          </w:p>
        </w:tc>
        <w:tc>
          <w:tcPr>
            <w:tcW w:w="1843" w:type="dxa"/>
            <w:gridSpan w:val="3"/>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Correlations</w:t>
            </w:r>
          </w:p>
        </w:tc>
        <w:tc>
          <w:tcPr>
            <w:tcW w:w="1417" w:type="dxa"/>
            <w:gridSpan w:val="2"/>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Collinearity Statistics</w:t>
            </w:r>
          </w:p>
        </w:tc>
      </w:tr>
      <w:tr w:rsidR="00835F11" w:rsidRPr="00DA0DCD" w:rsidTr="006E5F79">
        <w:trPr>
          <w:cantSplit/>
          <w:tblHeader/>
        </w:trPr>
        <w:tc>
          <w:tcPr>
            <w:tcW w:w="1134" w:type="dxa"/>
            <w:gridSpan w:val="2"/>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B</w:t>
            </w:r>
          </w:p>
        </w:tc>
        <w:tc>
          <w:tcPr>
            <w:tcW w:w="709"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Std. Error</w:t>
            </w:r>
          </w:p>
        </w:tc>
        <w:tc>
          <w:tcPr>
            <w:tcW w:w="1134"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Beta</w:t>
            </w:r>
          </w:p>
        </w:tc>
        <w:tc>
          <w:tcPr>
            <w:tcW w:w="709" w:type="dxa"/>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425" w:type="dxa"/>
            <w:vMerge/>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Zero-order</w:t>
            </w:r>
          </w:p>
        </w:tc>
        <w:tc>
          <w:tcPr>
            <w:tcW w:w="709"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Partial</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Part</w:t>
            </w:r>
          </w:p>
        </w:tc>
        <w:tc>
          <w:tcPr>
            <w:tcW w:w="850"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Tolerance</w:t>
            </w:r>
          </w:p>
        </w:tc>
        <w:tc>
          <w:tcPr>
            <w:tcW w:w="567" w:type="dxa"/>
            <w:shd w:val="clear" w:color="auto" w:fill="FFFFFF"/>
            <w:tcMar>
              <w:top w:w="30" w:type="dxa"/>
              <w:left w:w="30" w:type="dxa"/>
              <w:bottom w:w="30" w:type="dxa"/>
              <w:right w:w="30" w:type="dxa"/>
            </w:tcMar>
            <w:vAlign w:val="bottom"/>
          </w:tcPr>
          <w:p w:rsidR="00835F11" w:rsidRPr="00DA0DCD" w:rsidRDefault="00835F11" w:rsidP="006E5F79">
            <w:pPr>
              <w:pStyle w:val="Geenafstand"/>
              <w:rPr>
                <w:sz w:val="16"/>
                <w:szCs w:val="16"/>
                <w:lang w:val="en-US"/>
              </w:rPr>
            </w:pPr>
            <w:r w:rsidRPr="00DA0DCD">
              <w:rPr>
                <w:sz w:val="16"/>
                <w:szCs w:val="16"/>
                <w:lang w:val="en-US"/>
              </w:rPr>
              <w:t>VIF</w:t>
            </w:r>
          </w:p>
        </w:tc>
      </w:tr>
      <w:tr w:rsidR="00835F11" w:rsidRPr="00DA0DCD" w:rsidTr="006E5F79">
        <w:trPr>
          <w:cantSplit/>
          <w:tblHeader/>
        </w:trPr>
        <w:tc>
          <w:tcPr>
            <w:tcW w:w="284" w:type="dxa"/>
            <w:vMerge w:val="restart"/>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1</w:t>
            </w: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(Constant)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,000</w:t>
            </w:r>
          </w:p>
        </w:tc>
        <w:tc>
          <w:tcPr>
            <w:tcW w:w="1134"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-1,192</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,233</w:t>
            </w: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709"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567" w:type="dxa"/>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Rmt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,658</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,006</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,348</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115,073</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,000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,349</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,348</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,348</w:t>
            </w:r>
          </w:p>
        </w:tc>
        <w:tc>
          <w:tcPr>
            <w:tcW w:w="850"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,999</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1,001</w:t>
            </w: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Intt</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-,032</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,008</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-,011</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-3,748</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,000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-,021</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-,012</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-,011</w:t>
            </w:r>
          </w:p>
        </w:tc>
        <w:tc>
          <w:tcPr>
            <w:tcW w:w="850"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,992</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1,008</w:t>
            </w:r>
          </w:p>
        </w:tc>
      </w:tr>
      <w:tr w:rsidR="00835F11" w:rsidRPr="00DA0DCD" w:rsidTr="006E5F79">
        <w:trPr>
          <w:cantSplit/>
          <w:tblHeader/>
        </w:trPr>
        <w:tc>
          <w:tcPr>
            <w:tcW w:w="284" w:type="dxa"/>
            <w:vMerge/>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p>
        </w:tc>
        <w:tc>
          <w:tcPr>
            <w:tcW w:w="850" w:type="dxa"/>
            <w:shd w:val="clear" w:color="auto" w:fill="FFFFFF"/>
            <w:tcMar>
              <w:top w:w="30" w:type="dxa"/>
              <w:left w:w="30" w:type="dxa"/>
              <w:bottom w:w="30" w:type="dxa"/>
              <w:right w:w="30" w:type="dxa"/>
            </w:tcMar>
          </w:tcPr>
          <w:p w:rsidR="00835F11" w:rsidRPr="00DA0DCD" w:rsidRDefault="00835F11" w:rsidP="006E5F79">
            <w:pPr>
              <w:pStyle w:val="Geenafstand"/>
              <w:rPr>
                <w:sz w:val="16"/>
                <w:szCs w:val="16"/>
                <w:lang w:val="en-US"/>
              </w:rPr>
            </w:pPr>
            <w:r w:rsidRPr="00DA0DCD">
              <w:rPr>
                <w:sz w:val="16"/>
                <w:szCs w:val="16"/>
                <w:lang w:val="en-US"/>
              </w:rPr>
              <w:t>Windows_Combined</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,004</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,001</w:t>
            </w:r>
          </w:p>
        </w:tc>
        <w:tc>
          <w:tcPr>
            <w:tcW w:w="1134"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,023</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7,538</w:t>
            </w:r>
          </w:p>
        </w:tc>
        <w:tc>
          <w:tcPr>
            <w:tcW w:w="425" w:type="dxa"/>
            <w:shd w:val="clear" w:color="auto" w:fill="FFFFFF"/>
            <w:tcMar>
              <w:top w:w="30" w:type="dxa"/>
              <w:left w:w="30" w:type="dxa"/>
              <w:bottom w:w="30" w:type="dxa"/>
              <w:right w:w="30" w:type="dxa"/>
            </w:tcMar>
            <w:vAlign w:val="center"/>
          </w:tcPr>
          <w:p w:rsidR="00835F11" w:rsidRPr="00DA0DCD" w:rsidRDefault="00835F11" w:rsidP="006E5F79">
            <w:pPr>
              <w:pStyle w:val="Geenafstand"/>
              <w:rPr>
                <w:b/>
                <w:sz w:val="16"/>
                <w:szCs w:val="16"/>
                <w:lang w:val="en-US"/>
              </w:rPr>
            </w:pPr>
            <w:r w:rsidRPr="00DA0DCD">
              <w:rPr>
                <w:b/>
                <w:sz w:val="16"/>
                <w:szCs w:val="16"/>
                <w:lang w:val="en-US"/>
              </w:rPr>
              <w:t>,000</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,034</w:t>
            </w:r>
          </w:p>
        </w:tc>
        <w:tc>
          <w:tcPr>
            <w:tcW w:w="709"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,024</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,023</w:t>
            </w:r>
          </w:p>
        </w:tc>
        <w:tc>
          <w:tcPr>
            <w:tcW w:w="850"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,992</w:t>
            </w:r>
          </w:p>
        </w:tc>
        <w:tc>
          <w:tcPr>
            <w:tcW w:w="567" w:type="dxa"/>
            <w:shd w:val="clear" w:color="auto" w:fill="FFFFFF"/>
            <w:tcMar>
              <w:top w:w="30" w:type="dxa"/>
              <w:left w:w="30" w:type="dxa"/>
              <w:bottom w:w="30" w:type="dxa"/>
              <w:right w:w="30" w:type="dxa"/>
            </w:tcMar>
            <w:vAlign w:val="center"/>
          </w:tcPr>
          <w:p w:rsidR="00835F11" w:rsidRPr="00DA0DCD" w:rsidRDefault="00835F11" w:rsidP="006E5F79">
            <w:pPr>
              <w:pStyle w:val="Geenafstand"/>
              <w:rPr>
                <w:sz w:val="16"/>
                <w:szCs w:val="16"/>
                <w:lang w:val="en-US"/>
              </w:rPr>
            </w:pPr>
            <w:r w:rsidRPr="00DA0DCD">
              <w:rPr>
                <w:sz w:val="16"/>
                <w:szCs w:val="16"/>
                <w:lang w:val="en-US"/>
              </w:rPr>
              <w:t>1,008</w:t>
            </w:r>
          </w:p>
        </w:tc>
      </w:tr>
      <w:tr w:rsidR="00835F11" w:rsidRPr="00DA0DCD" w:rsidTr="006E5F79">
        <w:trPr>
          <w:cantSplit/>
        </w:trPr>
        <w:tc>
          <w:tcPr>
            <w:tcW w:w="7938" w:type="dxa"/>
            <w:gridSpan w:val="12"/>
            <w:shd w:val="clear" w:color="auto" w:fill="FFFFFF"/>
            <w:tcMar>
              <w:top w:w="30" w:type="dxa"/>
              <w:left w:w="30" w:type="dxa"/>
              <w:bottom w:w="30" w:type="dxa"/>
              <w:right w:w="30" w:type="dxa"/>
            </w:tcMar>
          </w:tcPr>
          <w:p w:rsidR="00835F11" w:rsidRPr="00DA0DCD" w:rsidRDefault="00835F11" w:rsidP="006E5F79">
            <w:pPr>
              <w:pStyle w:val="Geenafstand"/>
              <w:rPr>
                <w:rFonts w:ascii="Times New Roman" w:hAnsi="Times New Roman" w:cs="Times New Roman"/>
                <w:sz w:val="16"/>
                <w:szCs w:val="16"/>
                <w:lang w:val="en-US"/>
              </w:rPr>
            </w:pPr>
            <w:r w:rsidRPr="00DA0DCD">
              <w:rPr>
                <w:sz w:val="16"/>
                <w:szCs w:val="16"/>
                <w:lang w:val="en-US"/>
              </w:rPr>
              <w:t>a. Dependent Variable: Rit</w:t>
            </w:r>
          </w:p>
        </w:tc>
      </w:tr>
    </w:tbl>
    <w:p w:rsidR="00835F11" w:rsidRPr="00DA0DCD" w:rsidRDefault="00835F11" w:rsidP="00835F11">
      <w:pPr>
        <w:rPr>
          <w:sz w:val="18"/>
          <w:szCs w:val="18"/>
          <w:lang w:val="en-US"/>
        </w:rPr>
      </w:pPr>
      <w:r w:rsidRPr="00DA0DCD">
        <w:rPr>
          <w:lang w:val="en-US"/>
        </w:rPr>
        <w:t xml:space="preserve">Table </w:t>
      </w:r>
      <w:r w:rsidR="003F43DA">
        <w:rPr>
          <w:lang w:val="en-US"/>
        </w:rPr>
        <w:t>G</w:t>
      </w:r>
      <w:r w:rsidRPr="00DA0DCD">
        <w:rPr>
          <w:lang w:val="en-US"/>
        </w:rPr>
        <w:t>.</w:t>
      </w:r>
      <w:r w:rsidR="003F43DA">
        <w:rPr>
          <w:lang w:val="en-US"/>
        </w:rPr>
        <w:t>5</w:t>
      </w:r>
      <w:r w:rsidRPr="00DA0DCD">
        <w:rPr>
          <w:lang w:val="en-US"/>
        </w:rPr>
        <w:t xml:space="preserve"> (change of table D.38)</w:t>
      </w:r>
      <w:r w:rsidR="003F43DA">
        <w:rPr>
          <w:lang w:val="en-US"/>
        </w:rPr>
        <w:t xml:space="preserve"> “Other financial institutions” sample</w:t>
      </w:r>
    </w:p>
    <w:p w:rsidR="00592154" w:rsidRPr="00DA0DCD" w:rsidRDefault="00592154" w:rsidP="00592154">
      <w:pPr>
        <w:rPr>
          <w:lang w:val="en-US"/>
        </w:rPr>
      </w:pPr>
    </w:p>
    <w:p w:rsidR="0087717C" w:rsidRPr="00DA0DCD" w:rsidRDefault="0087717C" w:rsidP="00592154">
      <w:pPr>
        <w:pStyle w:val="Geenafstand"/>
        <w:rPr>
          <w:lang w:val="en-US"/>
        </w:rPr>
      </w:pPr>
    </w:p>
    <w:sectPr w:rsidR="0087717C" w:rsidRPr="00DA0DCD" w:rsidSect="00592154">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432C" w:rsidRDefault="0045432C" w:rsidP="006D1206">
      <w:pPr>
        <w:spacing w:after="0" w:line="240" w:lineRule="auto"/>
      </w:pPr>
      <w:r>
        <w:separator/>
      </w:r>
    </w:p>
  </w:endnote>
  <w:endnote w:type="continuationSeparator" w:id="0">
    <w:p w:rsidR="0045432C" w:rsidRDefault="0045432C" w:rsidP="006D12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83" w:usb1="00000000" w:usb2="00000000" w:usb3="00000000" w:csb0="00000009" w:csb1="00000000"/>
  </w:font>
  <w:font w:name="TimesNewRomanPS-BoldMT">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459629"/>
      <w:docPartObj>
        <w:docPartGallery w:val="Page Numbers (Bottom of Page)"/>
        <w:docPartUnique/>
      </w:docPartObj>
    </w:sdtPr>
    <w:sdtContent>
      <w:p w:rsidR="0045432C" w:rsidRDefault="00E77D2A">
        <w:pPr>
          <w:pStyle w:val="Voettekst"/>
          <w:jc w:val="right"/>
        </w:pPr>
        <w:fldSimple w:instr=" PAGE   \* MERGEFORMAT ">
          <w:r w:rsidR="00872F8A">
            <w:rPr>
              <w:noProof/>
            </w:rPr>
            <w:t>75</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432C" w:rsidRDefault="0045432C" w:rsidP="006D1206">
      <w:pPr>
        <w:spacing w:after="0" w:line="240" w:lineRule="auto"/>
      </w:pPr>
      <w:r>
        <w:separator/>
      </w:r>
    </w:p>
  </w:footnote>
  <w:footnote w:type="continuationSeparator" w:id="0">
    <w:p w:rsidR="0045432C" w:rsidRDefault="0045432C" w:rsidP="006D1206">
      <w:pPr>
        <w:spacing w:after="0" w:line="240" w:lineRule="auto"/>
      </w:pPr>
      <w:r>
        <w:continuationSeparator/>
      </w:r>
    </w:p>
  </w:footnote>
  <w:footnote w:id="1">
    <w:p w:rsidR="0045432C" w:rsidRPr="00316E20" w:rsidRDefault="0045432C" w:rsidP="00BD3264">
      <w:pPr>
        <w:pStyle w:val="Geenafstand"/>
        <w:rPr>
          <w:rFonts w:cstheme="minorHAnsi"/>
          <w:sz w:val="20"/>
          <w:szCs w:val="20"/>
        </w:rPr>
      </w:pPr>
      <w:r w:rsidRPr="00316E20">
        <w:rPr>
          <w:rStyle w:val="Voetnootmarkering"/>
          <w:rFonts w:cstheme="minorHAnsi"/>
          <w:sz w:val="20"/>
          <w:szCs w:val="20"/>
        </w:rPr>
        <w:footnoteRef/>
      </w:r>
      <w:r w:rsidRPr="00316E20">
        <w:rPr>
          <w:rFonts w:cstheme="minorHAnsi"/>
          <w:sz w:val="20"/>
          <w:szCs w:val="20"/>
        </w:rPr>
        <w:t xml:space="preserve"> </w:t>
      </w:r>
      <w:hyperlink r:id="rId1" w:history="1">
        <w:r w:rsidRPr="00316E20">
          <w:rPr>
            <w:rStyle w:val="Hyperlink"/>
            <w:rFonts w:cstheme="minorHAnsi"/>
            <w:sz w:val="20"/>
            <w:szCs w:val="20"/>
            <w:lang w:val="en-US"/>
          </w:rPr>
          <w:t>http://ec.europa.eu/internal_market/smn/smn27/s27mn10.htm</w:t>
        </w:r>
      </w:hyperlink>
    </w:p>
  </w:footnote>
  <w:footnote w:id="2">
    <w:p w:rsidR="0045432C" w:rsidRPr="00316E20" w:rsidRDefault="0045432C">
      <w:pPr>
        <w:pStyle w:val="Voetnoottekst"/>
        <w:rPr>
          <w:rFonts w:asciiTheme="minorHAnsi" w:hAnsiTheme="minorHAnsi" w:cstheme="minorHAnsi"/>
          <w:lang w:val="nl-NL"/>
        </w:rPr>
      </w:pPr>
      <w:r w:rsidRPr="00316E20">
        <w:rPr>
          <w:rStyle w:val="Voetnootmarkering"/>
          <w:rFonts w:asciiTheme="minorHAnsi" w:hAnsiTheme="minorHAnsi" w:cstheme="minorHAnsi"/>
        </w:rPr>
        <w:footnoteRef/>
      </w:r>
      <w:r w:rsidRPr="00316E20">
        <w:rPr>
          <w:rFonts w:asciiTheme="minorHAnsi" w:hAnsiTheme="minorHAnsi" w:cstheme="minorHAnsi"/>
          <w:lang w:val="nl-NL"/>
        </w:rPr>
        <w:t xml:space="preserve"> </w:t>
      </w:r>
      <w:hyperlink r:id="rId2" w:history="1">
        <w:r w:rsidR="00DA0C79" w:rsidRPr="00BC40D5">
          <w:rPr>
            <w:rStyle w:val="Hyperlink"/>
            <w:rFonts w:asciiTheme="minorHAnsi" w:hAnsiTheme="minorHAnsi" w:cstheme="minorHAnsi"/>
            <w:lang w:val="nl-NL"/>
          </w:rPr>
          <w:t>http://ec.europa.eu/internal_market/accounting/ias/ias_39_carve-out_en.htm</w:t>
        </w:r>
      </w:hyperlink>
    </w:p>
  </w:footnote>
  <w:footnote w:id="3">
    <w:p w:rsidR="0045432C" w:rsidRPr="002A02F9" w:rsidRDefault="0045432C">
      <w:pPr>
        <w:pStyle w:val="Voetnoottekst"/>
        <w:rPr>
          <w:lang w:val="nl-NL"/>
        </w:rPr>
      </w:pPr>
      <w:r w:rsidRPr="00316E20">
        <w:rPr>
          <w:rStyle w:val="Voetnootmarkering"/>
          <w:rFonts w:asciiTheme="minorHAnsi" w:hAnsiTheme="minorHAnsi" w:cstheme="minorHAnsi"/>
        </w:rPr>
        <w:footnoteRef/>
      </w:r>
      <w:r w:rsidRPr="00316E20">
        <w:rPr>
          <w:rFonts w:asciiTheme="minorHAnsi" w:hAnsiTheme="minorHAnsi" w:cstheme="minorHAnsi"/>
          <w:lang w:val="nl-NL"/>
        </w:rPr>
        <w:t xml:space="preserve"> </w:t>
      </w:r>
      <w:hyperlink r:id="rId3" w:history="1">
        <w:r w:rsidRPr="00316E20">
          <w:rPr>
            <w:rStyle w:val="Hyperlink"/>
            <w:rFonts w:asciiTheme="minorHAnsi" w:hAnsiTheme="minorHAnsi" w:cstheme="minorHAnsi"/>
            <w:lang w:val="nl-NL"/>
          </w:rPr>
          <w:t>http://ec.europa.eu/internal_market/accounting/legal_framework/regulations_adopting_ias_text_en.htm</w:t>
        </w:r>
      </w:hyperlink>
      <w:r w:rsidRPr="004B4C34">
        <w:rPr>
          <w:lang w:val="nl-NL"/>
        </w:rPr>
        <w:t xml:space="preserve"> </w:t>
      </w:r>
    </w:p>
  </w:footnote>
  <w:footnote w:id="4">
    <w:p w:rsidR="0045432C" w:rsidRPr="002A02F9" w:rsidRDefault="0045432C">
      <w:pPr>
        <w:pStyle w:val="Voetnoottekst"/>
        <w:rPr>
          <w:rFonts w:asciiTheme="minorHAnsi" w:hAnsiTheme="minorHAnsi"/>
          <w:lang w:val="en-US"/>
        </w:rPr>
      </w:pPr>
      <w:r w:rsidRPr="00462BB6">
        <w:rPr>
          <w:rStyle w:val="Voetnootmarkering"/>
          <w:rFonts w:asciiTheme="minorHAnsi" w:hAnsiTheme="minorHAnsi"/>
        </w:rPr>
        <w:footnoteRef/>
      </w:r>
      <w:r w:rsidRPr="00462BB6">
        <w:rPr>
          <w:rFonts w:asciiTheme="minorHAnsi" w:hAnsiTheme="minorHAnsi"/>
        </w:rPr>
        <w:t xml:space="preserve"> “The Group of Twenty (G-20) Finance Ministers and Central Bank Governors was established in 1999 to bring together systemically important industrialized and developing economies to discuss key issues in the global economy.” (www.g20.org)</w:t>
      </w:r>
    </w:p>
  </w:footnote>
  <w:footnote w:id="5">
    <w:p w:rsidR="0045432C" w:rsidRPr="001D103F" w:rsidRDefault="0045432C" w:rsidP="001D103F">
      <w:pPr>
        <w:pStyle w:val="Voetnoottekst"/>
        <w:rPr>
          <w:lang w:val="en-US"/>
        </w:rPr>
      </w:pPr>
      <w:r>
        <w:rPr>
          <w:rStyle w:val="Voetnootmarkering"/>
        </w:rPr>
        <w:footnoteRef/>
      </w:r>
      <w:r w:rsidRPr="001D103F">
        <w:rPr>
          <w:rFonts w:asciiTheme="minorHAnsi" w:hAnsiTheme="minorHAnsi"/>
        </w:rPr>
        <w:t>http://www.iasb.org/News/Press+Releases/IASB+amendments+permit+reclassification+of+financial+instruments.htm</w:t>
      </w:r>
    </w:p>
  </w:footnote>
  <w:footnote w:id="6">
    <w:p w:rsidR="0045432C" w:rsidRPr="002A02F9" w:rsidRDefault="0045432C">
      <w:pPr>
        <w:pStyle w:val="Voetnoottekst"/>
        <w:rPr>
          <w:rFonts w:asciiTheme="minorHAnsi" w:hAnsiTheme="minorHAnsi"/>
          <w:lang w:val="en-US"/>
        </w:rPr>
      </w:pPr>
      <w:r w:rsidRPr="00A001A3">
        <w:rPr>
          <w:rStyle w:val="Voetnootmarkering"/>
          <w:rFonts w:asciiTheme="minorHAnsi" w:hAnsiTheme="minorHAnsi"/>
        </w:rPr>
        <w:footnoteRef/>
      </w:r>
      <w:r w:rsidRPr="00A001A3">
        <w:rPr>
          <w:rFonts w:asciiTheme="minorHAnsi" w:hAnsiTheme="minorHAnsi"/>
        </w:rPr>
        <w:t xml:space="preserve"> </w:t>
      </w:r>
      <w:r w:rsidRPr="00A001A3">
        <w:rPr>
          <w:rFonts w:asciiTheme="minorHAnsi" w:hAnsiTheme="minorHAnsi" w:cs="Times New Roman"/>
        </w:rPr>
        <w:t>Committee of European Securities Regulators</w:t>
      </w:r>
    </w:p>
  </w:footnote>
  <w:footnote w:id="7">
    <w:p w:rsidR="0045432C" w:rsidRPr="002A02F9" w:rsidRDefault="0045432C">
      <w:pPr>
        <w:pStyle w:val="Voetnoottekst"/>
        <w:rPr>
          <w:rFonts w:asciiTheme="minorHAnsi" w:hAnsiTheme="minorHAnsi"/>
          <w:lang w:val="en-US"/>
        </w:rPr>
      </w:pPr>
      <w:r w:rsidRPr="004E19A8">
        <w:rPr>
          <w:rStyle w:val="Voetnootmarkering"/>
          <w:rFonts w:asciiTheme="minorHAnsi" w:hAnsiTheme="minorHAnsi"/>
        </w:rPr>
        <w:footnoteRef/>
      </w:r>
      <w:r w:rsidRPr="004E19A8">
        <w:rPr>
          <w:rFonts w:asciiTheme="minorHAnsi" w:hAnsiTheme="minorHAnsi"/>
        </w:rPr>
        <w:t xml:space="preserve"> http://www.iasb.org/News/Press+Releases/IASB+Responds+to+G20+Recommendations+and+US+GAAP +Guidance.htm</w:t>
      </w:r>
    </w:p>
  </w:footnote>
  <w:footnote w:id="8">
    <w:p w:rsidR="0045432C" w:rsidRPr="00F31E1A" w:rsidRDefault="0045432C" w:rsidP="00AE5F44">
      <w:pPr>
        <w:pStyle w:val="Voetnoottekst"/>
        <w:rPr>
          <w:rFonts w:asciiTheme="minorHAnsi" w:hAnsiTheme="minorHAnsi"/>
        </w:rPr>
      </w:pPr>
      <w:r w:rsidRPr="00F31E1A">
        <w:rPr>
          <w:rStyle w:val="Voetnootmarkering"/>
          <w:rFonts w:asciiTheme="minorHAnsi" w:hAnsiTheme="minorHAnsi"/>
        </w:rPr>
        <w:footnoteRef/>
      </w:r>
      <w:r w:rsidRPr="00F31E1A">
        <w:rPr>
          <w:rFonts w:asciiTheme="minorHAnsi" w:hAnsiTheme="minorHAnsi"/>
        </w:rPr>
        <w:t xml:space="preserve"> </w:t>
      </w:r>
      <w:r w:rsidRPr="00F31E1A">
        <w:rPr>
          <w:rFonts w:asciiTheme="minorHAnsi" w:hAnsiTheme="minorHAnsi" w:cs="Times New Roman"/>
        </w:rPr>
        <w:t>Information obtained from annual reports of financial institutions</w:t>
      </w:r>
    </w:p>
  </w:footnote>
  <w:footnote w:id="9">
    <w:p w:rsidR="0045432C" w:rsidRPr="009638E0" w:rsidRDefault="0045432C" w:rsidP="009638E0">
      <w:pPr>
        <w:pStyle w:val="Geenafstand"/>
        <w:rPr>
          <w:sz w:val="20"/>
          <w:szCs w:val="20"/>
          <w:lang w:val="en-US"/>
        </w:rPr>
      </w:pPr>
      <w:r w:rsidRPr="009638E0">
        <w:rPr>
          <w:rStyle w:val="Voetnootmarkering"/>
          <w:sz w:val="20"/>
          <w:szCs w:val="20"/>
        </w:rPr>
        <w:footnoteRef/>
      </w:r>
      <w:r w:rsidRPr="009638E0">
        <w:rPr>
          <w:sz w:val="20"/>
          <w:szCs w:val="20"/>
          <w:lang w:val="en-US"/>
        </w:rPr>
        <w:t xml:space="preserve"> Basel Committee on Banking Supervision (2004) http://www.bis.org/publ/bcbs107.pdf</w:t>
      </w:r>
    </w:p>
  </w:footnote>
  <w:footnote w:id="10">
    <w:p w:rsidR="0045432C" w:rsidRPr="000443F0" w:rsidRDefault="0045432C" w:rsidP="009638E0">
      <w:pPr>
        <w:pStyle w:val="Geenafstand"/>
        <w:rPr>
          <w:lang w:val="en-US"/>
        </w:rPr>
      </w:pPr>
      <w:r w:rsidRPr="009638E0">
        <w:rPr>
          <w:rStyle w:val="Voetnootmarkering"/>
          <w:sz w:val="20"/>
          <w:szCs w:val="20"/>
        </w:rPr>
        <w:footnoteRef/>
      </w:r>
      <w:r w:rsidRPr="009638E0">
        <w:rPr>
          <w:sz w:val="20"/>
          <w:szCs w:val="20"/>
          <w:lang w:val="en-US"/>
        </w:rPr>
        <w:t xml:space="preserve"> Basel Committee on Banking Supervision (2004) http://www.bis.org/publ/bcbs107.pdf</w:t>
      </w:r>
    </w:p>
  </w:footnote>
  <w:footnote w:id="11">
    <w:p w:rsidR="0045432C" w:rsidRPr="0043369D" w:rsidRDefault="0045432C">
      <w:pPr>
        <w:pStyle w:val="Voetnoottekst"/>
        <w:rPr>
          <w:rFonts w:asciiTheme="minorHAnsi" w:hAnsiTheme="minorHAnsi"/>
          <w:lang w:val="en-US"/>
        </w:rPr>
      </w:pPr>
      <w:r w:rsidRPr="0043369D">
        <w:rPr>
          <w:rStyle w:val="Voetnootmarkering"/>
          <w:rFonts w:asciiTheme="minorHAnsi" w:hAnsiTheme="minorHAnsi"/>
        </w:rPr>
        <w:footnoteRef/>
      </w:r>
      <w:r w:rsidRPr="0043369D">
        <w:rPr>
          <w:rFonts w:asciiTheme="minorHAnsi" w:hAnsiTheme="minorHAnsi"/>
        </w:rPr>
        <w:t xml:space="preserve"> European Commission: </w:t>
      </w:r>
      <w:hyperlink r:id="rId4" w:history="1">
        <w:r w:rsidRPr="0043369D">
          <w:rPr>
            <w:rStyle w:val="Hyperlink"/>
            <w:rFonts w:asciiTheme="minorHAnsi" w:hAnsiTheme="minorHAnsi"/>
            <w:lang w:val="en-US"/>
          </w:rPr>
          <w:t>http://ec.europa.eu/internal_market/insurance/solvency/background_en.htm</w:t>
        </w:r>
      </w:hyperlink>
    </w:p>
  </w:footnote>
  <w:footnote w:id="12">
    <w:p w:rsidR="0045432C" w:rsidRPr="0043369D" w:rsidRDefault="0045432C">
      <w:pPr>
        <w:pStyle w:val="Voetnoottekst"/>
        <w:rPr>
          <w:rFonts w:asciiTheme="minorHAnsi" w:hAnsiTheme="minorHAnsi"/>
        </w:rPr>
      </w:pPr>
      <w:r w:rsidRPr="0043369D">
        <w:rPr>
          <w:rStyle w:val="Voetnootmarkering"/>
          <w:rFonts w:asciiTheme="minorHAnsi" w:hAnsiTheme="minorHAnsi"/>
        </w:rPr>
        <w:footnoteRef/>
      </w:r>
      <w:r w:rsidRPr="0043369D">
        <w:rPr>
          <w:rFonts w:asciiTheme="minorHAnsi" w:hAnsiTheme="minorHAnsi"/>
        </w:rPr>
        <w:t xml:space="preserve"> European Commission: </w:t>
      </w:r>
      <w:hyperlink r:id="rId5" w:history="1">
        <w:r w:rsidRPr="0043369D">
          <w:rPr>
            <w:rStyle w:val="Hyperlink"/>
            <w:rFonts w:asciiTheme="minorHAnsi" w:hAnsiTheme="minorHAnsi"/>
            <w:lang w:val="en-US"/>
          </w:rPr>
          <w:t>http://ec.europa.eu/internal_market/smn/smn27/s27mn08.htm</w:t>
        </w:r>
      </w:hyperlink>
    </w:p>
  </w:footnote>
  <w:footnote w:id="13">
    <w:p w:rsidR="0045432C" w:rsidRPr="0043369D" w:rsidRDefault="0045432C">
      <w:pPr>
        <w:pStyle w:val="Voetnoottekst"/>
        <w:rPr>
          <w:rFonts w:asciiTheme="minorHAnsi" w:hAnsiTheme="minorHAnsi"/>
          <w:lang w:val="nl-NL"/>
        </w:rPr>
      </w:pPr>
      <w:r w:rsidRPr="0043369D">
        <w:rPr>
          <w:rStyle w:val="Voetnootmarkering"/>
          <w:rFonts w:asciiTheme="minorHAnsi" w:hAnsiTheme="minorHAnsi"/>
          <w:lang w:val="en-US"/>
        </w:rPr>
        <w:footnoteRef/>
      </w:r>
      <w:r w:rsidRPr="0043369D">
        <w:rPr>
          <w:rFonts w:asciiTheme="minorHAnsi" w:hAnsiTheme="minorHAnsi"/>
          <w:lang w:val="nl-NL"/>
        </w:rPr>
        <w:t xml:space="preserve"> De Nederlandsche Bank: </w:t>
      </w:r>
      <w:hyperlink r:id="rId6" w:history="1">
        <w:r w:rsidRPr="0043369D">
          <w:rPr>
            <w:rStyle w:val="Hyperlink"/>
            <w:rFonts w:asciiTheme="minorHAnsi" w:hAnsiTheme="minorHAnsi"/>
            <w:lang w:val="nl-NL"/>
          </w:rPr>
          <w:t>http://www.dnb.nl/openboek/extern/id/en/vz/41-117015.html</w:t>
        </w:r>
      </w:hyperlink>
    </w:p>
  </w:footnote>
  <w:footnote w:id="14">
    <w:p w:rsidR="0045432C" w:rsidRPr="0043369D" w:rsidRDefault="0045432C">
      <w:pPr>
        <w:pStyle w:val="Voetnoottekst"/>
        <w:rPr>
          <w:rFonts w:asciiTheme="minorHAnsi" w:hAnsiTheme="minorHAnsi"/>
          <w:lang w:val="nl-NL"/>
        </w:rPr>
      </w:pPr>
      <w:r w:rsidRPr="0043369D">
        <w:rPr>
          <w:rStyle w:val="Voetnootmarkering"/>
          <w:rFonts w:asciiTheme="minorHAnsi" w:hAnsiTheme="minorHAnsi"/>
        </w:rPr>
        <w:footnoteRef/>
      </w:r>
      <w:r w:rsidRPr="0043369D">
        <w:rPr>
          <w:rFonts w:asciiTheme="minorHAnsi" w:hAnsiTheme="minorHAnsi"/>
          <w:lang w:val="nl-NL"/>
        </w:rPr>
        <w:t xml:space="preserve"> De Nederlandsche Bank: </w:t>
      </w:r>
      <w:hyperlink r:id="rId7" w:history="1">
        <w:r w:rsidRPr="0043369D">
          <w:rPr>
            <w:rStyle w:val="Hyperlink"/>
            <w:rFonts w:asciiTheme="minorHAnsi" w:hAnsiTheme="minorHAnsi"/>
            <w:lang w:val="nl-NL"/>
          </w:rPr>
          <w:t>http://www.dnb.nl/openboek/extern/id/en/vz/41-141474.html</w:t>
        </w:r>
      </w:hyperlink>
    </w:p>
  </w:footnote>
  <w:footnote w:id="15">
    <w:p w:rsidR="0045432C" w:rsidRPr="0043369D" w:rsidRDefault="0045432C">
      <w:pPr>
        <w:pStyle w:val="Voetnoottekst"/>
        <w:rPr>
          <w:rFonts w:asciiTheme="minorHAnsi" w:hAnsiTheme="minorHAnsi"/>
          <w:lang w:val="en-US"/>
        </w:rPr>
      </w:pPr>
      <w:r w:rsidRPr="0043369D">
        <w:rPr>
          <w:rStyle w:val="Voetnootmarkering"/>
          <w:rFonts w:asciiTheme="minorHAnsi" w:hAnsiTheme="minorHAnsi"/>
        </w:rPr>
        <w:footnoteRef/>
      </w:r>
      <w:r w:rsidRPr="0043369D">
        <w:rPr>
          <w:rFonts w:asciiTheme="minorHAnsi" w:hAnsiTheme="minorHAnsi"/>
          <w:lang w:val="en-US"/>
        </w:rPr>
        <w:t xml:space="preserve"> Sarbanes Oxly act summary: http://www.swlearning.com/accounting/ingram/accounting_3e/summary_of_sarbanes.pdf</w:t>
      </w:r>
    </w:p>
  </w:footnote>
  <w:footnote w:id="16">
    <w:p w:rsidR="0045432C" w:rsidRPr="0043369D" w:rsidRDefault="0045432C">
      <w:pPr>
        <w:pStyle w:val="Voetnoottekst"/>
        <w:rPr>
          <w:rFonts w:asciiTheme="minorHAnsi" w:hAnsiTheme="minorHAnsi"/>
          <w:lang w:val="en-US"/>
        </w:rPr>
      </w:pPr>
      <w:r w:rsidRPr="0043369D">
        <w:rPr>
          <w:rStyle w:val="Voetnootmarkering"/>
          <w:rFonts w:asciiTheme="minorHAnsi" w:hAnsiTheme="minorHAnsi"/>
        </w:rPr>
        <w:footnoteRef/>
      </w:r>
      <w:r w:rsidRPr="0043369D">
        <w:rPr>
          <w:rFonts w:asciiTheme="minorHAnsi" w:hAnsiTheme="minorHAnsi"/>
          <w:lang w:val="en-US"/>
        </w:rPr>
        <w:t xml:space="preserve"> UK corporate governance code: http://www.frc.org.uk/corporate/ukcgcode.cfm</w:t>
      </w:r>
    </w:p>
  </w:footnote>
  <w:footnote w:id="17">
    <w:p w:rsidR="0045432C" w:rsidRPr="007301DD" w:rsidRDefault="0045432C" w:rsidP="00941F3C">
      <w:pPr>
        <w:pStyle w:val="Voetnoottekst"/>
        <w:rPr>
          <w:rFonts w:asciiTheme="minorHAnsi" w:hAnsiTheme="minorHAnsi"/>
        </w:rPr>
      </w:pPr>
      <w:r w:rsidRPr="007301DD">
        <w:rPr>
          <w:rStyle w:val="Voetnootmarkering"/>
          <w:rFonts w:asciiTheme="minorHAnsi" w:hAnsiTheme="minorHAnsi"/>
        </w:rPr>
        <w:footnoteRef/>
      </w:r>
      <w:r w:rsidRPr="007301DD">
        <w:rPr>
          <w:rFonts w:asciiTheme="minorHAnsi" w:hAnsiTheme="minorHAnsi"/>
        </w:rPr>
        <w:t xml:space="preserve"> This table has been taken from McWilliams and Siegel (1997)</w:t>
      </w:r>
    </w:p>
  </w:footnote>
  <w:footnote w:id="18">
    <w:p w:rsidR="0045432C" w:rsidRPr="007301DD" w:rsidRDefault="0045432C" w:rsidP="00570D1E">
      <w:pPr>
        <w:pStyle w:val="Voetnoottekst"/>
        <w:rPr>
          <w:rFonts w:asciiTheme="minorHAnsi" w:hAnsiTheme="minorHAnsi"/>
        </w:rPr>
      </w:pPr>
      <w:r w:rsidRPr="007301DD">
        <w:rPr>
          <w:rStyle w:val="Voetnootmarkering"/>
          <w:rFonts w:asciiTheme="minorHAnsi" w:hAnsiTheme="minorHAnsi"/>
        </w:rPr>
        <w:footnoteRef/>
      </w:r>
      <w:r w:rsidRPr="007301DD">
        <w:rPr>
          <w:rFonts w:asciiTheme="minorHAnsi" w:hAnsiTheme="minorHAnsi"/>
        </w:rPr>
        <w:t xml:space="preserve"> This is based on firm </w:t>
      </w:r>
      <w:r w:rsidRPr="00A63D9A">
        <w:rPr>
          <w:rFonts w:asciiTheme="minorHAnsi" w:hAnsiTheme="minorHAnsi"/>
          <w:i/>
        </w:rPr>
        <w:t>i</w:t>
      </w:r>
      <w:r w:rsidRPr="007301DD">
        <w:rPr>
          <w:rFonts w:asciiTheme="minorHAnsi" w:hAnsiTheme="minorHAnsi"/>
        </w:rPr>
        <w:t xml:space="preserve"> and event date </w:t>
      </w:r>
      <w:r w:rsidRPr="00A63D9A">
        <w:rPr>
          <w:rFonts w:asciiTheme="minorHAnsi" w:hAnsiTheme="minorHAnsi"/>
          <w:i/>
        </w:rPr>
        <w:t>t</w:t>
      </w:r>
      <w:r w:rsidRPr="007301DD">
        <w:rPr>
          <w:rFonts w:asciiTheme="minorHAnsi" w:hAnsiTheme="minorHAnsi"/>
        </w:rPr>
        <w:t xml:space="preserve">, where </w:t>
      </w:r>
      <w:r w:rsidRPr="007301DD">
        <w:rPr>
          <w:rFonts w:asciiTheme="minorHAnsi" w:hAnsiTheme="minorHAnsi"/>
          <w:bCs/>
        </w:rPr>
        <w:t>Xl is the conditioning information for the normal return model.</w:t>
      </w:r>
    </w:p>
  </w:footnote>
  <w:footnote w:id="19">
    <w:p w:rsidR="0045432C" w:rsidRPr="00BA69CB" w:rsidRDefault="0045432C" w:rsidP="0063265F">
      <w:pPr>
        <w:pStyle w:val="Geenafstand"/>
        <w:rPr>
          <w:sz w:val="20"/>
          <w:szCs w:val="20"/>
          <w:lang w:val="en-US"/>
        </w:rPr>
      </w:pPr>
      <w:r>
        <w:rPr>
          <w:rStyle w:val="Voetnootmarkering"/>
        </w:rPr>
        <w:footnoteRef/>
      </w:r>
      <w:r w:rsidRPr="00BA69CB">
        <w:rPr>
          <w:lang w:val="en-US"/>
        </w:rPr>
        <w:t xml:space="preserve"> </w:t>
      </w:r>
      <w:r w:rsidRPr="00BA69CB">
        <w:rPr>
          <w:sz w:val="20"/>
          <w:szCs w:val="20"/>
          <w:lang w:val="en-US"/>
        </w:rPr>
        <w:t>Flannery and James (1984) stated: ”For commercial bank and S&amp;L stocks, changes in interest rates were found to be significantly related to stock price movements.” S&amp;L stocks = Savings and Loan stocks</w:t>
      </w:r>
    </w:p>
  </w:footnote>
  <w:footnote w:id="20">
    <w:p w:rsidR="0045432C" w:rsidRPr="00A20481" w:rsidRDefault="0045432C" w:rsidP="00A20481">
      <w:pPr>
        <w:pStyle w:val="Geenafstand"/>
        <w:rPr>
          <w:sz w:val="20"/>
          <w:szCs w:val="20"/>
          <w:lang w:val="en-US"/>
        </w:rPr>
      </w:pPr>
      <w:r w:rsidRPr="00A20481">
        <w:rPr>
          <w:rStyle w:val="Voetnootmarkering"/>
          <w:sz w:val="20"/>
          <w:szCs w:val="20"/>
        </w:rPr>
        <w:footnoteRef/>
      </w:r>
      <w:r w:rsidRPr="00A20481">
        <w:rPr>
          <w:sz w:val="20"/>
          <w:szCs w:val="20"/>
          <w:lang w:val="en-US"/>
        </w:rPr>
        <w:t xml:space="preserve"> “</w:t>
      </w:r>
      <w:r w:rsidRPr="00A20481">
        <w:rPr>
          <w:sz w:val="20"/>
          <w:szCs w:val="20"/>
          <w:lang w:val="en-US" w:eastAsia="nl-NL"/>
        </w:rPr>
        <w:t>Tobin’s q can capture the resulting changes in future expected cash flows, even when the cost of capital stays constant. Tobin’s q also captures costs associated with the  implementation of IFRS (e.g., auditing fees). Furthermore, a decrease in the cost of capital should, ceteris paribus, result in an increase in Tobin’s q. We compute Tobin’s q as (total assets – book value of equity + market value of equity) scaled by total assets. It is essentially a market-to-book ratio for the entity.” (Daske et al. 2008)</w:t>
      </w:r>
    </w:p>
  </w:footnote>
  <w:footnote w:id="21">
    <w:p w:rsidR="0045432C" w:rsidRPr="005E6299" w:rsidRDefault="0045432C" w:rsidP="00BA69CB">
      <w:pPr>
        <w:pStyle w:val="Voetnoottekst"/>
        <w:rPr>
          <w:rFonts w:asciiTheme="minorHAnsi" w:hAnsiTheme="minorHAnsi" w:cs="Times New Roman"/>
        </w:rPr>
      </w:pPr>
      <w:r w:rsidRPr="009C6871">
        <w:rPr>
          <w:rStyle w:val="Voetnootmarkering"/>
          <w:rFonts w:asciiTheme="minorHAnsi" w:hAnsiTheme="minorHAnsi" w:cs="Times New Roman"/>
        </w:rPr>
        <w:footnoteRef/>
      </w:r>
      <w:r w:rsidRPr="009C6871">
        <w:rPr>
          <w:rFonts w:asciiTheme="minorHAnsi" w:hAnsiTheme="minorHAnsi" w:cs="Times New Roman"/>
        </w:rPr>
        <w:t xml:space="preserve"> Intrinsic value is the inherent worth of an asset or passive, independent of its value to anyone or anything else. The intrinsic value does not depend on actual market prices. Source: </w:t>
      </w:r>
      <w:hyperlink r:id="rId8" w:history="1">
        <w:r w:rsidRPr="005E6299">
          <w:rPr>
            <w:rStyle w:val="Hyperlink"/>
            <w:rFonts w:asciiTheme="minorHAnsi" w:hAnsiTheme="minorHAnsi" w:cs="Times New Roman"/>
            <w:color w:val="auto"/>
            <w:u w:val="none"/>
          </w:rPr>
          <w:t>http://www.investopedia.com/terms/i/intrinsicvalue.asp</w:t>
        </w:r>
      </w:hyperlink>
    </w:p>
  </w:footnote>
  <w:footnote w:id="22">
    <w:p w:rsidR="0045432C" w:rsidRPr="00125B56" w:rsidRDefault="0045432C" w:rsidP="001A7265">
      <w:pPr>
        <w:pStyle w:val="Voetnoottekst"/>
        <w:rPr>
          <w:rFonts w:asciiTheme="minorHAnsi" w:hAnsiTheme="minorHAnsi" w:cstheme="minorHAnsi"/>
        </w:rPr>
      </w:pPr>
      <w:r w:rsidRPr="00125B56">
        <w:rPr>
          <w:rStyle w:val="Voetnootmarkering"/>
          <w:rFonts w:asciiTheme="minorHAnsi" w:hAnsiTheme="minorHAnsi" w:cstheme="minorHAnsi"/>
        </w:rPr>
        <w:footnoteRef/>
      </w:r>
      <w:r w:rsidRPr="00125B56">
        <w:rPr>
          <w:rFonts w:asciiTheme="minorHAnsi" w:hAnsiTheme="minorHAnsi" w:cstheme="minorHAnsi"/>
        </w:rPr>
        <w:t xml:space="preserve"> Press Release from the FSB: http://www.financialstabilityboard.org/press/t_990414.htm</w:t>
      </w:r>
    </w:p>
  </w:footnote>
  <w:footnote w:id="23">
    <w:p w:rsidR="0045432C" w:rsidRPr="008A17D5" w:rsidRDefault="0045432C" w:rsidP="003B65F5">
      <w:pPr>
        <w:pStyle w:val="Voetnoottekst"/>
        <w:rPr>
          <w:rFonts w:asciiTheme="minorHAnsi" w:hAnsiTheme="minorHAnsi"/>
          <w:lang w:val="en-US"/>
        </w:rPr>
      </w:pPr>
      <w:r w:rsidRPr="008A17D5">
        <w:rPr>
          <w:rStyle w:val="Voetnootmarkering"/>
          <w:rFonts w:asciiTheme="minorHAnsi" w:hAnsiTheme="minorHAnsi"/>
        </w:rPr>
        <w:footnoteRef/>
      </w:r>
      <w:r w:rsidRPr="008A17D5">
        <w:rPr>
          <w:rFonts w:asciiTheme="minorHAnsi" w:hAnsiTheme="minorHAnsi"/>
        </w:rPr>
        <w:t xml:space="preserve"> </w:t>
      </w:r>
      <w:r w:rsidRPr="008A17D5">
        <w:rPr>
          <w:rFonts w:asciiTheme="minorHAnsi" w:hAnsiTheme="minorHAnsi"/>
          <w:lang w:val="en-US"/>
        </w:rPr>
        <w:t>This includes the following countries: Austria, Belgium, Denmark, France, Finland, Germany, Ireland, Italy, Luxembourg, Netherlands, Portugal, Spain, Sweden and the United Kingdom.</w:t>
      </w:r>
    </w:p>
  </w:footnote>
  <w:footnote w:id="24">
    <w:p w:rsidR="0045432C" w:rsidRPr="005E6299" w:rsidRDefault="0045432C" w:rsidP="003B65F5">
      <w:pPr>
        <w:pStyle w:val="Voetnoottekst"/>
        <w:rPr>
          <w:rFonts w:asciiTheme="minorHAnsi" w:hAnsiTheme="minorHAnsi"/>
        </w:rPr>
      </w:pPr>
      <w:r w:rsidRPr="005E6299">
        <w:rPr>
          <w:rStyle w:val="Voetnootmarkering"/>
          <w:rFonts w:asciiTheme="minorHAnsi" w:hAnsiTheme="minorHAnsi"/>
        </w:rPr>
        <w:footnoteRef/>
      </w:r>
      <w:r w:rsidRPr="005E6299">
        <w:rPr>
          <w:rFonts w:asciiTheme="minorHAnsi" w:hAnsiTheme="minorHAnsi"/>
        </w:rPr>
        <w:t xml:space="preserve"> With the whole stock market is meant the total market reaction in the country where the specific firm is listed.</w:t>
      </w:r>
    </w:p>
  </w:footnote>
  <w:footnote w:id="25">
    <w:p w:rsidR="0045432C" w:rsidRPr="005E6299" w:rsidRDefault="0045432C" w:rsidP="002032E0">
      <w:pPr>
        <w:pStyle w:val="Voetnoottekst"/>
        <w:rPr>
          <w:rFonts w:asciiTheme="minorHAnsi" w:hAnsiTheme="minorHAnsi"/>
          <w:lang w:val="en-US"/>
        </w:rPr>
      </w:pPr>
      <w:r w:rsidRPr="005E6299">
        <w:rPr>
          <w:rStyle w:val="Voetnootmarkering"/>
          <w:rFonts w:asciiTheme="minorHAnsi" w:hAnsiTheme="minorHAnsi"/>
        </w:rPr>
        <w:footnoteRef/>
      </w:r>
      <w:r w:rsidRPr="005E6299">
        <w:rPr>
          <w:rFonts w:asciiTheme="minorHAnsi" w:hAnsiTheme="minorHAnsi"/>
        </w:rPr>
        <w:t xml:space="preserve"> </w:t>
      </w:r>
      <w:r w:rsidRPr="005E6299">
        <w:rPr>
          <w:rFonts w:asciiTheme="minorHAnsi" w:hAnsiTheme="minorHAnsi"/>
          <w:lang w:val="en-US"/>
        </w:rPr>
        <w:t>European Central Bank</w:t>
      </w:r>
    </w:p>
  </w:footnote>
  <w:footnote w:id="26">
    <w:p w:rsidR="0045432C" w:rsidRPr="002B5471" w:rsidRDefault="0045432C">
      <w:pPr>
        <w:pStyle w:val="Voetnoottekst"/>
        <w:rPr>
          <w:lang w:val="en-US"/>
        </w:rPr>
      </w:pPr>
      <w:r w:rsidRPr="00774B59">
        <w:rPr>
          <w:rStyle w:val="Voetnootmarkering"/>
          <w:rFonts w:asciiTheme="minorHAnsi" w:hAnsiTheme="minorHAnsi"/>
        </w:rPr>
        <w:footnoteRef/>
      </w:r>
      <w:r w:rsidRPr="00774B59">
        <w:rPr>
          <w:rFonts w:asciiTheme="minorHAnsi" w:hAnsiTheme="minorHAnsi"/>
        </w:rPr>
        <w:t xml:space="preserve"> </w:t>
      </w:r>
      <w:r w:rsidRPr="00774B59">
        <w:rPr>
          <w:rFonts w:asciiTheme="minorHAnsi" w:hAnsiTheme="minorHAnsi"/>
          <w:lang w:val="en-US"/>
        </w:rPr>
        <w:t>Treasury bills issued by the US Department of the Treasury trough the Bureau of the Public Debt, http://www.treasurydirect.gov/indiv/products/products.htm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6.9pt;height:14.7pt;visibility:visible" o:bullet="t">
        <v:imagedata r:id="rId1" o:title=""/>
      </v:shape>
    </w:pict>
  </w:numPicBullet>
  <w:numPicBullet w:numPicBulletId="1">
    <w:pict>
      <v:shape id="_x0000_i1027" type="#_x0000_t75" style="width:23.5pt;height:16.9pt;visibility:visible" o:bullet="t">
        <v:imagedata r:id="rId2" o:title=""/>
      </v:shape>
    </w:pict>
  </w:numPicBullet>
  <w:numPicBullet w:numPicBulletId="2">
    <w:pict>
      <v:shape id="_x0000_i1028" type="#_x0000_t75" style="width:29.4pt;height:20.55pt;visibility:visible" o:bullet="t">
        <v:imagedata r:id="rId3" o:title=""/>
      </v:shape>
    </w:pict>
  </w:numPicBullet>
  <w:numPicBullet w:numPicBulletId="3">
    <w:pict>
      <v:shape id="_x0000_i1029" type="#_x0000_t75" style="width:20.55pt;height:21.3pt;visibility:visible" o:bullet="t">
        <v:imagedata r:id="rId4" o:title=""/>
      </v:shape>
    </w:pict>
  </w:numPicBullet>
  <w:numPicBullet w:numPicBulletId="4">
    <w:pict>
      <v:shape id="_x0000_i1030" type="#_x0000_t75" style="width:42.6pt;height:15.45pt;visibility:visible" o:bullet="t">
        <v:imagedata r:id="rId5" o:title=""/>
      </v:shape>
    </w:pict>
  </w:numPicBullet>
  <w:abstractNum w:abstractNumId="0">
    <w:nsid w:val="058C71CC"/>
    <w:multiLevelType w:val="hybridMultilevel"/>
    <w:tmpl w:val="EDF6B608"/>
    <w:lvl w:ilvl="0" w:tplc="8B62D9E6">
      <w:start w:val="1"/>
      <w:numFmt w:val="lowerLetter"/>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
    <w:nsid w:val="0A285A89"/>
    <w:multiLevelType w:val="hybridMultilevel"/>
    <w:tmpl w:val="8C18EF78"/>
    <w:lvl w:ilvl="0" w:tplc="0CC6889E">
      <w:numFmt w:val="bullet"/>
      <w:lvlText w:val="-"/>
      <w:lvlJc w:val="left"/>
      <w:pPr>
        <w:ind w:left="1065" w:hanging="360"/>
      </w:pPr>
      <w:rPr>
        <w:rFonts w:ascii="Calibri" w:eastAsiaTheme="minorHAnsi" w:hAnsi="Calibri" w:cstheme="minorBidi"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2">
    <w:nsid w:val="0B8937B3"/>
    <w:multiLevelType w:val="hybridMultilevel"/>
    <w:tmpl w:val="35A8002C"/>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0DEB2183"/>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26F5F1D"/>
    <w:multiLevelType w:val="hybridMultilevel"/>
    <w:tmpl w:val="6B3EC6D4"/>
    <w:lvl w:ilvl="0" w:tplc="FE489C0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4CF72FA"/>
    <w:multiLevelType w:val="hybridMultilevel"/>
    <w:tmpl w:val="20223C12"/>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6">
    <w:nsid w:val="16C81C0D"/>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C651445"/>
    <w:multiLevelType w:val="hybridMultilevel"/>
    <w:tmpl w:val="E41E0D6A"/>
    <w:lvl w:ilvl="0" w:tplc="910875BA">
      <w:start w:val="2"/>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E9742D7"/>
    <w:multiLevelType w:val="multilevel"/>
    <w:tmpl w:val="8F7E4FA8"/>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lowerRoman"/>
      <w:isLgl/>
      <w:lvlText w:val="%1.%2.%3"/>
      <w:lvlJc w:val="left"/>
      <w:pPr>
        <w:ind w:left="1440" w:hanging="108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nsid w:val="1F5E0853"/>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20BD1D84"/>
    <w:multiLevelType w:val="hybridMultilevel"/>
    <w:tmpl w:val="20745FF8"/>
    <w:lvl w:ilvl="0" w:tplc="CB923BA8">
      <w:start w:val="1"/>
      <w:numFmt w:val="bullet"/>
      <w:lvlText w:val="-"/>
      <w:lvlJc w:val="left"/>
      <w:pPr>
        <w:ind w:left="390" w:hanging="360"/>
      </w:pPr>
      <w:rPr>
        <w:rFonts w:ascii="Calibri" w:eastAsiaTheme="minorHAnsi" w:hAnsi="Calibri" w:cstheme="minorBidi" w:hint="default"/>
      </w:rPr>
    </w:lvl>
    <w:lvl w:ilvl="1" w:tplc="04130003" w:tentative="1">
      <w:start w:val="1"/>
      <w:numFmt w:val="bullet"/>
      <w:lvlText w:val="o"/>
      <w:lvlJc w:val="left"/>
      <w:pPr>
        <w:ind w:left="1110" w:hanging="360"/>
      </w:pPr>
      <w:rPr>
        <w:rFonts w:ascii="Courier New" w:hAnsi="Courier New" w:cs="Courier New" w:hint="default"/>
      </w:rPr>
    </w:lvl>
    <w:lvl w:ilvl="2" w:tplc="04130005" w:tentative="1">
      <w:start w:val="1"/>
      <w:numFmt w:val="bullet"/>
      <w:lvlText w:val=""/>
      <w:lvlJc w:val="left"/>
      <w:pPr>
        <w:ind w:left="1830" w:hanging="360"/>
      </w:pPr>
      <w:rPr>
        <w:rFonts w:ascii="Wingdings" w:hAnsi="Wingdings" w:hint="default"/>
      </w:rPr>
    </w:lvl>
    <w:lvl w:ilvl="3" w:tplc="04130001" w:tentative="1">
      <w:start w:val="1"/>
      <w:numFmt w:val="bullet"/>
      <w:lvlText w:val=""/>
      <w:lvlJc w:val="left"/>
      <w:pPr>
        <w:ind w:left="2550" w:hanging="360"/>
      </w:pPr>
      <w:rPr>
        <w:rFonts w:ascii="Symbol" w:hAnsi="Symbol" w:hint="default"/>
      </w:rPr>
    </w:lvl>
    <w:lvl w:ilvl="4" w:tplc="04130003" w:tentative="1">
      <w:start w:val="1"/>
      <w:numFmt w:val="bullet"/>
      <w:lvlText w:val="o"/>
      <w:lvlJc w:val="left"/>
      <w:pPr>
        <w:ind w:left="3270" w:hanging="360"/>
      </w:pPr>
      <w:rPr>
        <w:rFonts w:ascii="Courier New" w:hAnsi="Courier New" w:cs="Courier New" w:hint="default"/>
      </w:rPr>
    </w:lvl>
    <w:lvl w:ilvl="5" w:tplc="04130005" w:tentative="1">
      <w:start w:val="1"/>
      <w:numFmt w:val="bullet"/>
      <w:lvlText w:val=""/>
      <w:lvlJc w:val="left"/>
      <w:pPr>
        <w:ind w:left="3990" w:hanging="360"/>
      </w:pPr>
      <w:rPr>
        <w:rFonts w:ascii="Wingdings" w:hAnsi="Wingdings" w:hint="default"/>
      </w:rPr>
    </w:lvl>
    <w:lvl w:ilvl="6" w:tplc="04130001" w:tentative="1">
      <w:start w:val="1"/>
      <w:numFmt w:val="bullet"/>
      <w:lvlText w:val=""/>
      <w:lvlJc w:val="left"/>
      <w:pPr>
        <w:ind w:left="4710" w:hanging="360"/>
      </w:pPr>
      <w:rPr>
        <w:rFonts w:ascii="Symbol" w:hAnsi="Symbol" w:hint="default"/>
      </w:rPr>
    </w:lvl>
    <w:lvl w:ilvl="7" w:tplc="04130003" w:tentative="1">
      <w:start w:val="1"/>
      <w:numFmt w:val="bullet"/>
      <w:lvlText w:val="o"/>
      <w:lvlJc w:val="left"/>
      <w:pPr>
        <w:ind w:left="5430" w:hanging="360"/>
      </w:pPr>
      <w:rPr>
        <w:rFonts w:ascii="Courier New" w:hAnsi="Courier New" w:cs="Courier New" w:hint="default"/>
      </w:rPr>
    </w:lvl>
    <w:lvl w:ilvl="8" w:tplc="04130005" w:tentative="1">
      <w:start w:val="1"/>
      <w:numFmt w:val="bullet"/>
      <w:lvlText w:val=""/>
      <w:lvlJc w:val="left"/>
      <w:pPr>
        <w:ind w:left="6150" w:hanging="360"/>
      </w:pPr>
      <w:rPr>
        <w:rFonts w:ascii="Wingdings" w:hAnsi="Wingdings" w:hint="default"/>
      </w:rPr>
    </w:lvl>
  </w:abstractNum>
  <w:abstractNum w:abstractNumId="11">
    <w:nsid w:val="232321F5"/>
    <w:multiLevelType w:val="hybridMultilevel"/>
    <w:tmpl w:val="ADF2BF32"/>
    <w:lvl w:ilvl="0" w:tplc="8D185830">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252A04CB"/>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2E2C773A"/>
    <w:multiLevelType w:val="hybridMultilevel"/>
    <w:tmpl w:val="097C3C9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31275A72"/>
    <w:multiLevelType w:val="multilevel"/>
    <w:tmpl w:val="18FAB2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B799E"/>
    <w:multiLevelType w:val="multilevel"/>
    <w:tmpl w:val="A08A673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nsid w:val="43DA4520"/>
    <w:multiLevelType w:val="hybridMultilevel"/>
    <w:tmpl w:val="3C6A0A0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52986B4E"/>
    <w:multiLevelType w:val="hybridMultilevel"/>
    <w:tmpl w:val="577E0822"/>
    <w:lvl w:ilvl="0" w:tplc="0D083C94">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59170AF1"/>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33960B1"/>
    <w:multiLevelType w:val="multilevel"/>
    <w:tmpl w:val="51DCCE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BF7344E"/>
    <w:multiLevelType w:val="hybridMultilevel"/>
    <w:tmpl w:val="10B8CE3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6C5D6951"/>
    <w:multiLevelType w:val="hybridMultilevel"/>
    <w:tmpl w:val="BB22AC84"/>
    <w:lvl w:ilvl="0" w:tplc="7F127584">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6E156310"/>
    <w:multiLevelType w:val="hybridMultilevel"/>
    <w:tmpl w:val="57DCEC8A"/>
    <w:lvl w:ilvl="0" w:tplc="172A244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712B4310"/>
    <w:multiLevelType w:val="hybridMultilevel"/>
    <w:tmpl w:val="DA64E5B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3"/>
  </w:num>
  <w:num w:numId="2">
    <w:abstractNumId w:val="16"/>
  </w:num>
  <w:num w:numId="3">
    <w:abstractNumId w:val="8"/>
  </w:num>
  <w:num w:numId="4">
    <w:abstractNumId w:val="0"/>
  </w:num>
  <w:num w:numId="5">
    <w:abstractNumId w:val="5"/>
  </w:num>
  <w:num w:numId="6">
    <w:abstractNumId w:val="4"/>
  </w:num>
  <w:num w:numId="7">
    <w:abstractNumId w:val="20"/>
  </w:num>
  <w:num w:numId="8">
    <w:abstractNumId w:val="2"/>
  </w:num>
  <w:num w:numId="9">
    <w:abstractNumId w:val="22"/>
  </w:num>
  <w:num w:numId="10">
    <w:abstractNumId w:val="13"/>
  </w:num>
  <w:num w:numId="11">
    <w:abstractNumId w:val="15"/>
  </w:num>
  <w:num w:numId="12">
    <w:abstractNumId w:val="12"/>
  </w:num>
  <w:num w:numId="13">
    <w:abstractNumId w:val="6"/>
  </w:num>
  <w:num w:numId="14">
    <w:abstractNumId w:val="18"/>
  </w:num>
  <w:num w:numId="15">
    <w:abstractNumId w:val="9"/>
  </w:num>
  <w:num w:numId="16">
    <w:abstractNumId w:val="10"/>
  </w:num>
  <w:num w:numId="17">
    <w:abstractNumId w:val="17"/>
  </w:num>
  <w:num w:numId="18">
    <w:abstractNumId w:val="7"/>
  </w:num>
  <w:num w:numId="19">
    <w:abstractNumId w:val="1"/>
  </w:num>
  <w:num w:numId="20">
    <w:abstractNumId w:val="21"/>
  </w:num>
  <w:num w:numId="21">
    <w:abstractNumId w:val="11"/>
  </w:num>
  <w:num w:numId="22">
    <w:abstractNumId w:val="3"/>
  </w:num>
  <w:num w:numId="23">
    <w:abstractNumId w:val="19"/>
  </w:num>
  <w:num w:numId="24">
    <w:abstractNumId w:val="14"/>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6D1206"/>
    <w:rsid w:val="00000918"/>
    <w:rsid w:val="00001B51"/>
    <w:rsid w:val="00002350"/>
    <w:rsid w:val="00003B09"/>
    <w:rsid w:val="00004A2C"/>
    <w:rsid w:val="00006C41"/>
    <w:rsid w:val="0001219B"/>
    <w:rsid w:val="00012558"/>
    <w:rsid w:val="00013158"/>
    <w:rsid w:val="0001333C"/>
    <w:rsid w:val="00015AA5"/>
    <w:rsid w:val="00016DE0"/>
    <w:rsid w:val="00016EEF"/>
    <w:rsid w:val="0002210A"/>
    <w:rsid w:val="00022975"/>
    <w:rsid w:val="00023014"/>
    <w:rsid w:val="00023650"/>
    <w:rsid w:val="000251A9"/>
    <w:rsid w:val="00025867"/>
    <w:rsid w:val="00026D6C"/>
    <w:rsid w:val="000275CF"/>
    <w:rsid w:val="000279BF"/>
    <w:rsid w:val="00027CF4"/>
    <w:rsid w:val="00030B35"/>
    <w:rsid w:val="0003103E"/>
    <w:rsid w:val="00031DFA"/>
    <w:rsid w:val="00031EF1"/>
    <w:rsid w:val="000330A8"/>
    <w:rsid w:val="000345FD"/>
    <w:rsid w:val="00034641"/>
    <w:rsid w:val="00035976"/>
    <w:rsid w:val="0004015C"/>
    <w:rsid w:val="0004075C"/>
    <w:rsid w:val="00041349"/>
    <w:rsid w:val="000443F0"/>
    <w:rsid w:val="00044634"/>
    <w:rsid w:val="000449EE"/>
    <w:rsid w:val="00044E08"/>
    <w:rsid w:val="00044FE6"/>
    <w:rsid w:val="00046DAF"/>
    <w:rsid w:val="00054F3C"/>
    <w:rsid w:val="00056EC2"/>
    <w:rsid w:val="00061E67"/>
    <w:rsid w:val="00062FAA"/>
    <w:rsid w:val="00064620"/>
    <w:rsid w:val="00065A71"/>
    <w:rsid w:val="00065C0C"/>
    <w:rsid w:val="00065E22"/>
    <w:rsid w:val="000666F4"/>
    <w:rsid w:val="000667F1"/>
    <w:rsid w:val="000668C7"/>
    <w:rsid w:val="00066CD6"/>
    <w:rsid w:val="000706DE"/>
    <w:rsid w:val="00071B01"/>
    <w:rsid w:val="00071E70"/>
    <w:rsid w:val="000721DF"/>
    <w:rsid w:val="00076450"/>
    <w:rsid w:val="000769FF"/>
    <w:rsid w:val="00076E4E"/>
    <w:rsid w:val="000775F9"/>
    <w:rsid w:val="0007771D"/>
    <w:rsid w:val="00077A11"/>
    <w:rsid w:val="00082CB0"/>
    <w:rsid w:val="00082DBF"/>
    <w:rsid w:val="00083FBF"/>
    <w:rsid w:val="00086987"/>
    <w:rsid w:val="0009029E"/>
    <w:rsid w:val="00090DA4"/>
    <w:rsid w:val="00090ECD"/>
    <w:rsid w:val="000917C6"/>
    <w:rsid w:val="0009280D"/>
    <w:rsid w:val="0009294A"/>
    <w:rsid w:val="000935A8"/>
    <w:rsid w:val="000940B5"/>
    <w:rsid w:val="00094463"/>
    <w:rsid w:val="00094AD9"/>
    <w:rsid w:val="00094C1A"/>
    <w:rsid w:val="000A089D"/>
    <w:rsid w:val="000A0F4A"/>
    <w:rsid w:val="000A13F4"/>
    <w:rsid w:val="000A141F"/>
    <w:rsid w:val="000A2254"/>
    <w:rsid w:val="000A2ACC"/>
    <w:rsid w:val="000A2CF5"/>
    <w:rsid w:val="000A4188"/>
    <w:rsid w:val="000A4EC8"/>
    <w:rsid w:val="000A5135"/>
    <w:rsid w:val="000A57A9"/>
    <w:rsid w:val="000A6D37"/>
    <w:rsid w:val="000A70C2"/>
    <w:rsid w:val="000A7644"/>
    <w:rsid w:val="000B3802"/>
    <w:rsid w:val="000B4CB6"/>
    <w:rsid w:val="000B5934"/>
    <w:rsid w:val="000B6E6B"/>
    <w:rsid w:val="000B772B"/>
    <w:rsid w:val="000B7BD6"/>
    <w:rsid w:val="000C1275"/>
    <w:rsid w:val="000C2730"/>
    <w:rsid w:val="000C3114"/>
    <w:rsid w:val="000C3C74"/>
    <w:rsid w:val="000C4206"/>
    <w:rsid w:val="000C57CC"/>
    <w:rsid w:val="000C5D21"/>
    <w:rsid w:val="000C7B8A"/>
    <w:rsid w:val="000D0217"/>
    <w:rsid w:val="000D06F2"/>
    <w:rsid w:val="000D1738"/>
    <w:rsid w:val="000D1A83"/>
    <w:rsid w:val="000D51FE"/>
    <w:rsid w:val="000D5EA4"/>
    <w:rsid w:val="000D6847"/>
    <w:rsid w:val="000D7827"/>
    <w:rsid w:val="000D7B4A"/>
    <w:rsid w:val="000E00C8"/>
    <w:rsid w:val="000E148A"/>
    <w:rsid w:val="000E2A44"/>
    <w:rsid w:val="000E2E5B"/>
    <w:rsid w:val="000E4B1D"/>
    <w:rsid w:val="000E50C4"/>
    <w:rsid w:val="000E66DD"/>
    <w:rsid w:val="000F064F"/>
    <w:rsid w:val="000F25D2"/>
    <w:rsid w:val="000F37C4"/>
    <w:rsid w:val="000F55AB"/>
    <w:rsid w:val="000F5A40"/>
    <w:rsid w:val="000F6CD6"/>
    <w:rsid w:val="000F6FCF"/>
    <w:rsid w:val="000F7FD1"/>
    <w:rsid w:val="001000F9"/>
    <w:rsid w:val="00101971"/>
    <w:rsid w:val="00101E14"/>
    <w:rsid w:val="00102919"/>
    <w:rsid w:val="0010438E"/>
    <w:rsid w:val="00105611"/>
    <w:rsid w:val="00105827"/>
    <w:rsid w:val="00106A07"/>
    <w:rsid w:val="0010764F"/>
    <w:rsid w:val="001105A9"/>
    <w:rsid w:val="00111873"/>
    <w:rsid w:val="001148C0"/>
    <w:rsid w:val="001148E6"/>
    <w:rsid w:val="00114A4E"/>
    <w:rsid w:val="00115075"/>
    <w:rsid w:val="00115CAC"/>
    <w:rsid w:val="001201B1"/>
    <w:rsid w:val="001203F6"/>
    <w:rsid w:val="00122901"/>
    <w:rsid w:val="001238D3"/>
    <w:rsid w:val="0012425F"/>
    <w:rsid w:val="00124A1F"/>
    <w:rsid w:val="00125B56"/>
    <w:rsid w:val="0012664A"/>
    <w:rsid w:val="00127071"/>
    <w:rsid w:val="00131224"/>
    <w:rsid w:val="001314FF"/>
    <w:rsid w:val="00132D83"/>
    <w:rsid w:val="0013536F"/>
    <w:rsid w:val="001353E4"/>
    <w:rsid w:val="001378DC"/>
    <w:rsid w:val="00140149"/>
    <w:rsid w:val="001406DB"/>
    <w:rsid w:val="0014371F"/>
    <w:rsid w:val="001461B5"/>
    <w:rsid w:val="00146EC5"/>
    <w:rsid w:val="00147DE3"/>
    <w:rsid w:val="00150039"/>
    <w:rsid w:val="00150B8E"/>
    <w:rsid w:val="001518BF"/>
    <w:rsid w:val="0015244B"/>
    <w:rsid w:val="00153653"/>
    <w:rsid w:val="00153C21"/>
    <w:rsid w:val="00154E35"/>
    <w:rsid w:val="00160A5A"/>
    <w:rsid w:val="00161A9C"/>
    <w:rsid w:val="001638E0"/>
    <w:rsid w:val="00163F58"/>
    <w:rsid w:val="0016408A"/>
    <w:rsid w:val="0016422F"/>
    <w:rsid w:val="0016601A"/>
    <w:rsid w:val="00166552"/>
    <w:rsid w:val="00167E0F"/>
    <w:rsid w:val="0017268E"/>
    <w:rsid w:val="00173BA3"/>
    <w:rsid w:val="001758E8"/>
    <w:rsid w:val="00175EFF"/>
    <w:rsid w:val="00176092"/>
    <w:rsid w:val="00177BFE"/>
    <w:rsid w:val="0018203E"/>
    <w:rsid w:val="00182C15"/>
    <w:rsid w:val="00183BA1"/>
    <w:rsid w:val="00183CC7"/>
    <w:rsid w:val="00183FB4"/>
    <w:rsid w:val="00187451"/>
    <w:rsid w:val="00187611"/>
    <w:rsid w:val="001917C1"/>
    <w:rsid w:val="00192C36"/>
    <w:rsid w:val="00192F67"/>
    <w:rsid w:val="001946EF"/>
    <w:rsid w:val="00194E02"/>
    <w:rsid w:val="00195503"/>
    <w:rsid w:val="001957CC"/>
    <w:rsid w:val="001961C7"/>
    <w:rsid w:val="00197370"/>
    <w:rsid w:val="00197A2C"/>
    <w:rsid w:val="00197C58"/>
    <w:rsid w:val="001A1BA4"/>
    <w:rsid w:val="001A3637"/>
    <w:rsid w:val="001A3DB5"/>
    <w:rsid w:val="001A4627"/>
    <w:rsid w:val="001A6CBE"/>
    <w:rsid w:val="001A7265"/>
    <w:rsid w:val="001A771A"/>
    <w:rsid w:val="001A7DDB"/>
    <w:rsid w:val="001B161A"/>
    <w:rsid w:val="001B2290"/>
    <w:rsid w:val="001B41E1"/>
    <w:rsid w:val="001B4831"/>
    <w:rsid w:val="001B63B5"/>
    <w:rsid w:val="001B7F46"/>
    <w:rsid w:val="001C0862"/>
    <w:rsid w:val="001C1E36"/>
    <w:rsid w:val="001C5997"/>
    <w:rsid w:val="001C7D87"/>
    <w:rsid w:val="001D103F"/>
    <w:rsid w:val="001D1E0E"/>
    <w:rsid w:val="001D217A"/>
    <w:rsid w:val="001D4338"/>
    <w:rsid w:val="001D4600"/>
    <w:rsid w:val="001D65D5"/>
    <w:rsid w:val="001E1C00"/>
    <w:rsid w:val="001E3A86"/>
    <w:rsid w:val="001E6758"/>
    <w:rsid w:val="001E71F2"/>
    <w:rsid w:val="001E7740"/>
    <w:rsid w:val="001F1BA6"/>
    <w:rsid w:val="001F4A0D"/>
    <w:rsid w:val="001F4C3D"/>
    <w:rsid w:val="001F5DB8"/>
    <w:rsid w:val="001F7281"/>
    <w:rsid w:val="001F74CF"/>
    <w:rsid w:val="00201536"/>
    <w:rsid w:val="00201BB9"/>
    <w:rsid w:val="00201ECA"/>
    <w:rsid w:val="002032E0"/>
    <w:rsid w:val="002035A6"/>
    <w:rsid w:val="00205E19"/>
    <w:rsid w:val="00206E79"/>
    <w:rsid w:val="0021163B"/>
    <w:rsid w:val="00212D4F"/>
    <w:rsid w:val="0021638D"/>
    <w:rsid w:val="00216C0A"/>
    <w:rsid w:val="002179F4"/>
    <w:rsid w:val="00217F52"/>
    <w:rsid w:val="0022057C"/>
    <w:rsid w:val="00223102"/>
    <w:rsid w:val="00224E6D"/>
    <w:rsid w:val="002267DA"/>
    <w:rsid w:val="00227C31"/>
    <w:rsid w:val="00230702"/>
    <w:rsid w:val="00230F66"/>
    <w:rsid w:val="00232A12"/>
    <w:rsid w:val="00232DBF"/>
    <w:rsid w:val="0023422C"/>
    <w:rsid w:val="002357E0"/>
    <w:rsid w:val="00235D60"/>
    <w:rsid w:val="00240943"/>
    <w:rsid w:val="0024098C"/>
    <w:rsid w:val="00240B55"/>
    <w:rsid w:val="00240C12"/>
    <w:rsid w:val="00240FF1"/>
    <w:rsid w:val="00241CBC"/>
    <w:rsid w:val="00242396"/>
    <w:rsid w:val="00243122"/>
    <w:rsid w:val="0024418E"/>
    <w:rsid w:val="00244C62"/>
    <w:rsid w:val="00245F5C"/>
    <w:rsid w:val="00246514"/>
    <w:rsid w:val="00246C11"/>
    <w:rsid w:val="00251488"/>
    <w:rsid w:val="00251655"/>
    <w:rsid w:val="00251BA0"/>
    <w:rsid w:val="00251DCC"/>
    <w:rsid w:val="00252758"/>
    <w:rsid w:val="0025452A"/>
    <w:rsid w:val="00254B58"/>
    <w:rsid w:val="00257A3D"/>
    <w:rsid w:val="00257B4F"/>
    <w:rsid w:val="002600CD"/>
    <w:rsid w:val="00260AD3"/>
    <w:rsid w:val="00261833"/>
    <w:rsid w:val="00261B3B"/>
    <w:rsid w:val="00261D39"/>
    <w:rsid w:val="00261EDD"/>
    <w:rsid w:val="00262041"/>
    <w:rsid w:val="00263573"/>
    <w:rsid w:val="002640F9"/>
    <w:rsid w:val="00264441"/>
    <w:rsid w:val="00265D59"/>
    <w:rsid w:val="00270317"/>
    <w:rsid w:val="00272389"/>
    <w:rsid w:val="00273787"/>
    <w:rsid w:val="00273830"/>
    <w:rsid w:val="00275E6D"/>
    <w:rsid w:val="00276BD1"/>
    <w:rsid w:val="00277772"/>
    <w:rsid w:val="00281061"/>
    <w:rsid w:val="00281172"/>
    <w:rsid w:val="00284D1E"/>
    <w:rsid w:val="0028567D"/>
    <w:rsid w:val="00285E03"/>
    <w:rsid w:val="00285EAA"/>
    <w:rsid w:val="00286B4E"/>
    <w:rsid w:val="0029121F"/>
    <w:rsid w:val="00291A2D"/>
    <w:rsid w:val="00292882"/>
    <w:rsid w:val="00293201"/>
    <w:rsid w:val="002949B4"/>
    <w:rsid w:val="00294AC0"/>
    <w:rsid w:val="00295850"/>
    <w:rsid w:val="002964DF"/>
    <w:rsid w:val="0029663A"/>
    <w:rsid w:val="00297A5F"/>
    <w:rsid w:val="002A02F9"/>
    <w:rsid w:val="002A1FEE"/>
    <w:rsid w:val="002A26B9"/>
    <w:rsid w:val="002A3CBC"/>
    <w:rsid w:val="002A4B58"/>
    <w:rsid w:val="002A5C1A"/>
    <w:rsid w:val="002A5FC8"/>
    <w:rsid w:val="002A67AD"/>
    <w:rsid w:val="002A70C8"/>
    <w:rsid w:val="002B0014"/>
    <w:rsid w:val="002B0B2A"/>
    <w:rsid w:val="002B0ED3"/>
    <w:rsid w:val="002B1CB9"/>
    <w:rsid w:val="002B5471"/>
    <w:rsid w:val="002B5CE6"/>
    <w:rsid w:val="002B6F21"/>
    <w:rsid w:val="002C230F"/>
    <w:rsid w:val="002C2D67"/>
    <w:rsid w:val="002C2D7B"/>
    <w:rsid w:val="002C6417"/>
    <w:rsid w:val="002C6D16"/>
    <w:rsid w:val="002D003D"/>
    <w:rsid w:val="002D03F1"/>
    <w:rsid w:val="002D0B5C"/>
    <w:rsid w:val="002D109E"/>
    <w:rsid w:val="002D2663"/>
    <w:rsid w:val="002D31FB"/>
    <w:rsid w:val="002D347B"/>
    <w:rsid w:val="002D40FD"/>
    <w:rsid w:val="002D412B"/>
    <w:rsid w:val="002E21C9"/>
    <w:rsid w:val="002E23DF"/>
    <w:rsid w:val="002E28CE"/>
    <w:rsid w:val="002E290F"/>
    <w:rsid w:val="002E2BAD"/>
    <w:rsid w:val="002E3302"/>
    <w:rsid w:val="002E498F"/>
    <w:rsid w:val="002E4A5E"/>
    <w:rsid w:val="002E6080"/>
    <w:rsid w:val="002E7B8E"/>
    <w:rsid w:val="002F1E7E"/>
    <w:rsid w:val="002F3E40"/>
    <w:rsid w:val="002F5873"/>
    <w:rsid w:val="002F62C2"/>
    <w:rsid w:val="002F6EA3"/>
    <w:rsid w:val="002F7977"/>
    <w:rsid w:val="002F7A42"/>
    <w:rsid w:val="002F7AC3"/>
    <w:rsid w:val="002F7E31"/>
    <w:rsid w:val="0030057E"/>
    <w:rsid w:val="00300633"/>
    <w:rsid w:val="003010AF"/>
    <w:rsid w:val="003010F8"/>
    <w:rsid w:val="003031FA"/>
    <w:rsid w:val="00303D25"/>
    <w:rsid w:val="00304ABF"/>
    <w:rsid w:val="003052CE"/>
    <w:rsid w:val="0030599D"/>
    <w:rsid w:val="00306DFC"/>
    <w:rsid w:val="00307A8B"/>
    <w:rsid w:val="0031229F"/>
    <w:rsid w:val="00312FBE"/>
    <w:rsid w:val="00313EB4"/>
    <w:rsid w:val="00314047"/>
    <w:rsid w:val="0031649E"/>
    <w:rsid w:val="00316E20"/>
    <w:rsid w:val="00317191"/>
    <w:rsid w:val="0031741D"/>
    <w:rsid w:val="00317550"/>
    <w:rsid w:val="0032015C"/>
    <w:rsid w:val="003204AC"/>
    <w:rsid w:val="003239B5"/>
    <w:rsid w:val="00325B26"/>
    <w:rsid w:val="00326B28"/>
    <w:rsid w:val="0032753E"/>
    <w:rsid w:val="0032782B"/>
    <w:rsid w:val="00332273"/>
    <w:rsid w:val="00333F75"/>
    <w:rsid w:val="00334005"/>
    <w:rsid w:val="003351F2"/>
    <w:rsid w:val="00335AF2"/>
    <w:rsid w:val="003379D1"/>
    <w:rsid w:val="0034066F"/>
    <w:rsid w:val="00340AE2"/>
    <w:rsid w:val="00341013"/>
    <w:rsid w:val="00341FB5"/>
    <w:rsid w:val="003423DD"/>
    <w:rsid w:val="00343AAC"/>
    <w:rsid w:val="00346C5E"/>
    <w:rsid w:val="003475CF"/>
    <w:rsid w:val="003506E6"/>
    <w:rsid w:val="00350C4D"/>
    <w:rsid w:val="00352AB2"/>
    <w:rsid w:val="00355097"/>
    <w:rsid w:val="00357276"/>
    <w:rsid w:val="00357860"/>
    <w:rsid w:val="003604B2"/>
    <w:rsid w:val="00360C7E"/>
    <w:rsid w:val="00361298"/>
    <w:rsid w:val="00362E14"/>
    <w:rsid w:val="00363AB2"/>
    <w:rsid w:val="003658C9"/>
    <w:rsid w:val="00365EFC"/>
    <w:rsid w:val="00367F2C"/>
    <w:rsid w:val="00370F40"/>
    <w:rsid w:val="00372C5D"/>
    <w:rsid w:val="00372C9B"/>
    <w:rsid w:val="00374A09"/>
    <w:rsid w:val="00375EB9"/>
    <w:rsid w:val="0037641A"/>
    <w:rsid w:val="00377CCD"/>
    <w:rsid w:val="0038032A"/>
    <w:rsid w:val="003803A7"/>
    <w:rsid w:val="0038138A"/>
    <w:rsid w:val="00381803"/>
    <w:rsid w:val="00383CE2"/>
    <w:rsid w:val="00384956"/>
    <w:rsid w:val="00385984"/>
    <w:rsid w:val="003863F6"/>
    <w:rsid w:val="00387388"/>
    <w:rsid w:val="00390411"/>
    <w:rsid w:val="00390762"/>
    <w:rsid w:val="0039106B"/>
    <w:rsid w:val="003940E1"/>
    <w:rsid w:val="003A107F"/>
    <w:rsid w:val="003A2492"/>
    <w:rsid w:val="003A24CE"/>
    <w:rsid w:val="003A2B9D"/>
    <w:rsid w:val="003A3ACC"/>
    <w:rsid w:val="003A473F"/>
    <w:rsid w:val="003A5E01"/>
    <w:rsid w:val="003A6EAD"/>
    <w:rsid w:val="003A7DCA"/>
    <w:rsid w:val="003A7F3E"/>
    <w:rsid w:val="003B24AA"/>
    <w:rsid w:val="003B2B20"/>
    <w:rsid w:val="003B3D77"/>
    <w:rsid w:val="003B558B"/>
    <w:rsid w:val="003B5FDA"/>
    <w:rsid w:val="003B65F5"/>
    <w:rsid w:val="003B6C2C"/>
    <w:rsid w:val="003B6F98"/>
    <w:rsid w:val="003C00C2"/>
    <w:rsid w:val="003C104C"/>
    <w:rsid w:val="003C1471"/>
    <w:rsid w:val="003C2089"/>
    <w:rsid w:val="003C47B6"/>
    <w:rsid w:val="003C5C2D"/>
    <w:rsid w:val="003C5E6C"/>
    <w:rsid w:val="003C6E9A"/>
    <w:rsid w:val="003C6F64"/>
    <w:rsid w:val="003D3091"/>
    <w:rsid w:val="003D5BCD"/>
    <w:rsid w:val="003D6289"/>
    <w:rsid w:val="003E03F2"/>
    <w:rsid w:val="003E0D36"/>
    <w:rsid w:val="003E4887"/>
    <w:rsid w:val="003E51F5"/>
    <w:rsid w:val="003E7405"/>
    <w:rsid w:val="003F0F7E"/>
    <w:rsid w:val="003F3AFC"/>
    <w:rsid w:val="003F4044"/>
    <w:rsid w:val="003F43DA"/>
    <w:rsid w:val="003F5BCE"/>
    <w:rsid w:val="003F6056"/>
    <w:rsid w:val="003F6748"/>
    <w:rsid w:val="003F6B50"/>
    <w:rsid w:val="003F79AC"/>
    <w:rsid w:val="004009EA"/>
    <w:rsid w:val="00401C28"/>
    <w:rsid w:val="00402742"/>
    <w:rsid w:val="0040471F"/>
    <w:rsid w:val="00406334"/>
    <w:rsid w:val="00412E3E"/>
    <w:rsid w:val="00413430"/>
    <w:rsid w:val="00414113"/>
    <w:rsid w:val="004176F1"/>
    <w:rsid w:val="0042016F"/>
    <w:rsid w:val="00420930"/>
    <w:rsid w:val="00420A16"/>
    <w:rsid w:val="0042195C"/>
    <w:rsid w:val="00422805"/>
    <w:rsid w:val="00423626"/>
    <w:rsid w:val="00425924"/>
    <w:rsid w:val="00426B67"/>
    <w:rsid w:val="00427475"/>
    <w:rsid w:val="00431CFD"/>
    <w:rsid w:val="00431DC1"/>
    <w:rsid w:val="0043369D"/>
    <w:rsid w:val="004337FB"/>
    <w:rsid w:val="00434B68"/>
    <w:rsid w:val="00440553"/>
    <w:rsid w:val="00442342"/>
    <w:rsid w:val="00442C3A"/>
    <w:rsid w:val="00443FD6"/>
    <w:rsid w:val="004467A3"/>
    <w:rsid w:val="00447977"/>
    <w:rsid w:val="00452A90"/>
    <w:rsid w:val="0045399F"/>
    <w:rsid w:val="0045432C"/>
    <w:rsid w:val="004554CF"/>
    <w:rsid w:val="004555F7"/>
    <w:rsid w:val="00456C1B"/>
    <w:rsid w:val="00461329"/>
    <w:rsid w:val="00461848"/>
    <w:rsid w:val="0046232C"/>
    <w:rsid w:val="00462BB6"/>
    <w:rsid w:val="004658CB"/>
    <w:rsid w:val="00467574"/>
    <w:rsid w:val="00470B75"/>
    <w:rsid w:val="00471353"/>
    <w:rsid w:val="0047257F"/>
    <w:rsid w:val="00474E1E"/>
    <w:rsid w:val="0048034B"/>
    <w:rsid w:val="00482D16"/>
    <w:rsid w:val="0048351C"/>
    <w:rsid w:val="00483B66"/>
    <w:rsid w:val="00483D7F"/>
    <w:rsid w:val="00484D7B"/>
    <w:rsid w:val="0048666A"/>
    <w:rsid w:val="004869D7"/>
    <w:rsid w:val="00486DA4"/>
    <w:rsid w:val="00492BD0"/>
    <w:rsid w:val="00493D0A"/>
    <w:rsid w:val="0049426F"/>
    <w:rsid w:val="004A23A6"/>
    <w:rsid w:val="004A2805"/>
    <w:rsid w:val="004A43B4"/>
    <w:rsid w:val="004A49E9"/>
    <w:rsid w:val="004A56A2"/>
    <w:rsid w:val="004A65A0"/>
    <w:rsid w:val="004A6C4C"/>
    <w:rsid w:val="004B0006"/>
    <w:rsid w:val="004B015E"/>
    <w:rsid w:val="004B03CA"/>
    <w:rsid w:val="004B115D"/>
    <w:rsid w:val="004B196D"/>
    <w:rsid w:val="004B2E6C"/>
    <w:rsid w:val="004B377F"/>
    <w:rsid w:val="004B3CB1"/>
    <w:rsid w:val="004B420B"/>
    <w:rsid w:val="004B4C34"/>
    <w:rsid w:val="004B54D5"/>
    <w:rsid w:val="004B584D"/>
    <w:rsid w:val="004B5E80"/>
    <w:rsid w:val="004B686D"/>
    <w:rsid w:val="004C1BB1"/>
    <w:rsid w:val="004C2166"/>
    <w:rsid w:val="004C300A"/>
    <w:rsid w:val="004C5DE0"/>
    <w:rsid w:val="004C6E98"/>
    <w:rsid w:val="004C7086"/>
    <w:rsid w:val="004C7745"/>
    <w:rsid w:val="004D03DD"/>
    <w:rsid w:val="004D0B7F"/>
    <w:rsid w:val="004D1277"/>
    <w:rsid w:val="004D174A"/>
    <w:rsid w:val="004D1B49"/>
    <w:rsid w:val="004D2CCC"/>
    <w:rsid w:val="004D3125"/>
    <w:rsid w:val="004D4BD9"/>
    <w:rsid w:val="004D5334"/>
    <w:rsid w:val="004D6925"/>
    <w:rsid w:val="004E1784"/>
    <w:rsid w:val="004E19A8"/>
    <w:rsid w:val="004E2008"/>
    <w:rsid w:val="004E50D6"/>
    <w:rsid w:val="004E7BE5"/>
    <w:rsid w:val="004F1C11"/>
    <w:rsid w:val="004F1C43"/>
    <w:rsid w:val="004F3A93"/>
    <w:rsid w:val="004F6184"/>
    <w:rsid w:val="004F7107"/>
    <w:rsid w:val="00501010"/>
    <w:rsid w:val="00502FF6"/>
    <w:rsid w:val="0050396D"/>
    <w:rsid w:val="00503C51"/>
    <w:rsid w:val="005041ED"/>
    <w:rsid w:val="00505AD1"/>
    <w:rsid w:val="00507375"/>
    <w:rsid w:val="0051050D"/>
    <w:rsid w:val="00511C37"/>
    <w:rsid w:val="005149E1"/>
    <w:rsid w:val="00515841"/>
    <w:rsid w:val="00516803"/>
    <w:rsid w:val="00517DAD"/>
    <w:rsid w:val="00521732"/>
    <w:rsid w:val="00521847"/>
    <w:rsid w:val="0052743C"/>
    <w:rsid w:val="00527AB6"/>
    <w:rsid w:val="00527BEF"/>
    <w:rsid w:val="0053165E"/>
    <w:rsid w:val="00533652"/>
    <w:rsid w:val="00533F17"/>
    <w:rsid w:val="005354D2"/>
    <w:rsid w:val="00535AC2"/>
    <w:rsid w:val="00535F54"/>
    <w:rsid w:val="00537F68"/>
    <w:rsid w:val="00540CB3"/>
    <w:rsid w:val="00540FAE"/>
    <w:rsid w:val="005418BE"/>
    <w:rsid w:val="0054214B"/>
    <w:rsid w:val="0054352D"/>
    <w:rsid w:val="00543597"/>
    <w:rsid w:val="00543AA4"/>
    <w:rsid w:val="00543E69"/>
    <w:rsid w:val="00544F52"/>
    <w:rsid w:val="00546771"/>
    <w:rsid w:val="0055035D"/>
    <w:rsid w:val="0055243D"/>
    <w:rsid w:val="005525CE"/>
    <w:rsid w:val="00552670"/>
    <w:rsid w:val="00553791"/>
    <w:rsid w:val="00556F69"/>
    <w:rsid w:val="005611F8"/>
    <w:rsid w:val="00561AB3"/>
    <w:rsid w:val="0056359C"/>
    <w:rsid w:val="0056480D"/>
    <w:rsid w:val="005707E9"/>
    <w:rsid w:val="00570A2F"/>
    <w:rsid w:val="00570D1E"/>
    <w:rsid w:val="00570FB7"/>
    <w:rsid w:val="00570FCF"/>
    <w:rsid w:val="005721C1"/>
    <w:rsid w:val="00574E2C"/>
    <w:rsid w:val="00576BFE"/>
    <w:rsid w:val="005772AA"/>
    <w:rsid w:val="00580DC1"/>
    <w:rsid w:val="005835AE"/>
    <w:rsid w:val="00583903"/>
    <w:rsid w:val="00585193"/>
    <w:rsid w:val="00585C28"/>
    <w:rsid w:val="00586171"/>
    <w:rsid w:val="005866F0"/>
    <w:rsid w:val="00586D50"/>
    <w:rsid w:val="00586F67"/>
    <w:rsid w:val="005916C5"/>
    <w:rsid w:val="00591B34"/>
    <w:rsid w:val="00591B41"/>
    <w:rsid w:val="00592154"/>
    <w:rsid w:val="005950E1"/>
    <w:rsid w:val="00596146"/>
    <w:rsid w:val="00596651"/>
    <w:rsid w:val="00597919"/>
    <w:rsid w:val="005A1E72"/>
    <w:rsid w:val="005A3A33"/>
    <w:rsid w:val="005A3EAD"/>
    <w:rsid w:val="005A4D37"/>
    <w:rsid w:val="005A72CB"/>
    <w:rsid w:val="005A79C1"/>
    <w:rsid w:val="005B0C00"/>
    <w:rsid w:val="005B2994"/>
    <w:rsid w:val="005B44BF"/>
    <w:rsid w:val="005B4B85"/>
    <w:rsid w:val="005B5643"/>
    <w:rsid w:val="005B6351"/>
    <w:rsid w:val="005C00BB"/>
    <w:rsid w:val="005C1D59"/>
    <w:rsid w:val="005C306D"/>
    <w:rsid w:val="005C3B3B"/>
    <w:rsid w:val="005C3B99"/>
    <w:rsid w:val="005C5328"/>
    <w:rsid w:val="005C63E7"/>
    <w:rsid w:val="005C6E98"/>
    <w:rsid w:val="005C7292"/>
    <w:rsid w:val="005C72C0"/>
    <w:rsid w:val="005D0F67"/>
    <w:rsid w:val="005D2152"/>
    <w:rsid w:val="005D3377"/>
    <w:rsid w:val="005D3610"/>
    <w:rsid w:val="005D53A9"/>
    <w:rsid w:val="005D70F3"/>
    <w:rsid w:val="005D7610"/>
    <w:rsid w:val="005E0AD1"/>
    <w:rsid w:val="005E11A9"/>
    <w:rsid w:val="005E2A97"/>
    <w:rsid w:val="005E4647"/>
    <w:rsid w:val="005E49A9"/>
    <w:rsid w:val="005E4D9D"/>
    <w:rsid w:val="005E5BF4"/>
    <w:rsid w:val="005E5D6A"/>
    <w:rsid w:val="005E5DAB"/>
    <w:rsid w:val="005E6299"/>
    <w:rsid w:val="005F038C"/>
    <w:rsid w:val="005F05FD"/>
    <w:rsid w:val="005F19EA"/>
    <w:rsid w:val="005F2D2D"/>
    <w:rsid w:val="005F42C3"/>
    <w:rsid w:val="005F67ED"/>
    <w:rsid w:val="005F6BD7"/>
    <w:rsid w:val="0060116B"/>
    <w:rsid w:val="00602B08"/>
    <w:rsid w:val="006033A0"/>
    <w:rsid w:val="006047F6"/>
    <w:rsid w:val="00604DDA"/>
    <w:rsid w:val="00605F94"/>
    <w:rsid w:val="00607358"/>
    <w:rsid w:val="00607EEC"/>
    <w:rsid w:val="006102A9"/>
    <w:rsid w:val="006102DA"/>
    <w:rsid w:val="00610D46"/>
    <w:rsid w:val="00611080"/>
    <w:rsid w:val="006135D6"/>
    <w:rsid w:val="00613E1F"/>
    <w:rsid w:val="006143D3"/>
    <w:rsid w:val="0061502E"/>
    <w:rsid w:val="00615A04"/>
    <w:rsid w:val="00617446"/>
    <w:rsid w:val="00621E17"/>
    <w:rsid w:val="00623F91"/>
    <w:rsid w:val="0062529B"/>
    <w:rsid w:val="00625CB1"/>
    <w:rsid w:val="00626E0B"/>
    <w:rsid w:val="006270AD"/>
    <w:rsid w:val="006270DF"/>
    <w:rsid w:val="006300CF"/>
    <w:rsid w:val="00631C86"/>
    <w:rsid w:val="00632568"/>
    <w:rsid w:val="0063265F"/>
    <w:rsid w:val="00635192"/>
    <w:rsid w:val="00635ECE"/>
    <w:rsid w:val="00636569"/>
    <w:rsid w:val="00637874"/>
    <w:rsid w:val="00637955"/>
    <w:rsid w:val="00637BE8"/>
    <w:rsid w:val="0064265B"/>
    <w:rsid w:val="006432B1"/>
    <w:rsid w:val="00643394"/>
    <w:rsid w:val="00643963"/>
    <w:rsid w:val="00644062"/>
    <w:rsid w:val="006440DC"/>
    <w:rsid w:val="00644B3B"/>
    <w:rsid w:val="00645CE3"/>
    <w:rsid w:val="00646BDA"/>
    <w:rsid w:val="00651423"/>
    <w:rsid w:val="00651ABD"/>
    <w:rsid w:val="00651DD4"/>
    <w:rsid w:val="00652800"/>
    <w:rsid w:val="006533FF"/>
    <w:rsid w:val="00653E85"/>
    <w:rsid w:val="00654FE3"/>
    <w:rsid w:val="00654FEC"/>
    <w:rsid w:val="00655AE0"/>
    <w:rsid w:val="00657129"/>
    <w:rsid w:val="00661CE4"/>
    <w:rsid w:val="0066524E"/>
    <w:rsid w:val="006660D1"/>
    <w:rsid w:val="006738A7"/>
    <w:rsid w:val="00673F3F"/>
    <w:rsid w:val="0067768D"/>
    <w:rsid w:val="006777E1"/>
    <w:rsid w:val="00681341"/>
    <w:rsid w:val="00682D34"/>
    <w:rsid w:val="00683395"/>
    <w:rsid w:val="00685981"/>
    <w:rsid w:val="00685E01"/>
    <w:rsid w:val="006860D2"/>
    <w:rsid w:val="006873DA"/>
    <w:rsid w:val="00687940"/>
    <w:rsid w:val="00690AB0"/>
    <w:rsid w:val="00691415"/>
    <w:rsid w:val="00691EE7"/>
    <w:rsid w:val="00691FC4"/>
    <w:rsid w:val="00692017"/>
    <w:rsid w:val="006920C9"/>
    <w:rsid w:val="006923F9"/>
    <w:rsid w:val="00694A72"/>
    <w:rsid w:val="00695405"/>
    <w:rsid w:val="006963F5"/>
    <w:rsid w:val="00697BB0"/>
    <w:rsid w:val="006A0D8E"/>
    <w:rsid w:val="006A190D"/>
    <w:rsid w:val="006A1989"/>
    <w:rsid w:val="006A3C9B"/>
    <w:rsid w:val="006A4F34"/>
    <w:rsid w:val="006A71EC"/>
    <w:rsid w:val="006A7326"/>
    <w:rsid w:val="006A7BE9"/>
    <w:rsid w:val="006B0743"/>
    <w:rsid w:val="006B1961"/>
    <w:rsid w:val="006B1F84"/>
    <w:rsid w:val="006B3CA6"/>
    <w:rsid w:val="006B432A"/>
    <w:rsid w:val="006B57C6"/>
    <w:rsid w:val="006B653D"/>
    <w:rsid w:val="006B6CDD"/>
    <w:rsid w:val="006C08EE"/>
    <w:rsid w:val="006C108A"/>
    <w:rsid w:val="006C1D82"/>
    <w:rsid w:val="006C1F13"/>
    <w:rsid w:val="006C22D4"/>
    <w:rsid w:val="006C38D1"/>
    <w:rsid w:val="006C48CE"/>
    <w:rsid w:val="006C5F49"/>
    <w:rsid w:val="006C664B"/>
    <w:rsid w:val="006C6B31"/>
    <w:rsid w:val="006C6BF3"/>
    <w:rsid w:val="006C71E9"/>
    <w:rsid w:val="006D1206"/>
    <w:rsid w:val="006D1DE4"/>
    <w:rsid w:val="006D251C"/>
    <w:rsid w:val="006D3C40"/>
    <w:rsid w:val="006D4752"/>
    <w:rsid w:val="006D4BE8"/>
    <w:rsid w:val="006D6DC9"/>
    <w:rsid w:val="006D6ED9"/>
    <w:rsid w:val="006D7579"/>
    <w:rsid w:val="006E10AD"/>
    <w:rsid w:val="006E113C"/>
    <w:rsid w:val="006E1254"/>
    <w:rsid w:val="006E2454"/>
    <w:rsid w:val="006E3CBD"/>
    <w:rsid w:val="006E5034"/>
    <w:rsid w:val="006E56A7"/>
    <w:rsid w:val="006E5F79"/>
    <w:rsid w:val="006E6207"/>
    <w:rsid w:val="006E66EE"/>
    <w:rsid w:val="006E7357"/>
    <w:rsid w:val="006E73EA"/>
    <w:rsid w:val="006E78CD"/>
    <w:rsid w:val="006F0223"/>
    <w:rsid w:val="006F07AA"/>
    <w:rsid w:val="006F142F"/>
    <w:rsid w:val="006F2E11"/>
    <w:rsid w:val="006F4D4E"/>
    <w:rsid w:val="006F512E"/>
    <w:rsid w:val="006F5B1B"/>
    <w:rsid w:val="006F686C"/>
    <w:rsid w:val="00700820"/>
    <w:rsid w:val="00701080"/>
    <w:rsid w:val="007011B6"/>
    <w:rsid w:val="00702873"/>
    <w:rsid w:val="00702D82"/>
    <w:rsid w:val="00704D03"/>
    <w:rsid w:val="00705F4D"/>
    <w:rsid w:val="00706469"/>
    <w:rsid w:val="00706820"/>
    <w:rsid w:val="00707ED9"/>
    <w:rsid w:val="00710B9B"/>
    <w:rsid w:val="00713600"/>
    <w:rsid w:val="00714720"/>
    <w:rsid w:val="00714FAC"/>
    <w:rsid w:val="0071576B"/>
    <w:rsid w:val="007157FE"/>
    <w:rsid w:val="007161A6"/>
    <w:rsid w:val="0071676F"/>
    <w:rsid w:val="00716BE8"/>
    <w:rsid w:val="0071741D"/>
    <w:rsid w:val="007200ED"/>
    <w:rsid w:val="00721B3F"/>
    <w:rsid w:val="007224DB"/>
    <w:rsid w:val="00723857"/>
    <w:rsid w:val="00723A6B"/>
    <w:rsid w:val="00724FAC"/>
    <w:rsid w:val="00725F73"/>
    <w:rsid w:val="00726F43"/>
    <w:rsid w:val="007301DD"/>
    <w:rsid w:val="00730E39"/>
    <w:rsid w:val="0073107C"/>
    <w:rsid w:val="00732403"/>
    <w:rsid w:val="00733646"/>
    <w:rsid w:val="00733A9B"/>
    <w:rsid w:val="00735782"/>
    <w:rsid w:val="00735D11"/>
    <w:rsid w:val="00735F99"/>
    <w:rsid w:val="00737D12"/>
    <w:rsid w:val="00740AE3"/>
    <w:rsid w:val="0074476E"/>
    <w:rsid w:val="0074575D"/>
    <w:rsid w:val="00745E82"/>
    <w:rsid w:val="00746CA1"/>
    <w:rsid w:val="007512D4"/>
    <w:rsid w:val="00753EF4"/>
    <w:rsid w:val="00754DD7"/>
    <w:rsid w:val="007556B9"/>
    <w:rsid w:val="007561EE"/>
    <w:rsid w:val="00756CCD"/>
    <w:rsid w:val="00763503"/>
    <w:rsid w:val="00764D80"/>
    <w:rsid w:val="00764ED0"/>
    <w:rsid w:val="00765ADD"/>
    <w:rsid w:val="00767079"/>
    <w:rsid w:val="00770669"/>
    <w:rsid w:val="0077287E"/>
    <w:rsid w:val="00772F50"/>
    <w:rsid w:val="0077301A"/>
    <w:rsid w:val="0077354B"/>
    <w:rsid w:val="00774B59"/>
    <w:rsid w:val="0077522F"/>
    <w:rsid w:val="00776002"/>
    <w:rsid w:val="007772FD"/>
    <w:rsid w:val="00777BD1"/>
    <w:rsid w:val="0078227B"/>
    <w:rsid w:val="00787336"/>
    <w:rsid w:val="00787512"/>
    <w:rsid w:val="007906A2"/>
    <w:rsid w:val="00791CDB"/>
    <w:rsid w:val="00791D88"/>
    <w:rsid w:val="007920FD"/>
    <w:rsid w:val="00794014"/>
    <w:rsid w:val="0079488C"/>
    <w:rsid w:val="007951CE"/>
    <w:rsid w:val="007A0C6F"/>
    <w:rsid w:val="007A0D78"/>
    <w:rsid w:val="007A1749"/>
    <w:rsid w:val="007A18AF"/>
    <w:rsid w:val="007A28CC"/>
    <w:rsid w:val="007A2CE6"/>
    <w:rsid w:val="007A4073"/>
    <w:rsid w:val="007A5810"/>
    <w:rsid w:val="007A60AF"/>
    <w:rsid w:val="007A6277"/>
    <w:rsid w:val="007A7431"/>
    <w:rsid w:val="007B0E99"/>
    <w:rsid w:val="007B18A0"/>
    <w:rsid w:val="007B435B"/>
    <w:rsid w:val="007B4573"/>
    <w:rsid w:val="007B6511"/>
    <w:rsid w:val="007C0EBD"/>
    <w:rsid w:val="007C0F86"/>
    <w:rsid w:val="007C14AB"/>
    <w:rsid w:val="007C1DBF"/>
    <w:rsid w:val="007C431F"/>
    <w:rsid w:val="007C66D7"/>
    <w:rsid w:val="007D001F"/>
    <w:rsid w:val="007D0203"/>
    <w:rsid w:val="007D15EF"/>
    <w:rsid w:val="007D1F44"/>
    <w:rsid w:val="007D24D6"/>
    <w:rsid w:val="007D2B58"/>
    <w:rsid w:val="007D2C66"/>
    <w:rsid w:val="007D3769"/>
    <w:rsid w:val="007D43DC"/>
    <w:rsid w:val="007D442B"/>
    <w:rsid w:val="007D5713"/>
    <w:rsid w:val="007D6235"/>
    <w:rsid w:val="007D6F13"/>
    <w:rsid w:val="007D72A2"/>
    <w:rsid w:val="007E0E7C"/>
    <w:rsid w:val="007E1922"/>
    <w:rsid w:val="007E248B"/>
    <w:rsid w:val="007E2C80"/>
    <w:rsid w:val="007E2EBD"/>
    <w:rsid w:val="007E43F0"/>
    <w:rsid w:val="007E56C6"/>
    <w:rsid w:val="007F07FE"/>
    <w:rsid w:val="007F0FBE"/>
    <w:rsid w:val="007F1557"/>
    <w:rsid w:val="007F6B2E"/>
    <w:rsid w:val="007F6D8A"/>
    <w:rsid w:val="007F7023"/>
    <w:rsid w:val="007F7C9F"/>
    <w:rsid w:val="008000E0"/>
    <w:rsid w:val="0080091F"/>
    <w:rsid w:val="00801135"/>
    <w:rsid w:val="00801D66"/>
    <w:rsid w:val="0080360D"/>
    <w:rsid w:val="0080638F"/>
    <w:rsid w:val="00807E15"/>
    <w:rsid w:val="008109FB"/>
    <w:rsid w:val="00813D02"/>
    <w:rsid w:val="00815E54"/>
    <w:rsid w:val="00820F1B"/>
    <w:rsid w:val="0082100C"/>
    <w:rsid w:val="008217B4"/>
    <w:rsid w:val="00824D64"/>
    <w:rsid w:val="008255D7"/>
    <w:rsid w:val="00825A3D"/>
    <w:rsid w:val="00826C74"/>
    <w:rsid w:val="0082791A"/>
    <w:rsid w:val="00830285"/>
    <w:rsid w:val="00830EB7"/>
    <w:rsid w:val="00831B07"/>
    <w:rsid w:val="008320E5"/>
    <w:rsid w:val="00832BAF"/>
    <w:rsid w:val="008336B0"/>
    <w:rsid w:val="0083553F"/>
    <w:rsid w:val="008355E8"/>
    <w:rsid w:val="00835938"/>
    <w:rsid w:val="00835E08"/>
    <w:rsid w:val="00835F11"/>
    <w:rsid w:val="00836907"/>
    <w:rsid w:val="008377B8"/>
    <w:rsid w:val="0084015F"/>
    <w:rsid w:val="0084056B"/>
    <w:rsid w:val="00841AEC"/>
    <w:rsid w:val="00843111"/>
    <w:rsid w:val="008431E8"/>
    <w:rsid w:val="008449B9"/>
    <w:rsid w:val="00845297"/>
    <w:rsid w:val="00847BA1"/>
    <w:rsid w:val="00847C53"/>
    <w:rsid w:val="00850292"/>
    <w:rsid w:val="00851BBF"/>
    <w:rsid w:val="008533C1"/>
    <w:rsid w:val="008541A5"/>
    <w:rsid w:val="00854807"/>
    <w:rsid w:val="00854A62"/>
    <w:rsid w:val="008552EE"/>
    <w:rsid w:val="00856A7E"/>
    <w:rsid w:val="00856AF4"/>
    <w:rsid w:val="008570FC"/>
    <w:rsid w:val="008579C7"/>
    <w:rsid w:val="00857DD2"/>
    <w:rsid w:val="0086263F"/>
    <w:rsid w:val="008661D6"/>
    <w:rsid w:val="0086700C"/>
    <w:rsid w:val="008708DE"/>
    <w:rsid w:val="00870D86"/>
    <w:rsid w:val="00872F8A"/>
    <w:rsid w:val="008748EE"/>
    <w:rsid w:val="00874BEF"/>
    <w:rsid w:val="00876081"/>
    <w:rsid w:val="00877095"/>
    <w:rsid w:val="0087717C"/>
    <w:rsid w:val="00877A0C"/>
    <w:rsid w:val="0088020D"/>
    <w:rsid w:val="00880472"/>
    <w:rsid w:val="00880F5A"/>
    <w:rsid w:val="008821D5"/>
    <w:rsid w:val="00884347"/>
    <w:rsid w:val="00886656"/>
    <w:rsid w:val="00886A5B"/>
    <w:rsid w:val="00887705"/>
    <w:rsid w:val="008908AA"/>
    <w:rsid w:val="00892453"/>
    <w:rsid w:val="00892C24"/>
    <w:rsid w:val="008941C0"/>
    <w:rsid w:val="0089465B"/>
    <w:rsid w:val="008974C7"/>
    <w:rsid w:val="008A0D8D"/>
    <w:rsid w:val="008A1258"/>
    <w:rsid w:val="008A17D5"/>
    <w:rsid w:val="008A2957"/>
    <w:rsid w:val="008A2D48"/>
    <w:rsid w:val="008A3189"/>
    <w:rsid w:val="008A3DC0"/>
    <w:rsid w:val="008A4184"/>
    <w:rsid w:val="008A51AD"/>
    <w:rsid w:val="008A5F78"/>
    <w:rsid w:val="008A691A"/>
    <w:rsid w:val="008A69D9"/>
    <w:rsid w:val="008A6BB9"/>
    <w:rsid w:val="008A7026"/>
    <w:rsid w:val="008B00D7"/>
    <w:rsid w:val="008B08D4"/>
    <w:rsid w:val="008B102B"/>
    <w:rsid w:val="008B1D4E"/>
    <w:rsid w:val="008B218D"/>
    <w:rsid w:val="008B3AA5"/>
    <w:rsid w:val="008B4BD8"/>
    <w:rsid w:val="008B6D4F"/>
    <w:rsid w:val="008B7376"/>
    <w:rsid w:val="008C1090"/>
    <w:rsid w:val="008C6755"/>
    <w:rsid w:val="008D0AB9"/>
    <w:rsid w:val="008D1238"/>
    <w:rsid w:val="008D2DFD"/>
    <w:rsid w:val="008D3404"/>
    <w:rsid w:val="008D3D02"/>
    <w:rsid w:val="008D4190"/>
    <w:rsid w:val="008D4C04"/>
    <w:rsid w:val="008D4F76"/>
    <w:rsid w:val="008D52E8"/>
    <w:rsid w:val="008D5AE5"/>
    <w:rsid w:val="008D6007"/>
    <w:rsid w:val="008D62B7"/>
    <w:rsid w:val="008D7CCD"/>
    <w:rsid w:val="008E00F0"/>
    <w:rsid w:val="008E013A"/>
    <w:rsid w:val="008E090F"/>
    <w:rsid w:val="008E2DD5"/>
    <w:rsid w:val="008E3B67"/>
    <w:rsid w:val="008E3C74"/>
    <w:rsid w:val="008E436F"/>
    <w:rsid w:val="008E50AB"/>
    <w:rsid w:val="008F11DB"/>
    <w:rsid w:val="008F163C"/>
    <w:rsid w:val="008F2D6E"/>
    <w:rsid w:val="008F2E59"/>
    <w:rsid w:val="008F34E0"/>
    <w:rsid w:val="008F49B8"/>
    <w:rsid w:val="008F4D2A"/>
    <w:rsid w:val="008F6A39"/>
    <w:rsid w:val="008F6FD8"/>
    <w:rsid w:val="008F7A08"/>
    <w:rsid w:val="0090017A"/>
    <w:rsid w:val="009005B0"/>
    <w:rsid w:val="00900E32"/>
    <w:rsid w:val="009026AF"/>
    <w:rsid w:val="0090345B"/>
    <w:rsid w:val="00904061"/>
    <w:rsid w:val="009043C9"/>
    <w:rsid w:val="009044DD"/>
    <w:rsid w:val="00904CF8"/>
    <w:rsid w:val="009050BA"/>
    <w:rsid w:val="009050E9"/>
    <w:rsid w:val="0090538E"/>
    <w:rsid w:val="00905A20"/>
    <w:rsid w:val="00907FAC"/>
    <w:rsid w:val="00910C25"/>
    <w:rsid w:val="009112F1"/>
    <w:rsid w:val="00911F1C"/>
    <w:rsid w:val="009122AA"/>
    <w:rsid w:val="009124FA"/>
    <w:rsid w:val="009126A5"/>
    <w:rsid w:val="00912D8C"/>
    <w:rsid w:val="00913F01"/>
    <w:rsid w:val="00914FA0"/>
    <w:rsid w:val="00917351"/>
    <w:rsid w:val="0092086B"/>
    <w:rsid w:val="00920FF2"/>
    <w:rsid w:val="009215FF"/>
    <w:rsid w:val="009221AA"/>
    <w:rsid w:val="00923617"/>
    <w:rsid w:val="00926116"/>
    <w:rsid w:val="00927122"/>
    <w:rsid w:val="009274EC"/>
    <w:rsid w:val="009310A5"/>
    <w:rsid w:val="009335B6"/>
    <w:rsid w:val="00933F37"/>
    <w:rsid w:val="009345F0"/>
    <w:rsid w:val="00934A89"/>
    <w:rsid w:val="0093631E"/>
    <w:rsid w:val="00936418"/>
    <w:rsid w:val="00941F3C"/>
    <w:rsid w:val="009443B3"/>
    <w:rsid w:val="00946BB5"/>
    <w:rsid w:val="00947A7D"/>
    <w:rsid w:val="00947D80"/>
    <w:rsid w:val="00950904"/>
    <w:rsid w:val="009517C4"/>
    <w:rsid w:val="00951AA0"/>
    <w:rsid w:val="0095297C"/>
    <w:rsid w:val="0095337A"/>
    <w:rsid w:val="0095439C"/>
    <w:rsid w:val="009546D7"/>
    <w:rsid w:val="00955312"/>
    <w:rsid w:val="00955317"/>
    <w:rsid w:val="00956E37"/>
    <w:rsid w:val="00956E71"/>
    <w:rsid w:val="0095727E"/>
    <w:rsid w:val="0096221C"/>
    <w:rsid w:val="009638E0"/>
    <w:rsid w:val="00965CDC"/>
    <w:rsid w:val="00965FE8"/>
    <w:rsid w:val="00966CE6"/>
    <w:rsid w:val="009702AD"/>
    <w:rsid w:val="00970E4F"/>
    <w:rsid w:val="009722B2"/>
    <w:rsid w:val="00973AE4"/>
    <w:rsid w:val="00974546"/>
    <w:rsid w:val="00974C00"/>
    <w:rsid w:val="00977E31"/>
    <w:rsid w:val="00980EF9"/>
    <w:rsid w:val="00983264"/>
    <w:rsid w:val="00984EB0"/>
    <w:rsid w:val="009853C7"/>
    <w:rsid w:val="00987094"/>
    <w:rsid w:val="00987867"/>
    <w:rsid w:val="00987E4B"/>
    <w:rsid w:val="00992B8B"/>
    <w:rsid w:val="00997149"/>
    <w:rsid w:val="009A14BB"/>
    <w:rsid w:val="009A27B5"/>
    <w:rsid w:val="009A3F17"/>
    <w:rsid w:val="009A41FF"/>
    <w:rsid w:val="009A43B7"/>
    <w:rsid w:val="009A4628"/>
    <w:rsid w:val="009A4E28"/>
    <w:rsid w:val="009A50FB"/>
    <w:rsid w:val="009A56EC"/>
    <w:rsid w:val="009A5859"/>
    <w:rsid w:val="009A59AC"/>
    <w:rsid w:val="009A60A3"/>
    <w:rsid w:val="009A6B2E"/>
    <w:rsid w:val="009B0A1E"/>
    <w:rsid w:val="009B0E4A"/>
    <w:rsid w:val="009B124C"/>
    <w:rsid w:val="009B30AD"/>
    <w:rsid w:val="009B35E9"/>
    <w:rsid w:val="009B4528"/>
    <w:rsid w:val="009B4B05"/>
    <w:rsid w:val="009B51AD"/>
    <w:rsid w:val="009B61E0"/>
    <w:rsid w:val="009B6861"/>
    <w:rsid w:val="009B7793"/>
    <w:rsid w:val="009C0E7F"/>
    <w:rsid w:val="009C1B49"/>
    <w:rsid w:val="009C2A80"/>
    <w:rsid w:val="009C3859"/>
    <w:rsid w:val="009C49AE"/>
    <w:rsid w:val="009C6871"/>
    <w:rsid w:val="009D117F"/>
    <w:rsid w:val="009D21D9"/>
    <w:rsid w:val="009D2E24"/>
    <w:rsid w:val="009D30DC"/>
    <w:rsid w:val="009D4093"/>
    <w:rsid w:val="009D5910"/>
    <w:rsid w:val="009D5CC4"/>
    <w:rsid w:val="009D6274"/>
    <w:rsid w:val="009D68B2"/>
    <w:rsid w:val="009D7AAC"/>
    <w:rsid w:val="009E0419"/>
    <w:rsid w:val="009E16CD"/>
    <w:rsid w:val="009E3652"/>
    <w:rsid w:val="009E416F"/>
    <w:rsid w:val="009E4F2A"/>
    <w:rsid w:val="009E50B0"/>
    <w:rsid w:val="009E5A1B"/>
    <w:rsid w:val="009E6BA3"/>
    <w:rsid w:val="009E6D0F"/>
    <w:rsid w:val="009E7A45"/>
    <w:rsid w:val="009F0DEF"/>
    <w:rsid w:val="009F1400"/>
    <w:rsid w:val="009F1DFE"/>
    <w:rsid w:val="009F1F92"/>
    <w:rsid w:val="009F22C3"/>
    <w:rsid w:val="009F2D29"/>
    <w:rsid w:val="009F4159"/>
    <w:rsid w:val="009F640B"/>
    <w:rsid w:val="009F65CA"/>
    <w:rsid w:val="009F6CE3"/>
    <w:rsid w:val="009F6D7C"/>
    <w:rsid w:val="009F7774"/>
    <w:rsid w:val="00A001A3"/>
    <w:rsid w:val="00A01455"/>
    <w:rsid w:val="00A0277B"/>
    <w:rsid w:val="00A04045"/>
    <w:rsid w:val="00A041BD"/>
    <w:rsid w:val="00A04D7B"/>
    <w:rsid w:val="00A07545"/>
    <w:rsid w:val="00A0778A"/>
    <w:rsid w:val="00A10D77"/>
    <w:rsid w:val="00A11FDC"/>
    <w:rsid w:val="00A12B36"/>
    <w:rsid w:val="00A12C71"/>
    <w:rsid w:val="00A13846"/>
    <w:rsid w:val="00A16E8E"/>
    <w:rsid w:val="00A20481"/>
    <w:rsid w:val="00A20608"/>
    <w:rsid w:val="00A20715"/>
    <w:rsid w:val="00A23D91"/>
    <w:rsid w:val="00A23E77"/>
    <w:rsid w:val="00A27130"/>
    <w:rsid w:val="00A30045"/>
    <w:rsid w:val="00A319AE"/>
    <w:rsid w:val="00A321A4"/>
    <w:rsid w:val="00A32ED0"/>
    <w:rsid w:val="00A34782"/>
    <w:rsid w:val="00A3543F"/>
    <w:rsid w:val="00A35F3E"/>
    <w:rsid w:val="00A361A2"/>
    <w:rsid w:val="00A365AA"/>
    <w:rsid w:val="00A37558"/>
    <w:rsid w:val="00A3772D"/>
    <w:rsid w:val="00A37D57"/>
    <w:rsid w:val="00A37F38"/>
    <w:rsid w:val="00A40395"/>
    <w:rsid w:val="00A43D5C"/>
    <w:rsid w:val="00A43FC5"/>
    <w:rsid w:val="00A446C0"/>
    <w:rsid w:val="00A44E51"/>
    <w:rsid w:val="00A45E9A"/>
    <w:rsid w:val="00A45FBA"/>
    <w:rsid w:val="00A46C36"/>
    <w:rsid w:val="00A50090"/>
    <w:rsid w:val="00A50E7F"/>
    <w:rsid w:val="00A5305C"/>
    <w:rsid w:val="00A552AC"/>
    <w:rsid w:val="00A55C23"/>
    <w:rsid w:val="00A614A2"/>
    <w:rsid w:val="00A61F10"/>
    <w:rsid w:val="00A62232"/>
    <w:rsid w:val="00A63D9A"/>
    <w:rsid w:val="00A6512C"/>
    <w:rsid w:val="00A658DC"/>
    <w:rsid w:val="00A65FB6"/>
    <w:rsid w:val="00A731A4"/>
    <w:rsid w:val="00A73609"/>
    <w:rsid w:val="00A73826"/>
    <w:rsid w:val="00A74147"/>
    <w:rsid w:val="00A80156"/>
    <w:rsid w:val="00A8081A"/>
    <w:rsid w:val="00A82539"/>
    <w:rsid w:val="00A82CAF"/>
    <w:rsid w:val="00A83EF9"/>
    <w:rsid w:val="00A845EA"/>
    <w:rsid w:val="00A84A00"/>
    <w:rsid w:val="00A85B33"/>
    <w:rsid w:val="00A86FD3"/>
    <w:rsid w:val="00A87028"/>
    <w:rsid w:val="00A872AD"/>
    <w:rsid w:val="00A9038D"/>
    <w:rsid w:val="00A903A0"/>
    <w:rsid w:val="00A90419"/>
    <w:rsid w:val="00A91FBE"/>
    <w:rsid w:val="00A932FB"/>
    <w:rsid w:val="00A93AEC"/>
    <w:rsid w:val="00A9494C"/>
    <w:rsid w:val="00AA0424"/>
    <w:rsid w:val="00AA1369"/>
    <w:rsid w:val="00AA2435"/>
    <w:rsid w:val="00AA40D8"/>
    <w:rsid w:val="00AA7639"/>
    <w:rsid w:val="00AA7C76"/>
    <w:rsid w:val="00AB02FA"/>
    <w:rsid w:val="00AB2D2E"/>
    <w:rsid w:val="00AB48BA"/>
    <w:rsid w:val="00AB6246"/>
    <w:rsid w:val="00AB63A6"/>
    <w:rsid w:val="00AB7EF5"/>
    <w:rsid w:val="00AC07DD"/>
    <w:rsid w:val="00AC1651"/>
    <w:rsid w:val="00AC2A5B"/>
    <w:rsid w:val="00AC4020"/>
    <w:rsid w:val="00AC446C"/>
    <w:rsid w:val="00AC4778"/>
    <w:rsid w:val="00AC557C"/>
    <w:rsid w:val="00AC5F0A"/>
    <w:rsid w:val="00AC6263"/>
    <w:rsid w:val="00AC7614"/>
    <w:rsid w:val="00AC7C7E"/>
    <w:rsid w:val="00AD0638"/>
    <w:rsid w:val="00AD129B"/>
    <w:rsid w:val="00AD201A"/>
    <w:rsid w:val="00AD2C62"/>
    <w:rsid w:val="00AD2C83"/>
    <w:rsid w:val="00AD4337"/>
    <w:rsid w:val="00AD4D63"/>
    <w:rsid w:val="00AD62F6"/>
    <w:rsid w:val="00AD75B0"/>
    <w:rsid w:val="00AE106E"/>
    <w:rsid w:val="00AE1422"/>
    <w:rsid w:val="00AE15B4"/>
    <w:rsid w:val="00AE1D0E"/>
    <w:rsid w:val="00AE2DE4"/>
    <w:rsid w:val="00AE3606"/>
    <w:rsid w:val="00AE4A33"/>
    <w:rsid w:val="00AE50FE"/>
    <w:rsid w:val="00AE5BD0"/>
    <w:rsid w:val="00AE5F44"/>
    <w:rsid w:val="00AE6640"/>
    <w:rsid w:val="00AF1288"/>
    <w:rsid w:val="00AF180D"/>
    <w:rsid w:val="00AF2024"/>
    <w:rsid w:val="00AF3963"/>
    <w:rsid w:val="00B027A9"/>
    <w:rsid w:val="00B02A23"/>
    <w:rsid w:val="00B02C0A"/>
    <w:rsid w:val="00B02F8D"/>
    <w:rsid w:val="00B03640"/>
    <w:rsid w:val="00B043EC"/>
    <w:rsid w:val="00B04473"/>
    <w:rsid w:val="00B04816"/>
    <w:rsid w:val="00B04A2A"/>
    <w:rsid w:val="00B06BF9"/>
    <w:rsid w:val="00B074EB"/>
    <w:rsid w:val="00B112BB"/>
    <w:rsid w:val="00B11C31"/>
    <w:rsid w:val="00B14350"/>
    <w:rsid w:val="00B15AD8"/>
    <w:rsid w:val="00B15B5A"/>
    <w:rsid w:val="00B16E41"/>
    <w:rsid w:val="00B1781F"/>
    <w:rsid w:val="00B21223"/>
    <w:rsid w:val="00B22FF7"/>
    <w:rsid w:val="00B24B49"/>
    <w:rsid w:val="00B2690B"/>
    <w:rsid w:val="00B26E3A"/>
    <w:rsid w:val="00B26EF9"/>
    <w:rsid w:val="00B26FA3"/>
    <w:rsid w:val="00B32621"/>
    <w:rsid w:val="00B327D2"/>
    <w:rsid w:val="00B33BAA"/>
    <w:rsid w:val="00B34495"/>
    <w:rsid w:val="00B34DD8"/>
    <w:rsid w:val="00B35A34"/>
    <w:rsid w:val="00B36F00"/>
    <w:rsid w:val="00B379D4"/>
    <w:rsid w:val="00B43460"/>
    <w:rsid w:val="00B450E5"/>
    <w:rsid w:val="00B4588C"/>
    <w:rsid w:val="00B46DFF"/>
    <w:rsid w:val="00B51FA6"/>
    <w:rsid w:val="00B5321E"/>
    <w:rsid w:val="00B5324A"/>
    <w:rsid w:val="00B54636"/>
    <w:rsid w:val="00B546F7"/>
    <w:rsid w:val="00B54A3F"/>
    <w:rsid w:val="00B54CA5"/>
    <w:rsid w:val="00B55DEA"/>
    <w:rsid w:val="00B5608C"/>
    <w:rsid w:val="00B56789"/>
    <w:rsid w:val="00B57539"/>
    <w:rsid w:val="00B578C7"/>
    <w:rsid w:val="00B608D2"/>
    <w:rsid w:val="00B62581"/>
    <w:rsid w:val="00B62D04"/>
    <w:rsid w:val="00B62E48"/>
    <w:rsid w:val="00B630BB"/>
    <w:rsid w:val="00B6338E"/>
    <w:rsid w:val="00B64E1F"/>
    <w:rsid w:val="00B65A2E"/>
    <w:rsid w:val="00B66385"/>
    <w:rsid w:val="00B66672"/>
    <w:rsid w:val="00B67B52"/>
    <w:rsid w:val="00B70E9E"/>
    <w:rsid w:val="00B71690"/>
    <w:rsid w:val="00B732EC"/>
    <w:rsid w:val="00B7342A"/>
    <w:rsid w:val="00B74BFA"/>
    <w:rsid w:val="00B75164"/>
    <w:rsid w:val="00B7651A"/>
    <w:rsid w:val="00B77820"/>
    <w:rsid w:val="00B829CB"/>
    <w:rsid w:val="00B837B1"/>
    <w:rsid w:val="00B83E1A"/>
    <w:rsid w:val="00B90626"/>
    <w:rsid w:val="00B9121C"/>
    <w:rsid w:val="00B91BB9"/>
    <w:rsid w:val="00B925B3"/>
    <w:rsid w:val="00B944A5"/>
    <w:rsid w:val="00B95935"/>
    <w:rsid w:val="00B95977"/>
    <w:rsid w:val="00B95FC8"/>
    <w:rsid w:val="00B96720"/>
    <w:rsid w:val="00B975A4"/>
    <w:rsid w:val="00BA05F6"/>
    <w:rsid w:val="00BA0C43"/>
    <w:rsid w:val="00BA15F4"/>
    <w:rsid w:val="00BA2F7A"/>
    <w:rsid w:val="00BA366E"/>
    <w:rsid w:val="00BA59DE"/>
    <w:rsid w:val="00BA5D31"/>
    <w:rsid w:val="00BA69CB"/>
    <w:rsid w:val="00BA7203"/>
    <w:rsid w:val="00BA7AAF"/>
    <w:rsid w:val="00BA7CDB"/>
    <w:rsid w:val="00BB081D"/>
    <w:rsid w:val="00BB0AE2"/>
    <w:rsid w:val="00BB15AE"/>
    <w:rsid w:val="00BB23C8"/>
    <w:rsid w:val="00BB371C"/>
    <w:rsid w:val="00BB4A2E"/>
    <w:rsid w:val="00BB603E"/>
    <w:rsid w:val="00BB7660"/>
    <w:rsid w:val="00BB7E21"/>
    <w:rsid w:val="00BC0CCB"/>
    <w:rsid w:val="00BC178C"/>
    <w:rsid w:val="00BC1D1D"/>
    <w:rsid w:val="00BC27BB"/>
    <w:rsid w:val="00BC3F12"/>
    <w:rsid w:val="00BC40D5"/>
    <w:rsid w:val="00BC55B0"/>
    <w:rsid w:val="00BC7F72"/>
    <w:rsid w:val="00BD0B02"/>
    <w:rsid w:val="00BD15D5"/>
    <w:rsid w:val="00BD19D7"/>
    <w:rsid w:val="00BD1AEE"/>
    <w:rsid w:val="00BD2BDC"/>
    <w:rsid w:val="00BD3264"/>
    <w:rsid w:val="00BD3B67"/>
    <w:rsid w:val="00BD4FF0"/>
    <w:rsid w:val="00BD50F4"/>
    <w:rsid w:val="00BD5152"/>
    <w:rsid w:val="00BD54E4"/>
    <w:rsid w:val="00BD6BE3"/>
    <w:rsid w:val="00BD76C7"/>
    <w:rsid w:val="00BE0961"/>
    <w:rsid w:val="00BE11AF"/>
    <w:rsid w:val="00BE23F6"/>
    <w:rsid w:val="00BE254F"/>
    <w:rsid w:val="00BE4007"/>
    <w:rsid w:val="00BE63E1"/>
    <w:rsid w:val="00BE6D45"/>
    <w:rsid w:val="00BE7466"/>
    <w:rsid w:val="00BF229D"/>
    <w:rsid w:val="00BF3587"/>
    <w:rsid w:val="00BF3B4C"/>
    <w:rsid w:val="00BF3B96"/>
    <w:rsid w:val="00BF3E6D"/>
    <w:rsid w:val="00BF4FF1"/>
    <w:rsid w:val="00BF5B85"/>
    <w:rsid w:val="00BF6F01"/>
    <w:rsid w:val="00BF7117"/>
    <w:rsid w:val="00BF74D3"/>
    <w:rsid w:val="00C0081B"/>
    <w:rsid w:val="00C00D5B"/>
    <w:rsid w:val="00C01292"/>
    <w:rsid w:val="00C0286A"/>
    <w:rsid w:val="00C02F65"/>
    <w:rsid w:val="00C038CB"/>
    <w:rsid w:val="00C04F06"/>
    <w:rsid w:val="00C05187"/>
    <w:rsid w:val="00C0597C"/>
    <w:rsid w:val="00C0628C"/>
    <w:rsid w:val="00C07270"/>
    <w:rsid w:val="00C07423"/>
    <w:rsid w:val="00C123EE"/>
    <w:rsid w:val="00C13CC9"/>
    <w:rsid w:val="00C14365"/>
    <w:rsid w:val="00C149BE"/>
    <w:rsid w:val="00C14A1A"/>
    <w:rsid w:val="00C14EA1"/>
    <w:rsid w:val="00C151C6"/>
    <w:rsid w:val="00C15C47"/>
    <w:rsid w:val="00C169D3"/>
    <w:rsid w:val="00C1706E"/>
    <w:rsid w:val="00C17A2E"/>
    <w:rsid w:val="00C222E4"/>
    <w:rsid w:val="00C22901"/>
    <w:rsid w:val="00C22A87"/>
    <w:rsid w:val="00C23FC6"/>
    <w:rsid w:val="00C25C12"/>
    <w:rsid w:val="00C26413"/>
    <w:rsid w:val="00C30150"/>
    <w:rsid w:val="00C31FE7"/>
    <w:rsid w:val="00C376E9"/>
    <w:rsid w:val="00C4281D"/>
    <w:rsid w:val="00C42C30"/>
    <w:rsid w:val="00C439D2"/>
    <w:rsid w:val="00C45614"/>
    <w:rsid w:val="00C459C3"/>
    <w:rsid w:val="00C46ACB"/>
    <w:rsid w:val="00C47061"/>
    <w:rsid w:val="00C50A6C"/>
    <w:rsid w:val="00C50B2B"/>
    <w:rsid w:val="00C50C9F"/>
    <w:rsid w:val="00C51463"/>
    <w:rsid w:val="00C51624"/>
    <w:rsid w:val="00C5270C"/>
    <w:rsid w:val="00C53039"/>
    <w:rsid w:val="00C61C57"/>
    <w:rsid w:val="00C62D17"/>
    <w:rsid w:val="00C634FC"/>
    <w:rsid w:val="00C63C8B"/>
    <w:rsid w:val="00C64A8E"/>
    <w:rsid w:val="00C655CD"/>
    <w:rsid w:val="00C66CC9"/>
    <w:rsid w:val="00C71371"/>
    <w:rsid w:val="00C73251"/>
    <w:rsid w:val="00C734A9"/>
    <w:rsid w:val="00C740F8"/>
    <w:rsid w:val="00C779CE"/>
    <w:rsid w:val="00C77CE2"/>
    <w:rsid w:val="00C801F7"/>
    <w:rsid w:val="00C805B6"/>
    <w:rsid w:val="00C80E58"/>
    <w:rsid w:val="00C81281"/>
    <w:rsid w:val="00C8217B"/>
    <w:rsid w:val="00C82869"/>
    <w:rsid w:val="00C828A8"/>
    <w:rsid w:val="00C82EFB"/>
    <w:rsid w:val="00C830BD"/>
    <w:rsid w:val="00C84224"/>
    <w:rsid w:val="00C86D47"/>
    <w:rsid w:val="00C91EA3"/>
    <w:rsid w:val="00C937DE"/>
    <w:rsid w:val="00C93945"/>
    <w:rsid w:val="00C947CC"/>
    <w:rsid w:val="00C948CA"/>
    <w:rsid w:val="00C95E58"/>
    <w:rsid w:val="00C960D0"/>
    <w:rsid w:val="00C96FD7"/>
    <w:rsid w:val="00C972E7"/>
    <w:rsid w:val="00CA029D"/>
    <w:rsid w:val="00CA3267"/>
    <w:rsid w:val="00CA33CA"/>
    <w:rsid w:val="00CA44FC"/>
    <w:rsid w:val="00CA4F3A"/>
    <w:rsid w:val="00CA58AC"/>
    <w:rsid w:val="00CA5956"/>
    <w:rsid w:val="00CA6026"/>
    <w:rsid w:val="00CA7723"/>
    <w:rsid w:val="00CA7E9E"/>
    <w:rsid w:val="00CB09F9"/>
    <w:rsid w:val="00CB12F2"/>
    <w:rsid w:val="00CB149A"/>
    <w:rsid w:val="00CB2025"/>
    <w:rsid w:val="00CB28F8"/>
    <w:rsid w:val="00CB31A7"/>
    <w:rsid w:val="00CB35C6"/>
    <w:rsid w:val="00CB35FB"/>
    <w:rsid w:val="00CB41A0"/>
    <w:rsid w:val="00CB44A9"/>
    <w:rsid w:val="00CB4B38"/>
    <w:rsid w:val="00CB6368"/>
    <w:rsid w:val="00CB7D53"/>
    <w:rsid w:val="00CC22AB"/>
    <w:rsid w:val="00CC24B1"/>
    <w:rsid w:val="00CC2C48"/>
    <w:rsid w:val="00CC3A4A"/>
    <w:rsid w:val="00CC6E98"/>
    <w:rsid w:val="00CC7630"/>
    <w:rsid w:val="00CC78C6"/>
    <w:rsid w:val="00CC7D1A"/>
    <w:rsid w:val="00CD023B"/>
    <w:rsid w:val="00CD50D6"/>
    <w:rsid w:val="00CD665D"/>
    <w:rsid w:val="00CE061E"/>
    <w:rsid w:val="00CE0B63"/>
    <w:rsid w:val="00CE337A"/>
    <w:rsid w:val="00CE5A60"/>
    <w:rsid w:val="00CE5EF2"/>
    <w:rsid w:val="00CE7207"/>
    <w:rsid w:val="00CE758D"/>
    <w:rsid w:val="00CF04BE"/>
    <w:rsid w:val="00CF216C"/>
    <w:rsid w:val="00CF2721"/>
    <w:rsid w:val="00CF2783"/>
    <w:rsid w:val="00CF377B"/>
    <w:rsid w:val="00CF394A"/>
    <w:rsid w:val="00CF4A16"/>
    <w:rsid w:val="00CF5ABF"/>
    <w:rsid w:val="00CF6BF4"/>
    <w:rsid w:val="00CF77E6"/>
    <w:rsid w:val="00D02344"/>
    <w:rsid w:val="00D024E7"/>
    <w:rsid w:val="00D0413E"/>
    <w:rsid w:val="00D041FC"/>
    <w:rsid w:val="00D0469A"/>
    <w:rsid w:val="00D0587E"/>
    <w:rsid w:val="00D1009D"/>
    <w:rsid w:val="00D105E0"/>
    <w:rsid w:val="00D12746"/>
    <w:rsid w:val="00D131EC"/>
    <w:rsid w:val="00D149A9"/>
    <w:rsid w:val="00D15A19"/>
    <w:rsid w:val="00D1672C"/>
    <w:rsid w:val="00D179F4"/>
    <w:rsid w:val="00D22F59"/>
    <w:rsid w:val="00D233CB"/>
    <w:rsid w:val="00D2489E"/>
    <w:rsid w:val="00D25557"/>
    <w:rsid w:val="00D26049"/>
    <w:rsid w:val="00D27665"/>
    <w:rsid w:val="00D30166"/>
    <w:rsid w:val="00D30FE5"/>
    <w:rsid w:val="00D31DBB"/>
    <w:rsid w:val="00D321D0"/>
    <w:rsid w:val="00D34E8C"/>
    <w:rsid w:val="00D363CD"/>
    <w:rsid w:val="00D36A9D"/>
    <w:rsid w:val="00D373FE"/>
    <w:rsid w:val="00D377F8"/>
    <w:rsid w:val="00D37967"/>
    <w:rsid w:val="00D40F66"/>
    <w:rsid w:val="00D4127C"/>
    <w:rsid w:val="00D4179A"/>
    <w:rsid w:val="00D422AD"/>
    <w:rsid w:val="00D426FE"/>
    <w:rsid w:val="00D42C76"/>
    <w:rsid w:val="00D47279"/>
    <w:rsid w:val="00D5267A"/>
    <w:rsid w:val="00D53795"/>
    <w:rsid w:val="00D53B97"/>
    <w:rsid w:val="00D56655"/>
    <w:rsid w:val="00D56DA5"/>
    <w:rsid w:val="00D572DF"/>
    <w:rsid w:val="00D6025B"/>
    <w:rsid w:val="00D608E1"/>
    <w:rsid w:val="00D60AAD"/>
    <w:rsid w:val="00D62E5B"/>
    <w:rsid w:val="00D62F15"/>
    <w:rsid w:val="00D63344"/>
    <w:rsid w:val="00D6418F"/>
    <w:rsid w:val="00D64CF0"/>
    <w:rsid w:val="00D65508"/>
    <w:rsid w:val="00D659D5"/>
    <w:rsid w:val="00D66630"/>
    <w:rsid w:val="00D676B5"/>
    <w:rsid w:val="00D70DAA"/>
    <w:rsid w:val="00D72043"/>
    <w:rsid w:val="00D73D41"/>
    <w:rsid w:val="00D7684D"/>
    <w:rsid w:val="00D76BD1"/>
    <w:rsid w:val="00D76CD8"/>
    <w:rsid w:val="00D80A08"/>
    <w:rsid w:val="00D80EBD"/>
    <w:rsid w:val="00D81699"/>
    <w:rsid w:val="00D81C37"/>
    <w:rsid w:val="00D83C07"/>
    <w:rsid w:val="00D849B0"/>
    <w:rsid w:val="00D85177"/>
    <w:rsid w:val="00D85A54"/>
    <w:rsid w:val="00D86A7D"/>
    <w:rsid w:val="00D86C41"/>
    <w:rsid w:val="00D903B7"/>
    <w:rsid w:val="00D9176E"/>
    <w:rsid w:val="00D9444F"/>
    <w:rsid w:val="00D94B9C"/>
    <w:rsid w:val="00D94C7D"/>
    <w:rsid w:val="00D96060"/>
    <w:rsid w:val="00DA0C79"/>
    <w:rsid w:val="00DA0DCD"/>
    <w:rsid w:val="00DA2A1F"/>
    <w:rsid w:val="00DA59D5"/>
    <w:rsid w:val="00DA5CF9"/>
    <w:rsid w:val="00DA665A"/>
    <w:rsid w:val="00DA69BA"/>
    <w:rsid w:val="00DA7BCC"/>
    <w:rsid w:val="00DB2345"/>
    <w:rsid w:val="00DB305A"/>
    <w:rsid w:val="00DB3DDF"/>
    <w:rsid w:val="00DB57D2"/>
    <w:rsid w:val="00DB595A"/>
    <w:rsid w:val="00DB60E9"/>
    <w:rsid w:val="00DC0005"/>
    <w:rsid w:val="00DC110C"/>
    <w:rsid w:val="00DC28E1"/>
    <w:rsid w:val="00DC31DE"/>
    <w:rsid w:val="00DC4166"/>
    <w:rsid w:val="00DC4621"/>
    <w:rsid w:val="00DC4EAE"/>
    <w:rsid w:val="00DC5A95"/>
    <w:rsid w:val="00DC6565"/>
    <w:rsid w:val="00DC6A91"/>
    <w:rsid w:val="00DD0223"/>
    <w:rsid w:val="00DD20D5"/>
    <w:rsid w:val="00DD2D4B"/>
    <w:rsid w:val="00DD39B2"/>
    <w:rsid w:val="00DD480A"/>
    <w:rsid w:val="00DD605F"/>
    <w:rsid w:val="00DD72D2"/>
    <w:rsid w:val="00DD7BCE"/>
    <w:rsid w:val="00DE004F"/>
    <w:rsid w:val="00DE169E"/>
    <w:rsid w:val="00DE1D3F"/>
    <w:rsid w:val="00DE20DB"/>
    <w:rsid w:val="00DE2B5D"/>
    <w:rsid w:val="00DE604C"/>
    <w:rsid w:val="00DE6099"/>
    <w:rsid w:val="00DE62A1"/>
    <w:rsid w:val="00DF05C8"/>
    <w:rsid w:val="00DF0924"/>
    <w:rsid w:val="00DF2393"/>
    <w:rsid w:val="00DF29FA"/>
    <w:rsid w:val="00DF36F3"/>
    <w:rsid w:val="00DF4908"/>
    <w:rsid w:val="00DF5256"/>
    <w:rsid w:val="00DF5AE0"/>
    <w:rsid w:val="00DF7279"/>
    <w:rsid w:val="00E00105"/>
    <w:rsid w:val="00E02593"/>
    <w:rsid w:val="00E02875"/>
    <w:rsid w:val="00E03344"/>
    <w:rsid w:val="00E033EC"/>
    <w:rsid w:val="00E03753"/>
    <w:rsid w:val="00E03BE1"/>
    <w:rsid w:val="00E0573F"/>
    <w:rsid w:val="00E063CA"/>
    <w:rsid w:val="00E06E5C"/>
    <w:rsid w:val="00E0795C"/>
    <w:rsid w:val="00E0796A"/>
    <w:rsid w:val="00E10883"/>
    <w:rsid w:val="00E1130C"/>
    <w:rsid w:val="00E11664"/>
    <w:rsid w:val="00E13DA6"/>
    <w:rsid w:val="00E14521"/>
    <w:rsid w:val="00E16A81"/>
    <w:rsid w:val="00E16E27"/>
    <w:rsid w:val="00E16FE9"/>
    <w:rsid w:val="00E17919"/>
    <w:rsid w:val="00E20204"/>
    <w:rsid w:val="00E221B4"/>
    <w:rsid w:val="00E22747"/>
    <w:rsid w:val="00E230F0"/>
    <w:rsid w:val="00E24B23"/>
    <w:rsid w:val="00E24CFF"/>
    <w:rsid w:val="00E25119"/>
    <w:rsid w:val="00E25C1B"/>
    <w:rsid w:val="00E25DB9"/>
    <w:rsid w:val="00E30E28"/>
    <w:rsid w:val="00E34AD2"/>
    <w:rsid w:val="00E350ED"/>
    <w:rsid w:val="00E3615E"/>
    <w:rsid w:val="00E36E6B"/>
    <w:rsid w:val="00E37DC9"/>
    <w:rsid w:val="00E40956"/>
    <w:rsid w:val="00E41591"/>
    <w:rsid w:val="00E422AC"/>
    <w:rsid w:val="00E4251A"/>
    <w:rsid w:val="00E42971"/>
    <w:rsid w:val="00E42EE4"/>
    <w:rsid w:val="00E433EC"/>
    <w:rsid w:val="00E438EF"/>
    <w:rsid w:val="00E43F70"/>
    <w:rsid w:val="00E47310"/>
    <w:rsid w:val="00E52772"/>
    <w:rsid w:val="00E5288D"/>
    <w:rsid w:val="00E53047"/>
    <w:rsid w:val="00E5634D"/>
    <w:rsid w:val="00E56FA1"/>
    <w:rsid w:val="00E57A94"/>
    <w:rsid w:val="00E603F5"/>
    <w:rsid w:val="00E60445"/>
    <w:rsid w:val="00E614BB"/>
    <w:rsid w:val="00E61504"/>
    <w:rsid w:val="00E617A9"/>
    <w:rsid w:val="00E621C7"/>
    <w:rsid w:val="00E65500"/>
    <w:rsid w:val="00E65AFA"/>
    <w:rsid w:val="00E66054"/>
    <w:rsid w:val="00E66937"/>
    <w:rsid w:val="00E70052"/>
    <w:rsid w:val="00E705D8"/>
    <w:rsid w:val="00E7385A"/>
    <w:rsid w:val="00E73DBD"/>
    <w:rsid w:val="00E73F85"/>
    <w:rsid w:val="00E75187"/>
    <w:rsid w:val="00E76628"/>
    <w:rsid w:val="00E7780C"/>
    <w:rsid w:val="00E77D2A"/>
    <w:rsid w:val="00E81C15"/>
    <w:rsid w:val="00E85626"/>
    <w:rsid w:val="00E85D04"/>
    <w:rsid w:val="00E871F4"/>
    <w:rsid w:val="00E91A08"/>
    <w:rsid w:val="00E91C39"/>
    <w:rsid w:val="00E91F24"/>
    <w:rsid w:val="00E9257D"/>
    <w:rsid w:val="00E9333D"/>
    <w:rsid w:val="00E93D73"/>
    <w:rsid w:val="00E940F4"/>
    <w:rsid w:val="00E94206"/>
    <w:rsid w:val="00E966F2"/>
    <w:rsid w:val="00E974A7"/>
    <w:rsid w:val="00EA179A"/>
    <w:rsid w:val="00EA3FE3"/>
    <w:rsid w:val="00EA692D"/>
    <w:rsid w:val="00EA6946"/>
    <w:rsid w:val="00EB02F9"/>
    <w:rsid w:val="00EB0B2A"/>
    <w:rsid w:val="00EB0D80"/>
    <w:rsid w:val="00EB19FC"/>
    <w:rsid w:val="00EB1DA5"/>
    <w:rsid w:val="00EB2DFA"/>
    <w:rsid w:val="00EB6A3D"/>
    <w:rsid w:val="00EC29DA"/>
    <w:rsid w:val="00EC40BD"/>
    <w:rsid w:val="00EC6D66"/>
    <w:rsid w:val="00EC703A"/>
    <w:rsid w:val="00EC70BA"/>
    <w:rsid w:val="00EC71D8"/>
    <w:rsid w:val="00EC7C63"/>
    <w:rsid w:val="00ED0573"/>
    <w:rsid w:val="00ED1360"/>
    <w:rsid w:val="00ED2BA8"/>
    <w:rsid w:val="00ED45D2"/>
    <w:rsid w:val="00ED5541"/>
    <w:rsid w:val="00ED5610"/>
    <w:rsid w:val="00ED613A"/>
    <w:rsid w:val="00ED626B"/>
    <w:rsid w:val="00ED7A9E"/>
    <w:rsid w:val="00EE070B"/>
    <w:rsid w:val="00EE080D"/>
    <w:rsid w:val="00EE0882"/>
    <w:rsid w:val="00EE0DE4"/>
    <w:rsid w:val="00EE1D18"/>
    <w:rsid w:val="00EE1FD5"/>
    <w:rsid w:val="00EE3380"/>
    <w:rsid w:val="00EE3E9B"/>
    <w:rsid w:val="00EE6E0A"/>
    <w:rsid w:val="00EF0D72"/>
    <w:rsid w:val="00EF1DB0"/>
    <w:rsid w:val="00EF2505"/>
    <w:rsid w:val="00EF2B5C"/>
    <w:rsid w:val="00EF34AB"/>
    <w:rsid w:val="00EF35FE"/>
    <w:rsid w:val="00EF3B93"/>
    <w:rsid w:val="00EF41FA"/>
    <w:rsid w:val="00EF4369"/>
    <w:rsid w:val="00EF4C38"/>
    <w:rsid w:val="00EF4D0E"/>
    <w:rsid w:val="00EF6A98"/>
    <w:rsid w:val="00EF7E15"/>
    <w:rsid w:val="00F00A18"/>
    <w:rsid w:val="00F014A4"/>
    <w:rsid w:val="00F01CCF"/>
    <w:rsid w:val="00F0233E"/>
    <w:rsid w:val="00F0471E"/>
    <w:rsid w:val="00F05FD6"/>
    <w:rsid w:val="00F07E49"/>
    <w:rsid w:val="00F1283B"/>
    <w:rsid w:val="00F13DDE"/>
    <w:rsid w:val="00F14E1C"/>
    <w:rsid w:val="00F15E29"/>
    <w:rsid w:val="00F16FD5"/>
    <w:rsid w:val="00F219A6"/>
    <w:rsid w:val="00F2266B"/>
    <w:rsid w:val="00F2395F"/>
    <w:rsid w:val="00F240F2"/>
    <w:rsid w:val="00F24189"/>
    <w:rsid w:val="00F248E4"/>
    <w:rsid w:val="00F25175"/>
    <w:rsid w:val="00F25543"/>
    <w:rsid w:val="00F25564"/>
    <w:rsid w:val="00F25656"/>
    <w:rsid w:val="00F25B3D"/>
    <w:rsid w:val="00F25DA9"/>
    <w:rsid w:val="00F2796E"/>
    <w:rsid w:val="00F27F64"/>
    <w:rsid w:val="00F31AF7"/>
    <w:rsid w:val="00F31E1A"/>
    <w:rsid w:val="00F345AC"/>
    <w:rsid w:val="00F34B3C"/>
    <w:rsid w:val="00F34ECB"/>
    <w:rsid w:val="00F361A3"/>
    <w:rsid w:val="00F36DEC"/>
    <w:rsid w:val="00F37201"/>
    <w:rsid w:val="00F372E3"/>
    <w:rsid w:val="00F42AF4"/>
    <w:rsid w:val="00F44EC3"/>
    <w:rsid w:val="00F45D85"/>
    <w:rsid w:val="00F46860"/>
    <w:rsid w:val="00F46D4F"/>
    <w:rsid w:val="00F47692"/>
    <w:rsid w:val="00F52553"/>
    <w:rsid w:val="00F52B2B"/>
    <w:rsid w:val="00F53A7D"/>
    <w:rsid w:val="00F5405C"/>
    <w:rsid w:val="00F541B9"/>
    <w:rsid w:val="00F551F3"/>
    <w:rsid w:val="00F55605"/>
    <w:rsid w:val="00F60B62"/>
    <w:rsid w:val="00F61CBF"/>
    <w:rsid w:val="00F6268A"/>
    <w:rsid w:val="00F62A8A"/>
    <w:rsid w:val="00F647CD"/>
    <w:rsid w:val="00F65443"/>
    <w:rsid w:val="00F65994"/>
    <w:rsid w:val="00F6798D"/>
    <w:rsid w:val="00F70E93"/>
    <w:rsid w:val="00F72182"/>
    <w:rsid w:val="00F72E38"/>
    <w:rsid w:val="00F73FE0"/>
    <w:rsid w:val="00F74093"/>
    <w:rsid w:val="00F744A8"/>
    <w:rsid w:val="00F751C4"/>
    <w:rsid w:val="00F76D14"/>
    <w:rsid w:val="00F76E19"/>
    <w:rsid w:val="00F774D6"/>
    <w:rsid w:val="00F82548"/>
    <w:rsid w:val="00F84A52"/>
    <w:rsid w:val="00F84F1C"/>
    <w:rsid w:val="00F86EC3"/>
    <w:rsid w:val="00F9079F"/>
    <w:rsid w:val="00F91298"/>
    <w:rsid w:val="00F946FC"/>
    <w:rsid w:val="00F9542B"/>
    <w:rsid w:val="00F9603D"/>
    <w:rsid w:val="00F96DA8"/>
    <w:rsid w:val="00F97673"/>
    <w:rsid w:val="00FA0ADC"/>
    <w:rsid w:val="00FA147D"/>
    <w:rsid w:val="00FA16D5"/>
    <w:rsid w:val="00FA201D"/>
    <w:rsid w:val="00FA205D"/>
    <w:rsid w:val="00FA327F"/>
    <w:rsid w:val="00FA3477"/>
    <w:rsid w:val="00FA431C"/>
    <w:rsid w:val="00FA6192"/>
    <w:rsid w:val="00FB1299"/>
    <w:rsid w:val="00FB1467"/>
    <w:rsid w:val="00FB2AFF"/>
    <w:rsid w:val="00FB51CB"/>
    <w:rsid w:val="00FB5E23"/>
    <w:rsid w:val="00FB6138"/>
    <w:rsid w:val="00FB6AF5"/>
    <w:rsid w:val="00FC122D"/>
    <w:rsid w:val="00FC12F3"/>
    <w:rsid w:val="00FC1514"/>
    <w:rsid w:val="00FC399B"/>
    <w:rsid w:val="00FC4A58"/>
    <w:rsid w:val="00FC4BD6"/>
    <w:rsid w:val="00FC7771"/>
    <w:rsid w:val="00FD0143"/>
    <w:rsid w:val="00FD1E36"/>
    <w:rsid w:val="00FD28B8"/>
    <w:rsid w:val="00FD32FC"/>
    <w:rsid w:val="00FD371F"/>
    <w:rsid w:val="00FD4049"/>
    <w:rsid w:val="00FD702E"/>
    <w:rsid w:val="00FE291E"/>
    <w:rsid w:val="00FE3709"/>
    <w:rsid w:val="00FE37B2"/>
    <w:rsid w:val="00FE4747"/>
    <w:rsid w:val="00FE56DB"/>
    <w:rsid w:val="00FE69D3"/>
    <w:rsid w:val="00FE7679"/>
    <w:rsid w:val="00FF2D1D"/>
    <w:rsid w:val="00FF3020"/>
    <w:rsid w:val="00FF74F3"/>
    <w:rsid w:val="00FF7601"/>
    <w:rsid w:val="00FF76A5"/>
    <w:rsid w:val="00FF7C2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60445"/>
  </w:style>
  <w:style w:type="paragraph" w:styleId="Kop1">
    <w:name w:val="heading 1"/>
    <w:basedOn w:val="Standaard"/>
    <w:next w:val="Standaard"/>
    <w:link w:val="Kop1Char"/>
    <w:uiPriority w:val="9"/>
    <w:qFormat/>
    <w:rsid w:val="00D2604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D2604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EA692D"/>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0C4206"/>
    <w:pPr>
      <w:keepNext/>
      <w:keepLines/>
      <w:spacing w:before="200" w:after="0"/>
      <w:outlineLvl w:val="3"/>
    </w:pPr>
    <w:rPr>
      <w:rFonts w:asciiTheme="majorHAnsi" w:eastAsiaTheme="majorEastAsia" w:hAnsiTheme="majorHAnsi" w:cstheme="majorBidi"/>
      <w:b/>
      <w:bCs/>
      <w:i/>
      <w:iCs/>
      <w:color w:val="4F81BD" w:themeColor="accent1"/>
      <w:lang w:val="en-US" w:bidi="en-US"/>
    </w:rPr>
  </w:style>
  <w:style w:type="paragraph" w:styleId="Kop5">
    <w:name w:val="heading 5"/>
    <w:basedOn w:val="Standaard"/>
    <w:next w:val="Standaard"/>
    <w:link w:val="Kop5Char"/>
    <w:uiPriority w:val="9"/>
    <w:semiHidden/>
    <w:unhideWhenUsed/>
    <w:qFormat/>
    <w:rsid w:val="004B03CA"/>
    <w:pPr>
      <w:keepNext/>
      <w:keepLines/>
      <w:spacing w:before="200" w:after="0"/>
      <w:outlineLvl w:val="4"/>
    </w:pPr>
    <w:rPr>
      <w:rFonts w:asciiTheme="majorHAnsi" w:eastAsiaTheme="majorEastAsia" w:hAnsiTheme="majorHAnsi" w:cstheme="majorBidi"/>
      <w:color w:val="243F60" w:themeColor="accent1" w:themeShade="7F"/>
      <w:lang w:val="en-US" w:bidi="en-US"/>
    </w:rPr>
  </w:style>
  <w:style w:type="paragraph" w:styleId="Kop6">
    <w:name w:val="heading 6"/>
    <w:basedOn w:val="Standaard"/>
    <w:next w:val="Standaard"/>
    <w:link w:val="Kop6Char"/>
    <w:uiPriority w:val="9"/>
    <w:semiHidden/>
    <w:unhideWhenUsed/>
    <w:qFormat/>
    <w:rsid w:val="004B03CA"/>
    <w:pPr>
      <w:keepNext/>
      <w:keepLines/>
      <w:spacing w:before="200" w:after="0"/>
      <w:outlineLvl w:val="5"/>
    </w:pPr>
    <w:rPr>
      <w:rFonts w:asciiTheme="majorHAnsi" w:eastAsiaTheme="majorEastAsia" w:hAnsiTheme="majorHAnsi" w:cstheme="majorBidi"/>
      <w:i/>
      <w:iCs/>
      <w:color w:val="243F60" w:themeColor="accent1" w:themeShade="7F"/>
      <w:lang w:val="en-US" w:bidi="en-US"/>
    </w:rPr>
  </w:style>
  <w:style w:type="paragraph" w:styleId="Kop7">
    <w:name w:val="heading 7"/>
    <w:basedOn w:val="Standaard"/>
    <w:next w:val="Standaard"/>
    <w:link w:val="Kop7Char"/>
    <w:uiPriority w:val="9"/>
    <w:semiHidden/>
    <w:unhideWhenUsed/>
    <w:qFormat/>
    <w:rsid w:val="004B03CA"/>
    <w:pPr>
      <w:keepNext/>
      <w:keepLines/>
      <w:spacing w:before="200" w:after="0"/>
      <w:outlineLvl w:val="6"/>
    </w:pPr>
    <w:rPr>
      <w:rFonts w:asciiTheme="majorHAnsi" w:eastAsiaTheme="majorEastAsia" w:hAnsiTheme="majorHAnsi" w:cstheme="majorBidi"/>
      <w:i/>
      <w:iCs/>
      <w:color w:val="404040" w:themeColor="text1" w:themeTint="BF"/>
      <w:lang w:val="en-US" w:bidi="en-US"/>
    </w:rPr>
  </w:style>
  <w:style w:type="paragraph" w:styleId="Kop8">
    <w:name w:val="heading 8"/>
    <w:basedOn w:val="Standaard"/>
    <w:next w:val="Standaard"/>
    <w:link w:val="Kop8Char"/>
    <w:uiPriority w:val="9"/>
    <w:semiHidden/>
    <w:unhideWhenUsed/>
    <w:qFormat/>
    <w:rsid w:val="004B03CA"/>
    <w:pPr>
      <w:keepNext/>
      <w:keepLines/>
      <w:spacing w:before="200" w:after="0"/>
      <w:outlineLvl w:val="7"/>
    </w:pPr>
    <w:rPr>
      <w:rFonts w:asciiTheme="majorHAnsi" w:eastAsiaTheme="majorEastAsia" w:hAnsiTheme="majorHAnsi" w:cstheme="majorBidi"/>
      <w:color w:val="4F81BD" w:themeColor="accent1"/>
      <w:sz w:val="20"/>
      <w:szCs w:val="20"/>
      <w:lang w:val="en-US" w:bidi="en-US"/>
    </w:rPr>
  </w:style>
  <w:style w:type="paragraph" w:styleId="Kop9">
    <w:name w:val="heading 9"/>
    <w:basedOn w:val="Standaard"/>
    <w:next w:val="Standaard"/>
    <w:link w:val="Kop9Char"/>
    <w:uiPriority w:val="9"/>
    <w:semiHidden/>
    <w:unhideWhenUsed/>
    <w:qFormat/>
    <w:rsid w:val="004B03CA"/>
    <w:pPr>
      <w:keepNext/>
      <w:keepLines/>
      <w:spacing w:before="200" w:after="0"/>
      <w:outlineLvl w:val="8"/>
    </w:pPr>
    <w:rPr>
      <w:rFonts w:asciiTheme="majorHAnsi" w:eastAsiaTheme="majorEastAsia" w:hAnsiTheme="majorHAnsi" w:cstheme="majorBidi"/>
      <w:i/>
      <w:iCs/>
      <w:color w:val="404040" w:themeColor="text1" w:themeTint="BF"/>
      <w:sz w:val="20"/>
      <w:szCs w:val="20"/>
      <w:lang w:val="en-US" w:bidi="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26049"/>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D26049"/>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EA692D"/>
    <w:rPr>
      <w:rFonts w:asciiTheme="majorHAnsi" w:eastAsiaTheme="majorEastAsia" w:hAnsiTheme="majorHAnsi" w:cstheme="majorBidi"/>
      <w:b/>
      <w:bCs/>
      <w:color w:val="4F81BD" w:themeColor="accent1"/>
    </w:rPr>
  </w:style>
  <w:style w:type="character" w:customStyle="1" w:styleId="Kop4Char">
    <w:name w:val="Kop 4 Char"/>
    <w:basedOn w:val="Standaardalinea-lettertype"/>
    <w:link w:val="Kop4"/>
    <w:uiPriority w:val="9"/>
    <w:rsid w:val="000C4206"/>
    <w:rPr>
      <w:rFonts w:asciiTheme="majorHAnsi" w:eastAsiaTheme="majorEastAsia" w:hAnsiTheme="majorHAnsi" w:cstheme="majorBidi"/>
      <w:b/>
      <w:bCs/>
      <w:i/>
      <w:iCs/>
      <w:color w:val="4F81BD" w:themeColor="accent1"/>
      <w:lang w:val="en-US" w:bidi="en-US"/>
    </w:rPr>
  </w:style>
  <w:style w:type="character" w:customStyle="1" w:styleId="Kop5Char">
    <w:name w:val="Kop 5 Char"/>
    <w:basedOn w:val="Standaardalinea-lettertype"/>
    <w:link w:val="Kop5"/>
    <w:uiPriority w:val="9"/>
    <w:semiHidden/>
    <w:rsid w:val="004B03CA"/>
    <w:rPr>
      <w:rFonts w:asciiTheme="majorHAnsi" w:eastAsiaTheme="majorEastAsia" w:hAnsiTheme="majorHAnsi" w:cstheme="majorBidi"/>
      <w:color w:val="243F60" w:themeColor="accent1" w:themeShade="7F"/>
      <w:lang w:val="en-US" w:bidi="en-US"/>
    </w:rPr>
  </w:style>
  <w:style w:type="character" w:customStyle="1" w:styleId="Kop6Char">
    <w:name w:val="Kop 6 Char"/>
    <w:basedOn w:val="Standaardalinea-lettertype"/>
    <w:link w:val="Kop6"/>
    <w:uiPriority w:val="9"/>
    <w:semiHidden/>
    <w:rsid w:val="004B03CA"/>
    <w:rPr>
      <w:rFonts w:asciiTheme="majorHAnsi" w:eastAsiaTheme="majorEastAsia" w:hAnsiTheme="majorHAnsi" w:cstheme="majorBidi"/>
      <w:i/>
      <w:iCs/>
      <w:color w:val="243F60" w:themeColor="accent1" w:themeShade="7F"/>
      <w:lang w:val="en-US" w:bidi="en-US"/>
    </w:rPr>
  </w:style>
  <w:style w:type="character" w:customStyle="1" w:styleId="Kop7Char">
    <w:name w:val="Kop 7 Char"/>
    <w:basedOn w:val="Standaardalinea-lettertype"/>
    <w:link w:val="Kop7"/>
    <w:uiPriority w:val="9"/>
    <w:semiHidden/>
    <w:rsid w:val="004B03CA"/>
    <w:rPr>
      <w:rFonts w:asciiTheme="majorHAnsi" w:eastAsiaTheme="majorEastAsia" w:hAnsiTheme="majorHAnsi" w:cstheme="majorBidi"/>
      <w:i/>
      <w:iCs/>
      <w:color w:val="404040" w:themeColor="text1" w:themeTint="BF"/>
      <w:lang w:val="en-US" w:bidi="en-US"/>
    </w:rPr>
  </w:style>
  <w:style w:type="character" w:customStyle="1" w:styleId="Kop8Char">
    <w:name w:val="Kop 8 Char"/>
    <w:basedOn w:val="Standaardalinea-lettertype"/>
    <w:link w:val="Kop8"/>
    <w:uiPriority w:val="9"/>
    <w:semiHidden/>
    <w:rsid w:val="004B03CA"/>
    <w:rPr>
      <w:rFonts w:asciiTheme="majorHAnsi" w:eastAsiaTheme="majorEastAsia" w:hAnsiTheme="majorHAnsi" w:cstheme="majorBidi"/>
      <w:color w:val="4F81BD" w:themeColor="accent1"/>
      <w:sz w:val="20"/>
      <w:szCs w:val="20"/>
      <w:lang w:val="en-US" w:bidi="en-US"/>
    </w:rPr>
  </w:style>
  <w:style w:type="character" w:customStyle="1" w:styleId="Kop9Char">
    <w:name w:val="Kop 9 Char"/>
    <w:basedOn w:val="Standaardalinea-lettertype"/>
    <w:link w:val="Kop9"/>
    <w:uiPriority w:val="9"/>
    <w:semiHidden/>
    <w:rsid w:val="004B03CA"/>
    <w:rPr>
      <w:rFonts w:asciiTheme="majorHAnsi" w:eastAsiaTheme="majorEastAsia" w:hAnsiTheme="majorHAnsi" w:cstheme="majorBidi"/>
      <w:i/>
      <w:iCs/>
      <w:color w:val="404040" w:themeColor="text1" w:themeTint="BF"/>
      <w:sz w:val="20"/>
      <w:szCs w:val="20"/>
      <w:lang w:val="en-US" w:bidi="en-US"/>
    </w:rPr>
  </w:style>
  <w:style w:type="paragraph" w:styleId="Voetnoottekst">
    <w:name w:val="footnote text"/>
    <w:basedOn w:val="Standaard"/>
    <w:link w:val="VoetnoottekstChar"/>
    <w:semiHidden/>
    <w:rsid w:val="006D1206"/>
    <w:pPr>
      <w:spacing w:after="0" w:line="240" w:lineRule="auto"/>
    </w:pPr>
    <w:rPr>
      <w:rFonts w:ascii="Times New Roman" w:eastAsia="Times New Roman" w:hAnsi="Times New Roman" w:cs="Angsana New"/>
      <w:sz w:val="20"/>
      <w:szCs w:val="20"/>
      <w:lang w:val="en-AU" w:eastAsia="en-AU" w:bidi="th-TH"/>
    </w:rPr>
  </w:style>
  <w:style w:type="character" w:customStyle="1" w:styleId="VoetnoottekstChar">
    <w:name w:val="Voetnoottekst Char"/>
    <w:basedOn w:val="Standaardalinea-lettertype"/>
    <w:link w:val="Voetnoottekst"/>
    <w:semiHidden/>
    <w:rsid w:val="006D1206"/>
    <w:rPr>
      <w:rFonts w:ascii="Times New Roman" w:eastAsia="Times New Roman" w:hAnsi="Times New Roman" w:cs="Angsana New"/>
      <w:sz w:val="20"/>
      <w:szCs w:val="20"/>
      <w:lang w:val="en-AU" w:eastAsia="en-AU" w:bidi="th-TH"/>
    </w:rPr>
  </w:style>
  <w:style w:type="character" w:styleId="Voetnootmarkering">
    <w:name w:val="footnote reference"/>
    <w:basedOn w:val="Standaardalinea-lettertype"/>
    <w:semiHidden/>
    <w:rsid w:val="006D1206"/>
    <w:rPr>
      <w:vertAlign w:val="superscript"/>
    </w:rPr>
  </w:style>
  <w:style w:type="paragraph" w:styleId="Geenafstand">
    <w:name w:val="No Spacing"/>
    <w:uiPriority w:val="1"/>
    <w:qFormat/>
    <w:rsid w:val="006D1206"/>
    <w:pPr>
      <w:spacing w:after="0" w:line="240" w:lineRule="auto"/>
    </w:pPr>
  </w:style>
  <w:style w:type="character" w:styleId="Hyperlink">
    <w:name w:val="Hyperlink"/>
    <w:basedOn w:val="Standaardalinea-lettertype"/>
    <w:uiPriority w:val="99"/>
    <w:unhideWhenUsed/>
    <w:rsid w:val="006D1206"/>
    <w:rPr>
      <w:color w:val="0000FF" w:themeColor="hyperlink"/>
      <w:u w:val="single"/>
    </w:rPr>
  </w:style>
  <w:style w:type="paragraph" w:styleId="Normaalweb">
    <w:name w:val="Normal (Web)"/>
    <w:basedOn w:val="Standaard"/>
    <w:uiPriority w:val="99"/>
    <w:semiHidden/>
    <w:unhideWhenUsed/>
    <w:rsid w:val="00BD54E4"/>
    <w:pPr>
      <w:spacing w:before="100" w:beforeAutospacing="1" w:after="100" w:afterAutospacing="1" w:line="240" w:lineRule="auto"/>
    </w:pPr>
    <w:rPr>
      <w:rFonts w:ascii="Times New Roman" w:eastAsia="Times New Roman" w:hAnsi="Times New Roman" w:cs="Times New Roman"/>
      <w:color w:val="000000"/>
      <w:sz w:val="24"/>
      <w:szCs w:val="24"/>
      <w:lang w:eastAsia="nl-NL"/>
    </w:rPr>
  </w:style>
  <w:style w:type="character" w:styleId="GevolgdeHyperlink">
    <w:name w:val="FollowedHyperlink"/>
    <w:basedOn w:val="Standaardalinea-lettertype"/>
    <w:uiPriority w:val="99"/>
    <w:semiHidden/>
    <w:unhideWhenUsed/>
    <w:rsid w:val="00AC4778"/>
    <w:rPr>
      <w:color w:val="800080" w:themeColor="followedHyperlink"/>
      <w:u w:val="single"/>
    </w:rPr>
  </w:style>
  <w:style w:type="paragraph" w:customStyle="1" w:styleId="ps-000-normal-indent-1">
    <w:name w:val="ps-000-normal-indent-1"/>
    <w:basedOn w:val="Standaard"/>
    <w:rsid w:val="00552670"/>
    <w:pPr>
      <w:spacing w:after="120" w:line="240" w:lineRule="auto"/>
      <w:ind w:left="640"/>
    </w:pPr>
    <w:rPr>
      <w:rFonts w:ascii="Verdana" w:eastAsia="Times New Roman" w:hAnsi="Verdana" w:cs="Times New Roman"/>
      <w:color w:val="000000"/>
      <w:sz w:val="20"/>
      <w:szCs w:val="20"/>
      <w:lang w:eastAsia="nl-NL"/>
    </w:rPr>
  </w:style>
  <w:style w:type="paragraph" w:customStyle="1" w:styleId="ps-020-bullet-10">
    <w:name w:val="ps-020-bullet-10"/>
    <w:basedOn w:val="Standaard"/>
    <w:rsid w:val="00BD5152"/>
    <w:pPr>
      <w:spacing w:after="120" w:line="240" w:lineRule="auto"/>
      <w:ind w:left="660" w:hanging="620"/>
    </w:pPr>
    <w:rPr>
      <w:rFonts w:ascii="Verdana" w:eastAsia="Times New Roman" w:hAnsi="Verdana" w:cs="Times New Roman"/>
      <w:color w:val="000000"/>
      <w:sz w:val="20"/>
      <w:szCs w:val="20"/>
      <w:lang w:eastAsia="nl-NL"/>
    </w:rPr>
  </w:style>
  <w:style w:type="paragraph" w:customStyle="1" w:styleId="ps-021-bullet-a">
    <w:name w:val="ps-021-bullet-a"/>
    <w:basedOn w:val="Standaard"/>
    <w:rsid w:val="00076450"/>
    <w:pPr>
      <w:spacing w:after="120" w:line="240" w:lineRule="auto"/>
      <w:ind w:left="1400" w:hanging="640"/>
    </w:pPr>
    <w:rPr>
      <w:rFonts w:ascii="Verdana" w:eastAsia="Times New Roman" w:hAnsi="Verdana" w:cs="Times New Roman"/>
      <w:color w:val="000000"/>
      <w:sz w:val="20"/>
      <w:szCs w:val="20"/>
      <w:lang w:eastAsia="nl-NL"/>
    </w:rPr>
  </w:style>
  <w:style w:type="paragraph" w:customStyle="1" w:styleId="ps-022-bullet-i">
    <w:name w:val="ps-022-bullet-i"/>
    <w:basedOn w:val="Standaard"/>
    <w:rsid w:val="00076450"/>
    <w:pPr>
      <w:spacing w:after="120" w:line="240" w:lineRule="auto"/>
      <w:ind w:left="1940" w:hanging="600"/>
    </w:pPr>
    <w:rPr>
      <w:rFonts w:ascii="Verdana" w:eastAsia="Times New Roman" w:hAnsi="Verdana" w:cs="Times New Roman"/>
      <w:color w:val="000000"/>
      <w:sz w:val="20"/>
      <w:szCs w:val="20"/>
      <w:lang w:eastAsia="nl-NL"/>
    </w:rPr>
  </w:style>
  <w:style w:type="paragraph" w:customStyle="1" w:styleId="ps-022-bullet-ii">
    <w:name w:val="ps-022-bullet-ii"/>
    <w:basedOn w:val="Standaard"/>
    <w:rsid w:val="00076450"/>
    <w:pPr>
      <w:spacing w:after="120" w:line="240" w:lineRule="auto"/>
      <w:ind w:left="1940" w:hanging="620"/>
    </w:pPr>
    <w:rPr>
      <w:rFonts w:ascii="Verdana" w:eastAsia="Times New Roman" w:hAnsi="Verdana" w:cs="Times New Roman"/>
      <w:color w:val="000000"/>
      <w:sz w:val="20"/>
      <w:szCs w:val="20"/>
      <w:lang w:eastAsia="nl-NL"/>
    </w:rPr>
  </w:style>
  <w:style w:type="paragraph" w:customStyle="1" w:styleId="ps-020-bullet-100">
    <w:name w:val="ps-020-bullet-100"/>
    <w:basedOn w:val="Standaard"/>
    <w:rsid w:val="00076450"/>
    <w:pPr>
      <w:spacing w:after="120" w:line="240" w:lineRule="auto"/>
      <w:ind w:left="760" w:hanging="740"/>
    </w:pPr>
    <w:rPr>
      <w:rFonts w:ascii="Verdana" w:eastAsia="Times New Roman" w:hAnsi="Verdana" w:cs="Times New Roman"/>
      <w:color w:val="000000"/>
      <w:sz w:val="20"/>
      <w:szCs w:val="20"/>
      <w:lang w:eastAsia="nl-NL"/>
    </w:rPr>
  </w:style>
  <w:style w:type="paragraph" w:customStyle="1" w:styleId="ps-020-bullet-1000">
    <w:name w:val="ps-020-bullet-1000"/>
    <w:basedOn w:val="Standaard"/>
    <w:rsid w:val="009F22C3"/>
    <w:pPr>
      <w:spacing w:after="120" w:line="240" w:lineRule="auto"/>
      <w:ind w:left="900" w:hanging="880"/>
    </w:pPr>
    <w:rPr>
      <w:rFonts w:ascii="Verdana" w:eastAsia="Times New Roman" w:hAnsi="Verdana" w:cs="Times New Roman"/>
      <w:color w:val="000000"/>
      <w:sz w:val="20"/>
      <w:szCs w:val="20"/>
      <w:lang w:eastAsia="nl-NL"/>
    </w:rPr>
  </w:style>
  <w:style w:type="paragraph" w:customStyle="1" w:styleId="ps-000-normal">
    <w:name w:val="ps-000-normal"/>
    <w:basedOn w:val="Standaard"/>
    <w:rsid w:val="00BB4A2E"/>
    <w:pPr>
      <w:spacing w:before="100" w:after="100" w:line="240" w:lineRule="auto"/>
    </w:pPr>
    <w:rPr>
      <w:rFonts w:ascii="Verdana" w:eastAsia="Times New Roman" w:hAnsi="Verdana" w:cs="Times New Roman"/>
      <w:color w:val="000000"/>
      <w:sz w:val="20"/>
      <w:szCs w:val="20"/>
      <w:lang w:eastAsia="nl-NL"/>
    </w:rPr>
  </w:style>
  <w:style w:type="character" w:customStyle="1" w:styleId="cs-900-italics1">
    <w:name w:val="cs-900-italics1"/>
    <w:basedOn w:val="Standaardalinea-lettertype"/>
    <w:rsid w:val="00BB4A2E"/>
    <w:rPr>
      <w:i/>
      <w:iCs/>
    </w:rPr>
  </w:style>
  <w:style w:type="paragraph" w:styleId="Ballontekst">
    <w:name w:val="Balloon Text"/>
    <w:basedOn w:val="Standaard"/>
    <w:link w:val="BallontekstChar"/>
    <w:uiPriority w:val="99"/>
    <w:semiHidden/>
    <w:unhideWhenUsed/>
    <w:rsid w:val="00B96720"/>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96720"/>
    <w:rPr>
      <w:rFonts w:ascii="Tahoma" w:hAnsi="Tahoma" w:cs="Tahoma"/>
      <w:sz w:val="16"/>
      <w:szCs w:val="16"/>
    </w:rPr>
  </w:style>
  <w:style w:type="paragraph" w:styleId="Lijstalinea">
    <w:name w:val="List Paragraph"/>
    <w:basedOn w:val="Standaard"/>
    <w:uiPriority w:val="34"/>
    <w:qFormat/>
    <w:rsid w:val="00B6338E"/>
    <w:pPr>
      <w:ind w:left="720"/>
      <w:contextualSpacing/>
    </w:pPr>
  </w:style>
  <w:style w:type="paragraph" w:customStyle="1" w:styleId="Blocktext">
    <w:name w:val="Blocktext"/>
    <w:basedOn w:val="Standaard"/>
    <w:next w:val="Standaard"/>
    <w:uiPriority w:val="99"/>
    <w:rsid w:val="00D62E5B"/>
    <w:pPr>
      <w:autoSpaceDE w:val="0"/>
      <w:autoSpaceDN w:val="0"/>
      <w:adjustRightInd w:val="0"/>
      <w:spacing w:after="0" w:line="240" w:lineRule="auto"/>
    </w:pPr>
    <w:rPr>
      <w:rFonts w:ascii="Times New Roman" w:hAnsi="Times New Roman" w:cs="Times New Roman"/>
      <w:sz w:val="24"/>
      <w:szCs w:val="24"/>
    </w:rPr>
  </w:style>
  <w:style w:type="character" w:customStyle="1" w:styleId="longtext1">
    <w:name w:val="long_text1"/>
    <w:basedOn w:val="Standaardalinea-lettertype"/>
    <w:rsid w:val="001D4600"/>
    <w:rPr>
      <w:sz w:val="20"/>
      <w:szCs w:val="20"/>
    </w:rPr>
  </w:style>
  <w:style w:type="table" w:styleId="Tabelraster">
    <w:name w:val="Table Grid"/>
    <w:basedOn w:val="Standaardtabel"/>
    <w:uiPriority w:val="59"/>
    <w:rsid w:val="009F6CE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1957CC"/>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ecxmsonormal">
    <w:name w:val="ecxmsonormal"/>
    <w:basedOn w:val="Standaard"/>
    <w:rsid w:val="001957CC"/>
    <w:pPr>
      <w:spacing w:after="324" w:line="240" w:lineRule="auto"/>
    </w:pPr>
    <w:rPr>
      <w:rFonts w:ascii="Times New Roman" w:eastAsia="Times New Roman" w:hAnsi="Times New Roman" w:cs="Times New Roman"/>
      <w:sz w:val="24"/>
      <w:szCs w:val="24"/>
      <w:lang w:val="en-US"/>
    </w:rPr>
  </w:style>
  <w:style w:type="paragraph" w:customStyle="1" w:styleId="first">
    <w:name w:val="first"/>
    <w:basedOn w:val="Standaard"/>
    <w:rsid w:val="00341FB5"/>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tandard">
    <w:name w:val="Standard"/>
    <w:basedOn w:val="Default"/>
    <w:next w:val="Default"/>
    <w:rsid w:val="00083FBF"/>
    <w:rPr>
      <w:rFonts w:eastAsiaTheme="minorHAnsi"/>
      <w:color w:val="auto"/>
      <w:lang w:val="nl-NL"/>
    </w:rPr>
  </w:style>
  <w:style w:type="character" w:styleId="Zwaar">
    <w:name w:val="Strong"/>
    <w:basedOn w:val="Standaardalinea-lettertype"/>
    <w:uiPriority w:val="22"/>
    <w:qFormat/>
    <w:rsid w:val="0034066F"/>
    <w:rPr>
      <w:rFonts w:ascii="Arial" w:hAnsi="Arial" w:cs="Arial" w:hint="default"/>
      <w:b/>
      <w:bCs/>
    </w:rPr>
  </w:style>
  <w:style w:type="character" w:styleId="Nadruk">
    <w:name w:val="Emphasis"/>
    <w:basedOn w:val="Standaardalinea-lettertype"/>
    <w:uiPriority w:val="20"/>
    <w:qFormat/>
    <w:rsid w:val="00D105E0"/>
    <w:rPr>
      <w:i/>
      <w:iCs/>
    </w:rPr>
  </w:style>
  <w:style w:type="paragraph" w:styleId="Koptekst">
    <w:name w:val="header"/>
    <w:basedOn w:val="Standaard"/>
    <w:link w:val="KoptekstChar"/>
    <w:uiPriority w:val="99"/>
    <w:semiHidden/>
    <w:unhideWhenUsed/>
    <w:rsid w:val="00A86FD3"/>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A86FD3"/>
  </w:style>
  <w:style w:type="paragraph" w:styleId="Voettekst">
    <w:name w:val="footer"/>
    <w:basedOn w:val="Standaard"/>
    <w:link w:val="VoettekstChar"/>
    <w:uiPriority w:val="99"/>
    <w:unhideWhenUsed/>
    <w:rsid w:val="00A86FD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86FD3"/>
  </w:style>
  <w:style w:type="character" w:styleId="HTML-citaat">
    <w:name w:val="HTML Cite"/>
    <w:basedOn w:val="Standaardalinea-lettertype"/>
    <w:uiPriority w:val="99"/>
    <w:semiHidden/>
    <w:unhideWhenUsed/>
    <w:rsid w:val="008F2D6E"/>
    <w:rPr>
      <w:i/>
      <w:iCs/>
    </w:rPr>
  </w:style>
  <w:style w:type="paragraph" w:styleId="Bijschrift">
    <w:name w:val="caption"/>
    <w:basedOn w:val="Standaard"/>
    <w:next w:val="Standaard"/>
    <w:uiPriority w:val="35"/>
    <w:semiHidden/>
    <w:unhideWhenUsed/>
    <w:qFormat/>
    <w:rsid w:val="004B03CA"/>
    <w:pPr>
      <w:spacing w:line="240" w:lineRule="auto"/>
    </w:pPr>
    <w:rPr>
      <w:rFonts w:eastAsiaTheme="minorEastAsia"/>
      <w:b/>
      <w:bCs/>
      <w:color w:val="4F81BD" w:themeColor="accent1"/>
      <w:sz w:val="18"/>
      <w:szCs w:val="18"/>
      <w:lang w:val="en-US" w:bidi="en-US"/>
    </w:rPr>
  </w:style>
  <w:style w:type="paragraph" w:styleId="Titel">
    <w:name w:val="Title"/>
    <w:basedOn w:val="Standaard"/>
    <w:next w:val="Standaard"/>
    <w:link w:val="TitelChar"/>
    <w:uiPriority w:val="10"/>
    <w:qFormat/>
    <w:rsid w:val="004B03C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bidi="en-US"/>
    </w:rPr>
  </w:style>
  <w:style w:type="character" w:customStyle="1" w:styleId="TitelChar">
    <w:name w:val="Titel Char"/>
    <w:basedOn w:val="Standaardalinea-lettertype"/>
    <w:link w:val="Titel"/>
    <w:uiPriority w:val="10"/>
    <w:rsid w:val="004B03CA"/>
    <w:rPr>
      <w:rFonts w:asciiTheme="majorHAnsi" w:eastAsiaTheme="majorEastAsia" w:hAnsiTheme="majorHAnsi" w:cstheme="majorBidi"/>
      <w:color w:val="17365D" w:themeColor="text2" w:themeShade="BF"/>
      <w:spacing w:val="5"/>
      <w:kern w:val="28"/>
      <w:sz w:val="52"/>
      <w:szCs w:val="52"/>
      <w:lang w:val="en-US" w:bidi="en-US"/>
    </w:rPr>
  </w:style>
  <w:style w:type="paragraph" w:styleId="Subtitel">
    <w:name w:val="Subtitle"/>
    <w:basedOn w:val="Standaard"/>
    <w:next w:val="Standaard"/>
    <w:link w:val="SubtitelChar"/>
    <w:uiPriority w:val="11"/>
    <w:qFormat/>
    <w:rsid w:val="004B03CA"/>
    <w:pPr>
      <w:numPr>
        <w:ilvl w:val="1"/>
      </w:numPr>
    </w:pPr>
    <w:rPr>
      <w:rFonts w:asciiTheme="majorHAnsi" w:eastAsiaTheme="majorEastAsia" w:hAnsiTheme="majorHAnsi" w:cstheme="majorBidi"/>
      <w:i/>
      <w:iCs/>
      <w:color w:val="4F81BD" w:themeColor="accent1"/>
      <w:spacing w:val="15"/>
      <w:sz w:val="24"/>
      <w:szCs w:val="24"/>
      <w:lang w:val="en-US" w:bidi="en-US"/>
    </w:rPr>
  </w:style>
  <w:style w:type="character" w:customStyle="1" w:styleId="SubtitelChar">
    <w:name w:val="Subtitel Char"/>
    <w:basedOn w:val="Standaardalinea-lettertype"/>
    <w:link w:val="Subtitel"/>
    <w:uiPriority w:val="11"/>
    <w:rsid w:val="004B03CA"/>
    <w:rPr>
      <w:rFonts w:asciiTheme="majorHAnsi" w:eastAsiaTheme="majorEastAsia" w:hAnsiTheme="majorHAnsi" w:cstheme="majorBidi"/>
      <w:i/>
      <w:iCs/>
      <w:color w:val="4F81BD" w:themeColor="accent1"/>
      <w:spacing w:val="15"/>
      <w:sz w:val="24"/>
      <w:szCs w:val="24"/>
      <w:lang w:val="en-US" w:bidi="en-US"/>
    </w:rPr>
  </w:style>
  <w:style w:type="paragraph" w:styleId="Citaat">
    <w:name w:val="Quote"/>
    <w:basedOn w:val="Standaard"/>
    <w:next w:val="Standaard"/>
    <w:link w:val="CitaatChar"/>
    <w:uiPriority w:val="29"/>
    <w:qFormat/>
    <w:rsid w:val="004B03CA"/>
    <w:rPr>
      <w:rFonts w:eastAsiaTheme="minorEastAsia"/>
      <w:i/>
      <w:iCs/>
      <w:color w:val="000000" w:themeColor="text1"/>
      <w:lang w:val="en-US" w:bidi="en-US"/>
    </w:rPr>
  </w:style>
  <w:style w:type="character" w:customStyle="1" w:styleId="CitaatChar">
    <w:name w:val="Citaat Char"/>
    <w:basedOn w:val="Standaardalinea-lettertype"/>
    <w:link w:val="Citaat"/>
    <w:uiPriority w:val="29"/>
    <w:rsid w:val="004B03CA"/>
    <w:rPr>
      <w:rFonts w:eastAsiaTheme="minorEastAsia"/>
      <w:i/>
      <w:iCs/>
      <w:color w:val="000000" w:themeColor="text1"/>
      <w:lang w:val="en-US" w:bidi="en-US"/>
    </w:rPr>
  </w:style>
  <w:style w:type="paragraph" w:styleId="Duidelijkcitaat">
    <w:name w:val="Intense Quote"/>
    <w:basedOn w:val="Standaard"/>
    <w:next w:val="Standaard"/>
    <w:link w:val="DuidelijkcitaatChar"/>
    <w:uiPriority w:val="30"/>
    <w:qFormat/>
    <w:rsid w:val="004B03CA"/>
    <w:pPr>
      <w:pBdr>
        <w:bottom w:val="single" w:sz="4" w:space="4" w:color="4F81BD" w:themeColor="accent1"/>
      </w:pBdr>
      <w:spacing w:before="200" w:after="280"/>
      <w:ind w:left="936" w:right="936"/>
    </w:pPr>
    <w:rPr>
      <w:rFonts w:eastAsiaTheme="minorEastAsia"/>
      <w:b/>
      <w:bCs/>
      <w:i/>
      <w:iCs/>
      <w:color w:val="4F81BD" w:themeColor="accent1"/>
      <w:lang w:val="en-US" w:bidi="en-US"/>
    </w:rPr>
  </w:style>
  <w:style w:type="character" w:customStyle="1" w:styleId="DuidelijkcitaatChar">
    <w:name w:val="Duidelijk citaat Char"/>
    <w:basedOn w:val="Standaardalinea-lettertype"/>
    <w:link w:val="Duidelijkcitaat"/>
    <w:uiPriority w:val="30"/>
    <w:rsid w:val="004B03CA"/>
    <w:rPr>
      <w:rFonts w:eastAsiaTheme="minorEastAsia"/>
      <w:b/>
      <w:bCs/>
      <w:i/>
      <w:iCs/>
      <w:color w:val="4F81BD" w:themeColor="accent1"/>
      <w:lang w:val="en-US" w:bidi="en-US"/>
    </w:rPr>
  </w:style>
  <w:style w:type="character" w:styleId="Subtielebenadrukking">
    <w:name w:val="Subtle Emphasis"/>
    <w:basedOn w:val="Standaardalinea-lettertype"/>
    <w:uiPriority w:val="19"/>
    <w:qFormat/>
    <w:rsid w:val="004B03CA"/>
    <w:rPr>
      <w:i/>
      <w:iCs/>
      <w:color w:val="808080" w:themeColor="text1" w:themeTint="7F"/>
    </w:rPr>
  </w:style>
  <w:style w:type="character" w:styleId="Intensievebenadrukking">
    <w:name w:val="Intense Emphasis"/>
    <w:basedOn w:val="Standaardalinea-lettertype"/>
    <w:uiPriority w:val="21"/>
    <w:qFormat/>
    <w:rsid w:val="004B03CA"/>
    <w:rPr>
      <w:b/>
      <w:bCs/>
      <w:i/>
      <w:iCs/>
      <w:color w:val="4F81BD" w:themeColor="accent1"/>
    </w:rPr>
  </w:style>
  <w:style w:type="character" w:styleId="Subtieleverwijzing">
    <w:name w:val="Subtle Reference"/>
    <w:basedOn w:val="Standaardalinea-lettertype"/>
    <w:uiPriority w:val="31"/>
    <w:qFormat/>
    <w:rsid w:val="004B03CA"/>
    <w:rPr>
      <w:smallCaps/>
      <w:color w:val="C0504D" w:themeColor="accent2"/>
      <w:u w:val="single"/>
    </w:rPr>
  </w:style>
  <w:style w:type="character" w:styleId="Intensieveverwijzing">
    <w:name w:val="Intense Reference"/>
    <w:basedOn w:val="Standaardalinea-lettertype"/>
    <w:uiPriority w:val="32"/>
    <w:qFormat/>
    <w:rsid w:val="004B03CA"/>
    <w:rPr>
      <w:b/>
      <w:bCs/>
      <w:smallCaps/>
      <w:color w:val="C0504D" w:themeColor="accent2"/>
      <w:spacing w:val="5"/>
      <w:u w:val="single"/>
    </w:rPr>
  </w:style>
  <w:style w:type="character" w:styleId="Titelvanboek">
    <w:name w:val="Book Title"/>
    <w:basedOn w:val="Standaardalinea-lettertype"/>
    <w:uiPriority w:val="33"/>
    <w:qFormat/>
    <w:rsid w:val="004B03CA"/>
    <w:rPr>
      <w:b/>
      <w:bCs/>
      <w:smallCaps/>
      <w:spacing w:val="5"/>
    </w:rPr>
  </w:style>
  <w:style w:type="paragraph" w:styleId="Kopvaninhoudsopgave">
    <w:name w:val="TOC Heading"/>
    <w:basedOn w:val="Kop1"/>
    <w:next w:val="Standaard"/>
    <w:uiPriority w:val="39"/>
    <w:unhideWhenUsed/>
    <w:qFormat/>
    <w:rsid w:val="004B03CA"/>
    <w:pPr>
      <w:outlineLvl w:val="9"/>
    </w:pPr>
    <w:rPr>
      <w:lang w:val="en-US" w:bidi="en-US"/>
    </w:rPr>
  </w:style>
  <w:style w:type="character" w:styleId="Tekstvantijdelijkeaanduiding">
    <w:name w:val="Placeholder Text"/>
    <w:basedOn w:val="Standaardalinea-lettertype"/>
    <w:uiPriority w:val="99"/>
    <w:semiHidden/>
    <w:rsid w:val="00C82869"/>
    <w:rPr>
      <w:color w:val="808080"/>
    </w:rPr>
  </w:style>
  <w:style w:type="paragraph" w:styleId="Inhopg1">
    <w:name w:val="toc 1"/>
    <w:basedOn w:val="Standaard"/>
    <w:next w:val="Standaard"/>
    <w:autoRedefine/>
    <w:uiPriority w:val="39"/>
    <w:unhideWhenUsed/>
    <w:qFormat/>
    <w:rsid w:val="00511C37"/>
    <w:pPr>
      <w:spacing w:after="100"/>
    </w:pPr>
  </w:style>
  <w:style w:type="paragraph" w:styleId="Inhopg2">
    <w:name w:val="toc 2"/>
    <w:basedOn w:val="Standaard"/>
    <w:next w:val="Standaard"/>
    <w:autoRedefine/>
    <w:uiPriority w:val="39"/>
    <w:unhideWhenUsed/>
    <w:qFormat/>
    <w:rsid w:val="00511C37"/>
    <w:pPr>
      <w:spacing w:after="100"/>
      <w:ind w:left="220"/>
    </w:pPr>
  </w:style>
  <w:style w:type="paragraph" w:styleId="Inhopg3">
    <w:name w:val="toc 3"/>
    <w:basedOn w:val="Standaard"/>
    <w:next w:val="Standaard"/>
    <w:autoRedefine/>
    <w:uiPriority w:val="39"/>
    <w:unhideWhenUsed/>
    <w:qFormat/>
    <w:rsid w:val="00012558"/>
    <w:pPr>
      <w:tabs>
        <w:tab w:val="left" w:pos="1320"/>
        <w:tab w:val="right" w:leader="dot" w:pos="9062"/>
      </w:tabs>
      <w:spacing w:after="0" w:line="240" w:lineRule="auto"/>
      <w:ind w:left="442"/>
    </w:pPr>
  </w:style>
  <w:style w:type="paragraph" w:styleId="Inhopg4">
    <w:name w:val="toc 4"/>
    <w:basedOn w:val="Standaard"/>
    <w:next w:val="Standaard"/>
    <w:autoRedefine/>
    <w:uiPriority w:val="39"/>
    <w:unhideWhenUsed/>
    <w:rsid w:val="00245F5C"/>
    <w:pPr>
      <w:spacing w:after="100"/>
      <w:ind w:left="660"/>
    </w:pPr>
    <w:rPr>
      <w:rFonts w:eastAsiaTheme="minorEastAsia"/>
      <w:lang w:eastAsia="nl-NL"/>
    </w:rPr>
  </w:style>
  <w:style w:type="paragraph" w:styleId="Inhopg5">
    <w:name w:val="toc 5"/>
    <w:basedOn w:val="Standaard"/>
    <w:next w:val="Standaard"/>
    <w:autoRedefine/>
    <w:uiPriority w:val="39"/>
    <w:unhideWhenUsed/>
    <w:rsid w:val="00245F5C"/>
    <w:pPr>
      <w:spacing w:after="100"/>
      <w:ind w:left="880"/>
    </w:pPr>
    <w:rPr>
      <w:rFonts w:eastAsiaTheme="minorEastAsia"/>
      <w:lang w:eastAsia="nl-NL"/>
    </w:rPr>
  </w:style>
  <w:style w:type="paragraph" w:styleId="Inhopg6">
    <w:name w:val="toc 6"/>
    <w:basedOn w:val="Standaard"/>
    <w:next w:val="Standaard"/>
    <w:autoRedefine/>
    <w:uiPriority w:val="39"/>
    <w:unhideWhenUsed/>
    <w:rsid w:val="00245F5C"/>
    <w:pPr>
      <w:spacing w:after="100"/>
      <w:ind w:left="1100"/>
    </w:pPr>
    <w:rPr>
      <w:rFonts w:eastAsiaTheme="minorEastAsia"/>
      <w:lang w:eastAsia="nl-NL"/>
    </w:rPr>
  </w:style>
  <w:style w:type="paragraph" w:styleId="Inhopg7">
    <w:name w:val="toc 7"/>
    <w:basedOn w:val="Standaard"/>
    <w:next w:val="Standaard"/>
    <w:autoRedefine/>
    <w:uiPriority w:val="39"/>
    <w:unhideWhenUsed/>
    <w:rsid w:val="00245F5C"/>
    <w:pPr>
      <w:spacing w:after="100"/>
      <w:ind w:left="1320"/>
    </w:pPr>
    <w:rPr>
      <w:rFonts w:eastAsiaTheme="minorEastAsia"/>
      <w:lang w:eastAsia="nl-NL"/>
    </w:rPr>
  </w:style>
  <w:style w:type="paragraph" w:styleId="Inhopg8">
    <w:name w:val="toc 8"/>
    <w:basedOn w:val="Standaard"/>
    <w:next w:val="Standaard"/>
    <w:autoRedefine/>
    <w:uiPriority w:val="39"/>
    <w:unhideWhenUsed/>
    <w:rsid w:val="00245F5C"/>
    <w:pPr>
      <w:spacing w:after="100"/>
      <w:ind w:left="1540"/>
    </w:pPr>
    <w:rPr>
      <w:rFonts w:eastAsiaTheme="minorEastAsia"/>
      <w:lang w:eastAsia="nl-NL"/>
    </w:rPr>
  </w:style>
  <w:style w:type="paragraph" w:styleId="Inhopg9">
    <w:name w:val="toc 9"/>
    <w:basedOn w:val="Standaard"/>
    <w:next w:val="Standaard"/>
    <w:autoRedefine/>
    <w:uiPriority w:val="39"/>
    <w:unhideWhenUsed/>
    <w:rsid w:val="00245F5C"/>
    <w:pPr>
      <w:spacing w:after="100"/>
      <w:ind w:left="1760"/>
    </w:pPr>
    <w:rPr>
      <w:rFonts w:eastAsiaTheme="minorEastAsia"/>
      <w:lang w:eastAsia="nl-NL"/>
    </w:rPr>
  </w:style>
  <w:style w:type="character" w:customStyle="1" w:styleId="italic1">
    <w:name w:val="italic1"/>
    <w:basedOn w:val="Standaardalinea-lettertype"/>
    <w:rsid w:val="00801D66"/>
    <w:rPr>
      <w:i/>
      <w:iCs/>
    </w:rPr>
  </w:style>
</w:styles>
</file>

<file path=word/webSettings.xml><?xml version="1.0" encoding="utf-8"?>
<w:webSettings xmlns:r="http://schemas.openxmlformats.org/officeDocument/2006/relationships" xmlns:w="http://schemas.openxmlformats.org/wordprocessingml/2006/main">
  <w:divs>
    <w:div w:id="63143085">
      <w:bodyDiv w:val="1"/>
      <w:marLeft w:val="0"/>
      <w:marRight w:val="0"/>
      <w:marTop w:val="0"/>
      <w:marBottom w:val="0"/>
      <w:divBdr>
        <w:top w:val="none" w:sz="0" w:space="0" w:color="auto"/>
        <w:left w:val="none" w:sz="0" w:space="0" w:color="auto"/>
        <w:bottom w:val="none" w:sz="0" w:space="0" w:color="auto"/>
        <w:right w:val="none" w:sz="0" w:space="0" w:color="auto"/>
      </w:divBdr>
      <w:divsChild>
        <w:div w:id="1176849667">
          <w:marLeft w:val="0"/>
          <w:marRight w:val="0"/>
          <w:marTop w:val="0"/>
          <w:marBottom w:val="0"/>
          <w:divBdr>
            <w:top w:val="none" w:sz="0" w:space="0" w:color="auto"/>
            <w:left w:val="none" w:sz="0" w:space="0" w:color="auto"/>
            <w:bottom w:val="none" w:sz="0" w:space="0" w:color="auto"/>
            <w:right w:val="none" w:sz="0" w:space="0" w:color="auto"/>
          </w:divBdr>
          <w:divsChild>
            <w:div w:id="301277835">
              <w:marLeft w:val="0"/>
              <w:marRight w:val="0"/>
              <w:marTop w:val="0"/>
              <w:marBottom w:val="0"/>
              <w:divBdr>
                <w:top w:val="none" w:sz="0" w:space="0" w:color="auto"/>
                <w:left w:val="none" w:sz="0" w:space="0" w:color="auto"/>
                <w:bottom w:val="none" w:sz="0" w:space="0" w:color="auto"/>
                <w:right w:val="none" w:sz="0" w:space="0" w:color="auto"/>
              </w:divBdr>
              <w:divsChild>
                <w:div w:id="582838645">
                  <w:marLeft w:val="0"/>
                  <w:marRight w:val="0"/>
                  <w:marTop w:val="0"/>
                  <w:marBottom w:val="0"/>
                  <w:divBdr>
                    <w:top w:val="none" w:sz="0" w:space="0" w:color="auto"/>
                    <w:left w:val="none" w:sz="0" w:space="0" w:color="auto"/>
                    <w:bottom w:val="none" w:sz="0" w:space="0" w:color="auto"/>
                    <w:right w:val="none" w:sz="0" w:space="0" w:color="auto"/>
                  </w:divBdr>
                </w:div>
                <w:div w:id="716708292">
                  <w:marLeft w:val="0"/>
                  <w:marRight w:val="0"/>
                  <w:marTop w:val="0"/>
                  <w:marBottom w:val="0"/>
                  <w:divBdr>
                    <w:top w:val="none" w:sz="0" w:space="0" w:color="auto"/>
                    <w:left w:val="none" w:sz="0" w:space="0" w:color="auto"/>
                    <w:bottom w:val="none" w:sz="0" w:space="0" w:color="auto"/>
                    <w:right w:val="none" w:sz="0" w:space="0" w:color="auto"/>
                  </w:divBdr>
                </w:div>
                <w:div w:id="927809087">
                  <w:marLeft w:val="0"/>
                  <w:marRight w:val="0"/>
                  <w:marTop w:val="0"/>
                  <w:marBottom w:val="0"/>
                  <w:divBdr>
                    <w:top w:val="none" w:sz="0" w:space="0" w:color="auto"/>
                    <w:left w:val="none" w:sz="0" w:space="0" w:color="auto"/>
                    <w:bottom w:val="none" w:sz="0" w:space="0" w:color="auto"/>
                    <w:right w:val="none" w:sz="0" w:space="0" w:color="auto"/>
                  </w:divBdr>
                </w:div>
                <w:div w:id="1556619036">
                  <w:marLeft w:val="0"/>
                  <w:marRight w:val="0"/>
                  <w:marTop w:val="0"/>
                  <w:marBottom w:val="0"/>
                  <w:divBdr>
                    <w:top w:val="none" w:sz="0" w:space="0" w:color="auto"/>
                    <w:left w:val="none" w:sz="0" w:space="0" w:color="auto"/>
                    <w:bottom w:val="none" w:sz="0" w:space="0" w:color="auto"/>
                    <w:right w:val="none" w:sz="0" w:space="0" w:color="auto"/>
                  </w:divBdr>
                </w:div>
                <w:div w:id="213837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12367">
      <w:bodyDiv w:val="1"/>
      <w:marLeft w:val="0"/>
      <w:marRight w:val="0"/>
      <w:marTop w:val="0"/>
      <w:marBottom w:val="0"/>
      <w:divBdr>
        <w:top w:val="none" w:sz="0" w:space="0" w:color="auto"/>
        <w:left w:val="none" w:sz="0" w:space="0" w:color="auto"/>
        <w:bottom w:val="none" w:sz="0" w:space="0" w:color="auto"/>
        <w:right w:val="none" w:sz="0" w:space="0" w:color="auto"/>
      </w:divBdr>
      <w:divsChild>
        <w:div w:id="1728532616">
          <w:marLeft w:val="0"/>
          <w:marRight w:val="0"/>
          <w:marTop w:val="0"/>
          <w:marBottom w:val="0"/>
          <w:divBdr>
            <w:top w:val="none" w:sz="0" w:space="0" w:color="auto"/>
            <w:left w:val="none" w:sz="0" w:space="0" w:color="auto"/>
            <w:bottom w:val="none" w:sz="0" w:space="0" w:color="auto"/>
            <w:right w:val="none" w:sz="0" w:space="0" w:color="auto"/>
          </w:divBdr>
          <w:divsChild>
            <w:div w:id="1717121971">
              <w:marLeft w:val="0"/>
              <w:marRight w:val="0"/>
              <w:marTop w:val="0"/>
              <w:marBottom w:val="0"/>
              <w:divBdr>
                <w:top w:val="none" w:sz="0" w:space="0" w:color="auto"/>
                <w:left w:val="none" w:sz="0" w:space="0" w:color="auto"/>
                <w:bottom w:val="none" w:sz="0" w:space="0" w:color="auto"/>
                <w:right w:val="none" w:sz="0" w:space="0" w:color="auto"/>
              </w:divBdr>
              <w:divsChild>
                <w:div w:id="978269464">
                  <w:marLeft w:val="0"/>
                  <w:marRight w:val="0"/>
                  <w:marTop w:val="0"/>
                  <w:marBottom w:val="0"/>
                  <w:divBdr>
                    <w:top w:val="none" w:sz="0" w:space="0" w:color="auto"/>
                    <w:left w:val="none" w:sz="0" w:space="0" w:color="auto"/>
                    <w:bottom w:val="none" w:sz="0" w:space="0" w:color="auto"/>
                    <w:right w:val="none" w:sz="0" w:space="0" w:color="auto"/>
                  </w:divBdr>
                  <w:divsChild>
                    <w:div w:id="1593389041">
                      <w:marLeft w:val="0"/>
                      <w:marRight w:val="0"/>
                      <w:marTop w:val="0"/>
                      <w:marBottom w:val="0"/>
                      <w:divBdr>
                        <w:top w:val="none" w:sz="0" w:space="0" w:color="auto"/>
                        <w:left w:val="none" w:sz="0" w:space="0" w:color="auto"/>
                        <w:bottom w:val="none" w:sz="0" w:space="0" w:color="auto"/>
                        <w:right w:val="none" w:sz="0" w:space="0" w:color="auto"/>
                      </w:divBdr>
                      <w:divsChild>
                        <w:div w:id="1926647916">
                          <w:marLeft w:val="0"/>
                          <w:marRight w:val="0"/>
                          <w:marTop w:val="0"/>
                          <w:marBottom w:val="0"/>
                          <w:divBdr>
                            <w:top w:val="none" w:sz="0" w:space="0" w:color="auto"/>
                            <w:left w:val="none" w:sz="0" w:space="0" w:color="auto"/>
                            <w:bottom w:val="none" w:sz="0" w:space="0" w:color="auto"/>
                            <w:right w:val="none" w:sz="0" w:space="0" w:color="auto"/>
                          </w:divBdr>
                          <w:divsChild>
                            <w:div w:id="1112280782">
                              <w:marLeft w:val="0"/>
                              <w:marRight w:val="0"/>
                              <w:marTop w:val="0"/>
                              <w:marBottom w:val="0"/>
                              <w:divBdr>
                                <w:top w:val="none" w:sz="0" w:space="0" w:color="auto"/>
                                <w:left w:val="none" w:sz="0" w:space="0" w:color="auto"/>
                                <w:bottom w:val="none" w:sz="0" w:space="0" w:color="auto"/>
                                <w:right w:val="none" w:sz="0" w:space="0" w:color="auto"/>
                              </w:divBdr>
                              <w:divsChild>
                                <w:div w:id="849635504">
                                  <w:marLeft w:val="0"/>
                                  <w:marRight w:val="0"/>
                                  <w:marTop w:val="0"/>
                                  <w:marBottom w:val="0"/>
                                  <w:divBdr>
                                    <w:top w:val="none" w:sz="0" w:space="0" w:color="auto"/>
                                    <w:left w:val="none" w:sz="0" w:space="0" w:color="auto"/>
                                    <w:bottom w:val="none" w:sz="0" w:space="0" w:color="auto"/>
                                    <w:right w:val="none" w:sz="0" w:space="0" w:color="auto"/>
                                  </w:divBdr>
                                  <w:divsChild>
                                    <w:div w:id="133969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6548789">
      <w:bodyDiv w:val="1"/>
      <w:marLeft w:val="0"/>
      <w:marRight w:val="0"/>
      <w:marTop w:val="0"/>
      <w:marBottom w:val="0"/>
      <w:divBdr>
        <w:top w:val="none" w:sz="0" w:space="0" w:color="auto"/>
        <w:left w:val="none" w:sz="0" w:space="0" w:color="auto"/>
        <w:bottom w:val="none" w:sz="0" w:space="0" w:color="auto"/>
        <w:right w:val="none" w:sz="0" w:space="0" w:color="auto"/>
      </w:divBdr>
    </w:div>
    <w:div w:id="332148691">
      <w:bodyDiv w:val="1"/>
      <w:marLeft w:val="0"/>
      <w:marRight w:val="0"/>
      <w:marTop w:val="0"/>
      <w:marBottom w:val="0"/>
      <w:divBdr>
        <w:top w:val="none" w:sz="0" w:space="0" w:color="auto"/>
        <w:left w:val="none" w:sz="0" w:space="0" w:color="auto"/>
        <w:bottom w:val="none" w:sz="0" w:space="0" w:color="auto"/>
        <w:right w:val="none" w:sz="0" w:space="0" w:color="auto"/>
      </w:divBdr>
    </w:div>
    <w:div w:id="344333572">
      <w:bodyDiv w:val="1"/>
      <w:marLeft w:val="0"/>
      <w:marRight w:val="0"/>
      <w:marTop w:val="0"/>
      <w:marBottom w:val="0"/>
      <w:divBdr>
        <w:top w:val="none" w:sz="0" w:space="0" w:color="auto"/>
        <w:left w:val="none" w:sz="0" w:space="0" w:color="auto"/>
        <w:bottom w:val="none" w:sz="0" w:space="0" w:color="auto"/>
        <w:right w:val="none" w:sz="0" w:space="0" w:color="auto"/>
      </w:divBdr>
    </w:div>
    <w:div w:id="381491374">
      <w:bodyDiv w:val="1"/>
      <w:marLeft w:val="0"/>
      <w:marRight w:val="0"/>
      <w:marTop w:val="0"/>
      <w:marBottom w:val="0"/>
      <w:divBdr>
        <w:top w:val="none" w:sz="0" w:space="0" w:color="auto"/>
        <w:left w:val="none" w:sz="0" w:space="0" w:color="auto"/>
        <w:bottom w:val="none" w:sz="0" w:space="0" w:color="auto"/>
        <w:right w:val="none" w:sz="0" w:space="0" w:color="auto"/>
      </w:divBdr>
      <w:divsChild>
        <w:div w:id="567151290">
          <w:marLeft w:val="0"/>
          <w:marRight w:val="0"/>
          <w:marTop w:val="0"/>
          <w:marBottom w:val="0"/>
          <w:divBdr>
            <w:top w:val="none" w:sz="0" w:space="0" w:color="auto"/>
            <w:left w:val="none" w:sz="0" w:space="0" w:color="auto"/>
            <w:bottom w:val="none" w:sz="0" w:space="0" w:color="auto"/>
            <w:right w:val="none" w:sz="0" w:space="0" w:color="auto"/>
          </w:divBdr>
        </w:div>
      </w:divsChild>
    </w:div>
    <w:div w:id="406459931">
      <w:bodyDiv w:val="1"/>
      <w:marLeft w:val="0"/>
      <w:marRight w:val="0"/>
      <w:marTop w:val="0"/>
      <w:marBottom w:val="0"/>
      <w:divBdr>
        <w:top w:val="none" w:sz="0" w:space="0" w:color="auto"/>
        <w:left w:val="none" w:sz="0" w:space="0" w:color="auto"/>
        <w:bottom w:val="none" w:sz="0" w:space="0" w:color="auto"/>
        <w:right w:val="none" w:sz="0" w:space="0" w:color="auto"/>
      </w:divBdr>
    </w:div>
    <w:div w:id="572277325">
      <w:bodyDiv w:val="1"/>
      <w:marLeft w:val="0"/>
      <w:marRight w:val="0"/>
      <w:marTop w:val="0"/>
      <w:marBottom w:val="0"/>
      <w:divBdr>
        <w:top w:val="none" w:sz="0" w:space="0" w:color="auto"/>
        <w:left w:val="none" w:sz="0" w:space="0" w:color="auto"/>
        <w:bottom w:val="none" w:sz="0" w:space="0" w:color="auto"/>
        <w:right w:val="none" w:sz="0" w:space="0" w:color="auto"/>
      </w:divBdr>
      <w:divsChild>
        <w:div w:id="1449816256">
          <w:marLeft w:val="0"/>
          <w:marRight w:val="0"/>
          <w:marTop w:val="0"/>
          <w:marBottom w:val="0"/>
          <w:divBdr>
            <w:top w:val="none" w:sz="0" w:space="0" w:color="auto"/>
            <w:left w:val="none" w:sz="0" w:space="0" w:color="auto"/>
            <w:bottom w:val="none" w:sz="0" w:space="0" w:color="auto"/>
            <w:right w:val="none" w:sz="0" w:space="0" w:color="auto"/>
          </w:divBdr>
          <w:divsChild>
            <w:div w:id="323313916">
              <w:marLeft w:val="63"/>
              <w:marRight w:val="0"/>
              <w:marTop w:val="0"/>
              <w:marBottom w:val="0"/>
              <w:divBdr>
                <w:top w:val="none" w:sz="0" w:space="0" w:color="auto"/>
                <w:left w:val="none" w:sz="0" w:space="0" w:color="auto"/>
                <w:bottom w:val="none" w:sz="0" w:space="0" w:color="auto"/>
                <w:right w:val="none" w:sz="0" w:space="0" w:color="auto"/>
              </w:divBdr>
              <w:divsChild>
                <w:div w:id="1926527489">
                  <w:marLeft w:val="0"/>
                  <w:marRight w:val="0"/>
                  <w:marTop w:val="0"/>
                  <w:marBottom w:val="188"/>
                  <w:divBdr>
                    <w:top w:val="none" w:sz="0" w:space="0" w:color="auto"/>
                    <w:left w:val="none" w:sz="0" w:space="0" w:color="auto"/>
                    <w:bottom w:val="none" w:sz="0" w:space="0" w:color="auto"/>
                    <w:right w:val="none" w:sz="0" w:space="0" w:color="auto"/>
                  </w:divBdr>
                  <w:divsChild>
                    <w:div w:id="576667465">
                      <w:marLeft w:val="0"/>
                      <w:marRight w:val="0"/>
                      <w:marTop w:val="0"/>
                      <w:marBottom w:val="0"/>
                      <w:divBdr>
                        <w:top w:val="none" w:sz="0" w:space="0" w:color="auto"/>
                        <w:left w:val="none" w:sz="0" w:space="0" w:color="auto"/>
                        <w:bottom w:val="none" w:sz="0" w:space="0" w:color="auto"/>
                        <w:right w:val="none" w:sz="0" w:space="0" w:color="auto"/>
                      </w:divBdr>
                      <w:divsChild>
                        <w:div w:id="2792202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2371160">
      <w:bodyDiv w:val="1"/>
      <w:marLeft w:val="0"/>
      <w:marRight w:val="0"/>
      <w:marTop w:val="0"/>
      <w:marBottom w:val="0"/>
      <w:divBdr>
        <w:top w:val="none" w:sz="0" w:space="0" w:color="auto"/>
        <w:left w:val="none" w:sz="0" w:space="0" w:color="auto"/>
        <w:bottom w:val="none" w:sz="0" w:space="0" w:color="auto"/>
        <w:right w:val="none" w:sz="0" w:space="0" w:color="auto"/>
      </w:divBdr>
      <w:divsChild>
        <w:div w:id="952327272">
          <w:marLeft w:val="109"/>
          <w:marRight w:val="68"/>
          <w:marTop w:val="0"/>
          <w:marBottom w:val="0"/>
          <w:divBdr>
            <w:top w:val="none" w:sz="0" w:space="0" w:color="auto"/>
            <w:left w:val="none" w:sz="0" w:space="0" w:color="auto"/>
            <w:bottom w:val="none" w:sz="0" w:space="0" w:color="auto"/>
            <w:right w:val="none" w:sz="0" w:space="0" w:color="auto"/>
          </w:divBdr>
          <w:divsChild>
            <w:div w:id="1656491908">
              <w:marLeft w:val="0"/>
              <w:marRight w:val="0"/>
              <w:marTop w:val="0"/>
              <w:marBottom w:val="0"/>
              <w:divBdr>
                <w:top w:val="none" w:sz="0" w:space="0" w:color="auto"/>
                <w:left w:val="none" w:sz="0" w:space="0" w:color="auto"/>
                <w:bottom w:val="none" w:sz="0" w:space="0" w:color="auto"/>
                <w:right w:val="none" w:sz="0" w:space="0" w:color="auto"/>
              </w:divBdr>
              <w:divsChild>
                <w:div w:id="1045062612">
                  <w:marLeft w:val="0"/>
                  <w:marRight w:val="0"/>
                  <w:marTop w:val="0"/>
                  <w:marBottom w:val="0"/>
                  <w:divBdr>
                    <w:top w:val="none" w:sz="0" w:space="0" w:color="auto"/>
                    <w:left w:val="none" w:sz="0" w:space="0" w:color="auto"/>
                    <w:bottom w:val="none" w:sz="0" w:space="0" w:color="auto"/>
                    <w:right w:val="none" w:sz="0" w:space="0" w:color="auto"/>
                  </w:divBdr>
                  <w:divsChild>
                    <w:div w:id="834996436">
                      <w:marLeft w:val="0"/>
                      <w:marRight w:val="0"/>
                      <w:marTop w:val="0"/>
                      <w:marBottom w:val="0"/>
                      <w:divBdr>
                        <w:top w:val="single" w:sz="6" w:space="0" w:color="D2E0C0"/>
                        <w:left w:val="single" w:sz="6" w:space="0" w:color="D2E0C0"/>
                        <w:bottom w:val="single" w:sz="6" w:space="0" w:color="D2E0C0"/>
                        <w:right w:val="single" w:sz="6" w:space="0" w:color="D2E0C0"/>
                      </w:divBdr>
                      <w:divsChild>
                        <w:div w:id="2062825247">
                          <w:marLeft w:val="0"/>
                          <w:marRight w:val="4972"/>
                          <w:marTop w:val="0"/>
                          <w:marBottom w:val="0"/>
                          <w:divBdr>
                            <w:top w:val="none" w:sz="0" w:space="0" w:color="auto"/>
                            <w:left w:val="none" w:sz="0" w:space="0" w:color="auto"/>
                            <w:bottom w:val="none" w:sz="0" w:space="0" w:color="auto"/>
                            <w:right w:val="none" w:sz="0" w:space="0" w:color="auto"/>
                          </w:divBdr>
                          <w:divsChild>
                            <w:div w:id="856774809">
                              <w:marLeft w:val="0"/>
                              <w:marRight w:val="0"/>
                              <w:marTop w:val="0"/>
                              <w:marBottom w:val="0"/>
                              <w:divBdr>
                                <w:top w:val="single" w:sz="6" w:space="0" w:color="D2E0C0"/>
                                <w:left w:val="none" w:sz="0" w:space="0" w:color="auto"/>
                                <w:bottom w:val="none" w:sz="0" w:space="0" w:color="auto"/>
                                <w:right w:val="none" w:sz="0" w:space="0" w:color="auto"/>
                              </w:divBdr>
                              <w:divsChild>
                                <w:div w:id="505704824">
                                  <w:marLeft w:val="0"/>
                                  <w:marRight w:val="0"/>
                                  <w:marTop w:val="0"/>
                                  <w:marBottom w:val="0"/>
                                  <w:divBdr>
                                    <w:top w:val="single" w:sz="6" w:space="0" w:color="F7F8F4"/>
                                    <w:left w:val="none" w:sz="0" w:space="0" w:color="auto"/>
                                    <w:bottom w:val="none" w:sz="0" w:space="0" w:color="auto"/>
                                    <w:right w:val="none" w:sz="0" w:space="0" w:color="auto"/>
                                  </w:divBdr>
                                  <w:divsChild>
                                    <w:div w:id="1517380943">
                                      <w:marLeft w:val="0"/>
                                      <w:marRight w:val="0"/>
                                      <w:marTop w:val="0"/>
                                      <w:marBottom w:val="0"/>
                                      <w:divBdr>
                                        <w:top w:val="none" w:sz="0" w:space="0" w:color="auto"/>
                                        <w:left w:val="none" w:sz="0" w:space="0" w:color="auto"/>
                                        <w:bottom w:val="none" w:sz="0" w:space="0" w:color="auto"/>
                                        <w:right w:val="none" w:sz="0" w:space="0" w:color="auto"/>
                                      </w:divBdr>
                                      <w:divsChild>
                                        <w:div w:id="1630940732">
                                          <w:marLeft w:val="0"/>
                                          <w:marRight w:val="0"/>
                                          <w:marTop w:val="0"/>
                                          <w:marBottom w:val="0"/>
                                          <w:divBdr>
                                            <w:top w:val="none" w:sz="0" w:space="0" w:color="auto"/>
                                            <w:left w:val="none" w:sz="0" w:space="0" w:color="auto"/>
                                            <w:bottom w:val="none" w:sz="0" w:space="0" w:color="auto"/>
                                            <w:right w:val="none" w:sz="0" w:space="0" w:color="auto"/>
                                          </w:divBdr>
                                          <w:divsChild>
                                            <w:div w:id="994603255">
                                              <w:marLeft w:val="0"/>
                                              <w:marRight w:val="0"/>
                                              <w:marTop w:val="0"/>
                                              <w:marBottom w:val="0"/>
                                              <w:divBdr>
                                                <w:top w:val="none" w:sz="0" w:space="0" w:color="auto"/>
                                                <w:left w:val="none" w:sz="0" w:space="0" w:color="auto"/>
                                                <w:bottom w:val="none" w:sz="0" w:space="0" w:color="auto"/>
                                                <w:right w:val="none" w:sz="0" w:space="0" w:color="auto"/>
                                              </w:divBdr>
                                              <w:divsChild>
                                                <w:div w:id="2020424523">
                                                  <w:marLeft w:val="41"/>
                                                  <w:marRight w:val="68"/>
                                                  <w:marTop w:val="0"/>
                                                  <w:marBottom w:val="0"/>
                                                  <w:divBdr>
                                                    <w:top w:val="none" w:sz="0" w:space="0" w:color="auto"/>
                                                    <w:left w:val="none" w:sz="0" w:space="0" w:color="auto"/>
                                                    <w:bottom w:val="none" w:sz="0" w:space="0" w:color="auto"/>
                                                    <w:right w:val="none" w:sz="0" w:space="0" w:color="auto"/>
                                                  </w:divBdr>
                                                  <w:divsChild>
                                                    <w:div w:id="183716519">
                                                      <w:marLeft w:val="0"/>
                                                      <w:marRight w:val="0"/>
                                                      <w:marTop w:val="0"/>
                                                      <w:marBottom w:val="0"/>
                                                      <w:divBdr>
                                                        <w:top w:val="none" w:sz="0" w:space="0" w:color="auto"/>
                                                        <w:left w:val="none" w:sz="0" w:space="0" w:color="auto"/>
                                                        <w:bottom w:val="none" w:sz="0" w:space="0" w:color="auto"/>
                                                        <w:right w:val="none" w:sz="0" w:space="0" w:color="auto"/>
                                                      </w:divBdr>
                                                      <w:divsChild>
                                                        <w:div w:id="1928071652">
                                                          <w:marLeft w:val="0"/>
                                                          <w:marRight w:val="-24000"/>
                                                          <w:marTop w:val="0"/>
                                                          <w:marBottom w:val="0"/>
                                                          <w:divBdr>
                                                            <w:top w:val="none" w:sz="0" w:space="0" w:color="auto"/>
                                                            <w:left w:val="none" w:sz="0" w:space="0" w:color="auto"/>
                                                            <w:bottom w:val="none" w:sz="0" w:space="0" w:color="auto"/>
                                                            <w:right w:val="none" w:sz="0" w:space="0" w:color="auto"/>
                                                          </w:divBdr>
                                                          <w:divsChild>
                                                            <w:div w:id="303972219">
                                                              <w:marLeft w:val="0"/>
                                                              <w:marRight w:val="0"/>
                                                              <w:marTop w:val="0"/>
                                                              <w:marBottom w:val="0"/>
                                                              <w:divBdr>
                                                                <w:top w:val="none" w:sz="0" w:space="0" w:color="auto"/>
                                                                <w:left w:val="none" w:sz="0" w:space="0" w:color="auto"/>
                                                                <w:bottom w:val="none" w:sz="0" w:space="0" w:color="auto"/>
                                                                <w:right w:val="none" w:sz="0" w:space="0" w:color="auto"/>
                                                              </w:divBdr>
                                                              <w:divsChild>
                                                                <w:div w:id="150019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4064704">
      <w:bodyDiv w:val="1"/>
      <w:marLeft w:val="0"/>
      <w:marRight w:val="0"/>
      <w:marTop w:val="0"/>
      <w:marBottom w:val="0"/>
      <w:divBdr>
        <w:top w:val="none" w:sz="0" w:space="0" w:color="auto"/>
        <w:left w:val="none" w:sz="0" w:space="0" w:color="auto"/>
        <w:bottom w:val="none" w:sz="0" w:space="0" w:color="auto"/>
        <w:right w:val="none" w:sz="0" w:space="0" w:color="auto"/>
      </w:divBdr>
    </w:div>
    <w:div w:id="783614147">
      <w:bodyDiv w:val="1"/>
      <w:marLeft w:val="0"/>
      <w:marRight w:val="0"/>
      <w:marTop w:val="0"/>
      <w:marBottom w:val="0"/>
      <w:divBdr>
        <w:top w:val="none" w:sz="0" w:space="0" w:color="auto"/>
        <w:left w:val="none" w:sz="0" w:space="0" w:color="auto"/>
        <w:bottom w:val="none" w:sz="0" w:space="0" w:color="auto"/>
        <w:right w:val="none" w:sz="0" w:space="0" w:color="auto"/>
      </w:divBdr>
    </w:div>
    <w:div w:id="805585457">
      <w:bodyDiv w:val="1"/>
      <w:marLeft w:val="0"/>
      <w:marRight w:val="0"/>
      <w:marTop w:val="0"/>
      <w:marBottom w:val="0"/>
      <w:divBdr>
        <w:top w:val="none" w:sz="0" w:space="0" w:color="auto"/>
        <w:left w:val="none" w:sz="0" w:space="0" w:color="auto"/>
        <w:bottom w:val="none" w:sz="0" w:space="0" w:color="auto"/>
        <w:right w:val="none" w:sz="0" w:space="0" w:color="auto"/>
      </w:divBdr>
      <w:divsChild>
        <w:div w:id="1964311376">
          <w:marLeft w:val="0"/>
          <w:marRight w:val="0"/>
          <w:marTop w:val="0"/>
          <w:marBottom w:val="0"/>
          <w:divBdr>
            <w:top w:val="none" w:sz="0" w:space="0" w:color="auto"/>
            <w:left w:val="none" w:sz="0" w:space="0" w:color="auto"/>
            <w:bottom w:val="none" w:sz="0" w:space="0" w:color="auto"/>
            <w:right w:val="none" w:sz="0" w:space="0" w:color="auto"/>
          </w:divBdr>
          <w:divsChild>
            <w:div w:id="650981556">
              <w:marLeft w:val="0"/>
              <w:marRight w:val="0"/>
              <w:marTop w:val="0"/>
              <w:marBottom w:val="0"/>
              <w:divBdr>
                <w:top w:val="none" w:sz="0" w:space="0" w:color="auto"/>
                <w:left w:val="none" w:sz="0" w:space="0" w:color="auto"/>
                <w:bottom w:val="none" w:sz="0" w:space="0" w:color="auto"/>
                <w:right w:val="none" w:sz="0" w:space="0" w:color="auto"/>
              </w:divBdr>
              <w:divsChild>
                <w:div w:id="1875267771">
                  <w:marLeft w:val="0"/>
                  <w:marRight w:val="0"/>
                  <w:marTop w:val="0"/>
                  <w:marBottom w:val="0"/>
                  <w:divBdr>
                    <w:top w:val="none" w:sz="0" w:space="0" w:color="auto"/>
                    <w:left w:val="none" w:sz="0" w:space="0" w:color="auto"/>
                    <w:bottom w:val="none" w:sz="0" w:space="0" w:color="auto"/>
                    <w:right w:val="none" w:sz="0" w:space="0" w:color="auto"/>
                  </w:divBdr>
                  <w:divsChild>
                    <w:div w:id="2064867928">
                      <w:marLeft w:val="0"/>
                      <w:marRight w:val="0"/>
                      <w:marTop w:val="0"/>
                      <w:marBottom w:val="0"/>
                      <w:divBdr>
                        <w:top w:val="none" w:sz="0" w:space="0" w:color="auto"/>
                        <w:left w:val="none" w:sz="0" w:space="0" w:color="auto"/>
                        <w:bottom w:val="none" w:sz="0" w:space="0" w:color="auto"/>
                        <w:right w:val="none" w:sz="0" w:space="0" w:color="auto"/>
                      </w:divBdr>
                      <w:divsChild>
                        <w:div w:id="1656955075">
                          <w:marLeft w:val="0"/>
                          <w:marRight w:val="0"/>
                          <w:marTop w:val="0"/>
                          <w:marBottom w:val="0"/>
                          <w:divBdr>
                            <w:top w:val="none" w:sz="0" w:space="0" w:color="auto"/>
                            <w:left w:val="none" w:sz="0" w:space="0" w:color="auto"/>
                            <w:bottom w:val="none" w:sz="0" w:space="0" w:color="auto"/>
                            <w:right w:val="none" w:sz="0" w:space="0" w:color="auto"/>
                          </w:divBdr>
                          <w:divsChild>
                            <w:div w:id="860321409">
                              <w:marLeft w:val="0"/>
                              <w:marRight w:val="0"/>
                              <w:marTop w:val="0"/>
                              <w:marBottom w:val="0"/>
                              <w:divBdr>
                                <w:top w:val="none" w:sz="0" w:space="0" w:color="auto"/>
                                <w:left w:val="none" w:sz="0" w:space="0" w:color="auto"/>
                                <w:bottom w:val="none" w:sz="0" w:space="0" w:color="auto"/>
                                <w:right w:val="none" w:sz="0" w:space="0" w:color="auto"/>
                              </w:divBdr>
                              <w:divsChild>
                                <w:div w:id="1859192717">
                                  <w:marLeft w:val="0"/>
                                  <w:marRight w:val="0"/>
                                  <w:marTop w:val="0"/>
                                  <w:marBottom w:val="0"/>
                                  <w:divBdr>
                                    <w:top w:val="none" w:sz="0" w:space="0" w:color="auto"/>
                                    <w:left w:val="none" w:sz="0" w:space="0" w:color="auto"/>
                                    <w:bottom w:val="none" w:sz="0" w:space="0" w:color="auto"/>
                                    <w:right w:val="none" w:sz="0" w:space="0" w:color="auto"/>
                                  </w:divBdr>
                                  <w:divsChild>
                                    <w:div w:id="175893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8695137">
      <w:bodyDiv w:val="1"/>
      <w:marLeft w:val="0"/>
      <w:marRight w:val="0"/>
      <w:marTop w:val="0"/>
      <w:marBottom w:val="0"/>
      <w:divBdr>
        <w:top w:val="none" w:sz="0" w:space="0" w:color="auto"/>
        <w:left w:val="none" w:sz="0" w:space="0" w:color="auto"/>
        <w:bottom w:val="none" w:sz="0" w:space="0" w:color="auto"/>
        <w:right w:val="none" w:sz="0" w:space="0" w:color="auto"/>
      </w:divBdr>
      <w:divsChild>
        <w:div w:id="1930043469">
          <w:marLeft w:val="0"/>
          <w:marRight w:val="0"/>
          <w:marTop w:val="0"/>
          <w:marBottom w:val="113"/>
          <w:divBdr>
            <w:top w:val="none" w:sz="0" w:space="0" w:color="auto"/>
            <w:left w:val="none" w:sz="0" w:space="0" w:color="auto"/>
            <w:bottom w:val="none" w:sz="0" w:space="0" w:color="auto"/>
            <w:right w:val="none" w:sz="0" w:space="0" w:color="auto"/>
          </w:divBdr>
          <w:divsChild>
            <w:div w:id="1147362784">
              <w:marLeft w:val="0"/>
              <w:marRight w:val="0"/>
              <w:marTop w:val="301"/>
              <w:marBottom w:val="0"/>
              <w:divBdr>
                <w:top w:val="single" w:sz="4" w:space="3" w:color="B4000A"/>
                <w:left w:val="none" w:sz="0" w:space="0" w:color="auto"/>
                <w:bottom w:val="none" w:sz="0" w:space="0" w:color="auto"/>
                <w:right w:val="none" w:sz="0" w:space="0" w:color="auto"/>
              </w:divBdr>
              <w:divsChild>
                <w:div w:id="1451850595">
                  <w:marLeft w:val="0"/>
                  <w:marRight w:val="0"/>
                  <w:marTop w:val="0"/>
                  <w:marBottom w:val="0"/>
                  <w:divBdr>
                    <w:top w:val="none" w:sz="0" w:space="0" w:color="auto"/>
                    <w:left w:val="none" w:sz="0" w:space="0" w:color="auto"/>
                    <w:bottom w:val="none" w:sz="0" w:space="0" w:color="auto"/>
                    <w:right w:val="none" w:sz="0" w:space="0" w:color="auto"/>
                  </w:divBdr>
                  <w:divsChild>
                    <w:div w:id="1539321401">
                      <w:marLeft w:val="0"/>
                      <w:marRight w:val="0"/>
                      <w:marTop w:val="0"/>
                      <w:marBottom w:val="384"/>
                      <w:divBdr>
                        <w:top w:val="none" w:sz="0" w:space="0" w:color="auto"/>
                        <w:left w:val="none" w:sz="0" w:space="0" w:color="auto"/>
                        <w:bottom w:val="none" w:sz="0" w:space="0" w:color="auto"/>
                        <w:right w:val="none" w:sz="0" w:space="0" w:color="auto"/>
                      </w:divBdr>
                    </w:div>
                  </w:divsChild>
                </w:div>
              </w:divsChild>
            </w:div>
          </w:divsChild>
        </w:div>
      </w:divsChild>
    </w:div>
    <w:div w:id="857620045">
      <w:bodyDiv w:val="1"/>
      <w:marLeft w:val="0"/>
      <w:marRight w:val="0"/>
      <w:marTop w:val="0"/>
      <w:marBottom w:val="0"/>
      <w:divBdr>
        <w:top w:val="none" w:sz="0" w:space="0" w:color="auto"/>
        <w:left w:val="none" w:sz="0" w:space="0" w:color="auto"/>
        <w:bottom w:val="none" w:sz="0" w:space="0" w:color="auto"/>
        <w:right w:val="none" w:sz="0" w:space="0" w:color="auto"/>
      </w:divBdr>
    </w:div>
    <w:div w:id="862791970">
      <w:bodyDiv w:val="1"/>
      <w:marLeft w:val="73"/>
      <w:marRight w:val="73"/>
      <w:marTop w:val="73"/>
      <w:marBottom w:val="73"/>
      <w:divBdr>
        <w:top w:val="none" w:sz="0" w:space="0" w:color="auto"/>
        <w:left w:val="none" w:sz="0" w:space="0" w:color="auto"/>
        <w:bottom w:val="none" w:sz="0" w:space="0" w:color="auto"/>
        <w:right w:val="none" w:sz="0" w:space="0" w:color="auto"/>
      </w:divBdr>
      <w:divsChild>
        <w:div w:id="1308440044">
          <w:marLeft w:val="0"/>
          <w:marRight w:val="0"/>
          <w:marTop w:val="0"/>
          <w:marBottom w:val="0"/>
          <w:divBdr>
            <w:top w:val="none" w:sz="0" w:space="0" w:color="auto"/>
            <w:left w:val="none" w:sz="0" w:space="0" w:color="auto"/>
            <w:bottom w:val="none" w:sz="0" w:space="0" w:color="auto"/>
            <w:right w:val="none" w:sz="0" w:space="0" w:color="auto"/>
          </w:divBdr>
          <w:divsChild>
            <w:div w:id="74942451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973564838">
      <w:bodyDiv w:val="1"/>
      <w:marLeft w:val="0"/>
      <w:marRight w:val="0"/>
      <w:marTop w:val="0"/>
      <w:marBottom w:val="0"/>
      <w:divBdr>
        <w:top w:val="none" w:sz="0" w:space="0" w:color="auto"/>
        <w:left w:val="none" w:sz="0" w:space="0" w:color="auto"/>
        <w:bottom w:val="none" w:sz="0" w:space="0" w:color="auto"/>
        <w:right w:val="none" w:sz="0" w:space="0" w:color="auto"/>
      </w:divBdr>
      <w:divsChild>
        <w:div w:id="1980301313">
          <w:marLeft w:val="0"/>
          <w:marRight w:val="0"/>
          <w:marTop w:val="0"/>
          <w:marBottom w:val="0"/>
          <w:divBdr>
            <w:top w:val="none" w:sz="0" w:space="0" w:color="auto"/>
            <w:left w:val="none" w:sz="0" w:space="0" w:color="auto"/>
            <w:bottom w:val="none" w:sz="0" w:space="0" w:color="auto"/>
            <w:right w:val="none" w:sz="0" w:space="0" w:color="auto"/>
          </w:divBdr>
          <w:divsChild>
            <w:div w:id="106476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194405">
      <w:bodyDiv w:val="1"/>
      <w:marLeft w:val="0"/>
      <w:marRight w:val="0"/>
      <w:marTop w:val="0"/>
      <w:marBottom w:val="0"/>
      <w:divBdr>
        <w:top w:val="none" w:sz="0" w:space="0" w:color="auto"/>
        <w:left w:val="none" w:sz="0" w:space="0" w:color="auto"/>
        <w:bottom w:val="none" w:sz="0" w:space="0" w:color="auto"/>
        <w:right w:val="none" w:sz="0" w:space="0" w:color="auto"/>
      </w:divBdr>
      <w:divsChild>
        <w:div w:id="1218931367">
          <w:marLeft w:val="0"/>
          <w:marRight w:val="0"/>
          <w:marTop w:val="0"/>
          <w:marBottom w:val="0"/>
          <w:divBdr>
            <w:top w:val="none" w:sz="0" w:space="0" w:color="auto"/>
            <w:left w:val="none" w:sz="0" w:space="0" w:color="auto"/>
            <w:bottom w:val="none" w:sz="0" w:space="0" w:color="auto"/>
            <w:right w:val="none" w:sz="0" w:space="0" w:color="auto"/>
          </w:divBdr>
          <w:divsChild>
            <w:div w:id="176252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275723">
      <w:bodyDiv w:val="1"/>
      <w:marLeft w:val="0"/>
      <w:marRight w:val="0"/>
      <w:marTop w:val="0"/>
      <w:marBottom w:val="0"/>
      <w:divBdr>
        <w:top w:val="none" w:sz="0" w:space="0" w:color="auto"/>
        <w:left w:val="none" w:sz="0" w:space="0" w:color="auto"/>
        <w:bottom w:val="none" w:sz="0" w:space="0" w:color="auto"/>
        <w:right w:val="none" w:sz="0" w:space="0" w:color="auto"/>
      </w:divBdr>
    </w:div>
    <w:div w:id="1169174304">
      <w:bodyDiv w:val="1"/>
      <w:marLeft w:val="0"/>
      <w:marRight w:val="0"/>
      <w:marTop w:val="0"/>
      <w:marBottom w:val="0"/>
      <w:divBdr>
        <w:top w:val="none" w:sz="0" w:space="0" w:color="auto"/>
        <w:left w:val="none" w:sz="0" w:space="0" w:color="auto"/>
        <w:bottom w:val="none" w:sz="0" w:space="0" w:color="auto"/>
        <w:right w:val="none" w:sz="0" w:space="0" w:color="auto"/>
      </w:divBdr>
    </w:div>
    <w:div w:id="1223786364">
      <w:bodyDiv w:val="1"/>
      <w:marLeft w:val="0"/>
      <w:marRight w:val="0"/>
      <w:marTop w:val="0"/>
      <w:marBottom w:val="0"/>
      <w:divBdr>
        <w:top w:val="none" w:sz="0" w:space="0" w:color="auto"/>
        <w:left w:val="none" w:sz="0" w:space="0" w:color="auto"/>
        <w:bottom w:val="none" w:sz="0" w:space="0" w:color="auto"/>
        <w:right w:val="none" w:sz="0" w:space="0" w:color="auto"/>
      </w:divBdr>
      <w:divsChild>
        <w:div w:id="813135335">
          <w:marLeft w:val="0"/>
          <w:marRight w:val="0"/>
          <w:marTop w:val="0"/>
          <w:marBottom w:val="0"/>
          <w:divBdr>
            <w:top w:val="none" w:sz="0" w:space="0" w:color="auto"/>
            <w:left w:val="none" w:sz="0" w:space="0" w:color="auto"/>
            <w:bottom w:val="none" w:sz="0" w:space="0" w:color="auto"/>
            <w:right w:val="none" w:sz="0" w:space="0" w:color="auto"/>
          </w:divBdr>
          <w:divsChild>
            <w:div w:id="1744915089">
              <w:marLeft w:val="0"/>
              <w:marRight w:val="0"/>
              <w:marTop w:val="0"/>
              <w:marBottom w:val="0"/>
              <w:divBdr>
                <w:top w:val="none" w:sz="0" w:space="0" w:color="auto"/>
                <w:left w:val="none" w:sz="0" w:space="0" w:color="auto"/>
                <w:bottom w:val="none" w:sz="0" w:space="0" w:color="auto"/>
                <w:right w:val="none" w:sz="0" w:space="0" w:color="auto"/>
              </w:divBdr>
              <w:divsChild>
                <w:div w:id="923804957">
                  <w:marLeft w:val="0"/>
                  <w:marRight w:val="0"/>
                  <w:marTop w:val="0"/>
                  <w:marBottom w:val="0"/>
                  <w:divBdr>
                    <w:top w:val="none" w:sz="0" w:space="0" w:color="auto"/>
                    <w:left w:val="none" w:sz="0" w:space="0" w:color="auto"/>
                    <w:bottom w:val="none" w:sz="0" w:space="0" w:color="auto"/>
                    <w:right w:val="none" w:sz="0" w:space="0" w:color="auto"/>
                  </w:divBdr>
                  <w:divsChild>
                    <w:div w:id="1503012318">
                      <w:marLeft w:val="0"/>
                      <w:marRight w:val="0"/>
                      <w:marTop w:val="0"/>
                      <w:marBottom w:val="0"/>
                      <w:divBdr>
                        <w:top w:val="none" w:sz="0" w:space="0" w:color="auto"/>
                        <w:left w:val="none" w:sz="0" w:space="0" w:color="auto"/>
                        <w:bottom w:val="none" w:sz="0" w:space="0" w:color="auto"/>
                        <w:right w:val="none" w:sz="0" w:space="0" w:color="auto"/>
                      </w:divBdr>
                      <w:divsChild>
                        <w:div w:id="1116952024">
                          <w:marLeft w:val="0"/>
                          <w:marRight w:val="0"/>
                          <w:marTop w:val="240"/>
                          <w:marBottom w:val="0"/>
                          <w:divBdr>
                            <w:top w:val="none" w:sz="0" w:space="0" w:color="auto"/>
                            <w:left w:val="none" w:sz="0" w:space="0" w:color="auto"/>
                            <w:bottom w:val="none" w:sz="0" w:space="0" w:color="auto"/>
                            <w:right w:val="none" w:sz="0" w:space="0" w:color="auto"/>
                          </w:divBdr>
                          <w:divsChild>
                            <w:div w:id="1992753644">
                              <w:marLeft w:val="0"/>
                              <w:marRight w:val="0"/>
                              <w:marTop w:val="0"/>
                              <w:marBottom w:val="0"/>
                              <w:divBdr>
                                <w:top w:val="none" w:sz="0" w:space="0" w:color="auto"/>
                                <w:left w:val="none" w:sz="0" w:space="0" w:color="auto"/>
                                <w:bottom w:val="none" w:sz="0" w:space="0" w:color="auto"/>
                                <w:right w:val="none" w:sz="0" w:space="0" w:color="auto"/>
                              </w:divBdr>
                              <w:divsChild>
                                <w:div w:id="1965187232">
                                  <w:marLeft w:val="0"/>
                                  <w:marRight w:val="0"/>
                                  <w:marTop w:val="0"/>
                                  <w:marBottom w:val="0"/>
                                  <w:divBdr>
                                    <w:top w:val="none" w:sz="0" w:space="0" w:color="auto"/>
                                    <w:left w:val="none" w:sz="0" w:space="0" w:color="auto"/>
                                    <w:bottom w:val="none" w:sz="0" w:space="0" w:color="auto"/>
                                    <w:right w:val="none" w:sz="0" w:space="0" w:color="auto"/>
                                  </w:divBdr>
                                  <w:divsChild>
                                    <w:div w:id="11541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3200822">
      <w:bodyDiv w:val="1"/>
      <w:marLeft w:val="0"/>
      <w:marRight w:val="0"/>
      <w:marTop w:val="0"/>
      <w:marBottom w:val="0"/>
      <w:divBdr>
        <w:top w:val="none" w:sz="0" w:space="0" w:color="auto"/>
        <w:left w:val="none" w:sz="0" w:space="0" w:color="auto"/>
        <w:bottom w:val="none" w:sz="0" w:space="0" w:color="auto"/>
        <w:right w:val="none" w:sz="0" w:space="0" w:color="auto"/>
      </w:divBdr>
    </w:div>
    <w:div w:id="1256980681">
      <w:bodyDiv w:val="1"/>
      <w:marLeft w:val="0"/>
      <w:marRight w:val="0"/>
      <w:marTop w:val="0"/>
      <w:marBottom w:val="0"/>
      <w:divBdr>
        <w:top w:val="none" w:sz="0" w:space="0" w:color="auto"/>
        <w:left w:val="none" w:sz="0" w:space="0" w:color="auto"/>
        <w:bottom w:val="none" w:sz="0" w:space="0" w:color="auto"/>
        <w:right w:val="none" w:sz="0" w:space="0" w:color="auto"/>
      </w:divBdr>
      <w:divsChild>
        <w:div w:id="849679643">
          <w:marLeft w:val="0"/>
          <w:marRight w:val="0"/>
          <w:marTop w:val="0"/>
          <w:marBottom w:val="0"/>
          <w:divBdr>
            <w:top w:val="none" w:sz="0" w:space="0" w:color="auto"/>
            <w:left w:val="none" w:sz="0" w:space="0" w:color="auto"/>
            <w:bottom w:val="none" w:sz="0" w:space="0" w:color="auto"/>
            <w:right w:val="none" w:sz="0" w:space="0" w:color="auto"/>
          </w:divBdr>
          <w:divsChild>
            <w:div w:id="1404448355">
              <w:marLeft w:val="0"/>
              <w:marRight w:val="0"/>
              <w:marTop w:val="0"/>
              <w:marBottom w:val="0"/>
              <w:divBdr>
                <w:top w:val="none" w:sz="0" w:space="0" w:color="auto"/>
                <w:left w:val="none" w:sz="0" w:space="0" w:color="auto"/>
                <w:bottom w:val="none" w:sz="0" w:space="0" w:color="auto"/>
                <w:right w:val="none" w:sz="0" w:space="0" w:color="auto"/>
              </w:divBdr>
              <w:divsChild>
                <w:div w:id="625358387">
                  <w:marLeft w:val="0"/>
                  <w:marRight w:val="0"/>
                  <w:marTop w:val="0"/>
                  <w:marBottom w:val="0"/>
                  <w:divBdr>
                    <w:top w:val="none" w:sz="0" w:space="0" w:color="auto"/>
                    <w:left w:val="none" w:sz="0" w:space="0" w:color="auto"/>
                    <w:bottom w:val="none" w:sz="0" w:space="0" w:color="auto"/>
                    <w:right w:val="none" w:sz="0" w:space="0" w:color="auto"/>
                  </w:divBdr>
                </w:div>
                <w:div w:id="1287199617">
                  <w:marLeft w:val="0"/>
                  <w:marRight w:val="0"/>
                  <w:marTop w:val="0"/>
                  <w:marBottom w:val="0"/>
                  <w:divBdr>
                    <w:top w:val="none" w:sz="0" w:space="0" w:color="auto"/>
                    <w:left w:val="none" w:sz="0" w:space="0" w:color="auto"/>
                    <w:bottom w:val="none" w:sz="0" w:space="0" w:color="auto"/>
                    <w:right w:val="none" w:sz="0" w:space="0" w:color="auto"/>
                  </w:divBdr>
                </w:div>
                <w:div w:id="189524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3946">
      <w:bodyDiv w:val="1"/>
      <w:marLeft w:val="0"/>
      <w:marRight w:val="0"/>
      <w:marTop w:val="0"/>
      <w:marBottom w:val="0"/>
      <w:divBdr>
        <w:top w:val="none" w:sz="0" w:space="0" w:color="auto"/>
        <w:left w:val="none" w:sz="0" w:space="0" w:color="auto"/>
        <w:bottom w:val="none" w:sz="0" w:space="0" w:color="auto"/>
        <w:right w:val="none" w:sz="0" w:space="0" w:color="auto"/>
      </w:divBdr>
    </w:div>
    <w:div w:id="1343162537">
      <w:bodyDiv w:val="1"/>
      <w:marLeft w:val="0"/>
      <w:marRight w:val="0"/>
      <w:marTop w:val="0"/>
      <w:marBottom w:val="0"/>
      <w:divBdr>
        <w:top w:val="none" w:sz="0" w:space="0" w:color="auto"/>
        <w:left w:val="none" w:sz="0" w:space="0" w:color="auto"/>
        <w:bottom w:val="none" w:sz="0" w:space="0" w:color="auto"/>
        <w:right w:val="none" w:sz="0" w:space="0" w:color="auto"/>
      </w:divBdr>
    </w:div>
    <w:div w:id="1429959332">
      <w:bodyDiv w:val="1"/>
      <w:marLeft w:val="0"/>
      <w:marRight w:val="0"/>
      <w:marTop w:val="0"/>
      <w:marBottom w:val="0"/>
      <w:divBdr>
        <w:top w:val="none" w:sz="0" w:space="0" w:color="auto"/>
        <w:left w:val="none" w:sz="0" w:space="0" w:color="auto"/>
        <w:bottom w:val="none" w:sz="0" w:space="0" w:color="auto"/>
        <w:right w:val="none" w:sz="0" w:space="0" w:color="auto"/>
      </w:divBdr>
    </w:div>
    <w:div w:id="1443764308">
      <w:bodyDiv w:val="1"/>
      <w:marLeft w:val="0"/>
      <w:marRight w:val="0"/>
      <w:marTop w:val="0"/>
      <w:marBottom w:val="0"/>
      <w:divBdr>
        <w:top w:val="none" w:sz="0" w:space="0" w:color="auto"/>
        <w:left w:val="none" w:sz="0" w:space="0" w:color="auto"/>
        <w:bottom w:val="none" w:sz="0" w:space="0" w:color="auto"/>
        <w:right w:val="none" w:sz="0" w:space="0" w:color="auto"/>
      </w:divBdr>
    </w:div>
    <w:div w:id="1565334502">
      <w:bodyDiv w:val="1"/>
      <w:marLeft w:val="0"/>
      <w:marRight w:val="0"/>
      <w:marTop w:val="0"/>
      <w:marBottom w:val="0"/>
      <w:divBdr>
        <w:top w:val="none" w:sz="0" w:space="0" w:color="auto"/>
        <w:left w:val="none" w:sz="0" w:space="0" w:color="auto"/>
        <w:bottom w:val="none" w:sz="0" w:space="0" w:color="auto"/>
        <w:right w:val="none" w:sz="0" w:space="0" w:color="auto"/>
      </w:divBdr>
    </w:div>
    <w:div w:id="1708749585">
      <w:bodyDiv w:val="1"/>
      <w:marLeft w:val="0"/>
      <w:marRight w:val="0"/>
      <w:marTop w:val="0"/>
      <w:marBottom w:val="100"/>
      <w:divBdr>
        <w:top w:val="none" w:sz="0" w:space="0" w:color="auto"/>
        <w:left w:val="none" w:sz="0" w:space="0" w:color="auto"/>
        <w:bottom w:val="none" w:sz="0" w:space="0" w:color="auto"/>
        <w:right w:val="none" w:sz="0" w:space="0" w:color="auto"/>
      </w:divBdr>
      <w:divsChild>
        <w:div w:id="1903716268">
          <w:marLeft w:val="0"/>
          <w:marRight w:val="0"/>
          <w:marTop w:val="0"/>
          <w:marBottom w:val="0"/>
          <w:divBdr>
            <w:top w:val="none" w:sz="0" w:space="0" w:color="auto"/>
            <w:left w:val="none" w:sz="0" w:space="0" w:color="auto"/>
            <w:bottom w:val="none" w:sz="0" w:space="0" w:color="auto"/>
            <w:right w:val="none" w:sz="0" w:space="0" w:color="auto"/>
          </w:divBdr>
          <w:divsChild>
            <w:div w:id="172302258">
              <w:marLeft w:val="0"/>
              <w:marRight w:val="0"/>
              <w:marTop w:val="0"/>
              <w:marBottom w:val="0"/>
              <w:divBdr>
                <w:top w:val="none" w:sz="0" w:space="0" w:color="auto"/>
                <w:left w:val="none" w:sz="0" w:space="0" w:color="auto"/>
                <w:bottom w:val="none" w:sz="0" w:space="0" w:color="auto"/>
                <w:right w:val="none" w:sz="0" w:space="0" w:color="auto"/>
              </w:divBdr>
              <w:divsChild>
                <w:div w:id="67122522">
                  <w:marLeft w:val="0"/>
                  <w:marRight w:val="0"/>
                  <w:marTop w:val="0"/>
                  <w:marBottom w:val="0"/>
                  <w:divBdr>
                    <w:top w:val="none" w:sz="0" w:space="0" w:color="auto"/>
                    <w:left w:val="none" w:sz="0" w:space="0" w:color="auto"/>
                    <w:bottom w:val="none" w:sz="0" w:space="0" w:color="auto"/>
                    <w:right w:val="none" w:sz="0" w:space="0" w:color="auto"/>
                  </w:divBdr>
                </w:div>
                <w:div w:id="749429028">
                  <w:marLeft w:val="0"/>
                  <w:marRight w:val="0"/>
                  <w:marTop w:val="0"/>
                  <w:marBottom w:val="0"/>
                  <w:divBdr>
                    <w:top w:val="none" w:sz="0" w:space="0" w:color="auto"/>
                    <w:left w:val="none" w:sz="0" w:space="0" w:color="auto"/>
                    <w:bottom w:val="none" w:sz="0" w:space="0" w:color="auto"/>
                    <w:right w:val="none" w:sz="0" w:space="0" w:color="auto"/>
                  </w:divBdr>
                </w:div>
                <w:div w:id="1151337131">
                  <w:marLeft w:val="0"/>
                  <w:marRight w:val="0"/>
                  <w:marTop w:val="0"/>
                  <w:marBottom w:val="0"/>
                  <w:divBdr>
                    <w:top w:val="none" w:sz="0" w:space="0" w:color="auto"/>
                    <w:left w:val="none" w:sz="0" w:space="0" w:color="auto"/>
                    <w:bottom w:val="none" w:sz="0" w:space="0" w:color="auto"/>
                    <w:right w:val="none" w:sz="0" w:space="0" w:color="auto"/>
                  </w:divBdr>
                </w:div>
                <w:div w:id="2037001683">
                  <w:marLeft w:val="0"/>
                  <w:marRight w:val="0"/>
                  <w:marTop w:val="0"/>
                  <w:marBottom w:val="0"/>
                  <w:divBdr>
                    <w:top w:val="none" w:sz="0" w:space="0" w:color="auto"/>
                    <w:left w:val="none" w:sz="0" w:space="0" w:color="auto"/>
                    <w:bottom w:val="none" w:sz="0" w:space="0" w:color="auto"/>
                    <w:right w:val="none" w:sz="0" w:space="0" w:color="auto"/>
                  </w:divBdr>
                </w:div>
                <w:div w:id="206741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195855">
      <w:bodyDiv w:val="1"/>
      <w:marLeft w:val="0"/>
      <w:marRight w:val="0"/>
      <w:marTop w:val="0"/>
      <w:marBottom w:val="0"/>
      <w:divBdr>
        <w:top w:val="none" w:sz="0" w:space="0" w:color="auto"/>
        <w:left w:val="none" w:sz="0" w:space="0" w:color="auto"/>
        <w:bottom w:val="none" w:sz="0" w:space="0" w:color="auto"/>
        <w:right w:val="none" w:sz="0" w:space="0" w:color="auto"/>
      </w:divBdr>
      <w:divsChild>
        <w:div w:id="243148502">
          <w:marLeft w:val="0"/>
          <w:marRight w:val="0"/>
          <w:marTop w:val="0"/>
          <w:marBottom w:val="0"/>
          <w:divBdr>
            <w:top w:val="none" w:sz="0" w:space="0" w:color="auto"/>
            <w:left w:val="none" w:sz="0" w:space="0" w:color="auto"/>
            <w:bottom w:val="none" w:sz="0" w:space="0" w:color="auto"/>
            <w:right w:val="none" w:sz="0" w:space="0" w:color="auto"/>
          </w:divBdr>
          <w:divsChild>
            <w:div w:id="144245550">
              <w:marLeft w:val="0"/>
              <w:marRight w:val="0"/>
              <w:marTop w:val="0"/>
              <w:marBottom w:val="0"/>
              <w:divBdr>
                <w:top w:val="none" w:sz="0" w:space="0" w:color="auto"/>
                <w:left w:val="none" w:sz="0" w:space="0" w:color="auto"/>
                <w:bottom w:val="none" w:sz="0" w:space="0" w:color="auto"/>
                <w:right w:val="none" w:sz="0" w:space="0" w:color="auto"/>
              </w:divBdr>
              <w:divsChild>
                <w:div w:id="18093351">
                  <w:marLeft w:val="0"/>
                  <w:marRight w:val="0"/>
                  <w:marTop w:val="0"/>
                  <w:marBottom w:val="0"/>
                  <w:divBdr>
                    <w:top w:val="none" w:sz="0" w:space="0" w:color="auto"/>
                    <w:left w:val="none" w:sz="0" w:space="0" w:color="auto"/>
                    <w:bottom w:val="none" w:sz="0" w:space="0" w:color="auto"/>
                    <w:right w:val="none" w:sz="0" w:space="0" w:color="auto"/>
                  </w:divBdr>
                  <w:divsChild>
                    <w:div w:id="313029840">
                      <w:marLeft w:val="0"/>
                      <w:marRight w:val="0"/>
                      <w:marTop w:val="0"/>
                      <w:marBottom w:val="0"/>
                      <w:divBdr>
                        <w:top w:val="none" w:sz="0" w:space="0" w:color="auto"/>
                        <w:left w:val="none" w:sz="0" w:space="0" w:color="auto"/>
                        <w:bottom w:val="none" w:sz="0" w:space="0" w:color="auto"/>
                        <w:right w:val="none" w:sz="0" w:space="0" w:color="auto"/>
                      </w:divBdr>
                      <w:divsChild>
                        <w:div w:id="246351503">
                          <w:marLeft w:val="0"/>
                          <w:marRight w:val="0"/>
                          <w:marTop w:val="0"/>
                          <w:marBottom w:val="0"/>
                          <w:divBdr>
                            <w:top w:val="none" w:sz="0" w:space="0" w:color="auto"/>
                            <w:left w:val="none" w:sz="0" w:space="0" w:color="auto"/>
                            <w:bottom w:val="none" w:sz="0" w:space="0" w:color="auto"/>
                            <w:right w:val="none" w:sz="0" w:space="0" w:color="auto"/>
                          </w:divBdr>
                          <w:divsChild>
                            <w:div w:id="649141831">
                              <w:marLeft w:val="0"/>
                              <w:marRight w:val="0"/>
                              <w:marTop w:val="0"/>
                              <w:marBottom w:val="0"/>
                              <w:divBdr>
                                <w:top w:val="none" w:sz="0" w:space="0" w:color="auto"/>
                                <w:left w:val="none" w:sz="0" w:space="0" w:color="auto"/>
                                <w:bottom w:val="none" w:sz="0" w:space="0" w:color="auto"/>
                                <w:right w:val="none" w:sz="0" w:space="0" w:color="auto"/>
                              </w:divBdr>
                              <w:divsChild>
                                <w:div w:id="303969845">
                                  <w:marLeft w:val="0"/>
                                  <w:marRight w:val="0"/>
                                  <w:marTop w:val="0"/>
                                  <w:marBottom w:val="0"/>
                                  <w:divBdr>
                                    <w:top w:val="none" w:sz="0" w:space="0" w:color="auto"/>
                                    <w:left w:val="none" w:sz="0" w:space="0" w:color="auto"/>
                                    <w:bottom w:val="none" w:sz="0" w:space="0" w:color="auto"/>
                                    <w:right w:val="none" w:sz="0" w:space="0" w:color="auto"/>
                                  </w:divBdr>
                                  <w:divsChild>
                                    <w:div w:id="180512262">
                                      <w:marLeft w:val="0"/>
                                      <w:marRight w:val="0"/>
                                      <w:marTop w:val="0"/>
                                      <w:marBottom w:val="0"/>
                                      <w:divBdr>
                                        <w:top w:val="none" w:sz="0" w:space="0" w:color="auto"/>
                                        <w:left w:val="none" w:sz="0" w:space="0" w:color="auto"/>
                                        <w:bottom w:val="none" w:sz="0" w:space="0" w:color="auto"/>
                                        <w:right w:val="none" w:sz="0" w:space="0" w:color="auto"/>
                                      </w:divBdr>
                                    </w:div>
                                    <w:div w:id="62137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6164626">
      <w:bodyDiv w:val="1"/>
      <w:marLeft w:val="0"/>
      <w:marRight w:val="0"/>
      <w:marTop w:val="0"/>
      <w:marBottom w:val="0"/>
      <w:divBdr>
        <w:top w:val="none" w:sz="0" w:space="0" w:color="auto"/>
        <w:left w:val="none" w:sz="0" w:space="0" w:color="auto"/>
        <w:bottom w:val="none" w:sz="0" w:space="0" w:color="auto"/>
        <w:right w:val="none" w:sz="0" w:space="0" w:color="auto"/>
      </w:divBdr>
    </w:div>
    <w:div w:id="1881162507">
      <w:bodyDiv w:val="1"/>
      <w:marLeft w:val="0"/>
      <w:marRight w:val="0"/>
      <w:marTop w:val="0"/>
      <w:marBottom w:val="0"/>
      <w:divBdr>
        <w:top w:val="none" w:sz="0" w:space="0" w:color="auto"/>
        <w:left w:val="none" w:sz="0" w:space="0" w:color="auto"/>
        <w:bottom w:val="none" w:sz="0" w:space="0" w:color="auto"/>
        <w:right w:val="none" w:sz="0" w:space="0" w:color="auto"/>
      </w:divBdr>
      <w:divsChild>
        <w:div w:id="905528257">
          <w:marLeft w:val="0"/>
          <w:marRight w:val="0"/>
          <w:marTop w:val="0"/>
          <w:marBottom w:val="0"/>
          <w:divBdr>
            <w:top w:val="none" w:sz="0" w:space="0" w:color="auto"/>
            <w:left w:val="none" w:sz="0" w:space="0" w:color="auto"/>
            <w:bottom w:val="none" w:sz="0" w:space="0" w:color="auto"/>
            <w:right w:val="none" w:sz="0" w:space="0" w:color="auto"/>
          </w:divBdr>
          <w:divsChild>
            <w:div w:id="320894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146775">
      <w:bodyDiv w:val="1"/>
      <w:marLeft w:val="0"/>
      <w:marRight w:val="0"/>
      <w:marTop w:val="0"/>
      <w:marBottom w:val="0"/>
      <w:divBdr>
        <w:top w:val="none" w:sz="0" w:space="0" w:color="auto"/>
        <w:left w:val="none" w:sz="0" w:space="0" w:color="auto"/>
        <w:bottom w:val="none" w:sz="0" w:space="0" w:color="auto"/>
        <w:right w:val="none" w:sz="0" w:space="0" w:color="auto"/>
      </w:divBdr>
    </w:div>
    <w:div w:id="1928727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emf"/><Relationship Id="rId18" Type="http://schemas.openxmlformats.org/officeDocument/2006/relationships/image" Target="media/image15.emf"/><Relationship Id="rId26" Type="http://schemas.openxmlformats.org/officeDocument/2006/relationships/image" Target="media/image19.emf"/><Relationship Id="rId39" Type="http://schemas.openxmlformats.org/officeDocument/2006/relationships/hyperlink" Target="http://ssrn.com/abstract=1327596" TargetMode="External"/><Relationship Id="rId21" Type="http://schemas.openxmlformats.org/officeDocument/2006/relationships/image" Target="media/image17.emf"/><Relationship Id="rId34" Type="http://schemas.openxmlformats.org/officeDocument/2006/relationships/image" Target="media/image26.emf"/><Relationship Id="rId42" Type="http://schemas.openxmlformats.org/officeDocument/2006/relationships/hyperlink" Target="http://ssrn.com/abstract=1366168" TargetMode="External"/><Relationship Id="rId47" Type="http://schemas.openxmlformats.org/officeDocument/2006/relationships/image" Target="media/image29.png"/><Relationship Id="rId50" Type="http://schemas.openxmlformats.org/officeDocument/2006/relationships/image" Target="media/image32.png"/><Relationship Id="rId55" Type="http://schemas.openxmlformats.org/officeDocument/2006/relationships/image" Target="media/image37.png"/><Relationship Id="rId7" Type="http://schemas.openxmlformats.org/officeDocument/2006/relationships/endnotes" Target="endnotes.xml"/><Relationship Id="rId12" Type="http://schemas.openxmlformats.org/officeDocument/2006/relationships/image" Target="media/image9.emf"/><Relationship Id="rId17" Type="http://schemas.openxmlformats.org/officeDocument/2006/relationships/image" Target="media/image14.emf"/><Relationship Id="rId25" Type="http://schemas.openxmlformats.org/officeDocument/2006/relationships/image" Target="media/image18.emf"/><Relationship Id="rId33" Type="http://schemas.openxmlformats.org/officeDocument/2006/relationships/image" Target="media/image25.emf"/><Relationship Id="rId38" Type="http://schemas.openxmlformats.org/officeDocument/2006/relationships/hyperlink" Target="http://www.iasb.org/Financial+crisis/Response+to+the+credit+crisis.htm" TargetMode="External"/><Relationship Id="rId46" Type="http://schemas.openxmlformats.org/officeDocument/2006/relationships/image" Target="media/image28.png"/><Relationship Id="rId2" Type="http://schemas.openxmlformats.org/officeDocument/2006/relationships/numbering" Target="numbering.xml"/><Relationship Id="rId16" Type="http://schemas.openxmlformats.org/officeDocument/2006/relationships/image" Target="media/image13.emf"/><Relationship Id="rId20" Type="http://schemas.openxmlformats.org/officeDocument/2006/relationships/image" Target="media/image1.emf"/><Relationship Id="rId29" Type="http://schemas.openxmlformats.org/officeDocument/2006/relationships/image" Target="media/image22.emf"/><Relationship Id="rId41" Type="http://schemas.openxmlformats.org/officeDocument/2006/relationships/hyperlink" Target="http://ssrn.com/abstract=1146826" TargetMode="External"/><Relationship Id="rId54"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8.emf"/><Relationship Id="rId24" Type="http://schemas.openxmlformats.org/officeDocument/2006/relationships/image" Target="media/image4.emf"/><Relationship Id="rId32" Type="http://schemas.openxmlformats.org/officeDocument/2006/relationships/image" Target="media/image24.emf"/><Relationship Id="rId37" Type="http://schemas.openxmlformats.org/officeDocument/2006/relationships/hyperlink" Target="http://www.eur.nl/ese/nieuws/economieopinie/artikelen/detail/article/16122/" TargetMode="External"/><Relationship Id="rId40" Type="http://schemas.openxmlformats.org/officeDocument/2006/relationships/hyperlink" Target="http://www.nivra.nl/NivraSite/Actualiteiten/Nieuwsarchief/Aanpassingen_IAS_39_en_IFRS_7.aspx" TargetMode="External"/><Relationship Id="rId45" Type="http://schemas.openxmlformats.org/officeDocument/2006/relationships/footer" Target="footer1.xml"/><Relationship Id="rId53" Type="http://schemas.openxmlformats.org/officeDocument/2006/relationships/image" Target="media/image35.png"/><Relationship Id="rId5" Type="http://schemas.openxmlformats.org/officeDocument/2006/relationships/webSettings" Target="webSettings.xml"/><Relationship Id="rId15" Type="http://schemas.openxmlformats.org/officeDocument/2006/relationships/image" Target="media/image12.emf"/><Relationship Id="rId23" Type="http://schemas.openxmlformats.org/officeDocument/2006/relationships/image" Target="media/image3.emf"/><Relationship Id="rId28" Type="http://schemas.openxmlformats.org/officeDocument/2006/relationships/image" Target="media/image21.emf"/><Relationship Id="rId36" Type="http://schemas.openxmlformats.org/officeDocument/2006/relationships/hyperlink" Target="http://ssrn.com/abstract=1494452" TargetMode="External"/><Relationship Id="rId49" Type="http://schemas.openxmlformats.org/officeDocument/2006/relationships/image" Target="media/image31.png"/><Relationship Id="rId57"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emf"/><Relationship Id="rId31" Type="http://schemas.openxmlformats.org/officeDocument/2006/relationships/image" Target="media/image23.emf"/><Relationship Id="rId44" Type="http://schemas.openxmlformats.org/officeDocument/2006/relationships/hyperlink" Target="http://www.qfinance.com/balance-sheets-best-practice/fair-value-accounting-sfas-157-and-ias-39?full" TargetMode="External"/><Relationship Id="rId52" Type="http://schemas.openxmlformats.org/officeDocument/2006/relationships/image" Target="media/image34.png"/><Relationship Id="rId4" Type="http://schemas.openxmlformats.org/officeDocument/2006/relationships/settings" Target="settings.xml"/><Relationship Id="rId9" Type="http://schemas.openxmlformats.org/officeDocument/2006/relationships/package" Target="embeddings/Microsoft_Office_Excel-werkblad1.xlsx"/><Relationship Id="rId14" Type="http://schemas.openxmlformats.org/officeDocument/2006/relationships/image" Target="media/image11.emf"/><Relationship Id="rId22" Type="http://schemas.openxmlformats.org/officeDocument/2006/relationships/image" Target="media/image2.emf"/><Relationship Id="rId27" Type="http://schemas.openxmlformats.org/officeDocument/2006/relationships/image" Target="media/image20.emf"/><Relationship Id="rId30" Type="http://schemas.openxmlformats.org/officeDocument/2006/relationships/image" Target="media/image5.emf"/><Relationship Id="rId35" Type="http://schemas.openxmlformats.org/officeDocument/2006/relationships/image" Target="media/image27.emf"/><Relationship Id="rId43" Type="http://schemas.openxmlformats.org/officeDocument/2006/relationships/hyperlink" Target="http://ssrn.com/abstract=1527107" TargetMode="External"/><Relationship Id="rId48" Type="http://schemas.openxmlformats.org/officeDocument/2006/relationships/image" Target="media/image30.png"/><Relationship Id="rId56" Type="http://schemas.openxmlformats.org/officeDocument/2006/relationships/fontTable" Target="fontTable.xml"/><Relationship Id="rId8" Type="http://schemas.openxmlformats.org/officeDocument/2006/relationships/image" Target="media/image6.emf"/><Relationship Id="rId51" Type="http://schemas.openxmlformats.org/officeDocument/2006/relationships/image" Target="media/image33.pn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www.investopedia.com/terms/i/intrinsicvalue.asp" TargetMode="External"/><Relationship Id="rId3" Type="http://schemas.openxmlformats.org/officeDocument/2006/relationships/hyperlink" Target="http://ec.europa.eu/internal_market/accounting/legal_framework/regulations_adopting_ias_text_en.htm" TargetMode="External"/><Relationship Id="rId7" Type="http://schemas.openxmlformats.org/officeDocument/2006/relationships/hyperlink" Target="http://www.dnb.nl/openboek/extern/id/en/vz/41-141474.html" TargetMode="External"/><Relationship Id="rId2" Type="http://schemas.openxmlformats.org/officeDocument/2006/relationships/hyperlink" Target="http://ec.europa.eu/internal_market/accounting/ias/ias_39_carve-out_en.htm" TargetMode="External"/><Relationship Id="rId1" Type="http://schemas.openxmlformats.org/officeDocument/2006/relationships/hyperlink" Target="http://ec.europa.eu/internal_market/smn/smn27/s27mn10.htm" TargetMode="External"/><Relationship Id="rId6" Type="http://schemas.openxmlformats.org/officeDocument/2006/relationships/hyperlink" Target="http://www.dnb.nl/openboek/extern/id/en/vz/41-117015.html" TargetMode="External"/><Relationship Id="rId5" Type="http://schemas.openxmlformats.org/officeDocument/2006/relationships/hyperlink" Target="http://ec.europa.eu/internal_market/smn/smn27/s27mn08.htm" TargetMode="External"/><Relationship Id="rId4" Type="http://schemas.openxmlformats.org/officeDocument/2006/relationships/hyperlink" Target="http://ec.europa.eu/internal_market/insurance/solvency/background_en.htm"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 Id="rId5" Type="http://schemas.openxmlformats.org/officeDocument/2006/relationships/image" Target="media/image5.emf"/><Relationship Id="rId4" Type="http://schemas.openxmlformats.org/officeDocument/2006/relationships/image" Target="media/image4.emf"/></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015473-2EBD-42A9-A819-2923DFDD4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121</Pages>
  <Words>52748</Words>
  <Characters>290120</Characters>
  <Application>Microsoft Office Word</Application>
  <DocSecurity>0</DocSecurity>
  <Lines>2417</Lines>
  <Paragraphs>684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342184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Thijs</dc:creator>
  <cp:lastModifiedBy>Thijs</cp:lastModifiedBy>
  <cp:revision>5</cp:revision>
  <cp:lastPrinted>2010-06-01T11:09:00Z</cp:lastPrinted>
  <dcterms:created xsi:type="dcterms:W3CDTF">2010-08-28T13:12:00Z</dcterms:created>
  <dcterms:modified xsi:type="dcterms:W3CDTF">2010-08-28T15:36:00Z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