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5D0" w:rsidRPr="008D54BC" w:rsidRDefault="004F75D0" w:rsidP="00B027D7">
      <w:pPr>
        <w:rPr>
          <w:rFonts w:ascii="Courier New" w:hAnsi="Courier New" w:cs="Courier New"/>
          <w:sz w:val="24"/>
          <w:szCs w:val="24"/>
        </w:rPr>
      </w:pPr>
    </w:p>
    <w:p w:rsidR="004F75D0" w:rsidRDefault="004F75D0" w:rsidP="00824581">
      <w:pPr>
        <w:pStyle w:val="PlainText"/>
        <w:spacing w:line="360" w:lineRule="auto"/>
        <w:jc w:val="right"/>
        <w:rPr>
          <w:rFonts w:ascii="Calibri" w:hAnsi="Calibri" w:cs="Calibri"/>
          <w:b/>
          <w:bCs/>
          <w:sz w:val="28"/>
          <w:szCs w:val="28"/>
        </w:rPr>
      </w:pPr>
    </w:p>
    <w:p w:rsidR="004F75D0" w:rsidRPr="0059659C" w:rsidRDefault="004F75D0" w:rsidP="00824581">
      <w:pPr>
        <w:pStyle w:val="PlainText"/>
        <w:spacing w:line="360" w:lineRule="auto"/>
        <w:jc w:val="right"/>
        <w:rPr>
          <w:rFonts w:ascii="Calibri" w:hAnsi="Calibri" w:cs="Calibri"/>
          <w:b/>
          <w:bCs/>
          <w:sz w:val="28"/>
          <w:szCs w:val="28"/>
        </w:rPr>
      </w:pPr>
      <w:r w:rsidRPr="0059659C">
        <w:rPr>
          <w:rFonts w:ascii="Calibri" w:hAnsi="Calibri" w:cs="Calibri"/>
          <w:b/>
          <w:bCs/>
          <w:sz w:val="28"/>
          <w:szCs w:val="28"/>
        </w:rPr>
        <w:t>Business cycle synchronization:</w:t>
      </w:r>
    </w:p>
    <w:p w:rsidR="004F75D0" w:rsidRPr="0059659C" w:rsidRDefault="004F75D0" w:rsidP="00824581">
      <w:pPr>
        <w:pStyle w:val="PlainText"/>
        <w:spacing w:line="360" w:lineRule="auto"/>
        <w:jc w:val="right"/>
        <w:rPr>
          <w:rFonts w:ascii="Calibri" w:hAnsi="Calibri" w:cs="Calibri"/>
          <w:b/>
          <w:bCs/>
          <w:sz w:val="24"/>
          <w:szCs w:val="24"/>
        </w:rPr>
      </w:pPr>
      <w:r w:rsidRPr="0059659C">
        <w:rPr>
          <w:rFonts w:ascii="Calibri" w:hAnsi="Calibri" w:cs="Calibri"/>
          <w:b/>
          <w:bCs/>
          <w:sz w:val="28"/>
          <w:szCs w:val="28"/>
        </w:rPr>
        <w:t>An a</w:t>
      </w:r>
      <w:r>
        <w:rPr>
          <w:rFonts w:ascii="Calibri" w:hAnsi="Calibri" w:cs="Calibri"/>
          <w:b/>
          <w:bCs/>
          <w:sz w:val="28"/>
          <w:szCs w:val="28"/>
        </w:rPr>
        <w:t>pplication</w:t>
      </w:r>
      <w:r w:rsidRPr="0059659C">
        <w:rPr>
          <w:rFonts w:ascii="Calibri" w:hAnsi="Calibri" w:cs="Calibri"/>
          <w:b/>
          <w:bCs/>
          <w:sz w:val="28"/>
          <w:szCs w:val="28"/>
        </w:rPr>
        <w:t xml:space="preserve"> </w:t>
      </w:r>
      <w:r>
        <w:rPr>
          <w:rFonts w:ascii="Calibri" w:hAnsi="Calibri" w:cs="Calibri"/>
          <w:b/>
          <w:bCs/>
          <w:sz w:val="28"/>
          <w:szCs w:val="28"/>
        </w:rPr>
        <w:t>to BRIC</w:t>
      </w:r>
      <w:r w:rsidRPr="0059659C">
        <w:rPr>
          <w:rFonts w:ascii="Calibri" w:hAnsi="Calibri" w:cs="Calibri"/>
          <w:b/>
          <w:bCs/>
          <w:sz w:val="28"/>
          <w:szCs w:val="28"/>
        </w:rPr>
        <w:t xml:space="preserve"> economies</w:t>
      </w:r>
    </w:p>
    <w:p w:rsidR="004F75D0" w:rsidRDefault="004F75D0" w:rsidP="00824581">
      <w:pPr>
        <w:jc w:val="right"/>
        <w:rPr>
          <w:rFonts w:cs="Calibri"/>
          <w:sz w:val="24"/>
          <w:szCs w:val="24"/>
        </w:rPr>
      </w:pPr>
    </w:p>
    <w:p w:rsidR="004F75D0" w:rsidRDefault="004F75D0" w:rsidP="00824581">
      <w:pPr>
        <w:jc w:val="right"/>
        <w:rPr>
          <w:rFonts w:cs="Calibri"/>
          <w:sz w:val="24"/>
          <w:szCs w:val="24"/>
        </w:rPr>
      </w:pPr>
    </w:p>
    <w:p w:rsidR="004F75D0" w:rsidRDefault="004F75D0" w:rsidP="00824581">
      <w:pPr>
        <w:jc w:val="right"/>
        <w:rPr>
          <w:rFonts w:cs="Calibri"/>
          <w:sz w:val="24"/>
          <w:szCs w:val="24"/>
        </w:rPr>
      </w:pPr>
    </w:p>
    <w:p w:rsidR="004F75D0" w:rsidRPr="0059659C" w:rsidRDefault="004F75D0" w:rsidP="00824581">
      <w:pPr>
        <w:jc w:val="right"/>
        <w:rPr>
          <w:rFonts w:cs="Calibri"/>
          <w:sz w:val="24"/>
          <w:szCs w:val="24"/>
        </w:rPr>
      </w:pPr>
    </w:p>
    <w:p w:rsidR="004F75D0" w:rsidRPr="00B027D7" w:rsidRDefault="004F75D0" w:rsidP="00824581">
      <w:pPr>
        <w:pStyle w:val="PlainText"/>
        <w:spacing w:line="360" w:lineRule="auto"/>
        <w:jc w:val="right"/>
        <w:rPr>
          <w:rFonts w:ascii="Calibri" w:hAnsi="Calibri" w:cs="Calibri"/>
          <w:b/>
          <w:bCs/>
          <w:sz w:val="24"/>
          <w:szCs w:val="24"/>
        </w:rPr>
      </w:pPr>
      <w:r w:rsidRPr="00B027D7">
        <w:rPr>
          <w:rFonts w:ascii="Calibri" w:hAnsi="Calibri" w:cs="Calibri"/>
          <w:b/>
          <w:bCs/>
          <w:sz w:val="24"/>
          <w:szCs w:val="24"/>
        </w:rPr>
        <w:t>Alexandros Plakidis</w:t>
      </w:r>
    </w:p>
    <w:p w:rsidR="004F75D0" w:rsidRPr="0059659C" w:rsidRDefault="004F75D0" w:rsidP="00824581">
      <w:pPr>
        <w:jc w:val="right"/>
        <w:rPr>
          <w:rFonts w:cs="Calibri"/>
          <w:sz w:val="24"/>
          <w:szCs w:val="24"/>
        </w:rPr>
      </w:pPr>
      <w:r>
        <w:rPr>
          <w:rFonts w:cs="Calibri"/>
          <w:sz w:val="24"/>
          <w:szCs w:val="24"/>
        </w:rPr>
        <w:t>October</w:t>
      </w:r>
      <w:r w:rsidRPr="0059659C">
        <w:rPr>
          <w:rFonts w:cs="Calibri"/>
          <w:sz w:val="24"/>
          <w:szCs w:val="24"/>
        </w:rPr>
        <w:t xml:space="preserve"> 2010</w:t>
      </w:r>
    </w:p>
    <w:p w:rsidR="004F75D0" w:rsidRDefault="004F75D0" w:rsidP="00824581">
      <w:pPr>
        <w:jc w:val="center"/>
        <w:rPr>
          <w:rFonts w:cs="Calibri"/>
          <w:sz w:val="24"/>
          <w:szCs w:val="24"/>
        </w:rPr>
      </w:pPr>
    </w:p>
    <w:p w:rsidR="004F75D0" w:rsidRDefault="004F75D0" w:rsidP="00824581">
      <w:pPr>
        <w:jc w:val="center"/>
        <w:rPr>
          <w:rFonts w:cs="Calibri"/>
          <w:sz w:val="24"/>
          <w:szCs w:val="24"/>
        </w:rPr>
      </w:pPr>
    </w:p>
    <w:p w:rsidR="004F75D0" w:rsidRDefault="004F75D0" w:rsidP="00824581">
      <w:pPr>
        <w:jc w:val="center"/>
        <w:rPr>
          <w:rFonts w:cs="Calibri"/>
          <w:sz w:val="24"/>
          <w:szCs w:val="24"/>
        </w:rPr>
      </w:pPr>
    </w:p>
    <w:p w:rsidR="004F75D0" w:rsidRDefault="004F75D0" w:rsidP="00824581">
      <w:pPr>
        <w:jc w:val="center"/>
        <w:rPr>
          <w:rFonts w:cs="Calibri"/>
          <w:sz w:val="24"/>
          <w:szCs w:val="24"/>
        </w:rPr>
      </w:pPr>
    </w:p>
    <w:p w:rsidR="004F75D0" w:rsidRDefault="004F75D0" w:rsidP="00824581">
      <w:pPr>
        <w:jc w:val="center"/>
        <w:rPr>
          <w:rFonts w:cs="Calibri"/>
          <w:sz w:val="24"/>
          <w:szCs w:val="24"/>
        </w:rPr>
      </w:pPr>
    </w:p>
    <w:p w:rsidR="004F75D0" w:rsidRDefault="004F75D0" w:rsidP="00824581">
      <w:pPr>
        <w:jc w:val="center"/>
        <w:rPr>
          <w:rFonts w:cs="Calibri"/>
          <w:sz w:val="24"/>
          <w:szCs w:val="24"/>
        </w:rPr>
      </w:pPr>
    </w:p>
    <w:p w:rsidR="004F75D0" w:rsidRDefault="004F75D0" w:rsidP="00824581">
      <w:pPr>
        <w:jc w:val="center"/>
        <w:rPr>
          <w:rFonts w:cs="Calibri"/>
          <w:sz w:val="24"/>
          <w:szCs w:val="24"/>
        </w:rPr>
      </w:pPr>
    </w:p>
    <w:p w:rsidR="004F75D0" w:rsidRDefault="004F75D0" w:rsidP="00824581">
      <w:pPr>
        <w:jc w:val="center"/>
        <w:rPr>
          <w:rFonts w:cs="Calibri"/>
          <w:sz w:val="24"/>
          <w:szCs w:val="24"/>
        </w:rPr>
      </w:pPr>
    </w:p>
    <w:p w:rsidR="004F75D0" w:rsidRPr="00B027D7" w:rsidRDefault="004F75D0" w:rsidP="00B027D7">
      <w:pPr>
        <w:spacing w:line="240" w:lineRule="auto"/>
        <w:jc w:val="right"/>
        <w:rPr>
          <w:rFonts w:cs="Calibri"/>
          <w:b/>
          <w:sz w:val="24"/>
          <w:szCs w:val="24"/>
        </w:rPr>
      </w:pPr>
      <w:r>
        <w:rPr>
          <w:rFonts w:cs="Calibri"/>
          <w:sz w:val="24"/>
          <w:szCs w:val="24"/>
        </w:rPr>
        <w:t xml:space="preserve">              </w:t>
      </w:r>
      <w:r w:rsidRPr="00B027D7">
        <w:rPr>
          <w:rFonts w:cs="Calibri"/>
          <w:b/>
          <w:sz w:val="24"/>
          <w:szCs w:val="24"/>
        </w:rPr>
        <w:t xml:space="preserve">Msc </w:t>
      </w:r>
      <w:r>
        <w:rPr>
          <w:rFonts w:cs="Calibri"/>
          <w:b/>
          <w:sz w:val="24"/>
          <w:szCs w:val="24"/>
        </w:rPr>
        <w:t xml:space="preserve">in </w:t>
      </w:r>
      <w:r w:rsidRPr="00B027D7">
        <w:rPr>
          <w:rFonts w:cs="Calibri"/>
          <w:b/>
          <w:sz w:val="24"/>
          <w:szCs w:val="24"/>
        </w:rPr>
        <w:t>Economics and Business:</w:t>
      </w:r>
    </w:p>
    <w:p w:rsidR="004F75D0" w:rsidRPr="00B027D7" w:rsidRDefault="004F75D0" w:rsidP="00B027D7">
      <w:pPr>
        <w:spacing w:line="240" w:lineRule="auto"/>
        <w:jc w:val="right"/>
        <w:rPr>
          <w:rFonts w:cs="Calibri"/>
          <w:b/>
          <w:sz w:val="24"/>
          <w:szCs w:val="24"/>
        </w:rPr>
      </w:pPr>
      <w:r w:rsidRPr="00B027D7">
        <w:rPr>
          <w:rFonts w:cs="Calibri"/>
          <w:b/>
          <w:sz w:val="24"/>
          <w:szCs w:val="24"/>
        </w:rPr>
        <w:t>Financial Economics</w:t>
      </w:r>
    </w:p>
    <w:p w:rsidR="004F75D0" w:rsidRPr="00E96EFB" w:rsidRDefault="004F75D0" w:rsidP="00B027D7">
      <w:pPr>
        <w:pStyle w:val="PlainText"/>
        <w:spacing w:line="360" w:lineRule="auto"/>
        <w:jc w:val="right"/>
        <w:rPr>
          <w:rFonts w:ascii="Calibri" w:hAnsi="Calibri" w:cs="Calibri"/>
          <w:b/>
          <w:sz w:val="24"/>
          <w:szCs w:val="24"/>
        </w:rPr>
      </w:pPr>
      <w:r w:rsidRPr="00E96EFB">
        <w:rPr>
          <w:rFonts w:ascii="Calibri" w:hAnsi="Calibri" w:cs="Calibri"/>
          <w:b/>
          <w:sz w:val="24"/>
          <w:szCs w:val="24"/>
        </w:rPr>
        <w:t>Erasmus School of Economics</w:t>
      </w:r>
    </w:p>
    <w:p w:rsidR="004F75D0" w:rsidRPr="00E96EFB" w:rsidRDefault="004F75D0" w:rsidP="00B027D7">
      <w:pPr>
        <w:pStyle w:val="PlainText"/>
        <w:spacing w:line="360" w:lineRule="auto"/>
        <w:jc w:val="right"/>
        <w:rPr>
          <w:rFonts w:ascii="Calibri" w:hAnsi="Calibri" w:cs="Calibri"/>
          <w:b/>
          <w:sz w:val="24"/>
          <w:szCs w:val="24"/>
        </w:rPr>
      </w:pPr>
      <w:r w:rsidRPr="00E96EFB">
        <w:rPr>
          <w:rFonts w:ascii="Calibri" w:hAnsi="Calibri" w:cs="Calibri"/>
          <w:b/>
          <w:sz w:val="24"/>
          <w:szCs w:val="24"/>
        </w:rPr>
        <w:t>Erasmus Universiteit Rotterdam</w:t>
      </w: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Pr>
        <w:pStyle w:val="Heading2"/>
      </w:pPr>
    </w:p>
    <w:p w:rsidR="004F75D0" w:rsidRPr="00E96EFB" w:rsidRDefault="004F75D0" w:rsidP="00A1636A"/>
    <w:p w:rsidR="004F75D0" w:rsidRPr="00E96EFB" w:rsidRDefault="004F75D0" w:rsidP="00A1636A"/>
    <w:p w:rsidR="004F75D0" w:rsidRPr="00E96EFB" w:rsidRDefault="004F75D0" w:rsidP="00A1636A"/>
    <w:p w:rsidR="004F75D0" w:rsidRPr="00E96EFB" w:rsidRDefault="004F75D0" w:rsidP="00A1636A"/>
    <w:p w:rsidR="004F75D0" w:rsidRPr="00E96EFB" w:rsidRDefault="004F75D0" w:rsidP="00A1636A"/>
    <w:p w:rsidR="004F75D0" w:rsidRDefault="004F75D0" w:rsidP="00A1636A">
      <w:pPr>
        <w:pStyle w:val="Heading2"/>
        <w:pBdr>
          <w:bottom w:val="single" w:sz="4" w:space="1" w:color="auto"/>
        </w:pBdr>
      </w:pPr>
      <w:bookmarkStart w:id="0" w:name="_Toc274041010"/>
      <w:r>
        <w:t>Abstract</w:t>
      </w:r>
      <w:bookmarkEnd w:id="0"/>
    </w:p>
    <w:p w:rsidR="004F75D0" w:rsidRDefault="004F75D0" w:rsidP="00A1636A"/>
    <w:p w:rsidR="004F75D0" w:rsidRDefault="004F75D0" w:rsidP="00A1636A"/>
    <w:p w:rsidR="004F75D0" w:rsidRDefault="004F75D0" w:rsidP="00A1636A"/>
    <w:p w:rsidR="004F75D0" w:rsidRDefault="004F75D0" w:rsidP="00A1636A"/>
    <w:p w:rsidR="004F75D0" w:rsidRDefault="004F75D0" w:rsidP="00A346DD"/>
    <w:p w:rsidR="004F75D0" w:rsidRPr="00A84AC8" w:rsidRDefault="004F75D0" w:rsidP="00A346DD">
      <w:pPr>
        <w:rPr>
          <w:i/>
        </w:rPr>
      </w:pPr>
      <w:r w:rsidRPr="00A84AC8">
        <w:rPr>
          <w:i/>
        </w:rPr>
        <w:t>Economists often claim that emerging economies have decoupled from the advanced economies during the recent years and thus follow different business cycle paths than the advanced economies. This paper is a research in which it is tested the decoupling hypothesis between the emerging economies from the advanced ones with respect to business cycle co movement. The tests conducted consist of two parts: a graphical and an econometric one. The graphical is an innovative measure of interdependence called Euclidean distance and the econometric consists of numerous regressions that provided descriptive coefficients. Both kinds of results showed rejection of the decoupling hypothesis (null hypothesis) between emerging- and advanced economies while at the same time confirmation of the decoupling hypothesis between emerging- and the USA as an individual</w:t>
      </w:r>
      <w:r>
        <w:rPr>
          <w:i/>
        </w:rPr>
        <w:t xml:space="preserve"> country</w:t>
      </w:r>
      <w:r w:rsidRPr="00A84AC8">
        <w:rPr>
          <w:i/>
        </w:rPr>
        <w:t>.</w:t>
      </w:r>
    </w:p>
    <w:p w:rsidR="004F75D0" w:rsidRPr="00A84AC8" w:rsidRDefault="004F75D0" w:rsidP="00A1636A">
      <w:pPr>
        <w:rPr>
          <w:i/>
        </w:rPr>
      </w:pPr>
    </w:p>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Default="004F75D0" w:rsidP="00A1636A"/>
    <w:p w:rsidR="004F75D0" w:rsidRPr="00A1636A" w:rsidRDefault="004F75D0" w:rsidP="00A1636A"/>
    <w:p w:rsidR="004F75D0" w:rsidRPr="00A1636A" w:rsidRDefault="004F75D0" w:rsidP="00A1636A">
      <w:pPr>
        <w:pStyle w:val="Heading2"/>
        <w:pBdr>
          <w:bottom w:val="single" w:sz="4" w:space="1" w:color="auto"/>
        </w:pBdr>
      </w:pPr>
      <w:bookmarkStart w:id="1" w:name="_Toc176853564"/>
      <w:bookmarkStart w:id="2" w:name="_Toc177031463"/>
      <w:bookmarkStart w:id="3" w:name="_Toc274041011"/>
      <w:r w:rsidRPr="00A1636A">
        <w:t>Acknowledgements</w:t>
      </w:r>
      <w:bookmarkEnd w:id="1"/>
      <w:bookmarkEnd w:id="2"/>
      <w:bookmarkEnd w:id="3"/>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Default="004F75D0" w:rsidP="00A1636A">
      <w:pPr>
        <w:pStyle w:val="Heading2"/>
      </w:pPr>
    </w:p>
    <w:p w:rsidR="004F75D0" w:rsidRPr="00354B58" w:rsidRDefault="004F75D0" w:rsidP="00C417E4">
      <w:pPr>
        <w:pStyle w:val="Heading2"/>
        <w:pBdr>
          <w:bottom w:val="single" w:sz="4" w:space="1" w:color="auto"/>
        </w:pBdr>
      </w:pPr>
      <w:bookmarkStart w:id="4" w:name="_Toc274041012"/>
      <w:r>
        <w:t>C</w:t>
      </w:r>
      <w:r w:rsidRPr="00354B58">
        <w:t>ontents</w:t>
      </w:r>
      <w:bookmarkEnd w:id="4"/>
    </w:p>
    <w:p w:rsidR="004F75D0" w:rsidRDefault="004F75D0" w:rsidP="00A1636A">
      <w:pPr>
        <w:pStyle w:val="TOC2"/>
        <w:rPr>
          <w:sz w:val="24"/>
          <w:szCs w:val="24"/>
        </w:rPr>
      </w:pPr>
    </w:p>
    <w:p w:rsidR="004F75D0" w:rsidRDefault="004F75D0">
      <w:pPr>
        <w:pStyle w:val="TOC2"/>
        <w:rPr>
          <w:noProof/>
        </w:rPr>
      </w:pPr>
      <w:r w:rsidRPr="009B0FE8">
        <w:rPr>
          <w:sz w:val="24"/>
          <w:szCs w:val="24"/>
          <w:lang w:val="el-GR"/>
        </w:rPr>
        <w:fldChar w:fldCharType="begin"/>
      </w:r>
      <w:r w:rsidRPr="009B0FE8">
        <w:rPr>
          <w:sz w:val="24"/>
          <w:szCs w:val="24"/>
          <w:lang w:val="el-GR"/>
        </w:rPr>
        <w:instrText xml:space="preserve"> TOC \o "1-3" \h \z \u </w:instrText>
      </w:r>
      <w:r w:rsidRPr="009B0FE8">
        <w:rPr>
          <w:sz w:val="24"/>
          <w:szCs w:val="24"/>
          <w:lang w:val="el-GR"/>
        </w:rPr>
        <w:fldChar w:fldCharType="separate"/>
      </w:r>
      <w:hyperlink w:anchor="_Toc274041010" w:history="1">
        <w:r w:rsidRPr="00597B62">
          <w:rPr>
            <w:rStyle w:val="Hyperlink"/>
            <w:noProof/>
          </w:rPr>
          <w:t>Abstract</w:t>
        </w:r>
        <w:r>
          <w:rPr>
            <w:noProof/>
            <w:webHidden/>
          </w:rPr>
          <w:tab/>
        </w:r>
        <w:r>
          <w:rPr>
            <w:noProof/>
            <w:webHidden/>
          </w:rPr>
          <w:fldChar w:fldCharType="begin"/>
        </w:r>
        <w:r>
          <w:rPr>
            <w:noProof/>
            <w:webHidden/>
          </w:rPr>
          <w:instrText xml:space="preserve"> PAGEREF _Toc274041010 \h </w:instrText>
        </w:r>
        <w:r>
          <w:rPr>
            <w:noProof/>
            <w:webHidden/>
          </w:rPr>
        </w:r>
        <w:r>
          <w:rPr>
            <w:noProof/>
            <w:webHidden/>
          </w:rPr>
          <w:fldChar w:fldCharType="separate"/>
        </w:r>
        <w:r>
          <w:rPr>
            <w:noProof/>
            <w:webHidden/>
          </w:rPr>
          <w:t>3</w:t>
        </w:r>
        <w:r>
          <w:rPr>
            <w:noProof/>
            <w:webHidden/>
          </w:rPr>
          <w:fldChar w:fldCharType="end"/>
        </w:r>
      </w:hyperlink>
    </w:p>
    <w:p w:rsidR="004F75D0" w:rsidRDefault="004F75D0">
      <w:pPr>
        <w:pStyle w:val="TOC2"/>
        <w:rPr>
          <w:noProof/>
        </w:rPr>
      </w:pPr>
      <w:hyperlink w:anchor="_Toc274041011" w:history="1">
        <w:r w:rsidRPr="00597B62">
          <w:rPr>
            <w:rStyle w:val="Hyperlink"/>
            <w:noProof/>
          </w:rPr>
          <w:t>Acknowledgements</w:t>
        </w:r>
        <w:r>
          <w:rPr>
            <w:noProof/>
            <w:webHidden/>
          </w:rPr>
          <w:tab/>
        </w:r>
        <w:r>
          <w:rPr>
            <w:noProof/>
            <w:webHidden/>
          </w:rPr>
          <w:fldChar w:fldCharType="begin"/>
        </w:r>
        <w:r>
          <w:rPr>
            <w:noProof/>
            <w:webHidden/>
          </w:rPr>
          <w:instrText xml:space="preserve"> PAGEREF _Toc274041011 \h </w:instrText>
        </w:r>
        <w:r>
          <w:rPr>
            <w:noProof/>
            <w:webHidden/>
          </w:rPr>
        </w:r>
        <w:r>
          <w:rPr>
            <w:noProof/>
            <w:webHidden/>
          </w:rPr>
          <w:fldChar w:fldCharType="separate"/>
        </w:r>
        <w:r>
          <w:rPr>
            <w:noProof/>
            <w:webHidden/>
          </w:rPr>
          <w:t>5</w:t>
        </w:r>
        <w:r>
          <w:rPr>
            <w:noProof/>
            <w:webHidden/>
          </w:rPr>
          <w:fldChar w:fldCharType="end"/>
        </w:r>
      </w:hyperlink>
    </w:p>
    <w:p w:rsidR="004F75D0" w:rsidRDefault="004F75D0">
      <w:pPr>
        <w:pStyle w:val="TOC2"/>
        <w:rPr>
          <w:noProof/>
        </w:rPr>
      </w:pPr>
      <w:hyperlink w:anchor="_Toc274041012" w:history="1">
        <w:r w:rsidRPr="00597B62">
          <w:rPr>
            <w:rStyle w:val="Hyperlink"/>
            <w:noProof/>
          </w:rPr>
          <w:t>Contents</w:t>
        </w:r>
        <w:r>
          <w:rPr>
            <w:noProof/>
            <w:webHidden/>
          </w:rPr>
          <w:tab/>
        </w:r>
        <w:r>
          <w:rPr>
            <w:noProof/>
            <w:webHidden/>
          </w:rPr>
          <w:fldChar w:fldCharType="begin"/>
        </w:r>
        <w:r>
          <w:rPr>
            <w:noProof/>
            <w:webHidden/>
          </w:rPr>
          <w:instrText xml:space="preserve"> PAGEREF _Toc274041012 \h </w:instrText>
        </w:r>
        <w:r>
          <w:rPr>
            <w:noProof/>
            <w:webHidden/>
          </w:rPr>
        </w:r>
        <w:r>
          <w:rPr>
            <w:noProof/>
            <w:webHidden/>
          </w:rPr>
          <w:fldChar w:fldCharType="separate"/>
        </w:r>
        <w:r>
          <w:rPr>
            <w:noProof/>
            <w:webHidden/>
          </w:rPr>
          <w:t>6</w:t>
        </w:r>
        <w:r>
          <w:rPr>
            <w:noProof/>
            <w:webHidden/>
          </w:rPr>
          <w:fldChar w:fldCharType="end"/>
        </w:r>
      </w:hyperlink>
    </w:p>
    <w:p w:rsidR="004F75D0" w:rsidRDefault="004F75D0">
      <w:pPr>
        <w:pStyle w:val="TOC2"/>
        <w:rPr>
          <w:noProof/>
        </w:rPr>
      </w:pPr>
      <w:hyperlink w:anchor="_Toc274041013" w:history="1">
        <w:r w:rsidRPr="00597B62">
          <w:rPr>
            <w:rStyle w:val="Hyperlink"/>
            <w:noProof/>
          </w:rPr>
          <w:t>List of figures</w:t>
        </w:r>
        <w:r>
          <w:rPr>
            <w:noProof/>
            <w:webHidden/>
          </w:rPr>
          <w:tab/>
        </w:r>
        <w:r>
          <w:rPr>
            <w:noProof/>
            <w:webHidden/>
          </w:rPr>
          <w:fldChar w:fldCharType="begin"/>
        </w:r>
        <w:r>
          <w:rPr>
            <w:noProof/>
            <w:webHidden/>
          </w:rPr>
          <w:instrText xml:space="preserve"> PAGEREF _Toc274041013 \h </w:instrText>
        </w:r>
        <w:r>
          <w:rPr>
            <w:noProof/>
            <w:webHidden/>
          </w:rPr>
        </w:r>
        <w:r>
          <w:rPr>
            <w:noProof/>
            <w:webHidden/>
          </w:rPr>
          <w:fldChar w:fldCharType="separate"/>
        </w:r>
        <w:r>
          <w:rPr>
            <w:noProof/>
            <w:webHidden/>
          </w:rPr>
          <w:t>7</w:t>
        </w:r>
        <w:r>
          <w:rPr>
            <w:noProof/>
            <w:webHidden/>
          </w:rPr>
          <w:fldChar w:fldCharType="end"/>
        </w:r>
      </w:hyperlink>
    </w:p>
    <w:p w:rsidR="004F75D0" w:rsidRDefault="004F75D0">
      <w:pPr>
        <w:pStyle w:val="TOC2"/>
        <w:rPr>
          <w:noProof/>
        </w:rPr>
      </w:pPr>
      <w:hyperlink w:anchor="_Toc274041014" w:history="1">
        <w:r w:rsidRPr="00597B62">
          <w:rPr>
            <w:rStyle w:val="Hyperlink"/>
            <w:noProof/>
          </w:rPr>
          <w:t>Introduction</w:t>
        </w:r>
        <w:r>
          <w:rPr>
            <w:noProof/>
            <w:webHidden/>
          </w:rPr>
          <w:tab/>
        </w:r>
        <w:r>
          <w:rPr>
            <w:noProof/>
            <w:webHidden/>
          </w:rPr>
          <w:fldChar w:fldCharType="begin"/>
        </w:r>
        <w:r>
          <w:rPr>
            <w:noProof/>
            <w:webHidden/>
          </w:rPr>
          <w:instrText xml:space="preserve"> PAGEREF _Toc274041014 \h </w:instrText>
        </w:r>
        <w:r>
          <w:rPr>
            <w:noProof/>
            <w:webHidden/>
          </w:rPr>
        </w:r>
        <w:r>
          <w:rPr>
            <w:noProof/>
            <w:webHidden/>
          </w:rPr>
          <w:fldChar w:fldCharType="separate"/>
        </w:r>
        <w:r>
          <w:rPr>
            <w:noProof/>
            <w:webHidden/>
          </w:rPr>
          <w:t>9</w:t>
        </w:r>
        <w:r>
          <w:rPr>
            <w:noProof/>
            <w:webHidden/>
          </w:rPr>
          <w:fldChar w:fldCharType="end"/>
        </w:r>
      </w:hyperlink>
    </w:p>
    <w:p w:rsidR="004F75D0" w:rsidRDefault="004F75D0">
      <w:pPr>
        <w:pStyle w:val="TOC2"/>
        <w:rPr>
          <w:noProof/>
        </w:rPr>
      </w:pPr>
      <w:hyperlink w:anchor="_Toc274041015" w:history="1">
        <w:r w:rsidRPr="00597B62">
          <w:rPr>
            <w:rStyle w:val="Hyperlink"/>
            <w:noProof/>
          </w:rPr>
          <w:t>PART I: Review of the Literature</w:t>
        </w:r>
        <w:r>
          <w:rPr>
            <w:noProof/>
            <w:webHidden/>
          </w:rPr>
          <w:tab/>
        </w:r>
        <w:r>
          <w:rPr>
            <w:noProof/>
            <w:webHidden/>
          </w:rPr>
          <w:fldChar w:fldCharType="begin"/>
        </w:r>
        <w:r>
          <w:rPr>
            <w:noProof/>
            <w:webHidden/>
          </w:rPr>
          <w:instrText xml:space="preserve"> PAGEREF _Toc274041015 \h </w:instrText>
        </w:r>
        <w:r>
          <w:rPr>
            <w:noProof/>
            <w:webHidden/>
          </w:rPr>
        </w:r>
        <w:r>
          <w:rPr>
            <w:noProof/>
            <w:webHidden/>
          </w:rPr>
          <w:fldChar w:fldCharType="separate"/>
        </w:r>
        <w:r>
          <w:rPr>
            <w:noProof/>
            <w:webHidden/>
          </w:rPr>
          <w:t>12</w:t>
        </w:r>
        <w:r>
          <w:rPr>
            <w:noProof/>
            <w:webHidden/>
          </w:rPr>
          <w:fldChar w:fldCharType="end"/>
        </w:r>
      </w:hyperlink>
    </w:p>
    <w:p w:rsidR="004F75D0" w:rsidRDefault="004F75D0">
      <w:pPr>
        <w:pStyle w:val="TOC1"/>
        <w:rPr>
          <w:noProof/>
        </w:rPr>
      </w:pPr>
      <w:hyperlink w:anchor="_Toc274041016" w:history="1">
        <w:r w:rsidRPr="00597B62">
          <w:rPr>
            <w:rStyle w:val="Hyperlink"/>
            <w:noProof/>
          </w:rPr>
          <w:t>1. Previous studies</w:t>
        </w:r>
        <w:r>
          <w:rPr>
            <w:noProof/>
            <w:webHidden/>
          </w:rPr>
          <w:tab/>
        </w:r>
        <w:r>
          <w:rPr>
            <w:noProof/>
            <w:webHidden/>
          </w:rPr>
          <w:fldChar w:fldCharType="begin"/>
        </w:r>
        <w:r>
          <w:rPr>
            <w:noProof/>
            <w:webHidden/>
          </w:rPr>
          <w:instrText xml:space="preserve"> PAGEREF _Toc274041016 \h </w:instrText>
        </w:r>
        <w:r>
          <w:rPr>
            <w:noProof/>
            <w:webHidden/>
          </w:rPr>
        </w:r>
        <w:r>
          <w:rPr>
            <w:noProof/>
            <w:webHidden/>
          </w:rPr>
          <w:fldChar w:fldCharType="separate"/>
        </w:r>
        <w:r>
          <w:rPr>
            <w:noProof/>
            <w:webHidden/>
          </w:rPr>
          <w:t>12</w:t>
        </w:r>
        <w:r>
          <w:rPr>
            <w:noProof/>
            <w:webHidden/>
          </w:rPr>
          <w:fldChar w:fldCharType="end"/>
        </w:r>
      </w:hyperlink>
    </w:p>
    <w:p w:rsidR="004F75D0" w:rsidRDefault="004F75D0">
      <w:pPr>
        <w:pStyle w:val="TOC1"/>
        <w:rPr>
          <w:noProof/>
        </w:rPr>
      </w:pPr>
      <w:hyperlink w:anchor="_Toc274041017" w:history="1">
        <w:r w:rsidRPr="00597B62">
          <w:rPr>
            <w:rStyle w:val="Hyperlink"/>
            <w:noProof/>
            <w:spacing w:val="5"/>
            <w:kern w:val="28"/>
          </w:rPr>
          <w:t>2.</w:t>
        </w:r>
        <w:r w:rsidRPr="00597B62">
          <w:rPr>
            <w:rStyle w:val="Hyperlink"/>
            <w:noProof/>
          </w:rPr>
          <w:t xml:space="preserve"> Measure of the business cycle</w:t>
        </w:r>
        <w:r>
          <w:rPr>
            <w:noProof/>
            <w:webHidden/>
          </w:rPr>
          <w:tab/>
        </w:r>
        <w:r>
          <w:rPr>
            <w:noProof/>
            <w:webHidden/>
          </w:rPr>
          <w:fldChar w:fldCharType="begin"/>
        </w:r>
        <w:r>
          <w:rPr>
            <w:noProof/>
            <w:webHidden/>
          </w:rPr>
          <w:instrText xml:space="preserve"> PAGEREF _Toc274041017 \h </w:instrText>
        </w:r>
        <w:r>
          <w:rPr>
            <w:noProof/>
            <w:webHidden/>
          </w:rPr>
        </w:r>
        <w:r>
          <w:rPr>
            <w:noProof/>
            <w:webHidden/>
          </w:rPr>
          <w:fldChar w:fldCharType="separate"/>
        </w:r>
        <w:r>
          <w:rPr>
            <w:noProof/>
            <w:webHidden/>
          </w:rPr>
          <w:t>18</w:t>
        </w:r>
        <w:r>
          <w:rPr>
            <w:noProof/>
            <w:webHidden/>
          </w:rPr>
          <w:fldChar w:fldCharType="end"/>
        </w:r>
      </w:hyperlink>
    </w:p>
    <w:p w:rsidR="004F75D0" w:rsidRDefault="004F75D0">
      <w:pPr>
        <w:pStyle w:val="TOC1"/>
        <w:rPr>
          <w:noProof/>
        </w:rPr>
      </w:pPr>
      <w:hyperlink w:anchor="_Toc274041018" w:history="1">
        <w:r w:rsidRPr="00597B62">
          <w:rPr>
            <w:rStyle w:val="Hyperlink"/>
            <w:noProof/>
          </w:rPr>
          <w:t>3. Econometric evidence of business cycle synchronization</w:t>
        </w:r>
        <w:r>
          <w:rPr>
            <w:noProof/>
            <w:webHidden/>
          </w:rPr>
          <w:tab/>
        </w:r>
        <w:r>
          <w:rPr>
            <w:noProof/>
            <w:webHidden/>
          </w:rPr>
          <w:fldChar w:fldCharType="begin"/>
        </w:r>
        <w:r>
          <w:rPr>
            <w:noProof/>
            <w:webHidden/>
          </w:rPr>
          <w:instrText xml:space="preserve"> PAGEREF _Toc274041018 \h </w:instrText>
        </w:r>
        <w:r>
          <w:rPr>
            <w:noProof/>
            <w:webHidden/>
          </w:rPr>
        </w:r>
        <w:r>
          <w:rPr>
            <w:noProof/>
            <w:webHidden/>
          </w:rPr>
          <w:fldChar w:fldCharType="separate"/>
        </w:r>
        <w:r>
          <w:rPr>
            <w:noProof/>
            <w:webHidden/>
          </w:rPr>
          <w:t>20</w:t>
        </w:r>
        <w:r>
          <w:rPr>
            <w:noProof/>
            <w:webHidden/>
          </w:rPr>
          <w:fldChar w:fldCharType="end"/>
        </w:r>
      </w:hyperlink>
    </w:p>
    <w:p w:rsidR="004F75D0" w:rsidRDefault="004F75D0">
      <w:pPr>
        <w:pStyle w:val="TOC2"/>
        <w:rPr>
          <w:noProof/>
        </w:rPr>
      </w:pPr>
      <w:hyperlink w:anchor="_Toc274041019" w:history="1">
        <w:r w:rsidRPr="00597B62">
          <w:rPr>
            <w:rStyle w:val="Hyperlink"/>
            <w:noProof/>
          </w:rPr>
          <w:t>PART II: Data and Methodology</w:t>
        </w:r>
        <w:r>
          <w:rPr>
            <w:noProof/>
            <w:webHidden/>
          </w:rPr>
          <w:tab/>
        </w:r>
        <w:r>
          <w:rPr>
            <w:noProof/>
            <w:webHidden/>
          </w:rPr>
          <w:fldChar w:fldCharType="begin"/>
        </w:r>
        <w:r>
          <w:rPr>
            <w:noProof/>
            <w:webHidden/>
          </w:rPr>
          <w:instrText xml:space="preserve"> PAGEREF _Toc274041019 \h </w:instrText>
        </w:r>
        <w:r>
          <w:rPr>
            <w:noProof/>
            <w:webHidden/>
          </w:rPr>
        </w:r>
        <w:r>
          <w:rPr>
            <w:noProof/>
            <w:webHidden/>
          </w:rPr>
          <w:fldChar w:fldCharType="separate"/>
        </w:r>
        <w:r>
          <w:rPr>
            <w:noProof/>
            <w:webHidden/>
          </w:rPr>
          <w:t>22</w:t>
        </w:r>
        <w:r>
          <w:rPr>
            <w:noProof/>
            <w:webHidden/>
          </w:rPr>
          <w:fldChar w:fldCharType="end"/>
        </w:r>
      </w:hyperlink>
    </w:p>
    <w:p w:rsidR="004F75D0" w:rsidRDefault="004F75D0">
      <w:pPr>
        <w:pStyle w:val="TOC1"/>
        <w:rPr>
          <w:noProof/>
        </w:rPr>
      </w:pPr>
      <w:hyperlink w:anchor="_Toc274041020" w:history="1">
        <w:r w:rsidRPr="00597B62">
          <w:rPr>
            <w:rStyle w:val="Hyperlink"/>
            <w:noProof/>
          </w:rPr>
          <w:t>1. Four strong emerging economies</w:t>
        </w:r>
        <w:r>
          <w:rPr>
            <w:noProof/>
            <w:webHidden/>
          </w:rPr>
          <w:tab/>
        </w:r>
        <w:r>
          <w:rPr>
            <w:noProof/>
            <w:webHidden/>
          </w:rPr>
          <w:fldChar w:fldCharType="begin"/>
        </w:r>
        <w:r>
          <w:rPr>
            <w:noProof/>
            <w:webHidden/>
          </w:rPr>
          <w:instrText xml:space="preserve"> PAGEREF _Toc274041020 \h </w:instrText>
        </w:r>
        <w:r>
          <w:rPr>
            <w:noProof/>
            <w:webHidden/>
          </w:rPr>
        </w:r>
        <w:r>
          <w:rPr>
            <w:noProof/>
            <w:webHidden/>
          </w:rPr>
          <w:fldChar w:fldCharType="separate"/>
        </w:r>
        <w:r>
          <w:rPr>
            <w:noProof/>
            <w:webHidden/>
          </w:rPr>
          <w:t>22</w:t>
        </w:r>
        <w:r>
          <w:rPr>
            <w:noProof/>
            <w:webHidden/>
          </w:rPr>
          <w:fldChar w:fldCharType="end"/>
        </w:r>
      </w:hyperlink>
    </w:p>
    <w:p w:rsidR="004F75D0" w:rsidRDefault="004F75D0">
      <w:pPr>
        <w:pStyle w:val="TOC1"/>
        <w:rPr>
          <w:noProof/>
        </w:rPr>
      </w:pPr>
      <w:hyperlink w:anchor="_Toc274041021" w:history="1">
        <w:r w:rsidRPr="00597B62">
          <w:rPr>
            <w:rStyle w:val="Hyperlink"/>
            <w:noProof/>
          </w:rPr>
          <w:t>2. Data</w:t>
        </w:r>
        <w:r>
          <w:rPr>
            <w:noProof/>
            <w:webHidden/>
          </w:rPr>
          <w:tab/>
        </w:r>
        <w:r>
          <w:rPr>
            <w:noProof/>
            <w:webHidden/>
          </w:rPr>
          <w:fldChar w:fldCharType="begin"/>
        </w:r>
        <w:r>
          <w:rPr>
            <w:noProof/>
            <w:webHidden/>
          </w:rPr>
          <w:instrText xml:space="preserve"> PAGEREF _Toc274041021 \h </w:instrText>
        </w:r>
        <w:r>
          <w:rPr>
            <w:noProof/>
            <w:webHidden/>
          </w:rPr>
        </w:r>
        <w:r>
          <w:rPr>
            <w:noProof/>
            <w:webHidden/>
          </w:rPr>
          <w:fldChar w:fldCharType="separate"/>
        </w:r>
        <w:r>
          <w:rPr>
            <w:noProof/>
            <w:webHidden/>
          </w:rPr>
          <w:t>25</w:t>
        </w:r>
        <w:r>
          <w:rPr>
            <w:noProof/>
            <w:webHidden/>
          </w:rPr>
          <w:fldChar w:fldCharType="end"/>
        </w:r>
      </w:hyperlink>
    </w:p>
    <w:p w:rsidR="004F75D0" w:rsidRDefault="004F75D0">
      <w:pPr>
        <w:pStyle w:val="TOC1"/>
        <w:rPr>
          <w:noProof/>
        </w:rPr>
      </w:pPr>
      <w:hyperlink w:anchor="_Toc274041022" w:history="1">
        <w:r w:rsidRPr="00597B62">
          <w:rPr>
            <w:rStyle w:val="Hyperlink"/>
            <w:noProof/>
          </w:rPr>
          <w:t>3. Methodology</w:t>
        </w:r>
        <w:r>
          <w:rPr>
            <w:noProof/>
            <w:webHidden/>
          </w:rPr>
          <w:tab/>
        </w:r>
        <w:r>
          <w:rPr>
            <w:noProof/>
            <w:webHidden/>
          </w:rPr>
          <w:fldChar w:fldCharType="begin"/>
        </w:r>
        <w:r>
          <w:rPr>
            <w:noProof/>
            <w:webHidden/>
          </w:rPr>
          <w:instrText xml:space="preserve"> PAGEREF _Toc274041022 \h </w:instrText>
        </w:r>
        <w:r>
          <w:rPr>
            <w:noProof/>
            <w:webHidden/>
          </w:rPr>
        </w:r>
        <w:r>
          <w:rPr>
            <w:noProof/>
            <w:webHidden/>
          </w:rPr>
          <w:fldChar w:fldCharType="separate"/>
        </w:r>
        <w:r>
          <w:rPr>
            <w:noProof/>
            <w:webHidden/>
          </w:rPr>
          <w:t>26</w:t>
        </w:r>
        <w:r>
          <w:rPr>
            <w:noProof/>
            <w:webHidden/>
          </w:rPr>
          <w:fldChar w:fldCharType="end"/>
        </w:r>
      </w:hyperlink>
    </w:p>
    <w:p w:rsidR="004F75D0" w:rsidRDefault="004F75D0">
      <w:pPr>
        <w:pStyle w:val="TOC2"/>
        <w:rPr>
          <w:noProof/>
        </w:rPr>
      </w:pPr>
      <w:hyperlink w:anchor="_Toc274041023" w:history="1">
        <w:r w:rsidRPr="00597B62">
          <w:rPr>
            <w:rStyle w:val="Hyperlink"/>
            <w:noProof/>
          </w:rPr>
          <w:t>PART III: Results</w:t>
        </w:r>
        <w:r>
          <w:rPr>
            <w:noProof/>
            <w:webHidden/>
          </w:rPr>
          <w:tab/>
        </w:r>
        <w:r>
          <w:rPr>
            <w:noProof/>
            <w:webHidden/>
          </w:rPr>
          <w:fldChar w:fldCharType="begin"/>
        </w:r>
        <w:r>
          <w:rPr>
            <w:noProof/>
            <w:webHidden/>
          </w:rPr>
          <w:instrText xml:space="preserve"> PAGEREF _Toc274041023 \h </w:instrText>
        </w:r>
        <w:r>
          <w:rPr>
            <w:noProof/>
            <w:webHidden/>
          </w:rPr>
        </w:r>
        <w:r>
          <w:rPr>
            <w:noProof/>
            <w:webHidden/>
          </w:rPr>
          <w:fldChar w:fldCharType="separate"/>
        </w:r>
        <w:r>
          <w:rPr>
            <w:noProof/>
            <w:webHidden/>
          </w:rPr>
          <w:t>29</w:t>
        </w:r>
        <w:r>
          <w:rPr>
            <w:noProof/>
            <w:webHidden/>
          </w:rPr>
          <w:fldChar w:fldCharType="end"/>
        </w:r>
      </w:hyperlink>
    </w:p>
    <w:p w:rsidR="004F75D0" w:rsidRDefault="004F75D0">
      <w:pPr>
        <w:pStyle w:val="TOC1"/>
        <w:rPr>
          <w:noProof/>
        </w:rPr>
      </w:pPr>
      <w:hyperlink w:anchor="_Toc274041024" w:history="1">
        <w:r w:rsidRPr="00597B62">
          <w:rPr>
            <w:rStyle w:val="Hyperlink"/>
            <w:noProof/>
          </w:rPr>
          <w:t>a. Graphical Testing</w:t>
        </w:r>
        <w:r>
          <w:rPr>
            <w:noProof/>
            <w:webHidden/>
          </w:rPr>
          <w:tab/>
        </w:r>
        <w:r>
          <w:rPr>
            <w:noProof/>
            <w:webHidden/>
          </w:rPr>
          <w:fldChar w:fldCharType="begin"/>
        </w:r>
        <w:r>
          <w:rPr>
            <w:noProof/>
            <w:webHidden/>
          </w:rPr>
          <w:instrText xml:space="preserve"> PAGEREF _Toc274041024 \h </w:instrText>
        </w:r>
        <w:r>
          <w:rPr>
            <w:noProof/>
            <w:webHidden/>
          </w:rPr>
        </w:r>
        <w:r>
          <w:rPr>
            <w:noProof/>
            <w:webHidden/>
          </w:rPr>
          <w:fldChar w:fldCharType="separate"/>
        </w:r>
        <w:r>
          <w:rPr>
            <w:noProof/>
            <w:webHidden/>
          </w:rPr>
          <w:t>29</w:t>
        </w:r>
        <w:r>
          <w:rPr>
            <w:noProof/>
            <w:webHidden/>
          </w:rPr>
          <w:fldChar w:fldCharType="end"/>
        </w:r>
      </w:hyperlink>
    </w:p>
    <w:p w:rsidR="004F75D0" w:rsidRDefault="004F75D0">
      <w:pPr>
        <w:pStyle w:val="TOC1"/>
        <w:rPr>
          <w:noProof/>
        </w:rPr>
      </w:pPr>
      <w:hyperlink w:anchor="_Toc274041025" w:history="1">
        <w:r w:rsidRPr="00597B62">
          <w:rPr>
            <w:rStyle w:val="Hyperlink"/>
            <w:noProof/>
          </w:rPr>
          <w:t>b. Econometric testing</w:t>
        </w:r>
        <w:r>
          <w:rPr>
            <w:noProof/>
            <w:webHidden/>
          </w:rPr>
          <w:tab/>
        </w:r>
        <w:r>
          <w:rPr>
            <w:noProof/>
            <w:webHidden/>
          </w:rPr>
          <w:fldChar w:fldCharType="begin"/>
        </w:r>
        <w:r>
          <w:rPr>
            <w:noProof/>
            <w:webHidden/>
          </w:rPr>
          <w:instrText xml:space="preserve"> PAGEREF _Toc274041025 \h </w:instrText>
        </w:r>
        <w:r>
          <w:rPr>
            <w:noProof/>
            <w:webHidden/>
          </w:rPr>
        </w:r>
        <w:r>
          <w:rPr>
            <w:noProof/>
            <w:webHidden/>
          </w:rPr>
          <w:fldChar w:fldCharType="separate"/>
        </w:r>
        <w:r>
          <w:rPr>
            <w:noProof/>
            <w:webHidden/>
          </w:rPr>
          <w:t>42</w:t>
        </w:r>
        <w:r>
          <w:rPr>
            <w:noProof/>
            <w:webHidden/>
          </w:rPr>
          <w:fldChar w:fldCharType="end"/>
        </w:r>
      </w:hyperlink>
    </w:p>
    <w:p w:rsidR="004F75D0" w:rsidRDefault="004F75D0">
      <w:pPr>
        <w:pStyle w:val="TOC2"/>
        <w:rPr>
          <w:noProof/>
        </w:rPr>
      </w:pPr>
      <w:hyperlink w:anchor="_Toc274041026" w:history="1">
        <w:r w:rsidRPr="00597B62">
          <w:rPr>
            <w:rStyle w:val="Hyperlink"/>
            <w:noProof/>
          </w:rPr>
          <w:t>Conclusion</w:t>
        </w:r>
        <w:r>
          <w:rPr>
            <w:noProof/>
            <w:webHidden/>
          </w:rPr>
          <w:tab/>
        </w:r>
        <w:r>
          <w:rPr>
            <w:noProof/>
            <w:webHidden/>
          </w:rPr>
          <w:fldChar w:fldCharType="begin"/>
        </w:r>
        <w:r>
          <w:rPr>
            <w:noProof/>
            <w:webHidden/>
          </w:rPr>
          <w:instrText xml:space="preserve"> PAGEREF _Toc274041026 \h </w:instrText>
        </w:r>
        <w:r>
          <w:rPr>
            <w:noProof/>
            <w:webHidden/>
          </w:rPr>
        </w:r>
        <w:r>
          <w:rPr>
            <w:noProof/>
            <w:webHidden/>
          </w:rPr>
          <w:fldChar w:fldCharType="separate"/>
        </w:r>
        <w:r>
          <w:rPr>
            <w:noProof/>
            <w:webHidden/>
          </w:rPr>
          <w:t>50</w:t>
        </w:r>
        <w:r>
          <w:rPr>
            <w:noProof/>
            <w:webHidden/>
          </w:rPr>
          <w:fldChar w:fldCharType="end"/>
        </w:r>
      </w:hyperlink>
    </w:p>
    <w:p w:rsidR="004F75D0" w:rsidRDefault="004F75D0">
      <w:pPr>
        <w:pStyle w:val="TOC2"/>
        <w:rPr>
          <w:noProof/>
        </w:rPr>
      </w:pPr>
      <w:hyperlink w:anchor="_Toc274041027" w:history="1">
        <w:r w:rsidRPr="00597B62">
          <w:rPr>
            <w:rStyle w:val="Hyperlink"/>
            <w:noProof/>
          </w:rPr>
          <w:t>References</w:t>
        </w:r>
        <w:r>
          <w:rPr>
            <w:noProof/>
            <w:webHidden/>
          </w:rPr>
          <w:tab/>
        </w:r>
        <w:r>
          <w:rPr>
            <w:noProof/>
            <w:webHidden/>
          </w:rPr>
          <w:fldChar w:fldCharType="begin"/>
        </w:r>
        <w:r>
          <w:rPr>
            <w:noProof/>
            <w:webHidden/>
          </w:rPr>
          <w:instrText xml:space="preserve"> PAGEREF _Toc274041027 \h </w:instrText>
        </w:r>
        <w:r>
          <w:rPr>
            <w:noProof/>
            <w:webHidden/>
          </w:rPr>
        </w:r>
        <w:r>
          <w:rPr>
            <w:noProof/>
            <w:webHidden/>
          </w:rPr>
          <w:fldChar w:fldCharType="separate"/>
        </w:r>
        <w:r>
          <w:rPr>
            <w:noProof/>
            <w:webHidden/>
          </w:rPr>
          <w:t>52</w:t>
        </w:r>
        <w:r>
          <w:rPr>
            <w:noProof/>
            <w:webHidden/>
          </w:rPr>
          <w:fldChar w:fldCharType="end"/>
        </w:r>
      </w:hyperlink>
    </w:p>
    <w:p w:rsidR="004F75D0" w:rsidRDefault="004F75D0">
      <w:pPr>
        <w:pStyle w:val="TOC2"/>
        <w:rPr>
          <w:noProof/>
        </w:rPr>
      </w:pPr>
      <w:hyperlink w:anchor="_Toc274041028" w:history="1">
        <w:r w:rsidRPr="00597B62">
          <w:rPr>
            <w:rStyle w:val="Hyperlink"/>
            <w:noProof/>
          </w:rPr>
          <w:t>Appendix</w:t>
        </w:r>
        <w:r>
          <w:rPr>
            <w:noProof/>
            <w:webHidden/>
          </w:rPr>
          <w:tab/>
        </w:r>
        <w:r>
          <w:rPr>
            <w:noProof/>
            <w:webHidden/>
          </w:rPr>
          <w:fldChar w:fldCharType="begin"/>
        </w:r>
        <w:r>
          <w:rPr>
            <w:noProof/>
            <w:webHidden/>
          </w:rPr>
          <w:instrText xml:space="preserve"> PAGEREF _Toc274041028 \h </w:instrText>
        </w:r>
        <w:r>
          <w:rPr>
            <w:noProof/>
            <w:webHidden/>
          </w:rPr>
        </w:r>
        <w:r>
          <w:rPr>
            <w:noProof/>
            <w:webHidden/>
          </w:rPr>
          <w:fldChar w:fldCharType="separate"/>
        </w:r>
        <w:r>
          <w:rPr>
            <w:noProof/>
            <w:webHidden/>
          </w:rPr>
          <w:t>54</w:t>
        </w:r>
        <w:r>
          <w:rPr>
            <w:noProof/>
            <w:webHidden/>
          </w:rPr>
          <w:fldChar w:fldCharType="end"/>
        </w:r>
      </w:hyperlink>
    </w:p>
    <w:p w:rsidR="004F75D0" w:rsidRPr="007D5DDE" w:rsidRDefault="004F75D0" w:rsidP="00A1636A">
      <w:pPr>
        <w:pStyle w:val="Heading2"/>
        <w:pBdr>
          <w:bottom w:val="single" w:sz="4" w:space="1" w:color="auto"/>
        </w:pBdr>
      </w:pPr>
      <w:r w:rsidRPr="009B0FE8">
        <w:rPr>
          <w:sz w:val="24"/>
          <w:szCs w:val="24"/>
          <w:lang w:val="el-GR"/>
        </w:rPr>
        <w:fldChar w:fldCharType="end"/>
      </w:r>
      <w:bookmarkStart w:id="5" w:name="_Toc274041013"/>
      <w:r w:rsidRPr="007D5DDE">
        <w:t>List of figures</w:t>
      </w:r>
      <w:bookmarkEnd w:id="5"/>
      <w:r w:rsidRPr="007D5DDE">
        <w:t xml:space="preserve">                                        </w:t>
      </w:r>
    </w:p>
    <w:p w:rsidR="004F75D0" w:rsidRDefault="004F75D0">
      <w:pPr>
        <w:pStyle w:val="TableofFigures"/>
        <w:tabs>
          <w:tab w:val="right" w:leader="dot" w:pos="9394"/>
        </w:tabs>
        <w:rPr>
          <w:noProof/>
        </w:rPr>
      </w:pPr>
      <w:r>
        <w:rPr>
          <w:sz w:val="24"/>
          <w:szCs w:val="24"/>
        </w:rPr>
        <w:fldChar w:fldCharType="begin"/>
      </w:r>
      <w:r>
        <w:rPr>
          <w:sz w:val="24"/>
          <w:szCs w:val="24"/>
        </w:rPr>
        <w:instrText xml:space="preserve"> TOC \c "Figure" </w:instrText>
      </w:r>
      <w:r>
        <w:rPr>
          <w:sz w:val="24"/>
          <w:szCs w:val="24"/>
        </w:rPr>
        <w:fldChar w:fldCharType="separate"/>
      </w:r>
      <w:r>
        <w:rPr>
          <w:noProof/>
        </w:rPr>
        <w:t>Figure 1: Table representation of China's GDP growth rates between 1980 and 2009</w:t>
      </w:r>
      <w:r>
        <w:rPr>
          <w:noProof/>
        </w:rPr>
        <w:tab/>
      </w:r>
      <w:r>
        <w:rPr>
          <w:noProof/>
        </w:rPr>
        <w:fldChar w:fldCharType="begin"/>
      </w:r>
      <w:r>
        <w:rPr>
          <w:noProof/>
        </w:rPr>
        <w:instrText xml:space="preserve"> PAGEREF _Toc274047043 \h </w:instrText>
      </w:r>
      <w:r>
        <w:rPr>
          <w:noProof/>
        </w:rPr>
      </w:r>
      <w:r>
        <w:rPr>
          <w:noProof/>
        </w:rPr>
        <w:fldChar w:fldCharType="separate"/>
      </w:r>
      <w:r>
        <w:rPr>
          <w:noProof/>
        </w:rPr>
        <w:t>23</w:t>
      </w:r>
      <w:r>
        <w:rPr>
          <w:noProof/>
        </w:rPr>
        <w:fldChar w:fldCharType="end"/>
      </w:r>
    </w:p>
    <w:p w:rsidR="004F75D0" w:rsidRDefault="004F75D0">
      <w:pPr>
        <w:pStyle w:val="TableofFigures"/>
        <w:tabs>
          <w:tab w:val="right" w:leader="dot" w:pos="9394"/>
        </w:tabs>
        <w:rPr>
          <w:noProof/>
        </w:rPr>
      </w:pPr>
      <w:r>
        <w:rPr>
          <w:noProof/>
        </w:rPr>
        <w:t>Figure 2: Graphical representation of China's GDP growth rates between 1980 and 2009</w:t>
      </w:r>
      <w:r>
        <w:rPr>
          <w:noProof/>
        </w:rPr>
        <w:tab/>
      </w:r>
      <w:r>
        <w:rPr>
          <w:noProof/>
        </w:rPr>
        <w:fldChar w:fldCharType="begin"/>
      </w:r>
      <w:r>
        <w:rPr>
          <w:noProof/>
        </w:rPr>
        <w:instrText xml:space="preserve"> PAGEREF _Toc274047044 \h </w:instrText>
      </w:r>
      <w:r>
        <w:rPr>
          <w:noProof/>
        </w:rPr>
      </w:r>
      <w:r>
        <w:rPr>
          <w:noProof/>
        </w:rPr>
        <w:fldChar w:fldCharType="separate"/>
      </w:r>
      <w:r>
        <w:rPr>
          <w:noProof/>
        </w:rPr>
        <w:t>24</w:t>
      </w:r>
      <w:r>
        <w:rPr>
          <w:noProof/>
        </w:rPr>
        <w:fldChar w:fldCharType="end"/>
      </w:r>
    </w:p>
    <w:p w:rsidR="004F75D0" w:rsidRDefault="004F75D0">
      <w:pPr>
        <w:pStyle w:val="TableofFigures"/>
        <w:tabs>
          <w:tab w:val="right" w:leader="dot" w:pos="9394"/>
        </w:tabs>
        <w:rPr>
          <w:noProof/>
        </w:rPr>
      </w:pPr>
      <w:r>
        <w:rPr>
          <w:noProof/>
        </w:rPr>
        <w:t>Figure 3: Graphical representation of Russian subdivisions by GDP</w:t>
      </w:r>
      <w:r>
        <w:rPr>
          <w:noProof/>
        </w:rPr>
        <w:tab/>
      </w:r>
      <w:r>
        <w:rPr>
          <w:noProof/>
        </w:rPr>
        <w:fldChar w:fldCharType="begin"/>
      </w:r>
      <w:r>
        <w:rPr>
          <w:noProof/>
        </w:rPr>
        <w:instrText xml:space="preserve"> PAGEREF _Toc274047045 \h </w:instrText>
      </w:r>
      <w:r>
        <w:rPr>
          <w:noProof/>
        </w:rPr>
      </w:r>
      <w:r>
        <w:rPr>
          <w:noProof/>
        </w:rPr>
        <w:fldChar w:fldCharType="separate"/>
      </w:r>
      <w:r>
        <w:rPr>
          <w:noProof/>
        </w:rPr>
        <w:t>25</w:t>
      </w:r>
      <w:r>
        <w:rPr>
          <w:noProof/>
        </w:rPr>
        <w:fldChar w:fldCharType="end"/>
      </w:r>
    </w:p>
    <w:p w:rsidR="004F75D0" w:rsidRDefault="004F75D0">
      <w:pPr>
        <w:pStyle w:val="TableofFigures"/>
        <w:tabs>
          <w:tab w:val="right" w:leader="dot" w:pos="9394"/>
        </w:tabs>
        <w:rPr>
          <w:noProof/>
        </w:rPr>
      </w:pPr>
      <w:r>
        <w:rPr>
          <w:noProof/>
        </w:rPr>
        <w:t>Figure 4: Graphical representation of the Euclidean  distance between Brazil and EU</w:t>
      </w:r>
      <w:r>
        <w:rPr>
          <w:noProof/>
        </w:rPr>
        <w:tab/>
      </w:r>
      <w:r>
        <w:rPr>
          <w:noProof/>
        </w:rPr>
        <w:fldChar w:fldCharType="begin"/>
      </w:r>
      <w:r>
        <w:rPr>
          <w:noProof/>
        </w:rPr>
        <w:instrText xml:space="preserve"> PAGEREF _Toc274047046 \h </w:instrText>
      </w:r>
      <w:r>
        <w:rPr>
          <w:noProof/>
        </w:rPr>
      </w:r>
      <w:r>
        <w:rPr>
          <w:noProof/>
        </w:rPr>
        <w:fldChar w:fldCharType="separate"/>
      </w:r>
      <w:r>
        <w:rPr>
          <w:noProof/>
        </w:rPr>
        <w:t>30</w:t>
      </w:r>
      <w:r>
        <w:rPr>
          <w:noProof/>
        </w:rPr>
        <w:fldChar w:fldCharType="end"/>
      </w:r>
    </w:p>
    <w:p w:rsidR="004F75D0" w:rsidRDefault="004F75D0">
      <w:pPr>
        <w:pStyle w:val="TableofFigures"/>
        <w:tabs>
          <w:tab w:val="right" w:leader="dot" w:pos="9394"/>
        </w:tabs>
        <w:rPr>
          <w:noProof/>
        </w:rPr>
      </w:pPr>
      <w:r>
        <w:rPr>
          <w:noProof/>
        </w:rPr>
        <w:t>Figure 5: Graphical representation of the Euclidean distance between Brazil and USA</w:t>
      </w:r>
      <w:r>
        <w:rPr>
          <w:noProof/>
        </w:rPr>
        <w:tab/>
      </w:r>
      <w:r>
        <w:rPr>
          <w:noProof/>
        </w:rPr>
        <w:fldChar w:fldCharType="begin"/>
      </w:r>
      <w:r>
        <w:rPr>
          <w:noProof/>
        </w:rPr>
        <w:instrText xml:space="preserve"> PAGEREF _Toc274047047 \h </w:instrText>
      </w:r>
      <w:r>
        <w:rPr>
          <w:noProof/>
        </w:rPr>
      </w:r>
      <w:r>
        <w:rPr>
          <w:noProof/>
        </w:rPr>
        <w:fldChar w:fldCharType="separate"/>
      </w:r>
      <w:r>
        <w:rPr>
          <w:noProof/>
        </w:rPr>
        <w:t>30</w:t>
      </w:r>
      <w:r>
        <w:rPr>
          <w:noProof/>
        </w:rPr>
        <w:fldChar w:fldCharType="end"/>
      </w:r>
    </w:p>
    <w:p w:rsidR="004F75D0" w:rsidRDefault="004F75D0">
      <w:pPr>
        <w:pStyle w:val="TableofFigures"/>
        <w:tabs>
          <w:tab w:val="right" w:leader="dot" w:pos="9394"/>
        </w:tabs>
        <w:rPr>
          <w:noProof/>
        </w:rPr>
      </w:pPr>
      <w:r>
        <w:rPr>
          <w:noProof/>
        </w:rPr>
        <w:t>Figure 6: Graphical representation of the Euclidean distance between Brazil and World's advanced economies</w:t>
      </w:r>
      <w:r>
        <w:rPr>
          <w:noProof/>
        </w:rPr>
        <w:tab/>
      </w:r>
      <w:r>
        <w:rPr>
          <w:noProof/>
        </w:rPr>
        <w:fldChar w:fldCharType="begin"/>
      </w:r>
      <w:r>
        <w:rPr>
          <w:noProof/>
        </w:rPr>
        <w:instrText xml:space="preserve"> PAGEREF _Toc274047048 \h </w:instrText>
      </w:r>
      <w:r>
        <w:rPr>
          <w:noProof/>
        </w:rPr>
      </w:r>
      <w:r>
        <w:rPr>
          <w:noProof/>
        </w:rPr>
        <w:fldChar w:fldCharType="separate"/>
      </w:r>
      <w:r>
        <w:rPr>
          <w:noProof/>
        </w:rPr>
        <w:t>31</w:t>
      </w:r>
      <w:r>
        <w:rPr>
          <w:noProof/>
        </w:rPr>
        <w:fldChar w:fldCharType="end"/>
      </w:r>
    </w:p>
    <w:p w:rsidR="004F75D0" w:rsidRDefault="004F75D0">
      <w:pPr>
        <w:pStyle w:val="TableofFigures"/>
        <w:tabs>
          <w:tab w:val="right" w:leader="dot" w:pos="9394"/>
        </w:tabs>
        <w:rPr>
          <w:noProof/>
        </w:rPr>
      </w:pPr>
      <w:r>
        <w:rPr>
          <w:noProof/>
        </w:rPr>
        <w:t>Figure 7: Graphical representation of the Euclidean distance between Brazil and G7</w:t>
      </w:r>
      <w:r>
        <w:rPr>
          <w:noProof/>
        </w:rPr>
        <w:tab/>
      </w:r>
      <w:r>
        <w:rPr>
          <w:noProof/>
        </w:rPr>
        <w:fldChar w:fldCharType="begin"/>
      </w:r>
      <w:r>
        <w:rPr>
          <w:noProof/>
        </w:rPr>
        <w:instrText xml:space="preserve"> PAGEREF _Toc274047049 \h </w:instrText>
      </w:r>
      <w:r>
        <w:rPr>
          <w:noProof/>
        </w:rPr>
      </w:r>
      <w:r>
        <w:rPr>
          <w:noProof/>
        </w:rPr>
        <w:fldChar w:fldCharType="separate"/>
      </w:r>
      <w:r>
        <w:rPr>
          <w:noProof/>
        </w:rPr>
        <w:t>31</w:t>
      </w:r>
      <w:r>
        <w:rPr>
          <w:noProof/>
        </w:rPr>
        <w:fldChar w:fldCharType="end"/>
      </w:r>
    </w:p>
    <w:p w:rsidR="004F75D0" w:rsidRDefault="004F75D0">
      <w:pPr>
        <w:pStyle w:val="TableofFigures"/>
        <w:tabs>
          <w:tab w:val="right" w:leader="dot" w:pos="9394"/>
        </w:tabs>
        <w:rPr>
          <w:noProof/>
        </w:rPr>
      </w:pPr>
      <w:r>
        <w:rPr>
          <w:noProof/>
        </w:rPr>
        <w:t>Figure 8: Graphical representation of the Euclidean distance between China and EU</w:t>
      </w:r>
      <w:r>
        <w:rPr>
          <w:noProof/>
        </w:rPr>
        <w:tab/>
      </w:r>
      <w:r>
        <w:rPr>
          <w:noProof/>
        </w:rPr>
        <w:fldChar w:fldCharType="begin"/>
      </w:r>
      <w:r>
        <w:rPr>
          <w:noProof/>
        </w:rPr>
        <w:instrText xml:space="preserve"> PAGEREF _Toc274047050 \h </w:instrText>
      </w:r>
      <w:r>
        <w:rPr>
          <w:noProof/>
        </w:rPr>
      </w:r>
      <w:r>
        <w:rPr>
          <w:noProof/>
        </w:rPr>
        <w:fldChar w:fldCharType="separate"/>
      </w:r>
      <w:r>
        <w:rPr>
          <w:noProof/>
        </w:rPr>
        <w:t>32</w:t>
      </w:r>
      <w:r>
        <w:rPr>
          <w:noProof/>
        </w:rPr>
        <w:fldChar w:fldCharType="end"/>
      </w:r>
    </w:p>
    <w:p w:rsidR="004F75D0" w:rsidRDefault="004F75D0">
      <w:pPr>
        <w:pStyle w:val="TableofFigures"/>
        <w:tabs>
          <w:tab w:val="right" w:leader="dot" w:pos="9394"/>
        </w:tabs>
        <w:rPr>
          <w:noProof/>
        </w:rPr>
      </w:pPr>
      <w:r>
        <w:rPr>
          <w:noProof/>
        </w:rPr>
        <w:t>Figure 9: Graphical representation of the Euclidean distance between China and USA</w:t>
      </w:r>
      <w:r>
        <w:rPr>
          <w:noProof/>
        </w:rPr>
        <w:tab/>
      </w:r>
      <w:r>
        <w:rPr>
          <w:noProof/>
        </w:rPr>
        <w:fldChar w:fldCharType="begin"/>
      </w:r>
      <w:r>
        <w:rPr>
          <w:noProof/>
        </w:rPr>
        <w:instrText xml:space="preserve"> PAGEREF _Toc274047051 \h </w:instrText>
      </w:r>
      <w:r>
        <w:rPr>
          <w:noProof/>
        </w:rPr>
      </w:r>
      <w:r>
        <w:rPr>
          <w:noProof/>
        </w:rPr>
        <w:fldChar w:fldCharType="separate"/>
      </w:r>
      <w:r>
        <w:rPr>
          <w:noProof/>
        </w:rPr>
        <w:t>33</w:t>
      </w:r>
      <w:r>
        <w:rPr>
          <w:noProof/>
        </w:rPr>
        <w:fldChar w:fldCharType="end"/>
      </w:r>
    </w:p>
    <w:p w:rsidR="004F75D0" w:rsidRDefault="004F75D0">
      <w:pPr>
        <w:pStyle w:val="TableofFigures"/>
        <w:tabs>
          <w:tab w:val="right" w:leader="dot" w:pos="9394"/>
        </w:tabs>
        <w:rPr>
          <w:noProof/>
        </w:rPr>
      </w:pPr>
      <w:r>
        <w:rPr>
          <w:noProof/>
        </w:rPr>
        <w:t>Figure 10: Graphical representation of the Euclidean distance between China and World's advanced economies</w:t>
      </w:r>
      <w:r>
        <w:rPr>
          <w:noProof/>
        </w:rPr>
        <w:tab/>
      </w:r>
      <w:r>
        <w:rPr>
          <w:noProof/>
        </w:rPr>
        <w:fldChar w:fldCharType="begin"/>
      </w:r>
      <w:r>
        <w:rPr>
          <w:noProof/>
        </w:rPr>
        <w:instrText xml:space="preserve"> PAGEREF _Toc274047052 \h </w:instrText>
      </w:r>
      <w:r>
        <w:rPr>
          <w:noProof/>
        </w:rPr>
      </w:r>
      <w:r>
        <w:rPr>
          <w:noProof/>
        </w:rPr>
        <w:fldChar w:fldCharType="separate"/>
      </w:r>
      <w:r>
        <w:rPr>
          <w:noProof/>
        </w:rPr>
        <w:t>33</w:t>
      </w:r>
      <w:r>
        <w:rPr>
          <w:noProof/>
        </w:rPr>
        <w:fldChar w:fldCharType="end"/>
      </w:r>
    </w:p>
    <w:p w:rsidR="004F75D0" w:rsidRDefault="004F75D0">
      <w:pPr>
        <w:pStyle w:val="TableofFigures"/>
        <w:tabs>
          <w:tab w:val="right" w:leader="dot" w:pos="9394"/>
        </w:tabs>
        <w:rPr>
          <w:noProof/>
        </w:rPr>
      </w:pPr>
      <w:r>
        <w:rPr>
          <w:noProof/>
        </w:rPr>
        <w:t>Figure 11: Graphical representation of the Euclidean distance between China and G7</w:t>
      </w:r>
      <w:r>
        <w:rPr>
          <w:noProof/>
        </w:rPr>
        <w:tab/>
      </w:r>
      <w:r>
        <w:rPr>
          <w:noProof/>
        </w:rPr>
        <w:fldChar w:fldCharType="begin"/>
      </w:r>
      <w:r>
        <w:rPr>
          <w:noProof/>
        </w:rPr>
        <w:instrText xml:space="preserve"> PAGEREF _Toc274047053 \h </w:instrText>
      </w:r>
      <w:r>
        <w:rPr>
          <w:noProof/>
        </w:rPr>
      </w:r>
      <w:r>
        <w:rPr>
          <w:noProof/>
        </w:rPr>
        <w:fldChar w:fldCharType="separate"/>
      </w:r>
      <w:r>
        <w:rPr>
          <w:noProof/>
        </w:rPr>
        <w:t>34</w:t>
      </w:r>
      <w:r>
        <w:rPr>
          <w:noProof/>
        </w:rPr>
        <w:fldChar w:fldCharType="end"/>
      </w:r>
    </w:p>
    <w:p w:rsidR="004F75D0" w:rsidRDefault="004F75D0">
      <w:pPr>
        <w:pStyle w:val="TableofFigures"/>
        <w:tabs>
          <w:tab w:val="right" w:leader="dot" w:pos="9394"/>
        </w:tabs>
        <w:rPr>
          <w:noProof/>
        </w:rPr>
      </w:pPr>
      <w:r>
        <w:rPr>
          <w:noProof/>
        </w:rPr>
        <w:t>Figure 12: Graphical representation of the Euclidean distance between India and EU</w:t>
      </w:r>
      <w:r>
        <w:rPr>
          <w:noProof/>
        </w:rPr>
        <w:tab/>
      </w:r>
      <w:r>
        <w:rPr>
          <w:noProof/>
        </w:rPr>
        <w:fldChar w:fldCharType="begin"/>
      </w:r>
      <w:r>
        <w:rPr>
          <w:noProof/>
        </w:rPr>
        <w:instrText xml:space="preserve"> PAGEREF _Toc274047054 \h </w:instrText>
      </w:r>
      <w:r>
        <w:rPr>
          <w:noProof/>
        </w:rPr>
      </w:r>
      <w:r>
        <w:rPr>
          <w:noProof/>
        </w:rPr>
        <w:fldChar w:fldCharType="separate"/>
      </w:r>
      <w:r>
        <w:rPr>
          <w:noProof/>
        </w:rPr>
        <w:t>35</w:t>
      </w:r>
      <w:r>
        <w:rPr>
          <w:noProof/>
        </w:rPr>
        <w:fldChar w:fldCharType="end"/>
      </w:r>
    </w:p>
    <w:p w:rsidR="004F75D0" w:rsidRDefault="004F75D0">
      <w:pPr>
        <w:pStyle w:val="TableofFigures"/>
        <w:tabs>
          <w:tab w:val="right" w:leader="dot" w:pos="9394"/>
        </w:tabs>
        <w:rPr>
          <w:noProof/>
        </w:rPr>
      </w:pPr>
      <w:r>
        <w:rPr>
          <w:noProof/>
        </w:rPr>
        <w:t>Figure 13: Graphical representation of the Euclidean distance between India and USA</w:t>
      </w:r>
      <w:r>
        <w:rPr>
          <w:noProof/>
        </w:rPr>
        <w:tab/>
      </w:r>
      <w:r>
        <w:rPr>
          <w:noProof/>
        </w:rPr>
        <w:fldChar w:fldCharType="begin"/>
      </w:r>
      <w:r>
        <w:rPr>
          <w:noProof/>
        </w:rPr>
        <w:instrText xml:space="preserve"> PAGEREF _Toc274047055 \h </w:instrText>
      </w:r>
      <w:r>
        <w:rPr>
          <w:noProof/>
        </w:rPr>
      </w:r>
      <w:r>
        <w:rPr>
          <w:noProof/>
        </w:rPr>
        <w:fldChar w:fldCharType="separate"/>
      </w:r>
      <w:r>
        <w:rPr>
          <w:noProof/>
        </w:rPr>
        <w:t>35</w:t>
      </w:r>
      <w:r>
        <w:rPr>
          <w:noProof/>
        </w:rPr>
        <w:fldChar w:fldCharType="end"/>
      </w:r>
    </w:p>
    <w:p w:rsidR="004F75D0" w:rsidRDefault="004F75D0">
      <w:pPr>
        <w:pStyle w:val="TableofFigures"/>
        <w:tabs>
          <w:tab w:val="right" w:leader="dot" w:pos="9394"/>
        </w:tabs>
        <w:rPr>
          <w:noProof/>
        </w:rPr>
      </w:pPr>
      <w:r>
        <w:rPr>
          <w:noProof/>
        </w:rPr>
        <w:t>Figure 14: Graphical representation of the Euclidean distance and the World's advanced economies</w:t>
      </w:r>
      <w:r>
        <w:rPr>
          <w:noProof/>
        </w:rPr>
        <w:tab/>
      </w:r>
      <w:r>
        <w:rPr>
          <w:noProof/>
        </w:rPr>
        <w:fldChar w:fldCharType="begin"/>
      </w:r>
      <w:r>
        <w:rPr>
          <w:noProof/>
        </w:rPr>
        <w:instrText xml:space="preserve"> PAGEREF _Toc274047056 \h </w:instrText>
      </w:r>
      <w:r>
        <w:rPr>
          <w:noProof/>
        </w:rPr>
      </w:r>
      <w:r>
        <w:rPr>
          <w:noProof/>
        </w:rPr>
        <w:fldChar w:fldCharType="separate"/>
      </w:r>
      <w:r>
        <w:rPr>
          <w:noProof/>
        </w:rPr>
        <w:t>36</w:t>
      </w:r>
      <w:r>
        <w:rPr>
          <w:noProof/>
        </w:rPr>
        <w:fldChar w:fldCharType="end"/>
      </w:r>
    </w:p>
    <w:p w:rsidR="004F75D0" w:rsidRDefault="004F75D0">
      <w:pPr>
        <w:pStyle w:val="TableofFigures"/>
        <w:tabs>
          <w:tab w:val="right" w:leader="dot" w:pos="9394"/>
        </w:tabs>
        <w:rPr>
          <w:noProof/>
        </w:rPr>
      </w:pPr>
      <w:r>
        <w:rPr>
          <w:noProof/>
        </w:rPr>
        <w:t>Figure 15: Graphical representation of the Euclidean distance between India and G7</w:t>
      </w:r>
      <w:r>
        <w:rPr>
          <w:noProof/>
        </w:rPr>
        <w:tab/>
      </w:r>
      <w:r>
        <w:rPr>
          <w:noProof/>
        </w:rPr>
        <w:fldChar w:fldCharType="begin"/>
      </w:r>
      <w:r>
        <w:rPr>
          <w:noProof/>
        </w:rPr>
        <w:instrText xml:space="preserve"> PAGEREF _Toc274047057 \h </w:instrText>
      </w:r>
      <w:r>
        <w:rPr>
          <w:noProof/>
        </w:rPr>
      </w:r>
      <w:r>
        <w:rPr>
          <w:noProof/>
        </w:rPr>
        <w:fldChar w:fldCharType="separate"/>
      </w:r>
      <w:r>
        <w:rPr>
          <w:noProof/>
        </w:rPr>
        <w:t>37</w:t>
      </w:r>
      <w:r>
        <w:rPr>
          <w:noProof/>
        </w:rPr>
        <w:fldChar w:fldCharType="end"/>
      </w:r>
    </w:p>
    <w:p w:rsidR="004F75D0" w:rsidRDefault="004F75D0">
      <w:pPr>
        <w:pStyle w:val="TableofFigures"/>
        <w:tabs>
          <w:tab w:val="right" w:leader="dot" w:pos="9394"/>
        </w:tabs>
        <w:rPr>
          <w:noProof/>
        </w:rPr>
      </w:pPr>
      <w:r>
        <w:rPr>
          <w:noProof/>
        </w:rPr>
        <w:t>Figure 16: Graphical representation of the Euclidean distance between Russia and EU</w:t>
      </w:r>
      <w:r>
        <w:rPr>
          <w:noProof/>
        </w:rPr>
        <w:tab/>
      </w:r>
      <w:r>
        <w:rPr>
          <w:noProof/>
        </w:rPr>
        <w:fldChar w:fldCharType="begin"/>
      </w:r>
      <w:r>
        <w:rPr>
          <w:noProof/>
        </w:rPr>
        <w:instrText xml:space="preserve"> PAGEREF _Toc274047058 \h </w:instrText>
      </w:r>
      <w:r>
        <w:rPr>
          <w:noProof/>
        </w:rPr>
      </w:r>
      <w:r>
        <w:rPr>
          <w:noProof/>
        </w:rPr>
        <w:fldChar w:fldCharType="separate"/>
      </w:r>
      <w:r>
        <w:rPr>
          <w:noProof/>
        </w:rPr>
        <w:t>38</w:t>
      </w:r>
      <w:r>
        <w:rPr>
          <w:noProof/>
        </w:rPr>
        <w:fldChar w:fldCharType="end"/>
      </w:r>
    </w:p>
    <w:p w:rsidR="004F75D0" w:rsidRDefault="004F75D0">
      <w:pPr>
        <w:pStyle w:val="TableofFigures"/>
        <w:tabs>
          <w:tab w:val="right" w:leader="dot" w:pos="9394"/>
        </w:tabs>
        <w:rPr>
          <w:noProof/>
        </w:rPr>
      </w:pPr>
      <w:r>
        <w:rPr>
          <w:noProof/>
        </w:rPr>
        <w:t>Figure 17: Graphical representation of the Euclidean distance between Russia and USA</w:t>
      </w:r>
      <w:r>
        <w:rPr>
          <w:noProof/>
        </w:rPr>
        <w:tab/>
      </w:r>
      <w:r>
        <w:rPr>
          <w:noProof/>
        </w:rPr>
        <w:fldChar w:fldCharType="begin"/>
      </w:r>
      <w:r>
        <w:rPr>
          <w:noProof/>
        </w:rPr>
        <w:instrText xml:space="preserve"> PAGEREF _Toc274047059 \h </w:instrText>
      </w:r>
      <w:r>
        <w:rPr>
          <w:noProof/>
        </w:rPr>
      </w:r>
      <w:r>
        <w:rPr>
          <w:noProof/>
        </w:rPr>
        <w:fldChar w:fldCharType="separate"/>
      </w:r>
      <w:r>
        <w:rPr>
          <w:noProof/>
        </w:rPr>
        <w:t>38</w:t>
      </w:r>
      <w:r>
        <w:rPr>
          <w:noProof/>
        </w:rPr>
        <w:fldChar w:fldCharType="end"/>
      </w:r>
    </w:p>
    <w:p w:rsidR="004F75D0" w:rsidRDefault="004F75D0">
      <w:pPr>
        <w:pStyle w:val="TableofFigures"/>
        <w:tabs>
          <w:tab w:val="right" w:leader="dot" w:pos="9394"/>
        </w:tabs>
        <w:rPr>
          <w:noProof/>
        </w:rPr>
      </w:pPr>
      <w:r>
        <w:rPr>
          <w:noProof/>
        </w:rPr>
        <w:t>Figure 18: Graphical representation of the Euclidean distance between Russia and World's advanced economies</w:t>
      </w:r>
      <w:r>
        <w:rPr>
          <w:noProof/>
        </w:rPr>
        <w:tab/>
      </w:r>
      <w:r>
        <w:rPr>
          <w:noProof/>
        </w:rPr>
        <w:fldChar w:fldCharType="begin"/>
      </w:r>
      <w:r>
        <w:rPr>
          <w:noProof/>
        </w:rPr>
        <w:instrText xml:space="preserve"> PAGEREF _Toc274047060 \h </w:instrText>
      </w:r>
      <w:r>
        <w:rPr>
          <w:noProof/>
        </w:rPr>
      </w:r>
      <w:r>
        <w:rPr>
          <w:noProof/>
        </w:rPr>
        <w:fldChar w:fldCharType="separate"/>
      </w:r>
      <w:r>
        <w:rPr>
          <w:noProof/>
        </w:rPr>
        <w:t>39</w:t>
      </w:r>
      <w:r>
        <w:rPr>
          <w:noProof/>
        </w:rPr>
        <w:fldChar w:fldCharType="end"/>
      </w:r>
    </w:p>
    <w:p w:rsidR="004F75D0" w:rsidRDefault="004F75D0">
      <w:pPr>
        <w:pStyle w:val="TableofFigures"/>
        <w:tabs>
          <w:tab w:val="right" w:leader="dot" w:pos="9394"/>
        </w:tabs>
        <w:rPr>
          <w:noProof/>
        </w:rPr>
      </w:pPr>
      <w:r>
        <w:rPr>
          <w:noProof/>
        </w:rPr>
        <w:t>Figure 19: Graphical representation of the Euclidean distance between Russia and G7</w:t>
      </w:r>
      <w:r>
        <w:rPr>
          <w:noProof/>
        </w:rPr>
        <w:tab/>
      </w:r>
      <w:r>
        <w:rPr>
          <w:noProof/>
        </w:rPr>
        <w:fldChar w:fldCharType="begin"/>
      </w:r>
      <w:r>
        <w:rPr>
          <w:noProof/>
        </w:rPr>
        <w:instrText xml:space="preserve"> PAGEREF _Toc274047061 \h </w:instrText>
      </w:r>
      <w:r>
        <w:rPr>
          <w:noProof/>
        </w:rPr>
      </w:r>
      <w:r>
        <w:rPr>
          <w:noProof/>
        </w:rPr>
        <w:fldChar w:fldCharType="separate"/>
      </w:r>
      <w:r>
        <w:rPr>
          <w:noProof/>
        </w:rPr>
        <w:t>39</w:t>
      </w:r>
      <w:r>
        <w:rPr>
          <w:noProof/>
        </w:rPr>
        <w:fldChar w:fldCharType="end"/>
      </w:r>
    </w:p>
    <w:p w:rsidR="004F75D0" w:rsidRDefault="004F75D0">
      <w:pPr>
        <w:pStyle w:val="TableofFigures"/>
        <w:tabs>
          <w:tab w:val="right" w:leader="dot" w:pos="9394"/>
        </w:tabs>
        <w:rPr>
          <w:noProof/>
        </w:rPr>
      </w:pPr>
      <w:r>
        <w:rPr>
          <w:noProof/>
        </w:rPr>
        <w:t>Figure 20: Graphical representation of the Euclidean distance between Emerging Markets and EU</w:t>
      </w:r>
      <w:r>
        <w:rPr>
          <w:noProof/>
        </w:rPr>
        <w:tab/>
      </w:r>
      <w:r>
        <w:rPr>
          <w:noProof/>
        </w:rPr>
        <w:fldChar w:fldCharType="begin"/>
      </w:r>
      <w:r>
        <w:rPr>
          <w:noProof/>
        </w:rPr>
        <w:instrText xml:space="preserve"> PAGEREF _Toc274047062 \h </w:instrText>
      </w:r>
      <w:r>
        <w:rPr>
          <w:noProof/>
        </w:rPr>
      </w:r>
      <w:r>
        <w:rPr>
          <w:noProof/>
        </w:rPr>
        <w:fldChar w:fldCharType="separate"/>
      </w:r>
      <w:r>
        <w:rPr>
          <w:noProof/>
        </w:rPr>
        <w:t>40</w:t>
      </w:r>
      <w:r>
        <w:rPr>
          <w:noProof/>
        </w:rPr>
        <w:fldChar w:fldCharType="end"/>
      </w:r>
    </w:p>
    <w:p w:rsidR="004F75D0" w:rsidRDefault="004F75D0">
      <w:pPr>
        <w:pStyle w:val="TableofFigures"/>
        <w:tabs>
          <w:tab w:val="right" w:leader="dot" w:pos="9394"/>
        </w:tabs>
        <w:rPr>
          <w:noProof/>
        </w:rPr>
      </w:pPr>
      <w:r>
        <w:rPr>
          <w:noProof/>
        </w:rPr>
        <w:t>Figure 21: Graphical representation of the Euclidean distance between Emerging Markets and USA</w:t>
      </w:r>
      <w:r>
        <w:rPr>
          <w:noProof/>
        </w:rPr>
        <w:tab/>
      </w:r>
      <w:r>
        <w:rPr>
          <w:noProof/>
        </w:rPr>
        <w:fldChar w:fldCharType="begin"/>
      </w:r>
      <w:r>
        <w:rPr>
          <w:noProof/>
        </w:rPr>
        <w:instrText xml:space="preserve"> PAGEREF _Toc274047063 \h </w:instrText>
      </w:r>
      <w:r>
        <w:rPr>
          <w:noProof/>
        </w:rPr>
      </w:r>
      <w:r>
        <w:rPr>
          <w:noProof/>
        </w:rPr>
        <w:fldChar w:fldCharType="separate"/>
      </w:r>
      <w:r>
        <w:rPr>
          <w:noProof/>
        </w:rPr>
        <w:t>40</w:t>
      </w:r>
      <w:r>
        <w:rPr>
          <w:noProof/>
        </w:rPr>
        <w:fldChar w:fldCharType="end"/>
      </w:r>
    </w:p>
    <w:p w:rsidR="004F75D0" w:rsidRDefault="004F75D0">
      <w:pPr>
        <w:pStyle w:val="TableofFigures"/>
        <w:tabs>
          <w:tab w:val="right" w:leader="dot" w:pos="9394"/>
        </w:tabs>
        <w:rPr>
          <w:noProof/>
        </w:rPr>
      </w:pPr>
      <w:r>
        <w:rPr>
          <w:noProof/>
        </w:rPr>
        <w:t>Figure 22: Graphical representation of the Euclidean distance between Emerging Markets and World's advanced economies</w:t>
      </w:r>
      <w:r>
        <w:rPr>
          <w:noProof/>
        </w:rPr>
        <w:tab/>
      </w:r>
      <w:r>
        <w:rPr>
          <w:noProof/>
        </w:rPr>
        <w:fldChar w:fldCharType="begin"/>
      </w:r>
      <w:r>
        <w:rPr>
          <w:noProof/>
        </w:rPr>
        <w:instrText xml:space="preserve"> PAGEREF _Toc274047064 \h </w:instrText>
      </w:r>
      <w:r>
        <w:rPr>
          <w:noProof/>
        </w:rPr>
      </w:r>
      <w:r>
        <w:rPr>
          <w:noProof/>
        </w:rPr>
        <w:fldChar w:fldCharType="separate"/>
      </w:r>
      <w:r>
        <w:rPr>
          <w:noProof/>
        </w:rPr>
        <w:t>41</w:t>
      </w:r>
      <w:r>
        <w:rPr>
          <w:noProof/>
        </w:rPr>
        <w:fldChar w:fldCharType="end"/>
      </w:r>
    </w:p>
    <w:p w:rsidR="004F75D0" w:rsidRDefault="004F75D0">
      <w:pPr>
        <w:pStyle w:val="TableofFigures"/>
        <w:tabs>
          <w:tab w:val="right" w:leader="dot" w:pos="9394"/>
        </w:tabs>
        <w:rPr>
          <w:noProof/>
        </w:rPr>
      </w:pPr>
      <w:r>
        <w:rPr>
          <w:noProof/>
        </w:rPr>
        <w:t>Figure 23: Graphical representation of the Euclidean distance between Emerging Markets and G7</w:t>
      </w:r>
      <w:r>
        <w:rPr>
          <w:noProof/>
        </w:rPr>
        <w:tab/>
      </w:r>
      <w:r>
        <w:rPr>
          <w:noProof/>
        </w:rPr>
        <w:fldChar w:fldCharType="begin"/>
      </w:r>
      <w:r>
        <w:rPr>
          <w:noProof/>
        </w:rPr>
        <w:instrText xml:space="preserve"> PAGEREF _Toc274047065 \h </w:instrText>
      </w:r>
      <w:r>
        <w:rPr>
          <w:noProof/>
        </w:rPr>
      </w:r>
      <w:r>
        <w:rPr>
          <w:noProof/>
        </w:rPr>
        <w:fldChar w:fldCharType="separate"/>
      </w:r>
      <w:r>
        <w:rPr>
          <w:noProof/>
        </w:rPr>
        <w:t>41</w:t>
      </w:r>
      <w:r>
        <w:rPr>
          <w:noProof/>
        </w:rPr>
        <w:fldChar w:fldCharType="end"/>
      </w:r>
    </w:p>
    <w:p w:rsidR="004F75D0" w:rsidRDefault="004F75D0">
      <w:pPr>
        <w:pStyle w:val="TableofFigures"/>
        <w:tabs>
          <w:tab w:val="right" w:leader="dot" w:pos="9394"/>
        </w:tabs>
        <w:rPr>
          <w:noProof/>
        </w:rPr>
      </w:pPr>
      <w:r>
        <w:rPr>
          <w:noProof/>
        </w:rPr>
        <w:t>Figure 24: Table representations of econometric tests between Brazil and advanced economies</w:t>
      </w:r>
      <w:r>
        <w:rPr>
          <w:noProof/>
        </w:rPr>
        <w:tab/>
      </w:r>
      <w:r>
        <w:rPr>
          <w:noProof/>
        </w:rPr>
        <w:fldChar w:fldCharType="begin"/>
      </w:r>
      <w:r>
        <w:rPr>
          <w:noProof/>
        </w:rPr>
        <w:instrText xml:space="preserve"> PAGEREF _Toc274047066 \h </w:instrText>
      </w:r>
      <w:r>
        <w:rPr>
          <w:noProof/>
        </w:rPr>
      </w:r>
      <w:r>
        <w:rPr>
          <w:noProof/>
        </w:rPr>
        <w:fldChar w:fldCharType="separate"/>
      </w:r>
      <w:r>
        <w:rPr>
          <w:noProof/>
        </w:rPr>
        <w:t>43</w:t>
      </w:r>
      <w:r>
        <w:rPr>
          <w:noProof/>
        </w:rPr>
        <w:fldChar w:fldCharType="end"/>
      </w:r>
    </w:p>
    <w:p w:rsidR="004F75D0" w:rsidRDefault="004F75D0">
      <w:pPr>
        <w:pStyle w:val="TableofFigures"/>
        <w:tabs>
          <w:tab w:val="right" w:leader="dot" w:pos="9394"/>
        </w:tabs>
        <w:rPr>
          <w:noProof/>
        </w:rPr>
      </w:pPr>
      <w:r>
        <w:rPr>
          <w:noProof/>
        </w:rPr>
        <w:t>Figure 25: Table representations of econometric tests between China and advanced economies</w:t>
      </w:r>
      <w:r>
        <w:rPr>
          <w:noProof/>
        </w:rPr>
        <w:tab/>
      </w:r>
      <w:r>
        <w:rPr>
          <w:noProof/>
        </w:rPr>
        <w:fldChar w:fldCharType="begin"/>
      </w:r>
      <w:r>
        <w:rPr>
          <w:noProof/>
        </w:rPr>
        <w:instrText xml:space="preserve"> PAGEREF _Toc274047067 \h </w:instrText>
      </w:r>
      <w:r>
        <w:rPr>
          <w:noProof/>
        </w:rPr>
      </w:r>
      <w:r>
        <w:rPr>
          <w:noProof/>
        </w:rPr>
        <w:fldChar w:fldCharType="separate"/>
      </w:r>
      <w:r>
        <w:rPr>
          <w:noProof/>
        </w:rPr>
        <w:t>45</w:t>
      </w:r>
      <w:r>
        <w:rPr>
          <w:noProof/>
        </w:rPr>
        <w:fldChar w:fldCharType="end"/>
      </w:r>
    </w:p>
    <w:p w:rsidR="004F75D0" w:rsidRDefault="004F75D0">
      <w:pPr>
        <w:pStyle w:val="TableofFigures"/>
        <w:tabs>
          <w:tab w:val="right" w:leader="dot" w:pos="9394"/>
        </w:tabs>
        <w:rPr>
          <w:noProof/>
        </w:rPr>
      </w:pPr>
      <w:r>
        <w:rPr>
          <w:noProof/>
        </w:rPr>
        <w:t>Figure 26: Table representations of econometric tests between India and advanced economies</w:t>
      </w:r>
      <w:r>
        <w:rPr>
          <w:noProof/>
        </w:rPr>
        <w:tab/>
      </w:r>
      <w:r>
        <w:rPr>
          <w:noProof/>
        </w:rPr>
        <w:fldChar w:fldCharType="begin"/>
      </w:r>
      <w:r>
        <w:rPr>
          <w:noProof/>
        </w:rPr>
        <w:instrText xml:space="preserve"> PAGEREF _Toc274047068 \h </w:instrText>
      </w:r>
      <w:r>
        <w:rPr>
          <w:noProof/>
        </w:rPr>
      </w:r>
      <w:r>
        <w:rPr>
          <w:noProof/>
        </w:rPr>
        <w:fldChar w:fldCharType="separate"/>
      </w:r>
      <w:r>
        <w:rPr>
          <w:noProof/>
        </w:rPr>
        <w:t>46</w:t>
      </w:r>
      <w:r>
        <w:rPr>
          <w:noProof/>
        </w:rPr>
        <w:fldChar w:fldCharType="end"/>
      </w:r>
    </w:p>
    <w:p w:rsidR="004F75D0" w:rsidRDefault="004F75D0">
      <w:pPr>
        <w:pStyle w:val="TableofFigures"/>
        <w:tabs>
          <w:tab w:val="right" w:leader="dot" w:pos="9394"/>
        </w:tabs>
        <w:rPr>
          <w:noProof/>
        </w:rPr>
      </w:pPr>
      <w:r>
        <w:rPr>
          <w:noProof/>
        </w:rPr>
        <w:t>Figure 27: Table representations of econometric tests between Russia and advanced economies</w:t>
      </w:r>
      <w:r>
        <w:rPr>
          <w:noProof/>
        </w:rPr>
        <w:tab/>
      </w:r>
      <w:r>
        <w:rPr>
          <w:noProof/>
        </w:rPr>
        <w:fldChar w:fldCharType="begin"/>
      </w:r>
      <w:r>
        <w:rPr>
          <w:noProof/>
        </w:rPr>
        <w:instrText xml:space="preserve"> PAGEREF _Toc274047069 \h </w:instrText>
      </w:r>
      <w:r>
        <w:rPr>
          <w:noProof/>
        </w:rPr>
      </w:r>
      <w:r>
        <w:rPr>
          <w:noProof/>
        </w:rPr>
        <w:fldChar w:fldCharType="separate"/>
      </w:r>
      <w:r>
        <w:rPr>
          <w:noProof/>
        </w:rPr>
        <w:t>47</w:t>
      </w:r>
      <w:r>
        <w:rPr>
          <w:noProof/>
        </w:rPr>
        <w:fldChar w:fldCharType="end"/>
      </w:r>
    </w:p>
    <w:p w:rsidR="004F75D0" w:rsidRDefault="004F75D0">
      <w:pPr>
        <w:pStyle w:val="TableofFigures"/>
        <w:tabs>
          <w:tab w:val="right" w:leader="dot" w:pos="9394"/>
        </w:tabs>
        <w:rPr>
          <w:noProof/>
        </w:rPr>
      </w:pPr>
      <w:r>
        <w:rPr>
          <w:noProof/>
        </w:rPr>
        <w:t>Figure 28: Table representations of econometric tests between Emerging Markets and advanced economies</w:t>
      </w:r>
      <w:r>
        <w:rPr>
          <w:noProof/>
        </w:rPr>
        <w:tab/>
      </w:r>
      <w:r>
        <w:rPr>
          <w:noProof/>
        </w:rPr>
        <w:fldChar w:fldCharType="begin"/>
      </w:r>
      <w:r>
        <w:rPr>
          <w:noProof/>
        </w:rPr>
        <w:instrText xml:space="preserve"> PAGEREF _Toc274047070 \h </w:instrText>
      </w:r>
      <w:r>
        <w:rPr>
          <w:noProof/>
        </w:rPr>
      </w:r>
      <w:r>
        <w:rPr>
          <w:noProof/>
        </w:rPr>
        <w:fldChar w:fldCharType="separate"/>
      </w:r>
      <w:r>
        <w:rPr>
          <w:noProof/>
        </w:rPr>
        <w:t>48</w:t>
      </w:r>
      <w:r>
        <w:rPr>
          <w:noProof/>
        </w:rPr>
        <w:fldChar w:fldCharType="end"/>
      </w:r>
    </w:p>
    <w:p w:rsidR="004F75D0" w:rsidRDefault="004F75D0">
      <w:pPr>
        <w:pStyle w:val="TableofFigures"/>
        <w:tabs>
          <w:tab w:val="right" w:leader="dot" w:pos="9396"/>
        </w:tabs>
        <w:rPr>
          <w:sz w:val="24"/>
          <w:szCs w:val="24"/>
        </w:rPr>
      </w:pPr>
      <w:r>
        <w:rPr>
          <w:sz w:val="24"/>
          <w:szCs w:val="24"/>
        </w:rPr>
        <w:fldChar w:fldCharType="end"/>
      </w:r>
    </w:p>
    <w:p w:rsidR="004F75D0" w:rsidRDefault="004F75D0" w:rsidP="00E52BF7"/>
    <w:p w:rsidR="004F75D0" w:rsidRDefault="004F75D0" w:rsidP="00E52BF7"/>
    <w:p w:rsidR="004F75D0" w:rsidRPr="00E52BF7" w:rsidRDefault="004F75D0" w:rsidP="00E52BF7"/>
    <w:p w:rsidR="004F75D0" w:rsidRDefault="004F75D0" w:rsidP="007D5DDE">
      <w:pPr>
        <w:pStyle w:val="Heading2"/>
        <w:rPr>
          <w:sz w:val="24"/>
          <w:szCs w:val="24"/>
        </w:rPr>
      </w:pPr>
    </w:p>
    <w:p w:rsidR="004F75D0" w:rsidRDefault="004F75D0" w:rsidP="00E52BF7"/>
    <w:p w:rsidR="004F75D0" w:rsidRDefault="004F75D0" w:rsidP="00E52BF7"/>
    <w:p w:rsidR="004F75D0" w:rsidRDefault="004F75D0" w:rsidP="00402F9A">
      <w:bookmarkStart w:id="6" w:name="_Toc274041014"/>
    </w:p>
    <w:p w:rsidR="004F75D0" w:rsidRDefault="004F75D0" w:rsidP="00402F9A"/>
    <w:p w:rsidR="004F75D0" w:rsidRDefault="004F75D0" w:rsidP="00402F9A"/>
    <w:p w:rsidR="004F75D0" w:rsidRPr="00C42FA3" w:rsidRDefault="004F75D0" w:rsidP="005A12FC">
      <w:pPr>
        <w:pStyle w:val="Heading2"/>
        <w:pBdr>
          <w:bottom w:val="single" w:sz="4" w:space="1" w:color="auto"/>
        </w:pBdr>
      </w:pPr>
      <w:r>
        <w:t>I</w:t>
      </w:r>
      <w:r w:rsidRPr="00552B0B">
        <w:t>ntroduction</w:t>
      </w:r>
      <w:bookmarkEnd w:id="6"/>
    </w:p>
    <w:p w:rsidR="004F75D0" w:rsidRPr="00BD768E" w:rsidRDefault="004F75D0" w:rsidP="002305CC">
      <w:pPr>
        <w:rPr>
          <w:b/>
          <w:sz w:val="24"/>
          <w:szCs w:val="24"/>
        </w:rPr>
      </w:pPr>
    </w:p>
    <w:p w:rsidR="004F75D0" w:rsidRPr="00EB544F" w:rsidRDefault="004F75D0" w:rsidP="002305CC">
      <w:pPr>
        <w:rPr>
          <w:sz w:val="24"/>
          <w:szCs w:val="24"/>
        </w:rPr>
      </w:pPr>
      <w:r w:rsidRPr="00EB544F">
        <w:rPr>
          <w:sz w:val="24"/>
          <w:szCs w:val="24"/>
        </w:rPr>
        <w:t>Econom</w:t>
      </w:r>
      <w:r>
        <w:rPr>
          <w:sz w:val="24"/>
          <w:szCs w:val="24"/>
        </w:rPr>
        <w:t>ic theories regard that during the last</w:t>
      </w:r>
      <w:r w:rsidRPr="00EB544F">
        <w:rPr>
          <w:sz w:val="24"/>
          <w:szCs w:val="24"/>
        </w:rPr>
        <w:t xml:space="preserve"> years, emerging economies have accomplished to decouple from the advanced economies of the world. In other words business cycles of the emerging are not following the business cycles of the advanced economies anymore. Crises, recessions and numerous fluctuations influencing the business cycles of the advanced economies that used to affect in the same or even in greater degree the business cycles of the emerging economies because of the increasing economic interrelations among countries in the past is not the case anymore. So according to the decoupling theory emerging economies have developed the mechanisms that allow them to detach from the advanced economies’ business cycles and become less dependent to their fluctuations.</w:t>
      </w:r>
    </w:p>
    <w:p w:rsidR="004F75D0" w:rsidRPr="00EB544F" w:rsidRDefault="004F75D0" w:rsidP="002305CC">
      <w:pPr>
        <w:rPr>
          <w:sz w:val="24"/>
          <w:szCs w:val="24"/>
        </w:rPr>
      </w:pPr>
      <w:r w:rsidRPr="00EB544F">
        <w:rPr>
          <w:sz w:val="24"/>
          <w:szCs w:val="24"/>
        </w:rPr>
        <w:t xml:space="preserve">While the degree of interdependence among countries appears to be a macroeconomic problem of study, it can at the same time provide economists with a lot of information necessary for financial markets. Since international investments become day by day more attractive to investors, such information would be of superior importance for </w:t>
      </w:r>
      <w:r>
        <w:rPr>
          <w:sz w:val="24"/>
          <w:szCs w:val="24"/>
        </w:rPr>
        <w:t>portfolio optimization within the scope of international investments.</w:t>
      </w:r>
    </w:p>
    <w:p w:rsidR="004F75D0" w:rsidRDefault="004F75D0" w:rsidP="00A10CB4">
      <w:pPr>
        <w:rPr>
          <w:sz w:val="24"/>
          <w:szCs w:val="24"/>
        </w:rPr>
      </w:pPr>
      <w:r w:rsidRPr="00EB544F">
        <w:rPr>
          <w:sz w:val="24"/>
          <w:szCs w:val="24"/>
        </w:rPr>
        <w:t xml:space="preserve">In </w:t>
      </w:r>
      <w:r>
        <w:rPr>
          <w:sz w:val="24"/>
          <w:szCs w:val="24"/>
        </w:rPr>
        <w:t>this</w:t>
      </w:r>
      <w:r w:rsidRPr="00EB544F">
        <w:rPr>
          <w:sz w:val="24"/>
          <w:szCs w:val="24"/>
        </w:rPr>
        <w:t xml:space="preserve"> thesis the decoupling problem is specified in four emerging countries, Brazil, China, India and Russia. These four countries are the largest emerging economies of the world at present and play an important economic role globally while they already provide a famous investment choice. Thus they draw the attention among the rest of the emerging economies. All the four of them have very high rates of economic development </w:t>
      </w:r>
      <w:r w:rsidRPr="003A6EDF">
        <w:rPr>
          <w:i/>
          <w:sz w:val="24"/>
          <w:szCs w:val="24"/>
        </w:rPr>
        <w:t>(higher than the advanced economies).</w:t>
      </w:r>
      <w:r w:rsidRPr="00EB544F">
        <w:rPr>
          <w:sz w:val="24"/>
          <w:szCs w:val="24"/>
        </w:rPr>
        <w:t xml:space="preserve"> Therefore it will be interesting to watch their economic evolution during the next few years.</w:t>
      </w:r>
    </w:p>
    <w:p w:rsidR="004F75D0" w:rsidRDefault="004F75D0" w:rsidP="00A10CB4">
      <w:pPr>
        <w:rPr>
          <w:sz w:val="24"/>
          <w:szCs w:val="24"/>
        </w:rPr>
      </w:pPr>
      <w:r w:rsidRPr="00377349">
        <w:rPr>
          <w:sz w:val="24"/>
          <w:szCs w:val="24"/>
        </w:rPr>
        <w:t xml:space="preserve">The main literature used in </w:t>
      </w:r>
      <w:r>
        <w:rPr>
          <w:sz w:val="24"/>
          <w:szCs w:val="24"/>
        </w:rPr>
        <w:t>this</w:t>
      </w:r>
      <w:r w:rsidRPr="00377349">
        <w:rPr>
          <w:sz w:val="24"/>
          <w:szCs w:val="24"/>
        </w:rPr>
        <w:t xml:space="preserve"> thesis is the paper </w:t>
      </w:r>
      <w:r w:rsidRPr="006911A5">
        <w:rPr>
          <w:i/>
          <w:sz w:val="24"/>
          <w:szCs w:val="24"/>
        </w:rPr>
        <w:t>“No decoupling more interdependence: business cycles co movements between advanced and emerging economies”</w:t>
      </w:r>
      <w:r w:rsidRPr="00377349">
        <w:rPr>
          <w:sz w:val="24"/>
          <w:szCs w:val="24"/>
        </w:rPr>
        <w:t xml:space="preserve"> from Walti S. (2010) which is an improved edition of his own previous research on the decoupling of emerging economies which was first published in 2009. So in the </w:t>
      </w:r>
      <w:r>
        <w:rPr>
          <w:sz w:val="24"/>
          <w:szCs w:val="24"/>
        </w:rPr>
        <w:t>first part</w:t>
      </w:r>
      <w:r w:rsidRPr="00377349">
        <w:rPr>
          <w:sz w:val="24"/>
          <w:szCs w:val="24"/>
        </w:rPr>
        <w:t xml:space="preserve"> of the thesis it is presented a brief overview of the recent literature that Walti S. also used in his last paper (2010). It is pres</w:t>
      </w:r>
      <w:r>
        <w:rPr>
          <w:sz w:val="24"/>
          <w:szCs w:val="24"/>
        </w:rPr>
        <w:t>ented the transition from the “</w:t>
      </w:r>
      <w:r w:rsidRPr="00377349">
        <w:rPr>
          <w:sz w:val="24"/>
          <w:szCs w:val="24"/>
        </w:rPr>
        <w:t>tr</w:t>
      </w:r>
      <w:r>
        <w:rPr>
          <w:sz w:val="24"/>
          <w:szCs w:val="24"/>
        </w:rPr>
        <w:t>aditional way”</w:t>
      </w:r>
      <w:r w:rsidRPr="00377349">
        <w:rPr>
          <w:sz w:val="24"/>
          <w:szCs w:val="24"/>
        </w:rPr>
        <w:t xml:space="preserve"> of measuring business cycle synchronization, the use of correlations between the business cycles as the measu</w:t>
      </w:r>
      <w:r>
        <w:rPr>
          <w:sz w:val="24"/>
          <w:szCs w:val="24"/>
        </w:rPr>
        <w:t>re of interdependence, to the “modern way”</w:t>
      </w:r>
      <w:r w:rsidRPr="00377349">
        <w:rPr>
          <w:sz w:val="24"/>
          <w:szCs w:val="24"/>
        </w:rPr>
        <w:t xml:space="preserve"> Walti S. used to avoid biases and other eco</w:t>
      </w:r>
      <w:r>
        <w:rPr>
          <w:sz w:val="24"/>
          <w:szCs w:val="24"/>
        </w:rPr>
        <w:t>nometric flaws that correlation coefficients</w:t>
      </w:r>
      <w:r w:rsidRPr="00377349">
        <w:rPr>
          <w:sz w:val="24"/>
          <w:szCs w:val="24"/>
        </w:rPr>
        <w:t xml:space="preserve"> created.</w:t>
      </w:r>
    </w:p>
    <w:p w:rsidR="004F75D0" w:rsidRDefault="004F75D0" w:rsidP="000E6AD6">
      <w:pPr>
        <w:autoSpaceDE w:val="0"/>
        <w:autoSpaceDN w:val="0"/>
        <w:adjustRightInd w:val="0"/>
        <w:spacing w:after="0"/>
        <w:rPr>
          <w:sz w:val="24"/>
          <w:szCs w:val="24"/>
        </w:rPr>
      </w:pPr>
      <w:r w:rsidRPr="00377349">
        <w:rPr>
          <w:sz w:val="24"/>
          <w:szCs w:val="24"/>
        </w:rPr>
        <w:t xml:space="preserve">This was accomplished by the use of Euclidean </w:t>
      </w:r>
      <w:r>
        <w:rPr>
          <w:sz w:val="24"/>
          <w:szCs w:val="24"/>
        </w:rPr>
        <w:t xml:space="preserve">distance which was the absolute value of a </w:t>
      </w:r>
      <w:r w:rsidRPr="00377349">
        <w:rPr>
          <w:sz w:val="24"/>
          <w:szCs w:val="24"/>
        </w:rPr>
        <w:t xml:space="preserve">simple mathematical difference between the output gaps of the business cycles and provided the researcher with the same qualitative information as the correlation coefficient </w:t>
      </w:r>
      <w:r w:rsidRPr="000E6AD6">
        <w:rPr>
          <w:i/>
          <w:sz w:val="24"/>
          <w:szCs w:val="24"/>
        </w:rPr>
        <w:t>(demonstration details of the relationship between the correlation coefficient and Euclidean distance can be found on</w:t>
      </w:r>
      <w:r w:rsidRPr="000E6AD6">
        <w:rPr>
          <w:rFonts w:cs="Calibri"/>
          <w:i/>
          <w:sz w:val="24"/>
          <w:szCs w:val="24"/>
        </w:rPr>
        <w:t xml:space="preserve"> Walti S. (2010), No decoupling, more interdependence: business cycle co movements between advanced and emerging economies, Swiss National Bank </w:t>
      </w:r>
      <w:r>
        <w:rPr>
          <w:rFonts w:cs="Calibri"/>
          <w:i/>
          <w:sz w:val="24"/>
          <w:szCs w:val="24"/>
        </w:rPr>
        <w:t>at</w:t>
      </w:r>
      <w:r w:rsidRPr="000E6AD6">
        <w:rPr>
          <w:rFonts w:cs="Calibri"/>
          <w:i/>
          <w:sz w:val="24"/>
          <w:szCs w:val="24"/>
        </w:rPr>
        <w:t xml:space="preserve"> </w:t>
      </w:r>
      <w:r w:rsidRPr="000E6AD6">
        <w:rPr>
          <w:i/>
          <w:sz w:val="24"/>
          <w:szCs w:val="24"/>
        </w:rPr>
        <w:t>p. 20)</w:t>
      </w:r>
      <w:r>
        <w:rPr>
          <w:sz w:val="24"/>
          <w:szCs w:val="24"/>
        </w:rPr>
        <w:t>. Furthermore he supported the graphical evidence that was produced from the Euclidean distance measures with econometric evidence that were following the pooled regression analysis that Levy-Yeyati E. in his paper “On emerging markets decoupling and growth convergence” (2009) had introduced.</w:t>
      </w:r>
    </w:p>
    <w:p w:rsidR="004F75D0" w:rsidRDefault="004F75D0" w:rsidP="000E6AD6">
      <w:pPr>
        <w:autoSpaceDE w:val="0"/>
        <w:autoSpaceDN w:val="0"/>
        <w:adjustRightInd w:val="0"/>
        <w:spacing w:after="0"/>
        <w:rPr>
          <w:sz w:val="24"/>
          <w:szCs w:val="24"/>
        </w:rPr>
      </w:pPr>
    </w:p>
    <w:p w:rsidR="004F75D0" w:rsidRDefault="004F75D0" w:rsidP="000E6AD6">
      <w:pPr>
        <w:autoSpaceDE w:val="0"/>
        <w:autoSpaceDN w:val="0"/>
        <w:adjustRightInd w:val="0"/>
        <w:spacing w:after="0"/>
        <w:rPr>
          <w:sz w:val="24"/>
          <w:szCs w:val="24"/>
        </w:rPr>
      </w:pPr>
      <w:r w:rsidRPr="00BD7C3E">
        <w:rPr>
          <w:sz w:val="24"/>
          <w:szCs w:val="24"/>
        </w:rPr>
        <w:t xml:space="preserve">In the </w:t>
      </w:r>
      <w:r>
        <w:rPr>
          <w:sz w:val="24"/>
          <w:szCs w:val="24"/>
        </w:rPr>
        <w:t>second part</w:t>
      </w:r>
      <w:r w:rsidRPr="00BD7C3E">
        <w:rPr>
          <w:sz w:val="24"/>
          <w:szCs w:val="24"/>
        </w:rPr>
        <w:t xml:space="preserve"> of the thesis the methodology followed is presented step by step. To begin with, little statistical information about the four emerging countries used in the analysis is provided and thus reflect the importance and the reason of testing them. Then it</w:t>
      </w:r>
      <w:r w:rsidRPr="0012677D">
        <w:rPr>
          <w:sz w:val="24"/>
          <w:szCs w:val="24"/>
        </w:rPr>
        <w:t xml:space="preserve"> </w:t>
      </w:r>
      <w:r>
        <w:rPr>
          <w:sz w:val="24"/>
          <w:szCs w:val="24"/>
        </w:rPr>
        <w:t>is presented</w:t>
      </w:r>
      <w:r w:rsidRPr="00BD7C3E">
        <w:rPr>
          <w:sz w:val="24"/>
          <w:szCs w:val="24"/>
        </w:rPr>
        <w:t xml:space="preserve"> </w:t>
      </w:r>
      <w:r>
        <w:rPr>
          <w:sz w:val="24"/>
          <w:szCs w:val="24"/>
        </w:rPr>
        <w:t xml:space="preserve">the </w:t>
      </w:r>
      <w:r w:rsidRPr="00BD7C3E">
        <w:rPr>
          <w:sz w:val="24"/>
          <w:szCs w:val="24"/>
        </w:rPr>
        <w:t>specification about the data and the sources used to obtain</w:t>
      </w:r>
      <w:r>
        <w:rPr>
          <w:sz w:val="24"/>
          <w:szCs w:val="24"/>
        </w:rPr>
        <w:t xml:space="preserve"> them</w:t>
      </w:r>
      <w:r w:rsidRPr="00BD7C3E">
        <w:rPr>
          <w:sz w:val="24"/>
          <w:szCs w:val="24"/>
        </w:rPr>
        <w:t>. Last but not least there is a detailed analysis of the procedure follow</w:t>
      </w:r>
      <w:r>
        <w:rPr>
          <w:sz w:val="24"/>
          <w:szCs w:val="24"/>
        </w:rPr>
        <w:t>ed</w:t>
      </w:r>
      <w:r w:rsidRPr="00BD7C3E">
        <w:rPr>
          <w:sz w:val="24"/>
          <w:szCs w:val="24"/>
        </w:rPr>
        <w:t xml:space="preserve"> to find evidence </w:t>
      </w:r>
      <w:r w:rsidRPr="003A6EDF">
        <w:rPr>
          <w:i/>
          <w:sz w:val="24"/>
          <w:szCs w:val="24"/>
        </w:rPr>
        <w:t>(both graphical and econometrical)</w:t>
      </w:r>
      <w:r w:rsidRPr="00BD7C3E">
        <w:rPr>
          <w:sz w:val="24"/>
          <w:szCs w:val="24"/>
        </w:rPr>
        <w:t xml:space="preserve"> of the decoupling hypothesis.</w:t>
      </w:r>
    </w:p>
    <w:p w:rsidR="004F75D0" w:rsidRDefault="004F75D0" w:rsidP="000E6AD6">
      <w:pPr>
        <w:autoSpaceDE w:val="0"/>
        <w:autoSpaceDN w:val="0"/>
        <w:adjustRightInd w:val="0"/>
        <w:spacing w:after="0"/>
        <w:rPr>
          <w:sz w:val="24"/>
          <w:szCs w:val="24"/>
        </w:rPr>
      </w:pPr>
    </w:p>
    <w:p w:rsidR="004F75D0" w:rsidRDefault="004F75D0" w:rsidP="00A10CB4">
      <w:pPr>
        <w:autoSpaceDE w:val="0"/>
        <w:autoSpaceDN w:val="0"/>
        <w:adjustRightInd w:val="0"/>
        <w:spacing w:after="0"/>
        <w:rPr>
          <w:sz w:val="24"/>
          <w:szCs w:val="24"/>
        </w:rPr>
      </w:pPr>
      <w:r>
        <w:rPr>
          <w:sz w:val="24"/>
          <w:szCs w:val="24"/>
        </w:rPr>
        <w:t>The third part includes the results of this research. Both graphical and econometric proof of the decoupling hypothesis and the degree of interdependence are presented in detailed manner while the results are mostly clear-cut even though there have been some flaws. In the case of the graphs, the decoupling hypothesis is widely rejected while observing the tension of all the emerging-market economies to appear decoupled from the USA. This result contradicts to Walti’s research that had concluded in rejection of the decoupling hypothesis among all the groups of countries that he used, including the USA alone. Nevertheless the econometric evidence of decoupling matches with the graphical one in most of the cases leading to reinforcement of the results.</w:t>
      </w:r>
    </w:p>
    <w:p w:rsidR="004F75D0" w:rsidRDefault="004F75D0" w:rsidP="00A10CB4">
      <w:pPr>
        <w:autoSpaceDE w:val="0"/>
        <w:autoSpaceDN w:val="0"/>
        <w:adjustRightInd w:val="0"/>
        <w:spacing w:after="0"/>
        <w:rPr>
          <w:sz w:val="24"/>
          <w:szCs w:val="24"/>
        </w:rPr>
      </w:pPr>
    </w:p>
    <w:p w:rsidR="004F75D0" w:rsidRDefault="004F75D0" w:rsidP="00A10CB4">
      <w:pPr>
        <w:autoSpaceDE w:val="0"/>
        <w:autoSpaceDN w:val="0"/>
        <w:adjustRightInd w:val="0"/>
        <w:spacing w:after="0"/>
        <w:rPr>
          <w:sz w:val="24"/>
          <w:szCs w:val="24"/>
        </w:rPr>
      </w:pPr>
      <w:r>
        <w:rPr>
          <w:sz w:val="24"/>
          <w:szCs w:val="24"/>
        </w:rPr>
        <w:t xml:space="preserve">Towards the end is </w:t>
      </w:r>
      <w:r w:rsidRPr="00552B0B">
        <w:rPr>
          <w:sz w:val="24"/>
          <w:szCs w:val="24"/>
        </w:rPr>
        <w:t xml:space="preserve">the conclusion of the thesis </w:t>
      </w:r>
      <w:r>
        <w:rPr>
          <w:sz w:val="24"/>
          <w:szCs w:val="24"/>
        </w:rPr>
        <w:t xml:space="preserve">in which an aggregate result of the research is described </w:t>
      </w:r>
      <w:r w:rsidRPr="00552B0B">
        <w:rPr>
          <w:sz w:val="24"/>
          <w:szCs w:val="24"/>
        </w:rPr>
        <w:t xml:space="preserve">and </w:t>
      </w:r>
      <w:r>
        <w:rPr>
          <w:sz w:val="24"/>
          <w:szCs w:val="24"/>
        </w:rPr>
        <w:t>within the last pages</w:t>
      </w:r>
      <w:r w:rsidRPr="00552B0B">
        <w:rPr>
          <w:sz w:val="24"/>
          <w:szCs w:val="24"/>
        </w:rPr>
        <w:t xml:space="preserve"> </w:t>
      </w:r>
      <w:r>
        <w:rPr>
          <w:sz w:val="24"/>
          <w:szCs w:val="24"/>
        </w:rPr>
        <w:t xml:space="preserve">can be found </w:t>
      </w:r>
      <w:r w:rsidRPr="00552B0B">
        <w:rPr>
          <w:sz w:val="24"/>
          <w:szCs w:val="24"/>
        </w:rPr>
        <w:t>the references and the appendix</w:t>
      </w:r>
      <w:r>
        <w:rPr>
          <w:sz w:val="24"/>
          <w:szCs w:val="24"/>
        </w:rPr>
        <w:t>.</w:t>
      </w:r>
      <w:r w:rsidRPr="00552B0B">
        <w:rPr>
          <w:sz w:val="24"/>
          <w:szCs w:val="24"/>
        </w:rPr>
        <w:t xml:space="preserve"> </w:t>
      </w:r>
    </w:p>
    <w:p w:rsidR="004F75D0" w:rsidRPr="00EB544F" w:rsidRDefault="004F75D0" w:rsidP="00A10CB4">
      <w:pPr>
        <w:rPr>
          <w:sz w:val="24"/>
          <w:szCs w:val="24"/>
        </w:rPr>
      </w:pPr>
    </w:p>
    <w:p w:rsidR="004F75D0" w:rsidRPr="00EB544F" w:rsidRDefault="004F75D0" w:rsidP="00A10CB4">
      <w:pPr>
        <w:rPr>
          <w:sz w:val="24"/>
          <w:szCs w:val="24"/>
        </w:rPr>
      </w:pPr>
    </w:p>
    <w:p w:rsidR="004F75D0" w:rsidRDefault="004F75D0" w:rsidP="00A10CB4">
      <w:pPr>
        <w:rPr>
          <w:sz w:val="24"/>
          <w:szCs w:val="24"/>
        </w:rPr>
      </w:pPr>
    </w:p>
    <w:p w:rsidR="004F75D0" w:rsidRDefault="004F75D0" w:rsidP="00A10CB4">
      <w:pPr>
        <w:rPr>
          <w:sz w:val="24"/>
          <w:szCs w:val="24"/>
        </w:rPr>
      </w:pPr>
    </w:p>
    <w:p w:rsidR="004F75D0" w:rsidRDefault="004F75D0" w:rsidP="00A10CB4">
      <w:pPr>
        <w:rPr>
          <w:sz w:val="24"/>
          <w:szCs w:val="24"/>
        </w:rPr>
      </w:pPr>
    </w:p>
    <w:p w:rsidR="004F75D0" w:rsidRDefault="004F75D0" w:rsidP="00A10CB4">
      <w:pPr>
        <w:rPr>
          <w:sz w:val="24"/>
          <w:szCs w:val="24"/>
        </w:rPr>
      </w:pPr>
    </w:p>
    <w:p w:rsidR="004F75D0" w:rsidRDefault="004F75D0" w:rsidP="00A10CB4">
      <w:pPr>
        <w:rPr>
          <w:sz w:val="24"/>
          <w:szCs w:val="24"/>
        </w:rPr>
      </w:pPr>
    </w:p>
    <w:p w:rsidR="004F75D0" w:rsidRDefault="004F75D0" w:rsidP="002305CC">
      <w:pPr>
        <w:rPr>
          <w:sz w:val="24"/>
          <w:szCs w:val="24"/>
        </w:rPr>
      </w:pPr>
    </w:p>
    <w:p w:rsidR="004F75D0" w:rsidRDefault="004F75D0" w:rsidP="002305CC">
      <w:pPr>
        <w:rPr>
          <w:sz w:val="24"/>
          <w:szCs w:val="24"/>
        </w:rPr>
      </w:pPr>
    </w:p>
    <w:p w:rsidR="004F75D0" w:rsidRDefault="004F75D0" w:rsidP="00E93D31">
      <w:pPr>
        <w:pStyle w:val="Heading2"/>
      </w:pPr>
      <w:bookmarkStart w:id="7" w:name="_Toc274041015"/>
    </w:p>
    <w:p w:rsidR="004F75D0" w:rsidRDefault="004F75D0" w:rsidP="0037415A"/>
    <w:p w:rsidR="004F75D0" w:rsidRDefault="004F75D0" w:rsidP="0037415A"/>
    <w:p w:rsidR="004F75D0" w:rsidRDefault="004F75D0" w:rsidP="0037415A"/>
    <w:p w:rsidR="004F75D0" w:rsidRDefault="004F75D0" w:rsidP="0037415A"/>
    <w:p w:rsidR="004F75D0" w:rsidRPr="0037415A" w:rsidRDefault="004F75D0" w:rsidP="0037415A"/>
    <w:p w:rsidR="004F75D0" w:rsidRPr="00C42FA3" w:rsidRDefault="004F75D0" w:rsidP="00E93D31">
      <w:pPr>
        <w:pStyle w:val="Heading2"/>
      </w:pPr>
      <w:r w:rsidRPr="00C42FA3">
        <w:t>PART I: Review of the Literature</w:t>
      </w:r>
      <w:bookmarkEnd w:id="7"/>
    </w:p>
    <w:p w:rsidR="004F75D0" w:rsidRPr="00E93D31" w:rsidRDefault="004F75D0" w:rsidP="00E93D31">
      <w:pPr>
        <w:pStyle w:val="Heading1"/>
        <w:pBdr>
          <w:bottom w:val="single" w:sz="4" w:space="1" w:color="auto"/>
        </w:pBdr>
        <w:rPr>
          <w:szCs w:val="28"/>
        </w:rPr>
      </w:pPr>
      <w:bookmarkStart w:id="8" w:name="_Toc274041016"/>
      <w:r w:rsidRPr="00E93D31">
        <w:rPr>
          <w:szCs w:val="28"/>
        </w:rPr>
        <w:t>1. Previous studies</w:t>
      </w:r>
      <w:bookmarkEnd w:id="8"/>
    </w:p>
    <w:p w:rsidR="004F75D0" w:rsidRDefault="004F75D0" w:rsidP="002305CC">
      <w:pPr>
        <w:rPr>
          <w:sz w:val="24"/>
          <w:szCs w:val="24"/>
        </w:rPr>
      </w:pPr>
    </w:p>
    <w:p w:rsidR="004F75D0" w:rsidRDefault="004F75D0" w:rsidP="002305CC">
      <w:pPr>
        <w:rPr>
          <w:sz w:val="24"/>
          <w:szCs w:val="24"/>
        </w:rPr>
      </w:pPr>
      <w:r>
        <w:rPr>
          <w:sz w:val="24"/>
          <w:szCs w:val="24"/>
        </w:rPr>
        <w:t xml:space="preserve">Many researchers have tried to give answer to the problem of interdependence and to measure business cycle synchronicity among countries. Artis and Zhang </w:t>
      </w:r>
      <w:r w:rsidRPr="003A6EDF">
        <w:rPr>
          <w:i/>
          <w:sz w:val="24"/>
          <w:szCs w:val="24"/>
        </w:rPr>
        <w:t xml:space="preserve">(1997) </w:t>
      </w:r>
      <w:r>
        <w:rPr>
          <w:sz w:val="24"/>
          <w:szCs w:val="24"/>
        </w:rPr>
        <w:t xml:space="preserve">studied the linkage and synchronization of cyclical fluctuations between countries in terms of the Exchange rate mechanism </w:t>
      </w:r>
      <w:r w:rsidRPr="003A6EDF">
        <w:rPr>
          <w:i/>
          <w:sz w:val="24"/>
          <w:szCs w:val="24"/>
        </w:rPr>
        <w:t>(ERM)</w:t>
      </w:r>
      <w:r>
        <w:rPr>
          <w:sz w:val="24"/>
          <w:szCs w:val="24"/>
        </w:rPr>
        <w:t xml:space="preserve"> of the European Monetary system </w:t>
      </w:r>
      <w:r w:rsidRPr="003A6EDF">
        <w:rPr>
          <w:i/>
          <w:sz w:val="24"/>
          <w:szCs w:val="24"/>
        </w:rPr>
        <w:t>(EMS).</w:t>
      </w:r>
      <w:r>
        <w:rPr>
          <w:sz w:val="24"/>
          <w:szCs w:val="24"/>
        </w:rPr>
        <w:t xml:space="preserve"> They used the US and the German business cycle as benchmarks and divided the sample in two periods the pre-ERM and the ERM period and thus created two groups of countries, the ERM and the non-ERM group. In their results they observed business cycles being more synchronized with the German business cycle (benchmark) and less synchronized with the US business cycle </w:t>
      </w:r>
      <w:r w:rsidRPr="003A6EDF">
        <w:rPr>
          <w:i/>
          <w:sz w:val="24"/>
          <w:szCs w:val="24"/>
        </w:rPr>
        <w:t>(benchmark)</w:t>
      </w:r>
      <w:r>
        <w:rPr>
          <w:sz w:val="24"/>
          <w:szCs w:val="24"/>
        </w:rPr>
        <w:t xml:space="preserve"> during the ERM period. In addition this result was not faced between the ERM and non-ERM countries.</w:t>
      </w:r>
    </w:p>
    <w:p w:rsidR="004F75D0" w:rsidRDefault="004F75D0" w:rsidP="002305CC">
      <w:pPr>
        <w:rPr>
          <w:sz w:val="24"/>
          <w:szCs w:val="24"/>
        </w:rPr>
      </w:pPr>
      <w:r>
        <w:rPr>
          <w:sz w:val="24"/>
          <w:szCs w:val="24"/>
        </w:rPr>
        <w:t>Two years later in 1999 Artis and Zhang extended the paper using latest data captured by OECD with 19 countries instead of 15 used in the previous research. The sample period was also extended by up to 22 months and last but not least their methodology was differentiated since they used measures of exchange volatility and a non-parametric rank correlation approach to study if business cycle affiliation was connected to relative exchange rate fixity.</w:t>
      </w:r>
    </w:p>
    <w:p w:rsidR="004F75D0" w:rsidRDefault="004F75D0" w:rsidP="002305CC">
      <w:pPr>
        <w:rPr>
          <w:sz w:val="24"/>
          <w:szCs w:val="24"/>
        </w:rPr>
      </w:pPr>
      <w:r>
        <w:rPr>
          <w:sz w:val="24"/>
          <w:szCs w:val="24"/>
        </w:rPr>
        <w:t>They found that synchronization of business cycles was linked to lower exchange rate volatility and further evidence to their first research that business cycles of the ERM countries had become more synchronized with the German cycle in comparison to the US business cycle.</w:t>
      </w:r>
    </w:p>
    <w:p w:rsidR="004F75D0" w:rsidRDefault="004F75D0" w:rsidP="002305CC">
      <w:pPr>
        <w:rPr>
          <w:sz w:val="24"/>
          <w:szCs w:val="24"/>
        </w:rPr>
      </w:pPr>
      <w:r>
        <w:rPr>
          <w:sz w:val="24"/>
          <w:szCs w:val="24"/>
        </w:rPr>
        <w:t xml:space="preserve">Inklaar and de Haan </w:t>
      </w:r>
      <w:r w:rsidRPr="003A6EDF">
        <w:rPr>
          <w:i/>
          <w:sz w:val="24"/>
          <w:szCs w:val="24"/>
        </w:rPr>
        <w:t>(2001)</w:t>
      </w:r>
      <w:r>
        <w:rPr>
          <w:sz w:val="24"/>
          <w:szCs w:val="24"/>
        </w:rPr>
        <w:t xml:space="preserve"> however presented results different from Artis and Zhang. In their research, which was replicating Artis and Zhang, tried to focus on a slightly different level; so from their perspective they examined not whether the business cycle of a country is affiliated to the US or the German cycle but whether exchange rate volatility has led to synchronization of business cycles in Europe. Therefore they compared the correlations with the German cycle before and after the institution of the ERM.</w:t>
      </w:r>
    </w:p>
    <w:p w:rsidR="004F75D0" w:rsidRDefault="004F75D0" w:rsidP="002305CC">
      <w:pPr>
        <w:rPr>
          <w:sz w:val="24"/>
          <w:szCs w:val="24"/>
        </w:rPr>
      </w:pPr>
      <w:r>
        <w:rPr>
          <w:sz w:val="24"/>
          <w:szCs w:val="24"/>
        </w:rPr>
        <w:t>Consequently they found intense differences with Artis and Zhang in their results. Correlations of the ERM countries with Germany were not found increased in average after the institution of the ERM. While some correlations were found increased, others were decreased, offsetting the average. As an explanation for the striking difference of the results, Inklaar and de Haan explained firstly that their source of data was the IMF instead of the OECD and secondly that their post-ERM period has been longer. On the other hand, even when they corrected for the longer period, substantial differences to Artis and Zhang were still present. Therefore Inklaar and de Haan’s results do not support the view that exchange rate stability is related to business cycle synchronization.</w:t>
      </w:r>
    </w:p>
    <w:p w:rsidR="004F75D0" w:rsidRDefault="004F75D0" w:rsidP="002305CC">
      <w:pPr>
        <w:rPr>
          <w:sz w:val="24"/>
          <w:szCs w:val="24"/>
        </w:rPr>
      </w:pPr>
      <w:r>
        <w:rPr>
          <w:sz w:val="24"/>
          <w:szCs w:val="24"/>
        </w:rPr>
        <w:t xml:space="preserve">Frankel and Rose </w:t>
      </w:r>
      <w:r w:rsidRPr="003A6EDF">
        <w:rPr>
          <w:i/>
          <w:sz w:val="24"/>
          <w:szCs w:val="24"/>
        </w:rPr>
        <w:t>(1998)</w:t>
      </w:r>
      <w:r>
        <w:rPr>
          <w:sz w:val="24"/>
          <w:szCs w:val="24"/>
        </w:rPr>
        <w:t xml:space="preserve"> investigated the endogeneity of international trade patterns and international business cycle correlations in a sample of thirty years for twenty industrialized countries in line with the newly created European economic-monetary union </w:t>
      </w:r>
      <w:r w:rsidRPr="003A6EDF">
        <w:rPr>
          <w:i/>
          <w:sz w:val="24"/>
          <w:szCs w:val="24"/>
        </w:rPr>
        <w:t>(EMU)</w:t>
      </w:r>
      <w:r>
        <w:rPr>
          <w:sz w:val="24"/>
          <w:szCs w:val="24"/>
        </w:rPr>
        <w:t>. This research targeted on the advantages such as lower transaction costs related to trading goods among countries and disadvantages such as the instability that may be created if they join the EMU.</w:t>
      </w:r>
    </w:p>
    <w:p w:rsidR="004F75D0" w:rsidRDefault="004F75D0" w:rsidP="002305CC">
      <w:pPr>
        <w:rPr>
          <w:sz w:val="24"/>
          <w:szCs w:val="24"/>
        </w:rPr>
      </w:pPr>
      <w:r>
        <w:rPr>
          <w:sz w:val="24"/>
          <w:szCs w:val="24"/>
        </w:rPr>
        <w:t>Thus when a country enters a currency union, trade linkages will probably raise. Business cycles are then expected to change sharply as a simultaneous result of the adoption of the common currency and of the tighter international trade. Closer trade relations among countries can lead them to specialize more in their comparative advantage and therefore become more sensitive to industry-specific shocks. As a result business cycles become idiosyncratic for individual countries but together with tight trade relations among them, business cycles become more alike.</w:t>
      </w:r>
    </w:p>
    <w:p w:rsidR="004F75D0" w:rsidRDefault="004F75D0" w:rsidP="002305CC">
      <w:pPr>
        <w:rPr>
          <w:sz w:val="24"/>
          <w:szCs w:val="24"/>
        </w:rPr>
      </w:pPr>
      <w:r>
        <w:rPr>
          <w:sz w:val="24"/>
          <w:szCs w:val="24"/>
        </w:rPr>
        <w:t xml:space="preserve"> They concluded through strong empirical evidence that countries with closer trade links tend to have more tightly correlated business cycles even though large part of economists since then did not support the idea. Specifically countries that share borders or have a common language have higher degree of trade relations than with others that do not share anything.</w:t>
      </w:r>
    </w:p>
    <w:p w:rsidR="004F75D0" w:rsidRDefault="004F75D0" w:rsidP="002305CC">
      <w:pPr>
        <w:rPr>
          <w:sz w:val="24"/>
          <w:szCs w:val="24"/>
        </w:rPr>
      </w:pPr>
      <w:r>
        <w:rPr>
          <w:sz w:val="24"/>
          <w:szCs w:val="24"/>
        </w:rPr>
        <w:t xml:space="preserve">Rose and Engel </w:t>
      </w:r>
      <w:r w:rsidRPr="003A6EDF">
        <w:rPr>
          <w:i/>
          <w:sz w:val="24"/>
          <w:szCs w:val="24"/>
        </w:rPr>
        <w:t xml:space="preserve">(2002) </w:t>
      </w:r>
      <w:r>
        <w:rPr>
          <w:sz w:val="24"/>
          <w:szCs w:val="24"/>
        </w:rPr>
        <w:t>examined the hypothesis that the “border effect”, the</w:t>
      </w:r>
      <w:r w:rsidRPr="00F33A1F">
        <w:rPr>
          <w:sz w:val="24"/>
          <w:szCs w:val="24"/>
        </w:rPr>
        <w:t xml:space="preserve"> </w:t>
      </w:r>
      <w:r>
        <w:rPr>
          <w:sz w:val="24"/>
          <w:szCs w:val="24"/>
        </w:rPr>
        <w:t xml:space="preserve">effect of internal trade being more stable inside a country than across national boundaries, results from the exchange rate volatility, the consequence of having different currency in other words. They took into account political unions as well as currency unions into their data </w:t>
      </w:r>
      <w:r w:rsidRPr="003A6EDF">
        <w:rPr>
          <w:i/>
          <w:sz w:val="24"/>
          <w:szCs w:val="24"/>
        </w:rPr>
        <w:t>(USA, France, UK)</w:t>
      </w:r>
      <w:r>
        <w:rPr>
          <w:sz w:val="24"/>
          <w:szCs w:val="24"/>
        </w:rPr>
        <w:t xml:space="preserve"> and examined if currency unions exhibit economic integration which is desirable for an ‘’optimum currency area’’. To achieve it they used a lot of economic characteristics for international monetary and political unions. They found that trade between countries participating in a currency union is much higher than trade between countries that do not share a common currency.</w:t>
      </w:r>
    </w:p>
    <w:p w:rsidR="004F75D0" w:rsidRDefault="004F75D0" w:rsidP="002305CC">
      <w:pPr>
        <w:rPr>
          <w:sz w:val="24"/>
          <w:szCs w:val="24"/>
        </w:rPr>
      </w:pPr>
      <w:r>
        <w:rPr>
          <w:sz w:val="24"/>
          <w:szCs w:val="24"/>
        </w:rPr>
        <w:t xml:space="preserve"> Moreover, more intense than the “border effect” is the “home market bias effect” which revealed that international trade is much higher than international trade even for units of comparable economic size. To do so they examined real exchange rates and deviations from purchasing power parity. They found that volatility of real exchange rates is lower for members of currency unions than for countries with individual currencies. In their tests business cycles have been found highly correlated among members of a currency union while countries with individual currencies were less correlated.</w:t>
      </w:r>
    </w:p>
    <w:p w:rsidR="004F75D0" w:rsidRDefault="004F75D0" w:rsidP="002305CC">
      <w:pPr>
        <w:rPr>
          <w:sz w:val="24"/>
          <w:szCs w:val="24"/>
        </w:rPr>
      </w:pPr>
      <w:r>
        <w:rPr>
          <w:sz w:val="24"/>
          <w:szCs w:val="24"/>
        </w:rPr>
        <w:t>Their target was to see whether members of a common currency area really experience more synchronized business cycles. They resulted that no clear answer to business cycle synchronization can be given due to membership in a monetary union even though members of a common currency appear more economically integrated than non-currency union members.</w:t>
      </w:r>
    </w:p>
    <w:p w:rsidR="004F75D0" w:rsidRDefault="004F75D0" w:rsidP="002305CC">
      <w:pPr>
        <w:rPr>
          <w:sz w:val="24"/>
          <w:szCs w:val="24"/>
        </w:rPr>
      </w:pPr>
      <w:r>
        <w:rPr>
          <w:sz w:val="24"/>
          <w:szCs w:val="24"/>
        </w:rPr>
        <w:t xml:space="preserve">Kose et al. </w:t>
      </w:r>
      <w:r w:rsidRPr="003A6EDF">
        <w:rPr>
          <w:i/>
          <w:sz w:val="24"/>
          <w:szCs w:val="24"/>
        </w:rPr>
        <w:t>(2003)</w:t>
      </w:r>
      <w:r>
        <w:rPr>
          <w:sz w:val="24"/>
          <w:szCs w:val="24"/>
        </w:rPr>
        <w:t xml:space="preserve"> used twenty one industrialized and fifty five developing countries in their sample of 1960-1999 annual per capita GDP and real private consumption as data for their empirical analysis to measure national output and consumption. Furthermore they measured trade openness and financial integration using a standard openness ratio and an indicator measure of restrictions on capital account transactions respectively.</w:t>
      </w:r>
    </w:p>
    <w:p w:rsidR="004F75D0" w:rsidRDefault="004F75D0" w:rsidP="002305CC">
      <w:pPr>
        <w:rPr>
          <w:sz w:val="24"/>
          <w:szCs w:val="24"/>
        </w:rPr>
      </w:pPr>
      <w:r>
        <w:rPr>
          <w:sz w:val="24"/>
          <w:szCs w:val="24"/>
        </w:rPr>
        <w:t xml:space="preserve">In order to measure correlations of individual country output and consumption growth fluctuations with their corresponding “world” aggregates they minimized the effects of the large economies using PPP-weighted aggregates of output and consumption in the G7 countries as measures of the relevant world aggregates. These countries were then excluded from the empirical analysis. </w:t>
      </w:r>
    </w:p>
    <w:p w:rsidR="004F75D0" w:rsidRDefault="004F75D0" w:rsidP="002305CC">
      <w:pPr>
        <w:rPr>
          <w:sz w:val="24"/>
          <w:szCs w:val="24"/>
        </w:rPr>
      </w:pPr>
      <w:r>
        <w:rPr>
          <w:sz w:val="24"/>
          <w:szCs w:val="24"/>
        </w:rPr>
        <w:t xml:space="preserve">In their results they found that industrialized countries have higher correlations with world output than the developing countries have. These correlations increased intensively in the 1970’s and rise further after 1990’s for the industrialized countries whereas for the developing countries these correlations declined especially after the 1990’s. In addition their results do not offer clear-cut evidence that globalization leads to an increase in the degree of synchronization of business cycles while they found some evidence that trade and financial market integration enhance global spillovers of macroeconomic policies. Surprising is the fact that they come up to that correlations have not increased in the 1990’s especially then that financial integration for developing countries was expected to provide better opportunities. </w:t>
      </w:r>
    </w:p>
    <w:p w:rsidR="004F75D0" w:rsidRDefault="004F75D0" w:rsidP="002305CC">
      <w:pPr>
        <w:rPr>
          <w:sz w:val="24"/>
          <w:szCs w:val="24"/>
        </w:rPr>
      </w:pPr>
      <w:r>
        <w:rPr>
          <w:sz w:val="24"/>
          <w:szCs w:val="24"/>
        </w:rPr>
        <w:t xml:space="preserve">Imbs </w:t>
      </w:r>
      <w:r w:rsidRPr="003A6EDF">
        <w:rPr>
          <w:i/>
          <w:sz w:val="24"/>
          <w:szCs w:val="24"/>
        </w:rPr>
        <w:t>(2004)</w:t>
      </w:r>
      <w:r>
        <w:rPr>
          <w:sz w:val="24"/>
          <w:szCs w:val="24"/>
        </w:rPr>
        <w:t xml:space="preserve"> studied the combinations and the relations among trade, specialization and synchronization. In his complex analysis Imbs found that both goods and assets have both direct and indirect influence on business cycles synchronization. The overall impact can be characterized ambiguous while specialization may mitigate the direct impact of openness to goods trade. Financial integration may cause a decline to synchronization but will also induce specialization. </w:t>
      </w:r>
    </w:p>
    <w:p w:rsidR="004F75D0" w:rsidRDefault="004F75D0" w:rsidP="002305CC">
      <w:pPr>
        <w:rPr>
          <w:sz w:val="24"/>
          <w:szCs w:val="24"/>
        </w:rPr>
      </w:pPr>
      <w:r>
        <w:rPr>
          <w:sz w:val="24"/>
          <w:szCs w:val="24"/>
        </w:rPr>
        <w:t>Through a simultaneous equations methodology to assess the magnitude of each channel, Imbs is the first to approach these linkages simultaneously. One of the reasons of the simultaneous estimation method is the lack of exact quantification of the magnitude of the indirect influence of trade on the business cycles correlations. Secondly the link between finance and business cycle correlations is not clear since the sign of the direct link is unambiguous and the indirect specialization influence can mitigate or reinforce the direct link. Thirdly none of the existing researchers has explored the possibility that specialization is an indirect manifestation of trade or financial integration and amend the estimated effects of trade, finance and specialization accordingly.</w:t>
      </w:r>
    </w:p>
    <w:p w:rsidR="004F75D0" w:rsidRDefault="004F75D0" w:rsidP="002305CC">
      <w:pPr>
        <w:rPr>
          <w:sz w:val="24"/>
          <w:szCs w:val="24"/>
        </w:rPr>
      </w:pPr>
      <w:r>
        <w:rPr>
          <w:sz w:val="24"/>
          <w:szCs w:val="24"/>
        </w:rPr>
        <w:t>The paper’s results point to the necessity of simultaneity in the equations methodology. A substantial share of the measured effect works through intra-industry trade. In addition the evidence that trade induced specialization affects cycles synchronization is weak. Financial integration leads to positively correlated business cycles while the correlation coefficient could be higher if finance-induced specialization was held constant. Moreover synchronized business cycles are not observed between trade partners only because they follow the same monetary policy in terms of cross-country and cross-state data. Specialization patterns are not important</w:t>
      </w:r>
      <w:r w:rsidRPr="00D9765C">
        <w:rPr>
          <w:sz w:val="24"/>
          <w:szCs w:val="24"/>
        </w:rPr>
        <w:t xml:space="preserve"> </w:t>
      </w:r>
      <w:r>
        <w:rPr>
          <w:sz w:val="24"/>
          <w:szCs w:val="24"/>
        </w:rPr>
        <w:t xml:space="preserve">in affecting cycles due to the choice of a time period or geographic coverage since the results cannot come out of one given type of shock in a given sample. In aggregation theories of the international business cycle should build on sectoral heterogeneity, trade within and between industries and some herding in international capital flows. </w:t>
      </w:r>
    </w:p>
    <w:p w:rsidR="004F75D0" w:rsidRDefault="004F75D0" w:rsidP="002305CC">
      <w:pPr>
        <w:rPr>
          <w:sz w:val="24"/>
          <w:szCs w:val="24"/>
        </w:rPr>
      </w:pPr>
      <w:r>
        <w:rPr>
          <w:sz w:val="24"/>
          <w:szCs w:val="24"/>
        </w:rPr>
        <w:t xml:space="preserve">Another paper examining the robustness of correlations between business cycle co-movement and economic variables was published from Baxter and Kouparitsas </w:t>
      </w:r>
      <w:r w:rsidRPr="003A6EDF">
        <w:rPr>
          <w:i/>
          <w:sz w:val="24"/>
          <w:szCs w:val="24"/>
        </w:rPr>
        <w:t xml:space="preserve">(2005) </w:t>
      </w:r>
      <w:r>
        <w:rPr>
          <w:sz w:val="24"/>
          <w:szCs w:val="24"/>
        </w:rPr>
        <w:t xml:space="preserve">in which they found some interesting results. Higher bilateral trade between two countries is correlated with a higher business cycle correlation between the countries </w:t>
      </w:r>
      <w:r w:rsidRPr="003A6EDF">
        <w:rPr>
          <w:i/>
          <w:sz w:val="24"/>
          <w:szCs w:val="24"/>
        </w:rPr>
        <w:t>(robustness of trade).</w:t>
      </w:r>
      <w:r>
        <w:rPr>
          <w:sz w:val="24"/>
          <w:szCs w:val="24"/>
        </w:rPr>
        <w:t xml:space="preserve"> Furthermore the industrial structure is not robustly correlated with business cycle correlations, results that indicate the fragility of Imbs’s results.</w:t>
      </w:r>
    </w:p>
    <w:p w:rsidR="004F75D0" w:rsidRDefault="004F75D0" w:rsidP="002305CC">
      <w:pPr>
        <w:rPr>
          <w:sz w:val="24"/>
          <w:szCs w:val="24"/>
        </w:rPr>
      </w:pPr>
      <w:r>
        <w:rPr>
          <w:sz w:val="24"/>
          <w:szCs w:val="24"/>
        </w:rPr>
        <w:t xml:space="preserve"> Another result confronting with previous studies and more specifically the one from Rose and Engel </w:t>
      </w:r>
      <w:r w:rsidRPr="003A6EDF">
        <w:rPr>
          <w:i/>
          <w:sz w:val="24"/>
          <w:szCs w:val="24"/>
        </w:rPr>
        <w:t>(2002)</w:t>
      </w:r>
      <w:r>
        <w:rPr>
          <w:sz w:val="24"/>
          <w:szCs w:val="24"/>
        </w:rPr>
        <w:t xml:space="preserve"> is that countries belonging to a currency union do not have significantly more highly correlated business cycles than countries that do not share a common currency.</w:t>
      </w:r>
    </w:p>
    <w:p w:rsidR="004F75D0" w:rsidRDefault="004F75D0" w:rsidP="002305CC">
      <w:pPr>
        <w:rPr>
          <w:sz w:val="24"/>
          <w:szCs w:val="24"/>
        </w:rPr>
      </w:pPr>
      <w:r>
        <w:rPr>
          <w:sz w:val="24"/>
          <w:szCs w:val="24"/>
        </w:rPr>
        <w:t>In addition, a lot of their coefficients were found negative, meaning that the corresponding variables were not robust enough to support the theory.</w:t>
      </w:r>
    </w:p>
    <w:p w:rsidR="004F75D0" w:rsidRDefault="004F75D0" w:rsidP="002305CC">
      <w:pPr>
        <w:rPr>
          <w:sz w:val="24"/>
          <w:szCs w:val="24"/>
        </w:rPr>
      </w:pPr>
      <w:r>
        <w:rPr>
          <w:sz w:val="24"/>
          <w:szCs w:val="24"/>
        </w:rPr>
        <w:t xml:space="preserve">Imbs </w:t>
      </w:r>
      <w:r w:rsidRPr="003A6EDF">
        <w:rPr>
          <w:i/>
          <w:sz w:val="24"/>
          <w:szCs w:val="24"/>
        </w:rPr>
        <w:t>(2006)</w:t>
      </w:r>
      <w:r>
        <w:rPr>
          <w:sz w:val="24"/>
          <w:szCs w:val="24"/>
        </w:rPr>
        <w:t xml:space="preserve"> examines the effects of financial integration on the international correlations in output and consumption while at the same time tries to quantify them. In his consistent with theory results he founds financial linkages increasing consumption correlations while on the other hand other measures showed that more integrated economies have more synchronized GDP fluctuations. The second effect is larger than the first, explaining shortly why GDP fluctuations are more correlated on average than consumption plans. Consequently financial integration has a larger impact on GDP correlations and this is why a quantity puzzle arises.</w:t>
      </w:r>
    </w:p>
    <w:p w:rsidR="004F75D0" w:rsidRDefault="004F75D0" w:rsidP="002305CC">
      <w:pPr>
        <w:rPr>
          <w:sz w:val="24"/>
          <w:szCs w:val="24"/>
        </w:rPr>
      </w:pPr>
      <w:r>
        <w:rPr>
          <w:sz w:val="24"/>
          <w:szCs w:val="24"/>
        </w:rPr>
        <w:t xml:space="preserve">Doyle and Faust </w:t>
      </w:r>
      <w:r w:rsidRPr="003A6EDF">
        <w:rPr>
          <w:i/>
          <w:sz w:val="24"/>
          <w:szCs w:val="24"/>
        </w:rPr>
        <w:t xml:space="preserve">(2005) </w:t>
      </w:r>
      <w:r>
        <w:rPr>
          <w:sz w:val="24"/>
          <w:szCs w:val="24"/>
        </w:rPr>
        <w:t>examined the changes in variability and co-movement among growth rates of G7 countries. They differentiated their analysis in comparison to other researchers by considering consumption and investment growth together with GDP growth. Thus they were able to distinguish the source of changes. Then they focused in tests for changes in various measures of co-movement actually by testing the significance of these measures.</w:t>
      </w:r>
    </w:p>
    <w:p w:rsidR="004F75D0" w:rsidRDefault="004F75D0" w:rsidP="002305CC">
      <w:pPr>
        <w:rPr>
          <w:sz w:val="24"/>
          <w:szCs w:val="24"/>
        </w:rPr>
      </w:pPr>
      <w:r>
        <w:rPr>
          <w:sz w:val="24"/>
          <w:szCs w:val="24"/>
        </w:rPr>
        <w:t>They found that the growth variation reduction for the US was at the same time present in all of the G7 countries with the exception of Japan. Therefore they did not reject the hypothesis of no change in correlation even for Canada and for the US that had a substantial increase in trade as well as the euro countries. Similarly they did not reject the hypothesis for consumption and growth rates despite the fact that higher integration might lead to higher correlation that reflects consumption insurance.</w:t>
      </w:r>
    </w:p>
    <w:p w:rsidR="004F75D0" w:rsidRDefault="004F75D0" w:rsidP="002305CC">
      <w:pPr>
        <w:rPr>
          <w:sz w:val="24"/>
          <w:szCs w:val="24"/>
        </w:rPr>
      </w:pPr>
      <w:r>
        <w:rPr>
          <w:sz w:val="24"/>
          <w:szCs w:val="24"/>
        </w:rPr>
        <w:t xml:space="preserve">Fidrmuc and Korhonen </w:t>
      </w:r>
      <w:r w:rsidRPr="003A6EDF">
        <w:rPr>
          <w:i/>
          <w:sz w:val="24"/>
          <w:szCs w:val="24"/>
        </w:rPr>
        <w:t>(2006)</w:t>
      </w:r>
      <w:r>
        <w:rPr>
          <w:sz w:val="24"/>
          <w:szCs w:val="24"/>
        </w:rPr>
        <w:t xml:space="preserve"> in their paper</w:t>
      </w:r>
      <w:r w:rsidRPr="00582529">
        <w:rPr>
          <w:sz w:val="24"/>
          <w:szCs w:val="24"/>
        </w:rPr>
        <w:t xml:space="preserve"> </w:t>
      </w:r>
      <w:r>
        <w:rPr>
          <w:sz w:val="24"/>
          <w:szCs w:val="24"/>
        </w:rPr>
        <w:t xml:space="preserve">gathered the existing literature concerning the measurement of correlations and business cycles analyzing the fulfillment of the OCA criteria by the CEECs. In their survey they found a lot of significant differences among the existing publications although the meta-analysis they conducted confirmed that the economic cycles in many candidate countries are highly correlated with the euro area cycle. </w:t>
      </w:r>
    </w:p>
    <w:p w:rsidR="004F75D0" w:rsidRDefault="004F75D0" w:rsidP="002305CC">
      <w:pPr>
        <w:rPr>
          <w:sz w:val="24"/>
          <w:szCs w:val="24"/>
        </w:rPr>
      </w:pPr>
      <w:r>
        <w:rPr>
          <w:sz w:val="24"/>
          <w:szCs w:val="24"/>
        </w:rPr>
        <w:t xml:space="preserve"> Furthermore they observed that studies using quarterly data report lower correlations than those analyzing monthly data and simple growth rate correlations are higher than correlations calculated from models with more economic structure. Home bias of the researcher is not met and central bankers tend to present more modest estimates.</w:t>
      </w:r>
    </w:p>
    <w:p w:rsidR="004F75D0" w:rsidRDefault="004F75D0" w:rsidP="002305CC">
      <w:pPr>
        <w:rPr>
          <w:sz w:val="24"/>
          <w:szCs w:val="24"/>
        </w:rPr>
      </w:pPr>
      <w:r>
        <w:rPr>
          <w:sz w:val="24"/>
          <w:szCs w:val="24"/>
        </w:rPr>
        <w:t>In addition to this, from their analysis it is implied that business cycle correlation of most EU member countries is sufficiently high, while business cycle correlation is only one criterion of successful participation in a monetary union.</w:t>
      </w:r>
    </w:p>
    <w:p w:rsidR="004F75D0" w:rsidRDefault="004F75D0" w:rsidP="002305CC">
      <w:pPr>
        <w:rPr>
          <w:sz w:val="24"/>
          <w:szCs w:val="24"/>
        </w:rPr>
      </w:pPr>
      <w:r>
        <w:rPr>
          <w:sz w:val="24"/>
          <w:szCs w:val="24"/>
        </w:rPr>
        <w:t xml:space="preserve">Kose et al. </w:t>
      </w:r>
      <w:r w:rsidRPr="003A6EDF">
        <w:rPr>
          <w:i/>
          <w:sz w:val="24"/>
          <w:szCs w:val="24"/>
        </w:rPr>
        <w:t xml:space="preserve">(2008) </w:t>
      </w:r>
      <w:r>
        <w:rPr>
          <w:sz w:val="24"/>
          <w:szCs w:val="24"/>
        </w:rPr>
        <w:t xml:space="preserve">in their study provide an empirical characterization of global business cycle linkages among a large and diverse group of countries. They focus on the factors driving business cycles in different groups of countries and the reasons that these factors evolved as the process of globalization increased its pace during the last two decades. </w:t>
      </w:r>
    </w:p>
    <w:p w:rsidR="004F75D0" w:rsidRDefault="004F75D0" w:rsidP="002305CC">
      <w:pPr>
        <w:rPr>
          <w:sz w:val="24"/>
          <w:szCs w:val="24"/>
        </w:rPr>
      </w:pPr>
      <w:r>
        <w:rPr>
          <w:sz w:val="24"/>
          <w:szCs w:val="24"/>
        </w:rPr>
        <w:t>In their results they found that there is no evidence of global convergence of business cycles during the recent period of globalization. However there has been a convergence of business cycles among industrial countries revealing that group-specific factors became more important than global factors in affecting fluctuations. On the other hand country-specific factors gained importance in the case of the group of emerging market economies in comparison to the group of industrial economies during the recent period of globalization. Moreover in the financial level, countries with high levels of financial integration were able to use the international financial markets more efficiently so that they could share risk and delink consumption and output.</w:t>
      </w:r>
    </w:p>
    <w:p w:rsidR="004F75D0" w:rsidRDefault="004F75D0" w:rsidP="002305CC">
      <w:pPr>
        <w:rPr>
          <w:sz w:val="24"/>
          <w:szCs w:val="24"/>
        </w:rPr>
      </w:pPr>
      <w:r>
        <w:rPr>
          <w:sz w:val="24"/>
          <w:szCs w:val="24"/>
        </w:rPr>
        <w:t xml:space="preserve">Flood and Rose </w:t>
      </w:r>
      <w:r w:rsidRPr="003A6EDF">
        <w:rPr>
          <w:i/>
          <w:sz w:val="24"/>
          <w:szCs w:val="24"/>
        </w:rPr>
        <w:t>(2009)</w:t>
      </w:r>
      <w:r>
        <w:rPr>
          <w:sz w:val="24"/>
          <w:szCs w:val="24"/>
        </w:rPr>
        <w:t xml:space="preserve"> introduce in their paper the phenomenon of inflation targeting, a policy that allows the monetary authority to focus on purely domestic inflation. Thus they investigated whether inflation targeting can be linked to business cycle synchronization and consequently decoupling </w:t>
      </w:r>
      <w:r w:rsidRPr="003A6EDF">
        <w:rPr>
          <w:i/>
          <w:sz w:val="24"/>
          <w:szCs w:val="24"/>
        </w:rPr>
        <w:t>(decoupling is the idea that business cycles are becoming more independent across countries).</w:t>
      </w:r>
    </w:p>
    <w:p w:rsidR="004F75D0" w:rsidRDefault="004F75D0" w:rsidP="002305CC">
      <w:pPr>
        <w:rPr>
          <w:sz w:val="24"/>
          <w:szCs w:val="24"/>
        </w:rPr>
      </w:pPr>
      <w:r>
        <w:rPr>
          <w:sz w:val="24"/>
          <w:szCs w:val="24"/>
        </w:rPr>
        <w:t xml:space="preserve">They found from an empirical perspective that inflation targeting leads to cross-country synchronization of business cycles and therefore decoupling does not exist at all in their data sample.   </w:t>
      </w:r>
    </w:p>
    <w:p w:rsidR="004F75D0" w:rsidRDefault="004F75D0" w:rsidP="002305CC">
      <w:pPr>
        <w:rPr>
          <w:sz w:val="24"/>
          <w:szCs w:val="24"/>
        </w:rPr>
      </w:pPr>
    </w:p>
    <w:p w:rsidR="004F75D0" w:rsidRPr="00C42FA3" w:rsidRDefault="004F75D0" w:rsidP="00E93D31">
      <w:pPr>
        <w:pStyle w:val="Heading1"/>
        <w:pBdr>
          <w:bottom w:val="single" w:sz="4" w:space="1" w:color="auto"/>
        </w:pBdr>
      </w:pPr>
      <w:bookmarkStart w:id="9" w:name="_Toc274041017"/>
      <w:r w:rsidRPr="00C42FA3">
        <w:rPr>
          <w:spacing w:val="5"/>
          <w:kern w:val="28"/>
        </w:rPr>
        <w:t>2.</w:t>
      </w:r>
      <w:r w:rsidRPr="00C42FA3">
        <w:t xml:space="preserve"> Measure of the business cycle</w:t>
      </w:r>
      <w:bookmarkEnd w:id="9"/>
    </w:p>
    <w:p w:rsidR="004F75D0" w:rsidRPr="00824581" w:rsidRDefault="004F75D0" w:rsidP="002305CC">
      <w:pPr>
        <w:rPr>
          <w:sz w:val="24"/>
          <w:szCs w:val="24"/>
        </w:rPr>
      </w:pPr>
    </w:p>
    <w:p w:rsidR="004F75D0" w:rsidRDefault="004F75D0" w:rsidP="002305CC">
      <w:pPr>
        <w:rPr>
          <w:sz w:val="24"/>
          <w:szCs w:val="24"/>
        </w:rPr>
      </w:pPr>
      <w:r>
        <w:rPr>
          <w:sz w:val="24"/>
          <w:szCs w:val="24"/>
        </w:rPr>
        <w:t xml:space="preserve">Mink et al. </w:t>
      </w:r>
      <w:r w:rsidRPr="003A6EDF">
        <w:rPr>
          <w:i/>
          <w:sz w:val="24"/>
          <w:szCs w:val="24"/>
        </w:rPr>
        <w:t>(2007)</w:t>
      </w:r>
      <w:r>
        <w:rPr>
          <w:sz w:val="24"/>
          <w:szCs w:val="24"/>
        </w:rPr>
        <w:t xml:space="preserve"> introduce an innovative way to measure business cycle synchronization. While they use GDP as the threshold measure, they differentiate the procedure. Instead of using correlations like the rest of the preceding studies, Mink et al. compute output gaps of the GDP as indicators of the business cycle. Output gaps are defined as the difference between real and trend GDP and synchronization is thus computed by examining the similarity of the output gaps among relevant countries.</w:t>
      </w:r>
    </w:p>
    <w:p w:rsidR="004F75D0" w:rsidRDefault="004F75D0" w:rsidP="002305CC">
      <w:pPr>
        <w:rPr>
          <w:sz w:val="24"/>
          <w:szCs w:val="24"/>
        </w:rPr>
      </w:pPr>
      <w:r>
        <w:rPr>
          <w:sz w:val="24"/>
          <w:szCs w:val="24"/>
        </w:rPr>
        <w:t>Their application in the euro area during 1970-2005 resulted that the business cycle of France, Germany and the Netherlands are similar to the rest of the union, while Finland, Greece and Italy performed worse. Moreover heterogeneity of the business cycle within the region increases when they took into account that economic developments in large European countries get more weight when ECB decides upon its monetary policy.</w:t>
      </w:r>
    </w:p>
    <w:p w:rsidR="004F75D0" w:rsidRDefault="004F75D0" w:rsidP="002305CC">
      <w:pPr>
        <w:rPr>
          <w:sz w:val="24"/>
          <w:szCs w:val="24"/>
        </w:rPr>
      </w:pPr>
      <w:r>
        <w:rPr>
          <w:sz w:val="24"/>
          <w:szCs w:val="24"/>
        </w:rPr>
        <w:t xml:space="preserve">Walti’s </w:t>
      </w:r>
      <w:r w:rsidRPr="003A6EDF">
        <w:rPr>
          <w:i/>
          <w:sz w:val="24"/>
          <w:szCs w:val="24"/>
        </w:rPr>
        <w:t>(2009)</w:t>
      </w:r>
      <w:r>
        <w:rPr>
          <w:sz w:val="24"/>
          <w:szCs w:val="24"/>
        </w:rPr>
        <w:t xml:space="preserve"> research was based on proving the rejection of the hypothesis of the decoupling view. In his paper he used the way Mink et al. calculated business cycle synchronization. Correlation coefficients among business cycles that other previous studies used to calculate synchronization suffer from significant disadvantages even though they are easy to interpret. The choice of sub-sample in the data is tricky since different sub-samples can result in different conclusions. Therefore “rolling correlation coefficients avoid the need for defining arbitrary sub-periods so that one must define a moving window over which correlations are calculated and decide around which year this window is centered”.</w:t>
      </w:r>
    </w:p>
    <w:p w:rsidR="004F75D0" w:rsidRDefault="004F75D0" w:rsidP="002305CC">
      <w:pPr>
        <w:rPr>
          <w:sz w:val="24"/>
          <w:szCs w:val="24"/>
        </w:rPr>
      </w:pPr>
      <w:r>
        <w:rPr>
          <w:sz w:val="24"/>
          <w:szCs w:val="24"/>
        </w:rPr>
        <w:t xml:space="preserve"> In addition overlapping windows lead to serial correlation while the most important difficulty of correlation coefficients is that they mix two characteristics of the business cycle; synchronization and amplitude. Thus changes in correlation coefficients while volatility changes could be wrong interpreted only due to changes in the degree of synchronization.</w:t>
      </w:r>
    </w:p>
    <w:p w:rsidR="004F75D0" w:rsidRDefault="004F75D0" w:rsidP="002305CC">
      <w:pPr>
        <w:rPr>
          <w:sz w:val="24"/>
          <w:szCs w:val="24"/>
        </w:rPr>
      </w:pPr>
      <w:r>
        <w:rPr>
          <w:sz w:val="24"/>
          <w:szCs w:val="24"/>
        </w:rPr>
        <w:t>His data consisted of groups of countries both emerging and advanced from all over the world. Walti used a sample of 34 emerging-market countries and four groups of advanced-market economies. He compared this large sample of emerging economies against each group of advanced economies from 1980 onwards excluding 2008 data because of potential bias due to the recent financial crisis.</w:t>
      </w:r>
    </w:p>
    <w:p w:rsidR="004F75D0" w:rsidRDefault="004F75D0" w:rsidP="002305CC">
      <w:pPr>
        <w:rPr>
          <w:sz w:val="24"/>
          <w:szCs w:val="24"/>
        </w:rPr>
      </w:pPr>
      <w:r>
        <w:rPr>
          <w:sz w:val="24"/>
          <w:szCs w:val="24"/>
        </w:rPr>
        <w:t>The results for emerging-market economies are clear-cut; there is no evidence of decoupling during the recent years and business cycle synchronization between the large group of emerging-market economies and each group of advanced-market economies has not decreased over time. Qualitatively his results are consistent with the view that globalization has contributed to stronger business synchronization.</w:t>
      </w:r>
    </w:p>
    <w:p w:rsidR="004F75D0" w:rsidRDefault="004F75D0" w:rsidP="002305CC">
      <w:pPr>
        <w:rPr>
          <w:sz w:val="24"/>
          <w:szCs w:val="24"/>
        </w:rPr>
      </w:pPr>
      <w:r>
        <w:rPr>
          <w:sz w:val="24"/>
          <w:szCs w:val="24"/>
        </w:rPr>
        <w:t xml:space="preserve">Walti’s </w:t>
      </w:r>
      <w:r w:rsidRPr="003A6EDF">
        <w:rPr>
          <w:i/>
          <w:sz w:val="24"/>
          <w:szCs w:val="24"/>
        </w:rPr>
        <w:t>(2010)</w:t>
      </w:r>
      <w:r>
        <w:rPr>
          <w:sz w:val="24"/>
          <w:szCs w:val="24"/>
        </w:rPr>
        <w:t xml:space="preserve"> paper improves his previous methodology in the calculation of business cycle synchronization with two approaches. Firstly business cycle interdependence is easier calculated by Euclidean distance. Euclidean distance is simply the absolute value of the numerical distance between two business cycles. It takes into account the difference in amplitude and thus offers an innovative way of measuring synchronization. When Euclidean distance equals to zero, the business cycles are perfectly synchronized. Any other value (positive due to absolute sign) means imperfect synchronization and therefore the larger the distance, the larger the business cycle interdependence.</w:t>
      </w:r>
    </w:p>
    <w:p w:rsidR="004F75D0" w:rsidRDefault="004F75D0" w:rsidP="002305CC">
      <w:pPr>
        <w:rPr>
          <w:sz w:val="24"/>
          <w:szCs w:val="24"/>
        </w:rPr>
      </w:pPr>
      <w:r>
        <w:rPr>
          <w:sz w:val="24"/>
          <w:szCs w:val="24"/>
        </w:rPr>
        <w:t xml:space="preserve">Secondly he follows Levy-Yeyati’s </w:t>
      </w:r>
      <w:r w:rsidRPr="003A6EDF">
        <w:rPr>
          <w:i/>
          <w:sz w:val="24"/>
          <w:szCs w:val="24"/>
        </w:rPr>
        <w:t>(2009)</w:t>
      </w:r>
      <w:r>
        <w:rPr>
          <w:sz w:val="24"/>
          <w:szCs w:val="24"/>
        </w:rPr>
        <w:t xml:space="preserve"> pooled regression methodology to confirm the graphical evidence of the Euclidean distance approach. Walti “regresses pooled business cycles of emerging markets on the business cycle of advanced economies as well as an interaction term between the business cycle of advanced economies and a dummy variable taking a value of one from a recent chosen year </w:t>
      </w:r>
      <w:r w:rsidRPr="003A6EDF">
        <w:rPr>
          <w:i/>
          <w:sz w:val="24"/>
          <w:szCs w:val="24"/>
        </w:rPr>
        <w:t>(between 1999 and 2007)</w:t>
      </w:r>
      <w:r>
        <w:rPr>
          <w:sz w:val="24"/>
          <w:szCs w:val="24"/>
        </w:rPr>
        <w:t xml:space="preserve"> until the last year of the sample”. When this coefficient is negative and statistically significant, business cycle interdependence is lower and so the decoupling hypothesis is confirmed. His sample of countries and year data remained the same.</w:t>
      </w:r>
    </w:p>
    <w:p w:rsidR="004F75D0" w:rsidRDefault="004F75D0" w:rsidP="002305CC">
      <w:pPr>
        <w:rPr>
          <w:sz w:val="24"/>
          <w:szCs w:val="24"/>
        </w:rPr>
      </w:pPr>
      <w:r>
        <w:rPr>
          <w:sz w:val="24"/>
          <w:szCs w:val="24"/>
        </w:rPr>
        <w:t>The results have been here also clear since there has been no evidence of decoupling in the recent years while testing both approaches. In other words both methodologies point to the same conclusion in that the degree of business cycle synchronization has become tighter between emerging and advanced economies especially during the recent years.</w:t>
      </w:r>
    </w:p>
    <w:p w:rsidR="004F75D0" w:rsidRDefault="004F75D0" w:rsidP="002305CC">
      <w:pPr>
        <w:rPr>
          <w:sz w:val="24"/>
          <w:szCs w:val="24"/>
        </w:rPr>
      </w:pPr>
    </w:p>
    <w:p w:rsidR="004F75D0" w:rsidRPr="00371525" w:rsidRDefault="004F75D0" w:rsidP="00E93D31">
      <w:pPr>
        <w:pStyle w:val="Heading1"/>
        <w:pBdr>
          <w:bottom w:val="single" w:sz="4" w:space="1" w:color="auto"/>
        </w:pBdr>
      </w:pPr>
      <w:bookmarkStart w:id="10" w:name="_Toc274041018"/>
      <w:r w:rsidRPr="00371525">
        <w:t>3. Econometric evidence of business cycle synchronization</w:t>
      </w:r>
      <w:bookmarkEnd w:id="10"/>
    </w:p>
    <w:p w:rsidR="004F75D0" w:rsidRDefault="004F75D0" w:rsidP="002305CC">
      <w:pPr>
        <w:rPr>
          <w:sz w:val="24"/>
          <w:szCs w:val="24"/>
        </w:rPr>
      </w:pPr>
    </w:p>
    <w:p w:rsidR="004F75D0" w:rsidRDefault="004F75D0" w:rsidP="002305CC">
      <w:pPr>
        <w:rPr>
          <w:sz w:val="24"/>
          <w:szCs w:val="24"/>
        </w:rPr>
      </w:pPr>
      <w:r>
        <w:rPr>
          <w:sz w:val="24"/>
          <w:szCs w:val="24"/>
        </w:rPr>
        <w:t xml:space="preserve">Levy-Yeyati </w:t>
      </w:r>
      <w:r w:rsidRPr="003A6EDF">
        <w:rPr>
          <w:i/>
          <w:sz w:val="24"/>
          <w:szCs w:val="24"/>
        </w:rPr>
        <w:t>(2009)</w:t>
      </w:r>
      <w:r>
        <w:rPr>
          <w:sz w:val="24"/>
          <w:szCs w:val="24"/>
        </w:rPr>
        <w:t xml:space="preserve"> in his effort to find evidence for decoupling of emerging economies from the advanced ones states that the standard measure of synchronization of the existing literature, the business cycle correlation, mixes sensitivity and amplitude like two different factors affecting the decoupling argument. Practically business cycle correlation can increase either with the</w:t>
      </w:r>
      <w:r w:rsidRPr="00783D9C">
        <w:rPr>
          <w:i/>
          <w:sz w:val="24"/>
          <w:szCs w:val="24"/>
        </w:rPr>
        <w:t xml:space="preserve"> beta</w:t>
      </w:r>
      <w:r>
        <w:rPr>
          <w:sz w:val="24"/>
          <w:szCs w:val="24"/>
        </w:rPr>
        <w:t xml:space="preserve"> between emerging-advanced or with the ratio of output volatilities.</w:t>
      </w:r>
    </w:p>
    <w:p w:rsidR="004F75D0" w:rsidRDefault="004F75D0" w:rsidP="002305CC">
      <w:pPr>
        <w:rPr>
          <w:sz w:val="24"/>
          <w:szCs w:val="24"/>
        </w:rPr>
      </w:pPr>
      <w:r>
        <w:rPr>
          <w:sz w:val="24"/>
          <w:szCs w:val="24"/>
        </w:rPr>
        <w:t xml:space="preserve">However sensitivity is his major concern since he considers that “emerging economies’ resilience must be judged by the relative size and duration of their responses”. In order to test whether emerging market sensitivity has changed over the years he regress emerging market growth on G7 growth using a split in two periods sample </w:t>
      </w:r>
      <w:r w:rsidRPr="003A6EDF">
        <w:rPr>
          <w:i/>
          <w:sz w:val="24"/>
          <w:szCs w:val="24"/>
        </w:rPr>
        <w:t>(1993-1999, 2000-2009)</w:t>
      </w:r>
      <w:r>
        <w:rPr>
          <w:sz w:val="24"/>
          <w:szCs w:val="24"/>
        </w:rPr>
        <w:t xml:space="preserve"> and thus evaluates the evolution of the coefficients. In addition he introduces an interactive dummy corresponding to the late period </w:t>
      </w:r>
      <w:r w:rsidRPr="003A6EDF">
        <w:rPr>
          <w:i/>
          <w:sz w:val="24"/>
          <w:szCs w:val="24"/>
        </w:rPr>
        <w:t xml:space="preserve">(2001-2009) </w:t>
      </w:r>
      <w:r>
        <w:rPr>
          <w:sz w:val="24"/>
          <w:szCs w:val="24"/>
        </w:rPr>
        <w:t>in the regressions he used.</w:t>
      </w:r>
    </w:p>
    <w:p w:rsidR="004F75D0" w:rsidRPr="00106CCD" w:rsidRDefault="004F75D0" w:rsidP="002305CC">
      <w:pPr>
        <w:rPr>
          <w:sz w:val="24"/>
          <w:szCs w:val="24"/>
        </w:rPr>
      </w:pPr>
      <w:r>
        <w:rPr>
          <w:sz w:val="24"/>
          <w:szCs w:val="24"/>
        </w:rPr>
        <w:t>To sum up, he found little evidence of decoupling while from 2000 onwards there has been an increase in the correlations of business cycles between the emerging and the G7</w:t>
      </w:r>
      <w:r w:rsidRPr="00106CCD">
        <w:rPr>
          <w:sz w:val="24"/>
          <w:szCs w:val="24"/>
        </w:rPr>
        <w:t>. On the other hand he came across exceptions in which emerging markets have shown growth outperformance.</w:t>
      </w:r>
    </w:p>
    <w:p w:rsidR="004F75D0" w:rsidRDefault="004F75D0" w:rsidP="002305CC">
      <w:pPr>
        <w:rPr>
          <w:sz w:val="24"/>
          <w:szCs w:val="24"/>
        </w:rPr>
      </w:pPr>
    </w:p>
    <w:p w:rsidR="004F75D0" w:rsidRDefault="004F75D0" w:rsidP="002305CC">
      <w:pPr>
        <w:rPr>
          <w:sz w:val="24"/>
          <w:szCs w:val="24"/>
        </w:rPr>
      </w:pPr>
    </w:p>
    <w:p w:rsidR="004F75D0" w:rsidRDefault="004F75D0" w:rsidP="002305CC">
      <w:pPr>
        <w:rPr>
          <w:sz w:val="24"/>
          <w:szCs w:val="24"/>
        </w:rPr>
      </w:pPr>
    </w:p>
    <w:p w:rsidR="004F75D0" w:rsidRDefault="004F75D0" w:rsidP="002305CC">
      <w:pPr>
        <w:rPr>
          <w:sz w:val="24"/>
          <w:szCs w:val="24"/>
        </w:rPr>
      </w:pPr>
    </w:p>
    <w:p w:rsidR="004F75D0" w:rsidRDefault="004F75D0" w:rsidP="002305CC">
      <w:pPr>
        <w:rPr>
          <w:sz w:val="24"/>
          <w:szCs w:val="24"/>
        </w:rPr>
      </w:pPr>
    </w:p>
    <w:p w:rsidR="004F75D0" w:rsidRDefault="004F75D0" w:rsidP="002305CC">
      <w:pPr>
        <w:rPr>
          <w:sz w:val="24"/>
          <w:szCs w:val="24"/>
        </w:rPr>
      </w:pPr>
    </w:p>
    <w:p w:rsidR="004F75D0" w:rsidRDefault="004F75D0" w:rsidP="00016A88"/>
    <w:p w:rsidR="004F75D0" w:rsidRDefault="004F75D0" w:rsidP="00016A88"/>
    <w:p w:rsidR="004F75D0" w:rsidRPr="00824581" w:rsidRDefault="004F75D0" w:rsidP="00016A88"/>
    <w:p w:rsidR="004F75D0" w:rsidRPr="00824581" w:rsidRDefault="004F75D0" w:rsidP="00016A88"/>
    <w:p w:rsidR="004F75D0" w:rsidRPr="00824581" w:rsidRDefault="004F75D0" w:rsidP="00016A88"/>
    <w:p w:rsidR="004F75D0" w:rsidRPr="00824581" w:rsidRDefault="004F75D0" w:rsidP="00016A88"/>
    <w:p w:rsidR="004F75D0" w:rsidRPr="00C42FA3" w:rsidRDefault="004F75D0" w:rsidP="00E93D31">
      <w:pPr>
        <w:pStyle w:val="Heading2"/>
      </w:pPr>
      <w:bookmarkStart w:id="11" w:name="_Toc274041019"/>
      <w:r w:rsidRPr="00C42FA3">
        <w:t>PART II: Data and Methodology</w:t>
      </w:r>
      <w:bookmarkEnd w:id="11"/>
    </w:p>
    <w:p w:rsidR="004F75D0" w:rsidRDefault="004F75D0" w:rsidP="002305CC">
      <w:pPr>
        <w:rPr>
          <w:sz w:val="24"/>
          <w:szCs w:val="24"/>
        </w:rPr>
      </w:pPr>
    </w:p>
    <w:p w:rsidR="004F75D0" w:rsidRDefault="004F75D0" w:rsidP="002305CC">
      <w:pPr>
        <w:rPr>
          <w:sz w:val="24"/>
          <w:szCs w:val="24"/>
        </w:rPr>
      </w:pPr>
      <w:r w:rsidRPr="00552B0B">
        <w:rPr>
          <w:sz w:val="24"/>
          <w:szCs w:val="24"/>
        </w:rPr>
        <w:t xml:space="preserve">This research is an effort to test the synchronization of business cycles following the methodology of Walti. </w:t>
      </w:r>
      <w:r>
        <w:rPr>
          <w:sz w:val="24"/>
          <w:szCs w:val="24"/>
        </w:rPr>
        <w:t>At</w:t>
      </w:r>
      <w:r w:rsidRPr="00552B0B">
        <w:rPr>
          <w:sz w:val="24"/>
          <w:szCs w:val="24"/>
        </w:rPr>
        <w:t xml:space="preserve"> first place, it focuses on extracting results for synchronization from a graphical depiction of the business cycles of the countries. Secondly with the use of a simple econometric model the way Walti uses it</w:t>
      </w:r>
      <w:r>
        <w:rPr>
          <w:sz w:val="24"/>
          <w:szCs w:val="24"/>
        </w:rPr>
        <w:t>, he</w:t>
      </w:r>
      <w:r w:rsidRPr="00552B0B">
        <w:rPr>
          <w:sz w:val="24"/>
          <w:szCs w:val="24"/>
        </w:rPr>
        <w:t xml:space="preserve"> aims to acquire coefficients that can explain the existence of possible business cycle synchronization. The target of this research is to find potential business cycle interdependence between strong emerging-market economies and the advanced-market world. In this effort, there were elected four individual emerging economies; Brazil, China, India and Russia against four groups of advanced economies; E.U. </w:t>
      </w:r>
      <w:r w:rsidRPr="00BA269C">
        <w:rPr>
          <w:i/>
          <w:sz w:val="24"/>
          <w:szCs w:val="24"/>
        </w:rPr>
        <w:t>(excluding Malta, Slovakia, and Slovenia due to lack of data),</w:t>
      </w:r>
      <w:r>
        <w:rPr>
          <w:sz w:val="24"/>
          <w:szCs w:val="24"/>
        </w:rPr>
        <w:t xml:space="preserve"> G</w:t>
      </w:r>
      <w:r w:rsidRPr="00552B0B">
        <w:rPr>
          <w:sz w:val="24"/>
          <w:szCs w:val="24"/>
        </w:rPr>
        <w:t xml:space="preserve">7, USA and a group of worldwide advanced economies </w:t>
      </w:r>
      <w:r w:rsidRPr="00BA269C">
        <w:rPr>
          <w:i/>
          <w:sz w:val="24"/>
          <w:szCs w:val="24"/>
        </w:rPr>
        <w:t>(according to IMF).</w:t>
      </w:r>
      <w:r>
        <w:rPr>
          <w:sz w:val="24"/>
          <w:szCs w:val="24"/>
        </w:rPr>
        <w:t xml:space="preserve"> In order to support the individual results, the four emerging economies are put together and thus it is created a group of emerging market economies that is tested against the same four groups of advanced economies.</w:t>
      </w:r>
    </w:p>
    <w:p w:rsidR="004F75D0" w:rsidRDefault="004F75D0" w:rsidP="002305CC">
      <w:pPr>
        <w:rPr>
          <w:sz w:val="24"/>
          <w:szCs w:val="24"/>
        </w:rPr>
      </w:pPr>
    </w:p>
    <w:p w:rsidR="004F75D0" w:rsidRDefault="004F75D0" w:rsidP="00E93D31">
      <w:pPr>
        <w:pStyle w:val="Heading1"/>
        <w:pBdr>
          <w:bottom w:val="single" w:sz="4" w:space="1" w:color="auto"/>
        </w:pBdr>
      </w:pPr>
      <w:bookmarkStart w:id="12" w:name="_Toc274041020"/>
      <w:r w:rsidRPr="00371525">
        <w:t xml:space="preserve">1. </w:t>
      </w:r>
      <w:r w:rsidRPr="00C21610">
        <w:t xml:space="preserve">Four </w:t>
      </w:r>
      <w:r>
        <w:t>strong</w:t>
      </w:r>
      <w:r w:rsidRPr="00C21610">
        <w:t xml:space="preserve"> emerging economies</w:t>
      </w:r>
      <w:bookmarkEnd w:id="12"/>
    </w:p>
    <w:p w:rsidR="004F75D0" w:rsidRPr="00C21610" w:rsidRDefault="004F75D0" w:rsidP="00C21610">
      <w:pPr>
        <w:pStyle w:val="ListParagraph"/>
        <w:ind w:left="1080"/>
        <w:rPr>
          <w:b/>
          <w:sz w:val="24"/>
          <w:szCs w:val="24"/>
        </w:rPr>
      </w:pPr>
    </w:p>
    <w:p w:rsidR="004F75D0" w:rsidRDefault="004F75D0" w:rsidP="00C21610">
      <w:pPr>
        <w:pStyle w:val="ListParagraph"/>
        <w:numPr>
          <w:ilvl w:val="0"/>
          <w:numId w:val="20"/>
        </w:numPr>
        <w:rPr>
          <w:sz w:val="24"/>
          <w:szCs w:val="24"/>
        </w:rPr>
      </w:pPr>
      <w:bookmarkStart w:id="13" w:name="_Ref272507150"/>
      <w:r>
        <w:rPr>
          <w:sz w:val="24"/>
          <w:szCs w:val="24"/>
        </w:rPr>
        <w:t>Brazil is the largest economy in Latin America and the eighth largest in the world based on nominal GDP. Brazil is one of the fastest growing emerging-market economies according to the International Monetary Fund and the World Bank acquiring a very high annual GDP. Brazil’s booming economy is based on its large amount of exports in a variety of products both agricultural and industrial such as textiles, aircrafts, steel, and coffee being the most important. Brazil has been a country that pegged its currency, real, to the US dollar but financial circumstances later on gave to the Central Bank of Brazil the chance to definitely change the exchange regime to free-float.</w:t>
      </w:r>
      <w:bookmarkEnd w:id="13"/>
      <w:r>
        <w:rPr>
          <w:sz w:val="24"/>
          <w:szCs w:val="24"/>
        </w:rPr>
        <w:t xml:space="preserve"> </w:t>
      </w:r>
    </w:p>
    <w:p w:rsidR="004F75D0" w:rsidRPr="00C21610" w:rsidRDefault="004F75D0" w:rsidP="008065B4">
      <w:pPr>
        <w:pStyle w:val="ListParagraph"/>
        <w:ind w:left="1080"/>
        <w:rPr>
          <w:sz w:val="24"/>
          <w:szCs w:val="24"/>
        </w:rPr>
      </w:pPr>
    </w:p>
    <w:p w:rsidR="004F75D0" w:rsidRDefault="004F75D0" w:rsidP="00BA718B">
      <w:pPr>
        <w:pStyle w:val="ListParagraph"/>
        <w:numPr>
          <w:ilvl w:val="0"/>
          <w:numId w:val="20"/>
        </w:numPr>
        <w:rPr>
          <w:sz w:val="24"/>
          <w:szCs w:val="24"/>
        </w:rPr>
      </w:pPr>
      <w:r w:rsidRPr="00AD1E61">
        <w:rPr>
          <w:sz w:val="24"/>
          <w:szCs w:val="24"/>
        </w:rPr>
        <w:t xml:space="preserve">China or People’s Republic of China is currently the second largest economy in the world following the USA. Nominal GDP amounts to $4.99 trillion and China is considered </w:t>
      </w:r>
      <w:r>
        <w:rPr>
          <w:sz w:val="24"/>
          <w:szCs w:val="24"/>
        </w:rPr>
        <w:t xml:space="preserve">to be </w:t>
      </w:r>
      <w:r w:rsidRPr="00AD1E61">
        <w:rPr>
          <w:sz w:val="24"/>
          <w:szCs w:val="24"/>
        </w:rPr>
        <w:t xml:space="preserve">the fastest-growing emerging market economy with an average growth rate of 10% </w:t>
      </w:r>
      <w:r w:rsidRPr="00AD1E61">
        <w:rPr>
          <w:i/>
          <w:sz w:val="24"/>
          <w:szCs w:val="24"/>
        </w:rPr>
        <w:t>(see Figure 1a</w:t>
      </w:r>
      <w:r>
        <w:rPr>
          <w:i/>
          <w:sz w:val="24"/>
          <w:szCs w:val="24"/>
        </w:rPr>
        <w:t>, 1b</w:t>
      </w:r>
      <w:r w:rsidRPr="00AD1E61">
        <w:rPr>
          <w:i/>
          <w:sz w:val="24"/>
          <w:szCs w:val="24"/>
        </w:rPr>
        <w:t xml:space="preserve"> below)</w:t>
      </w:r>
      <w:r w:rsidRPr="00AD1E61">
        <w:rPr>
          <w:sz w:val="24"/>
          <w:szCs w:val="24"/>
        </w:rPr>
        <w:t xml:space="preserve">. At the same time China is the largest exporter and the second largest importer of goods. The most important sectors of the Chinese economy are agriculture and industry that together produce approximately 60% of the GDP. China is the world’s largest producer of rice and among the largest in wheat as far as it concerns the agricultural products and </w:t>
      </w:r>
      <w:r>
        <w:rPr>
          <w:sz w:val="24"/>
          <w:szCs w:val="24"/>
        </w:rPr>
        <w:t>one of</w:t>
      </w:r>
      <w:r w:rsidRPr="00AD1E61">
        <w:rPr>
          <w:sz w:val="24"/>
          <w:szCs w:val="24"/>
        </w:rPr>
        <w:t xml:space="preserve"> the largest producers of a vast number of industrial and mineral products such as cotton, coal and crude oil.</w:t>
      </w:r>
    </w:p>
    <w:p w:rsidR="004F75D0" w:rsidRPr="00BA718B" w:rsidRDefault="004F75D0" w:rsidP="00BA718B">
      <w:pPr>
        <w:pStyle w:val="ListParagraph"/>
        <w:rPr>
          <w:sz w:val="24"/>
          <w:szCs w:val="24"/>
        </w:rPr>
      </w:pPr>
    </w:p>
    <w:p w:rsidR="004F75D0" w:rsidRPr="00BA718B" w:rsidRDefault="004F75D0" w:rsidP="00BA718B">
      <w:pPr>
        <w:pStyle w:val="ListParagraph"/>
        <w:ind w:left="1080"/>
        <w:rPr>
          <w:sz w:val="24"/>
          <w:szCs w:val="24"/>
        </w:rPr>
      </w:pPr>
    </w:p>
    <w:tbl>
      <w:tblPr>
        <w:tblW w:w="8505" w:type="dxa"/>
        <w:tblInd w:w="1101" w:type="dxa"/>
        <w:tblLook w:val="00A0"/>
      </w:tblPr>
      <w:tblGrid>
        <w:gridCol w:w="904"/>
        <w:gridCol w:w="869"/>
        <w:gridCol w:w="216"/>
        <w:gridCol w:w="457"/>
        <w:gridCol w:w="994"/>
        <w:gridCol w:w="229"/>
        <w:gridCol w:w="510"/>
        <w:gridCol w:w="923"/>
        <w:gridCol w:w="688"/>
        <w:gridCol w:w="927"/>
        <w:gridCol w:w="663"/>
        <w:gridCol w:w="1134"/>
      </w:tblGrid>
      <w:tr w:rsidR="004F75D0" w:rsidRPr="005D4374" w:rsidTr="005B3A0A">
        <w:trPr>
          <w:gridAfter w:val="6"/>
          <w:wAfter w:w="4836" w:type="dxa"/>
          <w:trHeight w:val="488"/>
        </w:trPr>
        <w:tc>
          <w:tcPr>
            <w:tcW w:w="3669" w:type="dxa"/>
            <w:gridSpan w:val="6"/>
            <w:tcBorders>
              <w:top w:val="nil"/>
              <w:left w:val="nil"/>
              <w:bottom w:val="nil"/>
              <w:right w:val="nil"/>
            </w:tcBorders>
            <w:noWrap/>
            <w:vAlign w:val="bottom"/>
          </w:tcPr>
          <w:p w:rsidR="004F75D0" w:rsidRPr="005B3A0A" w:rsidRDefault="004F75D0" w:rsidP="005B3A0A">
            <w:pPr>
              <w:spacing w:after="0" w:line="240" w:lineRule="auto"/>
              <w:jc w:val="right"/>
              <w:rPr>
                <w:b/>
                <w:sz w:val="24"/>
                <w:szCs w:val="24"/>
                <w:u w:val="single"/>
              </w:rPr>
            </w:pPr>
            <w:r w:rsidRPr="005B3A0A">
              <w:rPr>
                <w:b/>
                <w:sz w:val="24"/>
                <w:szCs w:val="24"/>
                <w:u w:val="single"/>
              </w:rPr>
              <w:t>China GDP growth rates</w:t>
            </w:r>
          </w:p>
          <w:p w:rsidR="004F75D0" w:rsidRPr="00D13390" w:rsidRDefault="004F75D0" w:rsidP="00D13390">
            <w:pPr>
              <w:spacing w:after="0" w:line="240" w:lineRule="auto"/>
              <w:rPr>
                <w:rFonts w:cs="Calibri"/>
                <w:b/>
                <w:bCs/>
                <w:color w:val="000000"/>
              </w:rPr>
            </w:pPr>
          </w:p>
        </w:tc>
      </w:tr>
      <w:tr w:rsidR="004F75D0" w:rsidRPr="005D4374" w:rsidTr="005B3A0A">
        <w:trPr>
          <w:gridAfter w:val="6"/>
          <w:wAfter w:w="4836" w:type="dxa"/>
          <w:trHeight w:val="488"/>
        </w:trPr>
        <w:tc>
          <w:tcPr>
            <w:tcW w:w="904" w:type="dxa"/>
            <w:tcBorders>
              <w:top w:val="nil"/>
              <w:left w:val="nil"/>
              <w:bottom w:val="nil"/>
              <w:right w:val="nil"/>
            </w:tcBorders>
            <w:noWrap/>
            <w:vAlign w:val="bottom"/>
          </w:tcPr>
          <w:p w:rsidR="004F75D0" w:rsidRPr="00D13390" w:rsidRDefault="004F75D0" w:rsidP="00D13390">
            <w:pPr>
              <w:spacing w:after="0" w:line="240" w:lineRule="auto"/>
              <w:rPr>
                <w:rFonts w:cs="Calibri"/>
                <w:b/>
                <w:bCs/>
                <w:color w:val="000000"/>
              </w:rPr>
            </w:pPr>
          </w:p>
        </w:tc>
        <w:tc>
          <w:tcPr>
            <w:tcW w:w="1085" w:type="dxa"/>
            <w:gridSpan w:val="2"/>
            <w:tcBorders>
              <w:top w:val="nil"/>
              <w:left w:val="nil"/>
              <w:bottom w:val="nil"/>
              <w:right w:val="nil"/>
            </w:tcBorders>
            <w:noWrap/>
            <w:vAlign w:val="bottom"/>
          </w:tcPr>
          <w:p w:rsidR="004F75D0" w:rsidRPr="00D13390" w:rsidRDefault="004F75D0" w:rsidP="00D13390">
            <w:pPr>
              <w:spacing w:after="0" w:line="240" w:lineRule="auto"/>
              <w:rPr>
                <w:rFonts w:cs="Calibri"/>
                <w:b/>
                <w:bCs/>
                <w:color w:val="000000"/>
              </w:rPr>
            </w:pPr>
          </w:p>
        </w:tc>
        <w:tc>
          <w:tcPr>
            <w:tcW w:w="457" w:type="dxa"/>
            <w:tcBorders>
              <w:top w:val="nil"/>
              <w:left w:val="nil"/>
              <w:bottom w:val="nil"/>
              <w:right w:val="nil"/>
            </w:tcBorders>
            <w:noWrap/>
            <w:vAlign w:val="bottom"/>
          </w:tcPr>
          <w:p w:rsidR="004F75D0" w:rsidRPr="00D13390" w:rsidRDefault="004F75D0" w:rsidP="00D13390">
            <w:pPr>
              <w:spacing w:after="0" w:line="240" w:lineRule="auto"/>
              <w:rPr>
                <w:rFonts w:cs="Calibri"/>
                <w:b/>
                <w:bCs/>
                <w:color w:val="000000"/>
              </w:rPr>
            </w:pPr>
          </w:p>
        </w:tc>
        <w:tc>
          <w:tcPr>
            <w:tcW w:w="1223" w:type="dxa"/>
            <w:gridSpan w:val="2"/>
            <w:tcBorders>
              <w:top w:val="nil"/>
              <w:left w:val="nil"/>
              <w:bottom w:val="nil"/>
              <w:right w:val="nil"/>
            </w:tcBorders>
            <w:noWrap/>
            <w:vAlign w:val="bottom"/>
          </w:tcPr>
          <w:p w:rsidR="004F75D0" w:rsidRPr="00D13390" w:rsidRDefault="004F75D0" w:rsidP="00D13390">
            <w:pPr>
              <w:spacing w:after="0" w:line="240" w:lineRule="auto"/>
              <w:rPr>
                <w:rFonts w:cs="Calibri"/>
                <w:b/>
                <w:bCs/>
                <w:color w:val="000000"/>
              </w:rPr>
            </w:pPr>
          </w:p>
        </w:tc>
      </w:tr>
      <w:tr w:rsidR="004F75D0" w:rsidRPr="005D4374" w:rsidTr="005B3A0A">
        <w:trPr>
          <w:trHeight w:val="809"/>
        </w:trPr>
        <w:tc>
          <w:tcPr>
            <w:tcW w:w="904" w:type="dxa"/>
            <w:tcBorders>
              <w:top w:val="single" w:sz="4" w:space="0" w:color="auto"/>
              <w:left w:val="single" w:sz="4" w:space="0" w:color="auto"/>
              <w:bottom w:val="single" w:sz="4" w:space="0" w:color="auto"/>
              <w:right w:val="single" w:sz="4" w:space="0" w:color="auto"/>
            </w:tcBorders>
            <w:shd w:val="clear" w:color="000000" w:fill="FFFF99"/>
            <w:vAlign w:val="bottom"/>
          </w:tcPr>
          <w:p w:rsidR="004F75D0" w:rsidRPr="00C21610" w:rsidRDefault="004F75D0" w:rsidP="00C21610">
            <w:pPr>
              <w:spacing w:after="0" w:line="240" w:lineRule="auto"/>
              <w:jc w:val="center"/>
              <w:rPr>
                <w:rFonts w:ascii="Arial" w:hAnsi="Arial" w:cs="Arial"/>
                <w:b/>
                <w:bCs/>
                <w:color w:val="000000"/>
                <w:sz w:val="18"/>
                <w:szCs w:val="18"/>
              </w:rPr>
            </w:pPr>
            <w:r w:rsidRPr="00C21610">
              <w:rPr>
                <w:rFonts w:ascii="Arial" w:hAnsi="Arial" w:cs="Arial"/>
                <w:b/>
                <w:bCs/>
                <w:color w:val="000000"/>
                <w:sz w:val="18"/>
                <w:szCs w:val="18"/>
                <w:lang w:val="el-GR"/>
              </w:rPr>
              <w:t>Year</w:t>
            </w:r>
          </w:p>
        </w:tc>
        <w:tc>
          <w:tcPr>
            <w:tcW w:w="869" w:type="dxa"/>
            <w:tcBorders>
              <w:top w:val="single" w:sz="4" w:space="0" w:color="auto"/>
              <w:left w:val="nil"/>
              <w:bottom w:val="single" w:sz="4" w:space="0" w:color="auto"/>
              <w:right w:val="single" w:sz="4" w:space="0" w:color="auto"/>
            </w:tcBorders>
            <w:shd w:val="clear" w:color="000000" w:fill="FFFF99"/>
            <w:vAlign w:val="bottom"/>
          </w:tcPr>
          <w:p w:rsidR="004F75D0" w:rsidRPr="00C21610" w:rsidRDefault="004F75D0" w:rsidP="00C21610">
            <w:pPr>
              <w:spacing w:after="0" w:line="240" w:lineRule="auto"/>
              <w:jc w:val="center"/>
              <w:rPr>
                <w:rFonts w:ascii="Arial" w:hAnsi="Arial" w:cs="Arial"/>
                <w:b/>
                <w:bCs/>
                <w:color w:val="000000"/>
                <w:sz w:val="18"/>
                <w:szCs w:val="18"/>
              </w:rPr>
            </w:pPr>
            <w:r w:rsidRPr="00C21610">
              <w:rPr>
                <w:rFonts w:ascii="Arial" w:hAnsi="Arial" w:cs="Arial"/>
                <w:b/>
                <w:bCs/>
                <w:color w:val="000000"/>
                <w:sz w:val="18"/>
                <w:szCs w:val="18"/>
                <w:lang w:val="el-GR"/>
              </w:rPr>
              <w:t>Growth Rate %</w:t>
            </w:r>
          </w:p>
        </w:tc>
        <w:tc>
          <w:tcPr>
            <w:tcW w:w="673" w:type="dxa"/>
            <w:gridSpan w:val="2"/>
            <w:tcBorders>
              <w:top w:val="single" w:sz="4" w:space="0" w:color="auto"/>
              <w:left w:val="nil"/>
              <w:bottom w:val="single" w:sz="4" w:space="0" w:color="auto"/>
              <w:right w:val="single" w:sz="4" w:space="0" w:color="auto"/>
            </w:tcBorders>
            <w:shd w:val="clear" w:color="000000" w:fill="FFFF99"/>
            <w:vAlign w:val="bottom"/>
          </w:tcPr>
          <w:p w:rsidR="004F75D0" w:rsidRPr="00C21610" w:rsidRDefault="004F75D0" w:rsidP="00C21610">
            <w:pPr>
              <w:spacing w:after="0" w:line="240" w:lineRule="auto"/>
              <w:jc w:val="center"/>
              <w:rPr>
                <w:rFonts w:ascii="Arial" w:hAnsi="Arial" w:cs="Arial"/>
                <w:b/>
                <w:bCs/>
                <w:color w:val="000000"/>
                <w:sz w:val="18"/>
                <w:szCs w:val="18"/>
              </w:rPr>
            </w:pPr>
            <w:r w:rsidRPr="00C21610">
              <w:rPr>
                <w:rFonts w:ascii="Arial" w:hAnsi="Arial" w:cs="Arial"/>
                <w:b/>
                <w:bCs/>
                <w:color w:val="000000"/>
                <w:sz w:val="18"/>
                <w:szCs w:val="18"/>
                <w:lang w:val="el-GR"/>
              </w:rPr>
              <w:t>Year</w:t>
            </w:r>
          </w:p>
        </w:tc>
        <w:tc>
          <w:tcPr>
            <w:tcW w:w="994" w:type="dxa"/>
            <w:tcBorders>
              <w:top w:val="single" w:sz="4" w:space="0" w:color="auto"/>
              <w:left w:val="nil"/>
              <w:bottom w:val="single" w:sz="4" w:space="0" w:color="auto"/>
              <w:right w:val="single" w:sz="4" w:space="0" w:color="auto"/>
            </w:tcBorders>
            <w:shd w:val="clear" w:color="000000" w:fill="FFFF99"/>
            <w:vAlign w:val="bottom"/>
          </w:tcPr>
          <w:p w:rsidR="004F75D0" w:rsidRPr="00C21610" w:rsidRDefault="004F75D0" w:rsidP="00C21610">
            <w:pPr>
              <w:spacing w:after="0" w:line="240" w:lineRule="auto"/>
              <w:jc w:val="center"/>
              <w:rPr>
                <w:rFonts w:ascii="Arial" w:hAnsi="Arial" w:cs="Arial"/>
                <w:b/>
                <w:bCs/>
                <w:color w:val="000000"/>
                <w:sz w:val="18"/>
                <w:szCs w:val="18"/>
              </w:rPr>
            </w:pPr>
            <w:r w:rsidRPr="00C21610">
              <w:rPr>
                <w:rFonts w:ascii="Arial" w:hAnsi="Arial" w:cs="Arial"/>
                <w:b/>
                <w:bCs/>
                <w:color w:val="000000"/>
                <w:sz w:val="18"/>
                <w:szCs w:val="18"/>
                <w:lang w:val="el-GR"/>
              </w:rPr>
              <w:t>Growth Rate %</w:t>
            </w:r>
          </w:p>
        </w:tc>
        <w:tc>
          <w:tcPr>
            <w:tcW w:w="739" w:type="dxa"/>
            <w:gridSpan w:val="2"/>
            <w:tcBorders>
              <w:top w:val="single" w:sz="4" w:space="0" w:color="auto"/>
              <w:left w:val="nil"/>
              <w:bottom w:val="single" w:sz="4" w:space="0" w:color="auto"/>
              <w:right w:val="single" w:sz="4" w:space="0" w:color="auto"/>
            </w:tcBorders>
            <w:shd w:val="clear" w:color="000000" w:fill="FFFF99"/>
            <w:vAlign w:val="bottom"/>
          </w:tcPr>
          <w:p w:rsidR="004F75D0" w:rsidRPr="00C21610" w:rsidRDefault="004F75D0" w:rsidP="00C21610">
            <w:pPr>
              <w:spacing w:after="0" w:line="240" w:lineRule="auto"/>
              <w:jc w:val="center"/>
              <w:rPr>
                <w:rFonts w:ascii="Arial" w:hAnsi="Arial" w:cs="Arial"/>
                <w:b/>
                <w:bCs/>
                <w:color w:val="000000"/>
                <w:sz w:val="18"/>
                <w:szCs w:val="18"/>
              </w:rPr>
            </w:pPr>
            <w:r w:rsidRPr="00C21610">
              <w:rPr>
                <w:rFonts w:ascii="Arial" w:hAnsi="Arial" w:cs="Arial"/>
                <w:b/>
                <w:bCs/>
                <w:color w:val="000000"/>
                <w:sz w:val="18"/>
                <w:szCs w:val="18"/>
                <w:lang w:val="el-GR"/>
              </w:rPr>
              <w:t>Year</w:t>
            </w:r>
          </w:p>
        </w:tc>
        <w:tc>
          <w:tcPr>
            <w:tcW w:w="923" w:type="dxa"/>
            <w:tcBorders>
              <w:top w:val="single" w:sz="4" w:space="0" w:color="auto"/>
              <w:left w:val="nil"/>
              <w:bottom w:val="single" w:sz="4" w:space="0" w:color="auto"/>
              <w:right w:val="single" w:sz="4" w:space="0" w:color="auto"/>
            </w:tcBorders>
            <w:shd w:val="clear" w:color="000000" w:fill="FFFF99"/>
            <w:vAlign w:val="bottom"/>
          </w:tcPr>
          <w:p w:rsidR="004F75D0" w:rsidRPr="00C21610" w:rsidRDefault="004F75D0" w:rsidP="00C21610">
            <w:pPr>
              <w:spacing w:after="0" w:line="240" w:lineRule="auto"/>
              <w:jc w:val="center"/>
              <w:rPr>
                <w:rFonts w:ascii="Arial" w:hAnsi="Arial" w:cs="Arial"/>
                <w:b/>
                <w:bCs/>
                <w:color w:val="000000"/>
                <w:sz w:val="18"/>
                <w:szCs w:val="18"/>
              </w:rPr>
            </w:pPr>
            <w:r w:rsidRPr="00C21610">
              <w:rPr>
                <w:rFonts w:ascii="Arial" w:hAnsi="Arial" w:cs="Arial"/>
                <w:b/>
                <w:bCs/>
                <w:color w:val="000000"/>
                <w:sz w:val="18"/>
                <w:szCs w:val="18"/>
                <w:lang w:val="el-GR"/>
              </w:rPr>
              <w:t>Growth Rate %</w:t>
            </w:r>
          </w:p>
        </w:tc>
        <w:tc>
          <w:tcPr>
            <w:tcW w:w="688" w:type="dxa"/>
            <w:tcBorders>
              <w:top w:val="single" w:sz="4" w:space="0" w:color="auto"/>
              <w:left w:val="nil"/>
              <w:bottom w:val="single" w:sz="4" w:space="0" w:color="auto"/>
              <w:right w:val="single" w:sz="4" w:space="0" w:color="auto"/>
            </w:tcBorders>
            <w:shd w:val="clear" w:color="000000" w:fill="FFFF99"/>
            <w:vAlign w:val="bottom"/>
          </w:tcPr>
          <w:p w:rsidR="004F75D0" w:rsidRPr="00C21610" w:rsidRDefault="004F75D0" w:rsidP="00C21610">
            <w:pPr>
              <w:spacing w:after="0" w:line="240" w:lineRule="auto"/>
              <w:jc w:val="center"/>
              <w:rPr>
                <w:rFonts w:ascii="Arial" w:hAnsi="Arial" w:cs="Arial"/>
                <w:b/>
                <w:bCs/>
                <w:color w:val="000000"/>
                <w:sz w:val="18"/>
                <w:szCs w:val="18"/>
              </w:rPr>
            </w:pPr>
            <w:r w:rsidRPr="00C21610">
              <w:rPr>
                <w:rFonts w:ascii="Arial" w:hAnsi="Arial" w:cs="Arial"/>
                <w:b/>
                <w:bCs/>
                <w:color w:val="000000"/>
                <w:sz w:val="18"/>
                <w:szCs w:val="18"/>
                <w:lang w:val="el-GR"/>
              </w:rPr>
              <w:t>Year</w:t>
            </w:r>
          </w:p>
        </w:tc>
        <w:tc>
          <w:tcPr>
            <w:tcW w:w="927" w:type="dxa"/>
            <w:tcBorders>
              <w:top w:val="single" w:sz="4" w:space="0" w:color="auto"/>
              <w:left w:val="nil"/>
              <w:bottom w:val="single" w:sz="4" w:space="0" w:color="auto"/>
              <w:right w:val="single" w:sz="4" w:space="0" w:color="auto"/>
            </w:tcBorders>
            <w:shd w:val="clear" w:color="000000" w:fill="FFFF99"/>
            <w:vAlign w:val="bottom"/>
          </w:tcPr>
          <w:p w:rsidR="004F75D0" w:rsidRPr="00C21610" w:rsidRDefault="004F75D0" w:rsidP="00C21610">
            <w:pPr>
              <w:spacing w:after="0" w:line="240" w:lineRule="auto"/>
              <w:jc w:val="center"/>
              <w:rPr>
                <w:rFonts w:ascii="Arial" w:hAnsi="Arial" w:cs="Arial"/>
                <w:b/>
                <w:bCs/>
                <w:color w:val="000000"/>
                <w:sz w:val="18"/>
                <w:szCs w:val="18"/>
              </w:rPr>
            </w:pPr>
            <w:r w:rsidRPr="00C21610">
              <w:rPr>
                <w:rFonts w:ascii="Arial" w:hAnsi="Arial" w:cs="Arial"/>
                <w:b/>
                <w:bCs/>
                <w:color w:val="000000"/>
                <w:sz w:val="18"/>
                <w:szCs w:val="18"/>
                <w:lang w:val="el-GR"/>
              </w:rPr>
              <w:t>Growth Rate %</w:t>
            </w:r>
          </w:p>
        </w:tc>
        <w:tc>
          <w:tcPr>
            <w:tcW w:w="654" w:type="dxa"/>
            <w:tcBorders>
              <w:top w:val="single" w:sz="4" w:space="0" w:color="auto"/>
              <w:left w:val="nil"/>
              <w:bottom w:val="single" w:sz="4" w:space="0" w:color="auto"/>
              <w:right w:val="single" w:sz="4" w:space="0" w:color="auto"/>
            </w:tcBorders>
            <w:shd w:val="clear" w:color="000000" w:fill="FFFF99"/>
            <w:vAlign w:val="bottom"/>
          </w:tcPr>
          <w:p w:rsidR="004F75D0" w:rsidRPr="00C21610" w:rsidRDefault="004F75D0" w:rsidP="00C21610">
            <w:pPr>
              <w:spacing w:after="0" w:line="240" w:lineRule="auto"/>
              <w:jc w:val="center"/>
              <w:rPr>
                <w:rFonts w:ascii="Arial" w:hAnsi="Arial" w:cs="Arial"/>
                <w:b/>
                <w:bCs/>
                <w:color w:val="000000"/>
                <w:sz w:val="18"/>
                <w:szCs w:val="18"/>
              </w:rPr>
            </w:pPr>
            <w:r w:rsidRPr="00C21610">
              <w:rPr>
                <w:rFonts w:ascii="Arial" w:hAnsi="Arial" w:cs="Arial"/>
                <w:b/>
                <w:bCs/>
                <w:color w:val="000000"/>
                <w:sz w:val="18"/>
                <w:szCs w:val="18"/>
                <w:lang w:val="el-GR"/>
              </w:rPr>
              <w:t>Year</w:t>
            </w:r>
          </w:p>
        </w:tc>
        <w:tc>
          <w:tcPr>
            <w:tcW w:w="1134" w:type="dxa"/>
            <w:tcBorders>
              <w:top w:val="single" w:sz="4" w:space="0" w:color="auto"/>
              <w:left w:val="nil"/>
              <w:bottom w:val="single" w:sz="4" w:space="0" w:color="auto"/>
              <w:right w:val="single" w:sz="4" w:space="0" w:color="auto"/>
            </w:tcBorders>
            <w:shd w:val="clear" w:color="000000" w:fill="FFFF99"/>
            <w:vAlign w:val="bottom"/>
          </w:tcPr>
          <w:p w:rsidR="004F75D0" w:rsidRPr="00C21610" w:rsidRDefault="004F75D0" w:rsidP="00C21610">
            <w:pPr>
              <w:spacing w:after="0" w:line="240" w:lineRule="auto"/>
              <w:jc w:val="center"/>
              <w:rPr>
                <w:rFonts w:ascii="Arial" w:hAnsi="Arial" w:cs="Arial"/>
                <w:b/>
                <w:bCs/>
                <w:color w:val="000000"/>
                <w:sz w:val="18"/>
                <w:szCs w:val="18"/>
              </w:rPr>
            </w:pPr>
            <w:r w:rsidRPr="00C21610">
              <w:rPr>
                <w:rFonts w:ascii="Arial" w:hAnsi="Arial" w:cs="Arial"/>
                <w:b/>
                <w:bCs/>
                <w:color w:val="000000"/>
                <w:sz w:val="18"/>
                <w:szCs w:val="18"/>
                <w:lang w:val="el-GR"/>
              </w:rPr>
              <w:t>Growth Rate %</w:t>
            </w:r>
          </w:p>
        </w:tc>
      </w:tr>
      <w:tr w:rsidR="004F75D0" w:rsidRPr="005D4374" w:rsidTr="005B3A0A">
        <w:trPr>
          <w:trHeight w:val="515"/>
        </w:trPr>
        <w:tc>
          <w:tcPr>
            <w:tcW w:w="904" w:type="dxa"/>
            <w:tcBorders>
              <w:top w:val="nil"/>
              <w:left w:val="single" w:sz="4" w:space="0" w:color="auto"/>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2010</w:t>
            </w:r>
          </w:p>
        </w:tc>
        <w:tc>
          <w:tcPr>
            <w:tcW w:w="869" w:type="dxa"/>
            <w:tcBorders>
              <w:top w:val="nil"/>
              <w:left w:val="nil"/>
              <w:bottom w:val="single" w:sz="4" w:space="0" w:color="auto"/>
              <w:right w:val="single" w:sz="4" w:space="0" w:color="auto"/>
            </w:tcBorders>
            <w:vAlign w:val="bottom"/>
          </w:tcPr>
          <w:p w:rsidR="004F75D0" w:rsidRPr="00C21610" w:rsidRDefault="004F75D0" w:rsidP="0030305D">
            <w:pPr>
              <w:spacing w:after="0" w:line="240" w:lineRule="auto"/>
              <w:jc w:val="center"/>
              <w:rPr>
                <w:rFonts w:ascii="Times New Roman" w:hAnsi="Times New Roman"/>
                <w:color w:val="000000"/>
                <w:sz w:val="24"/>
                <w:szCs w:val="24"/>
              </w:rPr>
            </w:pPr>
            <w:r w:rsidRPr="00C21610">
              <w:rPr>
                <w:rFonts w:ascii="Times New Roman" w:hAnsi="Times New Roman"/>
                <w:color w:val="000000"/>
                <w:sz w:val="24"/>
                <w:szCs w:val="24"/>
                <w:lang w:val="el-GR"/>
              </w:rPr>
              <w:t>-</w:t>
            </w:r>
          </w:p>
        </w:tc>
        <w:tc>
          <w:tcPr>
            <w:tcW w:w="673"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2003</w:t>
            </w:r>
          </w:p>
        </w:tc>
        <w:tc>
          <w:tcPr>
            <w:tcW w:w="99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9.5</w:t>
            </w:r>
          </w:p>
        </w:tc>
        <w:tc>
          <w:tcPr>
            <w:tcW w:w="739"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1996</w:t>
            </w:r>
          </w:p>
        </w:tc>
        <w:tc>
          <w:tcPr>
            <w:tcW w:w="923"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9.6</w:t>
            </w:r>
          </w:p>
        </w:tc>
        <w:tc>
          <w:tcPr>
            <w:tcW w:w="688"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1989</w:t>
            </w:r>
          </w:p>
        </w:tc>
        <w:tc>
          <w:tcPr>
            <w:tcW w:w="927"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4.1</w:t>
            </w:r>
          </w:p>
        </w:tc>
        <w:tc>
          <w:tcPr>
            <w:tcW w:w="65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1982</w:t>
            </w:r>
          </w:p>
        </w:tc>
        <w:tc>
          <w:tcPr>
            <w:tcW w:w="113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9.1</w:t>
            </w:r>
          </w:p>
        </w:tc>
      </w:tr>
      <w:tr w:rsidR="004F75D0" w:rsidRPr="005D4374" w:rsidTr="005B3A0A">
        <w:trPr>
          <w:trHeight w:val="488"/>
        </w:trPr>
        <w:tc>
          <w:tcPr>
            <w:tcW w:w="904" w:type="dxa"/>
            <w:tcBorders>
              <w:top w:val="nil"/>
              <w:left w:val="single" w:sz="4" w:space="0" w:color="auto"/>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2009</w:t>
            </w:r>
          </w:p>
        </w:tc>
        <w:tc>
          <w:tcPr>
            <w:tcW w:w="869"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9.1</w:t>
            </w:r>
          </w:p>
        </w:tc>
        <w:tc>
          <w:tcPr>
            <w:tcW w:w="673"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2002</w:t>
            </w:r>
          </w:p>
        </w:tc>
        <w:tc>
          <w:tcPr>
            <w:tcW w:w="99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8.3</w:t>
            </w:r>
          </w:p>
        </w:tc>
        <w:tc>
          <w:tcPr>
            <w:tcW w:w="739"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1995</w:t>
            </w:r>
          </w:p>
        </w:tc>
        <w:tc>
          <w:tcPr>
            <w:tcW w:w="923"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10.5</w:t>
            </w:r>
          </w:p>
        </w:tc>
        <w:tc>
          <w:tcPr>
            <w:tcW w:w="688"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1988</w:t>
            </w:r>
          </w:p>
        </w:tc>
        <w:tc>
          <w:tcPr>
            <w:tcW w:w="927"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11.3</w:t>
            </w:r>
          </w:p>
        </w:tc>
        <w:tc>
          <w:tcPr>
            <w:tcW w:w="65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1981</w:t>
            </w:r>
          </w:p>
        </w:tc>
        <w:tc>
          <w:tcPr>
            <w:tcW w:w="113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5.2</w:t>
            </w:r>
          </w:p>
        </w:tc>
      </w:tr>
      <w:tr w:rsidR="004F75D0" w:rsidRPr="005D4374" w:rsidTr="005B3A0A">
        <w:trPr>
          <w:trHeight w:val="488"/>
        </w:trPr>
        <w:tc>
          <w:tcPr>
            <w:tcW w:w="904" w:type="dxa"/>
            <w:tcBorders>
              <w:top w:val="nil"/>
              <w:left w:val="single" w:sz="4" w:space="0" w:color="auto"/>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2008</w:t>
            </w:r>
          </w:p>
        </w:tc>
        <w:tc>
          <w:tcPr>
            <w:tcW w:w="869"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9</w:t>
            </w:r>
          </w:p>
        </w:tc>
        <w:tc>
          <w:tcPr>
            <w:tcW w:w="673"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2001</w:t>
            </w:r>
          </w:p>
        </w:tc>
        <w:tc>
          <w:tcPr>
            <w:tcW w:w="99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7.5</w:t>
            </w:r>
          </w:p>
        </w:tc>
        <w:tc>
          <w:tcPr>
            <w:tcW w:w="739"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1994</w:t>
            </w:r>
          </w:p>
        </w:tc>
        <w:tc>
          <w:tcPr>
            <w:tcW w:w="923"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12.6</w:t>
            </w:r>
          </w:p>
        </w:tc>
        <w:tc>
          <w:tcPr>
            <w:tcW w:w="688"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1987</w:t>
            </w:r>
          </w:p>
        </w:tc>
        <w:tc>
          <w:tcPr>
            <w:tcW w:w="927"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11.6</w:t>
            </w:r>
          </w:p>
        </w:tc>
        <w:tc>
          <w:tcPr>
            <w:tcW w:w="65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1980</w:t>
            </w:r>
          </w:p>
        </w:tc>
        <w:tc>
          <w:tcPr>
            <w:tcW w:w="113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7.8</w:t>
            </w:r>
          </w:p>
        </w:tc>
      </w:tr>
      <w:tr w:rsidR="004F75D0" w:rsidRPr="005D4374" w:rsidTr="005B3A0A">
        <w:trPr>
          <w:trHeight w:val="488"/>
        </w:trPr>
        <w:tc>
          <w:tcPr>
            <w:tcW w:w="904" w:type="dxa"/>
            <w:tcBorders>
              <w:top w:val="nil"/>
              <w:left w:val="single" w:sz="4" w:space="0" w:color="auto"/>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2007</w:t>
            </w:r>
          </w:p>
        </w:tc>
        <w:tc>
          <w:tcPr>
            <w:tcW w:w="869"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13</w:t>
            </w:r>
          </w:p>
        </w:tc>
        <w:tc>
          <w:tcPr>
            <w:tcW w:w="673"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2000</w:t>
            </w:r>
          </w:p>
        </w:tc>
        <w:tc>
          <w:tcPr>
            <w:tcW w:w="99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8</w:t>
            </w:r>
          </w:p>
        </w:tc>
        <w:tc>
          <w:tcPr>
            <w:tcW w:w="739"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1993</w:t>
            </w:r>
          </w:p>
        </w:tc>
        <w:tc>
          <w:tcPr>
            <w:tcW w:w="923"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13.5</w:t>
            </w:r>
          </w:p>
        </w:tc>
        <w:tc>
          <w:tcPr>
            <w:tcW w:w="688"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1986</w:t>
            </w:r>
          </w:p>
        </w:tc>
        <w:tc>
          <w:tcPr>
            <w:tcW w:w="927"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8.8</w:t>
            </w:r>
          </w:p>
        </w:tc>
        <w:tc>
          <w:tcPr>
            <w:tcW w:w="65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p>
        </w:tc>
        <w:tc>
          <w:tcPr>
            <w:tcW w:w="113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p>
        </w:tc>
      </w:tr>
      <w:tr w:rsidR="004F75D0" w:rsidRPr="005D4374" w:rsidTr="005B3A0A">
        <w:trPr>
          <w:trHeight w:val="488"/>
        </w:trPr>
        <w:tc>
          <w:tcPr>
            <w:tcW w:w="904" w:type="dxa"/>
            <w:tcBorders>
              <w:top w:val="nil"/>
              <w:left w:val="single" w:sz="4" w:space="0" w:color="auto"/>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2006</w:t>
            </w:r>
          </w:p>
        </w:tc>
        <w:tc>
          <w:tcPr>
            <w:tcW w:w="869"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11.6</w:t>
            </w:r>
          </w:p>
        </w:tc>
        <w:tc>
          <w:tcPr>
            <w:tcW w:w="673"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1999</w:t>
            </w:r>
          </w:p>
        </w:tc>
        <w:tc>
          <w:tcPr>
            <w:tcW w:w="99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7.1</w:t>
            </w:r>
          </w:p>
        </w:tc>
        <w:tc>
          <w:tcPr>
            <w:tcW w:w="739"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1992</w:t>
            </w:r>
          </w:p>
        </w:tc>
        <w:tc>
          <w:tcPr>
            <w:tcW w:w="923"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14.2</w:t>
            </w:r>
          </w:p>
        </w:tc>
        <w:tc>
          <w:tcPr>
            <w:tcW w:w="688"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1985</w:t>
            </w:r>
          </w:p>
        </w:tc>
        <w:tc>
          <w:tcPr>
            <w:tcW w:w="927"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13.5</w:t>
            </w:r>
          </w:p>
        </w:tc>
        <w:tc>
          <w:tcPr>
            <w:tcW w:w="65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p>
        </w:tc>
        <w:tc>
          <w:tcPr>
            <w:tcW w:w="113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p>
        </w:tc>
      </w:tr>
      <w:tr w:rsidR="004F75D0" w:rsidRPr="005D4374" w:rsidTr="005B3A0A">
        <w:trPr>
          <w:trHeight w:val="488"/>
        </w:trPr>
        <w:tc>
          <w:tcPr>
            <w:tcW w:w="904" w:type="dxa"/>
            <w:tcBorders>
              <w:top w:val="nil"/>
              <w:left w:val="single" w:sz="4" w:space="0" w:color="auto"/>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2005</w:t>
            </w:r>
          </w:p>
        </w:tc>
        <w:tc>
          <w:tcPr>
            <w:tcW w:w="869"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10.4</w:t>
            </w:r>
          </w:p>
        </w:tc>
        <w:tc>
          <w:tcPr>
            <w:tcW w:w="673"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1998</w:t>
            </w:r>
          </w:p>
        </w:tc>
        <w:tc>
          <w:tcPr>
            <w:tcW w:w="99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7.8</w:t>
            </w:r>
          </w:p>
        </w:tc>
        <w:tc>
          <w:tcPr>
            <w:tcW w:w="739"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1991</w:t>
            </w:r>
          </w:p>
        </w:tc>
        <w:tc>
          <w:tcPr>
            <w:tcW w:w="923"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9.2</w:t>
            </w:r>
          </w:p>
        </w:tc>
        <w:tc>
          <w:tcPr>
            <w:tcW w:w="688"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1984</w:t>
            </w:r>
          </w:p>
        </w:tc>
        <w:tc>
          <w:tcPr>
            <w:tcW w:w="927"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15.2</w:t>
            </w:r>
          </w:p>
        </w:tc>
        <w:tc>
          <w:tcPr>
            <w:tcW w:w="65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p>
        </w:tc>
        <w:tc>
          <w:tcPr>
            <w:tcW w:w="113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p>
        </w:tc>
      </w:tr>
      <w:tr w:rsidR="004F75D0" w:rsidRPr="005D4374" w:rsidTr="005B3A0A">
        <w:trPr>
          <w:trHeight w:val="488"/>
        </w:trPr>
        <w:tc>
          <w:tcPr>
            <w:tcW w:w="904" w:type="dxa"/>
            <w:tcBorders>
              <w:top w:val="nil"/>
              <w:left w:val="single" w:sz="4" w:space="0" w:color="auto"/>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2004</w:t>
            </w:r>
          </w:p>
        </w:tc>
        <w:tc>
          <w:tcPr>
            <w:tcW w:w="869"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10.1</w:t>
            </w:r>
          </w:p>
        </w:tc>
        <w:tc>
          <w:tcPr>
            <w:tcW w:w="673"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1997</w:t>
            </w:r>
          </w:p>
        </w:tc>
        <w:tc>
          <w:tcPr>
            <w:tcW w:w="99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8.8</w:t>
            </w:r>
          </w:p>
        </w:tc>
        <w:tc>
          <w:tcPr>
            <w:tcW w:w="739" w:type="dxa"/>
            <w:gridSpan w:val="2"/>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1990</w:t>
            </w:r>
          </w:p>
        </w:tc>
        <w:tc>
          <w:tcPr>
            <w:tcW w:w="923"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3.8</w:t>
            </w:r>
          </w:p>
        </w:tc>
        <w:tc>
          <w:tcPr>
            <w:tcW w:w="688"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1983</w:t>
            </w:r>
          </w:p>
        </w:tc>
        <w:tc>
          <w:tcPr>
            <w:tcW w:w="927"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r w:rsidRPr="00C21610">
              <w:rPr>
                <w:rFonts w:cs="Calibri"/>
                <w:color w:val="000000"/>
              </w:rPr>
              <w:t>10.9</w:t>
            </w:r>
          </w:p>
        </w:tc>
        <w:tc>
          <w:tcPr>
            <w:tcW w:w="654" w:type="dxa"/>
            <w:tcBorders>
              <w:top w:val="nil"/>
              <w:left w:val="nil"/>
              <w:bottom w:val="single" w:sz="4" w:space="0" w:color="auto"/>
              <w:right w:val="single" w:sz="4" w:space="0" w:color="auto"/>
            </w:tcBorders>
            <w:noWrap/>
            <w:vAlign w:val="bottom"/>
          </w:tcPr>
          <w:p w:rsidR="004F75D0" w:rsidRPr="00C21610" w:rsidRDefault="004F75D0" w:rsidP="0030305D">
            <w:pPr>
              <w:spacing w:after="0" w:line="240" w:lineRule="auto"/>
              <w:jc w:val="center"/>
              <w:rPr>
                <w:rFonts w:cs="Calibri"/>
                <w:color w:val="000000"/>
              </w:rPr>
            </w:pPr>
          </w:p>
        </w:tc>
        <w:tc>
          <w:tcPr>
            <w:tcW w:w="1134" w:type="dxa"/>
            <w:tcBorders>
              <w:top w:val="nil"/>
              <w:left w:val="nil"/>
              <w:bottom w:val="single" w:sz="4" w:space="0" w:color="auto"/>
              <w:right w:val="single" w:sz="4" w:space="0" w:color="auto"/>
            </w:tcBorders>
            <w:noWrap/>
            <w:vAlign w:val="bottom"/>
          </w:tcPr>
          <w:p w:rsidR="004F75D0" w:rsidRPr="00C21610" w:rsidRDefault="004F75D0" w:rsidP="00DF0DE6">
            <w:pPr>
              <w:keepNext/>
              <w:spacing w:after="0" w:line="240" w:lineRule="auto"/>
              <w:jc w:val="center"/>
              <w:rPr>
                <w:rFonts w:cs="Calibri"/>
                <w:color w:val="000000"/>
              </w:rPr>
            </w:pPr>
          </w:p>
        </w:tc>
      </w:tr>
    </w:tbl>
    <w:p w:rsidR="004F75D0" w:rsidRDefault="004F75D0">
      <w:pPr>
        <w:pStyle w:val="Caption"/>
      </w:pPr>
      <w:bookmarkStart w:id="14" w:name="_Toc272771548"/>
      <w:r>
        <w:t xml:space="preserve">                     </w:t>
      </w:r>
    </w:p>
    <w:p w:rsidR="004F75D0" w:rsidRDefault="004F75D0">
      <w:pPr>
        <w:pStyle w:val="Caption"/>
      </w:pPr>
      <w:r>
        <w:t xml:space="preserve">                     </w:t>
      </w:r>
      <w:bookmarkStart w:id="15" w:name="_Toc274047043"/>
      <w:r>
        <w:t xml:space="preserve">Figure </w:t>
      </w:r>
      <w:fldSimple w:instr=" SEQ Figure \* ARABIC ">
        <w:r>
          <w:rPr>
            <w:noProof/>
          </w:rPr>
          <w:t>1</w:t>
        </w:r>
      </w:fldSimple>
      <w:r>
        <w:t>: Table representation of China's GDP growth rates between 1980 and 2009</w:t>
      </w:r>
      <w:bookmarkEnd w:id="15"/>
    </w:p>
    <w:p w:rsidR="004F75D0" w:rsidRDefault="004F75D0" w:rsidP="00402F9A">
      <w:pPr>
        <w:pStyle w:val="Caption"/>
      </w:pPr>
      <w:r>
        <w:t xml:space="preserve">                     </w:t>
      </w:r>
    </w:p>
    <w:bookmarkEnd w:id="14"/>
    <w:p w:rsidR="004F75D0" w:rsidRDefault="004F75D0" w:rsidP="00C34F84">
      <w:pPr>
        <w:pStyle w:val="Caption"/>
        <w:keepNext/>
        <w:ind w:left="360" w:firstLine="360"/>
      </w:pPr>
      <w:r>
        <w:t xml:space="preserve">  </w:t>
      </w:r>
      <w:r w:rsidRPr="00C34F84">
        <w:t xml:space="preserve"> </w:t>
      </w:r>
    </w:p>
    <w:p w:rsidR="004F75D0" w:rsidRPr="00BA718B" w:rsidRDefault="004F75D0" w:rsidP="00BA718B"/>
    <w:p w:rsidR="004F75D0" w:rsidRDefault="004F75D0" w:rsidP="00DF0DE6">
      <w:pPr>
        <w:keepNext/>
        <w:jc w:val="right"/>
      </w:pPr>
      <w:r>
        <w:t xml:space="preserve">     </w:t>
      </w:r>
      <w:r w:rsidRPr="00CD38A1">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2" o:spid="_x0000_i1025" type="#_x0000_t75" style="width:412.5pt;height:238.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">
            <v:imagedata r:id="rId7" o:title="" cropbottom="-41f"/>
            <o:lock v:ext="edit" aspectratio="f"/>
          </v:shape>
        </w:pict>
      </w:r>
    </w:p>
    <w:p w:rsidR="004F75D0" w:rsidRDefault="004F75D0" w:rsidP="00E836C1">
      <w:pPr>
        <w:pStyle w:val="Caption"/>
        <w:jc w:val="center"/>
      </w:pPr>
      <w:bookmarkStart w:id="16" w:name="_Toc274047044"/>
      <w:r>
        <w:t xml:space="preserve">Figure </w:t>
      </w:r>
      <w:fldSimple w:instr=" SEQ Figure \* ARABIC ">
        <w:r>
          <w:rPr>
            <w:noProof/>
          </w:rPr>
          <w:t>2</w:t>
        </w:r>
      </w:fldSimple>
      <w:r>
        <w:t>: Graphical representation of China's GDP growth rates between 1980 and 2009</w:t>
      </w:r>
      <w:bookmarkEnd w:id="16"/>
      <w:r>
        <w:rPr>
          <w:b w:val="0"/>
        </w:rPr>
        <w:t xml:space="preserve">                         </w:t>
      </w:r>
    </w:p>
    <w:p w:rsidR="004F75D0" w:rsidRPr="00AD1E61" w:rsidRDefault="004F75D0" w:rsidP="00AD1E61">
      <w:pPr>
        <w:rPr>
          <w:b/>
          <w:sz w:val="20"/>
          <w:szCs w:val="20"/>
        </w:rPr>
      </w:pPr>
      <w:r>
        <w:t xml:space="preserve">              </w:t>
      </w:r>
    </w:p>
    <w:p w:rsidR="004F75D0" w:rsidRDefault="004F75D0" w:rsidP="0034715F">
      <w:pPr>
        <w:pStyle w:val="ListParagraph"/>
        <w:numPr>
          <w:ilvl w:val="0"/>
          <w:numId w:val="20"/>
        </w:numPr>
        <w:rPr>
          <w:sz w:val="24"/>
          <w:szCs w:val="24"/>
        </w:rPr>
      </w:pPr>
      <w:r>
        <w:rPr>
          <w:sz w:val="24"/>
          <w:szCs w:val="24"/>
        </w:rPr>
        <w:t>India’s nominal GDP reached $1.243 trillion in 2009 and thus India is currently the eleventh largest economy in the world. While being one of the fastest growing emerging markets in the world, India’s GDP output comes from 28% agriculture, industry 54% and service 18%. The most significant agricultural products are rice, wheat and tea while India’s industry includes chemicals, machinery and telecommunications. Therefore India is a large exporter that has obtained a very high share of world trade. In 2007 a report from Goldman Sachs projected that “from 2007 to 2020 India’s GDP per capita will quadruple and that Indian GDP will surpass that of the USA before 2050”.</w:t>
      </w:r>
    </w:p>
    <w:p w:rsidR="004F75D0" w:rsidRPr="009C14DB" w:rsidRDefault="004F75D0" w:rsidP="009C14DB">
      <w:pPr>
        <w:rPr>
          <w:sz w:val="24"/>
          <w:szCs w:val="24"/>
        </w:rPr>
      </w:pPr>
    </w:p>
    <w:p w:rsidR="004F75D0" w:rsidRPr="0097505A" w:rsidRDefault="004F75D0" w:rsidP="005B32DF">
      <w:pPr>
        <w:pStyle w:val="ListParagraph"/>
        <w:numPr>
          <w:ilvl w:val="0"/>
          <w:numId w:val="20"/>
        </w:numPr>
        <w:rPr>
          <w:i/>
          <w:sz w:val="24"/>
          <w:szCs w:val="24"/>
        </w:rPr>
      </w:pPr>
      <w:r>
        <w:rPr>
          <w:sz w:val="24"/>
          <w:szCs w:val="24"/>
        </w:rPr>
        <w:t xml:space="preserve">Russia has a 7% average growth rate since 1998 while Russia’s GDP was $2.076 trillion in 2007. This brings Russia to the 6th largest economy in the world and one of the largest emerging markets worldwide. Russia is among the richest countries in mineral products, since natural gas, metals and timber account for the 80% of Russian exports. However oil and gas exports contribute only to 5.7% of Russia’s national GDP due to the intense growth of the internal market during the recent years. Important also to refer to is the unequal geographical contribution in the GDP of Russia. Moscow region contributes disproportionally higher to Russia’s GDP in comparison to Siberian rural regions of the large country </w:t>
      </w:r>
      <w:r w:rsidRPr="0097505A">
        <w:rPr>
          <w:i/>
          <w:sz w:val="24"/>
          <w:szCs w:val="24"/>
        </w:rPr>
        <w:t xml:space="preserve">(see </w:t>
      </w:r>
      <w:r>
        <w:rPr>
          <w:i/>
          <w:sz w:val="24"/>
          <w:szCs w:val="24"/>
        </w:rPr>
        <w:t>Figure 3).</w:t>
      </w:r>
    </w:p>
    <w:p w:rsidR="004F75D0" w:rsidRPr="0097505A" w:rsidRDefault="004F75D0" w:rsidP="0097505A">
      <w:pPr>
        <w:pStyle w:val="ListParagraph"/>
        <w:rPr>
          <w:sz w:val="24"/>
          <w:szCs w:val="24"/>
        </w:rPr>
      </w:pPr>
    </w:p>
    <w:p w:rsidR="004F75D0" w:rsidRPr="0097505A" w:rsidRDefault="004F75D0" w:rsidP="0097505A">
      <w:pPr>
        <w:pStyle w:val="ListParagraph"/>
        <w:ind w:left="1080"/>
        <w:rPr>
          <w:sz w:val="24"/>
          <w:szCs w:val="24"/>
        </w:rPr>
      </w:pPr>
    </w:p>
    <w:p w:rsidR="004F75D0" w:rsidRDefault="004F75D0" w:rsidP="00DF0DE6">
      <w:pPr>
        <w:pStyle w:val="ListParagraph"/>
        <w:keepNext/>
        <w:ind w:left="1080"/>
      </w:pPr>
      <w:r>
        <w:rPr>
          <w:sz w:val="24"/>
          <w:szCs w:val="24"/>
        </w:rPr>
        <w:t xml:space="preserve">                                         </w:t>
      </w:r>
      <w:hyperlink r:id="rId8" w:history="1">
        <w:r w:rsidRPr="00FE6530">
          <w:rPr>
            <w:noProof/>
            <w:sz w:val="24"/>
            <w:szCs w:val="24"/>
          </w:rPr>
          <w:pict>
            <v:shape id="Εικόνα 11" o:spid="_x0000_i1026" type="#_x0000_t75" alt="http://upload.wikimedia.org/wikipedia/commons/thumb/a/a4/Russian_subdivisions_GRP_per_capita.svg/180px-Russian_subdivisions_GRP_per_capita.svg.png" href="http://en.wikipedia.org/wiki/File:Russian_subdivisions_GRP_per_capita.s" style="width:135pt;height:81.75pt;visibility:visible" o:button="t">
              <v:fill o:detectmouseclick="t"/>
              <v:imagedata r:id="rId9" o:title=""/>
            </v:shape>
          </w:pict>
        </w:r>
      </w:hyperlink>
    </w:p>
    <w:p w:rsidR="004F75D0" w:rsidRPr="00C34F84" w:rsidRDefault="004F75D0" w:rsidP="00C34F84">
      <w:pPr>
        <w:pStyle w:val="Caption"/>
        <w:rPr>
          <w:szCs w:val="24"/>
        </w:rPr>
      </w:pPr>
      <w:r>
        <w:t xml:space="preserve">                          </w:t>
      </w:r>
      <w:bookmarkStart w:id="17" w:name="_Toc274047045"/>
      <w:r>
        <w:t xml:space="preserve">Figure </w:t>
      </w:r>
      <w:fldSimple w:instr=" SEQ Figure \* ARABIC ">
        <w:r>
          <w:rPr>
            <w:noProof/>
          </w:rPr>
          <w:t>3</w:t>
        </w:r>
      </w:fldSimple>
      <w:r>
        <w:t>: Graphical representation of Russian subdivisions by GDP</w:t>
      </w:r>
      <w:bookmarkStart w:id="18" w:name="_Toc272771549"/>
      <w:bookmarkEnd w:id="17"/>
      <w:r>
        <w:t xml:space="preserve">                      </w:t>
      </w:r>
      <w:bookmarkEnd w:id="18"/>
    </w:p>
    <w:p w:rsidR="004F75D0" w:rsidRPr="0030305D" w:rsidRDefault="004F75D0" w:rsidP="0030305D">
      <w:pPr>
        <w:rPr>
          <w:sz w:val="24"/>
          <w:szCs w:val="24"/>
        </w:rPr>
      </w:pPr>
    </w:p>
    <w:p w:rsidR="004F75D0" w:rsidRPr="00C21610" w:rsidRDefault="004F75D0" w:rsidP="00E93D31">
      <w:pPr>
        <w:pStyle w:val="Heading1"/>
        <w:pBdr>
          <w:bottom w:val="single" w:sz="4" w:space="1" w:color="auto"/>
        </w:pBdr>
      </w:pPr>
      <w:bookmarkStart w:id="19" w:name="_Toc274041021"/>
      <w:r w:rsidRPr="00371525">
        <w:t xml:space="preserve">2. </w:t>
      </w:r>
      <w:r w:rsidRPr="00C21610">
        <w:t>Data</w:t>
      </w:r>
      <w:bookmarkEnd w:id="19"/>
      <w:r w:rsidRPr="00C21610">
        <w:t xml:space="preserve"> </w:t>
      </w:r>
    </w:p>
    <w:p w:rsidR="004F75D0" w:rsidRPr="00735E76" w:rsidRDefault="004F75D0" w:rsidP="002305CC">
      <w:pPr>
        <w:rPr>
          <w:b/>
          <w:sz w:val="24"/>
          <w:szCs w:val="24"/>
        </w:rPr>
      </w:pPr>
    </w:p>
    <w:p w:rsidR="004F75D0" w:rsidRDefault="004F75D0" w:rsidP="002305CC">
      <w:pPr>
        <w:rPr>
          <w:sz w:val="24"/>
          <w:szCs w:val="24"/>
        </w:rPr>
      </w:pPr>
      <w:r w:rsidRPr="00EB544F">
        <w:rPr>
          <w:sz w:val="24"/>
          <w:szCs w:val="24"/>
        </w:rPr>
        <w:t xml:space="preserve">The </w:t>
      </w:r>
      <w:r>
        <w:rPr>
          <w:sz w:val="24"/>
          <w:szCs w:val="24"/>
        </w:rPr>
        <w:t xml:space="preserve">basic </w:t>
      </w:r>
      <w:r w:rsidRPr="00EB544F">
        <w:rPr>
          <w:sz w:val="24"/>
          <w:szCs w:val="24"/>
        </w:rPr>
        <w:t xml:space="preserve">data </w:t>
      </w:r>
      <w:r>
        <w:rPr>
          <w:sz w:val="24"/>
          <w:szCs w:val="24"/>
        </w:rPr>
        <w:t xml:space="preserve">used in this research is </w:t>
      </w:r>
      <w:r w:rsidRPr="00EB544F">
        <w:rPr>
          <w:sz w:val="24"/>
          <w:szCs w:val="24"/>
        </w:rPr>
        <w:t xml:space="preserve">of nominal </w:t>
      </w:r>
      <w:r>
        <w:rPr>
          <w:sz w:val="24"/>
          <w:szCs w:val="24"/>
        </w:rPr>
        <w:t>GDP which</w:t>
      </w:r>
      <w:r w:rsidRPr="00EB544F">
        <w:rPr>
          <w:sz w:val="24"/>
          <w:szCs w:val="24"/>
        </w:rPr>
        <w:t xml:space="preserve"> </w:t>
      </w:r>
      <w:r>
        <w:rPr>
          <w:sz w:val="24"/>
          <w:szCs w:val="24"/>
        </w:rPr>
        <w:t xml:space="preserve">was acquired </w:t>
      </w:r>
      <w:r w:rsidRPr="00EB544F">
        <w:rPr>
          <w:sz w:val="24"/>
          <w:szCs w:val="24"/>
        </w:rPr>
        <w:t>from the IMF website</w:t>
      </w:r>
      <w:r>
        <w:rPr>
          <w:sz w:val="24"/>
          <w:szCs w:val="24"/>
        </w:rPr>
        <w:t>. Nominal GDP is derived in an annual basis and projected in current prices in US dollars</w:t>
      </w:r>
      <w:r w:rsidRPr="00AF300B">
        <w:rPr>
          <w:sz w:val="24"/>
          <w:szCs w:val="24"/>
        </w:rPr>
        <w:t xml:space="preserve"> </w:t>
      </w:r>
      <w:r>
        <w:rPr>
          <w:sz w:val="24"/>
          <w:szCs w:val="24"/>
        </w:rPr>
        <w:t>for all countries involved. In this way any currency differences are vanished while inflation’s influence on the GDP values is incorporated. The sample period</w:t>
      </w:r>
      <w:r w:rsidRPr="00EB544F">
        <w:rPr>
          <w:sz w:val="24"/>
          <w:szCs w:val="24"/>
        </w:rPr>
        <w:t xml:space="preserve"> chosen </w:t>
      </w:r>
      <w:r>
        <w:rPr>
          <w:sz w:val="24"/>
          <w:szCs w:val="24"/>
        </w:rPr>
        <w:t>in th</w:t>
      </w:r>
      <w:r w:rsidRPr="00EB544F">
        <w:rPr>
          <w:sz w:val="24"/>
          <w:szCs w:val="24"/>
        </w:rPr>
        <w:t>is</w:t>
      </w:r>
      <w:r>
        <w:rPr>
          <w:sz w:val="24"/>
          <w:szCs w:val="24"/>
        </w:rPr>
        <w:t xml:space="preserve"> paper is</w:t>
      </w:r>
      <w:r w:rsidRPr="00EB544F">
        <w:rPr>
          <w:sz w:val="24"/>
          <w:szCs w:val="24"/>
        </w:rPr>
        <w:t xml:space="preserve"> from 1980 to 2007 </w:t>
      </w:r>
      <w:r w:rsidRPr="00BA269C">
        <w:rPr>
          <w:i/>
          <w:sz w:val="24"/>
          <w:szCs w:val="24"/>
        </w:rPr>
        <w:t>(except for Russia which is 1992-2007 due to lack of data before)</w:t>
      </w:r>
      <w:r w:rsidRPr="00EB544F">
        <w:rPr>
          <w:sz w:val="24"/>
          <w:szCs w:val="24"/>
        </w:rPr>
        <w:t>, just before the recent crisis whi</w:t>
      </w:r>
      <w:r>
        <w:rPr>
          <w:sz w:val="24"/>
          <w:szCs w:val="24"/>
        </w:rPr>
        <w:t>ch is implicitly assumed during</w:t>
      </w:r>
      <w:r w:rsidRPr="00EB544F">
        <w:rPr>
          <w:sz w:val="24"/>
          <w:szCs w:val="24"/>
        </w:rPr>
        <w:t xml:space="preserve"> 2007-2008</w:t>
      </w:r>
      <w:r>
        <w:rPr>
          <w:sz w:val="24"/>
          <w:szCs w:val="24"/>
        </w:rPr>
        <w:t>. This crisis period is excluded from my analysis because of the potential bias it may cause in the results.</w:t>
      </w:r>
      <w:r w:rsidRPr="00EB544F">
        <w:rPr>
          <w:sz w:val="24"/>
          <w:szCs w:val="24"/>
        </w:rPr>
        <w:t xml:space="preserve"> </w:t>
      </w:r>
      <w:r>
        <w:rPr>
          <w:sz w:val="24"/>
          <w:szCs w:val="24"/>
        </w:rPr>
        <w:t xml:space="preserve">Groups of advanced economies were formed by IMF itself. European Union countries are from the current extended form of the Union </w:t>
      </w:r>
      <w:r w:rsidRPr="00BA269C">
        <w:rPr>
          <w:i/>
          <w:sz w:val="24"/>
          <w:szCs w:val="24"/>
        </w:rPr>
        <w:t>(25 members),</w:t>
      </w:r>
      <w:r>
        <w:rPr>
          <w:sz w:val="24"/>
          <w:szCs w:val="24"/>
        </w:rPr>
        <w:t xml:space="preserve"> however three new-joined countries were excluded because the GDP values were not starting from 1980 </w:t>
      </w:r>
      <w:r w:rsidRPr="00BA269C">
        <w:rPr>
          <w:i/>
          <w:sz w:val="24"/>
          <w:szCs w:val="24"/>
        </w:rPr>
        <w:t>(like the rest of the countries)</w:t>
      </w:r>
      <w:r>
        <w:rPr>
          <w:sz w:val="24"/>
          <w:szCs w:val="24"/>
        </w:rPr>
        <w:t xml:space="preserve"> and thus there would be a mismatch later in the calculations. Additionally, the group of “world’s advanced economies” was formed by IMF and thus it was used the way it was. </w:t>
      </w:r>
    </w:p>
    <w:p w:rsidR="004F75D0" w:rsidRDefault="004F75D0" w:rsidP="00E93D31">
      <w:pPr>
        <w:pStyle w:val="Heading1"/>
        <w:pBdr>
          <w:bottom w:val="single" w:sz="4" w:space="1" w:color="auto"/>
        </w:pBdr>
      </w:pPr>
      <w:bookmarkStart w:id="20" w:name="_Toc274041022"/>
      <w:r w:rsidRPr="00371525">
        <w:t xml:space="preserve">3. </w:t>
      </w:r>
      <w:r w:rsidRPr="00E236AA">
        <w:t>Methodology</w:t>
      </w:r>
      <w:bookmarkEnd w:id="20"/>
    </w:p>
    <w:p w:rsidR="004F75D0" w:rsidRPr="00824581" w:rsidRDefault="004F75D0" w:rsidP="00A12B61">
      <w:pPr>
        <w:rPr>
          <w:sz w:val="24"/>
          <w:szCs w:val="24"/>
        </w:rPr>
      </w:pPr>
    </w:p>
    <w:p w:rsidR="004F75D0" w:rsidRDefault="004F75D0" w:rsidP="00A12B61">
      <w:pPr>
        <w:rPr>
          <w:sz w:val="24"/>
          <w:szCs w:val="24"/>
        </w:rPr>
      </w:pPr>
      <w:r>
        <w:rPr>
          <w:sz w:val="24"/>
          <w:szCs w:val="24"/>
        </w:rPr>
        <w:t xml:space="preserve">The first approach of testing the decoupling hypothesis was the graphical evidence. So after gathering the data from the IMF website, the first step was to calculate the </w:t>
      </w:r>
      <w:r w:rsidRPr="001E6C20">
        <w:rPr>
          <w:i/>
          <w:sz w:val="24"/>
          <w:szCs w:val="24"/>
        </w:rPr>
        <w:t>trend</w:t>
      </w:r>
      <w:r>
        <w:rPr>
          <w:sz w:val="24"/>
          <w:szCs w:val="24"/>
        </w:rPr>
        <w:t xml:space="preserve"> of the GDP. </w:t>
      </w:r>
      <w:r w:rsidRPr="001E6C20">
        <w:rPr>
          <w:i/>
          <w:sz w:val="24"/>
          <w:szCs w:val="24"/>
        </w:rPr>
        <w:t>Trend GDP</w:t>
      </w:r>
      <w:r>
        <w:rPr>
          <w:sz w:val="24"/>
          <w:szCs w:val="24"/>
        </w:rPr>
        <w:t xml:space="preserve"> is calculated</w:t>
      </w:r>
      <w:r w:rsidRPr="00EB544F">
        <w:rPr>
          <w:sz w:val="24"/>
          <w:szCs w:val="24"/>
        </w:rPr>
        <w:t xml:space="preserve"> with </w:t>
      </w:r>
      <w:r>
        <w:rPr>
          <w:sz w:val="24"/>
          <w:szCs w:val="24"/>
        </w:rPr>
        <w:t xml:space="preserve">the </w:t>
      </w:r>
      <w:r w:rsidRPr="001E6C20">
        <w:rPr>
          <w:i/>
          <w:sz w:val="24"/>
          <w:szCs w:val="24"/>
        </w:rPr>
        <w:t>Hodrick-Prescott</w:t>
      </w:r>
      <w:r w:rsidRPr="00EB544F">
        <w:rPr>
          <w:sz w:val="24"/>
          <w:szCs w:val="24"/>
        </w:rPr>
        <w:t xml:space="preserve"> </w:t>
      </w:r>
      <w:r w:rsidRPr="001E6C20">
        <w:rPr>
          <w:i/>
          <w:sz w:val="24"/>
          <w:szCs w:val="24"/>
        </w:rPr>
        <w:t>filter</w:t>
      </w:r>
      <w:r w:rsidRPr="00EB544F">
        <w:rPr>
          <w:sz w:val="24"/>
          <w:szCs w:val="24"/>
        </w:rPr>
        <w:t xml:space="preserve"> </w:t>
      </w:r>
      <w:r w:rsidRPr="00BA269C">
        <w:rPr>
          <w:i/>
          <w:sz w:val="24"/>
          <w:szCs w:val="24"/>
        </w:rPr>
        <w:t>(</w:t>
      </w:r>
      <w:r w:rsidRPr="00BA269C">
        <w:rPr>
          <w:i/>
          <w:sz w:val="24"/>
          <w:szCs w:val="24"/>
          <w:lang w:val="el-GR"/>
        </w:rPr>
        <w:t>λ</w:t>
      </w:r>
      <w:r w:rsidRPr="00BA269C">
        <w:rPr>
          <w:i/>
          <w:sz w:val="24"/>
          <w:szCs w:val="24"/>
        </w:rPr>
        <w:t>=100 since I use annual frequency in the data)</w:t>
      </w:r>
      <w:r w:rsidRPr="00EB544F">
        <w:rPr>
          <w:sz w:val="24"/>
          <w:szCs w:val="24"/>
        </w:rPr>
        <w:t>. To avoid end-point bias problem</w:t>
      </w:r>
      <w:r>
        <w:rPr>
          <w:sz w:val="24"/>
          <w:szCs w:val="24"/>
        </w:rPr>
        <w:t xml:space="preserve"> of the filter and according to existing literature that adjusts the HP filter in similar circumstances</w:t>
      </w:r>
      <w:r w:rsidRPr="00EB544F">
        <w:rPr>
          <w:sz w:val="24"/>
          <w:szCs w:val="24"/>
        </w:rPr>
        <w:t>, GDP data are extended from 2007</w:t>
      </w:r>
      <w:r>
        <w:rPr>
          <w:sz w:val="24"/>
          <w:szCs w:val="24"/>
        </w:rPr>
        <w:t xml:space="preserve"> </w:t>
      </w:r>
      <w:r w:rsidRPr="00BA269C">
        <w:rPr>
          <w:i/>
          <w:sz w:val="24"/>
          <w:szCs w:val="24"/>
        </w:rPr>
        <w:t>(sample period)</w:t>
      </w:r>
      <w:r w:rsidRPr="00EB544F">
        <w:rPr>
          <w:sz w:val="24"/>
          <w:szCs w:val="24"/>
        </w:rPr>
        <w:t xml:space="preserve"> to 2010 </w:t>
      </w:r>
      <w:r w:rsidRPr="00BA269C">
        <w:rPr>
          <w:i/>
          <w:sz w:val="24"/>
          <w:szCs w:val="24"/>
        </w:rPr>
        <w:t>(3 more years with 2010 being expected value)</w:t>
      </w:r>
      <w:r w:rsidRPr="00EB544F">
        <w:rPr>
          <w:sz w:val="24"/>
          <w:szCs w:val="24"/>
        </w:rPr>
        <w:t xml:space="preserve"> in order to calculate the trend for the sample.</w:t>
      </w:r>
      <w:r>
        <w:rPr>
          <w:sz w:val="24"/>
          <w:szCs w:val="24"/>
        </w:rPr>
        <w:t xml:space="preserve"> </w:t>
      </w:r>
    </w:p>
    <w:p w:rsidR="004F75D0" w:rsidRPr="00BA269C" w:rsidRDefault="004F75D0" w:rsidP="00A12B61">
      <w:pPr>
        <w:rPr>
          <w:i/>
          <w:sz w:val="24"/>
          <w:szCs w:val="24"/>
        </w:rPr>
      </w:pPr>
      <w:r>
        <w:rPr>
          <w:sz w:val="24"/>
          <w:szCs w:val="24"/>
        </w:rPr>
        <w:t xml:space="preserve">The task to calculate the trend was easy for the emerging market economies since they were individually filtered and thus trend GDP was simply the product of GDP values of each country. On the other hand the procedure was more complicated for groups of countries since trend GDP had to be calculated for every single country that filled in the corresponding group </w:t>
      </w:r>
      <w:r w:rsidRPr="00BA269C">
        <w:rPr>
          <w:i/>
          <w:sz w:val="24"/>
          <w:szCs w:val="24"/>
        </w:rPr>
        <w:t>(Applied to the four groups of advanced market economies and the group of emerging market economies)</w:t>
      </w:r>
      <w:r>
        <w:rPr>
          <w:i/>
          <w:sz w:val="24"/>
          <w:szCs w:val="24"/>
        </w:rPr>
        <w:t>.</w:t>
      </w:r>
    </w:p>
    <w:p w:rsidR="004F75D0" w:rsidRDefault="004F75D0" w:rsidP="00E553BC">
      <w:pPr>
        <w:rPr>
          <w:sz w:val="24"/>
          <w:szCs w:val="24"/>
        </w:rPr>
      </w:pPr>
      <w:r>
        <w:rPr>
          <w:sz w:val="24"/>
          <w:szCs w:val="24"/>
        </w:rPr>
        <w:t xml:space="preserve">The second step was to produce the </w:t>
      </w:r>
      <w:r w:rsidRPr="001E6C20">
        <w:rPr>
          <w:i/>
          <w:sz w:val="24"/>
          <w:szCs w:val="24"/>
        </w:rPr>
        <w:t>output gap</w:t>
      </w:r>
      <w:r>
        <w:rPr>
          <w:i/>
          <w:sz w:val="24"/>
          <w:szCs w:val="24"/>
        </w:rPr>
        <w:t xml:space="preserve"> </w:t>
      </w:r>
      <w:r w:rsidRPr="00E44E1A">
        <w:rPr>
          <w:sz w:val="24"/>
          <w:szCs w:val="24"/>
        </w:rPr>
        <w:t>of</w:t>
      </w:r>
      <w:r>
        <w:rPr>
          <w:sz w:val="24"/>
          <w:szCs w:val="24"/>
        </w:rPr>
        <w:t xml:space="preserve"> each country. </w:t>
      </w:r>
      <w:r w:rsidRPr="00EB544F">
        <w:rPr>
          <w:sz w:val="24"/>
          <w:szCs w:val="24"/>
        </w:rPr>
        <w:t>According to Walti</w:t>
      </w:r>
      <w:r>
        <w:rPr>
          <w:sz w:val="24"/>
          <w:szCs w:val="24"/>
        </w:rPr>
        <w:t xml:space="preserve"> </w:t>
      </w:r>
      <w:r w:rsidRPr="00BA269C">
        <w:rPr>
          <w:i/>
          <w:sz w:val="24"/>
          <w:szCs w:val="24"/>
        </w:rPr>
        <w:t>(2009),</w:t>
      </w:r>
      <w:r w:rsidRPr="00EB544F">
        <w:rPr>
          <w:sz w:val="24"/>
          <w:szCs w:val="24"/>
        </w:rPr>
        <w:t xml:space="preserve"> output gap</w:t>
      </w:r>
      <w:r>
        <w:rPr>
          <w:sz w:val="24"/>
          <w:szCs w:val="24"/>
        </w:rPr>
        <w:t>s</w:t>
      </w:r>
      <w:r w:rsidRPr="00EB544F">
        <w:rPr>
          <w:sz w:val="24"/>
          <w:szCs w:val="24"/>
        </w:rPr>
        <w:t xml:space="preserve"> </w:t>
      </w:r>
      <w:r>
        <w:rPr>
          <w:sz w:val="24"/>
          <w:szCs w:val="24"/>
        </w:rPr>
        <w:t xml:space="preserve">represent </w:t>
      </w:r>
      <w:r w:rsidRPr="00EB544F">
        <w:rPr>
          <w:sz w:val="24"/>
          <w:szCs w:val="24"/>
        </w:rPr>
        <w:t>business cycle</w:t>
      </w:r>
      <w:r>
        <w:rPr>
          <w:sz w:val="24"/>
          <w:szCs w:val="24"/>
        </w:rPr>
        <w:t>s</w:t>
      </w:r>
      <w:r w:rsidRPr="00EB544F">
        <w:rPr>
          <w:sz w:val="24"/>
          <w:szCs w:val="24"/>
        </w:rPr>
        <w:t xml:space="preserve"> for a country. The </w:t>
      </w:r>
      <w:r w:rsidRPr="001E6C20">
        <w:rPr>
          <w:i/>
          <w:sz w:val="24"/>
          <w:szCs w:val="24"/>
        </w:rPr>
        <w:t>output gap = (nominal GDP-trend GDP)/trend GDP</w:t>
      </w:r>
      <w:r>
        <w:rPr>
          <w:sz w:val="24"/>
          <w:szCs w:val="24"/>
        </w:rPr>
        <w:t xml:space="preserve"> </w:t>
      </w:r>
      <w:r w:rsidRPr="002E13F9">
        <w:rPr>
          <w:i/>
          <w:sz w:val="24"/>
          <w:szCs w:val="24"/>
        </w:rPr>
        <w:t>(Output gaps can be found in the Appendix page</w:t>
      </w:r>
      <w:r>
        <w:rPr>
          <w:i/>
          <w:sz w:val="24"/>
          <w:szCs w:val="24"/>
        </w:rPr>
        <w:t xml:space="preserve"> 59 and 60</w:t>
      </w:r>
      <w:r w:rsidRPr="002E13F9">
        <w:rPr>
          <w:i/>
          <w:sz w:val="24"/>
          <w:szCs w:val="24"/>
        </w:rPr>
        <w:t>)</w:t>
      </w:r>
      <w:r>
        <w:rPr>
          <w:sz w:val="24"/>
          <w:szCs w:val="24"/>
        </w:rPr>
        <w:t>.</w:t>
      </w:r>
      <w:r w:rsidRPr="00EB544F">
        <w:rPr>
          <w:sz w:val="24"/>
          <w:szCs w:val="24"/>
        </w:rPr>
        <w:t xml:space="preserve"> </w:t>
      </w:r>
      <w:r>
        <w:rPr>
          <w:sz w:val="24"/>
          <w:szCs w:val="24"/>
        </w:rPr>
        <w:t xml:space="preserve">While </w:t>
      </w:r>
      <w:r w:rsidRPr="00FD51E0">
        <w:rPr>
          <w:i/>
          <w:sz w:val="24"/>
          <w:szCs w:val="24"/>
        </w:rPr>
        <w:t>output gap</w:t>
      </w:r>
      <w:r>
        <w:rPr>
          <w:sz w:val="24"/>
          <w:szCs w:val="24"/>
        </w:rPr>
        <w:t xml:space="preserve"> calculation for a single country needs only the above formula to be applied, the case was different for groups of countries. Therefore in the case of groups I assumed that the output gap for a group of countries is the unweighted average of the individual output gaps of the countries inside the group. To elaborate it more, the output gap of a group for example in 1995 was the unweighted average of the output gaps of the individual countries in 1995. Even if this assumption may seem to provoke flaws from reality, it can be regarded as a rational choice since large countries’ business cycles affect equally to the small ones, the accumulated group’s output gap.</w:t>
      </w:r>
    </w:p>
    <w:p w:rsidR="004F75D0" w:rsidRPr="00845C93" w:rsidRDefault="004F75D0" w:rsidP="00E553BC">
      <w:pPr>
        <w:rPr>
          <w:sz w:val="24"/>
          <w:szCs w:val="24"/>
        </w:rPr>
      </w:pPr>
      <w:r>
        <w:rPr>
          <w:sz w:val="24"/>
          <w:szCs w:val="24"/>
        </w:rPr>
        <w:t xml:space="preserve">In addition, the output gaps were standardized, meaning that I discounted from each output gap the </w:t>
      </w:r>
      <w:r w:rsidRPr="00D97384">
        <w:rPr>
          <w:i/>
          <w:sz w:val="24"/>
          <w:szCs w:val="24"/>
        </w:rPr>
        <w:t>mean</w:t>
      </w:r>
      <w:r>
        <w:rPr>
          <w:sz w:val="24"/>
          <w:szCs w:val="24"/>
        </w:rPr>
        <w:t xml:space="preserve"> of the output gaps and then I divided this difference with the </w:t>
      </w:r>
      <w:r w:rsidRPr="00D97384">
        <w:rPr>
          <w:i/>
          <w:sz w:val="24"/>
          <w:szCs w:val="24"/>
        </w:rPr>
        <w:t>standard deviation</w:t>
      </w:r>
      <w:r>
        <w:rPr>
          <w:sz w:val="24"/>
          <w:szCs w:val="24"/>
        </w:rPr>
        <w:t xml:space="preserve"> of the output gaps. (</w:t>
      </w:r>
      <w:r w:rsidRPr="00845C93">
        <w:rPr>
          <w:i/>
          <w:sz w:val="24"/>
          <w:szCs w:val="24"/>
        </w:rPr>
        <w:t>Standardized output gap = (output gap-average output gap)/standard deviation of output gaps)</w:t>
      </w:r>
      <w:r>
        <w:rPr>
          <w:i/>
          <w:sz w:val="24"/>
          <w:szCs w:val="24"/>
        </w:rPr>
        <w:t xml:space="preserve">. </w:t>
      </w:r>
    </w:p>
    <w:p w:rsidR="004F75D0" w:rsidRDefault="004F75D0" w:rsidP="003A5340">
      <w:pPr>
        <w:rPr>
          <w:sz w:val="24"/>
          <w:szCs w:val="24"/>
        </w:rPr>
      </w:pPr>
      <w:r>
        <w:rPr>
          <w:sz w:val="24"/>
          <w:szCs w:val="24"/>
        </w:rPr>
        <w:t xml:space="preserve">Having acquired the output gap of the emerging-market </w:t>
      </w:r>
      <w:r w:rsidRPr="00BA269C">
        <w:rPr>
          <w:i/>
          <w:sz w:val="24"/>
          <w:szCs w:val="24"/>
        </w:rPr>
        <w:t>(EM)</w:t>
      </w:r>
      <w:r>
        <w:rPr>
          <w:sz w:val="24"/>
          <w:szCs w:val="24"/>
        </w:rPr>
        <w:t xml:space="preserve"> countries, the next step was to calculate the degree of interdependence between the tested countries. </w:t>
      </w:r>
      <w:r w:rsidRPr="00EB544F">
        <w:rPr>
          <w:sz w:val="24"/>
          <w:szCs w:val="24"/>
        </w:rPr>
        <w:t xml:space="preserve">Interdependence of business cycles </w:t>
      </w:r>
      <w:r>
        <w:rPr>
          <w:sz w:val="24"/>
          <w:szCs w:val="24"/>
        </w:rPr>
        <w:t xml:space="preserve">according to Walti </w:t>
      </w:r>
      <w:r w:rsidRPr="00BA269C">
        <w:rPr>
          <w:i/>
          <w:sz w:val="24"/>
          <w:szCs w:val="24"/>
        </w:rPr>
        <w:t xml:space="preserve">(2010) </w:t>
      </w:r>
      <w:r w:rsidRPr="00EB544F">
        <w:rPr>
          <w:sz w:val="24"/>
          <w:szCs w:val="24"/>
        </w:rPr>
        <w:t xml:space="preserve">is measured by </w:t>
      </w:r>
      <w:r w:rsidRPr="004953FE">
        <w:rPr>
          <w:i/>
          <w:sz w:val="24"/>
          <w:szCs w:val="24"/>
        </w:rPr>
        <w:t>Euclidean distance</w:t>
      </w:r>
      <w:r>
        <w:rPr>
          <w:sz w:val="24"/>
          <w:szCs w:val="24"/>
        </w:rPr>
        <w:t xml:space="preserve"> </w:t>
      </w:r>
      <w:r>
        <w:rPr>
          <w:i/>
          <w:sz w:val="24"/>
          <w:szCs w:val="24"/>
        </w:rPr>
        <w:t xml:space="preserve">(Euclidean distance values </w:t>
      </w:r>
      <w:r w:rsidRPr="002E13F9">
        <w:rPr>
          <w:i/>
          <w:sz w:val="24"/>
          <w:szCs w:val="24"/>
        </w:rPr>
        <w:t>can be found in the Appendix page 54-58</w:t>
      </w:r>
      <w:r>
        <w:rPr>
          <w:i/>
          <w:sz w:val="24"/>
          <w:szCs w:val="24"/>
        </w:rPr>
        <w:t>).</w:t>
      </w:r>
      <w:r>
        <w:rPr>
          <w:i/>
          <w:color w:val="FF0000"/>
          <w:sz w:val="24"/>
          <w:szCs w:val="24"/>
        </w:rPr>
        <w:t xml:space="preserve"> </w:t>
      </w:r>
      <w:r w:rsidRPr="004953FE">
        <w:rPr>
          <w:i/>
          <w:sz w:val="24"/>
          <w:szCs w:val="24"/>
        </w:rPr>
        <w:t>Euclidean distance</w:t>
      </w:r>
      <w:r w:rsidRPr="00EB544F">
        <w:rPr>
          <w:sz w:val="24"/>
          <w:szCs w:val="24"/>
        </w:rPr>
        <w:t xml:space="preserve"> </w:t>
      </w:r>
      <w:r>
        <w:rPr>
          <w:sz w:val="24"/>
          <w:szCs w:val="24"/>
        </w:rPr>
        <w:t>equals to the</w:t>
      </w:r>
      <w:r w:rsidRPr="00EB544F">
        <w:rPr>
          <w:sz w:val="24"/>
          <w:szCs w:val="24"/>
        </w:rPr>
        <w:t xml:space="preserve"> </w:t>
      </w:r>
      <w:r w:rsidRPr="004953FE">
        <w:rPr>
          <w:i/>
          <w:sz w:val="24"/>
          <w:szCs w:val="24"/>
        </w:rPr>
        <w:t xml:space="preserve">absolute value of the </w:t>
      </w:r>
      <w:r>
        <w:rPr>
          <w:i/>
          <w:sz w:val="24"/>
          <w:szCs w:val="24"/>
        </w:rPr>
        <w:t>differ</w:t>
      </w:r>
      <w:r w:rsidRPr="004953FE">
        <w:rPr>
          <w:i/>
          <w:sz w:val="24"/>
          <w:szCs w:val="24"/>
        </w:rPr>
        <w:t>ence between the output gap of the emerging</w:t>
      </w:r>
      <w:r>
        <w:rPr>
          <w:i/>
          <w:sz w:val="24"/>
          <w:szCs w:val="24"/>
        </w:rPr>
        <w:t>-market</w:t>
      </w:r>
      <w:r w:rsidRPr="004953FE">
        <w:rPr>
          <w:i/>
          <w:sz w:val="24"/>
          <w:szCs w:val="24"/>
        </w:rPr>
        <w:t xml:space="preserve"> economy </w:t>
      </w:r>
      <w:r>
        <w:rPr>
          <w:i/>
          <w:sz w:val="24"/>
          <w:szCs w:val="24"/>
        </w:rPr>
        <w:t xml:space="preserve">(either individually or as a group) </w:t>
      </w:r>
      <w:r w:rsidRPr="004953FE">
        <w:rPr>
          <w:i/>
          <w:sz w:val="24"/>
          <w:szCs w:val="24"/>
        </w:rPr>
        <w:t>and the output gap of a group of advanced</w:t>
      </w:r>
      <w:r>
        <w:rPr>
          <w:i/>
          <w:sz w:val="24"/>
          <w:szCs w:val="24"/>
        </w:rPr>
        <w:t>-market</w:t>
      </w:r>
      <w:r w:rsidRPr="004953FE">
        <w:rPr>
          <w:i/>
          <w:sz w:val="24"/>
          <w:szCs w:val="24"/>
        </w:rPr>
        <w:t xml:space="preserve"> economie</w:t>
      </w:r>
      <w:r>
        <w:rPr>
          <w:i/>
          <w:sz w:val="24"/>
          <w:szCs w:val="24"/>
        </w:rPr>
        <w:t>s</w:t>
      </w:r>
      <w:r>
        <w:rPr>
          <w:sz w:val="24"/>
          <w:szCs w:val="24"/>
        </w:rPr>
        <w:t xml:space="preserve"> (</w:t>
      </w:r>
      <w:r w:rsidRPr="00FE6530">
        <w:rPr>
          <w:sz w:val="24"/>
          <w:szCs w:val="24"/>
        </w:rPr>
        <w:fldChar w:fldCharType="begin"/>
      </w:r>
      <w:r w:rsidRPr="00FE6530">
        <w:rPr>
          <w:sz w:val="24"/>
          <w:szCs w:val="24"/>
        </w:rPr>
        <w:instrText xml:space="preserve"> QUOTE </w:instrText>
      </w:r>
      <w:r w:rsidRPr="00FE6530">
        <w:pict>
          <v:shape id="_x0000_i1027" type="#_x0000_t75" style="width:183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20&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E714A&quot;/&gt;&lt;wsp:rsid wsp:val=&quot;00001068&quot;/&gt;&lt;wsp:rsid wsp:val=&quot;00001A0F&quot;/&gt;&lt;wsp:rsid wsp:val=&quot;00001A86&quot;/&gt;&lt;wsp:rsid wsp:val=&quot;00002475&quot;/&gt;&lt;wsp:rsid wsp:val=&quot;000035D9&quot;/&gt;&lt;wsp:rsid wsp:val=&quot;0000487B&quot;/&gt;&lt;wsp:rsid wsp:val=&quot;00004AA3&quot;/&gt;&lt;wsp:rsid wsp:val=&quot;00012275&quot;/&gt;&lt;wsp:rsid wsp:val=&quot;00016A88&quot;/&gt;&lt;wsp:rsid wsp:val=&quot;00020235&quot;/&gt;&lt;wsp:rsid wsp:val=&quot;00024026&quot;/&gt;&lt;wsp:rsid wsp:val=&quot;0002619E&quot;/&gt;&lt;wsp:rsid wsp:val=&quot;00027676&quot;/&gt;&lt;wsp:rsid wsp:val=&quot;000334B1&quot;/&gt;&lt;wsp:rsid wsp:val=&quot;000344A5&quot;/&gt;&lt;wsp:rsid wsp:val=&quot;00036027&quot;/&gt;&lt;wsp:rsid wsp:val=&quot;00036993&quot;/&gt;&lt;wsp:rsid wsp:val=&quot;00051A32&quot;/&gt;&lt;wsp:rsid wsp:val=&quot;00062127&quot;/&gt;&lt;wsp:rsid wsp:val=&quot;000621A0&quot;/&gt;&lt;wsp:rsid wsp:val=&quot;00071F26&quot;/&gt;&lt;wsp:rsid wsp:val=&quot;00081F8D&quot;/&gt;&lt;wsp:rsid wsp:val=&quot;000820DE&quot;/&gt;&lt;wsp:rsid wsp:val=&quot;00086621&quot;/&gt;&lt;wsp:rsid wsp:val=&quot;0009405A&quot;/&gt;&lt;wsp:rsid wsp:val=&quot;000A146D&quot;/&gt;&lt;wsp:rsid wsp:val=&quot;000A5539&quot;/&gt;&lt;wsp:rsid wsp:val=&quot;000B5AAE&quot;/&gt;&lt;wsp:rsid wsp:val=&quot;000C4545&quot;/&gt;&lt;wsp:rsid wsp:val=&quot;000C59ED&quot;/&gt;&lt;wsp:rsid wsp:val=&quot;000D760D&quot;/&gt;&lt;wsp:rsid wsp:val=&quot;000E134B&quot;/&gt;&lt;wsp:rsid wsp:val=&quot;000E638E&quot;/&gt;&lt;wsp:rsid wsp:val=&quot;000E6AD6&quot;/&gt;&lt;wsp:rsid wsp:val=&quot;000F1D3C&quot;/&gt;&lt;wsp:rsid wsp:val=&quot;000F2F01&quot;/&gt;&lt;wsp:rsid wsp:val=&quot;0010117E&quot;/&gt;&lt;wsp:rsid wsp:val=&quot;0010691B&quot;/&gt;&lt;wsp:rsid wsp:val=&quot;00106CCD&quot;/&gt;&lt;wsp:rsid wsp:val=&quot;00107AF9&quot;/&gt;&lt;wsp:rsid wsp:val=&quot;00110D9C&quot;/&gt;&lt;wsp:rsid wsp:val=&quot;00114327&quot;/&gt;&lt;wsp:rsid wsp:val=&quot;0011628F&quot;/&gt;&lt;wsp:rsid wsp:val=&quot;0012677D&quot;/&gt;&lt;wsp:rsid wsp:val=&quot;00130C0A&quot;/&gt;&lt;wsp:rsid wsp:val=&quot;001331A8&quot;/&gt;&lt;wsp:rsid wsp:val=&quot;00135372&quot;/&gt;&lt;wsp:rsid wsp:val=&quot;00143E68&quot;/&gt;&lt;wsp:rsid wsp:val=&quot;00146CA9&quot;/&gt;&lt;wsp:rsid wsp:val=&quot;00157948&quot;/&gt;&lt;wsp:rsid wsp:val=&quot;0017023C&quot;/&gt;&lt;wsp:rsid wsp:val=&quot;00172502&quot;/&gt;&lt;wsp:rsid wsp:val=&quot;001742E4&quot;/&gt;&lt;wsp:rsid wsp:val=&quot;0018284A&quot;/&gt;&lt;wsp:rsid wsp:val=&quot;001867B9&quot;/&gt;&lt;wsp:rsid wsp:val=&quot;001A2071&quot;/&gt;&lt;wsp:rsid wsp:val=&quot;001A631D&quot;/&gt;&lt;wsp:rsid wsp:val=&quot;001A7C0C&quot;/&gt;&lt;wsp:rsid wsp:val=&quot;001B42CE&quot;/&gt;&lt;wsp:rsid wsp:val=&quot;001B4E94&quot;/&gt;&lt;wsp:rsid wsp:val=&quot;001D1DBB&quot;/&gt;&lt;wsp:rsid wsp:val=&quot;001E6C20&quot;/&gt;&lt;wsp:rsid wsp:val=&quot;001E6E04&quot;/&gt;&lt;wsp:rsid wsp:val=&quot;001F1184&quot;/&gt;&lt;wsp:rsid wsp:val=&quot;001F411A&quot;/&gt;&lt;wsp:rsid wsp:val=&quot;002009A8&quot;/&gt;&lt;wsp:rsid wsp:val=&quot;00206E3B&quot;/&gt;&lt;wsp:rsid wsp:val=&quot;0021020A&quot;/&gt;&lt;wsp:rsid wsp:val=&quot;0021262A&quot;/&gt;&lt;wsp:rsid wsp:val=&quot;00214A22&quot;/&gt;&lt;wsp:rsid wsp:val=&quot;002208F4&quot;/&gt;&lt;wsp:rsid wsp:val=&quot;002305CC&quot;/&gt;&lt;wsp:rsid wsp:val=&quot;002448BE&quot;/&gt;&lt;wsp:rsid wsp:val=&quot;00246169&quot;/&gt;&lt;wsp:rsid wsp:val=&quot;00262EDD&quot;/&gt;&lt;wsp:rsid wsp:val=&quot;002732C6&quot;/&gt;&lt;wsp:rsid wsp:val=&quot;0027746E&quot;/&gt;&lt;wsp:rsid wsp:val=&quot;00292CDF&quot;/&gt;&lt;wsp:rsid wsp:val=&quot;002931B8&quot;/&gt;&lt;wsp:rsid wsp:val=&quot;00293A7D&quot;/&gt;&lt;wsp:rsid wsp:val=&quot;00296953&quot;/&gt;&lt;wsp:rsid wsp:val=&quot;002A2691&quot;/&gt;&lt;wsp:rsid wsp:val=&quot;002B0437&quot;/&gt;&lt;wsp:rsid wsp:val=&quot;002B1A5B&quot;/&gt;&lt;wsp:rsid wsp:val=&quot;002C0835&quot;/&gt;&lt;wsp:rsid wsp:val=&quot;002C238F&quot;/&gt;&lt;wsp:rsid wsp:val=&quot;002C2E63&quot;/&gt;&lt;wsp:rsid wsp:val=&quot;002C7D7C&quot;/&gt;&lt;wsp:rsid wsp:val=&quot;002D3BED&quot;/&gt;&lt;wsp:rsid wsp:val=&quot;002D692E&quot;/&gt;&lt;wsp:rsid wsp:val=&quot;002D6E94&quot;/&gt;&lt;wsp:rsid wsp:val=&quot;002E13F9&quot;/&gt;&lt;wsp:rsid wsp:val=&quot;002E2B97&quot;/&gt;&lt;wsp:rsid wsp:val=&quot;002E756A&quot;/&gt;&lt;wsp:rsid wsp:val=&quot;002F7D77&quot;/&gt;&lt;wsp:rsid wsp:val=&quot;0030013E&quot;/&gt;&lt;wsp:rsid wsp:val=&quot;00300D09&quot;/&gt;&lt;wsp:rsid wsp:val=&quot;0030305D&quot;/&gt;&lt;wsp:rsid wsp:val=&quot;00305128&quot;/&gt;&lt;wsp:rsid wsp:val=&quot;003054AF&quot;/&gt;&lt;wsp:rsid wsp:val=&quot;00305A19&quot;/&gt;&lt;wsp:rsid wsp:val=&quot;00310590&quot;/&gt;&lt;wsp:rsid wsp:val=&quot;00317493&quot;/&gt;&lt;wsp:rsid wsp:val=&quot;00322521&quot;/&gt;&lt;wsp:rsid wsp:val=&quot;003237D4&quot;/&gt;&lt;wsp:rsid wsp:val=&quot;00327890&quot;/&gt;&lt;wsp:rsid wsp:val=&quot;00335229&quot;/&gt;&lt;wsp:rsid wsp:val=&quot;00343051&quot;/&gt;&lt;wsp:rsid wsp:val=&quot;003450CA&quot;/&gt;&lt;wsp:rsid wsp:val=&quot;003466EA&quot;/&gt;&lt;wsp:rsid wsp:val=&quot;0034715F&quot;/&gt;&lt;wsp:rsid wsp:val=&quot;003523DE&quot;/&gt;&lt;wsp:rsid wsp:val=&quot;00354B58&quot;/&gt;&lt;wsp:rsid wsp:val=&quot;00364369&quot;/&gt;&lt;wsp:rsid wsp:val=&quot;0036459C&quot;/&gt;&lt;wsp:rsid wsp:val=&quot;00364EC6&quot;/&gt;&lt;wsp:rsid wsp:val=&quot;00371525&quot;/&gt;&lt;wsp:rsid wsp:val=&quot;0037415A&quot;/&gt;&lt;wsp:rsid wsp:val=&quot;00377349&quot;/&gt;&lt;wsp:rsid wsp:val=&quot;00381748&quot;/&gt;&lt;wsp:rsid wsp:val=&quot;00386F67&quot;/&gt;&lt;wsp:rsid wsp:val=&quot;003A5340&quot;/&gt;&lt;wsp:rsid wsp:val=&quot;003A6EDF&quot;/&gt;&lt;wsp:rsid wsp:val=&quot;003B3BCB&quot;/&gt;&lt;wsp:rsid wsp:val=&quot;003B3FC5&quot;/&gt;&lt;wsp:rsid wsp:val=&quot;003B633E&quot;/&gt;&lt;wsp:rsid wsp:val=&quot;003F435E&quot;/&gt;&lt;wsp:rsid wsp:val=&quot;00402F9A&quot;/&gt;&lt;wsp:rsid wsp:val=&quot;0040314C&quot;/&gt;&lt;wsp:rsid wsp:val=&quot;00411BB7&quot;/&gt;&lt;wsp:rsid wsp:val=&quot;004147F7&quot;/&gt;&lt;wsp:rsid wsp:val=&quot;00421A07&quot;/&gt;&lt;wsp:rsid wsp:val=&quot;00433F12&quot;/&gt;&lt;wsp:rsid wsp:val=&quot;00434E44&quot;/&gt;&lt;wsp:rsid wsp:val=&quot;00442CD2&quot;/&gt;&lt;wsp:rsid wsp:val=&quot;004445A4&quot;/&gt;&lt;wsp:rsid wsp:val=&quot;004548A9&quot;/&gt;&lt;wsp:rsid wsp:val=&quot;00457DF5&quot;/&gt;&lt;wsp:rsid wsp:val=&quot;004614C5&quot;/&gt;&lt;wsp:rsid wsp:val=&quot;00463294&quot;/&gt;&lt;wsp:rsid wsp:val=&quot;004665E5&quot;/&gt;&lt;wsp:rsid wsp:val=&quot;0046683B&quot;/&gt;&lt;wsp:rsid wsp:val=&quot;004711D0&quot;/&gt;&lt;wsp:rsid wsp:val=&quot;00476149&quot;/&gt;&lt;wsp:rsid wsp:val=&quot;00483257&quot;/&gt;&lt;wsp:rsid wsp:val=&quot;004904FC&quot;/&gt;&lt;wsp:rsid wsp:val=&quot;00491C7A&quot;/&gt;&lt;wsp:rsid wsp:val=&quot;004953FE&quot;/&gt;&lt;wsp:rsid wsp:val=&quot;00497EE6&quot;/&gt;&lt;wsp:rsid wsp:val=&quot;004A322A&quot;/&gt;&lt;wsp:rsid wsp:val=&quot;004D477E&quot;/&gt;&lt;wsp:rsid wsp:val=&quot;004D7120&quot;/&gt;&lt;wsp:rsid wsp:val=&quot;004E2FD0&quot;/&gt;&lt;wsp:rsid wsp:val=&quot;004F2ADA&quot;/&gt;&lt;wsp:rsid wsp:val=&quot;004F30EB&quot;/&gt;&lt;wsp:rsid wsp:val=&quot;004F7675&quot;/&gt;&lt;wsp:rsid wsp:val=&quot;00507440&quot;/&gt;&lt;wsp:rsid wsp:val=&quot;00511922&quot;/&gt;&lt;wsp:rsid wsp:val=&quot;005123CB&quot;/&gt;&lt;wsp:rsid wsp:val=&quot;00525E2F&quot;/&gt;&lt;wsp:rsid wsp:val=&quot;00527D15&quot;/&gt;&lt;wsp:rsid wsp:val=&quot;00532BD3&quot;/&gt;&lt;wsp:rsid wsp:val=&quot;005331E7&quot;/&gt;&lt;wsp:rsid wsp:val=&quot;00535664&quot;/&gt;&lt;wsp:rsid wsp:val=&quot;00536277&quot;/&gt;&lt;wsp:rsid wsp:val=&quot;00543154&quot;/&gt;&lt;wsp:rsid wsp:val=&quot;00552868&quot;/&gt;&lt;wsp:rsid wsp:val=&quot;00552B0B&quot;/&gt;&lt;wsp:rsid wsp:val=&quot;00557252&quot;/&gt;&lt;wsp:rsid wsp:val=&quot;00557B84&quot;/&gt;&lt;wsp:rsid wsp:val=&quot;0056208A&quot;/&gt;&lt;wsp:rsid wsp:val=&quot;0056406A&quot;/&gt;&lt;wsp:rsid wsp:val=&quot;00565A95&quot;/&gt;&lt;wsp:rsid wsp:val=&quot;00567BF1&quot;/&gt;&lt;wsp:rsid wsp:val=&quot;00573F5F&quot;/&gt;&lt;wsp:rsid wsp:val=&quot;005761B3&quot;/&gt;&lt;wsp:rsid wsp:val=&quot;00582529&quot;/&gt;&lt;wsp:rsid wsp:val=&quot;0059659C&quot;/&gt;&lt;wsp:rsid wsp:val=&quot;005A12FC&quot;/&gt;&lt;wsp:rsid wsp:val=&quot;005A5A7F&quot;/&gt;&lt;wsp:rsid wsp:val=&quot;005B2DDA&quot;/&gt;&lt;wsp:rsid wsp:val=&quot;005B32DF&quot;/&gt;&lt;wsp:rsid wsp:val=&quot;005B3A0A&quot;/&gt;&lt;wsp:rsid wsp:val=&quot;005B7C29&quot;/&gt;&lt;wsp:rsid wsp:val=&quot;005D1593&quot;/&gt;&lt;wsp:rsid wsp:val=&quot;005D4374&quot;/&gt;&lt;wsp:rsid wsp:val=&quot;005E004A&quot;/&gt;&lt;wsp:rsid wsp:val=&quot;005E7028&quot;/&gt;&lt;wsp:rsid wsp:val=&quot;00602BA1&quot;/&gt;&lt;wsp:rsid wsp:val=&quot;00611B56&quot;/&gt;&lt;wsp:rsid wsp:val=&quot;006170B8&quot;/&gt;&lt;wsp:rsid wsp:val=&quot;00624012&quot;/&gt;&lt;wsp:rsid wsp:val=&quot;006258CD&quot;/&gt;&lt;wsp:rsid wsp:val=&quot;00626815&quot;/&gt;&lt;wsp:rsid wsp:val=&quot;00634BFD&quot;/&gt;&lt;wsp:rsid wsp:val=&quot;006415E2&quot;/&gt;&lt;wsp:rsid wsp:val=&quot;0064340B&quot;/&gt;&lt;wsp:rsid wsp:val=&quot;00645603&quot;/&gt;&lt;wsp:rsid wsp:val=&quot;00647746&quot;/&gt;&lt;wsp:rsid wsp:val=&quot;00650697&quot;/&gt;&lt;wsp:rsid wsp:val=&quot;00655935&quot;/&gt;&lt;wsp:rsid wsp:val=&quot;00655FCB&quot;/&gt;&lt;wsp:rsid wsp:val=&quot;00667E5A&quot;/&gt;&lt;wsp:rsid wsp:val=&quot;00671DA8&quot;/&gt;&lt;wsp:rsid wsp:val=&quot;00677904&quot;/&gt;&lt;wsp:rsid wsp:val=&quot;00681869&quot;/&gt;&lt;wsp:rsid wsp:val=&quot;006852DE&quot;/&gt;&lt;wsp:rsid wsp:val=&quot;006911A5&quot;/&gt;&lt;wsp:rsid wsp:val=&quot;006A02A0&quot;/&gt;&lt;wsp:rsid wsp:val=&quot;006A1035&quot;/&gt;&lt;wsp:rsid wsp:val=&quot;006A6788&quot;/&gt;&lt;wsp:rsid wsp:val=&quot;006A72EC&quot;/&gt;&lt;wsp:rsid wsp:val=&quot;006B21EC&quot;/&gt;&lt;wsp:rsid wsp:val=&quot;006B4D38&quot;/&gt;&lt;wsp:rsid wsp:val=&quot;006B7135&quot;/&gt;&lt;wsp:rsid wsp:val=&quot;006D0023&quot;/&gt;&lt;wsp:rsid wsp:val=&quot;006D3E47&quot;/&gt;&lt;wsp:rsid wsp:val=&quot;006E0F08&quot;/&gt;&lt;wsp:rsid wsp:val=&quot;006E18B6&quot;/&gt;&lt;wsp:rsid wsp:val=&quot;006F4345&quot;/&gt;&lt;wsp:rsid wsp:val=&quot;00700865&quot;/&gt;&lt;wsp:rsid wsp:val=&quot;00700CEA&quot;/&gt;&lt;wsp:rsid wsp:val=&quot;00703108&quot;/&gt;&lt;wsp:rsid wsp:val=&quot;00704A4E&quot;/&gt;&lt;wsp:rsid wsp:val=&quot;007071F2&quot;/&gt;&lt;wsp:rsid wsp:val=&quot;00720CA3&quot;/&gt;&lt;wsp:rsid wsp:val=&quot;00722A26&quot;/&gt;&lt;wsp:rsid wsp:val=&quot;007332D4&quot;/&gt;&lt;wsp:rsid wsp:val=&quot;00733EB7&quot;/&gt;&lt;wsp:rsid wsp:val=&quot;0073440D&quot;/&gt;&lt;wsp:rsid wsp:val=&quot;00735E76&quot;/&gt;&lt;wsp:rsid wsp:val=&quot;0075414B&quot;/&gt;&lt;wsp:rsid wsp:val=&quot;00757751&quot;/&gt;&lt;wsp:rsid wsp:val=&quot;00763512&quot;/&gt;&lt;wsp:rsid wsp:val=&quot;00763C57&quot;/&gt;&lt;wsp:rsid wsp:val=&quot;00764A6A&quot;/&gt;&lt;wsp:rsid wsp:val=&quot;0077537A&quot;/&gt;&lt;wsp:rsid wsp:val=&quot;00783D9C&quot;/&gt;&lt;wsp:rsid wsp:val=&quot;007878A0&quot;/&gt;&lt;wsp:rsid wsp:val=&quot;00792670&quot;/&gt;&lt;wsp:rsid wsp:val=&quot;007927B1&quot;/&gt;&lt;wsp:rsid wsp:val=&quot;00795AEC&quot;/&gt;&lt;wsp:rsid wsp:val=&quot;007A579C&quot;/&gt;&lt;wsp:rsid wsp:val=&quot;007B1D56&quot;/&gt;&lt;wsp:rsid wsp:val=&quot;007B64B7&quot;/&gt;&lt;wsp:rsid wsp:val=&quot;007C4117&quot;/&gt;&lt;wsp:rsid wsp:val=&quot;007C491C&quot;/&gt;&lt;wsp:rsid wsp:val=&quot;007C4C9B&quot;/&gt;&lt;wsp:rsid wsp:val=&quot;007C7CC9&quot;/&gt;&lt;wsp:rsid wsp:val=&quot;007D5DDE&quot;/&gt;&lt;wsp:rsid wsp:val=&quot;007E22E9&quot;/&gt;&lt;wsp:rsid wsp:val=&quot;007E5B47&quot;/&gt;&lt;wsp:rsid wsp:val=&quot;007E6B6B&quot;/&gt;&lt;wsp:rsid wsp:val=&quot;007F7735&quot;/&gt;&lt;wsp:rsid wsp:val=&quot;00805E66&quot;/&gt;&lt;wsp:rsid wsp:val=&quot;008065B4&quot;/&gt;&lt;wsp:rsid wsp:val=&quot;00824581&quot;/&gt;&lt;wsp:rsid wsp:val=&quot;0082540D&quot;/&gt;&lt;wsp:rsid wsp:val=&quot;00830AD8&quot;/&gt;&lt;wsp:rsid wsp:val=&quot;0083331B&quot;/&gt;&lt;wsp:rsid wsp:val=&quot;00835D48&quot;/&gt;&lt;wsp:rsid wsp:val=&quot;00845C93&quot;/&gt;&lt;wsp:rsid wsp:val=&quot;00856E33&quot;/&gt;&lt;wsp:rsid wsp:val=&quot;0086080F&quot;/&gt;&lt;wsp:rsid wsp:val=&quot;008613E4&quot;/&gt;&lt;wsp:rsid wsp:val=&quot;00863224&quot;/&gt;&lt;wsp:rsid wsp:val=&quot;00871E77&quot;/&gt;&lt;wsp:rsid wsp:val=&quot;0087518A&quot;/&gt;&lt;wsp:rsid wsp:val=&quot;00876F4A&quot;/&gt;&lt;wsp:rsid wsp:val=&quot;008802B8&quot;/&gt;&lt;wsp:rsid wsp:val=&quot;00884F88&quot;/&gt;&lt;wsp:rsid wsp:val=&quot;00885DD8&quot;/&gt;&lt;wsp:rsid wsp:val=&quot;00886D94&quot;/&gt;&lt;wsp:rsid wsp:val=&quot;008877F0&quot;/&gt;&lt;wsp:rsid wsp:val=&quot;0089341B&quot;/&gt;&lt;wsp:rsid wsp:val=&quot;00897537&quot;/&gt;&lt;wsp:rsid wsp:val=&quot;008A7237&quot;/&gt;&lt;wsp:rsid wsp:val=&quot;008C420A&quot;/&gt;&lt;wsp:rsid wsp:val=&quot;008C6471&quot;/&gt;&lt;wsp:rsid wsp:val=&quot;008D3AAC&quot;/&gt;&lt;wsp:rsid wsp:val=&quot;008E701A&quot;/&gt;&lt;wsp:rsid wsp:val=&quot;008F0DFB&quot;/&gt;&lt;wsp:rsid wsp:val=&quot;008F3E53&quot;/&gt;&lt;wsp:rsid wsp:val=&quot;0091234C&quot;/&gt;&lt;wsp:rsid wsp:val=&quot;009131D6&quot;/&gt;&lt;wsp:rsid wsp:val=&quot;00914E78&quot;/&gt;&lt;wsp:rsid wsp:val=&quot;009218F7&quot;/&gt;&lt;wsp:rsid wsp:val=&quot;00924178&quot;/&gt;&lt;wsp:rsid wsp:val=&quot;00926EB1&quot;/&gt;&lt;wsp:rsid wsp:val=&quot;00932E89&quot;/&gt;&lt;wsp:rsid wsp:val=&quot;009351B2&quot;/&gt;&lt;wsp:rsid wsp:val=&quot;009379AA&quot;/&gt;&lt;wsp:rsid wsp:val=&quot;009432E9&quot;/&gt;&lt;wsp:rsid wsp:val=&quot;00943713&quot;/&gt;&lt;wsp:rsid wsp:val=&quot;00945B31&quot;/&gt;&lt;wsp:rsid wsp:val=&quot;00950D8A&quot;/&gt;&lt;wsp:rsid wsp:val=&quot;009511FC&quot;/&gt;&lt;wsp:rsid wsp:val=&quot;00953706&quot;/&gt;&lt;wsp:rsid wsp:val=&quot;00955006&quot;/&gt;&lt;wsp:rsid wsp:val=&quot;00965823&quot;/&gt;&lt;wsp:rsid wsp:val=&quot;00970150&quot;/&gt;&lt;wsp:rsid wsp:val=&quot;0097505A&quot;/&gt;&lt;wsp:rsid wsp:val=&quot;00981655&quot;/&gt;&lt;wsp:rsid wsp:val=&quot;0098768C&quot;/&gt;&lt;wsp:rsid wsp:val=&quot;009979EF&quot;/&gt;&lt;wsp:rsid wsp:val=&quot;009A466A&quot;/&gt;&lt;wsp:rsid wsp:val=&quot;009B0FE8&quot;/&gt;&lt;wsp:rsid wsp:val=&quot;009B1033&quot;/&gt;&lt;wsp:rsid wsp:val=&quot;009B5D97&quot;/&gt;&lt;wsp:rsid wsp:val=&quot;009B5FF3&quot;/&gt;&lt;wsp:rsid wsp:val=&quot;009C14DB&quot;/&gt;&lt;wsp:rsid wsp:val=&quot;009C764A&quot;/&gt;&lt;wsp:rsid wsp:val=&quot;009D04D0&quot;/&gt;&lt;wsp:rsid wsp:val=&quot;009D26D4&quot;/&gt;&lt;wsp:rsid wsp:val=&quot;009D3F5F&quot;/&gt;&lt;wsp:rsid wsp:val=&quot;009E6A66&quot;/&gt;&lt;wsp:rsid wsp:val=&quot;009E77C2&quot;/&gt;&lt;wsp:rsid wsp:val=&quot;00A05956&quot;/&gt;&lt;wsp:rsid wsp:val=&quot;00A10221&quot;/&gt;&lt;wsp:rsid wsp:val=&quot;00A10CB4&quot;/&gt;&lt;wsp:rsid wsp:val=&quot;00A12B61&quot;/&gt;&lt;wsp:rsid wsp:val=&quot;00A15DD4&quot;/&gt;&lt;wsp:rsid wsp:val=&quot;00A1636A&quot;/&gt;&lt;wsp:rsid wsp:val=&quot;00A23D9F&quot;/&gt;&lt;wsp:rsid wsp:val=&quot;00A32D3A&quot;/&gt;&lt;wsp:rsid wsp:val=&quot;00A346DD&quot;/&gt;&lt;wsp:rsid wsp:val=&quot;00A34F30&quot;/&gt;&lt;wsp:rsid wsp:val=&quot;00A375BD&quot;/&gt;&lt;wsp:rsid wsp:val=&quot;00A52A28&quot;/&gt;&lt;wsp:rsid wsp:val=&quot;00A55ECA&quot;/&gt;&lt;wsp:rsid wsp:val=&quot;00A57741&quot;/&gt;&lt;wsp:rsid wsp:val=&quot;00A604B4&quot;/&gt;&lt;wsp:rsid wsp:val=&quot;00A657C3&quot;/&gt;&lt;wsp:rsid wsp:val=&quot;00A7110D&quot;/&gt;&lt;wsp:rsid wsp:val=&quot;00A745A5&quot;/&gt;&lt;wsp:rsid wsp:val=&quot;00A75ADB&quot;/&gt;&lt;wsp:rsid wsp:val=&quot;00A83103&quot;/&gt;&lt;wsp:rsid wsp:val=&quot;00A84AC8&quot;/&gt;&lt;wsp:rsid wsp:val=&quot;00A91A22&quot;/&gt;&lt;wsp:rsid wsp:val=&quot;00A9245B&quot;/&gt;&lt;wsp:rsid wsp:val=&quot;00A942D2&quot;/&gt;&lt;wsp:rsid wsp:val=&quot;00A97583&quot;/&gt;&lt;wsp:rsid wsp:val=&quot;00AA2053&quot;/&gt;&lt;wsp:rsid wsp:val=&quot;00AA43C6&quot;/&gt;&lt;wsp:rsid wsp:val=&quot;00AB18CD&quot;/&gt;&lt;wsp:rsid wsp:val=&quot;00AB25F9&quot;/&gt;&lt;wsp:rsid wsp:val=&quot;00AB35DE&quot;/&gt;&lt;wsp:rsid wsp:val=&quot;00AB496C&quot;/&gt;&lt;wsp:rsid wsp:val=&quot;00AB5FCB&quot;/&gt;&lt;wsp:rsid wsp:val=&quot;00AC20F8&quot;/&gt;&lt;wsp:rsid wsp:val=&quot;00AD1E61&quot;/&gt;&lt;wsp:rsid wsp:val=&quot;00AD4E4C&quot;/&gt;&lt;wsp:rsid wsp:val=&quot;00AF300B&quot;/&gt;&lt;wsp:rsid wsp:val=&quot;00AF4FD5&quot;/&gt;&lt;wsp:rsid wsp:val=&quot;00B009FE&quot;/&gt;&lt;wsp:rsid wsp:val=&quot;00B01BC5&quot;/&gt;&lt;wsp:rsid wsp:val=&quot;00B027D7&quot;/&gt;&lt;wsp:rsid wsp:val=&quot;00B12F70&quot;/&gt;&lt;wsp:rsid wsp:val=&quot;00B13997&quot;/&gt;&lt;wsp:rsid wsp:val=&quot;00B17BDE&quot;/&gt;&lt;wsp:rsid wsp:val=&quot;00B21AB7&quot;/&gt;&lt;wsp:rsid wsp:val=&quot;00B24B2A&quot;/&gt;&lt;wsp:rsid wsp:val=&quot;00B266E6&quot;/&gt;&lt;wsp:rsid wsp:val=&quot;00B274FF&quot;/&gt;&lt;wsp:rsid wsp:val=&quot;00B320ED&quot;/&gt;&lt;wsp:rsid wsp:val=&quot;00B35855&quot;/&gt;&lt;wsp:rsid wsp:val=&quot;00B41EB3&quot;/&gt;&lt;wsp:rsid wsp:val=&quot;00B72189&quot;/&gt;&lt;wsp:rsid wsp:val=&quot;00B722C6&quot;/&gt;&lt;wsp:rsid wsp:val=&quot;00B7318F&quot;/&gt;&lt;wsp:rsid wsp:val=&quot;00B83397&quot;/&gt;&lt;wsp:rsid wsp:val=&quot;00B845BD&quot;/&gt;&lt;wsp:rsid wsp:val=&quot;00B952B4&quot;/&gt;&lt;wsp:rsid wsp:val=&quot;00BA23BC&quot;/&gt;&lt;wsp:rsid wsp:val=&quot;00BA269C&quot;/&gt;&lt;wsp:rsid wsp:val=&quot;00BA5E20&quot;/&gt;&lt;wsp:rsid wsp:val=&quot;00BA718B&quot;/&gt;&lt;wsp:rsid wsp:val=&quot;00BB77D9&quot;/&gt;&lt;wsp:rsid wsp:val=&quot;00BD698F&quot;/&gt;&lt;wsp:rsid wsp:val=&quot;00BD768E&quot;/&gt;&lt;wsp:rsid wsp:val=&quot;00BD7C3E&quot;/&gt;&lt;wsp:rsid wsp:val=&quot;00BD7D8B&quot;/&gt;&lt;wsp:rsid wsp:val=&quot;00BE345B&quot;/&gt;&lt;wsp:rsid wsp:val=&quot;00BE4174&quot;/&gt;&lt;wsp:rsid wsp:val=&quot;00BF329B&quot;/&gt;&lt;wsp:rsid wsp:val=&quot;00BF32FE&quot;/&gt;&lt;wsp:rsid wsp:val=&quot;00BF40E1&quot;/&gt;&lt;wsp:rsid wsp:val=&quot;00BF6A2E&quot;/&gt;&lt;wsp:rsid wsp:val=&quot;00C003CA&quot;/&gt;&lt;wsp:rsid wsp:val=&quot;00C04633&quot;/&gt;&lt;wsp:rsid wsp:val=&quot;00C061D7&quot;/&gt;&lt;wsp:rsid wsp:val=&quot;00C15027&quot;/&gt;&lt;wsp:rsid wsp:val=&quot;00C21610&quot;/&gt;&lt;wsp:rsid wsp:val=&quot;00C34F84&quot;/&gt;&lt;wsp:rsid wsp:val=&quot;00C37C43&quot;/&gt;&lt;wsp:rsid wsp:val=&quot;00C37C4F&quot;/&gt;&lt;wsp:rsid wsp:val=&quot;00C417E4&quot;/&gt;&lt;wsp:rsid wsp:val=&quot;00C42FA3&quot;/&gt;&lt;wsp:rsid wsp:val=&quot;00C53CC2&quot;/&gt;&lt;wsp:rsid wsp:val=&quot;00C57490&quot;/&gt;&lt;wsp:rsid wsp:val=&quot;00C61AE0&quot;/&gt;&lt;wsp:rsid wsp:val=&quot;00C71D67&quot;/&gt;&lt;wsp:rsid wsp:val=&quot;00C7260C&quot;/&gt;&lt;wsp:rsid wsp:val=&quot;00C75E32&quot;/&gt;&lt;wsp:rsid wsp:val=&quot;00C87CA4&quot;/&gt;&lt;wsp:rsid wsp:val=&quot;00C92396&quot;/&gt;&lt;wsp:rsid wsp:val=&quot;00C93353&quot;/&gt;&lt;wsp:rsid wsp:val=&quot;00C940AA&quot;/&gt;&lt;wsp:rsid wsp:val=&quot;00C96B68&quot;/&gt;&lt;wsp:rsid wsp:val=&quot;00CA2183&quot;/&gt;&lt;wsp:rsid wsp:val=&quot;00CA2B98&quot;/&gt;&lt;wsp:rsid wsp:val=&quot;00CB1B59&quot;/&gt;&lt;wsp:rsid wsp:val=&quot;00CB1CBC&quot;/&gt;&lt;wsp:rsid wsp:val=&quot;00CB36AC&quot;/&gt;&lt;wsp:rsid wsp:val=&quot;00CB5E1F&quot;/&gt;&lt;wsp:rsid wsp:val=&quot;00CB6330&quot;/&gt;&lt;wsp:rsid wsp:val=&quot;00CB6484&quot;/&gt;&lt;wsp:rsid wsp:val=&quot;00CC1525&quot;/&gt;&lt;wsp:rsid wsp:val=&quot;00CC15D4&quot;/&gt;&lt;wsp:rsid wsp:val=&quot;00CC3809&quot;/&gt;&lt;wsp:rsid wsp:val=&quot;00CC45C0&quot;/&gt;&lt;wsp:rsid wsp:val=&quot;00CC5711&quot;/&gt;&lt;wsp:rsid wsp:val=&quot;00CD7A85&quot;/&gt;&lt;wsp:rsid wsp:val=&quot;00CE1776&quot;/&gt;&lt;wsp:rsid wsp:val=&quot;00CE57F2&quot;/&gt;&lt;wsp:rsid wsp:val=&quot;00CE5A80&quot;/&gt;&lt;wsp:rsid wsp:val=&quot;00CF0C51&quot;/&gt;&lt;wsp:rsid wsp:val=&quot;00D010B4&quot;/&gt;&lt;wsp:rsid wsp:val=&quot;00D01D06&quot;/&gt;&lt;wsp:rsid wsp:val=&quot;00D13390&quot;/&gt;&lt;wsp:rsid wsp:val=&quot;00D137DB&quot;/&gt;&lt;wsp:rsid wsp:val=&quot;00D21EC6&quot;/&gt;&lt;wsp:rsid wsp:val=&quot;00D23492&quot;/&gt;&lt;wsp:rsid wsp:val=&quot;00D339AB&quot;/&gt;&lt;wsp:rsid wsp:val=&quot;00D34F44&quot;/&gt;&lt;wsp:rsid wsp:val=&quot;00D35E20&quot;/&gt;&lt;wsp:rsid wsp:val=&quot;00D421DF&quot;/&gt;&lt;wsp:rsid wsp:val=&quot;00D43020&quot;/&gt;&lt;wsp:rsid wsp:val=&quot;00D440F3&quot;/&gt;&lt;wsp:rsid wsp:val=&quot;00D52502&quot;/&gt;&lt;wsp:rsid wsp:val=&quot;00D56835&quot;/&gt;&lt;wsp:rsid wsp:val=&quot;00D604CA&quot;/&gt;&lt;wsp:rsid wsp:val=&quot;00D63105&quot;/&gt;&lt;wsp:rsid wsp:val=&quot;00D712F9&quot;/&gt;&lt;wsp:rsid wsp:val=&quot;00D7155B&quot;/&gt;&lt;wsp:rsid wsp:val=&quot;00D733A0&quot;/&gt;&lt;wsp:rsid wsp:val=&quot;00D74925&quot;/&gt;&lt;wsp:rsid wsp:val=&quot;00D76E48&quot;/&gt;&lt;wsp:rsid wsp:val=&quot;00D80719&quot;/&gt;&lt;wsp:rsid wsp:val=&quot;00D92A77&quot;/&gt;&lt;wsp:rsid wsp:val=&quot;00D97384&quot;/&gt;&lt;wsp:rsid wsp:val=&quot;00D9765C&quot;/&gt;&lt;wsp:rsid wsp:val=&quot;00DA609C&quot;/&gt;&lt;wsp:rsid wsp:val=&quot;00DB00A9&quot;/&gt;&lt;wsp:rsid wsp:val=&quot;00DB2851&quot;/&gt;&lt;wsp:rsid wsp:val=&quot;00DB406A&quot;/&gt;&lt;wsp:rsid wsp:val=&quot;00DB493E&quot;/&gt;&lt;wsp:rsid wsp:val=&quot;00DB5C09&quot;/&gt;&lt;wsp:rsid wsp:val=&quot;00DB5FC1&quot;/&gt;&lt;wsp:rsid wsp:val=&quot;00DB74A0&quot;/&gt;&lt;wsp:rsid wsp:val=&quot;00DC3493&quot;/&gt;&lt;wsp:rsid wsp:val=&quot;00DD1827&quot;/&gt;&lt;wsp:rsid wsp:val=&quot;00DD33DD&quot;/&gt;&lt;wsp:rsid wsp:val=&quot;00DD69C7&quot;/&gt;&lt;wsp:rsid wsp:val=&quot;00DD74B1&quot;/&gt;&lt;wsp:rsid wsp:val=&quot;00DE58C1&quot;/&gt;&lt;wsp:rsid wsp:val=&quot;00DF0DE6&quot;/&gt;&lt;wsp:rsid wsp:val=&quot;00DF248F&quot;/&gt;&lt;wsp:rsid wsp:val=&quot;00DF6CEE&quot;/&gt;&lt;wsp:rsid wsp:val=&quot;00E236AA&quot;/&gt;&lt;wsp:rsid wsp:val=&quot;00E33842&quot;/&gt;&lt;wsp:rsid wsp:val=&quot;00E33FBA&quot;/&gt;&lt;wsp:rsid wsp:val=&quot;00E44E1A&quot;/&gt;&lt;wsp:rsid wsp:val=&quot;00E478B5&quot;/&gt;&lt;wsp:rsid wsp:val=&quot;00E52BF7&quot;/&gt;&lt;wsp:rsid wsp:val=&quot;00E553BC&quot;/&gt;&lt;wsp:rsid wsp:val=&quot;00E60CD9&quot;/&gt;&lt;wsp:rsid wsp:val=&quot;00E6316E&quot;/&gt;&lt;wsp:rsid wsp:val=&quot;00E64478&quot;/&gt;&lt;wsp:rsid wsp:val=&quot;00E662AF&quot;/&gt;&lt;wsp:rsid wsp:val=&quot;00E66379&quot;/&gt;&lt;wsp:rsid wsp:val=&quot;00E6777F&quot;/&gt;&lt;wsp:rsid wsp:val=&quot;00E71997&quot;/&gt;&lt;wsp:rsid wsp:val=&quot;00E72291&quot;/&gt;&lt;wsp:rsid wsp:val=&quot;00E726B1&quot;/&gt;&lt;wsp:rsid wsp:val=&quot;00E81E45&quot;/&gt;&lt;wsp:rsid wsp:val=&quot;00E836C1&quot;/&gt;&lt;wsp:rsid wsp:val=&quot;00E867BE&quot;/&gt;&lt;wsp:rsid wsp:val=&quot;00E9348C&quot;/&gt;&lt;wsp:rsid wsp:val=&quot;00E93D31&quot;/&gt;&lt;wsp:rsid wsp:val=&quot;00E96EFB&quot;/&gt;&lt;wsp:rsid wsp:val=&quot;00EA4D3D&quot;/&gt;&lt;wsp:rsid wsp:val=&quot;00EB008B&quot;/&gt;&lt;wsp:rsid wsp:val=&quot;00EB544F&quot;/&gt;&lt;wsp:rsid wsp:val=&quot;00EB6314&quot;/&gt;&lt;wsp:rsid wsp:val=&quot;00EC70C8&quot;/&gt;&lt;wsp:rsid wsp:val=&quot;00ED38B8&quot;/&gt;&lt;wsp:rsid wsp:val=&quot;00ED775A&quot;/&gt;&lt;wsp:rsid wsp:val=&quot;00EE1E0A&quot;/&gt;&lt;wsp:rsid wsp:val=&quot;00EE4B3E&quot;/&gt;&lt;wsp:rsid wsp:val=&quot;00EE6C37&quot;/&gt;&lt;wsp:rsid wsp:val=&quot;00EE714A&quot;/&gt;&lt;wsp:rsid wsp:val=&quot;00EE783C&quot;/&gt;&lt;wsp:rsid wsp:val=&quot;00EF6B7D&quot;/&gt;&lt;wsp:rsid wsp:val=&quot;00F00A36&quot;/&gt;&lt;wsp:rsid wsp:val=&quot;00F0398C&quot;/&gt;&lt;wsp:rsid wsp:val=&quot;00F139AE&quot;/&gt;&lt;wsp:rsid wsp:val=&quot;00F33A1F&quot;/&gt;&lt;wsp:rsid wsp:val=&quot;00F3412D&quot;/&gt;&lt;wsp:rsid wsp:val=&quot;00F432EC&quot;/&gt;&lt;wsp:rsid wsp:val=&quot;00F50196&quot;/&gt;&lt;wsp:rsid wsp:val=&quot;00F52E82&quot;/&gt;&lt;wsp:rsid wsp:val=&quot;00F53C0A&quot;/&gt;&lt;wsp:rsid wsp:val=&quot;00F56513&quot;/&gt;&lt;wsp:rsid wsp:val=&quot;00F649B2&quot;/&gt;&lt;wsp:rsid wsp:val=&quot;00F76D13&quot;/&gt;&lt;wsp:rsid wsp:val=&quot;00F9252E&quot;/&gt;&lt;wsp:rsid wsp:val=&quot;00F93A9C&quot;/&gt;&lt;wsp:rsid wsp:val=&quot;00FA57C6&quot;/&gt;&lt;wsp:rsid wsp:val=&quot;00FB3FA5&quot;/&gt;&lt;wsp:rsid wsp:val=&quot;00FB5E46&quot;/&gt;&lt;wsp:rsid wsp:val=&quot;00FC7E56&quot;/&gt;&lt;wsp:rsid wsp:val=&quot;00FD01CA&quot;/&gt;&lt;wsp:rsid wsp:val=&quot;00FD51E0&quot;/&gt;&lt;wsp:rsid wsp:val=&quot;00FD5311&quot;/&gt;&lt;wsp:rsid wsp:val=&quot;00FF12BE&quot;/&gt;&lt;wsp:rsid wsp:val=&quot;00FF3476&quot;/&gt;&lt;/wsp:rsids&gt;&lt;/w:docPr&gt;&lt;w:body&gt;&lt;w:p wsp:rsidR=&quot;00000000&quot; wsp:rsidRDefault=&quot;00246169&quot;&gt;&lt;m:oMathPara&gt;&lt;m:oMath&gt;&lt;m:d&gt;&lt;m:dPr&gt;&lt;m:begChr m:val=&quot;|&quot;/&gt;&lt;m:endChr m:val=&quot;|&quot;/&gt;&lt;m:ctrlPr&gt;&lt;w:rPr&gt;&lt;w:rFonts w:ascii=&quot;Cambria Math&quot; w:h-ansi=&quot;Cambria Math&quot;/&gt;&lt;wx:font wx:val=&quot;Cambria Math&quot;/&gt;&lt;w:i/&gt;&lt;w:sz w:val=&quot;24&quot;/&gt;&lt;w:sz-cs w:val=&quot;24&quot;/&gt;&lt;/w:rPr&gt;&lt;/m:ctrlPr&gt;&lt;/m:dPr&gt;&lt;m:e&gt;&lt;m:r&gt;&lt;w:rPr&gt;&lt;w:rFonts w:ascii=&quot;Cambria Math&quot; w:h-ansi=&quot;Cambria Math&quot;/&gt;&lt;wx:font wx:val=&quot;Cambria Math&quot;/&gt;&lt;w:i/&gt;&lt;w:sz w:val=&quot;24&quot;/&gt;&lt;w:sz-cs w:val=&quot;24&quot;/&gt;&lt;/w:rPr&gt;&lt;m:t&gt;outpu&lt;/m:t&gt;&lt;/m:r&gt;&lt;m:r&gt;&lt;w:rPr&gt;&lt;w:rFonts w:ascii=&quot;Cambria Math&quot; w:h-ansi=&quot;Cambria Math&quot;/&gt;&lt;wx:font wx:val=&quot;Cambria Math&quot;/&gt;&lt;w:i/&gt;&lt;w:sz w:val=&quot;24&quot;/&gt;&lt;w:sz-cs w:val=&quot;24&quot;/&gt;&lt;/w:rPr&gt;&lt;m:t&gt;t gap EM-output gap AM&lt;/m:t&gt;&lt;/m:r&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Pr="00FE6530">
        <w:rPr>
          <w:sz w:val="24"/>
          <w:szCs w:val="24"/>
        </w:rPr>
        <w:instrText xml:space="preserve"> </w:instrText>
      </w:r>
      <w:r w:rsidRPr="00FE6530">
        <w:rPr>
          <w:sz w:val="24"/>
          <w:szCs w:val="24"/>
        </w:rPr>
        <w:fldChar w:fldCharType="separate"/>
      </w:r>
      <w:r w:rsidRPr="00FE6530">
        <w:pict>
          <v:shape id="_x0000_i1028" type="#_x0000_t75" style="width:183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20&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E714A&quot;/&gt;&lt;wsp:rsid wsp:val=&quot;00001068&quot;/&gt;&lt;wsp:rsid wsp:val=&quot;00001A0F&quot;/&gt;&lt;wsp:rsid wsp:val=&quot;00001A86&quot;/&gt;&lt;wsp:rsid wsp:val=&quot;00002475&quot;/&gt;&lt;wsp:rsid wsp:val=&quot;000035D9&quot;/&gt;&lt;wsp:rsid wsp:val=&quot;0000487B&quot;/&gt;&lt;wsp:rsid wsp:val=&quot;00004AA3&quot;/&gt;&lt;wsp:rsid wsp:val=&quot;00012275&quot;/&gt;&lt;wsp:rsid wsp:val=&quot;00016A88&quot;/&gt;&lt;wsp:rsid wsp:val=&quot;00020235&quot;/&gt;&lt;wsp:rsid wsp:val=&quot;00024026&quot;/&gt;&lt;wsp:rsid wsp:val=&quot;0002619E&quot;/&gt;&lt;wsp:rsid wsp:val=&quot;00027676&quot;/&gt;&lt;wsp:rsid wsp:val=&quot;000334B1&quot;/&gt;&lt;wsp:rsid wsp:val=&quot;000344A5&quot;/&gt;&lt;wsp:rsid wsp:val=&quot;00036027&quot;/&gt;&lt;wsp:rsid wsp:val=&quot;00036993&quot;/&gt;&lt;wsp:rsid wsp:val=&quot;00051A32&quot;/&gt;&lt;wsp:rsid wsp:val=&quot;00062127&quot;/&gt;&lt;wsp:rsid wsp:val=&quot;000621A0&quot;/&gt;&lt;wsp:rsid wsp:val=&quot;00071F26&quot;/&gt;&lt;wsp:rsid wsp:val=&quot;00081F8D&quot;/&gt;&lt;wsp:rsid wsp:val=&quot;000820DE&quot;/&gt;&lt;wsp:rsid wsp:val=&quot;00086621&quot;/&gt;&lt;wsp:rsid wsp:val=&quot;0009405A&quot;/&gt;&lt;wsp:rsid wsp:val=&quot;000A146D&quot;/&gt;&lt;wsp:rsid wsp:val=&quot;000A5539&quot;/&gt;&lt;wsp:rsid wsp:val=&quot;000B5AAE&quot;/&gt;&lt;wsp:rsid wsp:val=&quot;000C4545&quot;/&gt;&lt;wsp:rsid wsp:val=&quot;000C59ED&quot;/&gt;&lt;wsp:rsid wsp:val=&quot;000D760D&quot;/&gt;&lt;wsp:rsid wsp:val=&quot;000E134B&quot;/&gt;&lt;wsp:rsid wsp:val=&quot;000E638E&quot;/&gt;&lt;wsp:rsid wsp:val=&quot;000E6AD6&quot;/&gt;&lt;wsp:rsid wsp:val=&quot;000F1D3C&quot;/&gt;&lt;wsp:rsid wsp:val=&quot;000F2F01&quot;/&gt;&lt;wsp:rsid wsp:val=&quot;0010117E&quot;/&gt;&lt;wsp:rsid wsp:val=&quot;0010691B&quot;/&gt;&lt;wsp:rsid wsp:val=&quot;00106CCD&quot;/&gt;&lt;wsp:rsid wsp:val=&quot;00107AF9&quot;/&gt;&lt;wsp:rsid wsp:val=&quot;00110D9C&quot;/&gt;&lt;wsp:rsid wsp:val=&quot;00114327&quot;/&gt;&lt;wsp:rsid wsp:val=&quot;0011628F&quot;/&gt;&lt;wsp:rsid wsp:val=&quot;0012677D&quot;/&gt;&lt;wsp:rsid wsp:val=&quot;00130C0A&quot;/&gt;&lt;wsp:rsid wsp:val=&quot;001331A8&quot;/&gt;&lt;wsp:rsid wsp:val=&quot;00135372&quot;/&gt;&lt;wsp:rsid wsp:val=&quot;00143E68&quot;/&gt;&lt;wsp:rsid wsp:val=&quot;00146CA9&quot;/&gt;&lt;wsp:rsid wsp:val=&quot;00157948&quot;/&gt;&lt;wsp:rsid wsp:val=&quot;0017023C&quot;/&gt;&lt;wsp:rsid wsp:val=&quot;00172502&quot;/&gt;&lt;wsp:rsid wsp:val=&quot;001742E4&quot;/&gt;&lt;wsp:rsid wsp:val=&quot;0018284A&quot;/&gt;&lt;wsp:rsid wsp:val=&quot;001867B9&quot;/&gt;&lt;wsp:rsid wsp:val=&quot;001A2071&quot;/&gt;&lt;wsp:rsid wsp:val=&quot;001A631D&quot;/&gt;&lt;wsp:rsid wsp:val=&quot;001A7C0C&quot;/&gt;&lt;wsp:rsid wsp:val=&quot;001B42CE&quot;/&gt;&lt;wsp:rsid wsp:val=&quot;001B4E94&quot;/&gt;&lt;wsp:rsid wsp:val=&quot;001D1DBB&quot;/&gt;&lt;wsp:rsid wsp:val=&quot;001E6C20&quot;/&gt;&lt;wsp:rsid wsp:val=&quot;001E6E04&quot;/&gt;&lt;wsp:rsid wsp:val=&quot;001F1184&quot;/&gt;&lt;wsp:rsid wsp:val=&quot;001F411A&quot;/&gt;&lt;wsp:rsid wsp:val=&quot;002009A8&quot;/&gt;&lt;wsp:rsid wsp:val=&quot;00206E3B&quot;/&gt;&lt;wsp:rsid wsp:val=&quot;0021020A&quot;/&gt;&lt;wsp:rsid wsp:val=&quot;0021262A&quot;/&gt;&lt;wsp:rsid wsp:val=&quot;00214A22&quot;/&gt;&lt;wsp:rsid wsp:val=&quot;002208F4&quot;/&gt;&lt;wsp:rsid wsp:val=&quot;002305CC&quot;/&gt;&lt;wsp:rsid wsp:val=&quot;002448BE&quot;/&gt;&lt;wsp:rsid wsp:val=&quot;00246169&quot;/&gt;&lt;wsp:rsid wsp:val=&quot;00262EDD&quot;/&gt;&lt;wsp:rsid wsp:val=&quot;002732C6&quot;/&gt;&lt;wsp:rsid wsp:val=&quot;0027746E&quot;/&gt;&lt;wsp:rsid wsp:val=&quot;00292CDF&quot;/&gt;&lt;wsp:rsid wsp:val=&quot;002931B8&quot;/&gt;&lt;wsp:rsid wsp:val=&quot;00293A7D&quot;/&gt;&lt;wsp:rsid wsp:val=&quot;00296953&quot;/&gt;&lt;wsp:rsid wsp:val=&quot;002A2691&quot;/&gt;&lt;wsp:rsid wsp:val=&quot;002B0437&quot;/&gt;&lt;wsp:rsid wsp:val=&quot;002B1A5B&quot;/&gt;&lt;wsp:rsid wsp:val=&quot;002C0835&quot;/&gt;&lt;wsp:rsid wsp:val=&quot;002C238F&quot;/&gt;&lt;wsp:rsid wsp:val=&quot;002C2E63&quot;/&gt;&lt;wsp:rsid wsp:val=&quot;002C7D7C&quot;/&gt;&lt;wsp:rsid wsp:val=&quot;002D3BED&quot;/&gt;&lt;wsp:rsid wsp:val=&quot;002D692E&quot;/&gt;&lt;wsp:rsid wsp:val=&quot;002D6E94&quot;/&gt;&lt;wsp:rsid wsp:val=&quot;002E13F9&quot;/&gt;&lt;wsp:rsid wsp:val=&quot;002E2B97&quot;/&gt;&lt;wsp:rsid wsp:val=&quot;002E756A&quot;/&gt;&lt;wsp:rsid wsp:val=&quot;002F7D77&quot;/&gt;&lt;wsp:rsid wsp:val=&quot;0030013E&quot;/&gt;&lt;wsp:rsid wsp:val=&quot;00300D09&quot;/&gt;&lt;wsp:rsid wsp:val=&quot;0030305D&quot;/&gt;&lt;wsp:rsid wsp:val=&quot;00305128&quot;/&gt;&lt;wsp:rsid wsp:val=&quot;003054AF&quot;/&gt;&lt;wsp:rsid wsp:val=&quot;00305A19&quot;/&gt;&lt;wsp:rsid wsp:val=&quot;00310590&quot;/&gt;&lt;wsp:rsid wsp:val=&quot;00317493&quot;/&gt;&lt;wsp:rsid wsp:val=&quot;00322521&quot;/&gt;&lt;wsp:rsid wsp:val=&quot;003237D4&quot;/&gt;&lt;wsp:rsid wsp:val=&quot;00327890&quot;/&gt;&lt;wsp:rsid wsp:val=&quot;00335229&quot;/&gt;&lt;wsp:rsid wsp:val=&quot;00343051&quot;/&gt;&lt;wsp:rsid wsp:val=&quot;003450CA&quot;/&gt;&lt;wsp:rsid wsp:val=&quot;003466EA&quot;/&gt;&lt;wsp:rsid wsp:val=&quot;0034715F&quot;/&gt;&lt;wsp:rsid wsp:val=&quot;003523DE&quot;/&gt;&lt;wsp:rsid wsp:val=&quot;00354B58&quot;/&gt;&lt;wsp:rsid wsp:val=&quot;00364369&quot;/&gt;&lt;wsp:rsid wsp:val=&quot;0036459C&quot;/&gt;&lt;wsp:rsid wsp:val=&quot;00364EC6&quot;/&gt;&lt;wsp:rsid wsp:val=&quot;00371525&quot;/&gt;&lt;wsp:rsid wsp:val=&quot;0037415A&quot;/&gt;&lt;wsp:rsid wsp:val=&quot;00377349&quot;/&gt;&lt;wsp:rsid wsp:val=&quot;00381748&quot;/&gt;&lt;wsp:rsid wsp:val=&quot;00386F67&quot;/&gt;&lt;wsp:rsid wsp:val=&quot;003A5340&quot;/&gt;&lt;wsp:rsid wsp:val=&quot;003A6EDF&quot;/&gt;&lt;wsp:rsid wsp:val=&quot;003B3BCB&quot;/&gt;&lt;wsp:rsid wsp:val=&quot;003B3FC5&quot;/&gt;&lt;wsp:rsid wsp:val=&quot;003B633E&quot;/&gt;&lt;wsp:rsid wsp:val=&quot;003F435E&quot;/&gt;&lt;wsp:rsid wsp:val=&quot;00402F9A&quot;/&gt;&lt;wsp:rsid wsp:val=&quot;0040314C&quot;/&gt;&lt;wsp:rsid wsp:val=&quot;00411BB7&quot;/&gt;&lt;wsp:rsid wsp:val=&quot;004147F7&quot;/&gt;&lt;wsp:rsid wsp:val=&quot;00421A07&quot;/&gt;&lt;wsp:rsid wsp:val=&quot;00433F12&quot;/&gt;&lt;wsp:rsid wsp:val=&quot;00434E44&quot;/&gt;&lt;wsp:rsid wsp:val=&quot;00442CD2&quot;/&gt;&lt;wsp:rsid wsp:val=&quot;004445A4&quot;/&gt;&lt;wsp:rsid wsp:val=&quot;004548A9&quot;/&gt;&lt;wsp:rsid wsp:val=&quot;00457DF5&quot;/&gt;&lt;wsp:rsid wsp:val=&quot;004614C5&quot;/&gt;&lt;wsp:rsid wsp:val=&quot;00463294&quot;/&gt;&lt;wsp:rsid wsp:val=&quot;004665E5&quot;/&gt;&lt;wsp:rsid wsp:val=&quot;0046683B&quot;/&gt;&lt;wsp:rsid wsp:val=&quot;004711D0&quot;/&gt;&lt;wsp:rsid wsp:val=&quot;00476149&quot;/&gt;&lt;wsp:rsid wsp:val=&quot;00483257&quot;/&gt;&lt;wsp:rsid wsp:val=&quot;004904FC&quot;/&gt;&lt;wsp:rsid wsp:val=&quot;00491C7A&quot;/&gt;&lt;wsp:rsid wsp:val=&quot;004953FE&quot;/&gt;&lt;wsp:rsid wsp:val=&quot;00497EE6&quot;/&gt;&lt;wsp:rsid wsp:val=&quot;004A322A&quot;/&gt;&lt;wsp:rsid wsp:val=&quot;004D477E&quot;/&gt;&lt;wsp:rsid wsp:val=&quot;004D7120&quot;/&gt;&lt;wsp:rsid wsp:val=&quot;004E2FD0&quot;/&gt;&lt;wsp:rsid wsp:val=&quot;004F2ADA&quot;/&gt;&lt;wsp:rsid wsp:val=&quot;004F30EB&quot;/&gt;&lt;wsp:rsid wsp:val=&quot;004F7675&quot;/&gt;&lt;wsp:rsid wsp:val=&quot;00507440&quot;/&gt;&lt;wsp:rsid wsp:val=&quot;00511922&quot;/&gt;&lt;wsp:rsid wsp:val=&quot;005123CB&quot;/&gt;&lt;wsp:rsid wsp:val=&quot;00525E2F&quot;/&gt;&lt;wsp:rsid wsp:val=&quot;00527D15&quot;/&gt;&lt;wsp:rsid wsp:val=&quot;00532BD3&quot;/&gt;&lt;wsp:rsid wsp:val=&quot;005331E7&quot;/&gt;&lt;wsp:rsid wsp:val=&quot;00535664&quot;/&gt;&lt;wsp:rsid wsp:val=&quot;00536277&quot;/&gt;&lt;wsp:rsid wsp:val=&quot;00543154&quot;/&gt;&lt;wsp:rsid wsp:val=&quot;00552868&quot;/&gt;&lt;wsp:rsid wsp:val=&quot;00552B0B&quot;/&gt;&lt;wsp:rsid wsp:val=&quot;00557252&quot;/&gt;&lt;wsp:rsid wsp:val=&quot;00557B84&quot;/&gt;&lt;wsp:rsid wsp:val=&quot;0056208A&quot;/&gt;&lt;wsp:rsid wsp:val=&quot;0056406A&quot;/&gt;&lt;wsp:rsid wsp:val=&quot;00565A95&quot;/&gt;&lt;wsp:rsid wsp:val=&quot;00567BF1&quot;/&gt;&lt;wsp:rsid wsp:val=&quot;00573F5F&quot;/&gt;&lt;wsp:rsid wsp:val=&quot;005761B3&quot;/&gt;&lt;wsp:rsid wsp:val=&quot;00582529&quot;/&gt;&lt;wsp:rsid wsp:val=&quot;0059659C&quot;/&gt;&lt;wsp:rsid wsp:val=&quot;005A12FC&quot;/&gt;&lt;wsp:rsid wsp:val=&quot;005A5A7F&quot;/&gt;&lt;wsp:rsid wsp:val=&quot;005B2DDA&quot;/&gt;&lt;wsp:rsid wsp:val=&quot;005B32DF&quot;/&gt;&lt;wsp:rsid wsp:val=&quot;005B3A0A&quot;/&gt;&lt;wsp:rsid wsp:val=&quot;005B7C29&quot;/&gt;&lt;wsp:rsid wsp:val=&quot;005D1593&quot;/&gt;&lt;wsp:rsid wsp:val=&quot;005D4374&quot;/&gt;&lt;wsp:rsid wsp:val=&quot;005E004A&quot;/&gt;&lt;wsp:rsid wsp:val=&quot;005E7028&quot;/&gt;&lt;wsp:rsid wsp:val=&quot;00602BA1&quot;/&gt;&lt;wsp:rsid wsp:val=&quot;00611B56&quot;/&gt;&lt;wsp:rsid wsp:val=&quot;006170B8&quot;/&gt;&lt;wsp:rsid wsp:val=&quot;00624012&quot;/&gt;&lt;wsp:rsid wsp:val=&quot;006258CD&quot;/&gt;&lt;wsp:rsid wsp:val=&quot;00626815&quot;/&gt;&lt;wsp:rsid wsp:val=&quot;00634BFD&quot;/&gt;&lt;wsp:rsid wsp:val=&quot;006415E2&quot;/&gt;&lt;wsp:rsid wsp:val=&quot;0064340B&quot;/&gt;&lt;wsp:rsid wsp:val=&quot;00645603&quot;/&gt;&lt;wsp:rsid wsp:val=&quot;00647746&quot;/&gt;&lt;wsp:rsid wsp:val=&quot;00650697&quot;/&gt;&lt;wsp:rsid wsp:val=&quot;00655935&quot;/&gt;&lt;wsp:rsid wsp:val=&quot;00655FCB&quot;/&gt;&lt;wsp:rsid wsp:val=&quot;00667E5A&quot;/&gt;&lt;wsp:rsid wsp:val=&quot;00671DA8&quot;/&gt;&lt;wsp:rsid wsp:val=&quot;00677904&quot;/&gt;&lt;wsp:rsid wsp:val=&quot;00681869&quot;/&gt;&lt;wsp:rsid wsp:val=&quot;006852DE&quot;/&gt;&lt;wsp:rsid wsp:val=&quot;006911A5&quot;/&gt;&lt;wsp:rsid wsp:val=&quot;006A02A0&quot;/&gt;&lt;wsp:rsid wsp:val=&quot;006A1035&quot;/&gt;&lt;wsp:rsid wsp:val=&quot;006A6788&quot;/&gt;&lt;wsp:rsid wsp:val=&quot;006A72EC&quot;/&gt;&lt;wsp:rsid wsp:val=&quot;006B21EC&quot;/&gt;&lt;wsp:rsid wsp:val=&quot;006B4D38&quot;/&gt;&lt;wsp:rsid wsp:val=&quot;006B7135&quot;/&gt;&lt;wsp:rsid wsp:val=&quot;006D0023&quot;/&gt;&lt;wsp:rsid wsp:val=&quot;006D3E47&quot;/&gt;&lt;wsp:rsid wsp:val=&quot;006E0F08&quot;/&gt;&lt;wsp:rsid wsp:val=&quot;006E18B6&quot;/&gt;&lt;wsp:rsid wsp:val=&quot;006F4345&quot;/&gt;&lt;wsp:rsid wsp:val=&quot;00700865&quot;/&gt;&lt;wsp:rsid wsp:val=&quot;00700CEA&quot;/&gt;&lt;wsp:rsid wsp:val=&quot;00703108&quot;/&gt;&lt;wsp:rsid wsp:val=&quot;00704A4E&quot;/&gt;&lt;wsp:rsid wsp:val=&quot;007071F2&quot;/&gt;&lt;wsp:rsid wsp:val=&quot;00720CA3&quot;/&gt;&lt;wsp:rsid wsp:val=&quot;00722A26&quot;/&gt;&lt;wsp:rsid wsp:val=&quot;007332D4&quot;/&gt;&lt;wsp:rsid wsp:val=&quot;00733EB7&quot;/&gt;&lt;wsp:rsid wsp:val=&quot;0073440D&quot;/&gt;&lt;wsp:rsid wsp:val=&quot;00735E76&quot;/&gt;&lt;wsp:rsid wsp:val=&quot;0075414B&quot;/&gt;&lt;wsp:rsid wsp:val=&quot;00757751&quot;/&gt;&lt;wsp:rsid wsp:val=&quot;00763512&quot;/&gt;&lt;wsp:rsid wsp:val=&quot;00763C57&quot;/&gt;&lt;wsp:rsid wsp:val=&quot;00764A6A&quot;/&gt;&lt;wsp:rsid wsp:val=&quot;0077537A&quot;/&gt;&lt;wsp:rsid wsp:val=&quot;00783D9C&quot;/&gt;&lt;wsp:rsid wsp:val=&quot;007878A0&quot;/&gt;&lt;wsp:rsid wsp:val=&quot;00792670&quot;/&gt;&lt;wsp:rsid wsp:val=&quot;007927B1&quot;/&gt;&lt;wsp:rsid wsp:val=&quot;00795AEC&quot;/&gt;&lt;wsp:rsid wsp:val=&quot;007A579C&quot;/&gt;&lt;wsp:rsid wsp:val=&quot;007B1D56&quot;/&gt;&lt;wsp:rsid wsp:val=&quot;007B64B7&quot;/&gt;&lt;wsp:rsid wsp:val=&quot;007C4117&quot;/&gt;&lt;wsp:rsid wsp:val=&quot;007C491C&quot;/&gt;&lt;wsp:rsid wsp:val=&quot;007C4C9B&quot;/&gt;&lt;wsp:rsid wsp:val=&quot;007C7CC9&quot;/&gt;&lt;wsp:rsid wsp:val=&quot;007D5DDE&quot;/&gt;&lt;wsp:rsid wsp:val=&quot;007E22E9&quot;/&gt;&lt;wsp:rsid wsp:val=&quot;007E5B47&quot;/&gt;&lt;wsp:rsid wsp:val=&quot;007E6B6B&quot;/&gt;&lt;wsp:rsid wsp:val=&quot;007F7735&quot;/&gt;&lt;wsp:rsid wsp:val=&quot;00805E66&quot;/&gt;&lt;wsp:rsid wsp:val=&quot;008065B4&quot;/&gt;&lt;wsp:rsid wsp:val=&quot;00824581&quot;/&gt;&lt;wsp:rsid wsp:val=&quot;0082540D&quot;/&gt;&lt;wsp:rsid wsp:val=&quot;00830AD8&quot;/&gt;&lt;wsp:rsid wsp:val=&quot;0083331B&quot;/&gt;&lt;wsp:rsid wsp:val=&quot;00835D48&quot;/&gt;&lt;wsp:rsid wsp:val=&quot;00845C93&quot;/&gt;&lt;wsp:rsid wsp:val=&quot;00856E33&quot;/&gt;&lt;wsp:rsid wsp:val=&quot;0086080F&quot;/&gt;&lt;wsp:rsid wsp:val=&quot;008613E4&quot;/&gt;&lt;wsp:rsid wsp:val=&quot;00863224&quot;/&gt;&lt;wsp:rsid wsp:val=&quot;00871E77&quot;/&gt;&lt;wsp:rsid wsp:val=&quot;0087518A&quot;/&gt;&lt;wsp:rsid wsp:val=&quot;00876F4A&quot;/&gt;&lt;wsp:rsid wsp:val=&quot;008802B8&quot;/&gt;&lt;wsp:rsid wsp:val=&quot;00884F88&quot;/&gt;&lt;wsp:rsid wsp:val=&quot;00885DD8&quot;/&gt;&lt;wsp:rsid wsp:val=&quot;00886D94&quot;/&gt;&lt;wsp:rsid wsp:val=&quot;008877F0&quot;/&gt;&lt;wsp:rsid wsp:val=&quot;0089341B&quot;/&gt;&lt;wsp:rsid wsp:val=&quot;00897537&quot;/&gt;&lt;wsp:rsid wsp:val=&quot;008A7237&quot;/&gt;&lt;wsp:rsid wsp:val=&quot;008C420A&quot;/&gt;&lt;wsp:rsid wsp:val=&quot;008C6471&quot;/&gt;&lt;wsp:rsid wsp:val=&quot;008D3AAC&quot;/&gt;&lt;wsp:rsid wsp:val=&quot;008E701A&quot;/&gt;&lt;wsp:rsid wsp:val=&quot;008F0DFB&quot;/&gt;&lt;wsp:rsid wsp:val=&quot;008F3E53&quot;/&gt;&lt;wsp:rsid wsp:val=&quot;0091234C&quot;/&gt;&lt;wsp:rsid wsp:val=&quot;009131D6&quot;/&gt;&lt;wsp:rsid wsp:val=&quot;00914E78&quot;/&gt;&lt;wsp:rsid wsp:val=&quot;009218F7&quot;/&gt;&lt;wsp:rsid wsp:val=&quot;00924178&quot;/&gt;&lt;wsp:rsid wsp:val=&quot;00926EB1&quot;/&gt;&lt;wsp:rsid wsp:val=&quot;00932E89&quot;/&gt;&lt;wsp:rsid wsp:val=&quot;009351B2&quot;/&gt;&lt;wsp:rsid wsp:val=&quot;009379AA&quot;/&gt;&lt;wsp:rsid wsp:val=&quot;009432E9&quot;/&gt;&lt;wsp:rsid wsp:val=&quot;00943713&quot;/&gt;&lt;wsp:rsid wsp:val=&quot;00945B31&quot;/&gt;&lt;wsp:rsid wsp:val=&quot;00950D8A&quot;/&gt;&lt;wsp:rsid wsp:val=&quot;009511FC&quot;/&gt;&lt;wsp:rsid wsp:val=&quot;00953706&quot;/&gt;&lt;wsp:rsid wsp:val=&quot;00955006&quot;/&gt;&lt;wsp:rsid wsp:val=&quot;00965823&quot;/&gt;&lt;wsp:rsid wsp:val=&quot;00970150&quot;/&gt;&lt;wsp:rsid wsp:val=&quot;0097505A&quot;/&gt;&lt;wsp:rsid wsp:val=&quot;00981655&quot;/&gt;&lt;wsp:rsid wsp:val=&quot;0098768C&quot;/&gt;&lt;wsp:rsid wsp:val=&quot;009979EF&quot;/&gt;&lt;wsp:rsid wsp:val=&quot;009A466A&quot;/&gt;&lt;wsp:rsid wsp:val=&quot;009B0FE8&quot;/&gt;&lt;wsp:rsid wsp:val=&quot;009B1033&quot;/&gt;&lt;wsp:rsid wsp:val=&quot;009B5D97&quot;/&gt;&lt;wsp:rsid wsp:val=&quot;009B5FF3&quot;/&gt;&lt;wsp:rsid wsp:val=&quot;009C14DB&quot;/&gt;&lt;wsp:rsid wsp:val=&quot;009C764A&quot;/&gt;&lt;wsp:rsid wsp:val=&quot;009D04D0&quot;/&gt;&lt;wsp:rsid wsp:val=&quot;009D26D4&quot;/&gt;&lt;wsp:rsid wsp:val=&quot;009D3F5F&quot;/&gt;&lt;wsp:rsid wsp:val=&quot;009E6A66&quot;/&gt;&lt;wsp:rsid wsp:val=&quot;009E77C2&quot;/&gt;&lt;wsp:rsid wsp:val=&quot;00A05956&quot;/&gt;&lt;wsp:rsid wsp:val=&quot;00A10221&quot;/&gt;&lt;wsp:rsid wsp:val=&quot;00A10CB4&quot;/&gt;&lt;wsp:rsid wsp:val=&quot;00A12B61&quot;/&gt;&lt;wsp:rsid wsp:val=&quot;00A15DD4&quot;/&gt;&lt;wsp:rsid wsp:val=&quot;00A1636A&quot;/&gt;&lt;wsp:rsid wsp:val=&quot;00A23D9F&quot;/&gt;&lt;wsp:rsid wsp:val=&quot;00A32D3A&quot;/&gt;&lt;wsp:rsid wsp:val=&quot;00A346DD&quot;/&gt;&lt;wsp:rsid wsp:val=&quot;00A34F30&quot;/&gt;&lt;wsp:rsid wsp:val=&quot;00A375BD&quot;/&gt;&lt;wsp:rsid wsp:val=&quot;00A52A28&quot;/&gt;&lt;wsp:rsid wsp:val=&quot;00A55ECA&quot;/&gt;&lt;wsp:rsid wsp:val=&quot;00A57741&quot;/&gt;&lt;wsp:rsid wsp:val=&quot;00A604B4&quot;/&gt;&lt;wsp:rsid wsp:val=&quot;00A657C3&quot;/&gt;&lt;wsp:rsid wsp:val=&quot;00A7110D&quot;/&gt;&lt;wsp:rsid wsp:val=&quot;00A745A5&quot;/&gt;&lt;wsp:rsid wsp:val=&quot;00A75ADB&quot;/&gt;&lt;wsp:rsid wsp:val=&quot;00A83103&quot;/&gt;&lt;wsp:rsid wsp:val=&quot;00A84AC8&quot;/&gt;&lt;wsp:rsid wsp:val=&quot;00A91A22&quot;/&gt;&lt;wsp:rsid wsp:val=&quot;00A9245B&quot;/&gt;&lt;wsp:rsid wsp:val=&quot;00A942D2&quot;/&gt;&lt;wsp:rsid wsp:val=&quot;00A97583&quot;/&gt;&lt;wsp:rsid wsp:val=&quot;00AA2053&quot;/&gt;&lt;wsp:rsid wsp:val=&quot;00AA43C6&quot;/&gt;&lt;wsp:rsid wsp:val=&quot;00AB18CD&quot;/&gt;&lt;wsp:rsid wsp:val=&quot;00AB25F9&quot;/&gt;&lt;wsp:rsid wsp:val=&quot;00AB35DE&quot;/&gt;&lt;wsp:rsid wsp:val=&quot;00AB496C&quot;/&gt;&lt;wsp:rsid wsp:val=&quot;00AB5FCB&quot;/&gt;&lt;wsp:rsid wsp:val=&quot;00AC20F8&quot;/&gt;&lt;wsp:rsid wsp:val=&quot;00AD1E61&quot;/&gt;&lt;wsp:rsid wsp:val=&quot;00AD4E4C&quot;/&gt;&lt;wsp:rsid wsp:val=&quot;00AF300B&quot;/&gt;&lt;wsp:rsid wsp:val=&quot;00AF4FD5&quot;/&gt;&lt;wsp:rsid wsp:val=&quot;00B009FE&quot;/&gt;&lt;wsp:rsid wsp:val=&quot;00B01BC5&quot;/&gt;&lt;wsp:rsid wsp:val=&quot;00B027D7&quot;/&gt;&lt;wsp:rsid wsp:val=&quot;00B12F70&quot;/&gt;&lt;wsp:rsid wsp:val=&quot;00B13997&quot;/&gt;&lt;wsp:rsid wsp:val=&quot;00B17BDE&quot;/&gt;&lt;wsp:rsid wsp:val=&quot;00B21AB7&quot;/&gt;&lt;wsp:rsid wsp:val=&quot;00B24B2A&quot;/&gt;&lt;wsp:rsid wsp:val=&quot;00B266E6&quot;/&gt;&lt;wsp:rsid wsp:val=&quot;00B274FF&quot;/&gt;&lt;wsp:rsid wsp:val=&quot;00B320ED&quot;/&gt;&lt;wsp:rsid wsp:val=&quot;00B35855&quot;/&gt;&lt;wsp:rsid wsp:val=&quot;00B41EB3&quot;/&gt;&lt;wsp:rsid wsp:val=&quot;00B72189&quot;/&gt;&lt;wsp:rsid wsp:val=&quot;00B722C6&quot;/&gt;&lt;wsp:rsid wsp:val=&quot;00B7318F&quot;/&gt;&lt;wsp:rsid wsp:val=&quot;00B83397&quot;/&gt;&lt;wsp:rsid wsp:val=&quot;00B845BD&quot;/&gt;&lt;wsp:rsid wsp:val=&quot;00B952B4&quot;/&gt;&lt;wsp:rsid wsp:val=&quot;00BA23BC&quot;/&gt;&lt;wsp:rsid wsp:val=&quot;00BA269C&quot;/&gt;&lt;wsp:rsid wsp:val=&quot;00BA5E20&quot;/&gt;&lt;wsp:rsid wsp:val=&quot;00BA718B&quot;/&gt;&lt;wsp:rsid wsp:val=&quot;00BB77D9&quot;/&gt;&lt;wsp:rsid wsp:val=&quot;00BD698F&quot;/&gt;&lt;wsp:rsid wsp:val=&quot;00BD768E&quot;/&gt;&lt;wsp:rsid wsp:val=&quot;00BD7C3E&quot;/&gt;&lt;wsp:rsid wsp:val=&quot;00BD7D8B&quot;/&gt;&lt;wsp:rsid wsp:val=&quot;00BE345B&quot;/&gt;&lt;wsp:rsid wsp:val=&quot;00BE4174&quot;/&gt;&lt;wsp:rsid wsp:val=&quot;00BF329B&quot;/&gt;&lt;wsp:rsid wsp:val=&quot;00BF32FE&quot;/&gt;&lt;wsp:rsid wsp:val=&quot;00BF40E1&quot;/&gt;&lt;wsp:rsid wsp:val=&quot;00BF6A2E&quot;/&gt;&lt;wsp:rsid wsp:val=&quot;00C003CA&quot;/&gt;&lt;wsp:rsid wsp:val=&quot;00C04633&quot;/&gt;&lt;wsp:rsid wsp:val=&quot;00C061D7&quot;/&gt;&lt;wsp:rsid wsp:val=&quot;00C15027&quot;/&gt;&lt;wsp:rsid wsp:val=&quot;00C21610&quot;/&gt;&lt;wsp:rsid wsp:val=&quot;00C34F84&quot;/&gt;&lt;wsp:rsid wsp:val=&quot;00C37C43&quot;/&gt;&lt;wsp:rsid wsp:val=&quot;00C37C4F&quot;/&gt;&lt;wsp:rsid wsp:val=&quot;00C417E4&quot;/&gt;&lt;wsp:rsid wsp:val=&quot;00C42FA3&quot;/&gt;&lt;wsp:rsid wsp:val=&quot;00C53CC2&quot;/&gt;&lt;wsp:rsid wsp:val=&quot;00C57490&quot;/&gt;&lt;wsp:rsid wsp:val=&quot;00C61AE0&quot;/&gt;&lt;wsp:rsid wsp:val=&quot;00C71D67&quot;/&gt;&lt;wsp:rsid wsp:val=&quot;00C7260C&quot;/&gt;&lt;wsp:rsid wsp:val=&quot;00C75E32&quot;/&gt;&lt;wsp:rsid wsp:val=&quot;00C87CA4&quot;/&gt;&lt;wsp:rsid wsp:val=&quot;00C92396&quot;/&gt;&lt;wsp:rsid wsp:val=&quot;00C93353&quot;/&gt;&lt;wsp:rsid wsp:val=&quot;00C940AA&quot;/&gt;&lt;wsp:rsid wsp:val=&quot;00C96B68&quot;/&gt;&lt;wsp:rsid wsp:val=&quot;00CA2183&quot;/&gt;&lt;wsp:rsid wsp:val=&quot;00CA2B98&quot;/&gt;&lt;wsp:rsid wsp:val=&quot;00CB1B59&quot;/&gt;&lt;wsp:rsid wsp:val=&quot;00CB1CBC&quot;/&gt;&lt;wsp:rsid wsp:val=&quot;00CB36AC&quot;/&gt;&lt;wsp:rsid wsp:val=&quot;00CB5E1F&quot;/&gt;&lt;wsp:rsid wsp:val=&quot;00CB6330&quot;/&gt;&lt;wsp:rsid wsp:val=&quot;00CB6484&quot;/&gt;&lt;wsp:rsid wsp:val=&quot;00CC1525&quot;/&gt;&lt;wsp:rsid wsp:val=&quot;00CC15D4&quot;/&gt;&lt;wsp:rsid wsp:val=&quot;00CC3809&quot;/&gt;&lt;wsp:rsid wsp:val=&quot;00CC45C0&quot;/&gt;&lt;wsp:rsid wsp:val=&quot;00CC5711&quot;/&gt;&lt;wsp:rsid wsp:val=&quot;00CD7A85&quot;/&gt;&lt;wsp:rsid wsp:val=&quot;00CE1776&quot;/&gt;&lt;wsp:rsid wsp:val=&quot;00CE57F2&quot;/&gt;&lt;wsp:rsid wsp:val=&quot;00CE5A80&quot;/&gt;&lt;wsp:rsid wsp:val=&quot;00CF0C51&quot;/&gt;&lt;wsp:rsid wsp:val=&quot;00D010B4&quot;/&gt;&lt;wsp:rsid wsp:val=&quot;00D01D06&quot;/&gt;&lt;wsp:rsid wsp:val=&quot;00D13390&quot;/&gt;&lt;wsp:rsid wsp:val=&quot;00D137DB&quot;/&gt;&lt;wsp:rsid wsp:val=&quot;00D21EC6&quot;/&gt;&lt;wsp:rsid wsp:val=&quot;00D23492&quot;/&gt;&lt;wsp:rsid wsp:val=&quot;00D339AB&quot;/&gt;&lt;wsp:rsid wsp:val=&quot;00D34F44&quot;/&gt;&lt;wsp:rsid wsp:val=&quot;00D35E20&quot;/&gt;&lt;wsp:rsid wsp:val=&quot;00D421DF&quot;/&gt;&lt;wsp:rsid wsp:val=&quot;00D43020&quot;/&gt;&lt;wsp:rsid wsp:val=&quot;00D440F3&quot;/&gt;&lt;wsp:rsid wsp:val=&quot;00D52502&quot;/&gt;&lt;wsp:rsid wsp:val=&quot;00D56835&quot;/&gt;&lt;wsp:rsid wsp:val=&quot;00D604CA&quot;/&gt;&lt;wsp:rsid wsp:val=&quot;00D63105&quot;/&gt;&lt;wsp:rsid wsp:val=&quot;00D712F9&quot;/&gt;&lt;wsp:rsid wsp:val=&quot;00D7155B&quot;/&gt;&lt;wsp:rsid wsp:val=&quot;00D733A0&quot;/&gt;&lt;wsp:rsid wsp:val=&quot;00D74925&quot;/&gt;&lt;wsp:rsid wsp:val=&quot;00D76E48&quot;/&gt;&lt;wsp:rsid wsp:val=&quot;00D80719&quot;/&gt;&lt;wsp:rsid wsp:val=&quot;00D92A77&quot;/&gt;&lt;wsp:rsid wsp:val=&quot;00D97384&quot;/&gt;&lt;wsp:rsid wsp:val=&quot;00D9765C&quot;/&gt;&lt;wsp:rsid wsp:val=&quot;00DA609C&quot;/&gt;&lt;wsp:rsid wsp:val=&quot;00DB00A9&quot;/&gt;&lt;wsp:rsid wsp:val=&quot;00DB2851&quot;/&gt;&lt;wsp:rsid wsp:val=&quot;00DB406A&quot;/&gt;&lt;wsp:rsid wsp:val=&quot;00DB493E&quot;/&gt;&lt;wsp:rsid wsp:val=&quot;00DB5C09&quot;/&gt;&lt;wsp:rsid wsp:val=&quot;00DB5FC1&quot;/&gt;&lt;wsp:rsid wsp:val=&quot;00DB74A0&quot;/&gt;&lt;wsp:rsid wsp:val=&quot;00DC3493&quot;/&gt;&lt;wsp:rsid wsp:val=&quot;00DD1827&quot;/&gt;&lt;wsp:rsid wsp:val=&quot;00DD33DD&quot;/&gt;&lt;wsp:rsid wsp:val=&quot;00DD69C7&quot;/&gt;&lt;wsp:rsid wsp:val=&quot;00DD74B1&quot;/&gt;&lt;wsp:rsid wsp:val=&quot;00DE58C1&quot;/&gt;&lt;wsp:rsid wsp:val=&quot;00DF0DE6&quot;/&gt;&lt;wsp:rsid wsp:val=&quot;00DF248F&quot;/&gt;&lt;wsp:rsid wsp:val=&quot;00DF6CEE&quot;/&gt;&lt;wsp:rsid wsp:val=&quot;00E236AA&quot;/&gt;&lt;wsp:rsid wsp:val=&quot;00E33842&quot;/&gt;&lt;wsp:rsid wsp:val=&quot;00E33FBA&quot;/&gt;&lt;wsp:rsid wsp:val=&quot;00E44E1A&quot;/&gt;&lt;wsp:rsid wsp:val=&quot;00E478B5&quot;/&gt;&lt;wsp:rsid wsp:val=&quot;00E52BF7&quot;/&gt;&lt;wsp:rsid wsp:val=&quot;00E553BC&quot;/&gt;&lt;wsp:rsid wsp:val=&quot;00E60CD9&quot;/&gt;&lt;wsp:rsid wsp:val=&quot;00E6316E&quot;/&gt;&lt;wsp:rsid wsp:val=&quot;00E64478&quot;/&gt;&lt;wsp:rsid wsp:val=&quot;00E662AF&quot;/&gt;&lt;wsp:rsid wsp:val=&quot;00E66379&quot;/&gt;&lt;wsp:rsid wsp:val=&quot;00E6777F&quot;/&gt;&lt;wsp:rsid wsp:val=&quot;00E71997&quot;/&gt;&lt;wsp:rsid wsp:val=&quot;00E72291&quot;/&gt;&lt;wsp:rsid wsp:val=&quot;00E726B1&quot;/&gt;&lt;wsp:rsid wsp:val=&quot;00E81E45&quot;/&gt;&lt;wsp:rsid wsp:val=&quot;00E836C1&quot;/&gt;&lt;wsp:rsid wsp:val=&quot;00E867BE&quot;/&gt;&lt;wsp:rsid wsp:val=&quot;00E9348C&quot;/&gt;&lt;wsp:rsid wsp:val=&quot;00E93D31&quot;/&gt;&lt;wsp:rsid wsp:val=&quot;00E96EFB&quot;/&gt;&lt;wsp:rsid wsp:val=&quot;00EA4D3D&quot;/&gt;&lt;wsp:rsid wsp:val=&quot;00EB008B&quot;/&gt;&lt;wsp:rsid wsp:val=&quot;00EB544F&quot;/&gt;&lt;wsp:rsid wsp:val=&quot;00EB6314&quot;/&gt;&lt;wsp:rsid wsp:val=&quot;00EC70C8&quot;/&gt;&lt;wsp:rsid wsp:val=&quot;00ED38B8&quot;/&gt;&lt;wsp:rsid wsp:val=&quot;00ED775A&quot;/&gt;&lt;wsp:rsid wsp:val=&quot;00EE1E0A&quot;/&gt;&lt;wsp:rsid wsp:val=&quot;00EE4B3E&quot;/&gt;&lt;wsp:rsid wsp:val=&quot;00EE6C37&quot;/&gt;&lt;wsp:rsid wsp:val=&quot;00EE714A&quot;/&gt;&lt;wsp:rsid wsp:val=&quot;00EE783C&quot;/&gt;&lt;wsp:rsid wsp:val=&quot;00EF6B7D&quot;/&gt;&lt;wsp:rsid wsp:val=&quot;00F00A36&quot;/&gt;&lt;wsp:rsid wsp:val=&quot;00F0398C&quot;/&gt;&lt;wsp:rsid wsp:val=&quot;00F139AE&quot;/&gt;&lt;wsp:rsid wsp:val=&quot;00F33A1F&quot;/&gt;&lt;wsp:rsid wsp:val=&quot;00F3412D&quot;/&gt;&lt;wsp:rsid wsp:val=&quot;00F432EC&quot;/&gt;&lt;wsp:rsid wsp:val=&quot;00F50196&quot;/&gt;&lt;wsp:rsid wsp:val=&quot;00F52E82&quot;/&gt;&lt;wsp:rsid wsp:val=&quot;00F53C0A&quot;/&gt;&lt;wsp:rsid wsp:val=&quot;00F56513&quot;/&gt;&lt;wsp:rsid wsp:val=&quot;00F649B2&quot;/&gt;&lt;wsp:rsid wsp:val=&quot;00F76D13&quot;/&gt;&lt;wsp:rsid wsp:val=&quot;00F9252E&quot;/&gt;&lt;wsp:rsid wsp:val=&quot;00F93A9C&quot;/&gt;&lt;wsp:rsid wsp:val=&quot;00FA57C6&quot;/&gt;&lt;wsp:rsid wsp:val=&quot;00FB3FA5&quot;/&gt;&lt;wsp:rsid wsp:val=&quot;00FB5E46&quot;/&gt;&lt;wsp:rsid wsp:val=&quot;00FC7E56&quot;/&gt;&lt;wsp:rsid wsp:val=&quot;00FD01CA&quot;/&gt;&lt;wsp:rsid wsp:val=&quot;00FD51E0&quot;/&gt;&lt;wsp:rsid wsp:val=&quot;00FD5311&quot;/&gt;&lt;wsp:rsid wsp:val=&quot;00FF12BE&quot;/&gt;&lt;wsp:rsid wsp:val=&quot;00FF3476&quot;/&gt;&lt;/wsp:rsids&gt;&lt;/w:docPr&gt;&lt;w:body&gt;&lt;w:p wsp:rsidR=&quot;00000000&quot; wsp:rsidRDefault=&quot;00246169&quot;&gt;&lt;m:oMathPara&gt;&lt;m:oMath&gt;&lt;m:d&gt;&lt;m:dPr&gt;&lt;m:begChr m:val=&quot;|&quot;/&gt;&lt;m:endChr m:val=&quot;|&quot;/&gt;&lt;m:ctrlPr&gt;&lt;w:rPr&gt;&lt;w:rFonts w:ascii=&quot;Cambria Math&quot; w:h-ansi=&quot;Cambria Math&quot;/&gt;&lt;wx:font wx:val=&quot;Cambria Math&quot;/&gt;&lt;w:i/&gt;&lt;w:sz w:val=&quot;24&quot;/&gt;&lt;w:sz-cs w:val=&quot;24&quot;/&gt;&lt;/w:rPr&gt;&lt;/m:ctrlPr&gt;&lt;/m:dPr&gt;&lt;m:e&gt;&lt;m:r&gt;&lt;w:rPr&gt;&lt;w:rFonts w:ascii=&quot;Cambria Math&quot; w:h-ansi=&quot;Cambria Math&quot;/&gt;&lt;wx:font wx:val=&quot;Cambria Math&quot;/&gt;&lt;w:i/&gt;&lt;w:sz w:val=&quot;24&quot;/&gt;&lt;w:sz-cs w:val=&quot;24&quot;/&gt;&lt;/w:rPr&gt;&lt;m:t&gt;outpu&lt;/m:t&gt;&lt;/m:r&gt;&lt;m:r&gt;&lt;w:rPr&gt;&lt;w:rFonts w:ascii=&quot;Cambria Math&quot; w:h-ansi=&quot;Cambria Math&quot;/&gt;&lt;wx:font wx:val=&quot;Cambria Math&quot;/&gt;&lt;w:i/&gt;&lt;w:sz w:val=&quot;24&quot;/&gt;&lt;w:sz-cs w:val=&quot;24&quot;/&gt;&lt;/w:rPr&gt;&lt;m:t&gt;t gap EM-output gap AM&lt;/m:t&gt;&lt;/m:r&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Pr="00FE6530">
        <w:rPr>
          <w:sz w:val="24"/>
          <w:szCs w:val="24"/>
        </w:rPr>
        <w:fldChar w:fldCharType="end"/>
      </w:r>
      <w:r>
        <w:rPr>
          <w:sz w:val="24"/>
          <w:szCs w:val="24"/>
        </w:rPr>
        <w:t>).</w:t>
      </w:r>
      <w:r w:rsidRPr="00EB544F">
        <w:rPr>
          <w:sz w:val="24"/>
          <w:szCs w:val="24"/>
        </w:rPr>
        <w:t xml:space="preserve"> When </w:t>
      </w:r>
      <w:r>
        <w:rPr>
          <w:i/>
          <w:sz w:val="24"/>
          <w:szCs w:val="24"/>
        </w:rPr>
        <w:t>Eucli</w:t>
      </w:r>
      <w:r w:rsidRPr="004953FE">
        <w:rPr>
          <w:i/>
          <w:sz w:val="24"/>
          <w:szCs w:val="24"/>
        </w:rPr>
        <w:t xml:space="preserve">dean distance </w:t>
      </w:r>
      <w:r>
        <w:rPr>
          <w:sz w:val="24"/>
          <w:szCs w:val="24"/>
        </w:rPr>
        <w:t xml:space="preserve">equals to zero, </w:t>
      </w:r>
      <w:r w:rsidRPr="00EB544F">
        <w:rPr>
          <w:sz w:val="24"/>
          <w:szCs w:val="24"/>
        </w:rPr>
        <w:t>business cycles are perfectly in tune/synchronized.</w:t>
      </w:r>
      <w:r>
        <w:rPr>
          <w:sz w:val="24"/>
          <w:szCs w:val="24"/>
        </w:rPr>
        <w:t xml:space="preserve"> </w:t>
      </w:r>
      <w:r w:rsidRPr="00EB544F">
        <w:rPr>
          <w:sz w:val="24"/>
          <w:szCs w:val="24"/>
        </w:rPr>
        <w:t xml:space="preserve">Any positive value </w:t>
      </w:r>
      <w:r>
        <w:rPr>
          <w:sz w:val="24"/>
          <w:szCs w:val="24"/>
        </w:rPr>
        <w:t xml:space="preserve">being </w:t>
      </w:r>
      <w:r w:rsidRPr="00EB544F">
        <w:rPr>
          <w:sz w:val="24"/>
          <w:szCs w:val="24"/>
        </w:rPr>
        <w:t>different from zero means less than perfect synchronization.</w:t>
      </w:r>
      <w:r>
        <w:rPr>
          <w:sz w:val="24"/>
          <w:szCs w:val="24"/>
        </w:rPr>
        <w:t xml:space="preserve"> In other words the larger the numerical distance is between the two countries/groups, the less synchronized they are.</w:t>
      </w:r>
    </w:p>
    <w:p w:rsidR="004F75D0" w:rsidRDefault="004F75D0" w:rsidP="003A5340">
      <w:pPr>
        <w:rPr>
          <w:sz w:val="24"/>
          <w:szCs w:val="24"/>
        </w:rPr>
      </w:pPr>
      <w:r>
        <w:rPr>
          <w:sz w:val="24"/>
          <w:szCs w:val="24"/>
        </w:rPr>
        <w:t xml:space="preserve">Finally the degree of interdependence and thus the decoupling hypothesis can be assessed with the graphical depiction of the Euclidean distance between two countries/groups and its trend. Hence a first assessment of the results was produced from the two lines of the graph based on two criteria that would determine the degree of interdependence. Firstly it is the average distance between the two lines </w:t>
      </w:r>
      <w:r w:rsidRPr="005331E7">
        <w:rPr>
          <w:i/>
          <w:sz w:val="24"/>
          <w:szCs w:val="24"/>
        </w:rPr>
        <w:t>(Euclidean distance and its trend)</w:t>
      </w:r>
      <w:r>
        <w:rPr>
          <w:sz w:val="24"/>
          <w:szCs w:val="24"/>
        </w:rPr>
        <w:t xml:space="preserve"> and secondly the simultaneous alignment of the direction of the lines </w:t>
      </w:r>
      <w:r w:rsidRPr="005331E7">
        <w:rPr>
          <w:i/>
          <w:sz w:val="24"/>
          <w:szCs w:val="24"/>
        </w:rPr>
        <w:t>(positively-negatively sloping simultaneously)</w:t>
      </w:r>
      <w:r>
        <w:rPr>
          <w:sz w:val="24"/>
          <w:szCs w:val="24"/>
        </w:rPr>
        <w:t xml:space="preserve"> that determine the degree of interdependence and consequently the decoupling matter.</w:t>
      </w:r>
    </w:p>
    <w:p w:rsidR="004F75D0" w:rsidRDefault="004F75D0" w:rsidP="003A5340">
      <w:pPr>
        <w:rPr>
          <w:sz w:val="24"/>
          <w:szCs w:val="24"/>
        </w:rPr>
      </w:pPr>
      <w:r>
        <w:rPr>
          <w:sz w:val="24"/>
          <w:szCs w:val="24"/>
        </w:rPr>
        <w:t xml:space="preserve">The second approach of testing was the econometric evidence of the decoupling hypothesis. Following Walti </w:t>
      </w:r>
      <w:r w:rsidRPr="00BA269C">
        <w:rPr>
          <w:i/>
          <w:sz w:val="24"/>
          <w:szCs w:val="24"/>
        </w:rPr>
        <w:t>(2010),</w:t>
      </w:r>
      <w:r>
        <w:rPr>
          <w:sz w:val="24"/>
          <w:szCs w:val="24"/>
        </w:rPr>
        <w:t xml:space="preserve"> the procedure consisted of a series of regressions that included three variables for each regression; the EM output gap, the AM output gap and a dummy variable which was constructed to check for a structural break during a sub-sample of recent years </w:t>
      </w:r>
      <w:r w:rsidRPr="005331E7">
        <w:rPr>
          <w:i/>
          <w:sz w:val="24"/>
          <w:szCs w:val="24"/>
        </w:rPr>
        <w:t>(2000-2007).</w:t>
      </w:r>
    </w:p>
    <w:p w:rsidR="004F75D0" w:rsidRPr="00D23492" w:rsidRDefault="004F75D0" w:rsidP="00ED38B8">
      <w:pPr>
        <w:rPr>
          <w:rFonts w:cs="Calibri"/>
          <w:sz w:val="24"/>
          <w:szCs w:val="24"/>
        </w:rPr>
      </w:pPr>
      <w:r w:rsidRPr="00D23492">
        <w:rPr>
          <w:rFonts w:cs="Calibri"/>
          <w:sz w:val="24"/>
          <w:szCs w:val="24"/>
        </w:rPr>
        <w:t xml:space="preserve"> To be more specific, the independent variable was the EM output gap, and the other two </w:t>
      </w:r>
      <w:r w:rsidRPr="005331E7">
        <w:rPr>
          <w:rFonts w:cs="Calibri"/>
          <w:i/>
          <w:sz w:val="24"/>
          <w:szCs w:val="24"/>
        </w:rPr>
        <w:t xml:space="preserve">(AM output gap and the dummy variable) </w:t>
      </w:r>
      <w:r w:rsidRPr="00D23492">
        <w:rPr>
          <w:rFonts w:cs="Calibri"/>
          <w:sz w:val="24"/>
          <w:szCs w:val="24"/>
        </w:rPr>
        <w:t>were the dependent ones (</w:t>
      </w:r>
      <w:r w:rsidRPr="00FE6530">
        <w:rPr>
          <w:rFonts w:cs="Calibri"/>
          <w:sz w:val="24"/>
          <w:szCs w:val="24"/>
        </w:rPr>
        <w:fldChar w:fldCharType="begin"/>
      </w:r>
      <w:r w:rsidRPr="00FE6530">
        <w:rPr>
          <w:rFonts w:cs="Calibri"/>
          <w:sz w:val="24"/>
          <w:szCs w:val="24"/>
        </w:rPr>
        <w:instrText xml:space="preserve"> QUOTE </w:instrText>
      </w:r>
      <w:r w:rsidRPr="00FE6530">
        <w:pict>
          <v:shape id="_x0000_i1029" type="#_x0000_t75" style="width:385.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20&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E714A&quot;/&gt;&lt;wsp:rsid wsp:val=&quot;00001068&quot;/&gt;&lt;wsp:rsid wsp:val=&quot;00001A0F&quot;/&gt;&lt;wsp:rsid wsp:val=&quot;00001A86&quot;/&gt;&lt;wsp:rsid wsp:val=&quot;00002475&quot;/&gt;&lt;wsp:rsid wsp:val=&quot;000035D9&quot;/&gt;&lt;wsp:rsid wsp:val=&quot;0000487B&quot;/&gt;&lt;wsp:rsid wsp:val=&quot;00004AA3&quot;/&gt;&lt;wsp:rsid wsp:val=&quot;00012275&quot;/&gt;&lt;wsp:rsid wsp:val=&quot;00016A88&quot;/&gt;&lt;wsp:rsid wsp:val=&quot;00020235&quot;/&gt;&lt;wsp:rsid wsp:val=&quot;00024026&quot;/&gt;&lt;wsp:rsid wsp:val=&quot;0002619E&quot;/&gt;&lt;wsp:rsid wsp:val=&quot;00027676&quot;/&gt;&lt;wsp:rsid wsp:val=&quot;000334B1&quot;/&gt;&lt;wsp:rsid wsp:val=&quot;000344A5&quot;/&gt;&lt;wsp:rsid wsp:val=&quot;00036027&quot;/&gt;&lt;wsp:rsid wsp:val=&quot;00036993&quot;/&gt;&lt;wsp:rsid wsp:val=&quot;00051A32&quot;/&gt;&lt;wsp:rsid wsp:val=&quot;00062127&quot;/&gt;&lt;wsp:rsid wsp:val=&quot;000621A0&quot;/&gt;&lt;wsp:rsid wsp:val=&quot;00071F26&quot;/&gt;&lt;wsp:rsid wsp:val=&quot;00081F8D&quot;/&gt;&lt;wsp:rsid wsp:val=&quot;000820DE&quot;/&gt;&lt;wsp:rsid wsp:val=&quot;00086621&quot;/&gt;&lt;wsp:rsid wsp:val=&quot;0009405A&quot;/&gt;&lt;wsp:rsid wsp:val=&quot;000A146D&quot;/&gt;&lt;wsp:rsid wsp:val=&quot;000A5539&quot;/&gt;&lt;wsp:rsid wsp:val=&quot;000B5AAE&quot;/&gt;&lt;wsp:rsid wsp:val=&quot;000C4545&quot;/&gt;&lt;wsp:rsid wsp:val=&quot;000C59ED&quot;/&gt;&lt;wsp:rsid wsp:val=&quot;000D760D&quot;/&gt;&lt;wsp:rsid wsp:val=&quot;000E134B&quot;/&gt;&lt;wsp:rsid wsp:val=&quot;000E638E&quot;/&gt;&lt;wsp:rsid wsp:val=&quot;000E6AD6&quot;/&gt;&lt;wsp:rsid wsp:val=&quot;000F1D3C&quot;/&gt;&lt;wsp:rsid wsp:val=&quot;000F2F01&quot;/&gt;&lt;wsp:rsid wsp:val=&quot;0010117E&quot;/&gt;&lt;wsp:rsid wsp:val=&quot;0010691B&quot;/&gt;&lt;wsp:rsid wsp:val=&quot;00106CCD&quot;/&gt;&lt;wsp:rsid wsp:val=&quot;00107AF9&quot;/&gt;&lt;wsp:rsid wsp:val=&quot;00110D9C&quot;/&gt;&lt;wsp:rsid wsp:val=&quot;00114327&quot;/&gt;&lt;wsp:rsid wsp:val=&quot;0011628F&quot;/&gt;&lt;wsp:rsid wsp:val=&quot;0012677D&quot;/&gt;&lt;wsp:rsid wsp:val=&quot;00130C0A&quot;/&gt;&lt;wsp:rsid wsp:val=&quot;001331A8&quot;/&gt;&lt;wsp:rsid wsp:val=&quot;00135372&quot;/&gt;&lt;wsp:rsid wsp:val=&quot;00143E68&quot;/&gt;&lt;wsp:rsid wsp:val=&quot;00146CA9&quot;/&gt;&lt;wsp:rsid wsp:val=&quot;00157948&quot;/&gt;&lt;wsp:rsid wsp:val=&quot;0017023C&quot;/&gt;&lt;wsp:rsid wsp:val=&quot;00172502&quot;/&gt;&lt;wsp:rsid wsp:val=&quot;001742E4&quot;/&gt;&lt;wsp:rsid wsp:val=&quot;0018284A&quot;/&gt;&lt;wsp:rsid wsp:val=&quot;001867B9&quot;/&gt;&lt;wsp:rsid wsp:val=&quot;001A2071&quot;/&gt;&lt;wsp:rsid wsp:val=&quot;001A631D&quot;/&gt;&lt;wsp:rsid wsp:val=&quot;001A7C0C&quot;/&gt;&lt;wsp:rsid wsp:val=&quot;001B42CE&quot;/&gt;&lt;wsp:rsid wsp:val=&quot;001B4E94&quot;/&gt;&lt;wsp:rsid wsp:val=&quot;001D1DBB&quot;/&gt;&lt;wsp:rsid wsp:val=&quot;001E6C20&quot;/&gt;&lt;wsp:rsid wsp:val=&quot;001E6E04&quot;/&gt;&lt;wsp:rsid wsp:val=&quot;001F1184&quot;/&gt;&lt;wsp:rsid wsp:val=&quot;001F411A&quot;/&gt;&lt;wsp:rsid wsp:val=&quot;002009A8&quot;/&gt;&lt;wsp:rsid wsp:val=&quot;00206E3B&quot;/&gt;&lt;wsp:rsid wsp:val=&quot;0021020A&quot;/&gt;&lt;wsp:rsid wsp:val=&quot;0021262A&quot;/&gt;&lt;wsp:rsid wsp:val=&quot;00214A22&quot;/&gt;&lt;wsp:rsid wsp:val=&quot;002208F4&quot;/&gt;&lt;wsp:rsid wsp:val=&quot;002305CC&quot;/&gt;&lt;wsp:rsid wsp:val=&quot;002448BE&quot;/&gt;&lt;wsp:rsid wsp:val=&quot;00262EDD&quot;/&gt;&lt;wsp:rsid wsp:val=&quot;002732C6&quot;/&gt;&lt;wsp:rsid wsp:val=&quot;0027746E&quot;/&gt;&lt;wsp:rsid wsp:val=&quot;00292CDF&quot;/&gt;&lt;wsp:rsid wsp:val=&quot;002931B8&quot;/&gt;&lt;wsp:rsid wsp:val=&quot;00293A7D&quot;/&gt;&lt;wsp:rsid wsp:val=&quot;00296953&quot;/&gt;&lt;wsp:rsid wsp:val=&quot;002A2691&quot;/&gt;&lt;wsp:rsid wsp:val=&quot;002B0437&quot;/&gt;&lt;wsp:rsid wsp:val=&quot;002B1A5B&quot;/&gt;&lt;wsp:rsid wsp:val=&quot;002C0835&quot;/&gt;&lt;wsp:rsid wsp:val=&quot;002C238F&quot;/&gt;&lt;wsp:rsid wsp:val=&quot;002C2E63&quot;/&gt;&lt;wsp:rsid wsp:val=&quot;002C7D7C&quot;/&gt;&lt;wsp:rsid wsp:val=&quot;002D3BED&quot;/&gt;&lt;wsp:rsid wsp:val=&quot;002D692E&quot;/&gt;&lt;wsp:rsid wsp:val=&quot;002D6E94&quot;/&gt;&lt;wsp:rsid wsp:val=&quot;002E13F9&quot;/&gt;&lt;wsp:rsid wsp:val=&quot;002E2B97&quot;/&gt;&lt;wsp:rsid wsp:val=&quot;002E756A&quot;/&gt;&lt;wsp:rsid wsp:val=&quot;002F7D77&quot;/&gt;&lt;wsp:rsid wsp:val=&quot;0030013E&quot;/&gt;&lt;wsp:rsid wsp:val=&quot;00300D09&quot;/&gt;&lt;wsp:rsid wsp:val=&quot;0030305D&quot;/&gt;&lt;wsp:rsid wsp:val=&quot;00305128&quot;/&gt;&lt;wsp:rsid wsp:val=&quot;003054AF&quot;/&gt;&lt;wsp:rsid wsp:val=&quot;00305A19&quot;/&gt;&lt;wsp:rsid wsp:val=&quot;00310590&quot;/&gt;&lt;wsp:rsid wsp:val=&quot;00317493&quot;/&gt;&lt;wsp:rsid wsp:val=&quot;00322521&quot;/&gt;&lt;wsp:rsid wsp:val=&quot;003237D4&quot;/&gt;&lt;wsp:rsid wsp:val=&quot;00327890&quot;/&gt;&lt;wsp:rsid wsp:val=&quot;00335229&quot;/&gt;&lt;wsp:rsid wsp:val=&quot;00343051&quot;/&gt;&lt;wsp:rsid wsp:val=&quot;003450CA&quot;/&gt;&lt;wsp:rsid wsp:val=&quot;003466EA&quot;/&gt;&lt;wsp:rsid wsp:val=&quot;0034715F&quot;/&gt;&lt;wsp:rsid wsp:val=&quot;00347F02&quot;/&gt;&lt;wsp:rsid wsp:val=&quot;003523DE&quot;/&gt;&lt;wsp:rsid wsp:val=&quot;00354B58&quot;/&gt;&lt;wsp:rsid wsp:val=&quot;00364369&quot;/&gt;&lt;wsp:rsid wsp:val=&quot;0036459C&quot;/&gt;&lt;wsp:rsid wsp:val=&quot;00364EC6&quot;/&gt;&lt;wsp:rsid wsp:val=&quot;00371525&quot;/&gt;&lt;wsp:rsid wsp:val=&quot;0037415A&quot;/&gt;&lt;wsp:rsid wsp:val=&quot;00377349&quot;/&gt;&lt;wsp:rsid wsp:val=&quot;00381748&quot;/&gt;&lt;wsp:rsid wsp:val=&quot;00386F67&quot;/&gt;&lt;wsp:rsid wsp:val=&quot;003A5340&quot;/&gt;&lt;wsp:rsid wsp:val=&quot;003A6EDF&quot;/&gt;&lt;wsp:rsid wsp:val=&quot;003B3BCB&quot;/&gt;&lt;wsp:rsid wsp:val=&quot;003B3FC5&quot;/&gt;&lt;wsp:rsid wsp:val=&quot;003B633E&quot;/&gt;&lt;wsp:rsid wsp:val=&quot;003F435E&quot;/&gt;&lt;wsp:rsid wsp:val=&quot;00402F9A&quot;/&gt;&lt;wsp:rsid wsp:val=&quot;0040314C&quot;/&gt;&lt;wsp:rsid wsp:val=&quot;00411BB7&quot;/&gt;&lt;wsp:rsid wsp:val=&quot;004147F7&quot;/&gt;&lt;wsp:rsid wsp:val=&quot;00421A07&quot;/&gt;&lt;wsp:rsid wsp:val=&quot;00433F12&quot;/&gt;&lt;wsp:rsid wsp:val=&quot;00434E44&quot;/&gt;&lt;wsp:rsid wsp:val=&quot;00442CD2&quot;/&gt;&lt;wsp:rsid wsp:val=&quot;004445A4&quot;/&gt;&lt;wsp:rsid wsp:val=&quot;004548A9&quot;/&gt;&lt;wsp:rsid wsp:val=&quot;00457DF5&quot;/&gt;&lt;wsp:rsid wsp:val=&quot;004614C5&quot;/&gt;&lt;wsp:rsid wsp:val=&quot;00463294&quot;/&gt;&lt;wsp:rsid wsp:val=&quot;004665E5&quot;/&gt;&lt;wsp:rsid wsp:val=&quot;0046683B&quot;/&gt;&lt;wsp:rsid wsp:val=&quot;004711D0&quot;/&gt;&lt;wsp:rsid wsp:val=&quot;00476149&quot;/&gt;&lt;wsp:rsid wsp:val=&quot;00483257&quot;/&gt;&lt;wsp:rsid wsp:val=&quot;004904FC&quot;/&gt;&lt;wsp:rsid wsp:val=&quot;00491C7A&quot;/&gt;&lt;wsp:rsid wsp:val=&quot;004953FE&quot;/&gt;&lt;wsp:rsid wsp:val=&quot;00497EE6&quot;/&gt;&lt;wsp:rsid wsp:val=&quot;004A322A&quot;/&gt;&lt;wsp:rsid wsp:val=&quot;004D477E&quot;/&gt;&lt;wsp:rsid wsp:val=&quot;004D7120&quot;/&gt;&lt;wsp:rsid wsp:val=&quot;004E2FD0&quot;/&gt;&lt;wsp:rsid wsp:val=&quot;004F2ADA&quot;/&gt;&lt;wsp:rsid wsp:val=&quot;004F30EB&quot;/&gt;&lt;wsp:rsid wsp:val=&quot;004F7675&quot;/&gt;&lt;wsp:rsid wsp:val=&quot;00507440&quot;/&gt;&lt;wsp:rsid wsp:val=&quot;00511922&quot;/&gt;&lt;wsp:rsid wsp:val=&quot;005123CB&quot;/&gt;&lt;wsp:rsid wsp:val=&quot;00525E2F&quot;/&gt;&lt;wsp:rsid wsp:val=&quot;00527D15&quot;/&gt;&lt;wsp:rsid wsp:val=&quot;00532BD3&quot;/&gt;&lt;wsp:rsid wsp:val=&quot;005331E7&quot;/&gt;&lt;wsp:rsid wsp:val=&quot;00535664&quot;/&gt;&lt;wsp:rsid wsp:val=&quot;00536277&quot;/&gt;&lt;wsp:rsid wsp:val=&quot;00543154&quot;/&gt;&lt;wsp:rsid wsp:val=&quot;00552868&quot;/&gt;&lt;wsp:rsid wsp:val=&quot;00552B0B&quot;/&gt;&lt;wsp:rsid wsp:val=&quot;00557252&quot;/&gt;&lt;wsp:rsid wsp:val=&quot;00557B84&quot;/&gt;&lt;wsp:rsid wsp:val=&quot;0056208A&quot;/&gt;&lt;wsp:rsid wsp:val=&quot;0056406A&quot;/&gt;&lt;wsp:rsid wsp:val=&quot;00565A95&quot;/&gt;&lt;wsp:rsid wsp:val=&quot;00567BF1&quot;/&gt;&lt;wsp:rsid wsp:val=&quot;00573F5F&quot;/&gt;&lt;wsp:rsid wsp:val=&quot;005761B3&quot;/&gt;&lt;wsp:rsid wsp:val=&quot;00582529&quot;/&gt;&lt;wsp:rsid wsp:val=&quot;0059659C&quot;/&gt;&lt;wsp:rsid wsp:val=&quot;005A12FC&quot;/&gt;&lt;wsp:rsid wsp:val=&quot;005A5A7F&quot;/&gt;&lt;wsp:rsid wsp:val=&quot;005B2DDA&quot;/&gt;&lt;wsp:rsid wsp:val=&quot;005B32DF&quot;/&gt;&lt;wsp:rsid wsp:val=&quot;005B3A0A&quot;/&gt;&lt;wsp:rsid wsp:val=&quot;005B7C29&quot;/&gt;&lt;wsp:rsid wsp:val=&quot;005D1593&quot;/&gt;&lt;wsp:rsid wsp:val=&quot;005D4374&quot;/&gt;&lt;wsp:rsid wsp:val=&quot;005E004A&quot;/&gt;&lt;wsp:rsid wsp:val=&quot;005E7028&quot;/&gt;&lt;wsp:rsid wsp:val=&quot;00602BA1&quot;/&gt;&lt;wsp:rsid wsp:val=&quot;00611B56&quot;/&gt;&lt;wsp:rsid wsp:val=&quot;006170B8&quot;/&gt;&lt;wsp:rsid wsp:val=&quot;00624012&quot;/&gt;&lt;wsp:rsid wsp:val=&quot;006258CD&quot;/&gt;&lt;wsp:rsid wsp:val=&quot;00626815&quot;/&gt;&lt;wsp:rsid wsp:val=&quot;00634BFD&quot;/&gt;&lt;wsp:rsid wsp:val=&quot;006415E2&quot;/&gt;&lt;wsp:rsid wsp:val=&quot;0064340B&quot;/&gt;&lt;wsp:rsid wsp:val=&quot;00645603&quot;/&gt;&lt;wsp:rsid wsp:val=&quot;00647746&quot;/&gt;&lt;wsp:rsid wsp:val=&quot;00650697&quot;/&gt;&lt;wsp:rsid wsp:val=&quot;00655935&quot;/&gt;&lt;wsp:rsid wsp:val=&quot;00655FCB&quot;/&gt;&lt;wsp:rsid wsp:val=&quot;00667E5A&quot;/&gt;&lt;wsp:rsid wsp:val=&quot;00671DA8&quot;/&gt;&lt;wsp:rsid wsp:val=&quot;00677904&quot;/&gt;&lt;wsp:rsid wsp:val=&quot;00681869&quot;/&gt;&lt;wsp:rsid wsp:val=&quot;006852DE&quot;/&gt;&lt;wsp:rsid wsp:val=&quot;006911A5&quot;/&gt;&lt;wsp:rsid wsp:val=&quot;006A02A0&quot;/&gt;&lt;wsp:rsid wsp:val=&quot;006A1035&quot;/&gt;&lt;wsp:rsid wsp:val=&quot;006A6788&quot;/&gt;&lt;wsp:rsid wsp:val=&quot;006A72EC&quot;/&gt;&lt;wsp:rsid wsp:val=&quot;006B21EC&quot;/&gt;&lt;wsp:rsid wsp:val=&quot;006B4D38&quot;/&gt;&lt;wsp:rsid wsp:val=&quot;006B7135&quot;/&gt;&lt;wsp:rsid wsp:val=&quot;006D0023&quot;/&gt;&lt;wsp:rsid wsp:val=&quot;006D3E47&quot;/&gt;&lt;wsp:rsid wsp:val=&quot;006E0F08&quot;/&gt;&lt;wsp:rsid wsp:val=&quot;006E18B6&quot;/&gt;&lt;wsp:rsid wsp:val=&quot;006F4345&quot;/&gt;&lt;wsp:rsid wsp:val=&quot;00700865&quot;/&gt;&lt;wsp:rsid wsp:val=&quot;00700CEA&quot;/&gt;&lt;wsp:rsid wsp:val=&quot;00703108&quot;/&gt;&lt;wsp:rsid wsp:val=&quot;00704A4E&quot;/&gt;&lt;wsp:rsid wsp:val=&quot;007071F2&quot;/&gt;&lt;wsp:rsid wsp:val=&quot;00720CA3&quot;/&gt;&lt;wsp:rsid wsp:val=&quot;00722A26&quot;/&gt;&lt;wsp:rsid wsp:val=&quot;007332D4&quot;/&gt;&lt;wsp:rsid wsp:val=&quot;00733EB7&quot;/&gt;&lt;wsp:rsid wsp:val=&quot;0073440D&quot;/&gt;&lt;wsp:rsid wsp:val=&quot;00735E76&quot;/&gt;&lt;wsp:rsid wsp:val=&quot;0075414B&quot;/&gt;&lt;wsp:rsid wsp:val=&quot;00757751&quot;/&gt;&lt;wsp:rsid wsp:val=&quot;00763512&quot;/&gt;&lt;wsp:rsid wsp:val=&quot;00763C57&quot;/&gt;&lt;wsp:rsid wsp:val=&quot;00764A6A&quot;/&gt;&lt;wsp:rsid wsp:val=&quot;0077537A&quot;/&gt;&lt;wsp:rsid wsp:val=&quot;00783D9C&quot;/&gt;&lt;wsp:rsid wsp:val=&quot;007878A0&quot;/&gt;&lt;wsp:rsid wsp:val=&quot;00792670&quot;/&gt;&lt;wsp:rsid wsp:val=&quot;007927B1&quot;/&gt;&lt;wsp:rsid wsp:val=&quot;00795AEC&quot;/&gt;&lt;wsp:rsid wsp:val=&quot;007A579C&quot;/&gt;&lt;wsp:rsid wsp:val=&quot;007B1D56&quot;/&gt;&lt;wsp:rsid wsp:val=&quot;007B64B7&quot;/&gt;&lt;wsp:rsid wsp:val=&quot;007C4117&quot;/&gt;&lt;wsp:rsid wsp:val=&quot;007C491C&quot;/&gt;&lt;wsp:rsid wsp:val=&quot;007C4C9B&quot;/&gt;&lt;wsp:rsid wsp:val=&quot;007C7CC9&quot;/&gt;&lt;wsp:rsid wsp:val=&quot;007D5DDE&quot;/&gt;&lt;wsp:rsid wsp:val=&quot;007E22E9&quot;/&gt;&lt;wsp:rsid wsp:val=&quot;007E5B47&quot;/&gt;&lt;wsp:rsid wsp:val=&quot;007E6B6B&quot;/&gt;&lt;wsp:rsid wsp:val=&quot;007F7735&quot;/&gt;&lt;wsp:rsid wsp:val=&quot;00805E66&quot;/&gt;&lt;wsp:rsid wsp:val=&quot;008065B4&quot;/&gt;&lt;wsp:rsid wsp:val=&quot;00824581&quot;/&gt;&lt;wsp:rsid wsp:val=&quot;0082540D&quot;/&gt;&lt;wsp:rsid wsp:val=&quot;00830AD8&quot;/&gt;&lt;wsp:rsid wsp:val=&quot;0083331B&quot;/&gt;&lt;wsp:rsid wsp:val=&quot;00835D48&quot;/&gt;&lt;wsp:rsid wsp:val=&quot;00845C93&quot;/&gt;&lt;wsp:rsid wsp:val=&quot;00856E33&quot;/&gt;&lt;wsp:rsid wsp:val=&quot;0086080F&quot;/&gt;&lt;wsp:rsid wsp:val=&quot;008613E4&quot;/&gt;&lt;wsp:rsid wsp:val=&quot;00863224&quot;/&gt;&lt;wsp:rsid wsp:val=&quot;00871E77&quot;/&gt;&lt;wsp:rsid wsp:val=&quot;0087518A&quot;/&gt;&lt;wsp:rsid wsp:val=&quot;00876F4A&quot;/&gt;&lt;wsp:rsid wsp:val=&quot;008802B8&quot;/&gt;&lt;wsp:rsid wsp:val=&quot;00884F88&quot;/&gt;&lt;wsp:rsid wsp:val=&quot;00885DD8&quot;/&gt;&lt;wsp:rsid wsp:val=&quot;00886D94&quot;/&gt;&lt;wsp:rsid wsp:val=&quot;008877F0&quot;/&gt;&lt;wsp:rsid wsp:val=&quot;0089341B&quot;/&gt;&lt;wsp:rsid wsp:val=&quot;00897537&quot;/&gt;&lt;wsp:rsid wsp:val=&quot;008A7237&quot;/&gt;&lt;wsp:rsid wsp:val=&quot;008C420A&quot;/&gt;&lt;wsp:rsid wsp:val=&quot;008C6471&quot;/&gt;&lt;wsp:rsid wsp:val=&quot;008D3AAC&quot;/&gt;&lt;wsp:rsid wsp:val=&quot;008E701A&quot;/&gt;&lt;wsp:rsid wsp:val=&quot;008F0DFB&quot;/&gt;&lt;wsp:rsid wsp:val=&quot;008F3E53&quot;/&gt;&lt;wsp:rsid wsp:val=&quot;0091234C&quot;/&gt;&lt;wsp:rsid wsp:val=&quot;009131D6&quot;/&gt;&lt;wsp:rsid wsp:val=&quot;00914E78&quot;/&gt;&lt;wsp:rsid wsp:val=&quot;009218F7&quot;/&gt;&lt;wsp:rsid wsp:val=&quot;00924178&quot;/&gt;&lt;wsp:rsid wsp:val=&quot;00926EB1&quot;/&gt;&lt;wsp:rsid wsp:val=&quot;00932E89&quot;/&gt;&lt;wsp:rsid wsp:val=&quot;009351B2&quot;/&gt;&lt;wsp:rsid wsp:val=&quot;009379AA&quot;/&gt;&lt;wsp:rsid wsp:val=&quot;009432E9&quot;/&gt;&lt;wsp:rsid wsp:val=&quot;00943713&quot;/&gt;&lt;wsp:rsid wsp:val=&quot;00945B31&quot;/&gt;&lt;wsp:rsid wsp:val=&quot;00950D8A&quot;/&gt;&lt;wsp:rsid wsp:val=&quot;009511FC&quot;/&gt;&lt;wsp:rsid wsp:val=&quot;00953706&quot;/&gt;&lt;wsp:rsid wsp:val=&quot;00955006&quot;/&gt;&lt;wsp:rsid wsp:val=&quot;00965823&quot;/&gt;&lt;wsp:rsid wsp:val=&quot;00970150&quot;/&gt;&lt;wsp:rsid wsp:val=&quot;0097505A&quot;/&gt;&lt;wsp:rsid wsp:val=&quot;00981655&quot;/&gt;&lt;wsp:rsid wsp:val=&quot;0098768C&quot;/&gt;&lt;wsp:rsid wsp:val=&quot;009979EF&quot;/&gt;&lt;wsp:rsid wsp:val=&quot;009A466A&quot;/&gt;&lt;wsp:rsid wsp:val=&quot;009B0FE8&quot;/&gt;&lt;wsp:rsid wsp:val=&quot;009B1033&quot;/&gt;&lt;wsp:rsid wsp:val=&quot;009B5D97&quot;/&gt;&lt;wsp:rsid wsp:val=&quot;009B5FF3&quot;/&gt;&lt;wsp:rsid wsp:val=&quot;009C14DB&quot;/&gt;&lt;wsp:rsid wsp:val=&quot;009C764A&quot;/&gt;&lt;wsp:rsid wsp:val=&quot;009D04D0&quot;/&gt;&lt;wsp:rsid wsp:val=&quot;009D26D4&quot;/&gt;&lt;wsp:rsid wsp:val=&quot;009D3F5F&quot;/&gt;&lt;wsp:rsid wsp:val=&quot;009E6A66&quot;/&gt;&lt;wsp:rsid wsp:val=&quot;009E77C2&quot;/&gt;&lt;wsp:rsid wsp:val=&quot;00A05956&quot;/&gt;&lt;wsp:rsid wsp:val=&quot;00A10221&quot;/&gt;&lt;wsp:rsid wsp:val=&quot;00A10CB4&quot;/&gt;&lt;wsp:rsid wsp:val=&quot;00A12B61&quot;/&gt;&lt;wsp:rsid wsp:val=&quot;00A15DD4&quot;/&gt;&lt;wsp:rsid wsp:val=&quot;00A1636A&quot;/&gt;&lt;wsp:rsid wsp:val=&quot;00A23D9F&quot;/&gt;&lt;wsp:rsid wsp:val=&quot;00A32D3A&quot;/&gt;&lt;wsp:rsid wsp:val=&quot;00A346DD&quot;/&gt;&lt;wsp:rsid wsp:val=&quot;00A34F30&quot;/&gt;&lt;wsp:rsid wsp:val=&quot;00A375BD&quot;/&gt;&lt;wsp:rsid wsp:val=&quot;00A52A28&quot;/&gt;&lt;wsp:rsid wsp:val=&quot;00A55ECA&quot;/&gt;&lt;wsp:rsid wsp:val=&quot;00A57741&quot;/&gt;&lt;wsp:rsid wsp:val=&quot;00A604B4&quot;/&gt;&lt;wsp:rsid wsp:val=&quot;00A657C3&quot;/&gt;&lt;wsp:rsid wsp:val=&quot;00A7110D&quot;/&gt;&lt;wsp:rsid wsp:val=&quot;00A745A5&quot;/&gt;&lt;wsp:rsid wsp:val=&quot;00A75ADB&quot;/&gt;&lt;wsp:rsid wsp:val=&quot;00A83103&quot;/&gt;&lt;wsp:rsid wsp:val=&quot;00A84AC8&quot;/&gt;&lt;wsp:rsid wsp:val=&quot;00A91A22&quot;/&gt;&lt;wsp:rsid wsp:val=&quot;00A9245B&quot;/&gt;&lt;wsp:rsid wsp:val=&quot;00A942D2&quot;/&gt;&lt;wsp:rsid wsp:val=&quot;00A97583&quot;/&gt;&lt;wsp:rsid wsp:val=&quot;00AA2053&quot;/&gt;&lt;wsp:rsid wsp:val=&quot;00AA43C6&quot;/&gt;&lt;wsp:rsid wsp:val=&quot;00AB18CD&quot;/&gt;&lt;wsp:rsid wsp:val=&quot;00AB25F9&quot;/&gt;&lt;wsp:rsid wsp:val=&quot;00AB35DE&quot;/&gt;&lt;wsp:rsid wsp:val=&quot;00AB496C&quot;/&gt;&lt;wsp:rsid wsp:val=&quot;00AB5FCB&quot;/&gt;&lt;wsp:rsid wsp:val=&quot;00AC20F8&quot;/&gt;&lt;wsp:rsid wsp:val=&quot;00AD1E61&quot;/&gt;&lt;wsp:rsid wsp:val=&quot;00AD4E4C&quot;/&gt;&lt;wsp:rsid wsp:val=&quot;00AF300B&quot;/&gt;&lt;wsp:rsid wsp:val=&quot;00AF4FD5&quot;/&gt;&lt;wsp:rsid wsp:val=&quot;00B009FE&quot;/&gt;&lt;wsp:rsid wsp:val=&quot;00B01BC5&quot;/&gt;&lt;wsp:rsid wsp:val=&quot;00B027D7&quot;/&gt;&lt;wsp:rsid wsp:val=&quot;00B12F70&quot;/&gt;&lt;wsp:rsid wsp:val=&quot;00B13997&quot;/&gt;&lt;wsp:rsid wsp:val=&quot;00B17BDE&quot;/&gt;&lt;wsp:rsid wsp:val=&quot;00B21AB7&quot;/&gt;&lt;wsp:rsid wsp:val=&quot;00B24B2A&quot;/&gt;&lt;wsp:rsid wsp:val=&quot;00B266E6&quot;/&gt;&lt;wsp:rsid wsp:val=&quot;00B274FF&quot;/&gt;&lt;wsp:rsid wsp:val=&quot;00B320ED&quot;/&gt;&lt;wsp:rsid wsp:val=&quot;00B35855&quot;/&gt;&lt;wsp:rsid wsp:val=&quot;00B41EB3&quot;/&gt;&lt;wsp:rsid wsp:val=&quot;00B72189&quot;/&gt;&lt;wsp:rsid wsp:val=&quot;00B722C6&quot;/&gt;&lt;wsp:rsid wsp:val=&quot;00B7318F&quot;/&gt;&lt;wsp:rsid wsp:val=&quot;00B83397&quot;/&gt;&lt;wsp:rsid wsp:val=&quot;00B845BD&quot;/&gt;&lt;wsp:rsid wsp:val=&quot;00B952B4&quot;/&gt;&lt;wsp:rsid wsp:val=&quot;00BA23BC&quot;/&gt;&lt;wsp:rsid wsp:val=&quot;00BA269C&quot;/&gt;&lt;wsp:rsid wsp:val=&quot;00BA5E20&quot;/&gt;&lt;wsp:rsid wsp:val=&quot;00BA718B&quot;/&gt;&lt;wsp:rsid wsp:val=&quot;00BB77D9&quot;/&gt;&lt;wsp:rsid wsp:val=&quot;00BD698F&quot;/&gt;&lt;wsp:rsid wsp:val=&quot;00BD768E&quot;/&gt;&lt;wsp:rsid wsp:val=&quot;00BD7C3E&quot;/&gt;&lt;wsp:rsid wsp:val=&quot;00BD7D8B&quot;/&gt;&lt;wsp:rsid wsp:val=&quot;00BE345B&quot;/&gt;&lt;wsp:rsid wsp:val=&quot;00BE4174&quot;/&gt;&lt;wsp:rsid wsp:val=&quot;00BF329B&quot;/&gt;&lt;wsp:rsid wsp:val=&quot;00BF32FE&quot;/&gt;&lt;wsp:rsid wsp:val=&quot;00BF40E1&quot;/&gt;&lt;wsp:rsid wsp:val=&quot;00BF6A2E&quot;/&gt;&lt;wsp:rsid wsp:val=&quot;00C003CA&quot;/&gt;&lt;wsp:rsid wsp:val=&quot;00C04633&quot;/&gt;&lt;wsp:rsid wsp:val=&quot;00C061D7&quot;/&gt;&lt;wsp:rsid wsp:val=&quot;00C15027&quot;/&gt;&lt;wsp:rsid wsp:val=&quot;00C21610&quot;/&gt;&lt;wsp:rsid wsp:val=&quot;00C34F84&quot;/&gt;&lt;wsp:rsid wsp:val=&quot;00C37C43&quot;/&gt;&lt;wsp:rsid wsp:val=&quot;00C37C4F&quot;/&gt;&lt;wsp:rsid wsp:val=&quot;00C417E4&quot;/&gt;&lt;wsp:rsid wsp:val=&quot;00C42FA3&quot;/&gt;&lt;wsp:rsid wsp:val=&quot;00C53CC2&quot;/&gt;&lt;wsp:rsid wsp:val=&quot;00C57490&quot;/&gt;&lt;wsp:rsid wsp:val=&quot;00C61AE0&quot;/&gt;&lt;wsp:rsid wsp:val=&quot;00C71D67&quot;/&gt;&lt;wsp:rsid wsp:val=&quot;00C7260C&quot;/&gt;&lt;wsp:rsid wsp:val=&quot;00C75E32&quot;/&gt;&lt;wsp:rsid wsp:val=&quot;00C87CA4&quot;/&gt;&lt;wsp:rsid wsp:val=&quot;00C92396&quot;/&gt;&lt;wsp:rsid wsp:val=&quot;00C93353&quot;/&gt;&lt;wsp:rsid wsp:val=&quot;00C940AA&quot;/&gt;&lt;wsp:rsid wsp:val=&quot;00C96B68&quot;/&gt;&lt;wsp:rsid wsp:val=&quot;00CA2183&quot;/&gt;&lt;wsp:rsid wsp:val=&quot;00CA2B98&quot;/&gt;&lt;wsp:rsid wsp:val=&quot;00CB1B59&quot;/&gt;&lt;wsp:rsid wsp:val=&quot;00CB1CBC&quot;/&gt;&lt;wsp:rsid wsp:val=&quot;00CB36AC&quot;/&gt;&lt;wsp:rsid wsp:val=&quot;00CB5E1F&quot;/&gt;&lt;wsp:rsid wsp:val=&quot;00CB6330&quot;/&gt;&lt;wsp:rsid wsp:val=&quot;00CB6484&quot;/&gt;&lt;wsp:rsid wsp:val=&quot;00CC1525&quot;/&gt;&lt;wsp:rsid wsp:val=&quot;00CC15D4&quot;/&gt;&lt;wsp:rsid wsp:val=&quot;00CC3809&quot;/&gt;&lt;wsp:rsid wsp:val=&quot;00CC45C0&quot;/&gt;&lt;wsp:rsid wsp:val=&quot;00CC5711&quot;/&gt;&lt;wsp:rsid wsp:val=&quot;00CD7A85&quot;/&gt;&lt;wsp:rsid wsp:val=&quot;00CE1776&quot;/&gt;&lt;wsp:rsid wsp:val=&quot;00CE57F2&quot;/&gt;&lt;wsp:rsid wsp:val=&quot;00CE5A80&quot;/&gt;&lt;wsp:rsid wsp:val=&quot;00CF0C51&quot;/&gt;&lt;wsp:rsid wsp:val=&quot;00D010B4&quot;/&gt;&lt;wsp:rsid wsp:val=&quot;00D01D06&quot;/&gt;&lt;wsp:rsid wsp:val=&quot;00D13390&quot;/&gt;&lt;wsp:rsid wsp:val=&quot;00D137DB&quot;/&gt;&lt;wsp:rsid wsp:val=&quot;00D21EC6&quot;/&gt;&lt;wsp:rsid wsp:val=&quot;00D23492&quot;/&gt;&lt;wsp:rsid wsp:val=&quot;00D339AB&quot;/&gt;&lt;wsp:rsid wsp:val=&quot;00D34F44&quot;/&gt;&lt;wsp:rsid wsp:val=&quot;00D35E20&quot;/&gt;&lt;wsp:rsid wsp:val=&quot;00D421DF&quot;/&gt;&lt;wsp:rsid wsp:val=&quot;00D43020&quot;/&gt;&lt;wsp:rsid wsp:val=&quot;00D440F3&quot;/&gt;&lt;wsp:rsid wsp:val=&quot;00D52502&quot;/&gt;&lt;wsp:rsid wsp:val=&quot;00D56835&quot;/&gt;&lt;wsp:rsid wsp:val=&quot;00D604CA&quot;/&gt;&lt;wsp:rsid wsp:val=&quot;00D63105&quot;/&gt;&lt;wsp:rsid wsp:val=&quot;00D712F9&quot;/&gt;&lt;wsp:rsid wsp:val=&quot;00D7155B&quot;/&gt;&lt;wsp:rsid wsp:val=&quot;00D733A0&quot;/&gt;&lt;wsp:rsid wsp:val=&quot;00D74925&quot;/&gt;&lt;wsp:rsid wsp:val=&quot;00D76E48&quot;/&gt;&lt;wsp:rsid wsp:val=&quot;00D80719&quot;/&gt;&lt;wsp:rsid wsp:val=&quot;00D92A77&quot;/&gt;&lt;wsp:rsid wsp:val=&quot;00D97384&quot;/&gt;&lt;wsp:rsid wsp:val=&quot;00D9765C&quot;/&gt;&lt;wsp:rsid wsp:val=&quot;00DA609C&quot;/&gt;&lt;wsp:rsid wsp:val=&quot;00DB00A9&quot;/&gt;&lt;wsp:rsid wsp:val=&quot;00DB2851&quot;/&gt;&lt;wsp:rsid wsp:val=&quot;00DB406A&quot;/&gt;&lt;wsp:rsid wsp:val=&quot;00DB493E&quot;/&gt;&lt;wsp:rsid wsp:val=&quot;00DB5C09&quot;/&gt;&lt;wsp:rsid wsp:val=&quot;00DB5FC1&quot;/&gt;&lt;wsp:rsid wsp:val=&quot;00DB74A0&quot;/&gt;&lt;wsp:rsid wsp:val=&quot;00DC3493&quot;/&gt;&lt;wsp:rsid wsp:val=&quot;00DD1827&quot;/&gt;&lt;wsp:rsid wsp:val=&quot;00DD33DD&quot;/&gt;&lt;wsp:rsid wsp:val=&quot;00DD69C7&quot;/&gt;&lt;wsp:rsid wsp:val=&quot;00DD74B1&quot;/&gt;&lt;wsp:rsid wsp:val=&quot;00DE58C1&quot;/&gt;&lt;wsp:rsid wsp:val=&quot;00DF0DE6&quot;/&gt;&lt;wsp:rsid wsp:val=&quot;00DF248F&quot;/&gt;&lt;wsp:rsid wsp:val=&quot;00DF6CEE&quot;/&gt;&lt;wsp:rsid wsp:val=&quot;00E236AA&quot;/&gt;&lt;wsp:rsid wsp:val=&quot;00E33842&quot;/&gt;&lt;wsp:rsid wsp:val=&quot;00E33FBA&quot;/&gt;&lt;wsp:rsid wsp:val=&quot;00E44E1A&quot;/&gt;&lt;wsp:rsid wsp:val=&quot;00E478B5&quot;/&gt;&lt;wsp:rsid wsp:val=&quot;00E52BF7&quot;/&gt;&lt;wsp:rsid wsp:val=&quot;00E553BC&quot;/&gt;&lt;wsp:rsid wsp:val=&quot;00E60CD9&quot;/&gt;&lt;wsp:rsid wsp:val=&quot;00E6316E&quot;/&gt;&lt;wsp:rsid wsp:val=&quot;00E64478&quot;/&gt;&lt;wsp:rsid wsp:val=&quot;00E662AF&quot;/&gt;&lt;wsp:rsid wsp:val=&quot;00E66379&quot;/&gt;&lt;wsp:rsid wsp:val=&quot;00E6777F&quot;/&gt;&lt;wsp:rsid wsp:val=&quot;00E71997&quot;/&gt;&lt;wsp:rsid wsp:val=&quot;00E72291&quot;/&gt;&lt;wsp:rsid wsp:val=&quot;00E726B1&quot;/&gt;&lt;wsp:rsid wsp:val=&quot;00E81E45&quot;/&gt;&lt;wsp:rsid wsp:val=&quot;00E836C1&quot;/&gt;&lt;wsp:rsid wsp:val=&quot;00E867BE&quot;/&gt;&lt;wsp:rsid wsp:val=&quot;00E9348C&quot;/&gt;&lt;wsp:rsid wsp:val=&quot;00E93D31&quot;/&gt;&lt;wsp:rsid wsp:val=&quot;00E96EFB&quot;/&gt;&lt;wsp:rsid wsp:val=&quot;00EA4D3D&quot;/&gt;&lt;wsp:rsid wsp:val=&quot;00EB008B&quot;/&gt;&lt;wsp:rsid wsp:val=&quot;00EB544F&quot;/&gt;&lt;wsp:rsid wsp:val=&quot;00EB6314&quot;/&gt;&lt;wsp:rsid wsp:val=&quot;00EC70C8&quot;/&gt;&lt;wsp:rsid wsp:val=&quot;00ED38B8&quot;/&gt;&lt;wsp:rsid wsp:val=&quot;00ED775A&quot;/&gt;&lt;wsp:rsid wsp:val=&quot;00EE1E0A&quot;/&gt;&lt;wsp:rsid wsp:val=&quot;00EE4B3E&quot;/&gt;&lt;wsp:rsid wsp:val=&quot;00EE6C37&quot;/&gt;&lt;wsp:rsid wsp:val=&quot;00EE714A&quot;/&gt;&lt;wsp:rsid wsp:val=&quot;00EE783C&quot;/&gt;&lt;wsp:rsid wsp:val=&quot;00EF6B7D&quot;/&gt;&lt;wsp:rsid wsp:val=&quot;00F00A36&quot;/&gt;&lt;wsp:rsid wsp:val=&quot;00F0398C&quot;/&gt;&lt;wsp:rsid wsp:val=&quot;00F139AE&quot;/&gt;&lt;wsp:rsid wsp:val=&quot;00F33A1F&quot;/&gt;&lt;wsp:rsid wsp:val=&quot;00F3412D&quot;/&gt;&lt;wsp:rsid wsp:val=&quot;00F432EC&quot;/&gt;&lt;wsp:rsid wsp:val=&quot;00F50196&quot;/&gt;&lt;wsp:rsid wsp:val=&quot;00F52E82&quot;/&gt;&lt;wsp:rsid wsp:val=&quot;00F53C0A&quot;/&gt;&lt;wsp:rsid wsp:val=&quot;00F56513&quot;/&gt;&lt;wsp:rsid wsp:val=&quot;00F649B2&quot;/&gt;&lt;wsp:rsid wsp:val=&quot;00F76D13&quot;/&gt;&lt;wsp:rsid wsp:val=&quot;00F9252E&quot;/&gt;&lt;wsp:rsid wsp:val=&quot;00F93A9C&quot;/&gt;&lt;wsp:rsid wsp:val=&quot;00FA57C6&quot;/&gt;&lt;wsp:rsid wsp:val=&quot;00FB3FA5&quot;/&gt;&lt;wsp:rsid wsp:val=&quot;00FB5E46&quot;/&gt;&lt;wsp:rsid wsp:val=&quot;00FC7E56&quot;/&gt;&lt;wsp:rsid wsp:val=&quot;00FD01CA&quot;/&gt;&lt;wsp:rsid wsp:val=&quot;00FD51E0&quot;/&gt;&lt;wsp:rsid wsp:val=&quot;00FD5311&quot;/&gt;&lt;wsp:rsid wsp:val=&quot;00FE6530&quot;/&gt;&lt;wsp:rsid wsp:val=&quot;00FF12BE&quot;/&gt;&lt;wsp:rsid wsp:val=&quot;00FF3476&quot;/&gt;&lt;/wsp:rsids&gt;&lt;/w:docPr&gt;&lt;w:body&gt;&lt;w:p wsp:rsidR=&quot;00000000&quot; wsp:rsidRDefault=&quot;00347F02&quot;&gt;&lt;m:oMathPara&gt;&lt;m:oMath&gt;&lt;m:r&gt;&lt;w:rPr&gt;&lt;w:rFonts w:ascii=&quot;Cambria Math&quot; w:h-ansi=&quot;Cambria Math&quot; w:cs=&quot;Calibri&quot;/&gt;&lt;wx:font wx:val=&quot;Cambria Math&quot;/&gt;&lt;w:i/&gt;&lt;w:sz w:val=&quot;24&quot;/&gt;&lt;w:sz-cs w:val=&quot;24&quot;/&gt;&lt;/w:rPr&gt;&lt;m:t&gt;output&lt;/m:t&gt;&lt;/m:r&gt;&lt;m:r&gt;&lt;w:rPr&gt;&lt;w:rFonts w:ascii=&quot;Cambria Math&quot; w:h-ansi=&quot;Calibri&quot; w:cs=&quot;Calibri&quot;/&gt;&lt;wx:font wx:val=&quot;Cambria Math&quot;/&gt;&lt;w:i/&gt;&lt;w:sz w:val=&quot;24&quot;/&gt;&lt;w:sz-cs w:val=&quot;24&quot;/&gt;&lt;/w:rPr&gt;&lt;m:t&gt; &lt;/m:t&gt;&lt;/m:r&gt;&lt;m:r&gt;&lt;w:rPr&gt;&lt;w:rFonts w:ascii=&quot;Cambria Math&quot; w:h-ansi=&quot;Cambria Math&quot; w:cs=&quot;Calibri&quot;/&gt;&lt;wx:font wx:val=&quot;Cambria Math&quot;/&gt;&lt;w:i/&gt;&lt;w:sz w:val=&quot;24&quot;/&gt;&lt;w:sz-cs w:val=&quot;24&quot;/&gt;&lt;/w:rPr&gt;&lt;m:t&gt;gap&lt;/m:t&gt;&lt;/m:r&gt;&lt;m:r&gt;&lt;w:rPr&gt;&lt;w:rFonts w:ascii=&quot;Cambria Math&quot; w:h-ansi=&quot;Calibri&quot; w:cs=&quot;Calibri&quot;/&gt;&lt;wx:font wx:val=&quot;Cambria Math&quot;/&gt;&lt;w:i/&gt;&lt;w:sz w:val=&quot;24&quot;/&gt;&lt;w:sz-cs w:val=&quot;24&quot;/&gt;&lt;/w:rPr&gt;&lt;m:t&gt; &lt;/m:t&gt;&lt;/m:r&gt;&lt;m:r&gt;&lt;w:rPr&gt;&lt;w:rFonts w:ascii=&quot;Cambria Math&quot; w:h-ansi=&quot;Cambria Math&quot; w:cs=&quot;Calibri&quot;/&gt;&lt;wx:font wx:val=&quot;Cambria Math&quot;/&gt;&lt;w:i/&gt;&lt;w:sz w:val=&quot;24&quot;/&gt;&lt;w:sz-cs w:val=&quot;24&quot;/&gt;&lt;/w:rPr&gt;&lt;m:t&gt;EM&lt;/m:t&gt;&lt;/m:r&gt;&lt;m:r&gt;&lt;w:rPr&gt;&lt;w:rFonts w:ascii=&quot;Cambria Math&quot; w:h-ansi=&quot;Calibri&quot; w:cs=&quot;Calibri&quot;/&gt;&lt;wx:font wx:val=&quot;Cambria Math&quot;/&gt;&lt;w:i/&gt;&lt;w:sz w:val=&quot;24&quot;/&gt;&lt;w:sz-cs w:val=&quot;24&quot;/&gt;&lt;/w:rPr&gt;&lt;m:t&gt;=&lt;/m:t&gt;&lt;/m:r&gt;&lt;m:r&gt;&lt;w:rPr&gt;&lt;w:rFonts w:ascii=&quot;Cambria Math&quot; w:h-ansi=&quot;Cambria Math&quot; w:cs=&quot;Calibri&quot;/&gt;&lt;wx:font wx:val=&quot;Cambria Math&quot;/&gt;&lt;w:i/&gt;&lt;w:sz w:val=&quot;24&quot;/&gt;&lt;w:sz-cs w:val=&quot;24&quot;/&gt;&lt;w:lang w:val=&quot;EL&quot;/&gt;&lt;/w:rPr&gt;&lt;m:t&gt;Î±&lt;/m:t&gt;&lt;/m:r&gt;&lt;m:r&gt;&lt;w:rPr&gt;&lt;w:rFonts w:ascii=&quot;Cambria Math&quot; w:h-ansi=&quot;Calibri&quot; w:cs=&quot;Calibri&quot;/&gt;&lt;wx:font wx:val=&quot;Cambria Math&quot;/&gt;&lt;w:i/&gt;&lt;w:sz w:val=&quot;24&quot;/&gt;&lt;w:sz-cs w:val=&quot;24&quot;/&gt;&lt;/w:rPr&gt;&lt;m:t&gt;+&lt;/m:t&gt;&lt;/m:r&gt;&lt;m:r&gt;&lt;w:rPr&gt;&lt;w:rFonts w:ascii=&quot;Cambria Math&quot; w:h-ansi=&quot;Cambria Math&quot; w:cs=&quot;Calibri&quot;/&gt;&lt;wx:font wx:val=&quot;Cambria Math&quot;/&gt;&lt;w:i/&gt;&lt;w:sz w:val=&quot;24&quot;/&gt;&lt;w:sz-cs w:val=&quot;24&quot;/&gt;&lt;w:lang w:val=&quot;EL&quot;/&gt;&lt;/w:rPr&gt;&lt;m:t&gt;Î²&lt;/m:t&gt;&lt;/m:r&gt;&lt;m:r&gt;&lt;w:rPr&gt;&lt;w:rFonts w:ascii=&quot;Cambria Math&quot; w:h-ansi=&quot;Calibri&quot; w:cs=&quot;Calibri&quot;/&gt;&lt;wx:font wx:val=&quot;Cambria Math&quot;/&gt;&lt;w:i/&gt;&lt;w:sz w:val=&quot;24&quot;/&gt;&lt;w:sz-cs w:val=&quot;24&quot;/&gt;&lt;/w:rPr&gt;&lt;m:t&gt; &lt;/m:t&gt;&lt;/m:r&gt;&lt;m:r&gt;&lt;w:rPr&gt;&lt;w:rFonts w:ascii=&quot;Cambria Math&quot; w:h-ansi=&quot;Cambria Math&quot; w:cs=&quot;Calibri&quot;/&gt;&lt;wx:font wx:val=&quot;Cambria Math&quot;/&gt;&lt;w:i/&gt;&lt;w:sz w:val=&quot;24&quot;/&gt;&lt;w:sz-cs w:val=&quot;24&quot;/&gt;&lt;/w:rPr&gt;&lt;m:t&gt;output&lt;/m:t&gt;&lt;/m:r&gt;&lt;m:r&gt;&lt;w:rPr&gt;&lt;w:rFonts w:ascii=&quot;Cambria Math&quot; w:h-ansi=&quot;Calibri&quot; w:cs=&quot;Calibri&quot;/&gt;&lt;wx:font wx:val=&quot;Cambria Math&quot;/&gt;&lt;w:i/&gt;&lt;w:sz w:val=&quot;24&quot;/&gt;&lt;w:sz-cs w:val=&quot;24&quot;/&gt;&lt;/w:rPr&gt;&lt;m:t&gt; &lt;/m:t&gt;&lt;/m:r&gt;&lt;m:r&gt;&lt;w:rPr&gt;&lt;w:rFonts w:ascii=&quot;Cambria Math&quot; w:h-ansi=&quot;Cambria Math&quot; w:cs=&quot;Calibri&quot;/&gt;&lt;wx:font wx:val=&quot;Cambria Math&quot;/&gt;&lt;w:i/&gt;&lt;w:sz w:val=&quot;24&quot;/&gt;&lt;w:sz-cs w:val=&quot;24&quot;/&gt;&lt;/w:rPr&gt;&lt;m:t&gt;gap&lt;/m:t&gt;&lt;/m:r&gt;&lt;m:r&gt;&lt;w:rPr&gt;&lt;w:rFonts w:ascii=&quot;Cambria Math&quot; w:h-ansi=&quot;Calibri&quot; w:cs=&quot;Calibri&quot;/&gt;&lt;wx:font wx:val=&quot;Cambria Math&quot;/&gt;&lt;w:i/&gt;&lt;w:sz w:val=&quot;24&quot;/&gt;&lt;w:sz-cs w:val=&quot;24&quot;/&gt;&lt;/w:rPr&gt;&lt;m:t&gt; &lt;/m:t&gt;&lt;/m:r&gt;&lt;m:r&gt;&lt;w:rPr&gt;&lt;w:rFonts w:ascii=&quot;Cambria Math&quot; w:h-ansi=&quot;Cambria Math&quot; w:cs=&quot;Calibri&quot;/&gt;&lt;wx:font wx:val=&quot;Cambria Math&quot;/&gt;&lt;w:i/&gt;&lt;w:sz w:val=&quot;24&quot;/&gt;&lt;w:sz-cs w:val=&quot;24&quot;/&gt;&lt;/w:rPr&gt;&lt;m:t&gt;AM&lt;/m:t&gt;&lt;/m:r&gt;&lt;m:r&gt;&lt;w:rPr&gt;&lt;w:rFonts w:ascii=&quot;Cambria Math&quot; w:h-ansi=&quot;Calibri&quot; w:cs=&quot;Calibri&quot;/&gt;&lt;wx:font wx:val=&quot;Cambria Math&quot;/&gt;&lt;w:i/&gt;&lt;w:sz w:val=&quot;24&quot;/&gt;&lt;w:sz-cs w:val=&quot;24&quot;/&gt;&lt;/w:rPr&gt;&lt;m:t&gt;+&lt;/m:t&gt;&lt;/m:r&gt;&lt;m:r&gt;&lt;w:rPr&gt;&lt;w:rFonts w:ascii=&quot;Cambria Math&quot; w:fareast=&quot;Times New Roman&quot; w:h-ansi=&quot;Cambria Math&quot; w:cs=&quot;Calibri&quot;/&gt;&lt;wx:font wx:val=&quot;Cambria Math&quot;/&gt;&lt;w:i/&gt;&lt;w:sz w:val=&quot;24&quot;/&gt;&lt;w:sz-cs w:val=&quot;24&quot;/&gt;&lt;/w:rPr&gt;&lt;m:t&gt;Î³&lt;/m:t&gt;&lt;/m:r&gt;&lt;m:r&gt;&lt;w:rPr&gt;&lt;w:rFonts w:ascii=&quot;Cambria Math&quot; w:fareast=&quot;Times New Roman&quot; w:h-ansi=&quot;Calibri&quot; w:cs=&quot;Calibri&quot;/&gt;&lt;wx:font wx:val=&quot;Cambria Math&quot;/&gt;&lt;w:i/&gt;&lt;w:sz w:val=&quot;24&quot;/&gt;&lt;w:sz-cs w:val=&quot;24&quot;/&gt;&lt;/w:rPr&gt;&lt;m:t&gt; &lt;/m:t&gt;&lt;/m:r&gt;&lt;m:r&gt;&lt;w:rPr&gt;&lt;w:rFonts w:ascii=&quot;Cambria Math&quot; w:fareast=&quot;Times New Roman&quot; w:h-ansi=&quot;Cambria Math&quot; w:cs=&quot;Calibri&quot;/&gt;&lt;wx:font wx:val=&quot;Cambria Math&quot;/&gt;&lt;w:i/&gt;&lt;w:sz w:val=&quot;24&quot;/&gt;&lt;w:sz-cs w:val=&quot;24&quot;/&gt;&lt;/w:rPr&gt;&lt;m:t&gt;output&lt;/m:t&gt;&lt;/m:r&gt;&lt;m:r&gt;&lt;w:rPr&gt;&lt;w:rFonts w:ascii=&quot;Cambria Math&quot; w:fareast=&quot;Times New Roman&quot; w:h-ansi=&quot;Calibri&quot; w:cs=&quot;Calibri&quot;/&gt;&lt;wx:font wx:val=&quot;Cambria Math&quot;/&gt;&lt;w:i/&gt;&lt;w:sz w:val=&quot;24&quot;/&gt;&lt;w:sz-cs w:val=&quot;24&quot;/&gt;&lt;/w:rPr&gt;&lt;m:t&gt; &lt;/m:t&gt;&lt;/m:r&gt;&lt;m:r&gt;&lt;w:rPr&gt;&lt;w:rFonts w:ascii=&quot;Cambria Math&quot; w:fareast=&quot;Times New Roman&quot; w:h-ansi=&quot;Cambria Math&quot; w:cs=&quot;Calibri&quot;/&gt;&lt;wx:font wx:val=&quot;Cambria Math&quot;/&gt;&lt;w:i/&gt;&lt;w:sz w:val=&quot;24&quot;/&gt;&lt;w:sz-cs w:val=&quot;24&quot;/&gt;&lt;/w:rPr&gt;&lt;m:t&gt;gap&lt;/m:t&gt;&lt;/m:r&gt;&lt;m:r&gt;&lt;w:rPr&gt;&lt;w:rFonts w:ascii=&quot;Cambria Math&quot; w:fareast=&quot;Times New Roman&quot; w:h-ansi=&quot;Calibri&quot; w:cs=&quot;Calibri&quot;/&gt;&lt;wx:font wx:val=&quot;Cambria Math&quot;/&gt;&lt;w:i/&gt;&lt;w:sz w:val=&quot;24&quot;/&gt;&lt;w:sz-cs w:val=&quot;24&quot;/&gt;&lt;/w:rPr&gt;&lt;m:t&gt; &lt;/m:t&gt;&lt;/m:r&gt;&lt;m:r&gt;&lt;w:rPr&gt;&lt;w:rFonts w:ascii=&quot;Cambria Math&quot; w:fareast=&quot;Times New Roman&quot; w:h-ansi=&quot;Cambria Math&quot; w:cs=&quot;Calibri&quot;/&gt;&lt;wx:font wx:val=&quot;Cambria Math&quot;/&gt;&lt;w:i/&gt;&lt;w:sz w:val=&quot;24&quot;/&gt;&lt;w:sz-cs w:val=&quot;24&quot;/&gt;&lt;/w:rPr&gt;&lt;m:t&gt;AM&lt;/m:t&gt;&lt;/m:r&gt;&lt;m:r&gt;&lt;w:rPr&gt;&lt;w:rFonts w:ascii=&quot;Calibri&quot; w:fareast=&quot;Times New Roman&quot; w:h-ansi=&quot;Cambria Math&quot; w:cs=&quot;Calibri&quot;/&gt;&lt;wx:font wx:val=&quot;Cambria Math&quot;/&gt;&lt;w:i/&gt;&lt;w:sz w:val=&quot;24&quot;/&gt;&lt;w:sz-cs w:val=&quot;24&quot;/&gt;&lt;/w:rPr&gt;&lt;m:t&gt;*&lt;/m:t&gt;&lt;/m:r&gt;&lt;m:r&gt;&lt;w:rPr&gt;&lt;w:rFonts w:ascii=&quot;Cambria Math&quot; w:fareast=&quot;Times New Roman&quot; w:h-ansi=&quot;Cambria Math&quot; w:cs=&quot;Calibri&quot;/&gt;&lt;wx:font wx:val=&quot;Cambria Math&quot;/&gt;&lt;w:i/&gt;&lt;w:sz w:val=&quot;24&quot;/&gt;&lt;w:sz-cs w:val=&quot;24&quot;/&gt;&lt;/w:rPr&gt;&lt;m:t&gt;dummy&lt;/m:t&gt;&lt;/m:r&gt;&lt;m:r&gt;&lt;w:rPr&gt;&lt;w:rFonts w:ascii=&quot;Cambria Math&quot; w:fareast=&quot;Times New Roman&quot; w:h-ansi=&quot;Calibri&quot; w:cs=&quot;Calibri&quot;/&gt;&lt;wx:font wx:val=&quot;Cambria Math&quot;/&gt;&lt;w:i/&gt;&lt;w:sz w:val=&quot;24&quot;/&gt;&lt;w:sz-cs w:val=&quot;24&quot;/&gt;&lt;/w:rPr&gt;&lt;m:t&gt;+&lt;/m:t&gt;&lt;/m:r&gt;&lt;m:r&gt;&lt;w:rPr&gt;&lt;w:rFonts w:ascii=&quot;Cambria Math&quot; w:fareast=&quot;Times New Roman&quot; w:h-ansi=&quot;Cambria Math&quot; w:cs=&quot;Calibri&quot;/&gt;&lt;wx:font wx:val=&quot;Cambria Math&quot;/&gt;&lt;w:i/&gt;&lt;w:sz w:val=&quot;24&quot;/&gt;&lt;w:sz-cs w:val=&quot;24&quot;/&gt;&lt;w:lang w:val=&quot;EL&quot;/&gt;&lt;/w:rPr&gt;&lt;m:t&gt;Îµ&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FE6530">
        <w:rPr>
          <w:rFonts w:cs="Calibri"/>
          <w:sz w:val="24"/>
          <w:szCs w:val="24"/>
        </w:rPr>
        <w:instrText xml:space="preserve"> </w:instrText>
      </w:r>
      <w:r w:rsidRPr="00FE6530">
        <w:rPr>
          <w:rFonts w:cs="Calibri"/>
          <w:sz w:val="24"/>
          <w:szCs w:val="24"/>
        </w:rPr>
        <w:fldChar w:fldCharType="separate"/>
      </w:r>
      <w:r w:rsidRPr="00FE6530">
        <w:pict>
          <v:shape id="_x0000_i1030" type="#_x0000_t75" style="width:385.5pt;height:14.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20&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EE714A&quot;/&gt;&lt;wsp:rsid wsp:val=&quot;00001068&quot;/&gt;&lt;wsp:rsid wsp:val=&quot;00001A0F&quot;/&gt;&lt;wsp:rsid wsp:val=&quot;00001A86&quot;/&gt;&lt;wsp:rsid wsp:val=&quot;00002475&quot;/&gt;&lt;wsp:rsid wsp:val=&quot;000035D9&quot;/&gt;&lt;wsp:rsid wsp:val=&quot;0000487B&quot;/&gt;&lt;wsp:rsid wsp:val=&quot;00004AA3&quot;/&gt;&lt;wsp:rsid wsp:val=&quot;00012275&quot;/&gt;&lt;wsp:rsid wsp:val=&quot;00016A88&quot;/&gt;&lt;wsp:rsid wsp:val=&quot;00020235&quot;/&gt;&lt;wsp:rsid wsp:val=&quot;00024026&quot;/&gt;&lt;wsp:rsid wsp:val=&quot;0002619E&quot;/&gt;&lt;wsp:rsid wsp:val=&quot;00027676&quot;/&gt;&lt;wsp:rsid wsp:val=&quot;000334B1&quot;/&gt;&lt;wsp:rsid wsp:val=&quot;000344A5&quot;/&gt;&lt;wsp:rsid wsp:val=&quot;00036027&quot;/&gt;&lt;wsp:rsid wsp:val=&quot;00036993&quot;/&gt;&lt;wsp:rsid wsp:val=&quot;00051A32&quot;/&gt;&lt;wsp:rsid wsp:val=&quot;00062127&quot;/&gt;&lt;wsp:rsid wsp:val=&quot;000621A0&quot;/&gt;&lt;wsp:rsid wsp:val=&quot;00071F26&quot;/&gt;&lt;wsp:rsid wsp:val=&quot;00081F8D&quot;/&gt;&lt;wsp:rsid wsp:val=&quot;000820DE&quot;/&gt;&lt;wsp:rsid wsp:val=&quot;00086621&quot;/&gt;&lt;wsp:rsid wsp:val=&quot;0009405A&quot;/&gt;&lt;wsp:rsid wsp:val=&quot;000A146D&quot;/&gt;&lt;wsp:rsid wsp:val=&quot;000A5539&quot;/&gt;&lt;wsp:rsid wsp:val=&quot;000B5AAE&quot;/&gt;&lt;wsp:rsid wsp:val=&quot;000C4545&quot;/&gt;&lt;wsp:rsid wsp:val=&quot;000C59ED&quot;/&gt;&lt;wsp:rsid wsp:val=&quot;000D760D&quot;/&gt;&lt;wsp:rsid wsp:val=&quot;000E134B&quot;/&gt;&lt;wsp:rsid wsp:val=&quot;000E638E&quot;/&gt;&lt;wsp:rsid wsp:val=&quot;000E6AD6&quot;/&gt;&lt;wsp:rsid wsp:val=&quot;000F1D3C&quot;/&gt;&lt;wsp:rsid wsp:val=&quot;000F2F01&quot;/&gt;&lt;wsp:rsid wsp:val=&quot;0010117E&quot;/&gt;&lt;wsp:rsid wsp:val=&quot;0010691B&quot;/&gt;&lt;wsp:rsid wsp:val=&quot;00106CCD&quot;/&gt;&lt;wsp:rsid wsp:val=&quot;00107AF9&quot;/&gt;&lt;wsp:rsid wsp:val=&quot;00110D9C&quot;/&gt;&lt;wsp:rsid wsp:val=&quot;00114327&quot;/&gt;&lt;wsp:rsid wsp:val=&quot;0011628F&quot;/&gt;&lt;wsp:rsid wsp:val=&quot;0012677D&quot;/&gt;&lt;wsp:rsid wsp:val=&quot;00130C0A&quot;/&gt;&lt;wsp:rsid wsp:val=&quot;001331A8&quot;/&gt;&lt;wsp:rsid wsp:val=&quot;00135372&quot;/&gt;&lt;wsp:rsid wsp:val=&quot;00143E68&quot;/&gt;&lt;wsp:rsid wsp:val=&quot;00146CA9&quot;/&gt;&lt;wsp:rsid wsp:val=&quot;00157948&quot;/&gt;&lt;wsp:rsid wsp:val=&quot;0017023C&quot;/&gt;&lt;wsp:rsid wsp:val=&quot;00172502&quot;/&gt;&lt;wsp:rsid wsp:val=&quot;001742E4&quot;/&gt;&lt;wsp:rsid wsp:val=&quot;0018284A&quot;/&gt;&lt;wsp:rsid wsp:val=&quot;001867B9&quot;/&gt;&lt;wsp:rsid wsp:val=&quot;001A2071&quot;/&gt;&lt;wsp:rsid wsp:val=&quot;001A631D&quot;/&gt;&lt;wsp:rsid wsp:val=&quot;001A7C0C&quot;/&gt;&lt;wsp:rsid wsp:val=&quot;001B42CE&quot;/&gt;&lt;wsp:rsid wsp:val=&quot;001B4E94&quot;/&gt;&lt;wsp:rsid wsp:val=&quot;001D1DBB&quot;/&gt;&lt;wsp:rsid wsp:val=&quot;001E6C20&quot;/&gt;&lt;wsp:rsid wsp:val=&quot;001E6E04&quot;/&gt;&lt;wsp:rsid wsp:val=&quot;001F1184&quot;/&gt;&lt;wsp:rsid wsp:val=&quot;001F411A&quot;/&gt;&lt;wsp:rsid wsp:val=&quot;002009A8&quot;/&gt;&lt;wsp:rsid wsp:val=&quot;00206E3B&quot;/&gt;&lt;wsp:rsid wsp:val=&quot;0021020A&quot;/&gt;&lt;wsp:rsid wsp:val=&quot;0021262A&quot;/&gt;&lt;wsp:rsid wsp:val=&quot;00214A22&quot;/&gt;&lt;wsp:rsid wsp:val=&quot;002208F4&quot;/&gt;&lt;wsp:rsid wsp:val=&quot;002305CC&quot;/&gt;&lt;wsp:rsid wsp:val=&quot;002448BE&quot;/&gt;&lt;wsp:rsid wsp:val=&quot;00262EDD&quot;/&gt;&lt;wsp:rsid wsp:val=&quot;002732C6&quot;/&gt;&lt;wsp:rsid wsp:val=&quot;0027746E&quot;/&gt;&lt;wsp:rsid wsp:val=&quot;00292CDF&quot;/&gt;&lt;wsp:rsid wsp:val=&quot;002931B8&quot;/&gt;&lt;wsp:rsid wsp:val=&quot;00293A7D&quot;/&gt;&lt;wsp:rsid wsp:val=&quot;00296953&quot;/&gt;&lt;wsp:rsid wsp:val=&quot;002A2691&quot;/&gt;&lt;wsp:rsid wsp:val=&quot;002B0437&quot;/&gt;&lt;wsp:rsid wsp:val=&quot;002B1A5B&quot;/&gt;&lt;wsp:rsid wsp:val=&quot;002C0835&quot;/&gt;&lt;wsp:rsid wsp:val=&quot;002C238F&quot;/&gt;&lt;wsp:rsid wsp:val=&quot;002C2E63&quot;/&gt;&lt;wsp:rsid wsp:val=&quot;002C7D7C&quot;/&gt;&lt;wsp:rsid wsp:val=&quot;002D3BED&quot;/&gt;&lt;wsp:rsid wsp:val=&quot;002D692E&quot;/&gt;&lt;wsp:rsid wsp:val=&quot;002D6E94&quot;/&gt;&lt;wsp:rsid wsp:val=&quot;002E13F9&quot;/&gt;&lt;wsp:rsid wsp:val=&quot;002E2B97&quot;/&gt;&lt;wsp:rsid wsp:val=&quot;002E756A&quot;/&gt;&lt;wsp:rsid wsp:val=&quot;002F7D77&quot;/&gt;&lt;wsp:rsid wsp:val=&quot;0030013E&quot;/&gt;&lt;wsp:rsid wsp:val=&quot;00300D09&quot;/&gt;&lt;wsp:rsid wsp:val=&quot;0030305D&quot;/&gt;&lt;wsp:rsid wsp:val=&quot;00305128&quot;/&gt;&lt;wsp:rsid wsp:val=&quot;003054AF&quot;/&gt;&lt;wsp:rsid wsp:val=&quot;00305A19&quot;/&gt;&lt;wsp:rsid wsp:val=&quot;00310590&quot;/&gt;&lt;wsp:rsid wsp:val=&quot;00317493&quot;/&gt;&lt;wsp:rsid wsp:val=&quot;00322521&quot;/&gt;&lt;wsp:rsid wsp:val=&quot;003237D4&quot;/&gt;&lt;wsp:rsid wsp:val=&quot;00327890&quot;/&gt;&lt;wsp:rsid wsp:val=&quot;00335229&quot;/&gt;&lt;wsp:rsid wsp:val=&quot;00343051&quot;/&gt;&lt;wsp:rsid wsp:val=&quot;003450CA&quot;/&gt;&lt;wsp:rsid wsp:val=&quot;003466EA&quot;/&gt;&lt;wsp:rsid wsp:val=&quot;0034715F&quot;/&gt;&lt;wsp:rsid wsp:val=&quot;00347F02&quot;/&gt;&lt;wsp:rsid wsp:val=&quot;003523DE&quot;/&gt;&lt;wsp:rsid wsp:val=&quot;00354B58&quot;/&gt;&lt;wsp:rsid wsp:val=&quot;00364369&quot;/&gt;&lt;wsp:rsid wsp:val=&quot;0036459C&quot;/&gt;&lt;wsp:rsid wsp:val=&quot;00364EC6&quot;/&gt;&lt;wsp:rsid wsp:val=&quot;00371525&quot;/&gt;&lt;wsp:rsid wsp:val=&quot;0037415A&quot;/&gt;&lt;wsp:rsid wsp:val=&quot;00377349&quot;/&gt;&lt;wsp:rsid wsp:val=&quot;00381748&quot;/&gt;&lt;wsp:rsid wsp:val=&quot;00386F67&quot;/&gt;&lt;wsp:rsid wsp:val=&quot;003A5340&quot;/&gt;&lt;wsp:rsid wsp:val=&quot;003A6EDF&quot;/&gt;&lt;wsp:rsid wsp:val=&quot;003B3BCB&quot;/&gt;&lt;wsp:rsid wsp:val=&quot;003B3FC5&quot;/&gt;&lt;wsp:rsid wsp:val=&quot;003B633E&quot;/&gt;&lt;wsp:rsid wsp:val=&quot;003F435E&quot;/&gt;&lt;wsp:rsid wsp:val=&quot;00402F9A&quot;/&gt;&lt;wsp:rsid wsp:val=&quot;0040314C&quot;/&gt;&lt;wsp:rsid wsp:val=&quot;00411BB7&quot;/&gt;&lt;wsp:rsid wsp:val=&quot;004147F7&quot;/&gt;&lt;wsp:rsid wsp:val=&quot;00421A07&quot;/&gt;&lt;wsp:rsid wsp:val=&quot;00433F12&quot;/&gt;&lt;wsp:rsid wsp:val=&quot;00434E44&quot;/&gt;&lt;wsp:rsid wsp:val=&quot;00442CD2&quot;/&gt;&lt;wsp:rsid wsp:val=&quot;004445A4&quot;/&gt;&lt;wsp:rsid wsp:val=&quot;004548A9&quot;/&gt;&lt;wsp:rsid wsp:val=&quot;00457DF5&quot;/&gt;&lt;wsp:rsid wsp:val=&quot;004614C5&quot;/&gt;&lt;wsp:rsid wsp:val=&quot;00463294&quot;/&gt;&lt;wsp:rsid wsp:val=&quot;004665E5&quot;/&gt;&lt;wsp:rsid wsp:val=&quot;0046683B&quot;/&gt;&lt;wsp:rsid wsp:val=&quot;004711D0&quot;/&gt;&lt;wsp:rsid wsp:val=&quot;00476149&quot;/&gt;&lt;wsp:rsid wsp:val=&quot;00483257&quot;/&gt;&lt;wsp:rsid wsp:val=&quot;004904FC&quot;/&gt;&lt;wsp:rsid wsp:val=&quot;00491C7A&quot;/&gt;&lt;wsp:rsid wsp:val=&quot;004953FE&quot;/&gt;&lt;wsp:rsid wsp:val=&quot;00497EE6&quot;/&gt;&lt;wsp:rsid wsp:val=&quot;004A322A&quot;/&gt;&lt;wsp:rsid wsp:val=&quot;004D477E&quot;/&gt;&lt;wsp:rsid wsp:val=&quot;004D7120&quot;/&gt;&lt;wsp:rsid wsp:val=&quot;004E2FD0&quot;/&gt;&lt;wsp:rsid wsp:val=&quot;004F2ADA&quot;/&gt;&lt;wsp:rsid wsp:val=&quot;004F30EB&quot;/&gt;&lt;wsp:rsid wsp:val=&quot;004F7675&quot;/&gt;&lt;wsp:rsid wsp:val=&quot;00507440&quot;/&gt;&lt;wsp:rsid wsp:val=&quot;00511922&quot;/&gt;&lt;wsp:rsid wsp:val=&quot;005123CB&quot;/&gt;&lt;wsp:rsid wsp:val=&quot;00525E2F&quot;/&gt;&lt;wsp:rsid wsp:val=&quot;00527D15&quot;/&gt;&lt;wsp:rsid wsp:val=&quot;00532BD3&quot;/&gt;&lt;wsp:rsid wsp:val=&quot;005331E7&quot;/&gt;&lt;wsp:rsid wsp:val=&quot;00535664&quot;/&gt;&lt;wsp:rsid wsp:val=&quot;00536277&quot;/&gt;&lt;wsp:rsid wsp:val=&quot;00543154&quot;/&gt;&lt;wsp:rsid wsp:val=&quot;00552868&quot;/&gt;&lt;wsp:rsid wsp:val=&quot;00552B0B&quot;/&gt;&lt;wsp:rsid wsp:val=&quot;00557252&quot;/&gt;&lt;wsp:rsid wsp:val=&quot;00557B84&quot;/&gt;&lt;wsp:rsid wsp:val=&quot;0056208A&quot;/&gt;&lt;wsp:rsid wsp:val=&quot;0056406A&quot;/&gt;&lt;wsp:rsid wsp:val=&quot;00565A95&quot;/&gt;&lt;wsp:rsid wsp:val=&quot;00567BF1&quot;/&gt;&lt;wsp:rsid wsp:val=&quot;00573F5F&quot;/&gt;&lt;wsp:rsid wsp:val=&quot;005761B3&quot;/&gt;&lt;wsp:rsid wsp:val=&quot;00582529&quot;/&gt;&lt;wsp:rsid wsp:val=&quot;0059659C&quot;/&gt;&lt;wsp:rsid wsp:val=&quot;005A12FC&quot;/&gt;&lt;wsp:rsid wsp:val=&quot;005A5A7F&quot;/&gt;&lt;wsp:rsid wsp:val=&quot;005B2DDA&quot;/&gt;&lt;wsp:rsid wsp:val=&quot;005B32DF&quot;/&gt;&lt;wsp:rsid wsp:val=&quot;005B3A0A&quot;/&gt;&lt;wsp:rsid wsp:val=&quot;005B7C29&quot;/&gt;&lt;wsp:rsid wsp:val=&quot;005D1593&quot;/&gt;&lt;wsp:rsid wsp:val=&quot;005D4374&quot;/&gt;&lt;wsp:rsid wsp:val=&quot;005E004A&quot;/&gt;&lt;wsp:rsid wsp:val=&quot;005E7028&quot;/&gt;&lt;wsp:rsid wsp:val=&quot;00602BA1&quot;/&gt;&lt;wsp:rsid wsp:val=&quot;00611B56&quot;/&gt;&lt;wsp:rsid wsp:val=&quot;006170B8&quot;/&gt;&lt;wsp:rsid wsp:val=&quot;00624012&quot;/&gt;&lt;wsp:rsid wsp:val=&quot;006258CD&quot;/&gt;&lt;wsp:rsid wsp:val=&quot;00626815&quot;/&gt;&lt;wsp:rsid wsp:val=&quot;00634BFD&quot;/&gt;&lt;wsp:rsid wsp:val=&quot;006415E2&quot;/&gt;&lt;wsp:rsid wsp:val=&quot;0064340B&quot;/&gt;&lt;wsp:rsid wsp:val=&quot;00645603&quot;/&gt;&lt;wsp:rsid wsp:val=&quot;00647746&quot;/&gt;&lt;wsp:rsid wsp:val=&quot;00650697&quot;/&gt;&lt;wsp:rsid wsp:val=&quot;00655935&quot;/&gt;&lt;wsp:rsid wsp:val=&quot;00655FCB&quot;/&gt;&lt;wsp:rsid wsp:val=&quot;00667E5A&quot;/&gt;&lt;wsp:rsid wsp:val=&quot;00671DA8&quot;/&gt;&lt;wsp:rsid wsp:val=&quot;00677904&quot;/&gt;&lt;wsp:rsid wsp:val=&quot;00681869&quot;/&gt;&lt;wsp:rsid wsp:val=&quot;006852DE&quot;/&gt;&lt;wsp:rsid wsp:val=&quot;006911A5&quot;/&gt;&lt;wsp:rsid wsp:val=&quot;006A02A0&quot;/&gt;&lt;wsp:rsid wsp:val=&quot;006A1035&quot;/&gt;&lt;wsp:rsid wsp:val=&quot;006A6788&quot;/&gt;&lt;wsp:rsid wsp:val=&quot;006A72EC&quot;/&gt;&lt;wsp:rsid wsp:val=&quot;006B21EC&quot;/&gt;&lt;wsp:rsid wsp:val=&quot;006B4D38&quot;/&gt;&lt;wsp:rsid wsp:val=&quot;006B7135&quot;/&gt;&lt;wsp:rsid wsp:val=&quot;006D0023&quot;/&gt;&lt;wsp:rsid wsp:val=&quot;006D3E47&quot;/&gt;&lt;wsp:rsid wsp:val=&quot;006E0F08&quot;/&gt;&lt;wsp:rsid wsp:val=&quot;006E18B6&quot;/&gt;&lt;wsp:rsid wsp:val=&quot;006F4345&quot;/&gt;&lt;wsp:rsid wsp:val=&quot;00700865&quot;/&gt;&lt;wsp:rsid wsp:val=&quot;00700CEA&quot;/&gt;&lt;wsp:rsid wsp:val=&quot;00703108&quot;/&gt;&lt;wsp:rsid wsp:val=&quot;00704A4E&quot;/&gt;&lt;wsp:rsid wsp:val=&quot;007071F2&quot;/&gt;&lt;wsp:rsid wsp:val=&quot;00720CA3&quot;/&gt;&lt;wsp:rsid wsp:val=&quot;00722A26&quot;/&gt;&lt;wsp:rsid wsp:val=&quot;007332D4&quot;/&gt;&lt;wsp:rsid wsp:val=&quot;00733EB7&quot;/&gt;&lt;wsp:rsid wsp:val=&quot;0073440D&quot;/&gt;&lt;wsp:rsid wsp:val=&quot;00735E76&quot;/&gt;&lt;wsp:rsid wsp:val=&quot;0075414B&quot;/&gt;&lt;wsp:rsid wsp:val=&quot;00757751&quot;/&gt;&lt;wsp:rsid wsp:val=&quot;00763512&quot;/&gt;&lt;wsp:rsid wsp:val=&quot;00763C57&quot;/&gt;&lt;wsp:rsid wsp:val=&quot;00764A6A&quot;/&gt;&lt;wsp:rsid wsp:val=&quot;0077537A&quot;/&gt;&lt;wsp:rsid wsp:val=&quot;00783D9C&quot;/&gt;&lt;wsp:rsid wsp:val=&quot;007878A0&quot;/&gt;&lt;wsp:rsid wsp:val=&quot;00792670&quot;/&gt;&lt;wsp:rsid wsp:val=&quot;007927B1&quot;/&gt;&lt;wsp:rsid wsp:val=&quot;00795AEC&quot;/&gt;&lt;wsp:rsid wsp:val=&quot;007A579C&quot;/&gt;&lt;wsp:rsid wsp:val=&quot;007B1D56&quot;/&gt;&lt;wsp:rsid wsp:val=&quot;007B64B7&quot;/&gt;&lt;wsp:rsid wsp:val=&quot;007C4117&quot;/&gt;&lt;wsp:rsid wsp:val=&quot;007C491C&quot;/&gt;&lt;wsp:rsid wsp:val=&quot;007C4C9B&quot;/&gt;&lt;wsp:rsid wsp:val=&quot;007C7CC9&quot;/&gt;&lt;wsp:rsid wsp:val=&quot;007D5DDE&quot;/&gt;&lt;wsp:rsid wsp:val=&quot;007E22E9&quot;/&gt;&lt;wsp:rsid wsp:val=&quot;007E5B47&quot;/&gt;&lt;wsp:rsid wsp:val=&quot;007E6B6B&quot;/&gt;&lt;wsp:rsid wsp:val=&quot;007F7735&quot;/&gt;&lt;wsp:rsid wsp:val=&quot;00805E66&quot;/&gt;&lt;wsp:rsid wsp:val=&quot;008065B4&quot;/&gt;&lt;wsp:rsid wsp:val=&quot;00824581&quot;/&gt;&lt;wsp:rsid wsp:val=&quot;0082540D&quot;/&gt;&lt;wsp:rsid wsp:val=&quot;00830AD8&quot;/&gt;&lt;wsp:rsid wsp:val=&quot;0083331B&quot;/&gt;&lt;wsp:rsid wsp:val=&quot;00835D48&quot;/&gt;&lt;wsp:rsid wsp:val=&quot;00845C93&quot;/&gt;&lt;wsp:rsid wsp:val=&quot;00856E33&quot;/&gt;&lt;wsp:rsid wsp:val=&quot;0086080F&quot;/&gt;&lt;wsp:rsid wsp:val=&quot;008613E4&quot;/&gt;&lt;wsp:rsid wsp:val=&quot;00863224&quot;/&gt;&lt;wsp:rsid wsp:val=&quot;00871E77&quot;/&gt;&lt;wsp:rsid wsp:val=&quot;0087518A&quot;/&gt;&lt;wsp:rsid wsp:val=&quot;00876F4A&quot;/&gt;&lt;wsp:rsid wsp:val=&quot;008802B8&quot;/&gt;&lt;wsp:rsid wsp:val=&quot;00884F88&quot;/&gt;&lt;wsp:rsid wsp:val=&quot;00885DD8&quot;/&gt;&lt;wsp:rsid wsp:val=&quot;00886D94&quot;/&gt;&lt;wsp:rsid wsp:val=&quot;008877F0&quot;/&gt;&lt;wsp:rsid wsp:val=&quot;0089341B&quot;/&gt;&lt;wsp:rsid wsp:val=&quot;00897537&quot;/&gt;&lt;wsp:rsid wsp:val=&quot;008A7237&quot;/&gt;&lt;wsp:rsid wsp:val=&quot;008C420A&quot;/&gt;&lt;wsp:rsid wsp:val=&quot;008C6471&quot;/&gt;&lt;wsp:rsid wsp:val=&quot;008D3AAC&quot;/&gt;&lt;wsp:rsid wsp:val=&quot;008E701A&quot;/&gt;&lt;wsp:rsid wsp:val=&quot;008F0DFB&quot;/&gt;&lt;wsp:rsid wsp:val=&quot;008F3E53&quot;/&gt;&lt;wsp:rsid wsp:val=&quot;0091234C&quot;/&gt;&lt;wsp:rsid wsp:val=&quot;009131D6&quot;/&gt;&lt;wsp:rsid wsp:val=&quot;00914E78&quot;/&gt;&lt;wsp:rsid wsp:val=&quot;009218F7&quot;/&gt;&lt;wsp:rsid wsp:val=&quot;00924178&quot;/&gt;&lt;wsp:rsid wsp:val=&quot;00926EB1&quot;/&gt;&lt;wsp:rsid wsp:val=&quot;00932E89&quot;/&gt;&lt;wsp:rsid wsp:val=&quot;009351B2&quot;/&gt;&lt;wsp:rsid wsp:val=&quot;009379AA&quot;/&gt;&lt;wsp:rsid wsp:val=&quot;009432E9&quot;/&gt;&lt;wsp:rsid wsp:val=&quot;00943713&quot;/&gt;&lt;wsp:rsid wsp:val=&quot;00945B31&quot;/&gt;&lt;wsp:rsid wsp:val=&quot;00950D8A&quot;/&gt;&lt;wsp:rsid wsp:val=&quot;009511FC&quot;/&gt;&lt;wsp:rsid wsp:val=&quot;00953706&quot;/&gt;&lt;wsp:rsid wsp:val=&quot;00955006&quot;/&gt;&lt;wsp:rsid wsp:val=&quot;00965823&quot;/&gt;&lt;wsp:rsid wsp:val=&quot;00970150&quot;/&gt;&lt;wsp:rsid wsp:val=&quot;0097505A&quot;/&gt;&lt;wsp:rsid wsp:val=&quot;00981655&quot;/&gt;&lt;wsp:rsid wsp:val=&quot;0098768C&quot;/&gt;&lt;wsp:rsid wsp:val=&quot;009979EF&quot;/&gt;&lt;wsp:rsid wsp:val=&quot;009A466A&quot;/&gt;&lt;wsp:rsid wsp:val=&quot;009B0FE8&quot;/&gt;&lt;wsp:rsid wsp:val=&quot;009B1033&quot;/&gt;&lt;wsp:rsid wsp:val=&quot;009B5D97&quot;/&gt;&lt;wsp:rsid wsp:val=&quot;009B5FF3&quot;/&gt;&lt;wsp:rsid wsp:val=&quot;009C14DB&quot;/&gt;&lt;wsp:rsid wsp:val=&quot;009C764A&quot;/&gt;&lt;wsp:rsid wsp:val=&quot;009D04D0&quot;/&gt;&lt;wsp:rsid wsp:val=&quot;009D26D4&quot;/&gt;&lt;wsp:rsid wsp:val=&quot;009D3F5F&quot;/&gt;&lt;wsp:rsid wsp:val=&quot;009E6A66&quot;/&gt;&lt;wsp:rsid wsp:val=&quot;009E77C2&quot;/&gt;&lt;wsp:rsid wsp:val=&quot;00A05956&quot;/&gt;&lt;wsp:rsid wsp:val=&quot;00A10221&quot;/&gt;&lt;wsp:rsid wsp:val=&quot;00A10CB4&quot;/&gt;&lt;wsp:rsid wsp:val=&quot;00A12B61&quot;/&gt;&lt;wsp:rsid wsp:val=&quot;00A15DD4&quot;/&gt;&lt;wsp:rsid wsp:val=&quot;00A1636A&quot;/&gt;&lt;wsp:rsid wsp:val=&quot;00A23D9F&quot;/&gt;&lt;wsp:rsid wsp:val=&quot;00A32D3A&quot;/&gt;&lt;wsp:rsid wsp:val=&quot;00A346DD&quot;/&gt;&lt;wsp:rsid wsp:val=&quot;00A34F30&quot;/&gt;&lt;wsp:rsid wsp:val=&quot;00A375BD&quot;/&gt;&lt;wsp:rsid wsp:val=&quot;00A52A28&quot;/&gt;&lt;wsp:rsid wsp:val=&quot;00A55ECA&quot;/&gt;&lt;wsp:rsid wsp:val=&quot;00A57741&quot;/&gt;&lt;wsp:rsid wsp:val=&quot;00A604B4&quot;/&gt;&lt;wsp:rsid wsp:val=&quot;00A657C3&quot;/&gt;&lt;wsp:rsid wsp:val=&quot;00A7110D&quot;/&gt;&lt;wsp:rsid wsp:val=&quot;00A745A5&quot;/&gt;&lt;wsp:rsid wsp:val=&quot;00A75ADB&quot;/&gt;&lt;wsp:rsid wsp:val=&quot;00A83103&quot;/&gt;&lt;wsp:rsid wsp:val=&quot;00A84AC8&quot;/&gt;&lt;wsp:rsid wsp:val=&quot;00A91A22&quot;/&gt;&lt;wsp:rsid wsp:val=&quot;00A9245B&quot;/&gt;&lt;wsp:rsid wsp:val=&quot;00A942D2&quot;/&gt;&lt;wsp:rsid wsp:val=&quot;00A97583&quot;/&gt;&lt;wsp:rsid wsp:val=&quot;00AA2053&quot;/&gt;&lt;wsp:rsid wsp:val=&quot;00AA43C6&quot;/&gt;&lt;wsp:rsid wsp:val=&quot;00AB18CD&quot;/&gt;&lt;wsp:rsid wsp:val=&quot;00AB25F9&quot;/&gt;&lt;wsp:rsid wsp:val=&quot;00AB35DE&quot;/&gt;&lt;wsp:rsid wsp:val=&quot;00AB496C&quot;/&gt;&lt;wsp:rsid wsp:val=&quot;00AB5FCB&quot;/&gt;&lt;wsp:rsid wsp:val=&quot;00AC20F8&quot;/&gt;&lt;wsp:rsid wsp:val=&quot;00AD1E61&quot;/&gt;&lt;wsp:rsid wsp:val=&quot;00AD4E4C&quot;/&gt;&lt;wsp:rsid wsp:val=&quot;00AF300B&quot;/&gt;&lt;wsp:rsid wsp:val=&quot;00AF4FD5&quot;/&gt;&lt;wsp:rsid wsp:val=&quot;00B009FE&quot;/&gt;&lt;wsp:rsid wsp:val=&quot;00B01BC5&quot;/&gt;&lt;wsp:rsid wsp:val=&quot;00B027D7&quot;/&gt;&lt;wsp:rsid wsp:val=&quot;00B12F70&quot;/&gt;&lt;wsp:rsid wsp:val=&quot;00B13997&quot;/&gt;&lt;wsp:rsid wsp:val=&quot;00B17BDE&quot;/&gt;&lt;wsp:rsid wsp:val=&quot;00B21AB7&quot;/&gt;&lt;wsp:rsid wsp:val=&quot;00B24B2A&quot;/&gt;&lt;wsp:rsid wsp:val=&quot;00B266E6&quot;/&gt;&lt;wsp:rsid wsp:val=&quot;00B274FF&quot;/&gt;&lt;wsp:rsid wsp:val=&quot;00B320ED&quot;/&gt;&lt;wsp:rsid wsp:val=&quot;00B35855&quot;/&gt;&lt;wsp:rsid wsp:val=&quot;00B41EB3&quot;/&gt;&lt;wsp:rsid wsp:val=&quot;00B72189&quot;/&gt;&lt;wsp:rsid wsp:val=&quot;00B722C6&quot;/&gt;&lt;wsp:rsid wsp:val=&quot;00B7318F&quot;/&gt;&lt;wsp:rsid wsp:val=&quot;00B83397&quot;/&gt;&lt;wsp:rsid wsp:val=&quot;00B845BD&quot;/&gt;&lt;wsp:rsid wsp:val=&quot;00B952B4&quot;/&gt;&lt;wsp:rsid wsp:val=&quot;00BA23BC&quot;/&gt;&lt;wsp:rsid wsp:val=&quot;00BA269C&quot;/&gt;&lt;wsp:rsid wsp:val=&quot;00BA5E20&quot;/&gt;&lt;wsp:rsid wsp:val=&quot;00BA718B&quot;/&gt;&lt;wsp:rsid wsp:val=&quot;00BB77D9&quot;/&gt;&lt;wsp:rsid wsp:val=&quot;00BD698F&quot;/&gt;&lt;wsp:rsid wsp:val=&quot;00BD768E&quot;/&gt;&lt;wsp:rsid wsp:val=&quot;00BD7C3E&quot;/&gt;&lt;wsp:rsid wsp:val=&quot;00BD7D8B&quot;/&gt;&lt;wsp:rsid wsp:val=&quot;00BE345B&quot;/&gt;&lt;wsp:rsid wsp:val=&quot;00BE4174&quot;/&gt;&lt;wsp:rsid wsp:val=&quot;00BF329B&quot;/&gt;&lt;wsp:rsid wsp:val=&quot;00BF32FE&quot;/&gt;&lt;wsp:rsid wsp:val=&quot;00BF40E1&quot;/&gt;&lt;wsp:rsid wsp:val=&quot;00BF6A2E&quot;/&gt;&lt;wsp:rsid wsp:val=&quot;00C003CA&quot;/&gt;&lt;wsp:rsid wsp:val=&quot;00C04633&quot;/&gt;&lt;wsp:rsid wsp:val=&quot;00C061D7&quot;/&gt;&lt;wsp:rsid wsp:val=&quot;00C15027&quot;/&gt;&lt;wsp:rsid wsp:val=&quot;00C21610&quot;/&gt;&lt;wsp:rsid wsp:val=&quot;00C34F84&quot;/&gt;&lt;wsp:rsid wsp:val=&quot;00C37C43&quot;/&gt;&lt;wsp:rsid wsp:val=&quot;00C37C4F&quot;/&gt;&lt;wsp:rsid wsp:val=&quot;00C417E4&quot;/&gt;&lt;wsp:rsid wsp:val=&quot;00C42FA3&quot;/&gt;&lt;wsp:rsid wsp:val=&quot;00C53CC2&quot;/&gt;&lt;wsp:rsid wsp:val=&quot;00C57490&quot;/&gt;&lt;wsp:rsid wsp:val=&quot;00C61AE0&quot;/&gt;&lt;wsp:rsid wsp:val=&quot;00C71D67&quot;/&gt;&lt;wsp:rsid wsp:val=&quot;00C7260C&quot;/&gt;&lt;wsp:rsid wsp:val=&quot;00C75E32&quot;/&gt;&lt;wsp:rsid wsp:val=&quot;00C87CA4&quot;/&gt;&lt;wsp:rsid wsp:val=&quot;00C92396&quot;/&gt;&lt;wsp:rsid wsp:val=&quot;00C93353&quot;/&gt;&lt;wsp:rsid wsp:val=&quot;00C940AA&quot;/&gt;&lt;wsp:rsid wsp:val=&quot;00C96B68&quot;/&gt;&lt;wsp:rsid wsp:val=&quot;00CA2183&quot;/&gt;&lt;wsp:rsid wsp:val=&quot;00CA2B98&quot;/&gt;&lt;wsp:rsid wsp:val=&quot;00CB1B59&quot;/&gt;&lt;wsp:rsid wsp:val=&quot;00CB1CBC&quot;/&gt;&lt;wsp:rsid wsp:val=&quot;00CB36AC&quot;/&gt;&lt;wsp:rsid wsp:val=&quot;00CB5E1F&quot;/&gt;&lt;wsp:rsid wsp:val=&quot;00CB6330&quot;/&gt;&lt;wsp:rsid wsp:val=&quot;00CB6484&quot;/&gt;&lt;wsp:rsid wsp:val=&quot;00CC1525&quot;/&gt;&lt;wsp:rsid wsp:val=&quot;00CC15D4&quot;/&gt;&lt;wsp:rsid wsp:val=&quot;00CC3809&quot;/&gt;&lt;wsp:rsid wsp:val=&quot;00CC45C0&quot;/&gt;&lt;wsp:rsid wsp:val=&quot;00CC5711&quot;/&gt;&lt;wsp:rsid wsp:val=&quot;00CD7A85&quot;/&gt;&lt;wsp:rsid wsp:val=&quot;00CE1776&quot;/&gt;&lt;wsp:rsid wsp:val=&quot;00CE57F2&quot;/&gt;&lt;wsp:rsid wsp:val=&quot;00CE5A80&quot;/&gt;&lt;wsp:rsid wsp:val=&quot;00CF0C51&quot;/&gt;&lt;wsp:rsid wsp:val=&quot;00D010B4&quot;/&gt;&lt;wsp:rsid wsp:val=&quot;00D01D06&quot;/&gt;&lt;wsp:rsid wsp:val=&quot;00D13390&quot;/&gt;&lt;wsp:rsid wsp:val=&quot;00D137DB&quot;/&gt;&lt;wsp:rsid wsp:val=&quot;00D21EC6&quot;/&gt;&lt;wsp:rsid wsp:val=&quot;00D23492&quot;/&gt;&lt;wsp:rsid wsp:val=&quot;00D339AB&quot;/&gt;&lt;wsp:rsid wsp:val=&quot;00D34F44&quot;/&gt;&lt;wsp:rsid wsp:val=&quot;00D35E20&quot;/&gt;&lt;wsp:rsid wsp:val=&quot;00D421DF&quot;/&gt;&lt;wsp:rsid wsp:val=&quot;00D43020&quot;/&gt;&lt;wsp:rsid wsp:val=&quot;00D440F3&quot;/&gt;&lt;wsp:rsid wsp:val=&quot;00D52502&quot;/&gt;&lt;wsp:rsid wsp:val=&quot;00D56835&quot;/&gt;&lt;wsp:rsid wsp:val=&quot;00D604CA&quot;/&gt;&lt;wsp:rsid wsp:val=&quot;00D63105&quot;/&gt;&lt;wsp:rsid wsp:val=&quot;00D712F9&quot;/&gt;&lt;wsp:rsid wsp:val=&quot;00D7155B&quot;/&gt;&lt;wsp:rsid wsp:val=&quot;00D733A0&quot;/&gt;&lt;wsp:rsid wsp:val=&quot;00D74925&quot;/&gt;&lt;wsp:rsid wsp:val=&quot;00D76E48&quot;/&gt;&lt;wsp:rsid wsp:val=&quot;00D80719&quot;/&gt;&lt;wsp:rsid wsp:val=&quot;00D92A77&quot;/&gt;&lt;wsp:rsid wsp:val=&quot;00D97384&quot;/&gt;&lt;wsp:rsid wsp:val=&quot;00D9765C&quot;/&gt;&lt;wsp:rsid wsp:val=&quot;00DA609C&quot;/&gt;&lt;wsp:rsid wsp:val=&quot;00DB00A9&quot;/&gt;&lt;wsp:rsid wsp:val=&quot;00DB2851&quot;/&gt;&lt;wsp:rsid wsp:val=&quot;00DB406A&quot;/&gt;&lt;wsp:rsid wsp:val=&quot;00DB493E&quot;/&gt;&lt;wsp:rsid wsp:val=&quot;00DB5C09&quot;/&gt;&lt;wsp:rsid wsp:val=&quot;00DB5FC1&quot;/&gt;&lt;wsp:rsid wsp:val=&quot;00DB74A0&quot;/&gt;&lt;wsp:rsid wsp:val=&quot;00DC3493&quot;/&gt;&lt;wsp:rsid wsp:val=&quot;00DD1827&quot;/&gt;&lt;wsp:rsid wsp:val=&quot;00DD33DD&quot;/&gt;&lt;wsp:rsid wsp:val=&quot;00DD69C7&quot;/&gt;&lt;wsp:rsid wsp:val=&quot;00DD74B1&quot;/&gt;&lt;wsp:rsid wsp:val=&quot;00DE58C1&quot;/&gt;&lt;wsp:rsid wsp:val=&quot;00DF0DE6&quot;/&gt;&lt;wsp:rsid wsp:val=&quot;00DF248F&quot;/&gt;&lt;wsp:rsid wsp:val=&quot;00DF6CEE&quot;/&gt;&lt;wsp:rsid wsp:val=&quot;00E236AA&quot;/&gt;&lt;wsp:rsid wsp:val=&quot;00E33842&quot;/&gt;&lt;wsp:rsid wsp:val=&quot;00E33FBA&quot;/&gt;&lt;wsp:rsid wsp:val=&quot;00E44E1A&quot;/&gt;&lt;wsp:rsid wsp:val=&quot;00E478B5&quot;/&gt;&lt;wsp:rsid wsp:val=&quot;00E52BF7&quot;/&gt;&lt;wsp:rsid wsp:val=&quot;00E553BC&quot;/&gt;&lt;wsp:rsid wsp:val=&quot;00E60CD9&quot;/&gt;&lt;wsp:rsid wsp:val=&quot;00E6316E&quot;/&gt;&lt;wsp:rsid wsp:val=&quot;00E64478&quot;/&gt;&lt;wsp:rsid wsp:val=&quot;00E662AF&quot;/&gt;&lt;wsp:rsid wsp:val=&quot;00E66379&quot;/&gt;&lt;wsp:rsid wsp:val=&quot;00E6777F&quot;/&gt;&lt;wsp:rsid wsp:val=&quot;00E71997&quot;/&gt;&lt;wsp:rsid wsp:val=&quot;00E72291&quot;/&gt;&lt;wsp:rsid wsp:val=&quot;00E726B1&quot;/&gt;&lt;wsp:rsid wsp:val=&quot;00E81E45&quot;/&gt;&lt;wsp:rsid wsp:val=&quot;00E836C1&quot;/&gt;&lt;wsp:rsid wsp:val=&quot;00E867BE&quot;/&gt;&lt;wsp:rsid wsp:val=&quot;00E9348C&quot;/&gt;&lt;wsp:rsid wsp:val=&quot;00E93D31&quot;/&gt;&lt;wsp:rsid wsp:val=&quot;00E96EFB&quot;/&gt;&lt;wsp:rsid wsp:val=&quot;00EA4D3D&quot;/&gt;&lt;wsp:rsid wsp:val=&quot;00EB008B&quot;/&gt;&lt;wsp:rsid wsp:val=&quot;00EB544F&quot;/&gt;&lt;wsp:rsid wsp:val=&quot;00EB6314&quot;/&gt;&lt;wsp:rsid wsp:val=&quot;00EC70C8&quot;/&gt;&lt;wsp:rsid wsp:val=&quot;00ED38B8&quot;/&gt;&lt;wsp:rsid wsp:val=&quot;00ED775A&quot;/&gt;&lt;wsp:rsid wsp:val=&quot;00EE1E0A&quot;/&gt;&lt;wsp:rsid wsp:val=&quot;00EE4B3E&quot;/&gt;&lt;wsp:rsid wsp:val=&quot;00EE6C37&quot;/&gt;&lt;wsp:rsid wsp:val=&quot;00EE714A&quot;/&gt;&lt;wsp:rsid wsp:val=&quot;00EE783C&quot;/&gt;&lt;wsp:rsid wsp:val=&quot;00EF6B7D&quot;/&gt;&lt;wsp:rsid wsp:val=&quot;00F00A36&quot;/&gt;&lt;wsp:rsid wsp:val=&quot;00F0398C&quot;/&gt;&lt;wsp:rsid wsp:val=&quot;00F139AE&quot;/&gt;&lt;wsp:rsid wsp:val=&quot;00F33A1F&quot;/&gt;&lt;wsp:rsid wsp:val=&quot;00F3412D&quot;/&gt;&lt;wsp:rsid wsp:val=&quot;00F432EC&quot;/&gt;&lt;wsp:rsid wsp:val=&quot;00F50196&quot;/&gt;&lt;wsp:rsid wsp:val=&quot;00F52E82&quot;/&gt;&lt;wsp:rsid wsp:val=&quot;00F53C0A&quot;/&gt;&lt;wsp:rsid wsp:val=&quot;00F56513&quot;/&gt;&lt;wsp:rsid wsp:val=&quot;00F649B2&quot;/&gt;&lt;wsp:rsid wsp:val=&quot;00F76D13&quot;/&gt;&lt;wsp:rsid wsp:val=&quot;00F9252E&quot;/&gt;&lt;wsp:rsid wsp:val=&quot;00F93A9C&quot;/&gt;&lt;wsp:rsid wsp:val=&quot;00FA57C6&quot;/&gt;&lt;wsp:rsid wsp:val=&quot;00FB3FA5&quot;/&gt;&lt;wsp:rsid wsp:val=&quot;00FB5E46&quot;/&gt;&lt;wsp:rsid wsp:val=&quot;00FC7E56&quot;/&gt;&lt;wsp:rsid wsp:val=&quot;00FD01CA&quot;/&gt;&lt;wsp:rsid wsp:val=&quot;00FD51E0&quot;/&gt;&lt;wsp:rsid wsp:val=&quot;00FD5311&quot;/&gt;&lt;wsp:rsid wsp:val=&quot;00FE6530&quot;/&gt;&lt;wsp:rsid wsp:val=&quot;00FF12BE&quot;/&gt;&lt;wsp:rsid wsp:val=&quot;00FF3476&quot;/&gt;&lt;/wsp:rsids&gt;&lt;/w:docPr&gt;&lt;w:body&gt;&lt;w:p wsp:rsidR=&quot;00000000&quot; wsp:rsidRDefault=&quot;00347F02&quot;&gt;&lt;m:oMathPara&gt;&lt;m:oMath&gt;&lt;m:r&gt;&lt;w:rPr&gt;&lt;w:rFonts w:ascii=&quot;Cambria Math&quot; w:h-ansi=&quot;Cambria Math&quot; w:cs=&quot;Calibri&quot;/&gt;&lt;wx:font wx:val=&quot;Cambria Math&quot;/&gt;&lt;w:i/&gt;&lt;w:sz w:val=&quot;24&quot;/&gt;&lt;w:sz-cs w:val=&quot;24&quot;/&gt;&lt;/w:rPr&gt;&lt;m:t&gt;output&lt;/m:t&gt;&lt;/m:r&gt;&lt;m:r&gt;&lt;w:rPr&gt;&lt;w:rFonts w:ascii=&quot;Cambria Math&quot; w:h-ansi=&quot;Calibri&quot; w:cs=&quot;Calibri&quot;/&gt;&lt;wx:font wx:val=&quot;Cambria Math&quot;/&gt;&lt;w:i/&gt;&lt;w:sz w:val=&quot;24&quot;/&gt;&lt;w:sz-cs w:val=&quot;24&quot;/&gt;&lt;/w:rPr&gt;&lt;m:t&gt; &lt;/m:t&gt;&lt;/m:r&gt;&lt;m:r&gt;&lt;w:rPr&gt;&lt;w:rFonts w:ascii=&quot;Cambria Math&quot; w:h-ansi=&quot;Cambria Math&quot; w:cs=&quot;Calibri&quot;/&gt;&lt;wx:font wx:val=&quot;Cambria Math&quot;/&gt;&lt;w:i/&gt;&lt;w:sz w:val=&quot;24&quot;/&gt;&lt;w:sz-cs w:val=&quot;24&quot;/&gt;&lt;/w:rPr&gt;&lt;m:t&gt;gap&lt;/m:t&gt;&lt;/m:r&gt;&lt;m:r&gt;&lt;w:rPr&gt;&lt;w:rFonts w:ascii=&quot;Cambria Math&quot; w:h-ansi=&quot;Calibri&quot; w:cs=&quot;Calibri&quot;/&gt;&lt;wx:font wx:val=&quot;Cambria Math&quot;/&gt;&lt;w:i/&gt;&lt;w:sz w:val=&quot;24&quot;/&gt;&lt;w:sz-cs w:val=&quot;24&quot;/&gt;&lt;/w:rPr&gt;&lt;m:t&gt; &lt;/m:t&gt;&lt;/m:r&gt;&lt;m:r&gt;&lt;w:rPr&gt;&lt;w:rFonts w:ascii=&quot;Cambria Math&quot; w:h-ansi=&quot;Cambria Math&quot; w:cs=&quot;Calibri&quot;/&gt;&lt;wx:font wx:val=&quot;Cambria Math&quot;/&gt;&lt;w:i/&gt;&lt;w:sz w:val=&quot;24&quot;/&gt;&lt;w:sz-cs w:val=&quot;24&quot;/&gt;&lt;/w:rPr&gt;&lt;m:t&gt;EM&lt;/m:t&gt;&lt;/m:r&gt;&lt;m:r&gt;&lt;w:rPr&gt;&lt;w:rFonts w:ascii=&quot;Cambria Math&quot; w:h-ansi=&quot;Calibri&quot; w:cs=&quot;Calibri&quot;/&gt;&lt;wx:font wx:val=&quot;Cambria Math&quot;/&gt;&lt;w:i/&gt;&lt;w:sz w:val=&quot;24&quot;/&gt;&lt;w:sz-cs w:val=&quot;24&quot;/&gt;&lt;/w:rPr&gt;&lt;m:t&gt;=&lt;/m:t&gt;&lt;/m:r&gt;&lt;m:r&gt;&lt;w:rPr&gt;&lt;w:rFonts w:ascii=&quot;Cambria Math&quot; w:h-ansi=&quot;Cambria Math&quot; w:cs=&quot;Calibri&quot;/&gt;&lt;wx:font wx:val=&quot;Cambria Math&quot;/&gt;&lt;w:i/&gt;&lt;w:sz w:val=&quot;24&quot;/&gt;&lt;w:sz-cs w:val=&quot;24&quot;/&gt;&lt;w:lang w:val=&quot;EL&quot;/&gt;&lt;/w:rPr&gt;&lt;m:t&gt;Î±&lt;/m:t&gt;&lt;/m:r&gt;&lt;m:r&gt;&lt;w:rPr&gt;&lt;w:rFonts w:ascii=&quot;Cambria Math&quot; w:h-ansi=&quot;Calibri&quot; w:cs=&quot;Calibri&quot;/&gt;&lt;wx:font wx:val=&quot;Cambria Math&quot;/&gt;&lt;w:i/&gt;&lt;w:sz w:val=&quot;24&quot;/&gt;&lt;w:sz-cs w:val=&quot;24&quot;/&gt;&lt;/w:rPr&gt;&lt;m:t&gt;+&lt;/m:t&gt;&lt;/m:r&gt;&lt;m:r&gt;&lt;w:rPr&gt;&lt;w:rFonts w:ascii=&quot;Cambria Math&quot; w:h-ansi=&quot;Cambria Math&quot; w:cs=&quot;Calibri&quot;/&gt;&lt;wx:font wx:val=&quot;Cambria Math&quot;/&gt;&lt;w:i/&gt;&lt;w:sz w:val=&quot;24&quot;/&gt;&lt;w:sz-cs w:val=&quot;24&quot;/&gt;&lt;w:lang w:val=&quot;EL&quot;/&gt;&lt;/w:rPr&gt;&lt;m:t&gt;Î²&lt;/m:t&gt;&lt;/m:r&gt;&lt;m:r&gt;&lt;w:rPr&gt;&lt;w:rFonts w:ascii=&quot;Cambria Math&quot; w:h-ansi=&quot;Calibri&quot; w:cs=&quot;Calibri&quot;/&gt;&lt;wx:font wx:val=&quot;Cambria Math&quot;/&gt;&lt;w:i/&gt;&lt;w:sz w:val=&quot;24&quot;/&gt;&lt;w:sz-cs w:val=&quot;24&quot;/&gt;&lt;/w:rPr&gt;&lt;m:t&gt; &lt;/m:t&gt;&lt;/m:r&gt;&lt;m:r&gt;&lt;w:rPr&gt;&lt;w:rFonts w:ascii=&quot;Cambria Math&quot; w:h-ansi=&quot;Cambria Math&quot; w:cs=&quot;Calibri&quot;/&gt;&lt;wx:font wx:val=&quot;Cambria Math&quot;/&gt;&lt;w:i/&gt;&lt;w:sz w:val=&quot;24&quot;/&gt;&lt;w:sz-cs w:val=&quot;24&quot;/&gt;&lt;/w:rPr&gt;&lt;m:t&gt;output&lt;/m:t&gt;&lt;/m:r&gt;&lt;m:r&gt;&lt;w:rPr&gt;&lt;w:rFonts w:ascii=&quot;Cambria Math&quot; w:h-ansi=&quot;Calibri&quot; w:cs=&quot;Calibri&quot;/&gt;&lt;wx:font wx:val=&quot;Cambria Math&quot;/&gt;&lt;w:i/&gt;&lt;w:sz w:val=&quot;24&quot;/&gt;&lt;w:sz-cs w:val=&quot;24&quot;/&gt;&lt;/w:rPr&gt;&lt;m:t&gt; &lt;/m:t&gt;&lt;/m:r&gt;&lt;m:r&gt;&lt;w:rPr&gt;&lt;w:rFonts w:ascii=&quot;Cambria Math&quot; w:h-ansi=&quot;Cambria Math&quot; w:cs=&quot;Calibri&quot;/&gt;&lt;wx:font wx:val=&quot;Cambria Math&quot;/&gt;&lt;w:i/&gt;&lt;w:sz w:val=&quot;24&quot;/&gt;&lt;w:sz-cs w:val=&quot;24&quot;/&gt;&lt;/w:rPr&gt;&lt;m:t&gt;gap&lt;/m:t&gt;&lt;/m:r&gt;&lt;m:r&gt;&lt;w:rPr&gt;&lt;w:rFonts w:ascii=&quot;Cambria Math&quot; w:h-ansi=&quot;Calibri&quot; w:cs=&quot;Calibri&quot;/&gt;&lt;wx:font wx:val=&quot;Cambria Math&quot;/&gt;&lt;w:i/&gt;&lt;w:sz w:val=&quot;24&quot;/&gt;&lt;w:sz-cs w:val=&quot;24&quot;/&gt;&lt;/w:rPr&gt;&lt;m:t&gt; &lt;/m:t&gt;&lt;/m:r&gt;&lt;m:r&gt;&lt;w:rPr&gt;&lt;w:rFonts w:ascii=&quot;Cambria Math&quot; w:h-ansi=&quot;Cambria Math&quot; w:cs=&quot;Calibri&quot;/&gt;&lt;wx:font wx:val=&quot;Cambria Math&quot;/&gt;&lt;w:i/&gt;&lt;w:sz w:val=&quot;24&quot;/&gt;&lt;w:sz-cs w:val=&quot;24&quot;/&gt;&lt;/w:rPr&gt;&lt;m:t&gt;AM&lt;/m:t&gt;&lt;/m:r&gt;&lt;m:r&gt;&lt;w:rPr&gt;&lt;w:rFonts w:ascii=&quot;Cambria Math&quot; w:h-ansi=&quot;Calibri&quot; w:cs=&quot;Calibri&quot;/&gt;&lt;wx:font wx:val=&quot;Cambria Math&quot;/&gt;&lt;w:i/&gt;&lt;w:sz w:val=&quot;24&quot;/&gt;&lt;w:sz-cs w:val=&quot;24&quot;/&gt;&lt;/w:rPr&gt;&lt;m:t&gt;+&lt;/m:t&gt;&lt;/m:r&gt;&lt;m:r&gt;&lt;w:rPr&gt;&lt;w:rFonts w:ascii=&quot;Cambria Math&quot; w:fareast=&quot;Times New Roman&quot; w:h-ansi=&quot;Cambria Math&quot; w:cs=&quot;Calibri&quot;/&gt;&lt;wx:font wx:val=&quot;Cambria Math&quot;/&gt;&lt;w:i/&gt;&lt;w:sz w:val=&quot;24&quot;/&gt;&lt;w:sz-cs w:val=&quot;24&quot;/&gt;&lt;/w:rPr&gt;&lt;m:t&gt;Î³&lt;/m:t&gt;&lt;/m:r&gt;&lt;m:r&gt;&lt;w:rPr&gt;&lt;w:rFonts w:ascii=&quot;Cambria Math&quot; w:fareast=&quot;Times New Roman&quot; w:h-ansi=&quot;Calibri&quot; w:cs=&quot;Calibri&quot;/&gt;&lt;wx:font wx:val=&quot;Cambria Math&quot;/&gt;&lt;w:i/&gt;&lt;w:sz w:val=&quot;24&quot;/&gt;&lt;w:sz-cs w:val=&quot;24&quot;/&gt;&lt;/w:rPr&gt;&lt;m:t&gt; &lt;/m:t&gt;&lt;/m:r&gt;&lt;m:r&gt;&lt;w:rPr&gt;&lt;w:rFonts w:ascii=&quot;Cambria Math&quot; w:fareast=&quot;Times New Roman&quot; w:h-ansi=&quot;Cambria Math&quot; w:cs=&quot;Calibri&quot;/&gt;&lt;wx:font wx:val=&quot;Cambria Math&quot;/&gt;&lt;w:i/&gt;&lt;w:sz w:val=&quot;24&quot;/&gt;&lt;w:sz-cs w:val=&quot;24&quot;/&gt;&lt;/w:rPr&gt;&lt;m:t&gt;output&lt;/m:t&gt;&lt;/m:r&gt;&lt;m:r&gt;&lt;w:rPr&gt;&lt;w:rFonts w:ascii=&quot;Cambria Math&quot; w:fareast=&quot;Times New Roman&quot; w:h-ansi=&quot;Calibri&quot; w:cs=&quot;Calibri&quot;/&gt;&lt;wx:font wx:val=&quot;Cambria Math&quot;/&gt;&lt;w:i/&gt;&lt;w:sz w:val=&quot;24&quot;/&gt;&lt;w:sz-cs w:val=&quot;24&quot;/&gt;&lt;/w:rPr&gt;&lt;m:t&gt; &lt;/m:t&gt;&lt;/m:r&gt;&lt;m:r&gt;&lt;w:rPr&gt;&lt;w:rFonts w:ascii=&quot;Cambria Math&quot; w:fareast=&quot;Times New Roman&quot; w:h-ansi=&quot;Cambria Math&quot; w:cs=&quot;Calibri&quot;/&gt;&lt;wx:font wx:val=&quot;Cambria Math&quot;/&gt;&lt;w:i/&gt;&lt;w:sz w:val=&quot;24&quot;/&gt;&lt;w:sz-cs w:val=&quot;24&quot;/&gt;&lt;/w:rPr&gt;&lt;m:t&gt;gap&lt;/m:t&gt;&lt;/m:r&gt;&lt;m:r&gt;&lt;w:rPr&gt;&lt;w:rFonts w:ascii=&quot;Cambria Math&quot; w:fareast=&quot;Times New Roman&quot; w:h-ansi=&quot;Calibri&quot; w:cs=&quot;Calibri&quot;/&gt;&lt;wx:font wx:val=&quot;Cambria Math&quot;/&gt;&lt;w:i/&gt;&lt;w:sz w:val=&quot;24&quot;/&gt;&lt;w:sz-cs w:val=&quot;24&quot;/&gt;&lt;/w:rPr&gt;&lt;m:t&gt; &lt;/m:t&gt;&lt;/m:r&gt;&lt;m:r&gt;&lt;w:rPr&gt;&lt;w:rFonts w:ascii=&quot;Cambria Math&quot; w:fareast=&quot;Times New Roman&quot; w:h-ansi=&quot;Cambria Math&quot; w:cs=&quot;Calibri&quot;/&gt;&lt;wx:font wx:val=&quot;Cambria Math&quot;/&gt;&lt;w:i/&gt;&lt;w:sz w:val=&quot;24&quot;/&gt;&lt;w:sz-cs w:val=&quot;24&quot;/&gt;&lt;/w:rPr&gt;&lt;m:t&gt;AM&lt;/m:t&gt;&lt;/m:r&gt;&lt;m:r&gt;&lt;w:rPr&gt;&lt;w:rFonts w:ascii=&quot;Calibri&quot; w:fareast=&quot;Times New Roman&quot; w:h-ansi=&quot;Cambria Math&quot; w:cs=&quot;Calibri&quot;/&gt;&lt;wx:font wx:val=&quot;Cambria Math&quot;/&gt;&lt;w:i/&gt;&lt;w:sz w:val=&quot;24&quot;/&gt;&lt;w:sz-cs w:val=&quot;24&quot;/&gt;&lt;/w:rPr&gt;&lt;m:t&gt;*&lt;/m:t&gt;&lt;/m:r&gt;&lt;m:r&gt;&lt;w:rPr&gt;&lt;w:rFonts w:ascii=&quot;Cambria Math&quot; w:fareast=&quot;Times New Roman&quot; w:h-ansi=&quot;Cambria Math&quot; w:cs=&quot;Calibri&quot;/&gt;&lt;wx:font wx:val=&quot;Cambria Math&quot;/&gt;&lt;w:i/&gt;&lt;w:sz w:val=&quot;24&quot;/&gt;&lt;w:sz-cs w:val=&quot;24&quot;/&gt;&lt;/w:rPr&gt;&lt;m:t&gt;dummy&lt;/m:t&gt;&lt;/m:r&gt;&lt;m:r&gt;&lt;w:rPr&gt;&lt;w:rFonts w:ascii=&quot;Cambria Math&quot; w:fareast=&quot;Times New Roman&quot; w:h-ansi=&quot;Calibri&quot; w:cs=&quot;Calibri&quot;/&gt;&lt;wx:font wx:val=&quot;Cambria Math&quot;/&gt;&lt;w:i/&gt;&lt;w:sz w:val=&quot;24&quot;/&gt;&lt;w:sz-cs w:val=&quot;24&quot;/&gt;&lt;/w:rPr&gt;&lt;m:t&gt;+&lt;/m:t&gt;&lt;/m:r&gt;&lt;m:r&gt;&lt;w:rPr&gt;&lt;w:rFonts w:ascii=&quot;Cambria Math&quot; w:fareast=&quot;Times New Roman&quot; w:h-ansi=&quot;Cambria Math&quot; w:cs=&quot;Calibri&quot;/&gt;&lt;wx:font wx:val=&quot;Cambria Math&quot;/&gt;&lt;w:i/&gt;&lt;w:sz w:val=&quot;24&quot;/&gt;&lt;w:sz-cs w:val=&quot;24&quot;/&gt;&lt;w:lang w:val=&quot;EL&quot;/&gt;&lt;/w:rPr&gt;&lt;m:t&gt;Îµ&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FE6530">
        <w:rPr>
          <w:rFonts w:cs="Calibri"/>
          <w:sz w:val="24"/>
          <w:szCs w:val="24"/>
        </w:rPr>
        <w:fldChar w:fldCharType="end"/>
      </w:r>
      <w:r w:rsidRPr="00D23492">
        <w:rPr>
          <w:rFonts w:cs="Calibri"/>
          <w:sz w:val="24"/>
          <w:szCs w:val="24"/>
        </w:rPr>
        <w:t xml:space="preserve">). The dummy variable was an artificial variable that </w:t>
      </w:r>
      <w:r>
        <w:rPr>
          <w:rFonts w:cs="Calibri"/>
          <w:sz w:val="24"/>
          <w:szCs w:val="24"/>
        </w:rPr>
        <w:t>was taking</w:t>
      </w:r>
      <w:r w:rsidRPr="00D23492">
        <w:rPr>
          <w:rFonts w:cs="Calibri"/>
          <w:sz w:val="24"/>
          <w:szCs w:val="24"/>
        </w:rPr>
        <w:t xml:space="preserve"> the value of one for observations within the sub-sample of the recent years. However the dummy variable was not fixed at the value of one for a specific year within the sub-sample, rather it was allowed to become one for each year within the sub-sample. So for each regression, the dummy variable was taking the unity value for the year</w:t>
      </w:r>
      <w:r>
        <w:rPr>
          <w:rFonts w:cs="Calibri"/>
          <w:sz w:val="24"/>
          <w:szCs w:val="24"/>
        </w:rPr>
        <w:t xml:space="preserve"> which was</w:t>
      </w:r>
      <w:r w:rsidRPr="00D23492">
        <w:rPr>
          <w:rFonts w:cs="Calibri"/>
          <w:sz w:val="24"/>
          <w:szCs w:val="24"/>
        </w:rPr>
        <w:t xml:space="preserve"> tested for a structural break and zero for all other years within the sub-sample. </w:t>
      </w:r>
    </w:p>
    <w:p w:rsidR="004F75D0" w:rsidRPr="00D23492" w:rsidRDefault="004F75D0" w:rsidP="003A5340">
      <w:pPr>
        <w:rPr>
          <w:rFonts w:cs="Calibri"/>
          <w:sz w:val="24"/>
          <w:szCs w:val="24"/>
        </w:rPr>
      </w:pPr>
      <w:r w:rsidRPr="00D23492">
        <w:rPr>
          <w:rFonts w:cs="Calibri"/>
          <w:sz w:val="24"/>
          <w:szCs w:val="24"/>
        </w:rPr>
        <w:t xml:space="preserve">Consequently each regression provided me with three variables, the intercept </w:t>
      </w:r>
      <w:r w:rsidRPr="00D23492">
        <w:rPr>
          <w:rFonts w:cs="Calibri"/>
          <w:i/>
          <w:sz w:val="24"/>
          <w:szCs w:val="24"/>
          <w:lang w:val="el-GR"/>
        </w:rPr>
        <w:t>α</w:t>
      </w:r>
      <w:r w:rsidRPr="00D23492">
        <w:rPr>
          <w:rFonts w:cs="Calibri"/>
          <w:i/>
          <w:sz w:val="24"/>
          <w:szCs w:val="24"/>
        </w:rPr>
        <w:t xml:space="preserve"> (alpha)</w:t>
      </w:r>
      <w:r w:rsidRPr="00D23492">
        <w:rPr>
          <w:rFonts w:cs="Calibri"/>
          <w:sz w:val="24"/>
          <w:szCs w:val="24"/>
        </w:rPr>
        <w:t xml:space="preserve"> and two coefficients </w:t>
      </w:r>
      <w:r w:rsidRPr="00D23492">
        <w:rPr>
          <w:rFonts w:cs="Calibri"/>
          <w:i/>
          <w:sz w:val="24"/>
          <w:szCs w:val="24"/>
          <w:lang w:val="el-GR"/>
        </w:rPr>
        <w:t>β</w:t>
      </w:r>
      <w:r w:rsidRPr="00D23492">
        <w:rPr>
          <w:rFonts w:cs="Calibri"/>
          <w:i/>
          <w:sz w:val="24"/>
          <w:szCs w:val="24"/>
        </w:rPr>
        <w:t xml:space="preserve"> (beta)</w:t>
      </w:r>
      <w:r w:rsidRPr="00D23492">
        <w:rPr>
          <w:rFonts w:cs="Calibri"/>
          <w:sz w:val="24"/>
          <w:szCs w:val="24"/>
        </w:rPr>
        <w:t xml:space="preserve"> and </w:t>
      </w:r>
      <w:r w:rsidRPr="00D23492">
        <w:rPr>
          <w:rFonts w:cs="Calibri"/>
          <w:i/>
          <w:sz w:val="24"/>
          <w:szCs w:val="24"/>
          <w:lang w:val="el-GR"/>
        </w:rPr>
        <w:t>γ</w:t>
      </w:r>
      <w:r w:rsidRPr="00D23492">
        <w:rPr>
          <w:rFonts w:cs="Calibri"/>
          <w:i/>
          <w:sz w:val="24"/>
          <w:szCs w:val="24"/>
        </w:rPr>
        <w:t xml:space="preserve"> (gamma),</w:t>
      </w:r>
      <w:r w:rsidRPr="00D23492">
        <w:rPr>
          <w:rFonts w:cs="Calibri"/>
          <w:sz w:val="24"/>
          <w:szCs w:val="24"/>
        </w:rPr>
        <w:t xml:space="preserve"> for each year within the sub-sample I tested for a structural break. The </w:t>
      </w:r>
      <w:r w:rsidRPr="00D23492">
        <w:rPr>
          <w:rFonts w:cs="Calibri"/>
          <w:i/>
          <w:sz w:val="24"/>
          <w:szCs w:val="24"/>
        </w:rPr>
        <w:t>gammas</w:t>
      </w:r>
      <w:r w:rsidRPr="00D23492">
        <w:rPr>
          <w:rFonts w:cs="Calibri"/>
          <w:sz w:val="24"/>
          <w:szCs w:val="24"/>
        </w:rPr>
        <w:t xml:space="preserve"> are a direct test of the decoupling hypothesis provided </w:t>
      </w:r>
      <w:r>
        <w:rPr>
          <w:rFonts w:cs="Calibri"/>
          <w:sz w:val="24"/>
          <w:szCs w:val="24"/>
        </w:rPr>
        <w:t xml:space="preserve">that </w:t>
      </w:r>
      <w:r w:rsidRPr="00D23492">
        <w:rPr>
          <w:rFonts w:cs="Calibri"/>
          <w:sz w:val="24"/>
          <w:szCs w:val="24"/>
        </w:rPr>
        <w:t xml:space="preserve">they are statistically significant. Thus when the coefficient </w:t>
      </w:r>
      <w:r w:rsidRPr="00D23492">
        <w:rPr>
          <w:rFonts w:cs="Calibri"/>
          <w:i/>
          <w:sz w:val="24"/>
          <w:szCs w:val="24"/>
        </w:rPr>
        <w:t>gamma</w:t>
      </w:r>
      <w:r w:rsidRPr="00D23492">
        <w:rPr>
          <w:rFonts w:cs="Calibri"/>
          <w:sz w:val="24"/>
          <w:szCs w:val="24"/>
        </w:rPr>
        <w:t xml:space="preserve"> is negative, there is lower degree of business cycle interdependence between the tested countries/groups and decoupling hypothesis is confirmed.</w:t>
      </w:r>
    </w:p>
    <w:p w:rsidR="004F75D0" w:rsidRPr="00D23492" w:rsidRDefault="004F75D0" w:rsidP="00E726B1">
      <w:pPr>
        <w:rPr>
          <w:rFonts w:cs="Calibri"/>
          <w:sz w:val="24"/>
          <w:szCs w:val="24"/>
        </w:rPr>
      </w:pPr>
    </w:p>
    <w:p w:rsidR="004F75D0" w:rsidRPr="00D23492" w:rsidRDefault="004F75D0" w:rsidP="00E726B1">
      <w:pPr>
        <w:rPr>
          <w:rFonts w:cs="Calibri"/>
          <w:sz w:val="24"/>
          <w:szCs w:val="24"/>
        </w:rPr>
      </w:pPr>
    </w:p>
    <w:p w:rsidR="004F75D0" w:rsidRPr="00D23492" w:rsidRDefault="004F75D0" w:rsidP="00E726B1">
      <w:pPr>
        <w:rPr>
          <w:rFonts w:cs="Calibri"/>
          <w:sz w:val="24"/>
          <w:szCs w:val="24"/>
        </w:rPr>
      </w:pPr>
    </w:p>
    <w:p w:rsidR="004F75D0" w:rsidRPr="00D23492" w:rsidRDefault="004F75D0" w:rsidP="00E726B1">
      <w:pPr>
        <w:rPr>
          <w:rFonts w:cs="Calibri"/>
          <w:sz w:val="24"/>
          <w:szCs w:val="24"/>
        </w:rPr>
      </w:pPr>
    </w:p>
    <w:p w:rsidR="004F75D0" w:rsidRPr="00D23492" w:rsidRDefault="004F75D0" w:rsidP="00E726B1">
      <w:pPr>
        <w:rPr>
          <w:rFonts w:cs="Calibri"/>
          <w:sz w:val="24"/>
          <w:szCs w:val="24"/>
        </w:rPr>
      </w:pPr>
    </w:p>
    <w:p w:rsidR="004F75D0" w:rsidRDefault="004F75D0" w:rsidP="00E726B1">
      <w:pPr>
        <w:rPr>
          <w:sz w:val="24"/>
          <w:szCs w:val="24"/>
        </w:rPr>
      </w:pPr>
    </w:p>
    <w:p w:rsidR="004F75D0" w:rsidRDefault="004F75D0" w:rsidP="00E726B1">
      <w:pPr>
        <w:rPr>
          <w:sz w:val="24"/>
          <w:szCs w:val="24"/>
        </w:rPr>
      </w:pPr>
    </w:p>
    <w:p w:rsidR="004F75D0" w:rsidRDefault="004F75D0" w:rsidP="00E726B1">
      <w:pPr>
        <w:rPr>
          <w:sz w:val="24"/>
          <w:szCs w:val="24"/>
        </w:rPr>
      </w:pPr>
    </w:p>
    <w:p w:rsidR="004F75D0" w:rsidRPr="00C42FA3" w:rsidRDefault="004F75D0" w:rsidP="00E93D31">
      <w:pPr>
        <w:pStyle w:val="Heading2"/>
      </w:pPr>
      <w:bookmarkStart w:id="21" w:name="_Toc274041023"/>
      <w:r w:rsidRPr="00C42FA3">
        <w:t>PART III</w:t>
      </w:r>
      <w:r w:rsidRPr="00824581">
        <w:t xml:space="preserve">: </w:t>
      </w:r>
      <w:r w:rsidRPr="00C42FA3">
        <w:t>Results</w:t>
      </w:r>
      <w:bookmarkEnd w:id="21"/>
    </w:p>
    <w:p w:rsidR="004F75D0" w:rsidRPr="00E236AA" w:rsidRDefault="004F75D0" w:rsidP="006A6788">
      <w:pPr>
        <w:pStyle w:val="ListParagraph"/>
        <w:ind w:left="1080"/>
        <w:rPr>
          <w:b/>
          <w:sz w:val="24"/>
          <w:szCs w:val="24"/>
        </w:rPr>
      </w:pPr>
    </w:p>
    <w:p w:rsidR="004F75D0" w:rsidRPr="00EB544F" w:rsidRDefault="004F75D0" w:rsidP="006A6788">
      <w:pPr>
        <w:rPr>
          <w:sz w:val="24"/>
          <w:szCs w:val="24"/>
        </w:rPr>
      </w:pPr>
      <w:r>
        <w:rPr>
          <w:sz w:val="24"/>
          <w:szCs w:val="24"/>
        </w:rPr>
        <w:t>The first part of the results</w:t>
      </w:r>
      <w:r w:rsidRPr="00EB544F">
        <w:rPr>
          <w:sz w:val="24"/>
          <w:szCs w:val="24"/>
        </w:rPr>
        <w:t xml:space="preserve"> </w:t>
      </w:r>
      <w:r w:rsidRPr="00ED38B8">
        <w:rPr>
          <w:i/>
          <w:sz w:val="24"/>
          <w:szCs w:val="24"/>
        </w:rPr>
        <w:t>(</w:t>
      </w:r>
      <w:r>
        <w:rPr>
          <w:i/>
          <w:sz w:val="24"/>
          <w:szCs w:val="24"/>
        </w:rPr>
        <w:t>sub</w:t>
      </w:r>
      <w:r w:rsidRPr="00ED38B8">
        <w:rPr>
          <w:i/>
          <w:sz w:val="24"/>
          <w:szCs w:val="24"/>
        </w:rPr>
        <w:t>part a)</w:t>
      </w:r>
      <w:r>
        <w:rPr>
          <w:sz w:val="24"/>
          <w:szCs w:val="24"/>
        </w:rPr>
        <w:t xml:space="preserve"> </w:t>
      </w:r>
      <w:r w:rsidRPr="00EB544F">
        <w:rPr>
          <w:sz w:val="24"/>
          <w:szCs w:val="24"/>
        </w:rPr>
        <w:t xml:space="preserve">consists of the graphical evidence of the decoupling hypothesis. In the following graphs it is depicted the Euclidean distance and the corresponding trend </w:t>
      </w:r>
      <w:r>
        <w:rPr>
          <w:sz w:val="24"/>
          <w:szCs w:val="24"/>
        </w:rPr>
        <w:t>between</w:t>
      </w:r>
      <w:r w:rsidRPr="00EB544F">
        <w:rPr>
          <w:sz w:val="24"/>
          <w:szCs w:val="24"/>
        </w:rPr>
        <w:t xml:space="preserve"> </w:t>
      </w:r>
      <w:r>
        <w:rPr>
          <w:sz w:val="24"/>
          <w:szCs w:val="24"/>
        </w:rPr>
        <w:t xml:space="preserve">emerging countries </w:t>
      </w:r>
      <w:r w:rsidRPr="005331E7">
        <w:rPr>
          <w:i/>
          <w:sz w:val="24"/>
          <w:szCs w:val="24"/>
        </w:rPr>
        <w:t>(both individually and as EM economies group)</w:t>
      </w:r>
      <w:r>
        <w:rPr>
          <w:sz w:val="24"/>
          <w:szCs w:val="24"/>
        </w:rPr>
        <w:t xml:space="preserve"> </w:t>
      </w:r>
      <w:r w:rsidRPr="00EB544F">
        <w:rPr>
          <w:sz w:val="24"/>
          <w:szCs w:val="24"/>
        </w:rPr>
        <w:t>and each group of advanced economies one by one. Decoupling of an emerging from the advanced is observed when the two</w:t>
      </w:r>
      <w:r>
        <w:rPr>
          <w:sz w:val="24"/>
          <w:szCs w:val="24"/>
        </w:rPr>
        <w:t xml:space="preserve"> criteria referred above concerning the</w:t>
      </w:r>
      <w:r w:rsidRPr="00EB544F">
        <w:rPr>
          <w:sz w:val="24"/>
          <w:szCs w:val="24"/>
        </w:rPr>
        <w:t xml:space="preserve"> lines </w:t>
      </w:r>
      <w:r w:rsidRPr="005331E7">
        <w:rPr>
          <w:i/>
          <w:sz w:val="24"/>
          <w:szCs w:val="24"/>
        </w:rPr>
        <w:t>(Euclidean distance and trend)</w:t>
      </w:r>
      <w:r w:rsidRPr="00EB544F">
        <w:rPr>
          <w:sz w:val="24"/>
          <w:szCs w:val="24"/>
        </w:rPr>
        <w:t xml:space="preserve"> </w:t>
      </w:r>
      <w:r>
        <w:rPr>
          <w:sz w:val="24"/>
          <w:szCs w:val="24"/>
        </w:rPr>
        <w:t>is</w:t>
      </w:r>
      <w:r w:rsidRPr="00EB544F">
        <w:rPr>
          <w:sz w:val="24"/>
          <w:szCs w:val="24"/>
        </w:rPr>
        <w:t xml:space="preserve"> </w:t>
      </w:r>
      <w:r>
        <w:rPr>
          <w:sz w:val="24"/>
          <w:szCs w:val="24"/>
        </w:rPr>
        <w:t>fulfilled</w:t>
      </w:r>
      <w:r w:rsidRPr="00EB544F">
        <w:rPr>
          <w:sz w:val="24"/>
          <w:szCs w:val="24"/>
        </w:rPr>
        <w:t xml:space="preserve">. </w:t>
      </w:r>
    </w:p>
    <w:p w:rsidR="004F75D0" w:rsidRDefault="004F75D0" w:rsidP="006A6788">
      <w:pPr>
        <w:rPr>
          <w:sz w:val="24"/>
          <w:szCs w:val="24"/>
        </w:rPr>
      </w:pPr>
      <w:r w:rsidRPr="00EB544F">
        <w:rPr>
          <w:sz w:val="24"/>
          <w:szCs w:val="24"/>
        </w:rPr>
        <w:t xml:space="preserve">The second part </w:t>
      </w:r>
      <w:r w:rsidRPr="00ED38B8">
        <w:rPr>
          <w:i/>
          <w:sz w:val="24"/>
          <w:szCs w:val="24"/>
        </w:rPr>
        <w:t>(</w:t>
      </w:r>
      <w:r>
        <w:rPr>
          <w:i/>
          <w:sz w:val="24"/>
          <w:szCs w:val="24"/>
        </w:rPr>
        <w:t>sub</w:t>
      </w:r>
      <w:r w:rsidRPr="00ED38B8">
        <w:rPr>
          <w:i/>
          <w:sz w:val="24"/>
          <w:szCs w:val="24"/>
        </w:rPr>
        <w:t>part b)</w:t>
      </w:r>
      <w:r>
        <w:rPr>
          <w:sz w:val="24"/>
          <w:szCs w:val="24"/>
        </w:rPr>
        <w:t xml:space="preserve"> </w:t>
      </w:r>
      <w:r w:rsidRPr="00EB544F">
        <w:rPr>
          <w:sz w:val="24"/>
          <w:szCs w:val="24"/>
        </w:rPr>
        <w:t xml:space="preserve">of the </w:t>
      </w:r>
      <w:r>
        <w:rPr>
          <w:sz w:val="24"/>
          <w:szCs w:val="24"/>
        </w:rPr>
        <w:t>results</w:t>
      </w:r>
      <w:r w:rsidRPr="00EB544F">
        <w:rPr>
          <w:sz w:val="24"/>
          <w:szCs w:val="24"/>
        </w:rPr>
        <w:t xml:space="preserve"> is based on the econometric model proposed by Walti</w:t>
      </w:r>
      <w:r>
        <w:rPr>
          <w:sz w:val="24"/>
          <w:szCs w:val="24"/>
        </w:rPr>
        <w:t xml:space="preserve"> </w:t>
      </w:r>
      <w:r w:rsidRPr="005331E7">
        <w:rPr>
          <w:i/>
          <w:sz w:val="24"/>
          <w:szCs w:val="24"/>
        </w:rPr>
        <w:t>(introduced by Levy-Yeyati)</w:t>
      </w:r>
      <w:r w:rsidRPr="00EB544F">
        <w:rPr>
          <w:sz w:val="24"/>
          <w:szCs w:val="24"/>
        </w:rPr>
        <w:t xml:space="preserve"> in which </w:t>
      </w:r>
      <w:r>
        <w:rPr>
          <w:sz w:val="24"/>
          <w:szCs w:val="24"/>
        </w:rPr>
        <w:t>statistically significant and negative</w:t>
      </w:r>
      <w:r w:rsidRPr="00EB544F">
        <w:rPr>
          <w:sz w:val="24"/>
          <w:szCs w:val="24"/>
        </w:rPr>
        <w:t xml:space="preserve"> </w:t>
      </w:r>
      <w:r w:rsidRPr="00EB544F">
        <w:rPr>
          <w:i/>
          <w:sz w:val="24"/>
          <w:szCs w:val="24"/>
        </w:rPr>
        <w:t>gammas</w:t>
      </w:r>
      <w:r>
        <w:rPr>
          <w:sz w:val="24"/>
          <w:szCs w:val="24"/>
        </w:rPr>
        <w:t xml:space="preserve"> are indicating lower</w:t>
      </w:r>
      <w:r w:rsidRPr="00EB544F">
        <w:rPr>
          <w:sz w:val="24"/>
          <w:szCs w:val="24"/>
        </w:rPr>
        <w:t xml:space="preserve"> degree of interdependence of the bu</w:t>
      </w:r>
      <w:r>
        <w:rPr>
          <w:sz w:val="24"/>
          <w:szCs w:val="24"/>
        </w:rPr>
        <w:t xml:space="preserve">siness cycles </w:t>
      </w:r>
      <w:r w:rsidRPr="005331E7">
        <w:rPr>
          <w:i/>
          <w:sz w:val="24"/>
          <w:szCs w:val="24"/>
        </w:rPr>
        <w:t>(structural break within the sub-sample)</w:t>
      </w:r>
      <w:r>
        <w:rPr>
          <w:sz w:val="24"/>
          <w:szCs w:val="24"/>
        </w:rPr>
        <w:t xml:space="preserve">. The tables </w:t>
      </w:r>
      <w:r w:rsidRPr="008F3E53">
        <w:rPr>
          <w:i/>
          <w:sz w:val="24"/>
          <w:szCs w:val="24"/>
        </w:rPr>
        <w:t>(</w:t>
      </w:r>
      <w:r>
        <w:rPr>
          <w:i/>
          <w:sz w:val="24"/>
          <w:szCs w:val="24"/>
        </w:rPr>
        <w:t>Figures</w:t>
      </w:r>
      <w:r>
        <w:rPr>
          <w:sz w:val="24"/>
          <w:szCs w:val="24"/>
        </w:rPr>
        <w:t xml:space="preserve"> 2</w:t>
      </w:r>
      <w:r>
        <w:rPr>
          <w:i/>
          <w:sz w:val="24"/>
          <w:szCs w:val="24"/>
        </w:rPr>
        <w:t>4, 25,</w:t>
      </w:r>
      <w:r w:rsidRPr="00135372">
        <w:rPr>
          <w:i/>
          <w:sz w:val="24"/>
          <w:szCs w:val="24"/>
        </w:rPr>
        <w:t xml:space="preserve"> 26</w:t>
      </w:r>
      <w:r>
        <w:rPr>
          <w:i/>
          <w:sz w:val="24"/>
          <w:szCs w:val="24"/>
        </w:rPr>
        <w:t>, 27 and 28</w:t>
      </w:r>
      <w:r w:rsidRPr="008F3E53">
        <w:rPr>
          <w:i/>
          <w:sz w:val="24"/>
          <w:szCs w:val="24"/>
        </w:rPr>
        <w:t xml:space="preserve">) </w:t>
      </w:r>
      <w:r>
        <w:rPr>
          <w:sz w:val="24"/>
          <w:szCs w:val="24"/>
        </w:rPr>
        <w:t>present in compact form the coefficients produced from the regressions. All regressions were performed in 95% significance level.</w:t>
      </w:r>
    </w:p>
    <w:p w:rsidR="004F75D0" w:rsidRDefault="004F75D0" w:rsidP="00E93D31">
      <w:pPr>
        <w:pStyle w:val="Heading1"/>
        <w:pBdr>
          <w:bottom w:val="single" w:sz="4" w:space="1" w:color="auto"/>
        </w:pBdr>
      </w:pPr>
    </w:p>
    <w:p w:rsidR="004F75D0" w:rsidRPr="006A6788" w:rsidRDefault="004F75D0" w:rsidP="00E93D31">
      <w:pPr>
        <w:pStyle w:val="Heading1"/>
        <w:pBdr>
          <w:bottom w:val="single" w:sz="4" w:space="1" w:color="auto"/>
        </w:pBdr>
      </w:pPr>
      <w:bookmarkStart w:id="22" w:name="_Toc274041024"/>
      <w:r>
        <w:t>a. Graphical Testing</w:t>
      </w:r>
      <w:bookmarkEnd w:id="22"/>
    </w:p>
    <w:p w:rsidR="004F75D0" w:rsidRDefault="004F75D0" w:rsidP="006A6788">
      <w:pPr>
        <w:rPr>
          <w:b/>
          <w:sz w:val="24"/>
          <w:szCs w:val="24"/>
        </w:rPr>
      </w:pPr>
    </w:p>
    <w:p w:rsidR="004F75D0" w:rsidRPr="00552B0B" w:rsidRDefault="004F75D0" w:rsidP="00552B0B">
      <w:pPr>
        <w:pStyle w:val="ListParagraph"/>
        <w:numPr>
          <w:ilvl w:val="0"/>
          <w:numId w:val="25"/>
        </w:numPr>
        <w:rPr>
          <w:b/>
          <w:sz w:val="24"/>
          <w:szCs w:val="24"/>
        </w:rPr>
      </w:pPr>
      <w:r w:rsidRPr="00552B0B">
        <w:rPr>
          <w:b/>
          <w:sz w:val="24"/>
          <w:szCs w:val="24"/>
        </w:rPr>
        <w:t>Brazil</w:t>
      </w:r>
    </w:p>
    <w:p w:rsidR="004F75D0" w:rsidRPr="00EB544F" w:rsidRDefault="004F75D0" w:rsidP="006A6788">
      <w:pPr>
        <w:rPr>
          <w:sz w:val="24"/>
          <w:szCs w:val="24"/>
        </w:rPr>
      </w:pPr>
      <w:r w:rsidRPr="00EB544F">
        <w:rPr>
          <w:sz w:val="24"/>
          <w:szCs w:val="24"/>
        </w:rPr>
        <w:t>Firstly</w:t>
      </w:r>
      <w:r w:rsidRPr="00C34F84">
        <w:rPr>
          <w:sz w:val="24"/>
          <w:szCs w:val="24"/>
        </w:rPr>
        <w:t>,</w:t>
      </w:r>
      <w:r w:rsidRPr="00EB544F">
        <w:rPr>
          <w:sz w:val="24"/>
          <w:szCs w:val="24"/>
        </w:rPr>
        <w:t xml:space="preserve"> it is depicted Brazil against the four advanced groups of countries.</w:t>
      </w:r>
      <w:r w:rsidRPr="00602BA1">
        <w:rPr>
          <w:sz w:val="24"/>
          <w:szCs w:val="24"/>
        </w:rPr>
        <w:t xml:space="preserve"> </w:t>
      </w:r>
      <w:r w:rsidRPr="00EB544F">
        <w:rPr>
          <w:sz w:val="24"/>
          <w:szCs w:val="24"/>
        </w:rPr>
        <w:t xml:space="preserve">The blue line is the Euclidean distance for each combination </w:t>
      </w:r>
      <w:r w:rsidRPr="003A6EDF">
        <w:rPr>
          <w:i/>
          <w:sz w:val="24"/>
          <w:szCs w:val="24"/>
        </w:rPr>
        <w:t>(Brazil-USA, Brazil-E.U etc)</w:t>
      </w:r>
      <w:r w:rsidRPr="00EB544F">
        <w:rPr>
          <w:sz w:val="24"/>
          <w:szCs w:val="24"/>
        </w:rPr>
        <w:t xml:space="preserve"> and the red line is the trend of the Euclidean distance </w:t>
      </w:r>
      <w:r w:rsidRPr="00EE6C37">
        <w:rPr>
          <w:i/>
          <w:sz w:val="24"/>
          <w:szCs w:val="24"/>
        </w:rPr>
        <w:t>(Hodrick Prescott filter used).</w:t>
      </w:r>
      <w:r w:rsidRPr="00EB544F">
        <w:rPr>
          <w:sz w:val="24"/>
          <w:szCs w:val="24"/>
        </w:rPr>
        <w:t xml:space="preserve"> Horizontal axis shows the sample years </w:t>
      </w:r>
      <w:r w:rsidRPr="00EE6C37">
        <w:rPr>
          <w:i/>
          <w:sz w:val="24"/>
          <w:szCs w:val="24"/>
        </w:rPr>
        <w:t>(u</w:t>
      </w:r>
      <w:r>
        <w:rPr>
          <w:i/>
          <w:sz w:val="24"/>
          <w:szCs w:val="24"/>
        </w:rPr>
        <w:t xml:space="preserve">ntil </w:t>
      </w:r>
      <w:r w:rsidRPr="00EE6C37">
        <w:rPr>
          <w:i/>
          <w:sz w:val="24"/>
          <w:szCs w:val="24"/>
        </w:rPr>
        <w:t>2007)</w:t>
      </w:r>
      <w:r w:rsidRPr="00EB544F">
        <w:rPr>
          <w:sz w:val="24"/>
          <w:szCs w:val="24"/>
        </w:rPr>
        <w:t>, while the vertical the measure of interdependence</w:t>
      </w:r>
      <w:r>
        <w:rPr>
          <w:sz w:val="24"/>
          <w:szCs w:val="24"/>
        </w:rPr>
        <w:t xml:space="preserve"> </w:t>
      </w:r>
      <w:r w:rsidRPr="00EE6C37">
        <w:rPr>
          <w:i/>
          <w:sz w:val="24"/>
          <w:szCs w:val="24"/>
        </w:rPr>
        <w:t>(Euclidean distance).</w:t>
      </w:r>
    </w:p>
    <w:p w:rsidR="004F75D0" w:rsidRDefault="004F75D0" w:rsidP="006A6788">
      <w:pPr>
        <w:rPr>
          <w:sz w:val="24"/>
          <w:szCs w:val="24"/>
        </w:rPr>
      </w:pPr>
      <w:r w:rsidRPr="00EB544F">
        <w:rPr>
          <w:sz w:val="24"/>
          <w:szCs w:val="24"/>
        </w:rPr>
        <w:t>Brazil is a country showing a significant degree of non-dependence throughout the sample years for all the groups of advanced economies; however this degree seems to follow a</w:t>
      </w:r>
      <w:r>
        <w:rPr>
          <w:sz w:val="24"/>
          <w:szCs w:val="24"/>
        </w:rPr>
        <w:t xml:space="preserve"> slightly</w:t>
      </w:r>
      <w:r w:rsidRPr="00EB544F">
        <w:rPr>
          <w:sz w:val="24"/>
          <w:szCs w:val="24"/>
        </w:rPr>
        <w:t xml:space="preserve"> declining rate </w:t>
      </w:r>
      <w:r>
        <w:rPr>
          <w:sz w:val="24"/>
          <w:szCs w:val="24"/>
        </w:rPr>
        <w:t xml:space="preserve">of interdependence </w:t>
      </w:r>
      <w:r w:rsidRPr="00EB544F">
        <w:rPr>
          <w:sz w:val="24"/>
          <w:szCs w:val="24"/>
        </w:rPr>
        <w:t xml:space="preserve">from 1999 </w:t>
      </w:r>
      <w:r>
        <w:rPr>
          <w:sz w:val="24"/>
          <w:szCs w:val="24"/>
        </w:rPr>
        <w:t>till</w:t>
      </w:r>
      <w:r w:rsidRPr="00EB544F">
        <w:rPr>
          <w:sz w:val="24"/>
          <w:szCs w:val="24"/>
        </w:rPr>
        <w:t xml:space="preserve"> 2007 </w:t>
      </w:r>
      <w:r w:rsidRPr="003A6EDF">
        <w:rPr>
          <w:i/>
          <w:sz w:val="24"/>
          <w:szCs w:val="24"/>
        </w:rPr>
        <w:t>(the fluctuation of the Euclidean distance moves closer to its trend in average than in the rest of the years),</w:t>
      </w:r>
      <w:r w:rsidRPr="00EB544F">
        <w:rPr>
          <w:sz w:val="24"/>
          <w:szCs w:val="24"/>
        </w:rPr>
        <w:t xml:space="preserve"> </w:t>
      </w:r>
      <w:r>
        <w:rPr>
          <w:sz w:val="24"/>
          <w:szCs w:val="24"/>
        </w:rPr>
        <w:t>however even if there is a tension of moving closer, clear results about the decoupling hypothesis cannot safely be obtained since the Euclidean distance line fluctuates both positively and negatively compared to its trend.</w:t>
      </w:r>
    </w:p>
    <w:p w:rsidR="004F75D0" w:rsidRDefault="004F75D0" w:rsidP="00DF0DE6">
      <w:pPr>
        <w:keepNext/>
      </w:pPr>
      <w:r w:rsidRPr="00FE6530">
        <w:rPr>
          <w:noProof/>
          <w:sz w:val="24"/>
          <w:szCs w:val="24"/>
        </w:rPr>
        <w:pict>
          <v:shape id="_x0000_i1031" type="#_x0000_t75" style="width:471.75pt;height:226.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">
            <v:imagedata r:id="rId12" o:title=""/>
            <o:lock v:ext="edit" aspectratio="f"/>
          </v:shape>
        </w:pict>
      </w:r>
    </w:p>
    <w:p w:rsidR="004F75D0" w:rsidRPr="00BA269C" w:rsidRDefault="004F75D0" w:rsidP="00D80719">
      <w:pPr>
        <w:pStyle w:val="Caption"/>
      </w:pPr>
      <w:r>
        <w:t xml:space="preserve">  </w:t>
      </w:r>
      <w:bookmarkStart w:id="23" w:name="_Toc274047046"/>
      <w:r>
        <w:t xml:space="preserve">Figure </w:t>
      </w:r>
      <w:fldSimple w:instr=" SEQ Figure \* ARABIC ">
        <w:r>
          <w:rPr>
            <w:noProof/>
          </w:rPr>
          <w:t>4</w:t>
        </w:r>
      </w:fldSimple>
      <w:r>
        <w:t>: Graphical representation of the Euclidean distance between Brazil and EU</w:t>
      </w:r>
      <w:bookmarkEnd w:id="23"/>
    </w:p>
    <w:p w:rsidR="004F75D0" w:rsidRDefault="004F75D0" w:rsidP="00DF0DE6">
      <w:pPr>
        <w:keepNext/>
      </w:pPr>
      <w:r w:rsidRPr="00FE6530">
        <w:rPr>
          <w:noProof/>
          <w:sz w:val="24"/>
          <w:szCs w:val="24"/>
        </w:rPr>
        <w:pict>
          <v:shape id="Chart 1" o:spid="_x0000_i1032" type="#_x0000_t75" style="width:470.25pt;height:228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">
            <v:imagedata r:id="rId13" o:title=""/>
            <o:lock v:ext="edit" aspectratio="f"/>
          </v:shape>
        </w:pict>
      </w:r>
    </w:p>
    <w:p w:rsidR="004F75D0" w:rsidRDefault="004F75D0" w:rsidP="00DF0DE6">
      <w:pPr>
        <w:pStyle w:val="Caption"/>
        <w:rPr>
          <w:sz w:val="24"/>
          <w:szCs w:val="24"/>
        </w:rPr>
      </w:pPr>
      <w:bookmarkStart w:id="24" w:name="_Toc274047047"/>
      <w:r>
        <w:t xml:space="preserve">Figure </w:t>
      </w:r>
      <w:fldSimple w:instr=" SEQ Figure \* ARABIC ">
        <w:r>
          <w:rPr>
            <w:noProof/>
          </w:rPr>
          <w:t>5</w:t>
        </w:r>
      </w:fldSimple>
      <w:r>
        <w:t>: Graphical representation of the Euclidean distance between Brazil and USA</w:t>
      </w:r>
      <w:bookmarkEnd w:id="24"/>
    </w:p>
    <w:p w:rsidR="004F75D0" w:rsidRDefault="004F75D0" w:rsidP="005B32DF">
      <w:pPr>
        <w:rPr>
          <w:sz w:val="24"/>
          <w:szCs w:val="24"/>
        </w:rPr>
      </w:pPr>
      <w:r>
        <w:rPr>
          <w:sz w:val="24"/>
          <w:szCs w:val="24"/>
        </w:rPr>
        <w:t xml:space="preserve">Furthermore it is quite clear how similar the Euclidean distance lines among all the AM groups </w:t>
      </w:r>
      <w:r w:rsidRPr="003A6EDF">
        <w:rPr>
          <w:i/>
          <w:sz w:val="24"/>
          <w:szCs w:val="24"/>
        </w:rPr>
        <w:t>(</w:t>
      </w:r>
      <w:r>
        <w:rPr>
          <w:i/>
          <w:sz w:val="24"/>
          <w:szCs w:val="24"/>
        </w:rPr>
        <w:t>Figures 4, 6 and 7</w:t>
      </w:r>
      <w:r w:rsidRPr="003A6EDF">
        <w:rPr>
          <w:i/>
          <w:sz w:val="24"/>
          <w:szCs w:val="24"/>
        </w:rPr>
        <w:t xml:space="preserve">) </w:t>
      </w:r>
      <w:r>
        <w:rPr>
          <w:sz w:val="24"/>
          <w:szCs w:val="24"/>
        </w:rPr>
        <w:t xml:space="preserve">are, except when the USA is tested alone </w:t>
      </w:r>
      <w:r w:rsidRPr="00305128">
        <w:rPr>
          <w:i/>
          <w:sz w:val="24"/>
          <w:szCs w:val="24"/>
        </w:rPr>
        <w:t>(</w:t>
      </w:r>
      <w:r>
        <w:rPr>
          <w:i/>
          <w:sz w:val="24"/>
          <w:szCs w:val="24"/>
        </w:rPr>
        <w:t>Figure 5</w:t>
      </w:r>
      <w:r w:rsidRPr="00305128">
        <w:rPr>
          <w:i/>
          <w:sz w:val="24"/>
          <w:szCs w:val="24"/>
        </w:rPr>
        <w:t>)</w:t>
      </w:r>
      <w:r>
        <w:rPr>
          <w:sz w:val="24"/>
          <w:szCs w:val="24"/>
        </w:rPr>
        <w:t>. Euclidean distance lines appear to follow the same lows and highs at the same years throughout the sample period.</w:t>
      </w:r>
    </w:p>
    <w:p w:rsidR="004F75D0" w:rsidRDefault="004F75D0" w:rsidP="00DF0DE6">
      <w:pPr>
        <w:keepNext/>
        <w:jc w:val="center"/>
      </w:pPr>
      <w:r w:rsidRPr="00FE6530">
        <w:rPr>
          <w:noProof/>
          <w:sz w:val="24"/>
          <w:szCs w:val="24"/>
        </w:rPr>
        <w:pict>
          <v:shape id="Chart 3" o:spid="_x0000_i1033" type="#_x0000_t75" style="width:469.5pt;height:219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">
            <v:imagedata r:id="rId14" o:title="" cropbottom="-30f"/>
            <o:lock v:ext="edit" aspectratio="f"/>
          </v:shape>
        </w:pict>
      </w:r>
    </w:p>
    <w:p w:rsidR="004F75D0" w:rsidRDefault="004F75D0" w:rsidP="00DF0DE6">
      <w:pPr>
        <w:pStyle w:val="Caption"/>
        <w:jc w:val="center"/>
        <w:rPr>
          <w:noProof/>
          <w:sz w:val="24"/>
          <w:szCs w:val="24"/>
          <w:lang w:eastAsia="el-GR"/>
        </w:rPr>
      </w:pPr>
      <w:bookmarkStart w:id="25" w:name="_Toc274047048"/>
      <w:r>
        <w:t xml:space="preserve">Figure </w:t>
      </w:r>
      <w:fldSimple w:instr=" SEQ Figure \* ARABIC ">
        <w:r>
          <w:rPr>
            <w:noProof/>
          </w:rPr>
          <w:t>6</w:t>
        </w:r>
      </w:fldSimple>
      <w:r>
        <w:t>: Graphical representation of the Euclidean distance between Brazil and World's advanced economies</w:t>
      </w:r>
      <w:bookmarkEnd w:id="25"/>
    </w:p>
    <w:p w:rsidR="004F75D0" w:rsidRDefault="004F75D0" w:rsidP="00DF0DE6">
      <w:pPr>
        <w:keepNext/>
        <w:jc w:val="center"/>
      </w:pPr>
      <w:r w:rsidRPr="00FE6530">
        <w:rPr>
          <w:noProof/>
          <w:sz w:val="24"/>
          <w:szCs w:val="24"/>
        </w:rPr>
        <w:pict>
          <v:shape id="Chart 4" o:spid="_x0000_i1034" type="#_x0000_t75" style="width:469.5pt;height:215.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">
            <v:imagedata r:id="rId15" o:title="" cropbottom="-46f"/>
            <o:lock v:ext="edit" aspectratio="f"/>
          </v:shape>
        </w:pict>
      </w:r>
    </w:p>
    <w:p w:rsidR="004F75D0" w:rsidRDefault="004F75D0" w:rsidP="00071F26">
      <w:pPr>
        <w:pStyle w:val="Caption"/>
      </w:pPr>
      <w:bookmarkStart w:id="26" w:name="_Toc274047049"/>
      <w:r>
        <w:t xml:space="preserve">Figure </w:t>
      </w:r>
      <w:fldSimple w:instr=" SEQ Figure \* ARABIC ">
        <w:r>
          <w:rPr>
            <w:noProof/>
          </w:rPr>
          <w:t>7</w:t>
        </w:r>
      </w:fldSimple>
      <w:r>
        <w:t>: Graphical representation of the Euclidean distance between Brazil and G7</w:t>
      </w:r>
      <w:bookmarkEnd w:id="26"/>
    </w:p>
    <w:p w:rsidR="004F75D0" w:rsidRDefault="004F75D0" w:rsidP="00D80719">
      <w:pPr>
        <w:rPr>
          <w:sz w:val="24"/>
          <w:szCs w:val="24"/>
        </w:rPr>
      </w:pPr>
      <w:r>
        <w:rPr>
          <w:sz w:val="24"/>
          <w:szCs w:val="24"/>
        </w:rPr>
        <w:t>On the other hand, Euclidean distance between Brazil and USA appears to be different from all the other groups’ Euclidean distances. The fact that USA’s Euclidean distance is not the same as the other groups’ lines, even if USA is a large economy that is included in all three groups of AM economies, depicts the use of unweighted average of the individual output gaps in the calculation of the groups’ output gaps (</w:t>
      </w:r>
      <w:r w:rsidRPr="00BA269C">
        <w:rPr>
          <w:i/>
          <w:sz w:val="24"/>
          <w:szCs w:val="24"/>
        </w:rPr>
        <w:t>business cycles)</w:t>
      </w:r>
      <w:r>
        <w:rPr>
          <w:sz w:val="24"/>
          <w:szCs w:val="24"/>
        </w:rPr>
        <w:t xml:space="preserve">. Thus a large economy as the USA affects equally to a small economy the business cycles of the advanced groups. </w:t>
      </w:r>
    </w:p>
    <w:p w:rsidR="004F75D0" w:rsidRPr="00AD4E4C" w:rsidRDefault="004F75D0" w:rsidP="00AD4E4C"/>
    <w:p w:rsidR="004F75D0" w:rsidRPr="00552B0B" w:rsidRDefault="004F75D0" w:rsidP="00552B0B">
      <w:pPr>
        <w:pStyle w:val="ListParagraph"/>
        <w:numPr>
          <w:ilvl w:val="0"/>
          <w:numId w:val="25"/>
        </w:numPr>
        <w:rPr>
          <w:b/>
          <w:sz w:val="24"/>
          <w:szCs w:val="24"/>
        </w:rPr>
      </w:pPr>
      <w:r w:rsidRPr="00552B0B">
        <w:rPr>
          <w:b/>
          <w:sz w:val="24"/>
          <w:szCs w:val="24"/>
        </w:rPr>
        <w:t>China</w:t>
      </w:r>
    </w:p>
    <w:p w:rsidR="004F75D0" w:rsidRDefault="004F75D0" w:rsidP="00552B0B">
      <w:pPr>
        <w:rPr>
          <w:i/>
          <w:sz w:val="24"/>
          <w:szCs w:val="24"/>
        </w:rPr>
      </w:pPr>
      <w:r w:rsidRPr="00EB544F">
        <w:rPr>
          <w:sz w:val="24"/>
          <w:szCs w:val="24"/>
        </w:rPr>
        <w:t>The g</w:t>
      </w:r>
      <w:r>
        <w:rPr>
          <w:sz w:val="24"/>
          <w:szCs w:val="24"/>
        </w:rPr>
        <w:t>raphs concerning China point also to the same direction as Brazil’s graphs do</w:t>
      </w:r>
      <w:r w:rsidRPr="00EB544F">
        <w:rPr>
          <w:sz w:val="24"/>
          <w:szCs w:val="24"/>
        </w:rPr>
        <w:t xml:space="preserve">. </w:t>
      </w:r>
      <w:r>
        <w:rPr>
          <w:sz w:val="24"/>
          <w:szCs w:val="24"/>
        </w:rPr>
        <w:t>Judging from the Euclidean distance and its trend, China’s degree of interdependence implied</w:t>
      </w:r>
      <w:r w:rsidRPr="00EB544F">
        <w:rPr>
          <w:sz w:val="24"/>
          <w:szCs w:val="24"/>
        </w:rPr>
        <w:t xml:space="preserve"> in the recent years </w:t>
      </w:r>
      <w:r w:rsidRPr="003A6EDF">
        <w:rPr>
          <w:i/>
          <w:sz w:val="24"/>
          <w:szCs w:val="24"/>
        </w:rPr>
        <w:t>(1999-2007)</w:t>
      </w:r>
      <w:r w:rsidRPr="00EB544F">
        <w:rPr>
          <w:sz w:val="24"/>
          <w:szCs w:val="24"/>
        </w:rPr>
        <w:t xml:space="preserve"> in</w:t>
      </w:r>
      <w:r>
        <w:rPr>
          <w:sz w:val="24"/>
          <w:szCs w:val="24"/>
        </w:rPr>
        <w:t xml:space="preserve"> relation to the years 1980-1998 is</w:t>
      </w:r>
      <w:r w:rsidRPr="00EB544F">
        <w:rPr>
          <w:sz w:val="24"/>
          <w:szCs w:val="24"/>
        </w:rPr>
        <w:t xml:space="preserve"> in average </w:t>
      </w:r>
      <w:r>
        <w:rPr>
          <w:sz w:val="24"/>
          <w:szCs w:val="24"/>
        </w:rPr>
        <w:t xml:space="preserve">more </w:t>
      </w:r>
      <w:r w:rsidRPr="00EB544F">
        <w:rPr>
          <w:sz w:val="24"/>
          <w:szCs w:val="24"/>
        </w:rPr>
        <w:t xml:space="preserve">stable or increasing </w:t>
      </w:r>
      <w:r>
        <w:rPr>
          <w:sz w:val="24"/>
          <w:szCs w:val="24"/>
        </w:rPr>
        <w:t xml:space="preserve">with all </w:t>
      </w:r>
      <w:r w:rsidRPr="00EB544F">
        <w:rPr>
          <w:sz w:val="24"/>
          <w:szCs w:val="24"/>
        </w:rPr>
        <w:t>of the advanced groups of countries</w:t>
      </w:r>
      <w:r>
        <w:rPr>
          <w:sz w:val="24"/>
          <w:szCs w:val="24"/>
        </w:rPr>
        <w:t xml:space="preserve"> </w:t>
      </w:r>
      <w:r w:rsidRPr="00DB5FC1">
        <w:rPr>
          <w:i/>
          <w:sz w:val="24"/>
          <w:szCs w:val="24"/>
        </w:rPr>
        <w:t>(</w:t>
      </w:r>
      <w:r>
        <w:rPr>
          <w:i/>
          <w:sz w:val="24"/>
          <w:szCs w:val="24"/>
        </w:rPr>
        <w:t>Figures 8, 10 and 11</w:t>
      </w:r>
      <w:r w:rsidRPr="00DB5FC1">
        <w:rPr>
          <w:i/>
          <w:sz w:val="24"/>
          <w:szCs w:val="24"/>
        </w:rPr>
        <w:t>)</w:t>
      </w:r>
      <w:r>
        <w:rPr>
          <w:i/>
          <w:sz w:val="24"/>
          <w:szCs w:val="24"/>
        </w:rPr>
        <w:t xml:space="preserve"> </w:t>
      </w:r>
      <w:r>
        <w:rPr>
          <w:sz w:val="24"/>
          <w:szCs w:val="24"/>
        </w:rPr>
        <w:t>but with</w:t>
      </w:r>
      <w:r w:rsidRPr="00F56513">
        <w:rPr>
          <w:sz w:val="24"/>
          <w:szCs w:val="24"/>
        </w:rPr>
        <w:t xml:space="preserve"> the USA</w:t>
      </w:r>
      <w:r>
        <w:rPr>
          <w:sz w:val="24"/>
          <w:szCs w:val="24"/>
        </w:rPr>
        <w:t xml:space="preserve"> </w:t>
      </w:r>
      <w:r w:rsidRPr="00A52A28">
        <w:rPr>
          <w:i/>
          <w:sz w:val="24"/>
          <w:szCs w:val="24"/>
        </w:rPr>
        <w:t xml:space="preserve">(Figure </w:t>
      </w:r>
      <w:r>
        <w:rPr>
          <w:i/>
          <w:sz w:val="24"/>
          <w:szCs w:val="24"/>
        </w:rPr>
        <w:t>9</w:t>
      </w:r>
      <w:r w:rsidRPr="00A52A28">
        <w:rPr>
          <w:i/>
          <w:sz w:val="24"/>
          <w:szCs w:val="24"/>
        </w:rPr>
        <w:t>)</w:t>
      </w:r>
      <w:r>
        <w:rPr>
          <w:i/>
          <w:sz w:val="24"/>
          <w:szCs w:val="24"/>
        </w:rPr>
        <w:t xml:space="preserve"> </w:t>
      </w:r>
      <w:r w:rsidRPr="00DB5FC1">
        <w:rPr>
          <w:i/>
          <w:sz w:val="24"/>
          <w:szCs w:val="24"/>
        </w:rPr>
        <w:t>.</w:t>
      </w:r>
    </w:p>
    <w:p w:rsidR="004F75D0" w:rsidRDefault="004F75D0" w:rsidP="00552B0B">
      <w:pPr>
        <w:rPr>
          <w:sz w:val="24"/>
          <w:szCs w:val="24"/>
        </w:rPr>
      </w:pPr>
      <w:r w:rsidRPr="00EB544F">
        <w:rPr>
          <w:sz w:val="24"/>
          <w:szCs w:val="24"/>
        </w:rPr>
        <w:t xml:space="preserve">However in </w:t>
      </w:r>
      <w:r>
        <w:rPr>
          <w:sz w:val="24"/>
          <w:szCs w:val="24"/>
        </w:rPr>
        <w:t>2001-</w:t>
      </w:r>
      <w:r w:rsidRPr="00EB544F">
        <w:rPr>
          <w:sz w:val="24"/>
          <w:szCs w:val="24"/>
        </w:rPr>
        <w:t xml:space="preserve">2002, the Euclidean distance </w:t>
      </w:r>
      <w:r>
        <w:rPr>
          <w:sz w:val="24"/>
          <w:szCs w:val="24"/>
        </w:rPr>
        <w:t>from all the AM groups tends</w:t>
      </w:r>
      <w:r w:rsidRPr="00EB544F">
        <w:rPr>
          <w:sz w:val="24"/>
          <w:szCs w:val="24"/>
        </w:rPr>
        <w:t xml:space="preserve"> to increase and thus the degree of interde</w:t>
      </w:r>
      <w:r>
        <w:rPr>
          <w:sz w:val="24"/>
          <w:szCs w:val="24"/>
        </w:rPr>
        <w:t xml:space="preserve">pendence with China decreases </w:t>
      </w:r>
      <w:r>
        <w:rPr>
          <w:i/>
          <w:sz w:val="24"/>
          <w:szCs w:val="24"/>
        </w:rPr>
        <w:t xml:space="preserve">(Figures 8, 9, 10 </w:t>
      </w:r>
      <w:r w:rsidRPr="00DB5FC1">
        <w:rPr>
          <w:i/>
          <w:sz w:val="24"/>
          <w:szCs w:val="24"/>
        </w:rPr>
        <w:t xml:space="preserve">and </w:t>
      </w:r>
      <w:r>
        <w:rPr>
          <w:i/>
          <w:sz w:val="24"/>
          <w:szCs w:val="24"/>
        </w:rPr>
        <w:t>11).</w:t>
      </w:r>
      <w:r>
        <w:rPr>
          <w:sz w:val="24"/>
          <w:szCs w:val="24"/>
        </w:rPr>
        <w:t xml:space="preserve"> </w:t>
      </w:r>
    </w:p>
    <w:p w:rsidR="004F75D0" w:rsidRDefault="004F75D0" w:rsidP="00DF0DE6">
      <w:pPr>
        <w:keepNext/>
      </w:pPr>
      <w:r w:rsidRPr="00FE6530">
        <w:rPr>
          <w:noProof/>
          <w:sz w:val="24"/>
          <w:szCs w:val="24"/>
        </w:rPr>
        <w:pict>
          <v:shape id="Chart 6" o:spid="_x0000_i1035" type="#_x0000_t75" style="width:469.5pt;height:224.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">
            <v:imagedata r:id="rId16" o:title=""/>
            <o:lock v:ext="edit" aspectratio="f"/>
          </v:shape>
        </w:pict>
      </w:r>
    </w:p>
    <w:p w:rsidR="004F75D0" w:rsidRDefault="004F75D0" w:rsidP="00DF0DE6">
      <w:pPr>
        <w:pStyle w:val="Caption"/>
      </w:pPr>
      <w:bookmarkStart w:id="27" w:name="_Toc274047050"/>
      <w:r>
        <w:t xml:space="preserve">Figure </w:t>
      </w:r>
      <w:fldSimple w:instr=" SEQ Figure \* ARABIC ">
        <w:r>
          <w:rPr>
            <w:noProof/>
          </w:rPr>
          <w:t>8</w:t>
        </w:r>
      </w:fldSimple>
      <w:r>
        <w:t>: Graphical representation of the Euclidean distance between China and EU</w:t>
      </w:r>
      <w:bookmarkEnd w:id="27"/>
    </w:p>
    <w:p w:rsidR="004F75D0" w:rsidRPr="007C4117" w:rsidRDefault="004F75D0" w:rsidP="00D80719">
      <w:pPr>
        <w:rPr>
          <w:sz w:val="24"/>
          <w:szCs w:val="24"/>
        </w:rPr>
      </w:pPr>
      <w:r>
        <w:rPr>
          <w:sz w:val="24"/>
          <w:szCs w:val="24"/>
        </w:rPr>
        <w:t xml:space="preserve">Nevertheless safe conclusions about the decoupling hypothesis cannot be provided because the fluctuations of the Euclidean distances in all of the figures are not always moving to the same but also to the opposite direction from their trends. </w:t>
      </w:r>
    </w:p>
    <w:p w:rsidR="004F75D0" w:rsidRDefault="004F75D0" w:rsidP="00DF0DE6">
      <w:pPr>
        <w:keepNext/>
      </w:pPr>
      <w:r w:rsidRPr="00FE6530">
        <w:rPr>
          <w:noProof/>
          <w:sz w:val="24"/>
          <w:szCs w:val="24"/>
        </w:rPr>
        <w:pict>
          <v:shape id="Chart 5" o:spid="_x0000_i1036" type="#_x0000_t75" style="width:469.5pt;height:3in;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">
            <v:imagedata r:id="rId17" o:title=""/>
            <o:lock v:ext="edit" aspectratio="f"/>
          </v:shape>
        </w:pict>
      </w:r>
    </w:p>
    <w:p w:rsidR="004F75D0" w:rsidRDefault="004F75D0" w:rsidP="00DF0DE6">
      <w:pPr>
        <w:pStyle w:val="Caption"/>
        <w:rPr>
          <w:sz w:val="24"/>
          <w:szCs w:val="24"/>
        </w:rPr>
      </w:pPr>
      <w:bookmarkStart w:id="28" w:name="_Toc274047051"/>
      <w:r>
        <w:t xml:space="preserve">Figure </w:t>
      </w:r>
      <w:fldSimple w:instr=" SEQ Figure \* ARABIC ">
        <w:r>
          <w:rPr>
            <w:noProof/>
          </w:rPr>
          <w:t>9</w:t>
        </w:r>
      </w:fldSimple>
      <w:r>
        <w:t>: Graphical representation of the Euclidean distance between China and USA</w:t>
      </w:r>
      <w:bookmarkEnd w:id="28"/>
    </w:p>
    <w:p w:rsidR="004F75D0" w:rsidRDefault="004F75D0" w:rsidP="00552B0B">
      <w:pPr>
        <w:rPr>
          <w:sz w:val="24"/>
          <w:szCs w:val="24"/>
        </w:rPr>
      </w:pPr>
      <w:r>
        <w:rPr>
          <w:sz w:val="24"/>
          <w:szCs w:val="24"/>
        </w:rPr>
        <w:t xml:space="preserve">China’s Euclidean distance from the USA on the other hand presents exactly the opposite case </w:t>
      </w:r>
      <w:r w:rsidRPr="001B42CE">
        <w:rPr>
          <w:i/>
          <w:sz w:val="24"/>
          <w:szCs w:val="24"/>
        </w:rPr>
        <w:t>(</w:t>
      </w:r>
      <w:r>
        <w:rPr>
          <w:i/>
          <w:sz w:val="24"/>
          <w:szCs w:val="24"/>
        </w:rPr>
        <w:t>Figure 9</w:t>
      </w:r>
      <w:r w:rsidRPr="001B42CE">
        <w:rPr>
          <w:i/>
          <w:sz w:val="24"/>
          <w:szCs w:val="24"/>
        </w:rPr>
        <w:t>).</w:t>
      </w:r>
      <w:r>
        <w:rPr>
          <w:sz w:val="24"/>
          <w:szCs w:val="24"/>
        </w:rPr>
        <w:t xml:space="preserve"> Euclidean distance moves closer to its trend during the sub-period 1980 - 1992 implying higher degree of interdependence between their economies while from 1993 to 2007 fluctuates a lot more in average indicating that China has a tendency to decouple more from USA’s economy during the subsample’s period. </w:t>
      </w:r>
    </w:p>
    <w:p w:rsidR="004F75D0" w:rsidRDefault="004F75D0" w:rsidP="009379AA">
      <w:pPr>
        <w:keepNext/>
        <w:jc w:val="center"/>
      </w:pPr>
      <w:r w:rsidRPr="00FE6530">
        <w:rPr>
          <w:noProof/>
          <w:sz w:val="24"/>
          <w:szCs w:val="24"/>
        </w:rPr>
        <w:pict>
          <v:shape id="Chart 7" o:spid="_x0000_i1037" type="#_x0000_t75" style="width:469.5pt;height:223.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">
            <v:imagedata r:id="rId18" o:title=""/>
            <o:lock v:ext="edit" aspectratio="f"/>
          </v:shape>
        </w:pict>
      </w:r>
    </w:p>
    <w:p w:rsidR="004F75D0" w:rsidRDefault="004F75D0" w:rsidP="009379AA">
      <w:pPr>
        <w:pStyle w:val="Caption"/>
        <w:jc w:val="center"/>
      </w:pPr>
      <w:bookmarkStart w:id="29" w:name="_Toc274047052"/>
      <w:r>
        <w:t xml:space="preserve">Figure </w:t>
      </w:r>
      <w:fldSimple w:instr=" SEQ Figure \* ARABIC ">
        <w:r>
          <w:rPr>
            <w:noProof/>
          </w:rPr>
          <w:t>10</w:t>
        </w:r>
      </w:fldSimple>
      <w:r>
        <w:t>: Graphical representation of the Euclidean distance between China and World's advanced economies</w:t>
      </w:r>
      <w:bookmarkEnd w:id="29"/>
    </w:p>
    <w:p w:rsidR="004F75D0" w:rsidRDefault="004F75D0" w:rsidP="00D80719">
      <w:pPr>
        <w:rPr>
          <w:sz w:val="24"/>
          <w:szCs w:val="24"/>
        </w:rPr>
      </w:pPr>
      <w:r>
        <w:rPr>
          <w:sz w:val="24"/>
          <w:szCs w:val="24"/>
        </w:rPr>
        <w:t xml:space="preserve">USA’s results are again differentiated from the other groups of AM economies for the same reason as before </w:t>
      </w:r>
      <w:r w:rsidRPr="00A942D2">
        <w:rPr>
          <w:i/>
          <w:sz w:val="24"/>
          <w:szCs w:val="24"/>
        </w:rPr>
        <w:t>(unweighted average of individual output gaps as output gap of a group)</w:t>
      </w:r>
      <w:r>
        <w:rPr>
          <w:sz w:val="24"/>
          <w:szCs w:val="24"/>
        </w:rPr>
        <w:t>.</w:t>
      </w:r>
    </w:p>
    <w:p w:rsidR="004F75D0" w:rsidRDefault="004F75D0" w:rsidP="009379AA">
      <w:pPr>
        <w:keepNext/>
        <w:jc w:val="center"/>
      </w:pPr>
      <w:r w:rsidRPr="00FE6530">
        <w:rPr>
          <w:noProof/>
          <w:sz w:val="24"/>
          <w:szCs w:val="24"/>
        </w:rPr>
        <w:pict>
          <v:shape id="Chart 8" o:spid="_x0000_i1038" type="#_x0000_t75" style="width:471.75pt;height:211.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">
            <v:imagedata r:id="rId19" o:title=""/>
            <o:lock v:ext="edit" aspectratio="f"/>
          </v:shape>
        </w:pict>
      </w:r>
    </w:p>
    <w:p w:rsidR="004F75D0" w:rsidRDefault="004F75D0" w:rsidP="00C75E32">
      <w:pPr>
        <w:pStyle w:val="Caption"/>
      </w:pPr>
      <w:bookmarkStart w:id="30" w:name="_Toc274047053"/>
      <w:r>
        <w:t xml:space="preserve">Figure </w:t>
      </w:r>
      <w:fldSimple w:instr=" SEQ Figure \* ARABIC ">
        <w:r>
          <w:rPr>
            <w:noProof/>
          </w:rPr>
          <w:t>11</w:t>
        </w:r>
      </w:fldSimple>
      <w:r>
        <w:t>: Graphical representation of the Euclidean distance between China and G7</w:t>
      </w:r>
      <w:bookmarkEnd w:id="30"/>
    </w:p>
    <w:p w:rsidR="004F75D0" w:rsidRPr="00D80719" w:rsidRDefault="004F75D0" w:rsidP="00D80719"/>
    <w:p w:rsidR="004F75D0" w:rsidRPr="007F7735" w:rsidRDefault="004F75D0" w:rsidP="007F7735">
      <w:pPr>
        <w:pStyle w:val="ListParagraph"/>
        <w:numPr>
          <w:ilvl w:val="0"/>
          <w:numId w:val="25"/>
        </w:numPr>
        <w:rPr>
          <w:b/>
          <w:sz w:val="24"/>
          <w:szCs w:val="24"/>
        </w:rPr>
      </w:pPr>
      <w:r w:rsidRPr="007F7735">
        <w:rPr>
          <w:b/>
          <w:sz w:val="24"/>
          <w:szCs w:val="24"/>
        </w:rPr>
        <w:t>India</w:t>
      </w:r>
    </w:p>
    <w:p w:rsidR="004F75D0" w:rsidRDefault="004F75D0" w:rsidP="007F7735">
      <w:pPr>
        <w:rPr>
          <w:sz w:val="24"/>
          <w:szCs w:val="24"/>
        </w:rPr>
      </w:pPr>
      <w:r w:rsidRPr="00EB544F">
        <w:rPr>
          <w:sz w:val="24"/>
          <w:szCs w:val="24"/>
        </w:rPr>
        <w:t>India appears to be very interdependent with all groups of advanced</w:t>
      </w:r>
      <w:r>
        <w:rPr>
          <w:sz w:val="24"/>
          <w:szCs w:val="24"/>
        </w:rPr>
        <w:t>-market</w:t>
      </w:r>
      <w:r w:rsidRPr="00EB544F">
        <w:rPr>
          <w:sz w:val="24"/>
          <w:szCs w:val="24"/>
        </w:rPr>
        <w:t xml:space="preserve"> countries but with USA alone. Interdependence between India and all the</w:t>
      </w:r>
      <w:r>
        <w:rPr>
          <w:sz w:val="24"/>
          <w:szCs w:val="24"/>
        </w:rPr>
        <w:t>se</w:t>
      </w:r>
      <w:r w:rsidRPr="00EB544F">
        <w:rPr>
          <w:sz w:val="24"/>
          <w:szCs w:val="24"/>
        </w:rPr>
        <w:t xml:space="preserve"> three groups remain</w:t>
      </w:r>
      <w:r>
        <w:rPr>
          <w:sz w:val="24"/>
          <w:szCs w:val="24"/>
        </w:rPr>
        <w:t>s</w:t>
      </w:r>
      <w:r w:rsidRPr="00EB544F">
        <w:rPr>
          <w:sz w:val="24"/>
          <w:szCs w:val="24"/>
        </w:rPr>
        <w:t xml:space="preserve"> high and stable throughout </w:t>
      </w:r>
      <w:r>
        <w:rPr>
          <w:sz w:val="24"/>
          <w:szCs w:val="24"/>
        </w:rPr>
        <w:t xml:space="preserve">all </w:t>
      </w:r>
      <w:r w:rsidRPr="00EB544F">
        <w:rPr>
          <w:sz w:val="24"/>
          <w:szCs w:val="24"/>
        </w:rPr>
        <w:t xml:space="preserve">the sample years since the Euclidean distance is </w:t>
      </w:r>
      <w:r>
        <w:rPr>
          <w:sz w:val="24"/>
          <w:szCs w:val="24"/>
        </w:rPr>
        <w:t>continuously</w:t>
      </w:r>
      <w:r w:rsidRPr="00EB544F">
        <w:rPr>
          <w:sz w:val="24"/>
          <w:szCs w:val="24"/>
        </w:rPr>
        <w:t xml:space="preserve"> closely moving to its trend</w:t>
      </w:r>
      <w:r>
        <w:rPr>
          <w:sz w:val="24"/>
          <w:szCs w:val="24"/>
        </w:rPr>
        <w:t xml:space="preserve"> </w:t>
      </w:r>
      <w:r w:rsidRPr="00A83103">
        <w:rPr>
          <w:i/>
          <w:sz w:val="24"/>
          <w:szCs w:val="24"/>
        </w:rPr>
        <w:t>(</w:t>
      </w:r>
      <w:r>
        <w:rPr>
          <w:i/>
          <w:sz w:val="24"/>
          <w:szCs w:val="24"/>
        </w:rPr>
        <w:t xml:space="preserve">Figure </w:t>
      </w:r>
      <w:r w:rsidRPr="00A83103">
        <w:rPr>
          <w:i/>
          <w:sz w:val="24"/>
          <w:szCs w:val="24"/>
        </w:rPr>
        <w:t>1</w:t>
      </w:r>
      <w:r>
        <w:rPr>
          <w:i/>
          <w:sz w:val="24"/>
          <w:szCs w:val="24"/>
        </w:rPr>
        <w:t>2, 14 and 15</w:t>
      </w:r>
      <w:r w:rsidRPr="00A83103">
        <w:rPr>
          <w:i/>
          <w:sz w:val="24"/>
          <w:szCs w:val="24"/>
        </w:rPr>
        <w:t>)</w:t>
      </w:r>
      <w:r w:rsidRPr="00EB544F">
        <w:rPr>
          <w:sz w:val="24"/>
          <w:szCs w:val="24"/>
        </w:rPr>
        <w:t>.</w:t>
      </w:r>
      <w:r>
        <w:rPr>
          <w:sz w:val="24"/>
          <w:szCs w:val="24"/>
        </w:rPr>
        <w:t xml:space="preserve"> </w:t>
      </w:r>
    </w:p>
    <w:p w:rsidR="004F75D0" w:rsidRDefault="004F75D0" w:rsidP="007F7735">
      <w:pPr>
        <w:rPr>
          <w:sz w:val="24"/>
          <w:szCs w:val="24"/>
        </w:rPr>
      </w:pPr>
      <w:r>
        <w:rPr>
          <w:sz w:val="24"/>
          <w:szCs w:val="24"/>
        </w:rPr>
        <w:t>However according to the second criterion, the one that states that interdependence is also a function of the direction of India’s Euclidean distances compared to their trends, decoupling hypothesis cannot be safely accepted or rejected since in every Figure of India trends are moving to the opposite direction from Euclidean distances.</w:t>
      </w:r>
    </w:p>
    <w:p w:rsidR="004F75D0" w:rsidRDefault="004F75D0" w:rsidP="009379AA">
      <w:pPr>
        <w:keepNext/>
      </w:pPr>
      <w:r w:rsidRPr="00FE6530">
        <w:rPr>
          <w:noProof/>
          <w:sz w:val="24"/>
          <w:szCs w:val="24"/>
        </w:rPr>
        <w:pict>
          <v:shape id="Chart 14" o:spid="_x0000_i1039" type="#_x0000_t75" style="width:470.25pt;height:210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">
            <v:imagedata r:id="rId20" o:title=""/>
            <o:lock v:ext="edit" aspectratio="f"/>
          </v:shape>
        </w:pict>
      </w:r>
    </w:p>
    <w:p w:rsidR="004F75D0" w:rsidRDefault="004F75D0" w:rsidP="007F7735">
      <w:pPr>
        <w:pStyle w:val="Caption"/>
        <w:rPr>
          <w:sz w:val="24"/>
          <w:szCs w:val="24"/>
        </w:rPr>
      </w:pPr>
      <w:bookmarkStart w:id="31" w:name="_Toc274047054"/>
      <w:r>
        <w:t xml:space="preserve">Figure </w:t>
      </w:r>
      <w:fldSimple w:instr=" SEQ Figure \* ARABIC ">
        <w:r>
          <w:rPr>
            <w:noProof/>
          </w:rPr>
          <w:t>12</w:t>
        </w:r>
      </w:fldSimple>
      <w:r>
        <w:t>: Graphical representation of the Euclidean distance between India and EU</w:t>
      </w:r>
      <w:bookmarkEnd w:id="31"/>
    </w:p>
    <w:p w:rsidR="004F75D0" w:rsidRDefault="004F75D0" w:rsidP="007F7735">
      <w:pPr>
        <w:rPr>
          <w:sz w:val="24"/>
          <w:szCs w:val="24"/>
        </w:rPr>
      </w:pPr>
      <w:r w:rsidRPr="00EB544F">
        <w:rPr>
          <w:sz w:val="24"/>
          <w:szCs w:val="24"/>
        </w:rPr>
        <w:t>On th</w:t>
      </w:r>
      <w:r>
        <w:rPr>
          <w:sz w:val="24"/>
          <w:szCs w:val="24"/>
        </w:rPr>
        <w:t>e other hand Euclidean distance between</w:t>
      </w:r>
      <w:r w:rsidRPr="00EB544F">
        <w:rPr>
          <w:sz w:val="24"/>
          <w:szCs w:val="24"/>
        </w:rPr>
        <w:t xml:space="preserve"> India </w:t>
      </w:r>
      <w:r>
        <w:rPr>
          <w:sz w:val="24"/>
          <w:szCs w:val="24"/>
        </w:rPr>
        <w:t>and</w:t>
      </w:r>
      <w:r w:rsidRPr="00EB544F">
        <w:rPr>
          <w:sz w:val="24"/>
          <w:szCs w:val="24"/>
        </w:rPr>
        <w:t xml:space="preserve"> the USA appears to fluctuate a lot</w:t>
      </w:r>
      <w:r>
        <w:rPr>
          <w:sz w:val="24"/>
          <w:szCs w:val="24"/>
        </w:rPr>
        <w:t xml:space="preserve"> </w:t>
      </w:r>
      <w:r w:rsidRPr="00943713">
        <w:rPr>
          <w:i/>
          <w:sz w:val="24"/>
          <w:szCs w:val="24"/>
        </w:rPr>
        <w:t>(</w:t>
      </w:r>
      <w:r>
        <w:rPr>
          <w:i/>
          <w:sz w:val="24"/>
          <w:szCs w:val="24"/>
        </w:rPr>
        <w:t>Figure 13</w:t>
      </w:r>
      <w:r w:rsidRPr="00943713">
        <w:rPr>
          <w:i/>
          <w:sz w:val="24"/>
          <w:szCs w:val="24"/>
        </w:rPr>
        <w:t>).</w:t>
      </w:r>
      <w:r w:rsidRPr="00EB544F">
        <w:rPr>
          <w:sz w:val="24"/>
          <w:szCs w:val="24"/>
        </w:rPr>
        <w:t xml:space="preserve"> The degree of non-interdependence seems to be stable</w:t>
      </w:r>
      <w:r>
        <w:rPr>
          <w:sz w:val="24"/>
          <w:szCs w:val="24"/>
        </w:rPr>
        <w:t xml:space="preserve"> and</w:t>
      </w:r>
      <w:r w:rsidRPr="00EB544F">
        <w:rPr>
          <w:sz w:val="24"/>
          <w:szCs w:val="24"/>
        </w:rPr>
        <w:t xml:space="preserve"> </w:t>
      </w:r>
      <w:r>
        <w:rPr>
          <w:sz w:val="24"/>
          <w:szCs w:val="24"/>
        </w:rPr>
        <w:t>with</w:t>
      </w:r>
      <w:r w:rsidRPr="00EB544F">
        <w:rPr>
          <w:sz w:val="24"/>
          <w:szCs w:val="24"/>
        </w:rPr>
        <w:t xml:space="preserve"> high </w:t>
      </w:r>
      <w:r>
        <w:rPr>
          <w:sz w:val="24"/>
          <w:szCs w:val="24"/>
        </w:rPr>
        <w:t>rate</w:t>
      </w:r>
      <w:r w:rsidRPr="00EB544F">
        <w:rPr>
          <w:sz w:val="24"/>
          <w:szCs w:val="24"/>
        </w:rPr>
        <w:t xml:space="preserve"> throughout the sample years including the recent years for which </w:t>
      </w:r>
      <w:r>
        <w:rPr>
          <w:sz w:val="24"/>
          <w:szCs w:val="24"/>
        </w:rPr>
        <w:t xml:space="preserve">it </w:t>
      </w:r>
      <w:r w:rsidRPr="00EB544F">
        <w:rPr>
          <w:sz w:val="24"/>
          <w:szCs w:val="24"/>
        </w:rPr>
        <w:t>can be regarded that the decoupli</w:t>
      </w:r>
      <w:r>
        <w:rPr>
          <w:sz w:val="24"/>
          <w:szCs w:val="24"/>
        </w:rPr>
        <w:t xml:space="preserve">ng hypothesis partly confirms. </w:t>
      </w:r>
    </w:p>
    <w:p w:rsidR="004F75D0" w:rsidRDefault="004F75D0" w:rsidP="00D80719">
      <w:pPr>
        <w:rPr>
          <w:sz w:val="24"/>
          <w:szCs w:val="24"/>
        </w:rPr>
      </w:pPr>
      <w:r>
        <w:rPr>
          <w:sz w:val="24"/>
          <w:szCs w:val="24"/>
        </w:rPr>
        <w:t>Therefore India’s business cycles are detached from the business cycles of USA in the majority of the sample years.</w:t>
      </w:r>
    </w:p>
    <w:p w:rsidR="004F75D0" w:rsidRPr="00D80719" w:rsidRDefault="004F75D0" w:rsidP="00D80719">
      <w:pPr>
        <w:rPr>
          <w:sz w:val="24"/>
          <w:szCs w:val="24"/>
        </w:rPr>
      </w:pPr>
      <w:r w:rsidRPr="00FE6530">
        <w:rPr>
          <w:noProof/>
          <w:sz w:val="24"/>
          <w:szCs w:val="24"/>
        </w:rPr>
        <w:pict>
          <v:shape id="Chart 9" o:spid="_x0000_i1040" type="#_x0000_t75" style="width:470.25pt;height:21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">
            <v:imagedata r:id="rId21" o:title="" cropbottom="-16f"/>
            <o:lock v:ext="edit" aspectratio="f"/>
          </v:shape>
        </w:pict>
      </w:r>
    </w:p>
    <w:p w:rsidR="004F75D0" w:rsidRDefault="004F75D0" w:rsidP="009379AA">
      <w:pPr>
        <w:pStyle w:val="Caption"/>
        <w:rPr>
          <w:sz w:val="24"/>
          <w:szCs w:val="24"/>
        </w:rPr>
      </w:pPr>
      <w:bookmarkStart w:id="32" w:name="_Toc274047055"/>
      <w:r>
        <w:t xml:space="preserve">Figure </w:t>
      </w:r>
      <w:fldSimple w:instr=" SEQ Figure \* ARABIC ">
        <w:r>
          <w:rPr>
            <w:noProof/>
          </w:rPr>
          <w:t>13</w:t>
        </w:r>
      </w:fldSimple>
      <w:r>
        <w:t>: Graphical representation of the Euclidean distance between India and USA</w:t>
      </w:r>
      <w:bookmarkEnd w:id="32"/>
    </w:p>
    <w:p w:rsidR="004F75D0" w:rsidRDefault="004F75D0" w:rsidP="007F7735">
      <w:pPr>
        <w:rPr>
          <w:i/>
          <w:sz w:val="24"/>
          <w:szCs w:val="24"/>
        </w:rPr>
      </w:pPr>
      <w:r>
        <w:rPr>
          <w:sz w:val="24"/>
          <w:szCs w:val="24"/>
        </w:rPr>
        <w:t xml:space="preserve">Less degree of interdependence with the USA is also present here and the reason of the difference from the output gaps’ fluctuations of the other three groups is probably the same as with the other two EM economies, Brazil and China </w:t>
      </w:r>
      <w:r w:rsidRPr="00BF32FE">
        <w:rPr>
          <w:i/>
          <w:sz w:val="24"/>
          <w:szCs w:val="24"/>
        </w:rPr>
        <w:t>(unweighted average of individual output gaps as output gap of a group).</w:t>
      </w:r>
    </w:p>
    <w:p w:rsidR="004F75D0" w:rsidRPr="00BF32FE" w:rsidRDefault="004F75D0" w:rsidP="007F7735">
      <w:pPr>
        <w:rPr>
          <w:i/>
          <w:sz w:val="24"/>
          <w:szCs w:val="24"/>
        </w:rPr>
      </w:pPr>
    </w:p>
    <w:p w:rsidR="004F75D0" w:rsidRDefault="004F75D0" w:rsidP="009379AA">
      <w:pPr>
        <w:keepNext/>
      </w:pPr>
      <w:r w:rsidRPr="00FE6530">
        <w:rPr>
          <w:noProof/>
          <w:sz w:val="24"/>
          <w:szCs w:val="24"/>
        </w:rPr>
        <w:pict>
          <v:shape id="Chart 15" o:spid="_x0000_i1041" type="#_x0000_t75" style="width:469.5pt;height:251.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">
            <v:imagedata r:id="rId22" o:title=""/>
            <o:lock v:ext="edit" aspectratio="f"/>
          </v:shape>
        </w:pict>
      </w:r>
    </w:p>
    <w:p w:rsidR="004F75D0" w:rsidRDefault="004F75D0" w:rsidP="009379AA">
      <w:pPr>
        <w:pStyle w:val="Caption"/>
      </w:pPr>
      <w:bookmarkStart w:id="33" w:name="_Toc274047056"/>
      <w:r>
        <w:t xml:space="preserve">Figure </w:t>
      </w:r>
      <w:fldSimple w:instr=" SEQ Figure \* ARABIC ">
        <w:r>
          <w:rPr>
            <w:noProof/>
          </w:rPr>
          <w:t>14</w:t>
        </w:r>
      </w:fldSimple>
      <w:r>
        <w:t>: Graphical representation of the Euclidean distance and the World's advanced economies</w:t>
      </w:r>
      <w:bookmarkEnd w:id="33"/>
    </w:p>
    <w:p w:rsidR="004F75D0" w:rsidRPr="00D80719" w:rsidRDefault="004F75D0" w:rsidP="00D80719"/>
    <w:p w:rsidR="004F75D0" w:rsidRDefault="004F75D0" w:rsidP="00433F12">
      <w:pPr>
        <w:rPr>
          <w:noProof/>
          <w:sz w:val="24"/>
          <w:szCs w:val="24"/>
        </w:rPr>
      </w:pPr>
      <w:r>
        <w:rPr>
          <w:sz w:val="24"/>
          <w:szCs w:val="24"/>
        </w:rPr>
        <w:t>The fluctuation of the Euclidean distance from its trend is smaller from 1999 onwards than it was during 1992 to 1998. Therefore although India’s Euclidean distance with the USA is fluctuating much more in comparison to the Euclidean distance from the other AM groups, it shows an increasing rate of interdependence in the last years of the sample.</w:t>
      </w:r>
      <w:r w:rsidRPr="002F7D77">
        <w:rPr>
          <w:noProof/>
          <w:sz w:val="24"/>
          <w:szCs w:val="24"/>
        </w:rPr>
        <w:t xml:space="preserve"> </w:t>
      </w:r>
      <w:r>
        <w:rPr>
          <w:noProof/>
          <w:sz w:val="24"/>
          <w:szCs w:val="24"/>
        </w:rPr>
        <w:t>Therefore a safe conclusion about the decoupling hypothesis cannot be provided simply from the Euclidean distance.</w:t>
      </w:r>
    </w:p>
    <w:p w:rsidR="004F75D0" w:rsidRDefault="004F75D0" w:rsidP="009379AA">
      <w:pPr>
        <w:keepNext/>
        <w:jc w:val="center"/>
      </w:pPr>
      <w:r w:rsidRPr="00FE6530">
        <w:rPr>
          <w:noProof/>
          <w:sz w:val="24"/>
          <w:szCs w:val="24"/>
        </w:rPr>
        <w:pict>
          <v:shape id="Chart 16" o:spid="_x0000_i1042" type="#_x0000_t75" style="width:468pt;height:211.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">
            <v:imagedata r:id="rId23" o:title=""/>
            <o:lock v:ext="edit" aspectratio="f"/>
          </v:shape>
        </w:pict>
      </w:r>
    </w:p>
    <w:p w:rsidR="004F75D0" w:rsidRDefault="004F75D0" w:rsidP="00E52BF7">
      <w:pPr>
        <w:pStyle w:val="Caption"/>
        <w:rPr>
          <w:sz w:val="24"/>
          <w:szCs w:val="24"/>
        </w:rPr>
      </w:pPr>
      <w:bookmarkStart w:id="34" w:name="_Toc274047057"/>
      <w:r>
        <w:t xml:space="preserve">Figure </w:t>
      </w:r>
      <w:fldSimple w:instr=" SEQ Figure \* ARABIC ">
        <w:r>
          <w:rPr>
            <w:noProof/>
          </w:rPr>
          <w:t>15</w:t>
        </w:r>
      </w:fldSimple>
      <w:r>
        <w:t>: Graphical representation of the Euclidean distance between India and G7</w:t>
      </w:r>
      <w:bookmarkEnd w:id="34"/>
    </w:p>
    <w:p w:rsidR="004F75D0" w:rsidRDefault="004F75D0" w:rsidP="007F7735"/>
    <w:p w:rsidR="004F75D0" w:rsidRPr="007F7735" w:rsidRDefault="004F75D0" w:rsidP="007F7735"/>
    <w:p w:rsidR="004F75D0" w:rsidRPr="007F7735" w:rsidRDefault="004F75D0" w:rsidP="007F7735">
      <w:pPr>
        <w:pStyle w:val="ListParagraph"/>
        <w:numPr>
          <w:ilvl w:val="0"/>
          <w:numId w:val="25"/>
        </w:numPr>
        <w:rPr>
          <w:b/>
          <w:sz w:val="24"/>
          <w:szCs w:val="24"/>
        </w:rPr>
      </w:pPr>
      <w:r w:rsidRPr="007F7735">
        <w:rPr>
          <w:b/>
          <w:sz w:val="24"/>
          <w:szCs w:val="24"/>
        </w:rPr>
        <w:t>Russia</w:t>
      </w:r>
    </w:p>
    <w:p w:rsidR="004F75D0" w:rsidRPr="00433F12" w:rsidRDefault="004F75D0" w:rsidP="007F7735">
      <w:pPr>
        <w:rPr>
          <w:i/>
          <w:sz w:val="24"/>
          <w:szCs w:val="24"/>
        </w:rPr>
      </w:pPr>
      <w:r w:rsidRPr="00EB544F">
        <w:rPr>
          <w:sz w:val="24"/>
          <w:szCs w:val="24"/>
        </w:rPr>
        <w:t xml:space="preserve">Russia appears to have the same attitude as India. Even though the data are less starting from 1992 instead of 1980 </w:t>
      </w:r>
      <w:r w:rsidRPr="00BF32FE">
        <w:rPr>
          <w:i/>
          <w:sz w:val="24"/>
          <w:szCs w:val="24"/>
        </w:rPr>
        <w:t>(which is the case for the other emerging countries)</w:t>
      </w:r>
      <w:r>
        <w:rPr>
          <w:sz w:val="24"/>
          <w:szCs w:val="24"/>
        </w:rPr>
        <w:t xml:space="preserve"> due to lack of GDP values in the years before 1992</w:t>
      </w:r>
      <w:r w:rsidRPr="00EB544F">
        <w:rPr>
          <w:sz w:val="24"/>
          <w:szCs w:val="24"/>
        </w:rPr>
        <w:t>, the degree of interd</w:t>
      </w:r>
      <w:r>
        <w:rPr>
          <w:sz w:val="24"/>
          <w:szCs w:val="24"/>
        </w:rPr>
        <w:t xml:space="preserve">ependence is lower with the USA, </w:t>
      </w:r>
      <w:r w:rsidRPr="00EB544F">
        <w:rPr>
          <w:sz w:val="24"/>
          <w:szCs w:val="24"/>
        </w:rPr>
        <w:t xml:space="preserve">while appears to show an increased </w:t>
      </w:r>
      <w:r>
        <w:rPr>
          <w:sz w:val="24"/>
          <w:szCs w:val="24"/>
        </w:rPr>
        <w:t>rate</w:t>
      </w:r>
      <w:r w:rsidRPr="00EB544F">
        <w:rPr>
          <w:sz w:val="24"/>
          <w:szCs w:val="24"/>
        </w:rPr>
        <w:t xml:space="preserve"> of interdependence with the other three groups of countries </w:t>
      </w:r>
      <w:r>
        <w:rPr>
          <w:sz w:val="24"/>
          <w:szCs w:val="24"/>
        </w:rPr>
        <w:t>implying rejection of</w:t>
      </w:r>
      <w:r w:rsidRPr="00EB544F">
        <w:rPr>
          <w:sz w:val="24"/>
          <w:szCs w:val="24"/>
        </w:rPr>
        <w:t xml:space="preserve"> the decoupling hypothesis</w:t>
      </w:r>
      <w:r>
        <w:rPr>
          <w:sz w:val="24"/>
          <w:szCs w:val="24"/>
        </w:rPr>
        <w:t xml:space="preserve"> in their cases </w:t>
      </w:r>
      <w:r w:rsidRPr="00B952B4">
        <w:rPr>
          <w:i/>
          <w:sz w:val="24"/>
          <w:szCs w:val="24"/>
        </w:rPr>
        <w:t>(</w:t>
      </w:r>
      <w:r>
        <w:rPr>
          <w:i/>
          <w:sz w:val="24"/>
          <w:szCs w:val="24"/>
        </w:rPr>
        <w:t>Figures 16, 18 and 19</w:t>
      </w:r>
      <w:r w:rsidRPr="00B952B4">
        <w:rPr>
          <w:i/>
          <w:sz w:val="24"/>
          <w:szCs w:val="24"/>
        </w:rPr>
        <w:t>)</w:t>
      </w:r>
      <w:r>
        <w:rPr>
          <w:i/>
          <w:sz w:val="24"/>
          <w:szCs w:val="24"/>
        </w:rPr>
        <w:t xml:space="preserve">. </w:t>
      </w:r>
      <w:r>
        <w:rPr>
          <w:sz w:val="24"/>
          <w:szCs w:val="24"/>
        </w:rPr>
        <w:t>A</w:t>
      </w:r>
      <w:r w:rsidRPr="006B21EC">
        <w:rPr>
          <w:sz w:val="24"/>
          <w:szCs w:val="24"/>
        </w:rPr>
        <w:t>t the same time</w:t>
      </w:r>
      <w:r>
        <w:rPr>
          <w:i/>
          <w:sz w:val="24"/>
          <w:szCs w:val="24"/>
        </w:rPr>
        <w:t xml:space="preserve"> </w:t>
      </w:r>
      <w:r>
        <w:rPr>
          <w:sz w:val="24"/>
          <w:szCs w:val="24"/>
        </w:rPr>
        <w:t>however Euclidean distances are not always moving towards the same direction as their trends do so that clear-cut conclusions are not feasible to provide.</w:t>
      </w:r>
    </w:p>
    <w:p w:rsidR="004F75D0" w:rsidRDefault="004F75D0" w:rsidP="009379AA">
      <w:pPr>
        <w:keepNext/>
        <w:jc w:val="center"/>
      </w:pPr>
      <w:r w:rsidRPr="00FE6530">
        <w:rPr>
          <w:b/>
          <w:noProof/>
          <w:sz w:val="24"/>
          <w:szCs w:val="24"/>
        </w:rPr>
        <w:pict>
          <v:shape id="Chart 11" o:spid="_x0000_i1043" type="#_x0000_t75" style="width:468pt;height:20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">
            <v:imagedata r:id="rId24" o:title=""/>
            <o:lock v:ext="edit" aspectratio="f"/>
          </v:shape>
        </w:pict>
      </w:r>
    </w:p>
    <w:p w:rsidR="004F75D0" w:rsidRPr="007F7735" w:rsidRDefault="004F75D0" w:rsidP="00E52BF7">
      <w:pPr>
        <w:pStyle w:val="Caption"/>
        <w:rPr>
          <w:b w:val="0"/>
          <w:sz w:val="24"/>
          <w:szCs w:val="24"/>
        </w:rPr>
      </w:pPr>
      <w:bookmarkStart w:id="35" w:name="_Toc274047058"/>
      <w:r>
        <w:t xml:space="preserve">Figure </w:t>
      </w:r>
      <w:fldSimple w:instr=" SEQ Figure \* ARABIC ">
        <w:r>
          <w:rPr>
            <w:noProof/>
          </w:rPr>
          <w:t>16</w:t>
        </w:r>
      </w:fldSimple>
      <w:r>
        <w:t>: Graphical representation of the Euclidean distance between Russia and EU</w:t>
      </w:r>
      <w:bookmarkEnd w:id="35"/>
    </w:p>
    <w:p w:rsidR="004F75D0" w:rsidRDefault="004F75D0" w:rsidP="007F7735">
      <w:pPr>
        <w:rPr>
          <w:sz w:val="24"/>
          <w:szCs w:val="24"/>
        </w:rPr>
      </w:pPr>
      <w:r>
        <w:rPr>
          <w:sz w:val="24"/>
          <w:szCs w:val="24"/>
        </w:rPr>
        <w:t xml:space="preserve">Euclidean distance of Russia from the USA is similarly to the other EM countries’ corresponding Euclidean distances from the USA fluctuating a lot and simultaneously moving to different directions from its trend, implying non-interdependence </w:t>
      </w:r>
      <w:r w:rsidRPr="002F7D77">
        <w:rPr>
          <w:i/>
          <w:sz w:val="24"/>
          <w:szCs w:val="24"/>
        </w:rPr>
        <w:t>(</w:t>
      </w:r>
      <w:r>
        <w:rPr>
          <w:i/>
          <w:sz w:val="24"/>
          <w:szCs w:val="24"/>
        </w:rPr>
        <w:t>Figures 17 and 5, 9, 13</w:t>
      </w:r>
      <w:r w:rsidRPr="002F7D77">
        <w:rPr>
          <w:i/>
          <w:sz w:val="24"/>
          <w:szCs w:val="24"/>
        </w:rPr>
        <w:t>).</w:t>
      </w:r>
      <w:r>
        <w:rPr>
          <w:sz w:val="24"/>
          <w:szCs w:val="24"/>
        </w:rPr>
        <w:t xml:space="preserve"> </w:t>
      </w:r>
    </w:p>
    <w:p w:rsidR="004F75D0" w:rsidRDefault="004F75D0" w:rsidP="009379AA">
      <w:pPr>
        <w:keepNext/>
      </w:pPr>
      <w:r w:rsidRPr="00FE6530">
        <w:rPr>
          <w:noProof/>
          <w:sz w:val="24"/>
          <w:szCs w:val="24"/>
        </w:rPr>
        <w:pict>
          <v:shape id="Chart 10" o:spid="_x0000_i1044" type="#_x0000_t75" style="width:467.25pt;height:204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">
            <v:imagedata r:id="rId25" o:title=""/>
            <o:lock v:ext="edit" aspectratio="f"/>
          </v:shape>
        </w:pict>
      </w:r>
    </w:p>
    <w:p w:rsidR="004F75D0" w:rsidRDefault="004F75D0" w:rsidP="009379AA">
      <w:pPr>
        <w:pStyle w:val="Caption"/>
        <w:rPr>
          <w:sz w:val="24"/>
          <w:szCs w:val="24"/>
        </w:rPr>
      </w:pPr>
      <w:bookmarkStart w:id="36" w:name="_Toc274047059"/>
      <w:r>
        <w:t xml:space="preserve">Figure </w:t>
      </w:r>
      <w:fldSimple w:instr=" SEQ Figure \* ARABIC ">
        <w:r>
          <w:rPr>
            <w:noProof/>
          </w:rPr>
          <w:t>17</w:t>
        </w:r>
      </w:fldSimple>
      <w:r>
        <w:t>: Graphical representation of the Euclidean distance between Russia and USA</w:t>
      </w:r>
      <w:bookmarkEnd w:id="36"/>
    </w:p>
    <w:p w:rsidR="004F75D0" w:rsidRDefault="004F75D0" w:rsidP="00433F12">
      <w:pPr>
        <w:rPr>
          <w:sz w:val="24"/>
          <w:szCs w:val="24"/>
        </w:rPr>
      </w:pPr>
      <w:r>
        <w:rPr>
          <w:sz w:val="24"/>
          <w:szCs w:val="24"/>
        </w:rPr>
        <w:t xml:space="preserve">Nevertheless the Euclidean distance between Russia and USA is in average lower during the </w:t>
      </w:r>
      <w:r w:rsidRPr="00835D48">
        <w:rPr>
          <w:rFonts w:cs="Calibri"/>
          <w:sz w:val="24"/>
          <w:szCs w:val="24"/>
        </w:rPr>
        <w:t>recent years in comparison to older ones</w:t>
      </w:r>
      <w:r>
        <w:rPr>
          <w:sz w:val="24"/>
          <w:szCs w:val="24"/>
        </w:rPr>
        <w:t xml:space="preserve"> and thus meaning that interdependence is higher.</w:t>
      </w:r>
    </w:p>
    <w:p w:rsidR="004F75D0" w:rsidRDefault="004F75D0" w:rsidP="009379AA">
      <w:pPr>
        <w:keepNext/>
        <w:jc w:val="center"/>
      </w:pPr>
      <w:r w:rsidRPr="00FE6530">
        <w:rPr>
          <w:noProof/>
          <w:sz w:val="24"/>
          <w:szCs w:val="24"/>
        </w:rPr>
        <w:pict>
          <v:shape id="Chart 12" o:spid="_x0000_i1045" type="#_x0000_t75" style="width:467.25pt;height:2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">
            <v:imagedata r:id="rId26" o:title=""/>
            <o:lock v:ext="edit" aspectratio="f"/>
          </v:shape>
        </w:pict>
      </w:r>
    </w:p>
    <w:p w:rsidR="004F75D0" w:rsidRDefault="004F75D0" w:rsidP="009379AA">
      <w:pPr>
        <w:pStyle w:val="Caption"/>
        <w:jc w:val="center"/>
      </w:pPr>
      <w:bookmarkStart w:id="37" w:name="_Toc274047060"/>
      <w:r>
        <w:t xml:space="preserve">Figure </w:t>
      </w:r>
      <w:fldSimple w:instr=" SEQ Figure \* ARABIC ">
        <w:r>
          <w:rPr>
            <w:noProof/>
          </w:rPr>
          <w:t>18</w:t>
        </w:r>
      </w:fldSimple>
      <w:r>
        <w:t>: Graphical representation of the Euclidean distance between Russia and World's advanced economies</w:t>
      </w:r>
      <w:bookmarkEnd w:id="37"/>
    </w:p>
    <w:p w:rsidR="004F75D0" w:rsidRDefault="004F75D0" w:rsidP="009379AA">
      <w:pPr>
        <w:keepNext/>
      </w:pPr>
      <w:r w:rsidRPr="00CD38A1">
        <w:rPr>
          <w:noProof/>
        </w:rPr>
        <w:pict>
          <v:shape id="Chart 13" o:spid="_x0000_i1046" type="#_x0000_t75" style="width:467.25pt;height:234.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">
            <v:imagedata r:id="rId27" o:title="" cropbottom="-14f"/>
            <o:lock v:ext="edit" aspectratio="f"/>
          </v:shape>
        </w:pict>
      </w:r>
    </w:p>
    <w:p w:rsidR="004F75D0" w:rsidRDefault="004F75D0" w:rsidP="009379AA">
      <w:pPr>
        <w:pStyle w:val="Caption"/>
      </w:pPr>
      <w:bookmarkStart w:id="38" w:name="_Toc274047061"/>
      <w:r>
        <w:t xml:space="preserve">Figure </w:t>
      </w:r>
      <w:fldSimple w:instr=" SEQ Figure \* ARABIC ">
        <w:r>
          <w:rPr>
            <w:noProof/>
          </w:rPr>
          <w:t>19</w:t>
        </w:r>
      </w:fldSimple>
      <w:r>
        <w:t>: Graphical representation of the Euclidean distance between Russia and G7</w:t>
      </w:r>
      <w:bookmarkEnd w:id="38"/>
    </w:p>
    <w:p w:rsidR="004F75D0" w:rsidRPr="000C59ED" w:rsidRDefault="004F75D0" w:rsidP="000C59ED"/>
    <w:p w:rsidR="004F75D0" w:rsidRPr="006E18B6" w:rsidRDefault="004F75D0" w:rsidP="00135372">
      <w:pPr>
        <w:pStyle w:val="ListParagraph"/>
        <w:numPr>
          <w:ilvl w:val="0"/>
          <w:numId w:val="25"/>
        </w:numPr>
        <w:rPr>
          <w:b/>
          <w:sz w:val="24"/>
          <w:szCs w:val="24"/>
        </w:rPr>
      </w:pPr>
      <w:r w:rsidRPr="006E18B6">
        <w:rPr>
          <w:b/>
          <w:sz w:val="24"/>
          <w:szCs w:val="24"/>
        </w:rPr>
        <w:t>Emerging Markets</w:t>
      </w:r>
    </w:p>
    <w:p w:rsidR="004F75D0" w:rsidRPr="006E18B6" w:rsidRDefault="004F75D0" w:rsidP="00135372">
      <w:pPr>
        <w:jc w:val="left"/>
        <w:rPr>
          <w:sz w:val="24"/>
          <w:szCs w:val="24"/>
        </w:rPr>
      </w:pPr>
      <w:r w:rsidRPr="006E18B6">
        <w:rPr>
          <w:sz w:val="24"/>
          <w:szCs w:val="24"/>
        </w:rPr>
        <w:t xml:space="preserve">Supporting the graphical evidence of the individually tested countries, the graphical depiction of the EM countries as a group presents similar results to the preceding graphs. </w:t>
      </w:r>
    </w:p>
    <w:p w:rsidR="004F75D0" w:rsidRDefault="004F75D0" w:rsidP="009379AA">
      <w:pPr>
        <w:keepNext/>
      </w:pPr>
      <w:r w:rsidRPr="00FE6530">
        <w:rPr>
          <w:b/>
          <w:noProof/>
        </w:rPr>
        <w:pict>
          <v:shape id="_x0000_i1047" type="#_x0000_t75" style="width:471.75pt;height:224.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">
            <v:imagedata r:id="rId28" o:title=""/>
            <o:lock v:ext="edit" aspectratio="f"/>
          </v:shape>
        </w:pict>
      </w:r>
    </w:p>
    <w:p w:rsidR="004F75D0" w:rsidRPr="006E18B6" w:rsidRDefault="004F75D0" w:rsidP="006E18B6">
      <w:pPr>
        <w:pStyle w:val="Caption"/>
      </w:pPr>
      <w:bookmarkStart w:id="39" w:name="_Toc274047062"/>
      <w:r>
        <w:t xml:space="preserve">Figure </w:t>
      </w:r>
      <w:fldSimple w:instr=" SEQ Figure \* ARABIC ">
        <w:r>
          <w:rPr>
            <w:noProof/>
          </w:rPr>
          <w:t>20</w:t>
        </w:r>
      </w:fldSimple>
      <w:r>
        <w:t>: Graphical representation of the Euclidean distance between Emerging Markets and EU</w:t>
      </w:r>
      <w:bookmarkEnd w:id="39"/>
    </w:p>
    <w:p w:rsidR="004F75D0" w:rsidRDefault="004F75D0" w:rsidP="003B633E">
      <w:pPr>
        <w:pStyle w:val="Caption"/>
        <w:rPr>
          <w:b w:val="0"/>
          <w:sz w:val="24"/>
          <w:szCs w:val="24"/>
        </w:rPr>
      </w:pPr>
      <w:r w:rsidRPr="006E18B6">
        <w:rPr>
          <w:b w:val="0"/>
          <w:sz w:val="24"/>
          <w:szCs w:val="24"/>
        </w:rPr>
        <w:t xml:space="preserve">EM economies against EU, World’s advanced economies and G7 show the same attitude as far as the degree of interdependence concerns </w:t>
      </w:r>
      <w:r w:rsidRPr="006E18B6">
        <w:rPr>
          <w:b w:val="0"/>
          <w:i/>
          <w:sz w:val="24"/>
          <w:szCs w:val="24"/>
        </w:rPr>
        <w:t xml:space="preserve">(Figures </w:t>
      </w:r>
      <w:r>
        <w:rPr>
          <w:b w:val="0"/>
          <w:i/>
          <w:sz w:val="24"/>
          <w:szCs w:val="24"/>
        </w:rPr>
        <w:t>20, 22 and 23</w:t>
      </w:r>
      <w:r w:rsidRPr="006E18B6">
        <w:rPr>
          <w:b w:val="0"/>
          <w:i/>
          <w:sz w:val="24"/>
          <w:szCs w:val="24"/>
        </w:rPr>
        <w:t>).</w:t>
      </w:r>
      <w:r w:rsidRPr="006E18B6">
        <w:rPr>
          <w:b w:val="0"/>
          <w:sz w:val="24"/>
          <w:szCs w:val="24"/>
        </w:rPr>
        <w:t xml:space="preserve"> Even though there is a tendency of less average distance between the Euclidean distance and its trend, clear-cut results about the decoupling hypothesis cannot be provided since the fluctuation of the line is not only downward sloping during the recent years </w:t>
      </w:r>
      <w:r w:rsidRPr="006E18B6">
        <w:rPr>
          <w:b w:val="0"/>
          <w:i/>
          <w:sz w:val="24"/>
          <w:szCs w:val="24"/>
        </w:rPr>
        <w:t>(from 2000 onwards)</w:t>
      </w:r>
      <w:r w:rsidRPr="006E18B6">
        <w:rPr>
          <w:b w:val="0"/>
          <w:sz w:val="24"/>
          <w:szCs w:val="24"/>
        </w:rPr>
        <w:t xml:space="preserve"> but also upward sloping</w:t>
      </w:r>
      <w:r>
        <w:rPr>
          <w:b w:val="0"/>
          <w:sz w:val="24"/>
          <w:szCs w:val="24"/>
        </w:rPr>
        <w:t xml:space="preserve"> </w:t>
      </w:r>
      <w:r w:rsidRPr="006E18B6">
        <w:rPr>
          <w:b w:val="0"/>
          <w:sz w:val="24"/>
          <w:szCs w:val="24"/>
        </w:rPr>
        <w:t>in a steep manner.</w:t>
      </w:r>
    </w:p>
    <w:p w:rsidR="004F75D0" w:rsidRDefault="004F75D0" w:rsidP="003B633E">
      <w:pPr>
        <w:pStyle w:val="Caption"/>
      </w:pPr>
      <w:r w:rsidRPr="00CD38A1">
        <w:rPr>
          <w:noProof/>
        </w:rPr>
        <w:pict>
          <v:shape id="_x0000_i1048" type="#_x0000_t75" style="width:471.75pt;height:207.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">
            <v:imagedata r:id="rId29" o:title="" cropbottom="-63f"/>
            <o:lock v:ext="edit" aspectratio="f"/>
          </v:shape>
        </w:pict>
      </w:r>
    </w:p>
    <w:p w:rsidR="004F75D0" w:rsidRPr="006E18B6" w:rsidRDefault="004F75D0" w:rsidP="006E18B6">
      <w:pPr>
        <w:pStyle w:val="Caption"/>
      </w:pPr>
      <w:bookmarkStart w:id="40" w:name="_Toc274047063"/>
      <w:r>
        <w:t xml:space="preserve">Figure </w:t>
      </w:r>
      <w:fldSimple w:instr=" SEQ Figure \* ARABIC ">
        <w:r>
          <w:rPr>
            <w:noProof/>
          </w:rPr>
          <w:t>21</w:t>
        </w:r>
      </w:fldSimple>
      <w:r>
        <w:t>: Graphical representation of the Euclidean distance between Emerging Markets and USA</w:t>
      </w:r>
      <w:bookmarkEnd w:id="40"/>
    </w:p>
    <w:p w:rsidR="004F75D0" w:rsidRDefault="004F75D0" w:rsidP="009379AA">
      <w:pPr>
        <w:keepNext/>
      </w:pPr>
      <w:r w:rsidRPr="00CD38A1">
        <w:rPr>
          <w:noProof/>
        </w:rPr>
        <w:pict>
          <v:shape id="_x0000_i1049" type="#_x0000_t75" style="width:471.75pt;height:246.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">
            <v:imagedata r:id="rId30" o:title=""/>
            <o:lock v:ext="edit" aspectratio="f"/>
          </v:shape>
        </w:pict>
      </w:r>
    </w:p>
    <w:p w:rsidR="004F75D0" w:rsidRDefault="004F75D0" w:rsidP="006E18B6">
      <w:pPr>
        <w:pStyle w:val="Caption"/>
      </w:pPr>
      <w:bookmarkStart w:id="41" w:name="_Toc274047064"/>
      <w:r>
        <w:t xml:space="preserve">Figure </w:t>
      </w:r>
      <w:fldSimple w:instr=" SEQ Figure \* ARABIC ">
        <w:r>
          <w:rPr>
            <w:noProof/>
          </w:rPr>
          <w:t>22</w:t>
        </w:r>
      </w:fldSimple>
      <w:r>
        <w:t>: Graphical representation of the Euclidean distance between Emerging Markets and World's advanced economies</w:t>
      </w:r>
      <w:bookmarkEnd w:id="41"/>
    </w:p>
    <w:p w:rsidR="004F75D0" w:rsidRDefault="004F75D0" w:rsidP="006852DE">
      <w:pPr>
        <w:keepNext/>
      </w:pPr>
      <w:r w:rsidRPr="00CD38A1">
        <w:rPr>
          <w:noProof/>
        </w:rPr>
        <w:pict>
          <v:shape id="_x0000_i1050" type="#_x0000_t75" style="width:471.75pt;height:226.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">
            <v:imagedata r:id="rId31" o:title="" cropbottom="-58f"/>
            <o:lock v:ext="edit" aspectratio="f"/>
          </v:shape>
        </w:pict>
      </w:r>
    </w:p>
    <w:p w:rsidR="004F75D0" w:rsidRDefault="004F75D0" w:rsidP="006852DE">
      <w:pPr>
        <w:pStyle w:val="Caption"/>
      </w:pPr>
      <w:bookmarkStart w:id="42" w:name="_Toc274047065"/>
      <w:r>
        <w:t xml:space="preserve">Figure </w:t>
      </w:r>
      <w:fldSimple w:instr=" SEQ Figure \* ARABIC ">
        <w:r>
          <w:rPr>
            <w:noProof/>
          </w:rPr>
          <w:t>23</w:t>
        </w:r>
      </w:fldSimple>
      <w:r>
        <w:t>: Graphical representation of the Euclidean distance between Emerging Markets and G7</w:t>
      </w:r>
      <w:bookmarkEnd w:id="42"/>
    </w:p>
    <w:p w:rsidR="004F75D0" w:rsidRDefault="004F75D0" w:rsidP="003B633E">
      <w:pPr>
        <w:rPr>
          <w:i/>
          <w:sz w:val="24"/>
          <w:szCs w:val="24"/>
        </w:rPr>
      </w:pPr>
      <w:r>
        <w:rPr>
          <w:sz w:val="24"/>
          <w:szCs w:val="24"/>
        </w:rPr>
        <w:t xml:space="preserve">On the other hand, Euclidean distance from the USA is consistent with all three EM countries’ relationship with the USA when are tested individually which present lower degree of interdependence since both the average fluctuations of the Euclidean distance are more intense throughout the sample years and the opposite sloping Euclidean distance from the trend are fulfilled </w:t>
      </w:r>
      <w:r>
        <w:rPr>
          <w:i/>
          <w:sz w:val="24"/>
          <w:szCs w:val="24"/>
        </w:rPr>
        <w:t>(Figure 21</w:t>
      </w:r>
      <w:r w:rsidRPr="00795AEC">
        <w:rPr>
          <w:i/>
          <w:sz w:val="24"/>
          <w:szCs w:val="24"/>
        </w:rPr>
        <w:t>).</w:t>
      </w:r>
    </w:p>
    <w:p w:rsidR="004F75D0" w:rsidRPr="00634BFD" w:rsidRDefault="004F75D0" w:rsidP="003B633E">
      <w:pPr>
        <w:rPr>
          <w:sz w:val="24"/>
          <w:szCs w:val="24"/>
        </w:rPr>
      </w:pPr>
      <w:r>
        <w:rPr>
          <w:sz w:val="24"/>
          <w:szCs w:val="24"/>
        </w:rPr>
        <w:t xml:space="preserve">Graphical depiction </w:t>
      </w:r>
      <w:r w:rsidRPr="00634BFD">
        <w:rPr>
          <w:sz w:val="24"/>
          <w:szCs w:val="24"/>
        </w:rPr>
        <w:t>of the degree of interdependence</w:t>
      </w:r>
      <w:r>
        <w:rPr>
          <w:sz w:val="24"/>
          <w:szCs w:val="24"/>
        </w:rPr>
        <w:t xml:space="preserve"> does not lead up to</w:t>
      </w:r>
      <w:r w:rsidRPr="00634BFD">
        <w:rPr>
          <w:sz w:val="24"/>
          <w:szCs w:val="24"/>
        </w:rPr>
        <w:t xml:space="preserve"> safe results about </w:t>
      </w:r>
      <w:r>
        <w:rPr>
          <w:sz w:val="24"/>
          <w:szCs w:val="24"/>
        </w:rPr>
        <w:t xml:space="preserve">the </w:t>
      </w:r>
      <w:r w:rsidRPr="00634BFD">
        <w:rPr>
          <w:sz w:val="24"/>
          <w:szCs w:val="24"/>
        </w:rPr>
        <w:t xml:space="preserve">decoupling hypothesis </w:t>
      </w:r>
      <w:r>
        <w:rPr>
          <w:sz w:val="24"/>
          <w:szCs w:val="24"/>
        </w:rPr>
        <w:t xml:space="preserve">because they need to be combined with </w:t>
      </w:r>
      <w:r w:rsidRPr="00634BFD">
        <w:rPr>
          <w:sz w:val="24"/>
          <w:szCs w:val="24"/>
        </w:rPr>
        <w:t xml:space="preserve">econometric tests and </w:t>
      </w:r>
      <w:r>
        <w:rPr>
          <w:sz w:val="24"/>
          <w:szCs w:val="24"/>
        </w:rPr>
        <w:t>in case</w:t>
      </w:r>
      <w:r w:rsidRPr="00634BFD">
        <w:rPr>
          <w:sz w:val="24"/>
          <w:szCs w:val="24"/>
        </w:rPr>
        <w:t xml:space="preserve"> they are aligned, they could possibly reveal the </w:t>
      </w:r>
      <w:r>
        <w:rPr>
          <w:sz w:val="24"/>
          <w:szCs w:val="24"/>
        </w:rPr>
        <w:t>outcome and hence the decoupling hypothesis matter.</w:t>
      </w:r>
    </w:p>
    <w:p w:rsidR="004F75D0" w:rsidRDefault="004F75D0" w:rsidP="007F7735"/>
    <w:p w:rsidR="004F75D0" w:rsidRDefault="004F75D0" w:rsidP="007F7735"/>
    <w:p w:rsidR="004F75D0" w:rsidRDefault="004F75D0" w:rsidP="007F7735"/>
    <w:p w:rsidR="004F75D0" w:rsidRDefault="004F75D0" w:rsidP="007F7735"/>
    <w:p w:rsidR="004F75D0" w:rsidRDefault="004F75D0" w:rsidP="007F7735"/>
    <w:p w:rsidR="004F75D0" w:rsidRDefault="004F75D0" w:rsidP="007F7735"/>
    <w:p w:rsidR="004F75D0" w:rsidRDefault="004F75D0" w:rsidP="007F7735"/>
    <w:p w:rsidR="004F75D0" w:rsidRDefault="004F75D0" w:rsidP="007F7735"/>
    <w:p w:rsidR="004F75D0" w:rsidRDefault="004F75D0" w:rsidP="007F7735"/>
    <w:p w:rsidR="004F75D0" w:rsidRDefault="004F75D0" w:rsidP="007F7735"/>
    <w:p w:rsidR="004F75D0" w:rsidRDefault="004F75D0" w:rsidP="007F7735"/>
    <w:p w:rsidR="004F75D0" w:rsidRDefault="004F75D0" w:rsidP="007F7735"/>
    <w:p w:rsidR="004F75D0" w:rsidRDefault="004F75D0" w:rsidP="007F7735"/>
    <w:p w:rsidR="004F75D0" w:rsidRDefault="004F75D0" w:rsidP="00D80719">
      <w:pPr>
        <w:pStyle w:val="Heading1"/>
        <w:pBdr>
          <w:bottom w:val="single" w:sz="4" w:space="1" w:color="auto"/>
        </w:pBdr>
        <w:tabs>
          <w:tab w:val="left" w:pos="8640"/>
        </w:tabs>
        <w:rPr>
          <w:b w:val="0"/>
          <w:bCs w:val="0"/>
          <w:kern w:val="0"/>
          <w:sz w:val="22"/>
          <w:szCs w:val="22"/>
        </w:rPr>
      </w:pPr>
      <w:bookmarkStart w:id="43" w:name="_Toc274041025"/>
      <w:r>
        <w:rPr>
          <w:b w:val="0"/>
          <w:bCs w:val="0"/>
          <w:kern w:val="0"/>
          <w:sz w:val="22"/>
          <w:szCs w:val="22"/>
        </w:rPr>
        <w:tab/>
      </w:r>
    </w:p>
    <w:p w:rsidR="004F75D0" w:rsidRDefault="004F75D0" w:rsidP="00764A6A"/>
    <w:p w:rsidR="004F75D0" w:rsidRPr="00764A6A" w:rsidRDefault="004F75D0" w:rsidP="00764A6A"/>
    <w:p w:rsidR="004F75D0" w:rsidRDefault="004F75D0" w:rsidP="00655FCB">
      <w:pPr>
        <w:pStyle w:val="Heading1"/>
        <w:pBdr>
          <w:bottom w:val="single" w:sz="4" w:space="1" w:color="auto"/>
        </w:pBdr>
      </w:pPr>
      <w:r>
        <w:t>b. Econometric testing</w:t>
      </w:r>
      <w:bookmarkEnd w:id="43"/>
    </w:p>
    <w:p w:rsidR="004F75D0" w:rsidRPr="00655FCB" w:rsidRDefault="004F75D0" w:rsidP="00655FCB"/>
    <w:p w:rsidR="004F75D0" w:rsidRPr="00655FCB" w:rsidRDefault="004F75D0" w:rsidP="00655FCB">
      <w:pPr>
        <w:pStyle w:val="ListParagraph"/>
        <w:numPr>
          <w:ilvl w:val="0"/>
          <w:numId w:val="26"/>
        </w:numPr>
        <w:rPr>
          <w:b/>
          <w:sz w:val="24"/>
          <w:szCs w:val="24"/>
        </w:rPr>
      </w:pPr>
      <w:r w:rsidRPr="007F7735">
        <w:rPr>
          <w:b/>
          <w:sz w:val="24"/>
          <w:szCs w:val="24"/>
        </w:rPr>
        <w:t>Brazil</w:t>
      </w:r>
    </w:p>
    <w:p w:rsidR="004F75D0" w:rsidRPr="00EB544F" w:rsidRDefault="004F75D0" w:rsidP="007F7735">
      <w:pPr>
        <w:rPr>
          <w:sz w:val="24"/>
          <w:szCs w:val="24"/>
        </w:rPr>
      </w:pPr>
      <w:r w:rsidRPr="00EB544F">
        <w:rPr>
          <w:sz w:val="24"/>
          <w:szCs w:val="24"/>
        </w:rPr>
        <w:t>The econometric tests for Brazil are gathered in the following table</w:t>
      </w:r>
      <w:r>
        <w:rPr>
          <w:sz w:val="24"/>
          <w:szCs w:val="24"/>
        </w:rPr>
        <w:t xml:space="preserve"> </w:t>
      </w:r>
      <w:r w:rsidRPr="00A83103">
        <w:rPr>
          <w:i/>
          <w:sz w:val="24"/>
          <w:szCs w:val="24"/>
        </w:rPr>
        <w:t>(</w:t>
      </w:r>
      <w:r>
        <w:rPr>
          <w:i/>
          <w:sz w:val="24"/>
          <w:szCs w:val="24"/>
        </w:rPr>
        <w:t>Figure 24</w:t>
      </w:r>
      <w:r w:rsidRPr="00A83103">
        <w:rPr>
          <w:i/>
          <w:sz w:val="24"/>
          <w:szCs w:val="24"/>
        </w:rPr>
        <w:t>)</w:t>
      </w:r>
      <w:r w:rsidRPr="00EB544F">
        <w:rPr>
          <w:sz w:val="24"/>
          <w:szCs w:val="24"/>
        </w:rPr>
        <w:t>. In this table the coefficients of the regressions of the Brazilian business cycles on each of the advanced economies’ business cycles</w:t>
      </w:r>
      <w:r w:rsidRPr="00D43020">
        <w:rPr>
          <w:sz w:val="24"/>
          <w:szCs w:val="24"/>
        </w:rPr>
        <w:t xml:space="preserve"> </w:t>
      </w:r>
      <w:r w:rsidRPr="00EB544F">
        <w:rPr>
          <w:sz w:val="24"/>
          <w:szCs w:val="24"/>
        </w:rPr>
        <w:t xml:space="preserve">are depicted. The </w:t>
      </w:r>
      <w:r w:rsidRPr="00EB544F">
        <w:rPr>
          <w:i/>
          <w:sz w:val="24"/>
          <w:szCs w:val="24"/>
        </w:rPr>
        <w:t xml:space="preserve">gammas </w:t>
      </w:r>
      <w:r w:rsidRPr="00EB544F">
        <w:rPr>
          <w:sz w:val="24"/>
          <w:szCs w:val="24"/>
        </w:rPr>
        <w:t xml:space="preserve">are a direct test </w:t>
      </w:r>
      <w:r>
        <w:rPr>
          <w:sz w:val="24"/>
          <w:szCs w:val="24"/>
        </w:rPr>
        <w:t>for</w:t>
      </w:r>
      <w:r w:rsidRPr="00EB544F">
        <w:rPr>
          <w:sz w:val="24"/>
          <w:szCs w:val="24"/>
        </w:rPr>
        <w:t xml:space="preserve"> the decoupling hypothesis. In order to support the decoupling hypothesis </w:t>
      </w:r>
      <w:r w:rsidRPr="00EB544F">
        <w:rPr>
          <w:i/>
          <w:sz w:val="24"/>
          <w:szCs w:val="24"/>
        </w:rPr>
        <w:t>gammas</w:t>
      </w:r>
      <w:r w:rsidRPr="00EB544F">
        <w:rPr>
          <w:sz w:val="24"/>
          <w:szCs w:val="24"/>
        </w:rPr>
        <w:t xml:space="preserve"> need to be negative and statistically significant. Otherwise the decoupling hypothesis fails to </w:t>
      </w:r>
      <w:r>
        <w:rPr>
          <w:sz w:val="24"/>
          <w:szCs w:val="24"/>
        </w:rPr>
        <w:t xml:space="preserve">be </w:t>
      </w:r>
      <w:r w:rsidRPr="00EB544F">
        <w:rPr>
          <w:sz w:val="24"/>
          <w:szCs w:val="24"/>
        </w:rPr>
        <w:t>confirm</w:t>
      </w:r>
      <w:r>
        <w:rPr>
          <w:sz w:val="24"/>
          <w:szCs w:val="24"/>
        </w:rPr>
        <w:t>ed</w:t>
      </w:r>
      <w:r w:rsidRPr="00EB544F">
        <w:rPr>
          <w:sz w:val="24"/>
          <w:szCs w:val="24"/>
        </w:rPr>
        <w:t xml:space="preserve">. </w:t>
      </w:r>
    </w:p>
    <w:p w:rsidR="004F75D0" w:rsidRDefault="004F75D0" w:rsidP="007F7735">
      <w:pPr>
        <w:rPr>
          <w:sz w:val="24"/>
          <w:szCs w:val="24"/>
        </w:rPr>
      </w:pPr>
      <w:r w:rsidRPr="00EB544F">
        <w:rPr>
          <w:sz w:val="24"/>
          <w:szCs w:val="24"/>
        </w:rPr>
        <w:t xml:space="preserve">In </w:t>
      </w:r>
      <w:r>
        <w:rPr>
          <w:sz w:val="24"/>
          <w:szCs w:val="24"/>
        </w:rPr>
        <w:t>these</w:t>
      </w:r>
      <w:r w:rsidRPr="00EB544F">
        <w:rPr>
          <w:sz w:val="24"/>
          <w:szCs w:val="24"/>
        </w:rPr>
        <w:t xml:space="preserve"> tests and when checking the values vertically (</w:t>
      </w:r>
      <w:r>
        <w:rPr>
          <w:sz w:val="24"/>
          <w:szCs w:val="24"/>
        </w:rPr>
        <w:t xml:space="preserve">year </w:t>
      </w:r>
      <w:r w:rsidRPr="00EB544F">
        <w:rPr>
          <w:sz w:val="24"/>
          <w:szCs w:val="24"/>
        </w:rPr>
        <w:t xml:space="preserve">by year), </w:t>
      </w:r>
      <w:r w:rsidRPr="00EB544F">
        <w:rPr>
          <w:i/>
          <w:sz w:val="24"/>
          <w:szCs w:val="24"/>
        </w:rPr>
        <w:t>gammas</w:t>
      </w:r>
      <w:r w:rsidRPr="00EB544F">
        <w:rPr>
          <w:sz w:val="24"/>
          <w:szCs w:val="24"/>
        </w:rPr>
        <w:t xml:space="preserve"> are valued not only positive but also negative</w:t>
      </w:r>
      <w:r>
        <w:rPr>
          <w:sz w:val="24"/>
          <w:szCs w:val="24"/>
        </w:rPr>
        <w:t>,</w:t>
      </w:r>
      <w:r w:rsidRPr="00EB544F">
        <w:rPr>
          <w:sz w:val="24"/>
          <w:szCs w:val="24"/>
        </w:rPr>
        <w:t xml:space="preserve"> implying confirmation of decoupling</w:t>
      </w:r>
      <w:r>
        <w:rPr>
          <w:sz w:val="24"/>
          <w:szCs w:val="24"/>
        </w:rPr>
        <w:t xml:space="preserve"> because a structural break takes</w:t>
      </w:r>
      <w:r w:rsidRPr="00EB544F">
        <w:rPr>
          <w:sz w:val="24"/>
          <w:szCs w:val="24"/>
        </w:rPr>
        <w:t xml:space="preserve"> place in 2000 against all the advanced econom</w:t>
      </w:r>
      <w:r>
        <w:rPr>
          <w:sz w:val="24"/>
          <w:szCs w:val="24"/>
        </w:rPr>
        <w:t>ies.</w:t>
      </w:r>
    </w:p>
    <w:tbl>
      <w:tblPr>
        <w:tblW w:w="9436" w:type="dxa"/>
        <w:tblLook w:val="00A0"/>
      </w:tblPr>
      <w:tblGrid>
        <w:gridCol w:w="2124"/>
        <w:gridCol w:w="914"/>
        <w:gridCol w:w="914"/>
        <w:gridCol w:w="914"/>
        <w:gridCol w:w="914"/>
        <w:gridCol w:w="914"/>
        <w:gridCol w:w="914"/>
        <w:gridCol w:w="914"/>
        <w:gridCol w:w="914"/>
      </w:tblGrid>
      <w:tr w:rsidR="004F75D0" w:rsidRPr="005D4374" w:rsidTr="00172502">
        <w:trPr>
          <w:trHeight w:val="480"/>
        </w:trPr>
        <w:tc>
          <w:tcPr>
            <w:tcW w:w="2124" w:type="dxa"/>
            <w:tcBorders>
              <w:top w:val="nil"/>
              <w:left w:val="nil"/>
              <w:bottom w:val="nil"/>
              <w:right w:val="nil"/>
            </w:tcBorders>
            <w:noWrap/>
            <w:vAlign w:val="bottom"/>
          </w:tcPr>
          <w:p w:rsidR="004F75D0" w:rsidRPr="00EB544F" w:rsidRDefault="004F75D0" w:rsidP="007F7735">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Default="004F75D0" w:rsidP="006B4D38">
            <w:pPr>
              <w:spacing w:after="0" w:line="240" w:lineRule="auto"/>
              <w:rPr>
                <w:rFonts w:cs="Calibri"/>
                <w:color w:val="000000"/>
                <w:sz w:val="24"/>
                <w:szCs w:val="24"/>
              </w:rPr>
            </w:pPr>
          </w:p>
          <w:p w:rsidR="004F75D0" w:rsidRPr="00EB544F" w:rsidRDefault="004F75D0" w:rsidP="006B4D38">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7F7735" w:rsidRDefault="004F75D0" w:rsidP="007F7735">
            <w:pPr>
              <w:spacing w:after="0" w:line="240" w:lineRule="auto"/>
              <w:rPr>
                <w:rFonts w:cs="Calibri"/>
                <w:b/>
                <w:bCs/>
                <w:color w:val="000000"/>
                <w:sz w:val="24"/>
                <w:szCs w:val="24"/>
                <w:u w:val="single"/>
              </w:rPr>
            </w:pPr>
            <w:r>
              <w:rPr>
                <w:rFonts w:cs="Calibri"/>
                <w:b/>
                <w:bCs/>
                <w:color w:val="000000"/>
                <w:sz w:val="24"/>
                <w:szCs w:val="24"/>
                <w:u w:val="single"/>
              </w:rPr>
              <w:t>B</w:t>
            </w:r>
            <w:r w:rsidRPr="007F7735">
              <w:rPr>
                <w:rFonts w:cs="Calibri"/>
                <w:b/>
                <w:bCs/>
                <w:color w:val="000000"/>
                <w:sz w:val="24"/>
                <w:szCs w:val="24"/>
                <w:u w:val="single"/>
              </w:rPr>
              <w:t>razil</w:t>
            </w:r>
          </w:p>
          <w:p w:rsidR="004F75D0" w:rsidRPr="007F7735" w:rsidRDefault="004F75D0" w:rsidP="006B4D38">
            <w:pPr>
              <w:spacing w:after="0" w:line="240" w:lineRule="auto"/>
              <w:rPr>
                <w:rFonts w:cs="Calibri"/>
                <w:bCs/>
                <w:i/>
                <w:color w:val="000000"/>
                <w:sz w:val="16"/>
                <w:szCs w:val="16"/>
                <w:u w:val="single"/>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r>
              <w:rPr>
                <w:rFonts w:cs="Calibri"/>
                <w:color w:val="000000"/>
                <w:sz w:val="24"/>
                <w:szCs w:val="24"/>
              </w:rPr>
              <w:t xml:space="preserve">                                                        </w:t>
            </w: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r>
      <w:tr w:rsidR="004F75D0" w:rsidRPr="005D4374" w:rsidTr="00172502">
        <w:trPr>
          <w:trHeight w:val="300"/>
        </w:trPr>
        <w:tc>
          <w:tcPr>
            <w:tcW w:w="2124" w:type="dxa"/>
            <w:tcBorders>
              <w:top w:val="single" w:sz="8" w:space="0" w:color="auto"/>
              <w:left w:val="single" w:sz="8" w:space="0" w:color="auto"/>
              <w:bottom w:val="single" w:sz="4" w:space="0" w:color="auto"/>
              <w:right w:val="single" w:sz="4" w:space="0" w:color="auto"/>
            </w:tcBorders>
            <w:noWrap/>
            <w:vAlign w:val="bottom"/>
          </w:tcPr>
          <w:p w:rsidR="004F75D0" w:rsidRPr="00897537" w:rsidRDefault="004F75D0" w:rsidP="006B4D38">
            <w:pPr>
              <w:spacing w:after="0" w:line="240" w:lineRule="auto"/>
              <w:rPr>
                <w:rFonts w:cs="Calibri"/>
                <w:b/>
                <w:color w:val="000000"/>
                <w:sz w:val="24"/>
                <w:szCs w:val="24"/>
              </w:rPr>
            </w:pPr>
          </w:p>
        </w:tc>
        <w:tc>
          <w:tcPr>
            <w:tcW w:w="914" w:type="dxa"/>
            <w:tcBorders>
              <w:top w:val="single" w:sz="8"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2000</w:t>
            </w:r>
          </w:p>
        </w:tc>
        <w:tc>
          <w:tcPr>
            <w:tcW w:w="914" w:type="dxa"/>
            <w:tcBorders>
              <w:top w:val="single" w:sz="8"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2001</w:t>
            </w:r>
          </w:p>
        </w:tc>
        <w:tc>
          <w:tcPr>
            <w:tcW w:w="914" w:type="dxa"/>
            <w:tcBorders>
              <w:top w:val="single" w:sz="8"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2002</w:t>
            </w:r>
          </w:p>
        </w:tc>
        <w:tc>
          <w:tcPr>
            <w:tcW w:w="914" w:type="dxa"/>
            <w:tcBorders>
              <w:top w:val="single" w:sz="8"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2003</w:t>
            </w:r>
          </w:p>
        </w:tc>
        <w:tc>
          <w:tcPr>
            <w:tcW w:w="914" w:type="dxa"/>
            <w:tcBorders>
              <w:top w:val="single" w:sz="8"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2004</w:t>
            </w:r>
          </w:p>
        </w:tc>
        <w:tc>
          <w:tcPr>
            <w:tcW w:w="914" w:type="dxa"/>
            <w:tcBorders>
              <w:top w:val="single" w:sz="8"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2005</w:t>
            </w:r>
          </w:p>
        </w:tc>
        <w:tc>
          <w:tcPr>
            <w:tcW w:w="914" w:type="dxa"/>
            <w:tcBorders>
              <w:top w:val="single" w:sz="8"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2006</w:t>
            </w:r>
          </w:p>
        </w:tc>
        <w:tc>
          <w:tcPr>
            <w:tcW w:w="914" w:type="dxa"/>
            <w:tcBorders>
              <w:top w:val="single" w:sz="8" w:space="0" w:color="auto"/>
              <w:left w:val="nil"/>
              <w:bottom w:val="single" w:sz="4" w:space="0" w:color="auto"/>
              <w:right w:val="single" w:sz="8"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2007</w:t>
            </w:r>
          </w:p>
        </w:tc>
      </w:tr>
      <w:tr w:rsidR="004F75D0" w:rsidRPr="005D4374" w:rsidTr="00172502">
        <w:trPr>
          <w:trHeight w:val="300"/>
        </w:trPr>
        <w:tc>
          <w:tcPr>
            <w:tcW w:w="2124" w:type="dxa"/>
            <w:tcBorders>
              <w:top w:val="nil"/>
              <w:left w:val="single" w:sz="8" w:space="0" w:color="auto"/>
              <w:bottom w:val="single" w:sz="4" w:space="0" w:color="auto"/>
              <w:right w:val="single" w:sz="4" w:space="0" w:color="auto"/>
            </w:tcBorders>
            <w:noWrap/>
            <w:vAlign w:val="bottom"/>
          </w:tcPr>
          <w:p w:rsidR="004F75D0" w:rsidRPr="00EB544F" w:rsidRDefault="004F75D0" w:rsidP="00655FCB">
            <w:pPr>
              <w:spacing w:after="0" w:line="240" w:lineRule="auto"/>
              <w:rPr>
                <w:rFonts w:cs="Calibri"/>
                <w:color w:val="000000"/>
                <w:sz w:val="24"/>
                <w:szCs w:val="24"/>
              </w:rPr>
            </w:pPr>
            <w:r>
              <w:rPr>
                <w:rFonts w:cs="Calibri"/>
                <w:color w:val="000000"/>
                <w:sz w:val="24"/>
                <w:szCs w:val="24"/>
              </w:rPr>
              <w:t>USA β</w:t>
            </w:r>
          </w:p>
        </w:tc>
        <w:tc>
          <w:tcPr>
            <w:tcW w:w="914" w:type="dxa"/>
            <w:tcBorders>
              <w:top w:val="nil"/>
              <w:left w:val="nil"/>
              <w:bottom w:val="single" w:sz="4" w:space="0" w:color="auto"/>
              <w:right w:val="single" w:sz="4" w:space="0" w:color="auto"/>
            </w:tcBorders>
            <w:noWrap/>
            <w:vAlign w:val="bottom"/>
          </w:tcPr>
          <w:p w:rsidR="004F75D0" w:rsidRPr="00EB544F" w:rsidRDefault="004F75D0" w:rsidP="00364EC6">
            <w:pPr>
              <w:spacing w:after="0" w:line="240" w:lineRule="auto"/>
              <w:jc w:val="right"/>
              <w:rPr>
                <w:rFonts w:cs="Calibri"/>
                <w:color w:val="000000"/>
                <w:sz w:val="24"/>
                <w:szCs w:val="24"/>
              </w:rPr>
            </w:pPr>
            <w:r w:rsidRPr="00EB544F">
              <w:rPr>
                <w:rFonts w:cs="Calibri"/>
                <w:color w:val="000000"/>
                <w:sz w:val="24"/>
                <w:szCs w:val="24"/>
              </w:rPr>
              <w:t>0,25</w:t>
            </w:r>
            <w:r>
              <w:rPr>
                <w:rFonts w:cs="Calibri"/>
                <w:color w:val="000000"/>
                <w:sz w:val="24"/>
                <w:szCs w:val="24"/>
              </w:rPr>
              <w:t xml:space="preserve"> (0,02)</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0,22</w:t>
            </w:r>
            <w:r>
              <w:rPr>
                <w:rFonts w:cs="Calibri"/>
                <w:color w:val="000000"/>
                <w:sz w:val="24"/>
                <w:szCs w:val="24"/>
              </w:rPr>
              <w:t xml:space="preserve"> (0,003)</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0,17</w:t>
            </w:r>
            <w:r>
              <w:rPr>
                <w:rFonts w:cs="Calibri"/>
                <w:color w:val="000000"/>
                <w:sz w:val="24"/>
                <w:szCs w:val="24"/>
              </w:rPr>
              <w:t xml:space="preserve"> (0,004)</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0,17</w:t>
            </w:r>
            <w:r>
              <w:rPr>
                <w:rFonts w:cs="Calibri"/>
                <w:color w:val="000000"/>
                <w:sz w:val="24"/>
                <w:szCs w:val="24"/>
              </w:rPr>
              <w:t xml:space="preserve"> (0,04)</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0,22</w:t>
            </w:r>
            <w:r>
              <w:rPr>
                <w:rFonts w:cs="Calibri"/>
                <w:color w:val="000000"/>
                <w:sz w:val="24"/>
                <w:szCs w:val="24"/>
              </w:rPr>
              <w:t xml:space="preserve"> (0,003)</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0,25</w:t>
            </w:r>
            <w:r>
              <w:rPr>
                <w:rFonts w:cs="Calibri"/>
                <w:color w:val="000000"/>
                <w:sz w:val="24"/>
                <w:szCs w:val="24"/>
              </w:rPr>
              <w:t xml:space="preserve"> (0,002)</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0,27</w:t>
            </w:r>
            <w:r>
              <w:rPr>
                <w:rFonts w:cs="Calibri"/>
                <w:color w:val="000000"/>
                <w:sz w:val="24"/>
                <w:szCs w:val="24"/>
              </w:rPr>
              <w:t xml:space="preserve"> (0,01)</w:t>
            </w:r>
          </w:p>
        </w:tc>
        <w:tc>
          <w:tcPr>
            <w:tcW w:w="914" w:type="dxa"/>
            <w:tcBorders>
              <w:top w:val="nil"/>
              <w:left w:val="nil"/>
              <w:bottom w:val="single" w:sz="4" w:space="0" w:color="auto"/>
              <w:right w:val="single" w:sz="8"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0,25</w:t>
            </w:r>
            <w:r>
              <w:rPr>
                <w:rFonts w:cs="Calibri"/>
                <w:color w:val="000000"/>
                <w:sz w:val="24"/>
                <w:szCs w:val="24"/>
              </w:rPr>
              <w:t xml:space="preserve"> (0,02)</w:t>
            </w:r>
          </w:p>
        </w:tc>
      </w:tr>
      <w:tr w:rsidR="004F75D0" w:rsidRPr="005D4374" w:rsidTr="00172502">
        <w:trPr>
          <w:trHeight w:val="300"/>
        </w:trPr>
        <w:tc>
          <w:tcPr>
            <w:tcW w:w="2124" w:type="dxa"/>
            <w:tcBorders>
              <w:top w:val="nil"/>
              <w:left w:val="single" w:sz="8" w:space="0" w:color="auto"/>
              <w:bottom w:val="single" w:sz="4" w:space="0" w:color="auto"/>
              <w:right w:val="single" w:sz="4" w:space="0" w:color="auto"/>
            </w:tcBorders>
            <w:shd w:val="clear" w:color="000000" w:fill="FFFF00"/>
            <w:noWrap/>
            <w:vAlign w:val="bottom"/>
          </w:tcPr>
          <w:p w:rsidR="004F75D0" w:rsidRPr="00EB544F" w:rsidRDefault="004F75D0" w:rsidP="00655FCB">
            <w:pPr>
              <w:spacing w:after="0" w:line="240" w:lineRule="auto"/>
              <w:rPr>
                <w:rFonts w:cs="Calibri"/>
                <w:i/>
                <w:iCs/>
                <w:color w:val="000000"/>
                <w:sz w:val="24"/>
                <w:szCs w:val="24"/>
              </w:rPr>
            </w:pPr>
            <w:r>
              <w:rPr>
                <w:rFonts w:cs="Calibri"/>
                <w:i/>
                <w:iCs/>
                <w:color w:val="000000"/>
                <w:sz w:val="24"/>
                <w:szCs w:val="24"/>
              </w:rPr>
              <w:t xml:space="preserve">structural break </w:t>
            </w:r>
            <w:r w:rsidRPr="00EB544F">
              <w:rPr>
                <w:rFonts w:cs="Calibri"/>
                <w:i/>
                <w:iCs/>
                <w:color w:val="000000"/>
                <w:sz w:val="24"/>
                <w:szCs w:val="24"/>
              </w:rPr>
              <w:t>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-0,48</w:t>
            </w:r>
            <w:r>
              <w:rPr>
                <w:rFonts w:cs="Calibri"/>
                <w:color w:val="000000"/>
                <w:sz w:val="24"/>
                <w:szCs w:val="24"/>
              </w:rPr>
              <w:t xml:space="preserve"> (0,008)</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2,14</w:t>
            </w:r>
            <w:r>
              <w:rPr>
                <w:rFonts w:cs="Calibri"/>
                <w:color w:val="000000"/>
                <w:sz w:val="24"/>
                <w:szCs w:val="24"/>
              </w:rPr>
              <w:t xml:space="preserve"> (0,004)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0,95</w:t>
            </w:r>
            <w:r>
              <w:rPr>
                <w:rFonts w:cs="Calibri"/>
                <w:color w:val="000000"/>
                <w:sz w:val="24"/>
                <w:szCs w:val="24"/>
              </w:rPr>
              <w:t xml:space="preserve"> (0,02)</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0,84</w:t>
            </w:r>
            <w:r>
              <w:rPr>
                <w:rFonts w:cs="Calibri"/>
                <w:color w:val="000000"/>
                <w:sz w:val="24"/>
                <w:szCs w:val="24"/>
              </w:rPr>
              <w:t xml:space="preserve"> (0,002)</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2,24</w:t>
            </w:r>
            <w:r>
              <w:rPr>
                <w:rFonts w:cs="Calibri"/>
                <w:color w:val="000000"/>
                <w:sz w:val="24"/>
                <w:szCs w:val="24"/>
              </w:rPr>
              <w:t xml:space="preserve"> (0,003)</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1,15</w:t>
            </w:r>
            <w:r>
              <w:rPr>
                <w:rFonts w:cs="Calibri"/>
                <w:color w:val="000000"/>
                <w:sz w:val="24"/>
                <w:szCs w:val="24"/>
              </w:rPr>
              <w:t xml:space="preserve"> (0,004)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0,36</w:t>
            </w:r>
            <w:r>
              <w:rPr>
                <w:rFonts w:cs="Calibri"/>
                <w:color w:val="000000"/>
                <w:sz w:val="24"/>
                <w:szCs w:val="24"/>
              </w:rPr>
              <w:t xml:space="preserve"> (0,06)</w:t>
            </w:r>
          </w:p>
        </w:tc>
        <w:tc>
          <w:tcPr>
            <w:tcW w:w="914" w:type="dxa"/>
            <w:tcBorders>
              <w:top w:val="nil"/>
              <w:left w:val="nil"/>
              <w:bottom w:val="single" w:sz="4" w:space="0" w:color="auto"/>
              <w:right w:val="single" w:sz="8"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0,07</w:t>
            </w:r>
            <w:r>
              <w:rPr>
                <w:rFonts w:cs="Calibri"/>
                <w:color w:val="000000"/>
                <w:sz w:val="24"/>
                <w:szCs w:val="24"/>
              </w:rPr>
              <w:t xml:space="preserve"> (0,008)</w:t>
            </w:r>
          </w:p>
        </w:tc>
      </w:tr>
      <w:tr w:rsidR="004F75D0" w:rsidRPr="005D4374" w:rsidTr="00172502">
        <w:trPr>
          <w:trHeight w:val="300"/>
        </w:trPr>
        <w:tc>
          <w:tcPr>
            <w:tcW w:w="2124" w:type="dxa"/>
            <w:tcBorders>
              <w:top w:val="nil"/>
              <w:left w:val="single" w:sz="8" w:space="0" w:color="auto"/>
              <w:bottom w:val="single" w:sz="4" w:space="0" w:color="auto"/>
              <w:right w:val="single" w:sz="4" w:space="0" w:color="auto"/>
            </w:tcBorders>
            <w:noWrap/>
            <w:vAlign w:val="bottom"/>
          </w:tcPr>
          <w:p w:rsidR="004F75D0" w:rsidRPr="00EB544F" w:rsidRDefault="004F75D0" w:rsidP="006B4D38">
            <w:pPr>
              <w:spacing w:after="0" w:line="240" w:lineRule="auto"/>
              <w:rPr>
                <w:rFonts w:cs="Calibri"/>
                <w:color w:val="000000"/>
                <w:sz w:val="24"/>
                <w:szCs w:val="24"/>
              </w:rPr>
            </w:pPr>
            <w:r>
              <w:rPr>
                <w:rFonts w:cs="Calibri"/>
                <w:color w:val="000000"/>
                <w:sz w:val="24"/>
                <w:szCs w:val="24"/>
              </w:rPr>
              <w:t>E.U. β</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0,58</w:t>
            </w:r>
            <w:r>
              <w:rPr>
                <w:rFonts w:cs="Calibri"/>
                <w:color w:val="000000"/>
                <w:sz w:val="24"/>
                <w:szCs w:val="24"/>
              </w:rPr>
              <w:t xml:space="preserve"> (0,02)</w:t>
            </w:r>
          </w:p>
        </w:tc>
        <w:tc>
          <w:tcPr>
            <w:tcW w:w="914" w:type="dxa"/>
            <w:tcBorders>
              <w:top w:val="nil"/>
              <w:left w:val="nil"/>
              <w:bottom w:val="single" w:sz="4" w:space="0" w:color="auto"/>
              <w:right w:val="single" w:sz="4" w:space="0" w:color="auto"/>
            </w:tcBorders>
            <w:noWrap/>
            <w:vAlign w:val="bottom"/>
          </w:tcPr>
          <w:p w:rsidR="004F75D0" w:rsidRPr="00EB544F" w:rsidRDefault="004F75D0" w:rsidP="00364EC6">
            <w:pPr>
              <w:spacing w:after="0" w:line="240" w:lineRule="auto"/>
              <w:jc w:val="right"/>
              <w:rPr>
                <w:rFonts w:cs="Calibri"/>
                <w:color w:val="000000"/>
                <w:sz w:val="24"/>
                <w:szCs w:val="24"/>
              </w:rPr>
            </w:pPr>
            <w:r w:rsidRPr="00EB544F">
              <w:rPr>
                <w:rFonts w:cs="Calibri"/>
                <w:color w:val="000000"/>
                <w:sz w:val="24"/>
                <w:szCs w:val="24"/>
              </w:rPr>
              <w:t>0,55</w:t>
            </w:r>
            <w:r>
              <w:rPr>
                <w:rFonts w:cs="Calibri"/>
                <w:color w:val="000000"/>
                <w:sz w:val="24"/>
                <w:szCs w:val="24"/>
              </w:rPr>
              <w:t xml:space="preserve"> (0,003) </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0,52</w:t>
            </w:r>
            <w:r>
              <w:rPr>
                <w:rFonts w:cs="Calibri"/>
                <w:color w:val="000000"/>
                <w:sz w:val="24"/>
                <w:szCs w:val="24"/>
              </w:rPr>
              <w:t xml:space="preserve"> (0,004)</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0,55</w:t>
            </w:r>
            <w:r>
              <w:rPr>
                <w:rFonts w:cs="Calibri"/>
                <w:color w:val="000000"/>
                <w:sz w:val="24"/>
                <w:szCs w:val="24"/>
              </w:rPr>
              <w:t xml:space="preserve"> (0,001)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0,57</w:t>
            </w:r>
            <w:r>
              <w:rPr>
                <w:rFonts w:cs="Calibri"/>
                <w:color w:val="000000"/>
                <w:sz w:val="24"/>
                <w:szCs w:val="24"/>
              </w:rPr>
              <w:t xml:space="preserve"> (0,001)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0,56</w:t>
            </w:r>
            <w:r>
              <w:rPr>
                <w:rFonts w:cs="Calibri"/>
                <w:color w:val="000000"/>
                <w:sz w:val="24"/>
                <w:szCs w:val="24"/>
              </w:rPr>
              <w:t xml:space="preserve"> (0,002)</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0,56</w:t>
            </w:r>
            <w:r>
              <w:rPr>
                <w:rFonts w:cs="Calibri"/>
                <w:color w:val="000000"/>
                <w:sz w:val="24"/>
                <w:szCs w:val="24"/>
              </w:rPr>
              <w:t xml:space="preserve"> (0,002)</w:t>
            </w:r>
          </w:p>
        </w:tc>
        <w:tc>
          <w:tcPr>
            <w:tcW w:w="914" w:type="dxa"/>
            <w:tcBorders>
              <w:top w:val="nil"/>
              <w:left w:val="nil"/>
              <w:bottom w:val="single" w:sz="4" w:space="0" w:color="auto"/>
              <w:right w:val="single" w:sz="8"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0,56</w:t>
            </w:r>
            <w:r>
              <w:rPr>
                <w:rFonts w:cs="Calibri"/>
                <w:color w:val="000000"/>
                <w:sz w:val="24"/>
                <w:szCs w:val="24"/>
              </w:rPr>
              <w:t xml:space="preserve"> (0,002)</w:t>
            </w:r>
          </w:p>
        </w:tc>
      </w:tr>
      <w:tr w:rsidR="004F75D0" w:rsidRPr="005D4374" w:rsidTr="00172502">
        <w:trPr>
          <w:trHeight w:val="300"/>
        </w:trPr>
        <w:tc>
          <w:tcPr>
            <w:tcW w:w="2124" w:type="dxa"/>
            <w:tcBorders>
              <w:top w:val="nil"/>
              <w:left w:val="single" w:sz="8" w:space="0" w:color="auto"/>
              <w:bottom w:val="single" w:sz="4" w:space="0" w:color="auto"/>
              <w:right w:val="single" w:sz="4" w:space="0" w:color="auto"/>
            </w:tcBorders>
            <w:shd w:val="clear" w:color="000000" w:fill="FFFF00"/>
            <w:noWrap/>
            <w:vAlign w:val="bottom"/>
          </w:tcPr>
          <w:p w:rsidR="004F75D0" w:rsidRPr="00EB544F" w:rsidRDefault="004F75D0" w:rsidP="00655FCB">
            <w:pPr>
              <w:spacing w:after="0" w:line="240" w:lineRule="auto"/>
              <w:rPr>
                <w:rFonts w:cs="Calibri"/>
                <w:i/>
                <w:iCs/>
                <w:color w:val="000000"/>
                <w:sz w:val="24"/>
                <w:szCs w:val="24"/>
              </w:rPr>
            </w:pPr>
            <w:r>
              <w:rPr>
                <w:rFonts w:cs="Calibri"/>
                <w:i/>
                <w:iCs/>
                <w:color w:val="000000"/>
                <w:sz w:val="24"/>
                <w:szCs w:val="24"/>
              </w:rPr>
              <w:t xml:space="preserve">structural break </w:t>
            </w:r>
            <w:r w:rsidRPr="00EB544F">
              <w:rPr>
                <w:rFonts w:cs="Calibri"/>
                <w:i/>
                <w:iCs/>
                <w:color w:val="000000"/>
                <w:sz w:val="24"/>
                <w:szCs w:val="24"/>
              </w:rPr>
              <w:t>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-0,46</w:t>
            </w:r>
            <w:r>
              <w:rPr>
                <w:rFonts w:cs="Calibri"/>
                <w:color w:val="000000"/>
                <w:sz w:val="24"/>
                <w:szCs w:val="24"/>
              </w:rPr>
              <w:t xml:space="preserve"> (0,005)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0,15</w:t>
            </w:r>
            <w:r>
              <w:rPr>
                <w:rFonts w:cs="Calibri"/>
                <w:color w:val="000000"/>
                <w:sz w:val="24"/>
                <w:szCs w:val="24"/>
              </w:rPr>
              <w:t xml:space="preserve"> (0,008)</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0,75</w:t>
            </w:r>
            <w:r>
              <w:rPr>
                <w:rFonts w:cs="Calibri"/>
                <w:color w:val="000000"/>
                <w:sz w:val="24"/>
                <w:szCs w:val="24"/>
              </w:rPr>
              <w:t xml:space="preserve"> (0,003)</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0,60</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0,52</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-0,62</w:t>
            </w:r>
            <w:r>
              <w:rPr>
                <w:rFonts w:cs="Calibri"/>
                <w:color w:val="000000"/>
                <w:sz w:val="24"/>
                <w:szCs w:val="24"/>
              </w:rPr>
              <w:t xml:space="preserve"> (0,04)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2,18</w:t>
            </w:r>
            <w:r>
              <w:rPr>
                <w:rFonts w:cs="Calibri"/>
                <w:color w:val="000000"/>
                <w:sz w:val="24"/>
                <w:szCs w:val="24"/>
              </w:rPr>
              <w:t xml:space="preserve"> (0,008)</w:t>
            </w:r>
          </w:p>
        </w:tc>
        <w:tc>
          <w:tcPr>
            <w:tcW w:w="914" w:type="dxa"/>
            <w:tcBorders>
              <w:top w:val="nil"/>
              <w:left w:val="nil"/>
              <w:bottom w:val="single" w:sz="4" w:space="0" w:color="auto"/>
              <w:right w:val="single" w:sz="8"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0,02</w:t>
            </w:r>
            <w:r>
              <w:rPr>
                <w:rFonts w:cs="Calibri"/>
                <w:color w:val="000000"/>
                <w:sz w:val="24"/>
                <w:szCs w:val="24"/>
              </w:rPr>
              <w:t xml:space="preserve"> (0,009)</w:t>
            </w:r>
          </w:p>
        </w:tc>
      </w:tr>
      <w:tr w:rsidR="004F75D0" w:rsidRPr="005D4374" w:rsidTr="00172502">
        <w:trPr>
          <w:trHeight w:val="300"/>
        </w:trPr>
        <w:tc>
          <w:tcPr>
            <w:tcW w:w="2124" w:type="dxa"/>
            <w:tcBorders>
              <w:top w:val="nil"/>
              <w:left w:val="single" w:sz="8" w:space="0" w:color="auto"/>
              <w:bottom w:val="single" w:sz="4" w:space="0" w:color="auto"/>
              <w:right w:val="single" w:sz="4" w:space="0" w:color="auto"/>
            </w:tcBorders>
            <w:noWrap/>
            <w:vAlign w:val="bottom"/>
          </w:tcPr>
          <w:p w:rsidR="004F75D0" w:rsidRPr="00EB544F" w:rsidRDefault="004F75D0" w:rsidP="006B4D38">
            <w:pPr>
              <w:spacing w:after="0" w:line="240" w:lineRule="auto"/>
              <w:rPr>
                <w:rFonts w:cs="Calibri"/>
                <w:color w:val="000000"/>
                <w:sz w:val="24"/>
                <w:szCs w:val="24"/>
              </w:rPr>
            </w:pPr>
            <w:r>
              <w:rPr>
                <w:rFonts w:cs="Calibri"/>
                <w:color w:val="000000"/>
                <w:sz w:val="24"/>
                <w:szCs w:val="24"/>
              </w:rPr>
              <w:t>World’s advanced Economies β</w:t>
            </w:r>
          </w:p>
        </w:tc>
        <w:tc>
          <w:tcPr>
            <w:tcW w:w="914" w:type="dxa"/>
            <w:tcBorders>
              <w:top w:val="nil"/>
              <w:left w:val="nil"/>
              <w:bottom w:val="single" w:sz="4" w:space="0" w:color="auto"/>
              <w:right w:val="single" w:sz="4" w:space="0" w:color="auto"/>
            </w:tcBorders>
            <w:noWrap/>
            <w:vAlign w:val="bottom"/>
          </w:tcPr>
          <w:p w:rsidR="004F75D0" w:rsidRPr="00EB544F" w:rsidRDefault="004F75D0" w:rsidP="008C6471">
            <w:pPr>
              <w:spacing w:after="0" w:line="240" w:lineRule="auto"/>
              <w:jc w:val="right"/>
              <w:rPr>
                <w:rFonts w:cs="Calibri"/>
                <w:color w:val="000000"/>
                <w:sz w:val="24"/>
                <w:szCs w:val="24"/>
              </w:rPr>
            </w:pPr>
            <w:r w:rsidRPr="00EB544F">
              <w:rPr>
                <w:rFonts w:cs="Calibri"/>
                <w:color w:val="000000"/>
                <w:sz w:val="24"/>
                <w:szCs w:val="24"/>
              </w:rPr>
              <w:t>0,63</w:t>
            </w:r>
            <w:r>
              <w:rPr>
                <w:rFonts w:cs="Calibri"/>
                <w:color w:val="000000"/>
                <w:sz w:val="24"/>
                <w:szCs w:val="24"/>
              </w:rPr>
              <w:t xml:space="preserve"> (0,006)</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0,61</w:t>
            </w:r>
            <w:r>
              <w:rPr>
                <w:rFonts w:cs="Calibri"/>
                <w:color w:val="000000"/>
                <w:sz w:val="24"/>
                <w:szCs w:val="24"/>
              </w:rPr>
              <w:t xml:space="preserve"> (0,001)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0,58</w:t>
            </w:r>
            <w:r>
              <w:rPr>
                <w:rFonts w:cs="Calibri"/>
                <w:color w:val="000000"/>
                <w:sz w:val="24"/>
                <w:szCs w:val="24"/>
              </w:rPr>
              <w:t xml:space="preserve"> (0,001)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0,59</w:t>
            </w:r>
            <w:r>
              <w:rPr>
                <w:rFonts w:cs="Calibri"/>
                <w:color w:val="000000"/>
                <w:sz w:val="24"/>
                <w:szCs w:val="24"/>
              </w:rPr>
              <w:t xml:space="preserve"> (0,006)</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0,62</w:t>
            </w:r>
            <w:r>
              <w:rPr>
                <w:rFonts w:cs="Calibri"/>
                <w:color w:val="000000"/>
                <w:sz w:val="24"/>
                <w:szCs w:val="24"/>
              </w:rPr>
              <w:t xml:space="preserve"> (0,003)</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0,62</w:t>
            </w:r>
            <w:r>
              <w:rPr>
                <w:rFonts w:cs="Calibri"/>
                <w:color w:val="000000"/>
                <w:sz w:val="24"/>
                <w:szCs w:val="24"/>
              </w:rPr>
              <w:t xml:space="preserve"> (0,006)</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0,61</w:t>
            </w:r>
            <w:r>
              <w:rPr>
                <w:rFonts w:cs="Calibri"/>
                <w:color w:val="000000"/>
                <w:sz w:val="24"/>
                <w:szCs w:val="24"/>
              </w:rPr>
              <w:t xml:space="preserve"> (0.006)</w:t>
            </w:r>
          </w:p>
        </w:tc>
        <w:tc>
          <w:tcPr>
            <w:tcW w:w="914" w:type="dxa"/>
            <w:tcBorders>
              <w:top w:val="nil"/>
              <w:left w:val="nil"/>
              <w:bottom w:val="single" w:sz="4" w:space="0" w:color="auto"/>
              <w:right w:val="single" w:sz="8"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0,62</w:t>
            </w:r>
            <w:r>
              <w:rPr>
                <w:rFonts w:cs="Calibri"/>
                <w:color w:val="000000"/>
                <w:sz w:val="24"/>
                <w:szCs w:val="24"/>
              </w:rPr>
              <w:t xml:space="preserve"> (0,007)</w:t>
            </w:r>
          </w:p>
        </w:tc>
      </w:tr>
      <w:tr w:rsidR="004F75D0" w:rsidRPr="005D4374" w:rsidTr="00172502">
        <w:trPr>
          <w:trHeight w:val="315"/>
        </w:trPr>
        <w:tc>
          <w:tcPr>
            <w:tcW w:w="2124" w:type="dxa"/>
            <w:tcBorders>
              <w:top w:val="nil"/>
              <w:left w:val="single" w:sz="8" w:space="0" w:color="auto"/>
              <w:bottom w:val="single" w:sz="4" w:space="0" w:color="auto"/>
              <w:right w:val="single" w:sz="4" w:space="0" w:color="auto"/>
            </w:tcBorders>
            <w:shd w:val="clear" w:color="000000" w:fill="FFFF00"/>
            <w:noWrap/>
            <w:vAlign w:val="bottom"/>
          </w:tcPr>
          <w:p w:rsidR="004F75D0" w:rsidRPr="00EB544F" w:rsidRDefault="004F75D0" w:rsidP="00655FCB">
            <w:pPr>
              <w:spacing w:after="0" w:line="240" w:lineRule="auto"/>
              <w:rPr>
                <w:rFonts w:cs="Calibri"/>
                <w:i/>
                <w:iCs/>
                <w:color w:val="000000"/>
                <w:sz w:val="24"/>
                <w:szCs w:val="24"/>
              </w:rPr>
            </w:pPr>
            <w:r>
              <w:rPr>
                <w:rFonts w:cs="Calibri"/>
                <w:i/>
                <w:iCs/>
                <w:color w:val="000000"/>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-0,46</w:t>
            </w:r>
            <w:r>
              <w:rPr>
                <w:rFonts w:cs="Calibri"/>
                <w:color w:val="000000"/>
                <w:sz w:val="24"/>
                <w:szCs w:val="24"/>
              </w:rPr>
              <w:t xml:space="preserve"> (0,07)</w:t>
            </w:r>
          </w:p>
        </w:tc>
        <w:tc>
          <w:tcPr>
            <w:tcW w:w="914" w:type="dxa"/>
            <w:tcBorders>
              <w:top w:val="nil"/>
              <w:left w:val="nil"/>
              <w:bottom w:val="single" w:sz="4" w:space="0" w:color="auto"/>
              <w:right w:val="single" w:sz="4" w:space="0" w:color="auto"/>
            </w:tcBorders>
            <w:shd w:val="clear" w:color="000000" w:fill="FFFF00"/>
            <w:noWrap/>
            <w:vAlign w:val="bottom"/>
          </w:tcPr>
          <w:p w:rsidR="004F75D0" w:rsidRDefault="004F75D0" w:rsidP="006B4D38">
            <w:pPr>
              <w:spacing w:after="0" w:line="240" w:lineRule="auto"/>
              <w:jc w:val="right"/>
              <w:rPr>
                <w:rFonts w:cs="Calibri"/>
                <w:color w:val="000000"/>
                <w:sz w:val="24"/>
                <w:szCs w:val="24"/>
              </w:rPr>
            </w:pPr>
            <w:r w:rsidRPr="00EB544F">
              <w:rPr>
                <w:rFonts w:cs="Calibri"/>
                <w:color w:val="000000"/>
                <w:sz w:val="24"/>
                <w:szCs w:val="24"/>
              </w:rPr>
              <w:t>0,10</w:t>
            </w:r>
            <w:r>
              <w:rPr>
                <w:rFonts w:cs="Calibri"/>
                <w:color w:val="000000"/>
                <w:sz w:val="24"/>
                <w:szCs w:val="24"/>
              </w:rPr>
              <w:t xml:space="preserve"> </w:t>
            </w:r>
          </w:p>
          <w:p w:rsidR="004F75D0" w:rsidRPr="00EB544F" w:rsidRDefault="004F75D0" w:rsidP="006B4D38">
            <w:pPr>
              <w:spacing w:after="0" w:line="240" w:lineRule="auto"/>
              <w:jc w:val="right"/>
              <w:rPr>
                <w:rFonts w:cs="Calibri"/>
                <w:color w:val="000000"/>
                <w:sz w:val="24"/>
                <w:szCs w:val="24"/>
              </w:rPr>
            </w:pPr>
            <w:r>
              <w:rPr>
                <w:rFonts w:cs="Calibri"/>
                <w:color w:val="000000"/>
                <w:sz w:val="24"/>
                <w:szCs w:val="24"/>
              </w:rPr>
              <w:t>(0,09)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0,63</w:t>
            </w:r>
            <w:r>
              <w:rPr>
                <w:rFonts w:cs="Calibri"/>
                <w:color w:val="000000"/>
                <w:sz w:val="24"/>
                <w:szCs w:val="24"/>
              </w:rPr>
              <w:t xml:space="preserve"> (0,004)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2,75</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-0,12</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0,48</w:t>
            </w:r>
            <w:r>
              <w:rPr>
                <w:rFonts w:cs="Calibri"/>
                <w:color w:val="000000"/>
                <w:sz w:val="24"/>
                <w:szCs w:val="24"/>
              </w:rPr>
              <w:t xml:space="preserve"> (0,04)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1,59</w:t>
            </w:r>
            <w:r>
              <w:rPr>
                <w:rFonts w:cs="Calibri"/>
                <w:color w:val="000000"/>
                <w:sz w:val="24"/>
                <w:szCs w:val="24"/>
              </w:rPr>
              <w:t xml:space="preserve"> (0,08)</w:t>
            </w:r>
          </w:p>
        </w:tc>
        <w:tc>
          <w:tcPr>
            <w:tcW w:w="914" w:type="dxa"/>
            <w:tcBorders>
              <w:top w:val="nil"/>
              <w:left w:val="nil"/>
              <w:bottom w:val="single" w:sz="4" w:space="0" w:color="auto"/>
              <w:right w:val="single" w:sz="8"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0,11</w:t>
            </w:r>
            <w:r>
              <w:rPr>
                <w:rFonts w:cs="Calibri"/>
                <w:color w:val="000000"/>
                <w:sz w:val="24"/>
                <w:szCs w:val="24"/>
              </w:rPr>
              <w:t xml:space="preserve"> (0,009)</w:t>
            </w:r>
          </w:p>
        </w:tc>
      </w:tr>
      <w:tr w:rsidR="004F75D0" w:rsidRPr="005D4374" w:rsidTr="00172502">
        <w:trPr>
          <w:trHeight w:val="300"/>
        </w:trPr>
        <w:tc>
          <w:tcPr>
            <w:tcW w:w="2124" w:type="dxa"/>
            <w:tcBorders>
              <w:top w:val="nil"/>
              <w:left w:val="single" w:sz="8" w:space="0" w:color="auto"/>
              <w:bottom w:val="single" w:sz="4" w:space="0" w:color="auto"/>
              <w:right w:val="single" w:sz="4" w:space="0" w:color="auto"/>
            </w:tcBorders>
            <w:noWrap/>
            <w:vAlign w:val="bottom"/>
          </w:tcPr>
          <w:p w:rsidR="004F75D0" w:rsidRPr="00EB544F" w:rsidRDefault="004F75D0" w:rsidP="006B4D38">
            <w:pPr>
              <w:spacing w:after="0" w:line="240" w:lineRule="auto"/>
              <w:rPr>
                <w:rFonts w:cs="Calibri"/>
                <w:color w:val="000000"/>
                <w:sz w:val="24"/>
                <w:szCs w:val="24"/>
              </w:rPr>
            </w:pPr>
            <w:r>
              <w:rPr>
                <w:rFonts w:cs="Calibri"/>
                <w:color w:val="000000"/>
                <w:sz w:val="24"/>
                <w:szCs w:val="24"/>
              </w:rPr>
              <w:t>G-7 β</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0,54</w:t>
            </w:r>
            <w:r>
              <w:rPr>
                <w:rFonts w:cs="Calibri"/>
                <w:color w:val="000000"/>
                <w:sz w:val="24"/>
                <w:szCs w:val="24"/>
              </w:rPr>
              <w:t xml:space="preserve"> (0,04)</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0,52</w:t>
            </w:r>
            <w:r>
              <w:rPr>
                <w:rFonts w:cs="Calibri"/>
                <w:color w:val="000000"/>
                <w:sz w:val="24"/>
                <w:szCs w:val="24"/>
              </w:rPr>
              <w:t xml:space="preserve"> (0,006)</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0,49</w:t>
            </w:r>
            <w:r>
              <w:rPr>
                <w:rFonts w:cs="Calibri"/>
                <w:color w:val="000000"/>
                <w:sz w:val="24"/>
                <w:szCs w:val="24"/>
              </w:rPr>
              <w:t xml:space="preserve"> (0,008)</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0,52</w:t>
            </w:r>
            <w:r>
              <w:rPr>
                <w:rFonts w:cs="Calibri"/>
                <w:color w:val="000000"/>
                <w:sz w:val="24"/>
                <w:szCs w:val="24"/>
              </w:rPr>
              <w:t xml:space="preserve"> (0,004)</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0,55</w:t>
            </w:r>
            <w:r>
              <w:rPr>
                <w:rFonts w:cs="Calibri"/>
                <w:color w:val="000000"/>
                <w:sz w:val="24"/>
                <w:szCs w:val="24"/>
              </w:rPr>
              <w:t xml:space="preserve"> (0,002)</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0,54</w:t>
            </w:r>
            <w:r>
              <w:rPr>
                <w:rFonts w:cs="Calibri"/>
                <w:color w:val="000000"/>
                <w:sz w:val="24"/>
                <w:szCs w:val="24"/>
              </w:rPr>
              <w:t xml:space="preserve"> (0,004)</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0,54</w:t>
            </w:r>
            <w:r>
              <w:rPr>
                <w:rFonts w:cs="Calibri"/>
                <w:color w:val="000000"/>
                <w:sz w:val="24"/>
                <w:szCs w:val="24"/>
              </w:rPr>
              <w:t xml:space="preserve"> (0,004)</w:t>
            </w:r>
          </w:p>
        </w:tc>
        <w:tc>
          <w:tcPr>
            <w:tcW w:w="914" w:type="dxa"/>
            <w:tcBorders>
              <w:top w:val="nil"/>
              <w:left w:val="nil"/>
              <w:bottom w:val="single" w:sz="4" w:space="0" w:color="auto"/>
              <w:right w:val="single" w:sz="8"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0,53</w:t>
            </w:r>
            <w:r>
              <w:rPr>
                <w:rFonts w:cs="Calibri"/>
                <w:color w:val="000000"/>
                <w:sz w:val="24"/>
                <w:szCs w:val="24"/>
              </w:rPr>
              <w:t xml:space="preserve"> (0,004)</w:t>
            </w:r>
          </w:p>
        </w:tc>
      </w:tr>
      <w:tr w:rsidR="004F75D0" w:rsidRPr="005D4374" w:rsidTr="00172502">
        <w:trPr>
          <w:trHeight w:val="315"/>
        </w:trPr>
        <w:tc>
          <w:tcPr>
            <w:tcW w:w="2124" w:type="dxa"/>
            <w:tcBorders>
              <w:top w:val="nil"/>
              <w:left w:val="single" w:sz="8" w:space="0" w:color="auto"/>
              <w:bottom w:val="single" w:sz="8" w:space="0" w:color="auto"/>
              <w:right w:val="single" w:sz="4" w:space="0" w:color="auto"/>
            </w:tcBorders>
            <w:shd w:val="clear" w:color="000000" w:fill="FFFF00"/>
            <w:noWrap/>
            <w:vAlign w:val="bottom"/>
          </w:tcPr>
          <w:p w:rsidR="004F75D0" w:rsidRPr="00EB544F" w:rsidRDefault="004F75D0" w:rsidP="00655FCB">
            <w:pPr>
              <w:spacing w:after="0" w:line="240" w:lineRule="auto"/>
              <w:rPr>
                <w:rFonts w:cs="Calibri"/>
                <w:i/>
                <w:iCs/>
                <w:color w:val="000000"/>
                <w:sz w:val="24"/>
                <w:szCs w:val="24"/>
              </w:rPr>
            </w:pPr>
            <w:r w:rsidRPr="00EB544F">
              <w:rPr>
                <w:rFonts w:cs="Calibri"/>
                <w:i/>
                <w:iCs/>
                <w:color w:val="000000"/>
                <w:sz w:val="24"/>
                <w:szCs w:val="24"/>
              </w:rPr>
              <w:t>structural break γ</w:t>
            </w:r>
          </w:p>
        </w:tc>
        <w:tc>
          <w:tcPr>
            <w:tcW w:w="914" w:type="dxa"/>
            <w:tcBorders>
              <w:top w:val="nil"/>
              <w:left w:val="nil"/>
              <w:bottom w:val="single" w:sz="8"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-0,34</w:t>
            </w:r>
            <w:r>
              <w:rPr>
                <w:rFonts w:cs="Calibri"/>
                <w:color w:val="000000"/>
                <w:sz w:val="24"/>
                <w:szCs w:val="24"/>
              </w:rPr>
              <w:t xml:space="preserve"> (0,08)</w:t>
            </w:r>
          </w:p>
        </w:tc>
        <w:tc>
          <w:tcPr>
            <w:tcW w:w="914" w:type="dxa"/>
            <w:tcBorders>
              <w:top w:val="nil"/>
              <w:left w:val="nil"/>
              <w:bottom w:val="single" w:sz="8"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0,23</w:t>
            </w:r>
            <w:r>
              <w:rPr>
                <w:rFonts w:cs="Calibri"/>
                <w:color w:val="000000"/>
                <w:sz w:val="24"/>
                <w:szCs w:val="24"/>
              </w:rPr>
              <w:t xml:space="preserve"> (0,007)</w:t>
            </w:r>
          </w:p>
        </w:tc>
        <w:tc>
          <w:tcPr>
            <w:tcW w:w="914" w:type="dxa"/>
            <w:tcBorders>
              <w:top w:val="nil"/>
              <w:left w:val="nil"/>
              <w:bottom w:val="single" w:sz="8"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0,71</w:t>
            </w:r>
            <w:r>
              <w:rPr>
                <w:rFonts w:cs="Calibri"/>
                <w:color w:val="000000"/>
                <w:sz w:val="24"/>
                <w:szCs w:val="24"/>
              </w:rPr>
              <w:t xml:space="preserve"> (0,03)</w:t>
            </w:r>
          </w:p>
        </w:tc>
        <w:tc>
          <w:tcPr>
            <w:tcW w:w="914" w:type="dxa"/>
            <w:tcBorders>
              <w:top w:val="nil"/>
              <w:left w:val="nil"/>
              <w:bottom w:val="single" w:sz="8"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0,36</w:t>
            </w:r>
            <w:r>
              <w:rPr>
                <w:rFonts w:cs="Calibri"/>
                <w:color w:val="000000"/>
                <w:sz w:val="24"/>
                <w:szCs w:val="24"/>
              </w:rPr>
              <w:t xml:space="preserve"> (0,01)</w:t>
            </w:r>
          </w:p>
        </w:tc>
        <w:tc>
          <w:tcPr>
            <w:tcW w:w="914" w:type="dxa"/>
            <w:tcBorders>
              <w:top w:val="nil"/>
              <w:left w:val="nil"/>
              <w:bottom w:val="single" w:sz="8"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0,46</w:t>
            </w:r>
            <w:r>
              <w:rPr>
                <w:rFonts w:cs="Calibri"/>
                <w:color w:val="000000"/>
                <w:sz w:val="24"/>
                <w:szCs w:val="24"/>
              </w:rPr>
              <w:t xml:space="preserve"> (0,011)</w:t>
            </w:r>
          </w:p>
        </w:tc>
        <w:tc>
          <w:tcPr>
            <w:tcW w:w="914" w:type="dxa"/>
            <w:tcBorders>
              <w:top w:val="nil"/>
              <w:left w:val="nil"/>
              <w:bottom w:val="single" w:sz="8"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-0,33</w:t>
            </w:r>
            <w:r>
              <w:rPr>
                <w:rFonts w:cs="Calibri"/>
                <w:color w:val="000000"/>
                <w:sz w:val="24"/>
                <w:szCs w:val="24"/>
              </w:rPr>
              <w:t xml:space="preserve"> (0,046)</w:t>
            </w:r>
          </w:p>
        </w:tc>
        <w:tc>
          <w:tcPr>
            <w:tcW w:w="914" w:type="dxa"/>
            <w:tcBorders>
              <w:top w:val="nil"/>
              <w:left w:val="nil"/>
              <w:bottom w:val="single" w:sz="8"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1,20</w:t>
            </w:r>
            <w:r>
              <w:rPr>
                <w:rFonts w:cs="Calibri"/>
                <w:color w:val="000000"/>
                <w:sz w:val="24"/>
                <w:szCs w:val="24"/>
              </w:rPr>
              <w:t xml:space="preserve"> (0,079)</w:t>
            </w:r>
          </w:p>
        </w:tc>
        <w:tc>
          <w:tcPr>
            <w:tcW w:w="914" w:type="dxa"/>
            <w:tcBorders>
              <w:top w:val="nil"/>
              <w:left w:val="nil"/>
              <w:bottom w:val="single" w:sz="8" w:space="0" w:color="auto"/>
              <w:right w:val="single" w:sz="8" w:space="0" w:color="auto"/>
            </w:tcBorders>
            <w:shd w:val="clear" w:color="000000" w:fill="FFFF00"/>
            <w:noWrap/>
            <w:vAlign w:val="bottom"/>
          </w:tcPr>
          <w:p w:rsidR="004F75D0" w:rsidRPr="00EB544F" w:rsidRDefault="004F75D0" w:rsidP="006852DE">
            <w:pPr>
              <w:keepNext/>
              <w:spacing w:after="0" w:line="240" w:lineRule="auto"/>
              <w:jc w:val="right"/>
              <w:rPr>
                <w:rFonts w:cs="Calibri"/>
                <w:color w:val="000000"/>
                <w:sz w:val="24"/>
                <w:szCs w:val="24"/>
              </w:rPr>
            </w:pPr>
            <w:r w:rsidRPr="00EB544F">
              <w:rPr>
                <w:rFonts w:cs="Calibri"/>
                <w:color w:val="000000"/>
                <w:sz w:val="24"/>
                <w:szCs w:val="24"/>
              </w:rPr>
              <w:t>0,01</w:t>
            </w:r>
            <w:r>
              <w:rPr>
                <w:rFonts w:cs="Calibri"/>
                <w:color w:val="000000"/>
                <w:sz w:val="24"/>
                <w:szCs w:val="24"/>
              </w:rPr>
              <w:t xml:space="preserve"> (0,009)</w:t>
            </w:r>
          </w:p>
        </w:tc>
      </w:tr>
    </w:tbl>
    <w:p w:rsidR="004F75D0" w:rsidRDefault="004F75D0">
      <w:pPr>
        <w:pStyle w:val="Caption"/>
      </w:pPr>
      <w:bookmarkStart w:id="44" w:name="_Toc274047066"/>
      <w:r>
        <w:t xml:space="preserve">Figure </w:t>
      </w:r>
      <w:fldSimple w:instr=" SEQ Figure \* ARABIC ">
        <w:r>
          <w:rPr>
            <w:noProof/>
          </w:rPr>
          <w:t>24</w:t>
        </w:r>
      </w:fldSimple>
      <w:r>
        <w:t>: Table representations of econometric tests between Brazil and advanced economies</w:t>
      </w:r>
      <w:bookmarkEnd w:id="44"/>
    </w:p>
    <w:p w:rsidR="004F75D0" w:rsidRDefault="004F75D0" w:rsidP="00135372">
      <w:pPr>
        <w:rPr>
          <w:i/>
          <w:sz w:val="24"/>
          <w:szCs w:val="24"/>
        </w:rPr>
      </w:pPr>
      <w:r w:rsidRPr="00EB544F">
        <w:rPr>
          <w:i/>
          <w:sz w:val="24"/>
          <w:szCs w:val="24"/>
        </w:rPr>
        <w:t>Significance level 95%</w:t>
      </w:r>
      <w:r>
        <w:rPr>
          <w:i/>
          <w:sz w:val="24"/>
          <w:szCs w:val="24"/>
        </w:rPr>
        <w:t xml:space="preserve">, p-values in the parentheses                                                                                                   </w:t>
      </w:r>
      <w:bookmarkStart w:id="45" w:name="_Toc272771554"/>
    </w:p>
    <w:bookmarkEnd w:id="45"/>
    <w:p w:rsidR="004F75D0" w:rsidRDefault="004F75D0" w:rsidP="0037415A">
      <w:pPr>
        <w:pStyle w:val="Caption"/>
      </w:pPr>
    </w:p>
    <w:p w:rsidR="004F75D0" w:rsidRDefault="004F75D0" w:rsidP="00876F4A">
      <w:pPr>
        <w:rPr>
          <w:sz w:val="24"/>
          <w:szCs w:val="24"/>
        </w:rPr>
      </w:pPr>
      <w:r w:rsidRPr="002C0835">
        <w:rPr>
          <w:sz w:val="24"/>
          <w:szCs w:val="24"/>
        </w:rPr>
        <w:t>A possible explanation</w:t>
      </w:r>
      <w:r w:rsidRPr="002C0835">
        <w:rPr>
          <w:b/>
          <w:sz w:val="24"/>
          <w:szCs w:val="24"/>
        </w:rPr>
        <w:t xml:space="preserve"> </w:t>
      </w:r>
      <w:r>
        <w:rPr>
          <w:sz w:val="24"/>
          <w:szCs w:val="24"/>
        </w:rPr>
        <w:t>for a structural break in 2000 could be the dot-com bubble burst in the stock markets that started from the USA and from which all the AM economies suffered while the EM economy of Brazil might not participate and thus there is a decoupling sign; however from year 2000 onwards the decoupling hypothesis is rejected.</w:t>
      </w:r>
    </w:p>
    <w:p w:rsidR="004F75D0" w:rsidRDefault="004F75D0" w:rsidP="00002475">
      <w:pPr>
        <w:rPr>
          <w:sz w:val="24"/>
          <w:szCs w:val="24"/>
        </w:rPr>
      </w:pPr>
      <w:r>
        <w:rPr>
          <w:sz w:val="24"/>
          <w:szCs w:val="24"/>
        </w:rPr>
        <w:t>W</w:t>
      </w:r>
      <w:r w:rsidRPr="00EB544F">
        <w:rPr>
          <w:sz w:val="24"/>
          <w:szCs w:val="24"/>
        </w:rPr>
        <w:t xml:space="preserve">hen checking the values horizontally </w:t>
      </w:r>
      <w:r w:rsidRPr="00D52502">
        <w:rPr>
          <w:i/>
          <w:sz w:val="24"/>
          <w:szCs w:val="24"/>
        </w:rPr>
        <w:t>(by group of advanced countries),</w:t>
      </w:r>
      <w:r w:rsidRPr="00EB544F">
        <w:rPr>
          <w:sz w:val="24"/>
          <w:szCs w:val="24"/>
        </w:rPr>
        <w:t xml:space="preserve"> we observe negative values of </w:t>
      </w:r>
      <w:r w:rsidRPr="00EB544F">
        <w:rPr>
          <w:i/>
          <w:sz w:val="24"/>
          <w:szCs w:val="24"/>
        </w:rPr>
        <w:t>gammas</w:t>
      </w:r>
      <w:r w:rsidRPr="00EB544F">
        <w:rPr>
          <w:sz w:val="24"/>
          <w:szCs w:val="24"/>
        </w:rPr>
        <w:t xml:space="preserve"> basically in the year 2000 and during years 2004 and 2005. T</w:t>
      </w:r>
      <w:r>
        <w:rPr>
          <w:sz w:val="24"/>
          <w:szCs w:val="24"/>
        </w:rPr>
        <w:t>hese results are partly aligned</w:t>
      </w:r>
      <w:r w:rsidRPr="00EB544F">
        <w:rPr>
          <w:sz w:val="24"/>
          <w:szCs w:val="24"/>
        </w:rPr>
        <w:t xml:space="preserve"> with the graphical results of the Euclidean distance that showed in average higher degree of interdependence during the years 1999 to 2007. Negative values in 2000 can be accepted but this cannot be the case for the values in 2004 and 2005 which imply less degree of interdependence</w:t>
      </w:r>
      <w:r>
        <w:rPr>
          <w:sz w:val="24"/>
          <w:szCs w:val="24"/>
        </w:rPr>
        <w:t>,</w:t>
      </w:r>
      <w:r w:rsidRPr="00EB544F">
        <w:rPr>
          <w:sz w:val="24"/>
          <w:szCs w:val="24"/>
        </w:rPr>
        <w:t xml:space="preserve"> where Euclidean distance has been in average lower </w:t>
      </w:r>
      <w:r>
        <w:rPr>
          <w:sz w:val="24"/>
          <w:szCs w:val="24"/>
        </w:rPr>
        <w:t>and thus point to the opposite result.</w:t>
      </w:r>
    </w:p>
    <w:p w:rsidR="004F75D0" w:rsidRPr="00002475" w:rsidRDefault="004F75D0" w:rsidP="00002475"/>
    <w:p w:rsidR="004F75D0" w:rsidRPr="007F7735" w:rsidRDefault="004F75D0" w:rsidP="007F7735">
      <w:pPr>
        <w:pStyle w:val="ListParagraph"/>
        <w:numPr>
          <w:ilvl w:val="0"/>
          <w:numId w:val="26"/>
        </w:numPr>
        <w:rPr>
          <w:b/>
        </w:rPr>
      </w:pPr>
      <w:r w:rsidRPr="007F7735">
        <w:rPr>
          <w:b/>
        </w:rPr>
        <w:t>China</w:t>
      </w:r>
    </w:p>
    <w:p w:rsidR="004F75D0" w:rsidRDefault="004F75D0" w:rsidP="007F7735">
      <w:pPr>
        <w:rPr>
          <w:sz w:val="24"/>
          <w:szCs w:val="24"/>
        </w:rPr>
      </w:pPr>
      <w:r w:rsidRPr="00EB544F">
        <w:rPr>
          <w:sz w:val="24"/>
          <w:szCs w:val="24"/>
        </w:rPr>
        <w:t>When checking the coefficients’ values horizontally</w:t>
      </w:r>
      <w:r>
        <w:rPr>
          <w:sz w:val="24"/>
          <w:szCs w:val="24"/>
        </w:rPr>
        <w:t xml:space="preserve"> </w:t>
      </w:r>
      <w:r w:rsidRPr="00943713">
        <w:rPr>
          <w:i/>
          <w:sz w:val="24"/>
          <w:szCs w:val="24"/>
        </w:rPr>
        <w:t>(</w:t>
      </w:r>
      <w:r>
        <w:rPr>
          <w:i/>
          <w:sz w:val="24"/>
          <w:szCs w:val="24"/>
        </w:rPr>
        <w:t>Figure 25</w:t>
      </w:r>
      <w:r w:rsidRPr="00943713">
        <w:rPr>
          <w:i/>
          <w:sz w:val="24"/>
          <w:szCs w:val="24"/>
        </w:rPr>
        <w:t>)</w:t>
      </w:r>
      <w:r w:rsidRPr="00EB544F">
        <w:rPr>
          <w:sz w:val="24"/>
          <w:szCs w:val="24"/>
        </w:rPr>
        <w:t xml:space="preserve">, we observe negative </w:t>
      </w:r>
      <w:r w:rsidRPr="00EB544F">
        <w:rPr>
          <w:i/>
          <w:sz w:val="24"/>
          <w:szCs w:val="24"/>
        </w:rPr>
        <w:t>betas</w:t>
      </w:r>
      <w:r>
        <w:rPr>
          <w:i/>
          <w:sz w:val="24"/>
          <w:szCs w:val="24"/>
        </w:rPr>
        <w:t xml:space="preserve"> </w:t>
      </w:r>
      <w:r>
        <w:rPr>
          <w:sz w:val="24"/>
          <w:szCs w:val="24"/>
        </w:rPr>
        <w:t>when China’s output gap is regressed against the USA</w:t>
      </w:r>
      <w:r w:rsidRPr="00EB544F">
        <w:rPr>
          <w:i/>
          <w:sz w:val="24"/>
          <w:szCs w:val="24"/>
        </w:rPr>
        <w:t xml:space="preserve">, </w:t>
      </w:r>
      <w:r w:rsidRPr="00EB544F">
        <w:rPr>
          <w:sz w:val="24"/>
          <w:szCs w:val="24"/>
        </w:rPr>
        <w:t xml:space="preserve">something that was not supposed to happen. However these </w:t>
      </w:r>
      <w:r>
        <w:rPr>
          <w:sz w:val="24"/>
          <w:szCs w:val="24"/>
        </w:rPr>
        <w:t>ne</w:t>
      </w:r>
      <w:r w:rsidRPr="00EB544F">
        <w:rPr>
          <w:sz w:val="24"/>
          <w:szCs w:val="24"/>
        </w:rPr>
        <w:t xml:space="preserve">gative betas have proved statistically insignificant so we can simply ignore them. As far as the </w:t>
      </w:r>
      <w:r w:rsidRPr="00EB544F">
        <w:rPr>
          <w:i/>
          <w:sz w:val="24"/>
          <w:szCs w:val="24"/>
        </w:rPr>
        <w:t>gammas</w:t>
      </w:r>
      <w:r w:rsidRPr="00EB544F">
        <w:rPr>
          <w:sz w:val="24"/>
          <w:szCs w:val="24"/>
        </w:rPr>
        <w:t xml:space="preserve"> concerns, we can safely say that USA appears to have the most ne</w:t>
      </w:r>
      <w:r>
        <w:rPr>
          <w:sz w:val="24"/>
          <w:szCs w:val="24"/>
        </w:rPr>
        <w:t xml:space="preserve">gative values, indicating that </w:t>
      </w:r>
      <w:r w:rsidRPr="00EB544F">
        <w:rPr>
          <w:sz w:val="24"/>
          <w:szCs w:val="24"/>
        </w:rPr>
        <w:t xml:space="preserve"> interdependence with China is lower</w:t>
      </w:r>
      <w:r>
        <w:rPr>
          <w:sz w:val="24"/>
          <w:szCs w:val="24"/>
        </w:rPr>
        <w:t xml:space="preserve"> </w:t>
      </w:r>
      <w:r w:rsidRPr="00D52502">
        <w:rPr>
          <w:i/>
          <w:sz w:val="24"/>
          <w:szCs w:val="24"/>
        </w:rPr>
        <w:t>(especially during the most recent years including those I tested for a structural break)</w:t>
      </w:r>
      <w:r w:rsidRPr="00EB544F">
        <w:rPr>
          <w:sz w:val="24"/>
          <w:szCs w:val="24"/>
        </w:rPr>
        <w:t xml:space="preserve">, result which is consistent with the graphical evidence </w:t>
      </w:r>
      <w:r>
        <w:rPr>
          <w:sz w:val="24"/>
          <w:szCs w:val="24"/>
        </w:rPr>
        <w:t>before</w:t>
      </w:r>
      <w:r w:rsidRPr="00EB544F">
        <w:rPr>
          <w:sz w:val="24"/>
          <w:szCs w:val="24"/>
        </w:rPr>
        <w:t xml:space="preserve">. </w:t>
      </w:r>
    </w:p>
    <w:p w:rsidR="004F75D0" w:rsidRDefault="004F75D0" w:rsidP="007F7735">
      <w:pPr>
        <w:rPr>
          <w:sz w:val="24"/>
          <w:szCs w:val="24"/>
        </w:rPr>
      </w:pPr>
      <w:r>
        <w:rPr>
          <w:sz w:val="24"/>
          <w:szCs w:val="24"/>
        </w:rPr>
        <w:t>From an economic perspective it is rational since the Chinese economy continued booming the last decade showing high rates of GDP growth independently from the global recession while the low GDP growth rates of the US economy were dominant due to the same reason.</w:t>
      </w:r>
    </w:p>
    <w:p w:rsidR="004F75D0" w:rsidRDefault="004F75D0" w:rsidP="007F7735">
      <w:pPr>
        <w:rPr>
          <w:sz w:val="24"/>
          <w:szCs w:val="24"/>
        </w:rPr>
      </w:pPr>
      <w:r w:rsidRPr="00EB544F">
        <w:rPr>
          <w:sz w:val="24"/>
          <w:szCs w:val="24"/>
        </w:rPr>
        <w:t xml:space="preserve">When we check for the coefficients’ values vertically, we can see </w:t>
      </w:r>
      <w:r w:rsidRPr="00EB544F">
        <w:rPr>
          <w:i/>
          <w:sz w:val="24"/>
          <w:szCs w:val="24"/>
        </w:rPr>
        <w:t>gamma</w:t>
      </w:r>
      <w:r w:rsidRPr="00EB544F">
        <w:rPr>
          <w:sz w:val="24"/>
          <w:szCs w:val="24"/>
        </w:rPr>
        <w:t xml:space="preserve">s for the first </w:t>
      </w:r>
      <w:r w:rsidRPr="00D52502">
        <w:rPr>
          <w:i/>
          <w:sz w:val="24"/>
          <w:szCs w:val="24"/>
        </w:rPr>
        <w:t>(2000)</w:t>
      </w:r>
      <w:r w:rsidRPr="00EB544F">
        <w:rPr>
          <w:sz w:val="24"/>
          <w:szCs w:val="24"/>
        </w:rPr>
        <w:t xml:space="preserve"> and the last year of the tested sample </w:t>
      </w:r>
      <w:r w:rsidRPr="00D52502">
        <w:rPr>
          <w:i/>
          <w:sz w:val="24"/>
          <w:szCs w:val="24"/>
        </w:rPr>
        <w:t>(2007)</w:t>
      </w:r>
      <w:r w:rsidRPr="00EB544F">
        <w:rPr>
          <w:sz w:val="24"/>
          <w:szCs w:val="24"/>
        </w:rPr>
        <w:t xml:space="preserve"> for all the groups of advanced econo</w:t>
      </w:r>
      <w:r>
        <w:rPr>
          <w:sz w:val="24"/>
          <w:szCs w:val="24"/>
        </w:rPr>
        <w:t xml:space="preserve">mies are negative </w:t>
      </w:r>
      <w:r w:rsidRPr="00D52502">
        <w:rPr>
          <w:i/>
          <w:sz w:val="24"/>
          <w:szCs w:val="24"/>
        </w:rPr>
        <w:t xml:space="preserve">(except for G7 gamma). </w:t>
      </w:r>
      <w:r w:rsidRPr="00EB544F">
        <w:rPr>
          <w:sz w:val="24"/>
          <w:szCs w:val="24"/>
        </w:rPr>
        <w:t xml:space="preserve">So it seems that a structural break may have happened during each of these years. This can be consistent with the graphical depiction of interdependence since the lines around 2000 change sharply their slope in all of the graphs. </w:t>
      </w:r>
    </w:p>
    <w:p w:rsidR="004F75D0" w:rsidRDefault="004F75D0" w:rsidP="007F7735">
      <w:pPr>
        <w:rPr>
          <w:sz w:val="24"/>
          <w:szCs w:val="24"/>
        </w:rPr>
      </w:pPr>
      <w:r w:rsidRPr="00EB544F">
        <w:rPr>
          <w:sz w:val="24"/>
          <w:szCs w:val="24"/>
        </w:rPr>
        <w:t xml:space="preserve">On the other hand 2007’s negative </w:t>
      </w:r>
      <w:r w:rsidRPr="00703108">
        <w:rPr>
          <w:i/>
          <w:sz w:val="24"/>
          <w:szCs w:val="24"/>
        </w:rPr>
        <w:t>gamma</w:t>
      </w:r>
      <w:r w:rsidRPr="00EB544F">
        <w:rPr>
          <w:sz w:val="24"/>
          <w:szCs w:val="24"/>
        </w:rPr>
        <w:t xml:space="preserve"> cannot be observed clearly from the graphs, however economically may be caused by the recent financial crisis since some of its signs may have influenced GDPs earlier than the beginning of 2008, even if the years after 2007 have been excluded from the sample to avoid such a bias.</w:t>
      </w:r>
      <w:r>
        <w:rPr>
          <w:sz w:val="24"/>
          <w:szCs w:val="24"/>
        </w:rPr>
        <w:t xml:space="preserve"> </w:t>
      </w:r>
      <w:r w:rsidRPr="00EB544F">
        <w:rPr>
          <w:sz w:val="24"/>
          <w:szCs w:val="24"/>
        </w:rPr>
        <w:t xml:space="preserve">Furthermore there have been some </w:t>
      </w:r>
      <w:r w:rsidRPr="00EB544F">
        <w:rPr>
          <w:i/>
          <w:sz w:val="24"/>
          <w:szCs w:val="24"/>
        </w:rPr>
        <w:t>gammas</w:t>
      </w:r>
      <w:r w:rsidRPr="00EB544F">
        <w:rPr>
          <w:sz w:val="24"/>
          <w:szCs w:val="24"/>
        </w:rPr>
        <w:t xml:space="preserve"> which are inexplicably high.</w:t>
      </w:r>
    </w:p>
    <w:tbl>
      <w:tblPr>
        <w:tblW w:w="9436" w:type="dxa"/>
        <w:tblLook w:val="00A0"/>
      </w:tblPr>
      <w:tblGrid>
        <w:gridCol w:w="2124"/>
        <w:gridCol w:w="914"/>
        <w:gridCol w:w="914"/>
        <w:gridCol w:w="914"/>
        <w:gridCol w:w="914"/>
        <w:gridCol w:w="914"/>
        <w:gridCol w:w="914"/>
        <w:gridCol w:w="914"/>
        <w:gridCol w:w="914"/>
      </w:tblGrid>
      <w:tr w:rsidR="004F75D0" w:rsidRPr="005D4374" w:rsidTr="00172502">
        <w:trPr>
          <w:trHeight w:val="465"/>
        </w:trPr>
        <w:tc>
          <w:tcPr>
            <w:tcW w:w="2124" w:type="dxa"/>
            <w:tcBorders>
              <w:top w:val="nil"/>
              <w:left w:val="nil"/>
              <w:bottom w:val="nil"/>
              <w:right w:val="nil"/>
            </w:tcBorders>
            <w:noWrap/>
            <w:vAlign w:val="bottom"/>
          </w:tcPr>
          <w:p w:rsidR="004F75D0" w:rsidRPr="00EB544F" w:rsidRDefault="004F75D0" w:rsidP="007F7735">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c>
          <w:tcPr>
            <w:tcW w:w="1828" w:type="dxa"/>
            <w:gridSpan w:val="2"/>
            <w:tcBorders>
              <w:top w:val="nil"/>
              <w:left w:val="nil"/>
              <w:bottom w:val="nil"/>
              <w:right w:val="nil"/>
            </w:tcBorders>
            <w:noWrap/>
            <w:vAlign w:val="bottom"/>
          </w:tcPr>
          <w:p w:rsidR="004F75D0" w:rsidRPr="007F7735" w:rsidRDefault="004F75D0" w:rsidP="007F7735">
            <w:pPr>
              <w:spacing w:after="0" w:line="240" w:lineRule="auto"/>
              <w:rPr>
                <w:rFonts w:cs="Calibri"/>
                <w:b/>
                <w:bCs/>
                <w:color w:val="000000"/>
                <w:sz w:val="24"/>
                <w:szCs w:val="24"/>
                <w:u w:val="single"/>
              </w:rPr>
            </w:pPr>
            <w:r>
              <w:rPr>
                <w:rFonts w:cs="Calibri"/>
                <w:b/>
                <w:bCs/>
                <w:color w:val="000000"/>
                <w:sz w:val="24"/>
                <w:szCs w:val="24"/>
                <w:u w:val="single"/>
              </w:rPr>
              <w:t>China</w:t>
            </w:r>
          </w:p>
          <w:p w:rsidR="004F75D0" w:rsidRPr="00EB544F" w:rsidRDefault="004F75D0" w:rsidP="006B4D38">
            <w:pPr>
              <w:spacing w:after="0" w:line="240" w:lineRule="auto"/>
              <w:rPr>
                <w:rFonts w:cs="Calibri"/>
                <w:b/>
                <w:bCs/>
                <w:color w:val="000000"/>
                <w:sz w:val="24"/>
                <w:szCs w:val="24"/>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6B4D38">
            <w:pPr>
              <w:spacing w:after="0" w:line="240" w:lineRule="auto"/>
              <w:rPr>
                <w:rFonts w:cs="Calibri"/>
                <w:color w:val="000000"/>
                <w:sz w:val="24"/>
                <w:szCs w:val="24"/>
              </w:rPr>
            </w:pPr>
          </w:p>
        </w:tc>
      </w:tr>
      <w:tr w:rsidR="004F75D0" w:rsidRPr="005D4374" w:rsidTr="00172502">
        <w:trPr>
          <w:trHeight w:val="300"/>
        </w:trPr>
        <w:tc>
          <w:tcPr>
            <w:tcW w:w="2124" w:type="dxa"/>
            <w:tcBorders>
              <w:top w:val="single" w:sz="4" w:space="0" w:color="auto"/>
              <w:left w:val="single" w:sz="4" w:space="0" w:color="auto"/>
              <w:bottom w:val="single" w:sz="4" w:space="0" w:color="auto"/>
              <w:right w:val="single" w:sz="4" w:space="0" w:color="auto"/>
            </w:tcBorders>
            <w:noWrap/>
            <w:vAlign w:val="bottom"/>
          </w:tcPr>
          <w:p w:rsidR="004F75D0" w:rsidRPr="00897537" w:rsidRDefault="004F75D0" w:rsidP="00C003CA">
            <w:pPr>
              <w:spacing w:after="0" w:line="240" w:lineRule="auto"/>
              <w:rPr>
                <w:rFonts w:cs="Calibri"/>
                <w:b/>
                <w:color w:val="000000"/>
                <w:sz w:val="24"/>
                <w:szCs w:val="24"/>
              </w:rPr>
            </w:pPr>
            <w:r w:rsidRPr="00EB544F">
              <w:rPr>
                <w:rFonts w:cs="Calibri"/>
                <w:color w:val="000000"/>
                <w:sz w:val="24"/>
                <w:szCs w:val="24"/>
              </w:rPr>
              <w:t> </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2000</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2001</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2002</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2003</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2004</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2005</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2006</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b/>
                <w:bCs/>
                <w:color w:val="000000"/>
                <w:sz w:val="24"/>
                <w:szCs w:val="24"/>
              </w:rPr>
            </w:pPr>
            <w:r w:rsidRPr="00EB544F">
              <w:rPr>
                <w:rFonts w:cs="Calibri"/>
                <w:b/>
                <w:bCs/>
                <w:color w:val="000000"/>
                <w:sz w:val="24"/>
                <w:szCs w:val="24"/>
              </w:rPr>
              <w:t>2007</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noWrap/>
            <w:vAlign w:val="bottom"/>
          </w:tcPr>
          <w:p w:rsidR="004F75D0" w:rsidRPr="00EB544F" w:rsidRDefault="004F75D0" w:rsidP="006B4D38">
            <w:pPr>
              <w:spacing w:after="0" w:line="240" w:lineRule="auto"/>
              <w:rPr>
                <w:rFonts w:cs="Calibri"/>
                <w:color w:val="000000"/>
                <w:sz w:val="24"/>
                <w:szCs w:val="24"/>
              </w:rPr>
            </w:pPr>
            <w:r>
              <w:rPr>
                <w:rFonts w:cs="Calibri"/>
                <w:color w:val="000000"/>
                <w:sz w:val="24"/>
                <w:szCs w:val="24"/>
              </w:rPr>
              <w:t>USA β</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0,02</w:t>
            </w:r>
            <w:r>
              <w:rPr>
                <w:rFonts w:cs="Calibri"/>
                <w:color w:val="000000"/>
                <w:sz w:val="24"/>
                <w:szCs w:val="24"/>
              </w:rPr>
              <w:t xml:space="preserve"> (0,09)</w:t>
            </w:r>
          </w:p>
        </w:tc>
        <w:tc>
          <w:tcPr>
            <w:tcW w:w="914" w:type="dxa"/>
            <w:tcBorders>
              <w:top w:val="nil"/>
              <w:left w:val="nil"/>
              <w:bottom w:val="single" w:sz="4" w:space="0" w:color="auto"/>
              <w:right w:val="single" w:sz="4" w:space="0" w:color="auto"/>
            </w:tcBorders>
            <w:noWrap/>
            <w:vAlign w:val="bottom"/>
          </w:tcPr>
          <w:p w:rsidR="004F75D0" w:rsidRPr="00EB544F" w:rsidRDefault="004F75D0" w:rsidP="009B5FF3">
            <w:pPr>
              <w:spacing w:after="0" w:line="240" w:lineRule="auto"/>
              <w:jc w:val="right"/>
              <w:rPr>
                <w:rFonts w:cs="Calibri"/>
                <w:color w:val="000000"/>
                <w:sz w:val="24"/>
                <w:szCs w:val="24"/>
              </w:rPr>
            </w:pPr>
            <w:r w:rsidRPr="00EB544F">
              <w:rPr>
                <w:rFonts w:cs="Calibri"/>
                <w:color w:val="000000"/>
                <w:sz w:val="24"/>
                <w:szCs w:val="24"/>
              </w:rPr>
              <w:t>0,00</w:t>
            </w:r>
            <w:r>
              <w:rPr>
                <w:rFonts w:cs="Calibri"/>
                <w:color w:val="000000"/>
                <w:sz w:val="24"/>
                <w:szCs w:val="24"/>
              </w:rPr>
              <w:t xml:space="preserve"> (0,09)</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-0,06</w:t>
            </w:r>
            <w:r>
              <w:rPr>
                <w:rFonts w:cs="Calibri"/>
                <w:color w:val="000000"/>
                <w:sz w:val="24"/>
                <w:szCs w:val="24"/>
              </w:rPr>
              <w:t xml:space="preserve"> (0,78)</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-0,08</w:t>
            </w:r>
            <w:r>
              <w:rPr>
                <w:rFonts w:cs="Calibri"/>
                <w:color w:val="000000"/>
                <w:sz w:val="24"/>
                <w:szCs w:val="24"/>
              </w:rPr>
              <w:t xml:space="preserve"> (0,68)</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-0,02</w:t>
            </w:r>
            <w:r>
              <w:rPr>
                <w:rFonts w:cs="Calibri"/>
                <w:color w:val="000000"/>
                <w:sz w:val="24"/>
                <w:szCs w:val="24"/>
              </w:rPr>
              <w:t xml:space="preserve"> (0,93)</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0,05</w:t>
            </w:r>
            <w:r>
              <w:rPr>
                <w:rFonts w:cs="Calibri"/>
                <w:color w:val="000000"/>
                <w:sz w:val="24"/>
                <w:szCs w:val="24"/>
              </w:rPr>
              <w:t xml:space="preserve"> (0,008)</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0,10</w:t>
            </w:r>
            <w:r>
              <w:rPr>
                <w:rFonts w:cs="Calibri"/>
                <w:color w:val="000000"/>
                <w:sz w:val="24"/>
                <w:szCs w:val="24"/>
              </w:rPr>
              <w:t xml:space="preserve"> (0,006)</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0,06</w:t>
            </w:r>
            <w:r>
              <w:rPr>
                <w:rFonts w:cs="Calibri"/>
                <w:color w:val="000000"/>
                <w:sz w:val="24"/>
                <w:szCs w:val="24"/>
              </w:rPr>
              <w:t xml:space="preserve"> (0,008)</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655FCB">
            <w:pPr>
              <w:spacing w:after="0" w:line="240" w:lineRule="auto"/>
              <w:rPr>
                <w:rFonts w:cs="Calibri"/>
                <w:i/>
                <w:iCs/>
                <w:color w:val="000000"/>
                <w:sz w:val="24"/>
                <w:szCs w:val="24"/>
              </w:rPr>
            </w:pPr>
            <w:r>
              <w:rPr>
                <w:rFonts w:cs="Calibri"/>
                <w:i/>
                <w:iCs/>
                <w:color w:val="000000"/>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-0,40</w:t>
            </w:r>
            <w:r>
              <w:rPr>
                <w:rFonts w:cs="Calibri"/>
                <w:color w:val="000000"/>
                <w:sz w:val="24"/>
                <w:szCs w:val="24"/>
              </w:rPr>
              <w:t xml:space="preserve"> (0,08) </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1,73</w:t>
            </w:r>
            <w:r>
              <w:rPr>
                <w:rFonts w:cs="Calibri"/>
                <w:color w:val="000000"/>
                <w:sz w:val="24"/>
                <w:szCs w:val="24"/>
              </w:rPr>
              <w:t xml:space="preserve"> (0,005)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0,98</w:t>
            </w:r>
            <w:r>
              <w:rPr>
                <w:rFonts w:cs="Calibri"/>
                <w:color w:val="000000"/>
                <w:sz w:val="24"/>
                <w:szCs w:val="24"/>
              </w:rPr>
              <w:t xml:space="preserve"> (0,02)</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1,12</w:t>
            </w:r>
            <w:r>
              <w:rPr>
                <w:rFonts w:cs="Calibri"/>
                <w:color w:val="000000"/>
                <w:sz w:val="24"/>
                <w:szCs w:val="24"/>
              </w:rPr>
              <w:t xml:space="preserve"> (0,001)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3,01</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-2,56</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-0,94</w:t>
            </w:r>
            <w:r>
              <w:rPr>
                <w:rFonts w:cs="Calibri"/>
                <w:color w:val="000000"/>
                <w:sz w:val="24"/>
                <w:szCs w:val="24"/>
              </w:rPr>
              <w:t xml:space="preserve"> (0,02)</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-0,26</w:t>
            </w:r>
            <w:r>
              <w:rPr>
                <w:rFonts w:cs="Calibri"/>
                <w:color w:val="000000"/>
                <w:sz w:val="24"/>
                <w:szCs w:val="24"/>
              </w:rPr>
              <w:t xml:space="preserve"> (0,006)</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noWrap/>
            <w:vAlign w:val="bottom"/>
          </w:tcPr>
          <w:p w:rsidR="004F75D0" w:rsidRPr="00EB544F" w:rsidRDefault="004F75D0" w:rsidP="00655FCB">
            <w:pPr>
              <w:spacing w:after="0" w:line="240" w:lineRule="auto"/>
              <w:rPr>
                <w:rFonts w:cs="Calibri"/>
                <w:color w:val="000000"/>
                <w:sz w:val="24"/>
                <w:szCs w:val="24"/>
              </w:rPr>
            </w:pPr>
            <w:r>
              <w:rPr>
                <w:rFonts w:cs="Calibri"/>
                <w:color w:val="000000"/>
                <w:sz w:val="24"/>
                <w:szCs w:val="24"/>
              </w:rPr>
              <w:t>E.U. β</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0,27</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0,25</w:t>
            </w:r>
            <w:r>
              <w:rPr>
                <w:rFonts w:cs="Calibri"/>
                <w:color w:val="000000"/>
                <w:sz w:val="24"/>
                <w:szCs w:val="24"/>
              </w:rPr>
              <w:t xml:space="preserve"> (0,021)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0,23</w:t>
            </w:r>
            <w:r>
              <w:rPr>
                <w:rFonts w:cs="Calibri"/>
                <w:color w:val="000000"/>
                <w:sz w:val="24"/>
                <w:szCs w:val="24"/>
              </w:rPr>
              <w:t xml:space="preserve"> (0,02)</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0,26</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0,29</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6D3E47">
            <w:pPr>
              <w:spacing w:after="0" w:line="240" w:lineRule="auto"/>
              <w:jc w:val="right"/>
              <w:rPr>
                <w:rFonts w:cs="Calibri"/>
                <w:color w:val="000000"/>
                <w:sz w:val="24"/>
                <w:szCs w:val="24"/>
              </w:rPr>
            </w:pPr>
            <w:r w:rsidRPr="00EB544F">
              <w:rPr>
                <w:rFonts w:cs="Calibri"/>
                <w:color w:val="000000"/>
                <w:sz w:val="24"/>
                <w:szCs w:val="24"/>
              </w:rPr>
              <w:t>0,28</w:t>
            </w:r>
            <w:r>
              <w:rPr>
                <w:rFonts w:cs="Calibri"/>
                <w:color w:val="000000"/>
                <w:sz w:val="24"/>
                <w:szCs w:val="24"/>
              </w:rPr>
              <w:t xml:space="preserve"> (0,014)</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0,28</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0,29</w:t>
            </w:r>
            <w:r>
              <w:rPr>
                <w:rFonts w:cs="Calibri"/>
                <w:color w:val="000000"/>
                <w:sz w:val="24"/>
                <w:szCs w:val="24"/>
              </w:rPr>
              <w:t xml:space="preserve"> (0,01)</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rPr>
                <w:rFonts w:cs="Calibri"/>
                <w:i/>
                <w:iCs/>
                <w:color w:val="000000"/>
                <w:sz w:val="24"/>
                <w:szCs w:val="24"/>
              </w:rPr>
            </w:pPr>
            <w:r>
              <w:rPr>
                <w:rFonts w:cs="Calibri"/>
                <w:i/>
                <w:iCs/>
                <w:color w:val="000000"/>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-0,04</w:t>
            </w:r>
            <w:r>
              <w:rPr>
                <w:rFonts w:cs="Calibri"/>
                <w:color w:val="000000"/>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0,26</w:t>
            </w:r>
            <w:r>
              <w:rPr>
                <w:rFonts w:cs="Calibri"/>
                <w:color w:val="000000"/>
                <w:sz w:val="24"/>
                <w:szCs w:val="24"/>
              </w:rPr>
              <w:t xml:space="preserve"> (0,007)</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9B5FF3">
            <w:pPr>
              <w:spacing w:after="0" w:line="240" w:lineRule="auto"/>
              <w:jc w:val="right"/>
              <w:rPr>
                <w:rFonts w:cs="Calibri"/>
                <w:color w:val="000000"/>
                <w:sz w:val="24"/>
                <w:szCs w:val="24"/>
              </w:rPr>
            </w:pPr>
            <w:r w:rsidRPr="00EB544F">
              <w:rPr>
                <w:rFonts w:cs="Calibri"/>
                <w:color w:val="000000"/>
                <w:sz w:val="24"/>
                <w:szCs w:val="24"/>
              </w:rPr>
              <w:t>0,82</w:t>
            </w:r>
            <w:r>
              <w:rPr>
                <w:rFonts w:cs="Calibri"/>
                <w:color w:val="000000"/>
                <w:sz w:val="24"/>
                <w:szCs w:val="24"/>
              </w:rPr>
              <w:t xml:space="preserve"> (0,003)</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6,48</w:t>
            </w:r>
            <w:r>
              <w:rPr>
                <w:rFonts w:cs="Calibri"/>
                <w:color w:val="000000"/>
                <w:sz w:val="24"/>
                <w:szCs w:val="24"/>
              </w:rPr>
              <w:t xml:space="preserve"> (0,001)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sz w:val="24"/>
                <w:szCs w:val="24"/>
              </w:rPr>
            </w:pPr>
            <w:r w:rsidRPr="00EB544F">
              <w:rPr>
                <w:rFonts w:cs="Calibri"/>
                <w:sz w:val="24"/>
                <w:szCs w:val="24"/>
              </w:rPr>
              <w:t>5,89</w:t>
            </w:r>
            <w:r>
              <w:rPr>
                <w:rFonts w:cs="Calibri"/>
                <w:sz w:val="24"/>
                <w:szCs w:val="24"/>
              </w:rPr>
              <w:t xml:space="preserve"> (0,008)</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sz w:val="24"/>
                <w:szCs w:val="24"/>
              </w:rPr>
            </w:pPr>
            <w:r w:rsidRPr="00EB544F">
              <w:rPr>
                <w:rFonts w:cs="Calibri"/>
                <w:sz w:val="24"/>
                <w:szCs w:val="24"/>
              </w:rPr>
              <w:t>6,27</w:t>
            </w:r>
            <w:r>
              <w:rPr>
                <w:rFonts w:cs="Calibri"/>
                <w:sz w:val="24"/>
                <w:szCs w:val="24"/>
              </w:rPr>
              <w:t xml:space="preserve"> (0,002)</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sz w:val="24"/>
                <w:szCs w:val="24"/>
              </w:rPr>
            </w:pPr>
            <w:r w:rsidRPr="00EB544F">
              <w:rPr>
                <w:rFonts w:cs="Calibri"/>
                <w:sz w:val="24"/>
                <w:szCs w:val="24"/>
              </w:rPr>
              <w:t>0,71</w:t>
            </w:r>
            <w:r>
              <w:rPr>
                <w:rFonts w:cs="Calibri"/>
                <w:sz w:val="24"/>
                <w:szCs w:val="24"/>
              </w:rPr>
              <w:t xml:space="preserve"> (0,014)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-0,91</w:t>
            </w:r>
            <w:r>
              <w:rPr>
                <w:rFonts w:cs="Calibri"/>
                <w:color w:val="000000"/>
                <w:sz w:val="24"/>
                <w:szCs w:val="24"/>
              </w:rPr>
              <w:t xml:space="preserve"> (0,007)</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noWrap/>
            <w:vAlign w:val="bottom"/>
          </w:tcPr>
          <w:p w:rsidR="004F75D0" w:rsidRPr="00EB544F" w:rsidRDefault="004F75D0" w:rsidP="006B4D38">
            <w:pPr>
              <w:spacing w:after="0" w:line="240" w:lineRule="auto"/>
              <w:rPr>
                <w:rFonts w:cs="Calibri"/>
                <w:color w:val="000000"/>
                <w:sz w:val="24"/>
                <w:szCs w:val="24"/>
              </w:rPr>
            </w:pPr>
            <w:r>
              <w:rPr>
                <w:rFonts w:cs="Calibri"/>
                <w:color w:val="000000"/>
                <w:sz w:val="24"/>
                <w:szCs w:val="24"/>
              </w:rPr>
              <w:t>World’s advanced Economies β</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0,33</w:t>
            </w:r>
            <w:r>
              <w:rPr>
                <w:rFonts w:cs="Calibri"/>
                <w:color w:val="000000"/>
                <w:sz w:val="24"/>
                <w:szCs w:val="24"/>
              </w:rPr>
              <w:t xml:space="preserve"> (0,095)</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0,32</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0,29</w:t>
            </w:r>
            <w:r>
              <w:rPr>
                <w:rFonts w:cs="Calibri"/>
                <w:color w:val="000000"/>
                <w:sz w:val="24"/>
                <w:szCs w:val="24"/>
              </w:rPr>
              <w:t xml:space="preserve"> (0,015)</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0,31</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0,34</w:t>
            </w:r>
            <w:r>
              <w:rPr>
                <w:rFonts w:cs="Calibri"/>
                <w:color w:val="000000"/>
                <w:sz w:val="24"/>
                <w:szCs w:val="24"/>
              </w:rPr>
              <w:t xml:space="preserve"> (0,072)</w:t>
            </w:r>
          </w:p>
        </w:tc>
        <w:tc>
          <w:tcPr>
            <w:tcW w:w="914" w:type="dxa"/>
            <w:tcBorders>
              <w:top w:val="nil"/>
              <w:left w:val="nil"/>
              <w:bottom w:val="single" w:sz="4" w:space="0" w:color="auto"/>
              <w:right w:val="single" w:sz="4" w:space="0" w:color="auto"/>
            </w:tcBorders>
            <w:noWrap/>
            <w:vAlign w:val="bottom"/>
          </w:tcPr>
          <w:p w:rsidR="004F75D0" w:rsidRPr="00EB544F" w:rsidRDefault="004F75D0" w:rsidP="006D3E47">
            <w:pPr>
              <w:spacing w:after="0" w:line="240" w:lineRule="auto"/>
              <w:jc w:val="right"/>
              <w:rPr>
                <w:rFonts w:cs="Calibri"/>
                <w:color w:val="000000"/>
                <w:sz w:val="24"/>
                <w:szCs w:val="24"/>
              </w:rPr>
            </w:pPr>
            <w:r w:rsidRPr="00EB544F">
              <w:rPr>
                <w:rFonts w:cs="Calibri"/>
                <w:color w:val="000000"/>
                <w:sz w:val="24"/>
                <w:szCs w:val="24"/>
              </w:rPr>
              <w:t>0,34</w:t>
            </w:r>
            <w:r>
              <w:rPr>
                <w:rFonts w:cs="Calibri"/>
                <w:color w:val="000000"/>
                <w:sz w:val="24"/>
                <w:szCs w:val="24"/>
              </w:rPr>
              <w:t xml:space="preserve"> (0,069)</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0,34</w:t>
            </w:r>
            <w:r>
              <w:rPr>
                <w:rFonts w:cs="Calibri"/>
                <w:color w:val="000000"/>
                <w:sz w:val="24"/>
                <w:szCs w:val="24"/>
              </w:rPr>
              <w:t xml:space="preserve"> (0,07)</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0,35</w:t>
            </w:r>
            <w:r>
              <w:rPr>
                <w:rFonts w:cs="Calibri"/>
                <w:color w:val="000000"/>
                <w:sz w:val="24"/>
                <w:szCs w:val="24"/>
              </w:rPr>
              <w:t xml:space="preserve"> (0,073)</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655FCB">
            <w:pPr>
              <w:spacing w:after="0" w:line="240" w:lineRule="auto"/>
              <w:rPr>
                <w:rFonts w:cs="Calibri"/>
                <w:i/>
                <w:iCs/>
                <w:color w:val="000000"/>
                <w:sz w:val="24"/>
                <w:szCs w:val="24"/>
              </w:rPr>
            </w:pPr>
            <w:r>
              <w:rPr>
                <w:rFonts w:cs="Calibri"/>
                <w:i/>
                <w:iCs/>
                <w:color w:val="000000"/>
                <w:sz w:val="24"/>
                <w:szCs w:val="24"/>
              </w:rPr>
              <w:t xml:space="preserve">structural break </w:t>
            </w:r>
            <w:r w:rsidRPr="00EB544F">
              <w:rPr>
                <w:rFonts w:cs="Calibri"/>
                <w:i/>
                <w:iCs/>
                <w:color w:val="000000"/>
                <w:sz w:val="24"/>
                <w:szCs w:val="24"/>
              </w:rPr>
              <w:t>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-0,02</w:t>
            </w:r>
            <w:r>
              <w:rPr>
                <w:rFonts w:cs="Calibri"/>
                <w:color w:val="000000"/>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0,20</w:t>
            </w:r>
            <w:r>
              <w:rPr>
                <w:rFonts w:cs="Calibri"/>
                <w:color w:val="000000"/>
                <w:sz w:val="24"/>
                <w:szCs w:val="24"/>
              </w:rPr>
              <w:t xml:space="preserve"> (0,008)</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0,70</w:t>
            </w:r>
            <w:r>
              <w:rPr>
                <w:rFonts w:cs="Calibri"/>
                <w:color w:val="000000"/>
                <w:sz w:val="24"/>
                <w:szCs w:val="24"/>
              </w:rPr>
              <w:t xml:space="preserve"> (0,004)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3,12</w:t>
            </w:r>
            <w:r>
              <w:rPr>
                <w:rFonts w:cs="Calibri"/>
                <w:color w:val="000000"/>
                <w:sz w:val="24"/>
                <w:szCs w:val="24"/>
              </w:rPr>
              <w:t xml:space="preserve"> (0,015)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sz w:val="24"/>
                <w:szCs w:val="24"/>
              </w:rPr>
            </w:pPr>
            <w:r w:rsidRPr="00EB544F">
              <w:rPr>
                <w:rFonts w:cs="Calibri"/>
                <w:sz w:val="24"/>
                <w:szCs w:val="24"/>
              </w:rPr>
              <w:t>4,40</w:t>
            </w:r>
            <w:r>
              <w:rPr>
                <w:rFonts w:cs="Calibri"/>
                <w:sz w:val="24"/>
                <w:szCs w:val="24"/>
              </w:rPr>
              <w:t xml:space="preserve"> (0,01)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sz w:val="24"/>
                <w:szCs w:val="24"/>
              </w:rPr>
            </w:pPr>
            <w:r w:rsidRPr="00EB544F">
              <w:rPr>
                <w:rFonts w:cs="Calibri"/>
                <w:sz w:val="24"/>
                <w:szCs w:val="24"/>
              </w:rPr>
              <w:t>2,12</w:t>
            </w:r>
            <w:r>
              <w:rPr>
                <w:rFonts w:cs="Calibri"/>
                <w:sz w:val="24"/>
                <w:szCs w:val="24"/>
              </w:rPr>
              <w:t xml:space="preserve"> (0,01)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sz w:val="24"/>
                <w:szCs w:val="24"/>
              </w:rPr>
            </w:pPr>
            <w:r w:rsidRPr="00EB544F">
              <w:rPr>
                <w:rFonts w:cs="Calibri"/>
                <w:sz w:val="24"/>
                <w:szCs w:val="24"/>
              </w:rPr>
              <w:t>0,40</w:t>
            </w:r>
            <w:r>
              <w:rPr>
                <w:rFonts w:cs="Calibri"/>
                <w:sz w:val="24"/>
                <w:szCs w:val="24"/>
              </w:rPr>
              <w:t xml:space="preserve"> (0,015)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-0,91</w:t>
            </w:r>
            <w:r>
              <w:rPr>
                <w:rFonts w:cs="Calibri"/>
                <w:color w:val="000000"/>
                <w:sz w:val="24"/>
                <w:szCs w:val="24"/>
              </w:rPr>
              <w:t xml:space="preserve"> (0,005)</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noWrap/>
            <w:vAlign w:val="bottom"/>
          </w:tcPr>
          <w:p w:rsidR="004F75D0" w:rsidRPr="00EB544F" w:rsidRDefault="004F75D0" w:rsidP="00655FCB">
            <w:pPr>
              <w:spacing w:after="0" w:line="240" w:lineRule="auto"/>
              <w:rPr>
                <w:rFonts w:cs="Calibri"/>
                <w:color w:val="000000"/>
                <w:sz w:val="24"/>
                <w:szCs w:val="24"/>
              </w:rPr>
            </w:pPr>
            <w:r>
              <w:rPr>
                <w:rFonts w:cs="Calibri"/>
                <w:color w:val="000000"/>
                <w:sz w:val="24"/>
                <w:szCs w:val="24"/>
              </w:rPr>
              <w:t>G-7 β</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0,27</w:t>
            </w:r>
            <w:r>
              <w:rPr>
                <w:rFonts w:cs="Calibri"/>
                <w:color w:val="000000"/>
                <w:sz w:val="24"/>
                <w:szCs w:val="24"/>
              </w:rPr>
              <w:t xml:space="preserve"> (0,002)</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0,25</w:t>
            </w:r>
            <w:r>
              <w:rPr>
                <w:rFonts w:cs="Calibri"/>
                <w:color w:val="000000"/>
                <w:sz w:val="24"/>
                <w:szCs w:val="24"/>
              </w:rPr>
              <w:t xml:space="preserve"> (0,021)</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0,22</w:t>
            </w:r>
            <w:r>
              <w:rPr>
                <w:rFonts w:cs="Calibri"/>
                <w:color w:val="000000"/>
                <w:sz w:val="24"/>
                <w:szCs w:val="24"/>
              </w:rPr>
              <w:t xml:space="preserve"> (0,003)</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0,25</w:t>
            </w:r>
            <w:r>
              <w:rPr>
                <w:rFonts w:cs="Calibri"/>
                <w:color w:val="000000"/>
                <w:sz w:val="24"/>
                <w:szCs w:val="24"/>
              </w:rPr>
              <w:t xml:space="preserve"> (0,018)</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0,29</w:t>
            </w:r>
            <w:r>
              <w:rPr>
                <w:rFonts w:cs="Calibri"/>
                <w:color w:val="000000"/>
                <w:sz w:val="24"/>
                <w:szCs w:val="24"/>
              </w:rPr>
              <w:t xml:space="preserve"> (0,012)</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0,28</w:t>
            </w:r>
            <w:r>
              <w:rPr>
                <w:rFonts w:cs="Calibri"/>
                <w:color w:val="000000"/>
                <w:sz w:val="24"/>
                <w:szCs w:val="24"/>
              </w:rPr>
              <w:t xml:space="preserve"> (0,013)</w:t>
            </w:r>
          </w:p>
        </w:tc>
        <w:tc>
          <w:tcPr>
            <w:tcW w:w="914" w:type="dxa"/>
            <w:tcBorders>
              <w:top w:val="nil"/>
              <w:left w:val="nil"/>
              <w:bottom w:val="single" w:sz="4" w:space="0" w:color="auto"/>
              <w:right w:val="single" w:sz="4" w:space="0" w:color="auto"/>
            </w:tcBorders>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0,28</w:t>
            </w:r>
            <w:r>
              <w:rPr>
                <w:rFonts w:cs="Calibri"/>
                <w:color w:val="000000"/>
                <w:sz w:val="24"/>
                <w:szCs w:val="24"/>
              </w:rPr>
              <w:t xml:space="preserve"> (0,014)</w:t>
            </w:r>
          </w:p>
        </w:tc>
        <w:tc>
          <w:tcPr>
            <w:tcW w:w="914" w:type="dxa"/>
            <w:tcBorders>
              <w:top w:val="nil"/>
              <w:left w:val="nil"/>
              <w:bottom w:val="single" w:sz="4" w:space="0" w:color="auto"/>
              <w:right w:val="single" w:sz="4" w:space="0" w:color="auto"/>
            </w:tcBorders>
            <w:noWrap/>
            <w:vAlign w:val="bottom"/>
          </w:tcPr>
          <w:p w:rsidR="004F75D0" w:rsidRPr="00EB544F" w:rsidRDefault="004F75D0" w:rsidP="007C491C">
            <w:pPr>
              <w:spacing w:after="0" w:line="240" w:lineRule="auto"/>
              <w:jc w:val="right"/>
              <w:rPr>
                <w:rFonts w:cs="Calibri"/>
                <w:color w:val="000000"/>
                <w:sz w:val="24"/>
                <w:szCs w:val="24"/>
              </w:rPr>
            </w:pPr>
            <w:r w:rsidRPr="00EB544F">
              <w:rPr>
                <w:rFonts w:cs="Calibri"/>
                <w:color w:val="000000"/>
                <w:sz w:val="24"/>
                <w:szCs w:val="24"/>
              </w:rPr>
              <w:t>0,29</w:t>
            </w:r>
            <w:r>
              <w:rPr>
                <w:rFonts w:cs="Calibri"/>
                <w:color w:val="000000"/>
                <w:sz w:val="24"/>
                <w:szCs w:val="24"/>
              </w:rPr>
              <w:t xml:space="preserve"> (0,015)</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rPr>
                <w:rFonts w:cs="Calibri"/>
                <w:i/>
                <w:iCs/>
                <w:color w:val="000000"/>
                <w:sz w:val="24"/>
                <w:szCs w:val="24"/>
              </w:rPr>
            </w:pPr>
            <w:r>
              <w:rPr>
                <w:rFonts w:cs="Calibri"/>
                <w:i/>
                <w:iCs/>
                <w:color w:val="000000"/>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0,09</w:t>
            </w:r>
            <w:r>
              <w:rPr>
                <w:rFonts w:cs="Calibri"/>
                <w:color w:val="000000"/>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0,30</w:t>
            </w:r>
            <w:r>
              <w:rPr>
                <w:rFonts w:cs="Calibri"/>
                <w:color w:val="000000"/>
                <w:sz w:val="24"/>
                <w:szCs w:val="24"/>
              </w:rPr>
              <w:t xml:space="preserve"> (0,007)</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0,76</w:t>
            </w:r>
            <w:r>
              <w:rPr>
                <w:rFonts w:cs="Calibri"/>
                <w:color w:val="000000"/>
                <w:sz w:val="24"/>
                <w:szCs w:val="24"/>
              </w:rPr>
              <w:t xml:space="preserve"> (0,004)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color w:val="000000"/>
                <w:sz w:val="24"/>
                <w:szCs w:val="24"/>
              </w:rPr>
            </w:pPr>
            <w:r w:rsidRPr="00EB544F">
              <w:rPr>
                <w:rFonts w:cs="Calibri"/>
                <w:color w:val="000000"/>
                <w:sz w:val="24"/>
                <w:szCs w:val="24"/>
              </w:rPr>
              <w:t>3,95</w:t>
            </w:r>
            <w:r>
              <w:rPr>
                <w:rFonts w:cs="Calibri"/>
                <w:color w:val="000000"/>
                <w:sz w:val="24"/>
                <w:szCs w:val="24"/>
              </w:rPr>
              <w:t xml:space="preserve"> (0,015)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sz w:val="24"/>
                <w:szCs w:val="24"/>
              </w:rPr>
            </w:pPr>
            <w:r w:rsidRPr="00EB544F">
              <w:rPr>
                <w:rFonts w:cs="Calibri"/>
                <w:sz w:val="24"/>
                <w:szCs w:val="24"/>
              </w:rPr>
              <w:t>5,23</w:t>
            </w:r>
            <w:r>
              <w:rPr>
                <w:rFonts w:cs="Calibri"/>
                <w:sz w:val="24"/>
                <w:szCs w:val="24"/>
              </w:rPr>
              <w:t xml:space="preserve"> (0,011)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sz w:val="24"/>
                <w:szCs w:val="24"/>
              </w:rPr>
            </w:pPr>
            <w:r w:rsidRPr="00EB544F">
              <w:rPr>
                <w:rFonts w:cs="Calibri"/>
                <w:sz w:val="24"/>
                <w:szCs w:val="24"/>
              </w:rPr>
              <w:t>0,80</w:t>
            </w:r>
            <w:r>
              <w:rPr>
                <w:rFonts w:cs="Calibri"/>
                <w:sz w:val="24"/>
                <w:szCs w:val="24"/>
              </w:rPr>
              <w:t xml:space="preserve"> (0,001)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B4D38">
            <w:pPr>
              <w:spacing w:after="0" w:line="240" w:lineRule="auto"/>
              <w:jc w:val="right"/>
              <w:rPr>
                <w:rFonts w:cs="Calibri"/>
                <w:sz w:val="24"/>
                <w:szCs w:val="24"/>
              </w:rPr>
            </w:pPr>
            <w:r w:rsidRPr="00EB544F">
              <w:rPr>
                <w:rFonts w:cs="Calibri"/>
                <w:sz w:val="24"/>
                <w:szCs w:val="24"/>
              </w:rPr>
              <w:t>0,71</w:t>
            </w:r>
            <w:r>
              <w:rPr>
                <w:rFonts w:cs="Calibri"/>
                <w:sz w:val="24"/>
                <w:szCs w:val="24"/>
              </w:rPr>
              <w:t xml:space="preserve"> (0,016)</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6852DE">
            <w:pPr>
              <w:keepNext/>
              <w:spacing w:after="0" w:line="240" w:lineRule="auto"/>
              <w:jc w:val="right"/>
              <w:rPr>
                <w:rFonts w:cs="Calibri"/>
                <w:color w:val="000000"/>
                <w:sz w:val="24"/>
                <w:szCs w:val="24"/>
              </w:rPr>
            </w:pPr>
            <w:r w:rsidRPr="00EB544F">
              <w:rPr>
                <w:rFonts w:cs="Calibri"/>
                <w:color w:val="000000"/>
                <w:sz w:val="24"/>
                <w:szCs w:val="24"/>
              </w:rPr>
              <w:t>-0,88</w:t>
            </w:r>
            <w:r>
              <w:rPr>
                <w:rFonts w:cs="Calibri"/>
                <w:color w:val="000000"/>
                <w:sz w:val="24"/>
                <w:szCs w:val="24"/>
              </w:rPr>
              <w:t xml:space="preserve"> (0,005)</w:t>
            </w:r>
          </w:p>
        </w:tc>
      </w:tr>
    </w:tbl>
    <w:p w:rsidR="004F75D0" w:rsidRDefault="004F75D0">
      <w:pPr>
        <w:pStyle w:val="Caption"/>
      </w:pPr>
      <w:bookmarkStart w:id="46" w:name="_Toc274047067"/>
      <w:r>
        <w:t xml:space="preserve">Figure </w:t>
      </w:r>
      <w:fldSimple w:instr=" SEQ Figure \* ARABIC ">
        <w:r>
          <w:rPr>
            <w:noProof/>
          </w:rPr>
          <w:t>25</w:t>
        </w:r>
      </w:fldSimple>
      <w:r>
        <w:t>: Table representations of econometric tests between China and advanced economies</w:t>
      </w:r>
      <w:bookmarkEnd w:id="46"/>
    </w:p>
    <w:p w:rsidR="004F75D0" w:rsidRPr="000621A0" w:rsidRDefault="004F75D0" w:rsidP="007F7735">
      <w:pPr>
        <w:rPr>
          <w:i/>
          <w:sz w:val="24"/>
          <w:szCs w:val="24"/>
        </w:rPr>
      </w:pPr>
      <w:r w:rsidRPr="00EB544F">
        <w:rPr>
          <w:i/>
          <w:sz w:val="24"/>
          <w:szCs w:val="24"/>
        </w:rPr>
        <w:t>Significance level 95%</w:t>
      </w:r>
      <w:r>
        <w:rPr>
          <w:i/>
          <w:sz w:val="24"/>
          <w:szCs w:val="24"/>
        </w:rPr>
        <w:t>,</w:t>
      </w:r>
      <w:r w:rsidRPr="00655FCB">
        <w:rPr>
          <w:i/>
          <w:sz w:val="24"/>
          <w:szCs w:val="24"/>
        </w:rPr>
        <w:t xml:space="preserve"> </w:t>
      </w:r>
      <w:r>
        <w:rPr>
          <w:i/>
          <w:sz w:val="24"/>
          <w:szCs w:val="24"/>
        </w:rPr>
        <w:t>p-values in the parentheses</w:t>
      </w:r>
    </w:p>
    <w:p w:rsidR="004F75D0" w:rsidRPr="00002475" w:rsidRDefault="004F75D0" w:rsidP="00002475"/>
    <w:p w:rsidR="004F75D0" w:rsidRDefault="004F75D0" w:rsidP="007F7735">
      <w:pPr>
        <w:pStyle w:val="Caption"/>
        <w:numPr>
          <w:ilvl w:val="0"/>
          <w:numId w:val="26"/>
        </w:numPr>
        <w:rPr>
          <w:sz w:val="24"/>
          <w:szCs w:val="24"/>
        </w:rPr>
      </w:pPr>
      <w:r>
        <w:rPr>
          <w:sz w:val="24"/>
          <w:szCs w:val="24"/>
        </w:rPr>
        <w:t>India</w:t>
      </w:r>
    </w:p>
    <w:p w:rsidR="004F75D0" w:rsidRDefault="004F75D0" w:rsidP="00943713">
      <w:pPr>
        <w:rPr>
          <w:sz w:val="24"/>
          <w:szCs w:val="24"/>
        </w:rPr>
      </w:pPr>
      <w:r w:rsidRPr="00EB544F">
        <w:rPr>
          <w:sz w:val="24"/>
          <w:szCs w:val="24"/>
        </w:rPr>
        <w:t>When we take a closer look to the</w:t>
      </w:r>
      <w:r w:rsidRPr="00EB544F">
        <w:rPr>
          <w:i/>
          <w:sz w:val="24"/>
          <w:szCs w:val="24"/>
        </w:rPr>
        <w:t xml:space="preserve"> gammas</w:t>
      </w:r>
      <w:r w:rsidRPr="00EB544F">
        <w:rPr>
          <w:sz w:val="24"/>
          <w:szCs w:val="24"/>
        </w:rPr>
        <w:t xml:space="preserve"> horizontally we can see some negative values in 2000, 2005 and 2006</w:t>
      </w:r>
      <w:r>
        <w:rPr>
          <w:sz w:val="24"/>
          <w:szCs w:val="24"/>
        </w:rPr>
        <w:t xml:space="preserve"> </w:t>
      </w:r>
      <w:r w:rsidRPr="00293A7D">
        <w:rPr>
          <w:i/>
          <w:sz w:val="24"/>
          <w:szCs w:val="24"/>
        </w:rPr>
        <w:t>(Figure 26)</w:t>
      </w:r>
      <w:r>
        <w:rPr>
          <w:sz w:val="24"/>
          <w:szCs w:val="24"/>
        </w:rPr>
        <w:t xml:space="preserve"> </w:t>
      </w:r>
      <w:r w:rsidRPr="00EB544F">
        <w:rPr>
          <w:sz w:val="24"/>
          <w:szCs w:val="24"/>
        </w:rPr>
        <w:t xml:space="preserve">which confirms the graphical evidence </w:t>
      </w:r>
      <w:r>
        <w:rPr>
          <w:sz w:val="24"/>
          <w:szCs w:val="24"/>
        </w:rPr>
        <w:t>for</w:t>
      </w:r>
      <w:r w:rsidRPr="00EB544F">
        <w:rPr>
          <w:sz w:val="24"/>
          <w:szCs w:val="24"/>
        </w:rPr>
        <w:t xml:space="preserve"> lower degree of interdependence between India and USA</w:t>
      </w:r>
      <w:r>
        <w:rPr>
          <w:sz w:val="24"/>
          <w:szCs w:val="24"/>
        </w:rPr>
        <w:t xml:space="preserve"> </w:t>
      </w:r>
      <w:r w:rsidRPr="00943713">
        <w:rPr>
          <w:i/>
          <w:sz w:val="24"/>
          <w:szCs w:val="24"/>
        </w:rPr>
        <w:t>(</w:t>
      </w:r>
      <w:r>
        <w:rPr>
          <w:i/>
          <w:sz w:val="24"/>
          <w:szCs w:val="24"/>
        </w:rPr>
        <w:t>Figure 13</w:t>
      </w:r>
      <w:r w:rsidRPr="00943713">
        <w:rPr>
          <w:i/>
          <w:sz w:val="24"/>
          <w:szCs w:val="24"/>
        </w:rPr>
        <w:t>)</w:t>
      </w:r>
      <w:r w:rsidRPr="00EB544F">
        <w:rPr>
          <w:sz w:val="24"/>
          <w:szCs w:val="24"/>
        </w:rPr>
        <w:t>.</w:t>
      </w:r>
      <w:r>
        <w:rPr>
          <w:sz w:val="24"/>
          <w:szCs w:val="24"/>
        </w:rPr>
        <w:t xml:space="preserve"> So in combination with the graphical depiction of the Euclidean distance we can conclude to confirmation of the decoupling hypothesis between India and the USA. </w:t>
      </w:r>
    </w:p>
    <w:p w:rsidR="004F75D0" w:rsidRDefault="004F75D0" w:rsidP="00943713">
      <w:pPr>
        <w:rPr>
          <w:sz w:val="24"/>
          <w:szCs w:val="24"/>
        </w:rPr>
      </w:pPr>
      <w:r w:rsidRPr="00EB544F">
        <w:rPr>
          <w:sz w:val="24"/>
          <w:szCs w:val="24"/>
        </w:rPr>
        <w:t xml:space="preserve">Against all other groups of countries, India appears to have a high degree of interdependence. Some individual negative and very high positive </w:t>
      </w:r>
      <w:r w:rsidRPr="00EB544F">
        <w:rPr>
          <w:i/>
          <w:sz w:val="24"/>
          <w:szCs w:val="24"/>
        </w:rPr>
        <w:t>gammas</w:t>
      </w:r>
      <w:r w:rsidRPr="00EB544F">
        <w:rPr>
          <w:sz w:val="24"/>
          <w:szCs w:val="24"/>
        </w:rPr>
        <w:t xml:space="preserve"> have appeared in the regressions as well but they have proved statistically insignificant </w:t>
      </w:r>
      <w:r w:rsidRPr="002732C6">
        <w:rPr>
          <w:i/>
          <w:sz w:val="24"/>
          <w:szCs w:val="24"/>
        </w:rPr>
        <w:t xml:space="preserve">(high p-values) </w:t>
      </w:r>
      <w:r w:rsidRPr="00EB544F">
        <w:rPr>
          <w:sz w:val="24"/>
          <w:szCs w:val="24"/>
        </w:rPr>
        <w:t>so we can ignore their influence</w:t>
      </w:r>
      <w:r>
        <w:rPr>
          <w:sz w:val="24"/>
          <w:szCs w:val="24"/>
        </w:rPr>
        <w:t>.</w:t>
      </w:r>
    </w:p>
    <w:p w:rsidR="004F75D0" w:rsidRDefault="004F75D0" w:rsidP="00943713">
      <w:pPr>
        <w:rPr>
          <w:sz w:val="24"/>
          <w:szCs w:val="24"/>
        </w:rPr>
      </w:pPr>
      <w:r>
        <w:rPr>
          <w:sz w:val="24"/>
          <w:szCs w:val="24"/>
        </w:rPr>
        <w:t xml:space="preserve">Economically, Indian economy depends a lot to the AM economies. The economic bond through imports and exports with the UK and thus with the rest of Europe provokes the high degree of interdependence with all the groups of AM economies. On the other hand the economy of India appears to decouple from the USA’s economy since both types of testing </w:t>
      </w:r>
      <w:r w:rsidRPr="00D52502">
        <w:rPr>
          <w:i/>
          <w:sz w:val="24"/>
          <w:szCs w:val="24"/>
        </w:rPr>
        <w:t>(graphical and econometric)</w:t>
      </w:r>
      <w:r>
        <w:rPr>
          <w:sz w:val="24"/>
          <w:szCs w:val="24"/>
        </w:rPr>
        <w:t xml:space="preserve"> indicate less degree of interdependence implying the detachment of the two economies during the sample years.</w:t>
      </w:r>
    </w:p>
    <w:tbl>
      <w:tblPr>
        <w:tblW w:w="9436" w:type="dxa"/>
        <w:tblLook w:val="00A0"/>
      </w:tblPr>
      <w:tblGrid>
        <w:gridCol w:w="2124"/>
        <w:gridCol w:w="914"/>
        <w:gridCol w:w="914"/>
        <w:gridCol w:w="914"/>
        <w:gridCol w:w="914"/>
        <w:gridCol w:w="914"/>
        <w:gridCol w:w="914"/>
        <w:gridCol w:w="914"/>
        <w:gridCol w:w="914"/>
      </w:tblGrid>
      <w:tr w:rsidR="004F75D0" w:rsidRPr="005D4374" w:rsidTr="00172502">
        <w:trPr>
          <w:trHeight w:val="465"/>
        </w:trPr>
        <w:tc>
          <w:tcPr>
            <w:tcW w:w="212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Default="004F75D0" w:rsidP="001D1DBB">
            <w:pPr>
              <w:spacing w:after="0" w:line="240" w:lineRule="auto"/>
              <w:rPr>
                <w:rFonts w:cs="Calibri"/>
                <w:color w:val="000000"/>
                <w:sz w:val="24"/>
                <w:szCs w:val="24"/>
                <w:u w:val="single"/>
              </w:rPr>
            </w:pPr>
          </w:p>
          <w:p w:rsidR="004F75D0" w:rsidRPr="007F7735" w:rsidRDefault="004F75D0" w:rsidP="001D1DBB">
            <w:pPr>
              <w:spacing w:after="0" w:line="240" w:lineRule="auto"/>
              <w:rPr>
                <w:rFonts w:cs="Calibri"/>
                <w:color w:val="000000"/>
                <w:sz w:val="24"/>
                <w:szCs w:val="24"/>
                <w:u w:val="single"/>
              </w:rPr>
            </w:pPr>
          </w:p>
          <w:p w:rsidR="004F75D0" w:rsidRPr="007F7735" w:rsidRDefault="004F75D0" w:rsidP="001D1DBB">
            <w:pPr>
              <w:spacing w:after="0" w:line="240" w:lineRule="auto"/>
              <w:rPr>
                <w:rFonts w:cs="Calibri"/>
                <w:color w:val="000000"/>
                <w:sz w:val="24"/>
                <w:szCs w:val="24"/>
                <w:u w:val="single"/>
              </w:rPr>
            </w:pPr>
          </w:p>
        </w:tc>
        <w:tc>
          <w:tcPr>
            <w:tcW w:w="1828" w:type="dxa"/>
            <w:gridSpan w:val="2"/>
            <w:tcBorders>
              <w:top w:val="nil"/>
              <w:left w:val="nil"/>
              <w:bottom w:val="nil"/>
              <w:right w:val="nil"/>
            </w:tcBorders>
            <w:noWrap/>
            <w:vAlign w:val="bottom"/>
          </w:tcPr>
          <w:p w:rsidR="004F75D0" w:rsidRPr="007F7735" w:rsidRDefault="004F75D0" w:rsidP="006B4D38">
            <w:pPr>
              <w:spacing w:after="0" w:line="240" w:lineRule="auto"/>
              <w:rPr>
                <w:rFonts w:cs="Calibri"/>
                <w:b/>
                <w:bCs/>
                <w:color w:val="000000"/>
                <w:sz w:val="24"/>
                <w:szCs w:val="24"/>
                <w:u w:val="single"/>
              </w:rPr>
            </w:pPr>
            <w:r>
              <w:rPr>
                <w:rFonts w:cs="Calibri"/>
                <w:b/>
                <w:bCs/>
                <w:color w:val="000000"/>
                <w:sz w:val="24"/>
                <w:szCs w:val="24"/>
                <w:u w:val="single"/>
              </w:rPr>
              <w:t>India</w:t>
            </w:r>
          </w:p>
          <w:p w:rsidR="004F75D0" w:rsidRPr="007F7735" w:rsidRDefault="004F75D0" w:rsidP="006B4D38">
            <w:pPr>
              <w:spacing w:after="0" w:line="240" w:lineRule="auto"/>
              <w:rPr>
                <w:rFonts w:cs="Calibri"/>
                <w:color w:val="000000"/>
                <w:sz w:val="24"/>
                <w:szCs w:val="24"/>
                <w:u w:val="single"/>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r>
      <w:tr w:rsidR="004F75D0" w:rsidRPr="005D4374" w:rsidTr="00172502">
        <w:trPr>
          <w:trHeight w:val="300"/>
        </w:trPr>
        <w:tc>
          <w:tcPr>
            <w:tcW w:w="2124" w:type="dxa"/>
            <w:tcBorders>
              <w:top w:val="single" w:sz="4" w:space="0" w:color="auto"/>
              <w:left w:val="single" w:sz="4" w:space="0" w:color="auto"/>
              <w:bottom w:val="single" w:sz="4" w:space="0" w:color="auto"/>
              <w:right w:val="single" w:sz="4" w:space="0" w:color="auto"/>
            </w:tcBorders>
            <w:noWrap/>
            <w:vAlign w:val="bottom"/>
          </w:tcPr>
          <w:p w:rsidR="004F75D0" w:rsidRPr="0056208A" w:rsidRDefault="004F75D0" w:rsidP="00DA609C">
            <w:pPr>
              <w:spacing w:after="0" w:line="240" w:lineRule="auto"/>
              <w:rPr>
                <w:rFonts w:cs="Calibri"/>
                <w:b/>
                <w:color w:val="000000"/>
                <w:sz w:val="24"/>
                <w:szCs w:val="24"/>
              </w:rPr>
            </w:pPr>
            <w:r w:rsidRPr="00EB544F">
              <w:rPr>
                <w:rFonts w:cs="Calibri"/>
                <w:color w:val="000000"/>
                <w:sz w:val="24"/>
                <w:szCs w:val="24"/>
              </w:rPr>
              <w:t> </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2000</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2001</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2002</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2003</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2004</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2005</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2006</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2007</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noWrap/>
            <w:vAlign w:val="bottom"/>
          </w:tcPr>
          <w:p w:rsidR="004F75D0" w:rsidRPr="00EB544F" w:rsidRDefault="004F75D0" w:rsidP="001D1DBB">
            <w:pPr>
              <w:spacing w:after="0" w:line="240" w:lineRule="auto"/>
              <w:rPr>
                <w:rFonts w:cs="Calibri"/>
                <w:color w:val="000000"/>
                <w:sz w:val="24"/>
                <w:szCs w:val="24"/>
              </w:rPr>
            </w:pPr>
            <w:r>
              <w:rPr>
                <w:rFonts w:cs="Calibri"/>
                <w:color w:val="000000"/>
                <w:sz w:val="24"/>
                <w:szCs w:val="24"/>
              </w:rPr>
              <w:t>USA β</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0,35</w:t>
            </w:r>
            <w:r>
              <w:rPr>
                <w:rFonts w:cs="Calibri"/>
                <w:color w:val="000000"/>
                <w:sz w:val="24"/>
                <w:szCs w:val="24"/>
              </w:rPr>
              <w:t xml:space="preserve"> (0,07)</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0,32</w:t>
            </w:r>
            <w:r>
              <w:rPr>
                <w:rFonts w:cs="Calibri"/>
                <w:color w:val="000000"/>
                <w:sz w:val="24"/>
                <w:szCs w:val="24"/>
              </w:rPr>
              <w:t xml:space="preserve"> (0,009)</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0,25</w:t>
            </w:r>
            <w:r>
              <w:rPr>
                <w:rFonts w:cs="Calibri"/>
                <w:color w:val="000000"/>
                <w:sz w:val="24"/>
                <w:szCs w:val="24"/>
              </w:rPr>
              <w:t xml:space="preserve"> (0,018)</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0,27</w:t>
            </w:r>
            <w:r>
              <w:rPr>
                <w:rFonts w:cs="Calibri"/>
                <w:color w:val="000000"/>
                <w:sz w:val="24"/>
                <w:szCs w:val="24"/>
              </w:rPr>
              <w:t xml:space="preserve"> (0,017)</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0,32</w:t>
            </w:r>
            <w:r>
              <w:rPr>
                <w:rFonts w:cs="Calibri"/>
                <w:color w:val="000000"/>
                <w:sz w:val="24"/>
                <w:szCs w:val="24"/>
              </w:rPr>
              <w:t xml:space="preserve"> (0,09)</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0,36</w:t>
            </w:r>
            <w:r>
              <w:rPr>
                <w:rFonts w:cs="Calibri"/>
                <w:color w:val="000000"/>
                <w:sz w:val="24"/>
                <w:szCs w:val="24"/>
              </w:rPr>
              <w:t xml:space="preserve"> (0,06)</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0,41</w:t>
            </w:r>
            <w:r>
              <w:rPr>
                <w:rFonts w:cs="Calibri"/>
                <w:color w:val="000000"/>
                <w:sz w:val="24"/>
                <w:szCs w:val="24"/>
              </w:rPr>
              <w:t xml:space="preserve"> (0,04)</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0,29</w:t>
            </w:r>
            <w:r>
              <w:rPr>
                <w:rFonts w:cs="Calibri"/>
                <w:color w:val="000000"/>
                <w:sz w:val="24"/>
                <w:szCs w:val="24"/>
              </w:rPr>
              <w:t xml:space="preserve"> (0,017)</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655FCB">
            <w:pPr>
              <w:spacing w:after="0" w:line="240" w:lineRule="auto"/>
              <w:rPr>
                <w:rFonts w:cs="Calibri"/>
                <w:i/>
                <w:iCs/>
                <w:sz w:val="24"/>
                <w:szCs w:val="24"/>
              </w:rPr>
            </w:pPr>
            <w:r>
              <w:rPr>
                <w:rFonts w:cs="Calibri"/>
                <w:i/>
                <w:iCs/>
                <w:sz w:val="24"/>
                <w:szCs w:val="24"/>
              </w:rPr>
              <w:t xml:space="preserve">structural break </w:t>
            </w:r>
            <w:r w:rsidRPr="00EB544F">
              <w:rPr>
                <w:rFonts w:cs="Calibri"/>
                <w:i/>
                <w:iCs/>
                <w:sz w:val="24"/>
                <w:szCs w:val="24"/>
              </w:rPr>
              <w:t>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-0,91</w:t>
            </w:r>
            <w:r>
              <w:rPr>
                <w:rFonts w:cs="Calibri"/>
                <w:sz w:val="24"/>
                <w:szCs w:val="24"/>
              </w:rPr>
              <w:t xml:space="preserve"> (0,005)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2,98</w:t>
            </w:r>
            <w:r>
              <w:rPr>
                <w:rFonts w:cs="Calibri"/>
                <w:sz w:val="24"/>
                <w:szCs w:val="24"/>
              </w:rPr>
              <w:t xml:space="preserve"> (0,02)</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1,30</w:t>
            </w:r>
            <w:r>
              <w:rPr>
                <w:rFonts w:cs="Calibri"/>
                <w:sz w:val="24"/>
                <w:szCs w:val="24"/>
              </w:rPr>
              <w:t xml:space="preserve"> (0,08)</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0,85</w:t>
            </w:r>
            <w:r>
              <w:rPr>
                <w:rFonts w:cs="Calibri"/>
                <w:sz w:val="24"/>
                <w:szCs w:val="24"/>
              </w:rPr>
              <w:t xml:space="preserve"> (0,021)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1,99</w:t>
            </w:r>
            <w:r>
              <w:rPr>
                <w:rFonts w:cs="Calibri"/>
                <w:sz w:val="24"/>
                <w:szCs w:val="24"/>
              </w:rPr>
              <w:t xml:space="preserve"> (0,003)</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-1,26</w:t>
            </w:r>
            <w:r>
              <w:rPr>
                <w:rFonts w:cs="Calibri"/>
                <w:sz w:val="24"/>
                <w:szCs w:val="24"/>
              </w:rPr>
              <w:t xml:space="preserve"> (0,043)</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-0,77</w:t>
            </w:r>
            <w:r>
              <w:rPr>
                <w:rFonts w:cs="Calibri"/>
                <w:sz w:val="24"/>
                <w:szCs w:val="24"/>
              </w:rPr>
              <w:t xml:space="preserve"> (0,023)</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0,28</w:t>
            </w:r>
            <w:r>
              <w:rPr>
                <w:rFonts w:cs="Calibri"/>
                <w:sz w:val="24"/>
                <w:szCs w:val="24"/>
              </w:rPr>
              <w:t xml:space="preserve"> (0,005)</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noWrap/>
            <w:vAlign w:val="bottom"/>
          </w:tcPr>
          <w:p w:rsidR="004F75D0" w:rsidRPr="00EB544F" w:rsidRDefault="004F75D0" w:rsidP="001D1DBB">
            <w:pPr>
              <w:spacing w:after="0" w:line="240" w:lineRule="auto"/>
              <w:rPr>
                <w:rFonts w:cs="Calibri"/>
                <w:color w:val="000000"/>
                <w:sz w:val="24"/>
                <w:szCs w:val="24"/>
              </w:rPr>
            </w:pPr>
            <w:r>
              <w:rPr>
                <w:rFonts w:cs="Calibri"/>
                <w:color w:val="000000"/>
                <w:sz w:val="24"/>
                <w:szCs w:val="24"/>
              </w:rPr>
              <w:t>E.U. β</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0,35</w:t>
            </w:r>
            <w:r>
              <w:rPr>
                <w:rFonts w:cs="Calibri"/>
                <w:color w:val="000000"/>
                <w:sz w:val="24"/>
                <w:szCs w:val="24"/>
              </w:rPr>
              <w:t xml:space="preserve"> (0,07)</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0,30</w:t>
            </w:r>
            <w:r>
              <w:rPr>
                <w:rFonts w:cs="Calibri"/>
                <w:color w:val="000000"/>
                <w:sz w:val="24"/>
                <w:szCs w:val="24"/>
              </w:rPr>
              <w:t xml:space="preserve"> (0,012)</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0,27</w:t>
            </w:r>
            <w:r>
              <w:rPr>
                <w:rFonts w:cs="Calibri"/>
                <w:color w:val="000000"/>
                <w:sz w:val="24"/>
                <w:szCs w:val="24"/>
              </w:rPr>
              <w:t xml:space="preserve"> (0,014)</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0,34</w:t>
            </w:r>
            <w:r>
              <w:rPr>
                <w:rFonts w:cs="Calibri"/>
                <w:color w:val="000000"/>
                <w:sz w:val="24"/>
                <w:szCs w:val="24"/>
              </w:rPr>
              <w:t xml:space="preserve"> (0,06)</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0,36</w:t>
            </w:r>
            <w:r>
              <w:rPr>
                <w:rFonts w:cs="Calibri"/>
                <w:color w:val="000000"/>
                <w:sz w:val="24"/>
                <w:szCs w:val="24"/>
              </w:rPr>
              <w:t xml:space="preserve"> (0,05)</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0,35</w:t>
            </w:r>
            <w:r>
              <w:rPr>
                <w:rFonts w:cs="Calibri"/>
                <w:color w:val="000000"/>
                <w:sz w:val="24"/>
                <w:szCs w:val="24"/>
              </w:rPr>
              <w:t xml:space="preserve"> (0,06)</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0,35</w:t>
            </w:r>
            <w:r>
              <w:rPr>
                <w:rFonts w:cs="Calibri"/>
                <w:color w:val="000000"/>
                <w:sz w:val="24"/>
                <w:szCs w:val="24"/>
              </w:rPr>
              <w:t xml:space="preserve"> (0,06)</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0,32</w:t>
            </w:r>
            <w:r>
              <w:rPr>
                <w:rFonts w:cs="Calibri"/>
                <w:color w:val="000000"/>
                <w:sz w:val="24"/>
                <w:szCs w:val="24"/>
              </w:rPr>
              <w:t xml:space="preserve"> (0,09)</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655FCB">
            <w:pPr>
              <w:spacing w:after="0" w:line="240" w:lineRule="auto"/>
              <w:rPr>
                <w:rFonts w:cs="Calibri"/>
                <w:i/>
                <w:iCs/>
                <w:sz w:val="24"/>
                <w:szCs w:val="24"/>
              </w:rPr>
            </w:pPr>
            <w:r w:rsidRPr="00EB544F">
              <w:rPr>
                <w:rFonts w:cs="Calibri"/>
                <w:i/>
                <w:iCs/>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-0,02</w:t>
            </w:r>
            <w:r>
              <w:rPr>
                <w:rFonts w:cs="Calibri"/>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0,69</w:t>
            </w:r>
            <w:r>
              <w:rPr>
                <w:rFonts w:cs="Calibri"/>
                <w:sz w:val="24"/>
                <w:szCs w:val="24"/>
              </w:rPr>
              <w:t xml:space="preserve"> (0,003)</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1,50</w:t>
            </w:r>
            <w:r>
              <w:rPr>
                <w:rFonts w:cs="Calibri"/>
                <w:sz w:val="24"/>
                <w:szCs w:val="24"/>
              </w:rPr>
              <w:t xml:space="preserve"> (0,07)</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1,70</w:t>
            </w:r>
            <w:r>
              <w:rPr>
                <w:rFonts w:cs="Calibri"/>
                <w:sz w:val="24"/>
                <w:szCs w:val="24"/>
              </w:rPr>
              <w:t xml:space="preserve"> (0,09)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4,71</w:t>
            </w:r>
            <w:r>
              <w:rPr>
                <w:rFonts w:cs="Calibri"/>
                <w:sz w:val="24"/>
                <w:szCs w:val="24"/>
              </w:rPr>
              <w:t xml:space="preserve"> (0,02)</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0,61</w:t>
            </w:r>
            <w:r>
              <w:rPr>
                <w:rFonts w:cs="Calibri"/>
                <w:sz w:val="24"/>
                <w:szCs w:val="24"/>
              </w:rPr>
              <w:t xml:space="preserve"> (0,055)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0,72</w:t>
            </w:r>
            <w:r>
              <w:rPr>
                <w:rFonts w:cs="Calibri"/>
                <w:sz w:val="24"/>
                <w:szCs w:val="24"/>
              </w:rPr>
              <w:t xml:space="preserve"> (0,005)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1,47</w:t>
            </w:r>
            <w:r>
              <w:rPr>
                <w:rFonts w:cs="Calibri"/>
                <w:sz w:val="24"/>
                <w:szCs w:val="24"/>
              </w:rPr>
              <w:t xml:space="preserve"> (0,003)</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noWrap/>
            <w:vAlign w:val="bottom"/>
          </w:tcPr>
          <w:p w:rsidR="004F75D0" w:rsidRPr="00EB544F" w:rsidRDefault="004F75D0" w:rsidP="001D1DBB">
            <w:pPr>
              <w:spacing w:after="0" w:line="240" w:lineRule="auto"/>
              <w:rPr>
                <w:rFonts w:cs="Calibri"/>
                <w:color w:val="000000"/>
                <w:sz w:val="24"/>
                <w:szCs w:val="24"/>
              </w:rPr>
            </w:pPr>
            <w:r>
              <w:rPr>
                <w:rFonts w:cs="Calibri"/>
                <w:color w:val="000000"/>
                <w:sz w:val="24"/>
                <w:szCs w:val="24"/>
              </w:rPr>
              <w:t>World’s advanced Economies β</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0,38</w:t>
            </w:r>
            <w:r>
              <w:rPr>
                <w:rFonts w:cs="Calibri"/>
                <w:color w:val="000000"/>
                <w:sz w:val="24"/>
                <w:szCs w:val="24"/>
              </w:rPr>
              <w:t xml:space="preserve"> (0,05)</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0,34</w:t>
            </w:r>
            <w:r>
              <w:rPr>
                <w:rFonts w:cs="Calibri"/>
                <w:color w:val="000000"/>
                <w:sz w:val="24"/>
                <w:szCs w:val="24"/>
              </w:rPr>
              <w:t xml:space="preserve"> (0,08)</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0,30</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0,36</w:t>
            </w:r>
            <w:r>
              <w:rPr>
                <w:rFonts w:cs="Calibri"/>
                <w:color w:val="000000"/>
                <w:sz w:val="24"/>
                <w:szCs w:val="24"/>
              </w:rPr>
              <w:t xml:space="preserve"> (0,05)</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0,39</w:t>
            </w:r>
            <w:r>
              <w:rPr>
                <w:rFonts w:cs="Calibri"/>
                <w:color w:val="000000"/>
                <w:sz w:val="24"/>
                <w:szCs w:val="24"/>
              </w:rPr>
              <w:t xml:space="preserve"> (0,041)</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0,38</w:t>
            </w:r>
            <w:r>
              <w:rPr>
                <w:rFonts w:cs="Calibri"/>
                <w:color w:val="000000"/>
                <w:sz w:val="24"/>
                <w:szCs w:val="24"/>
              </w:rPr>
              <w:t xml:space="preserve"> (0,046)</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0,38</w:t>
            </w:r>
            <w:r>
              <w:rPr>
                <w:rFonts w:cs="Calibri"/>
                <w:color w:val="000000"/>
                <w:sz w:val="24"/>
                <w:szCs w:val="24"/>
              </w:rPr>
              <w:t xml:space="preserve"> (0,047)</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0,35</w:t>
            </w:r>
            <w:r>
              <w:rPr>
                <w:rFonts w:cs="Calibri"/>
                <w:color w:val="000000"/>
                <w:sz w:val="24"/>
                <w:szCs w:val="24"/>
              </w:rPr>
              <w:t xml:space="preserve"> (0,06)</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rPr>
                <w:rFonts w:cs="Calibri"/>
                <w:i/>
                <w:iCs/>
                <w:sz w:val="24"/>
                <w:szCs w:val="24"/>
              </w:rPr>
            </w:pPr>
            <w:r>
              <w:rPr>
                <w:rFonts w:cs="Calibri"/>
                <w:i/>
                <w:iCs/>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A2071">
            <w:pPr>
              <w:spacing w:after="0" w:line="240" w:lineRule="auto"/>
              <w:jc w:val="right"/>
              <w:rPr>
                <w:rFonts w:cs="Calibri"/>
                <w:sz w:val="24"/>
                <w:szCs w:val="24"/>
              </w:rPr>
            </w:pPr>
            <w:r w:rsidRPr="00EB544F">
              <w:rPr>
                <w:rFonts w:cs="Calibri"/>
                <w:sz w:val="24"/>
                <w:szCs w:val="24"/>
              </w:rPr>
              <w:t>0,06</w:t>
            </w:r>
            <w:r>
              <w:rPr>
                <w:rFonts w:cs="Calibri"/>
                <w:sz w:val="24"/>
                <w:szCs w:val="24"/>
              </w:rPr>
              <w:t xml:space="preserve"> (0,09)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0,67</w:t>
            </w:r>
            <w:r>
              <w:rPr>
                <w:rFonts w:cs="Calibri"/>
                <w:sz w:val="24"/>
                <w:szCs w:val="24"/>
              </w:rPr>
              <w:t xml:space="preserve"> (0,037)</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1,39</w:t>
            </w:r>
            <w:r>
              <w:rPr>
                <w:rFonts w:cs="Calibri"/>
                <w:sz w:val="24"/>
                <w:szCs w:val="24"/>
              </w:rPr>
              <w:t xml:space="preserve"> (0,07)</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3,38</w:t>
            </w:r>
            <w:r>
              <w:rPr>
                <w:rFonts w:cs="Calibri"/>
                <w:sz w:val="24"/>
                <w:szCs w:val="24"/>
              </w:rPr>
              <w:t xml:space="preserve"> (0,01)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1,28</w:t>
            </w:r>
            <w:r>
              <w:rPr>
                <w:rFonts w:cs="Calibri"/>
                <w:sz w:val="24"/>
                <w:szCs w:val="24"/>
              </w:rPr>
              <w:t xml:space="preserve"> (0,021)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1,59</w:t>
            </w:r>
            <w:r>
              <w:rPr>
                <w:rFonts w:cs="Calibri"/>
                <w:sz w:val="24"/>
                <w:szCs w:val="24"/>
              </w:rPr>
              <w:t xml:space="preserve"> (0,05)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2,47</w:t>
            </w:r>
            <w:r>
              <w:rPr>
                <w:rFonts w:cs="Calibri"/>
                <w:sz w:val="24"/>
                <w:szCs w:val="24"/>
              </w:rPr>
              <w:t xml:space="preserve"> (0,005)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1,23</w:t>
            </w:r>
            <w:r>
              <w:rPr>
                <w:rFonts w:cs="Calibri"/>
                <w:sz w:val="24"/>
                <w:szCs w:val="24"/>
              </w:rPr>
              <w:t xml:space="preserve"> (0,003)</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noWrap/>
            <w:vAlign w:val="bottom"/>
          </w:tcPr>
          <w:p w:rsidR="004F75D0" w:rsidRPr="00EB544F" w:rsidRDefault="004F75D0" w:rsidP="00655FCB">
            <w:pPr>
              <w:spacing w:after="0" w:line="240" w:lineRule="auto"/>
              <w:rPr>
                <w:rFonts w:cs="Calibri"/>
                <w:color w:val="000000"/>
                <w:sz w:val="24"/>
                <w:szCs w:val="24"/>
              </w:rPr>
            </w:pPr>
            <w:r>
              <w:rPr>
                <w:rFonts w:cs="Calibri"/>
                <w:color w:val="000000"/>
                <w:sz w:val="24"/>
                <w:szCs w:val="24"/>
              </w:rPr>
              <w:t>G-7 β</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0,35</w:t>
            </w:r>
            <w:r>
              <w:rPr>
                <w:rFonts w:cs="Calibri"/>
                <w:color w:val="000000"/>
                <w:sz w:val="24"/>
                <w:szCs w:val="24"/>
              </w:rPr>
              <w:t xml:space="preserve"> (0,07)</w:t>
            </w:r>
          </w:p>
        </w:tc>
        <w:tc>
          <w:tcPr>
            <w:tcW w:w="914" w:type="dxa"/>
            <w:tcBorders>
              <w:top w:val="nil"/>
              <w:left w:val="nil"/>
              <w:bottom w:val="single" w:sz="4" w:space="0" w:color="auto"/>
              <w:right w:val="single" w:sz="4" w:space="0" w:color="auto"/>
            </w:tcBorders>
            <w:noWrap/>
            <w:vAlign w:val="bottom"/>
          </w:tcPr>
          <w:p w:rsidR="004F75D0" w:rsidRPr="00EB544F" w:rsidRDefault="004F75D0" w:rsidP="009432E9">
            <w:pPr>
              <w:spacing w:after="0" w:line="240" w:lineRule="auto"/>
              <w:jc w:val="right"/>
              <w:rPr>
                <w:rFonts w:cs="Calibri"/>
                <w:color w:val="000000"/>
                <w:sz w:val="24"/>
                <w:szCs w:val="24"/>
              </w:rPr>
            </w:pPr>
            <w:r w:rsidRPr="00EB544F">
              <w:rPr>
                <w:rFonts w:cs="Calibri"/>
                <w:color w:val="000000"/>
                <w:sz w:val="24"/>
                <w:szCs w:val="24"/>
              </w:rPr>
              <w:t>0,31</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0,27</w:t>
            </w:r>
            <w:r>
              <w:rPr>
                <w:rFonts w:cs="Calibri"/>
                <w:color w:val="000000"/>
                <w:sz w:val="24"/>
                <w:szCs w:val="24"/>
              </w:rPr>
              <w:t xml:space="preserve"> (0,014)</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0,33</w:t>
            </w:r>
            <w:r>
              <w:rPr>
                <w:rFonts w:cs="Calibri"/>
                <w:color w:val="000000"/>
                <w:sz w:val="24"/>
                <w:szCs w:val="24"/>
              </w:rPr>
              <w:t xml:space="preserve"> (0,07)</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0,37</w:t>
            </w:r>
            <w:r>
              <w:rPr>
                <w:rFonts w:cs="Calibri"/>
                <w:color w:val="000000"/>
                <w:sz w:val="24"/>
                <w:szCs w:val="24"/>
              </w:rPr>
              <w:t xml:space="preserve"> (0,05)</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0,36</w:t>
            </w:r>
            <w:r>
              <w:rPr>
                <w:rFonts w:cs="Calibri"/>
                <w:color w:val="000000"/>
                <w:sz w:val="24"/>
                <w:szCs w:val="24"/>
              </w:rPr>
              <w:t xml:space="preserve"> (0,06)</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0,36</w:t>
            </w:r>
            <w:r>
              <w:rPr>
                <w:rFonts w:cs="Calibri"/>
                <w:color w:val="000000"/>
                <w:sz w:val="24"/>
                <w:szCs w:val="24"/>
              </w:rPr>
              <w:t xml:space="preserve"> (0,06)</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0,32</w:t>
            </w:r>
            <w:r>
              <w:rPr>
                <w:rFonts w:cs="Calibri"/>
                <w:color w:val="000000"/>
                <w:sz w:val="24"/>
                <w:szCs w:val="24"/>
              </w:rPr>
              <w:t xml:space="preserve"> (0,09)</w:t>
            </w:r>
          </w:p>
        </w:tc>
      </w:tr>
      <w:tr w:rsidR="004F75D0" w:rsidRPr="005D4374" w:rsidTr="00172502">
        <w:trPr>
          <w:trHeight w:val="300"/>
        </w:trPr>
        <w:tc>
          <w:tcPr>
            <w:tcW w:w="2124"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655FCB">
            <w:pPr>
              <w:spacing w:after="0" w:line="240" w:lineRule="auto"/>
              <w:rPr>
                <w:rFonts w:cs="Calibri"/>
                <w:i/>
                <w:iCs/>
                <w:sz w:val="24"/>
                <w:szCs w:val="24"/>
              </w:rPr>
            </w:pPr>
            <w:r>
              <w:rPr>
                <w:rFonts w:cs="Calibri"/>
                <w:i/>
                <w:iCs/>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0,16</w:t>
            </w:r>
            <w:r>
              <w:rPr>
                <w:rFonts w:cs="Calibri"/>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0,76</w:t>
            </w:r>
            <w:r>
              <w:rPr>
                <w:rFonts w:cs="Calibri"/>
                <w:sz w:val="24"/>
                <w:szCs w:val="24"/>
              </w:rPr>
              <w:t xml:space="preserve"> (0,034)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1,41</w:t>
            </w:r>
            <w:r>
              <w:rPr>
                <w:rFonts w:cs="Calibri"/>
                <w:sz w:val="24"/>
                <w:szCs w:val="24"/>
              </w:rPr>
              <w:t xml:space="preserve"> (0,07)</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4,24</w:t>
            </w:r>
            <w:r>
              <w:rPr>
                <w:rFonts w:cs="Calibri"/>
                <w:sz w:val="24"/>
                <w:szCs w:val="24"/>
              </w:rPr>
              <w:t xml:space="preserve"> (0,11)</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-0,42</w:t>
            </w:r>
            <w:r>
              <w:rPr>
                <w:rFonts w:cs="Calibri"/>
                <w:sz w:val="24"/>
                <w:szCs w:val="24"/>
              </w:rPr>
              <w:t>0 (0,19)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0,31</w:t>
            </w:r>
            <w:r>
              <w:rPr>
                <w:rFonts w:cs="Calibri"/>
                <w:sz w:val="24"/>
                <w:szCs w:val="24"/>
              </w:rPr>
              <w:t xml:space="preserve"> (0,02)</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0,31</w:t>
            </w:r>
            <w:r>
              <w:rPr>
                <w:rFonts w:cs="Calibri"/>
                <w:sz w:val="24"/>
                <w:szCs w:val="24"/>
              </w:rPr>
              <w:t xml:space="preserve"> (0,005)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E52BF7">
            <w:pPr>
              <w:keepNext/>
              <w:spacing w:after="0" w:line="240" w:lineRule="auto"/>
              <w:jc w:val="right"/>
              <w:rPr>
                <w:rFonts w:cs="Calibri"/>
                <w:sz w:val="24"/>
                <w:szCs w:val="24"/>
              </w:rPr>
            </w:pPr>
            <w:r w:rsidRPr="00EB544F">
              <w:rPr>
                <w:rFonts w:cs="Calibri"/>
                <w:sz w:val="24"/>
                <w:szCs w:val="24"/>
              </w:rPr>
              <w:t>1,36</w:t>
            </w:r>
            <w:r>
              <w:rPr>
                <w:rFonts w:cs="Calibri"/>
                <w:sz w:val="24"/>
                <w:szCs w:val="24"/>
              </w:rPr>
              <w:t xml:space="preserve"> (0,03)</w:t>
            </w:r>
          </w:p>
        </w:tc>
      </w:tr>
    </w:tbl>
    <w:p w:rsidR="004F75D0" w:rsidRDefault="004F75D0">
      <w:pPr>
        <w:pStyle w:val="Caption"/>
      </w:pPr>
      <w:bookmarkStart w:id="47" w:name="_Toc274047068"/>
      <w:r>
        <w:t xml:space="preserve">Figure </w:t>
      </w:r>
      <w:fldSimple w:instr=" SEQ Figure \* ARABIC ">
        <w:r>
          <w:rPr>
            <w:noProof/>
          </w:rPr>
          <w:t>26</w:t>
        </w:r>
      </w:fldSimple>
      <w:r>
        <w:t>: Table representations of econometric tests between India and advanced economies</w:t>
      </w:r>
      <w:bookmarkEnd w:id="47"/>
    </w:p>
    <w:p w:rsidR="004F75D0" w:rsidRDefault="004F75D0" w:rsidP="00D010B4">
      <w:pPr>
        <w:rPr>
          <w:i/>
          <w:sz w:val="24"/>
          <w:szCs w:val="24"/>
        </w:rPr>
      </w:pPr>
      <w:r w:rsidRPr="00EB544F">
        <w:rPr>
          <w:i/>
          <w:sz w:val="24"/>
          <w:szCs w:val="24"/>
        </w:rPr>
        <w:t>Significance level 95%</w:t>
      </w:r>
      <w:r>
        <w:rPr>
          <w:i/>
          <w:sz w:val="24"/>
          <w:szCs w:val="24"/>
        </w:rPr>
        <w:t>, p-values in the parenthes</w:t>
      </w:r>
      <w:bookmarkStart w:id="48" w:name="_Toc272771564"/>
      <w:r>
        <w:rPr>
          <w:i/>
          <w:sz w:val="24"/>
          <w:szCs w:val="24"/>
        </w:rPr>
        <w:t>es</w:t>
      </w:r>
    </w:p>
    <w:bookmarkEnd w:id="48"/>
    <w:p w:rsidR="004F75D0" w:rsidRPr="007F7735" w:rsidRDefault="004F75D0" w:rsidP="007F7735">
      <w:pPr>
        <w:pStyle w:val="ListParagraph"/>
        <w:numPr>
          <w:ilvl w:val="0"/>
          <w:numId w:val="26"/>
        </w:numPr>
        <w:rPr>
          <w:b/>
        </w:rPr>
      </w:pPr>
      <w:r w:rsidRPr="007F7735">
        <w:rPr>
          <w:b/>
        </w:rPr>
        <w:t>Russia</w:t>
      </w:r>
    </w:p>
    <w:p w:rsidR="004F75D0" w:rsidRPr="00EB544F" w:rsidRDefault="004F75D0" w:rsidP="0056208A">
      <w:pPr>
        <w:rPr>
          <w:sz w:val="24"/>
          <w:szCs w:val="24"/>
        </w:rPr>
      </w:pPr>
      <w:r w:rsidRPr="00EB544F">
        <w:rPr>
          <w:sz w:val="24"/>
          <w:szCs w:val="24"/>
        </w:rPr>
        <w:t xml:space="preserve">Russia’s results also comply with the </w:t>
      </w:r>
      <w:r>
        <w:rPr>
          <w:sz w:val="24"/>
          <w:szCs w:val="24"/>
        </w:rPr>
        <w:t xml:space="preserve">corresponding </w:t>
      </w:r>
      <w:r w:rsidRPr="00EB544F">
        <w:rPr>
          <w:sz w:val="24"/>
          <w:szCs w:val="24"/>
        </w:rPr>
        <w:t>graphica</w:t>
      </w:r>
      <w:r>
        <w:rPr>
          <w:sz w:val="24"/>
          <w:szCs w:val="24"/>
        </w:rPr>
        <w:t>l evidence</w:t>
      </w:r>
      <w:r w:rsidRPr="00EB544F">
        <w:rPr>
          <w:sz w:val="24"/>
          <w:szCs w:val="24"/>
        </w:rPr>
        <w:t xml:space="preserve">. Negative </w:t>
      </w:r>
      <w:r w:rsidRPr="005E7028">
        <w:rPr>
          <w:i/>
          <w:sz w:val="24"/>
          <w:szCs w:val="24"/>
        </w:rPr>
        <w:t>gammas</w:t>
      </w:r>
      <w:r w:rsidRPr="00EB544F">
        <w:rPr>
          <w:sz w:val="24"/>
          <w:szCs w:val="24"/>
        </w:rPr>
        <w:t xml:space="preserve"> are met only in the regressio</w:t>
      </w:r>
      <w:r>
        <w:rPr>
          <w:sz w:val="24"/>
          <w:szCs w:val="24"/>
        </w:rPr>
        <w:t xml:space="preserve">ns against the USA that indicate </w:t>
      </w:r>
      <w:r w:rsidRPr="00EB544F">
        <w:rPr>
          <w:sz w:val="24"/>
          <w:szCs w:val="24"/>
        </w:rPr>
        <w:t xml:space="preserve">decreased degree of business cycle interdependence between the two countries. However there have been some statistically significant negative betas as well, </w:t>
      </w:r>
      <w:r>
        <w:rPr>
          <w:sz w:val="24"/>
          <w:szCs w:val="24"/>
        </w:rPr>
        <w:t>whose values</w:t>
      </w:r>
      <w:r w:rsidRPr="00EB544F">
        <w:rPr>
          <w:sz w:val="24"/>
          <w:szCs w:val="24"/>
        </w:rPr>
        <w:t xml:space="preserve"> cannot be rationally explained</w:t>
      </w:r>
      <w:r>
        <w:rPr>
          <w:sz w:val="24"/>
          <w:szCs w:val="24"/>
        </w:rPr>
        <w:t xml:space="preserve"> </w:t>
      </w:r>
      <w:r w:rsidRPr="00293A7D">
        <w:rPr>
          <w:i/>
          <w:sz w:val="24"/>
          <w:szCs w:val="24"/>
        </w:rPr>
        <w:t>(Figure 27).</w:t>
      </w:r>
    </w:p>
    <w:p w:rsidR="004F75D0" w:rsidRDefault="004F75D0" w:rsidP="0056208A">
      <w:pPr>
        <w:rPr>
          <w:sz w:val="24"/>
          <w:szCs w:val="24"/>
        </w:rPr>
      </w:pPr>
      <w:r w:rsidRPr="00EB544F">
        <w:rPr>
          <w:sz w:val="24"/>
          <w:szCs w:val="24"/>
        </w:rPr>
        <w:t>Against all other groups of advanced economies, Russia indicates higher degree of business cycle interdependence, rejecting the null hypothesis of decoupling and confirming the graphical evidence of Euclidean distance as the measure of interdependence.</w:t>
      </w:r>
      <w:r w:rsidRPr="005E7028">
        <w:rPr>
          <w:sz w:val="24"/>
          <w:szCs w:val="24"/>
        </w:rPr>
        <w:t xml:space="preserve"> </w:t>
      </w:r>
    </w:p>
    <w:p w:rsidR="004F75D0" w:rsidRPr="00671DA8" w:rsidRDefault="004F75D0" w:rsidP="0056208A">
      <w:pPr>
        <w:rPr>
          <w:sz w:val="24"/>
          <w:szCs w:val="24"/>
        </w:rPr>
      </w:pPr>
      <w:r>
        <w:rPr>
          <w:sz w:val="24"/>
          <w:szCs w:val="24"/>
        </w:rPr>
        <w:t>The econometric evidence below enhances the ambiguous result of the Euclidean distance between Russia and the USA that now is clear-cut confirmed. Decoupling of Russia from the USA is present.</w:t>
      </w:r>
    </w:p>
    <w:tbl>
      <w:tblPr>
        <w:tblW w:w="9705" w:type="dxa"/>
        <w:tblLook w:val="00A0"/>
      </w:tblPr>
      <w:tblGrid>
        <w:gridCol w:w="2393"/>
        <w:gridCol w:w="914"/>
        <w:gridCol w:w="914"/>
        <w:gridCol w:w="914"/>
        <w:gridCol w:w="914"/>
        <w:gridCol w:w="914"/>
        <w:gridCol w:w="914"/>
        <w:gridCol w:w="914"/>
        <w:gridCol w:w="914"/>
      </w:tblGrid>
      <w:tr w:rsidR="004F75D0" w:rsidRPr="005D4374" w:rsidTr="00172502">
        <w:trPr>
          <w:trHeight w:val="465"/>
        </w:trPr>
        <w:tc>
          <w:tcPr>
            <w:tcW w:w="2393"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b/>
                <w:bCs/>
                <w:color w:val="000000"/>
                <w:sz w:val="24"/>
                <w:szCs w:val="24"/>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c>
          <w:tcPr>
            <w:tcW w:w="1828" w:type="dxa"/>
            <w:gridSpan w:val="2"/>
            <w:tcBorders>
              <w:top w:val="nil"/>
              <w:left w:val="nil"/>
              <w:bottom w:val="nil"/>
              <w:right w:val="nil"/>
            </w:tcBorders>
            <w:noWrap/>
            <w:vAlign w:val="bottom"/>
          </w:tcPr>
          <w:p w:rsidR="004F75D0" w:rsidRPr="007F7735" w:rsidRDefault="004F75D0" w:rsidP="006B4D38">
            <w:pPr>
              <w:spacing w:after="0" w:line="240" w:lineRule="auto"/>
              <w:rPr>
                <w:rFonts w:cs="Calibri"/>
                <w:b/>
                <w:bCs/>
                <w:color w:val="000000"/>
                <w:sz w:val="24"/>
                <w:szCs w:val="24"/>
                <w:u w:val="single"/>
              </w:rPr>
            </w:pPr>
            <w:r>
              <w:rPr>
                <w:rFonts w:cs="Calibri"/>
                <w:b/>
                <w:bCs/>
                <w:color w:val="000000"/>
                <w:sz w:val="24"/>
                <w:szCs w:val="24"/>
                <w:u w:val="single"/>
              </w:rPr>
              <w:t>Russia</w:t>
            </w:r>
          </w:p>
          <w:p w:rsidR="004F75D0" w:rsidRPr="00EB544F" w:rsidRDefault="004F75D0" w:rsidP="006B4D38">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c>
          <w:tcPr>
            <w:tcW w:w="914" w:type="dxa"/>
            <w:tcBorders>
              <w:top w:val="nil"/>
              <w:left w:val="nil"/>
              <w:bottom w:val="nil"/>
              <w:right w:val="nil"/>
            </w:tcBorders>
            <w:noWrap/>
            <w:vAlign w:val="bottom"/>
          </w:tcPr>
          <w:p w:rsidR="004F75D0" w:rsidRPr="00EB544F" w:rsidRDefault="004F75D0" w:rsidP="001D1DBB">
            <w:pPr>
              <w:spacing w:after="0" w:line="240" w:lineRule="auto"/>
              <w:rPr>
                <w:rFonts w:cs="Calibri"/>
                <w:color w:val="000000"/>
                <w:sz w:val="24"/>
                <w:szCs w:val="24"/>
              </w:rPr>
            </w:pPr>
          </w:p>
        </w:tc>
      </w:tr>
      <w:tr w:rsidR="004F75D0" w:rsidRPr="005D4374" w:rsidTr="00172502">
        <w:trPr>
          <w:trHeight w:val="300"/>
        </w:trPr>
        <w:tc>
          <w:tcPr>
            <w:tcW w:w="2393" w:type="dxa"/>
            <w:tcBorders>
              <w:top w:val="single" w:sz="4" w:space="0" w:color="auto"/>
              <w:left w:val="single" w:sz="4" w:space="0" w:color="auto"/>
              <w:bottom w:val="single" w:sz="4" w:space="0" w:color="auto"/>
              <w:right w:val="single" w:sz="4" w:space="0" w:color="auto"/>
            </w:tcBorders>
            <w:noWrap/>
            <w:vAlign w:val="bottom"/>
          </w:tcPr>
          <w:p w:rsidR="004F75D0" w:rsidRPr="0091234C" w:rsidRDefault="004F75D0" w:rsidP="001D1DBB">
            <w:pPr>
              <w:spacing w:after="0" w:line="240" w:lineRule="auto"/>
              <w:rPr>
                <w:rFonts w:cs="Calibri"/>
                <w:b/>
                <w:color w:val="000000"/>
                <w:sz w:val="24"/>
                <w:szCs w:val="24"/>
              </w:rPr>
            </w:pP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2000</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2001</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2002</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2003</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2004</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2005</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2006</w:t>
            </w:r>
          </w:p>
        </w:tc>
        <w:tc>
          <w:tcPr>
            <w:tcW w:w="914" w:type="dxa"/>
            <w:tcBorders>
              <w:top w:val="single" w:sz="4" w:space="0" w:color="auto"/>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b/>
                <w:bCs/>
                <w:color w:val="000000"/>
                <w:sz w:val="24"/>
                <w:szCs w:val="24"/>
              </w:rPr>
            </w:pPr>
            <w:r w:rsidRPr="00EB544F">
              <w:rPr>
                <w:rFonts w:cs="Calibri"/>
                <w:b/>
                <w:bCs/>
                <w:color w:val="000000"/>
                <w:sz w:val="24"/>
                <w:szCs w:val="24"/>
              </w:rPr>
              <w:t>2007</w:t>
            </w:r>
          </w:p>
        </w:tc>
      </w:tr>
      <w:tr w:rsidR="004F75D0" w:rsidRPr="005D4374" w:rsidTr="00172502">
        <w:trPr>
          <w:trHeight w:val="300"/>
        </w:trPr>
        <w:tc>
          <w:tcPr>
            <w:tcW w:w="2393" w:type="dxa"/>
            <w:tcBorders>
              <w:top w:val="nil"/>
              <w:left w:val="single" w:sz="4" w:space="0" w:color="auto"/>
              <w:bottom w:val="single" w:sz="4" w:space="0" w:color="auto"/>
              <w:right w:val="single" w:sz="4" w:space="0" w:color="auto"/>
            </w:tcBorders>
            <w:noWrap/>
            <w:vAlign w:val="bottom"/>
          </w:tcPr>
          <w:p w:rsidR="004F75D0" w:rsidRPr="00EB544F" w:rsidRDefault="004F75D0" w:rsidP="001D1DBB">
            <w:pPr>
              <w:spacing w:after="0" w:line="240" w:lineRule="auto"/>
              <w:rPr>
                <w:rFonts w:cs="Calibri"/>
                <w:color w:val="000000"/>
                <w:sz w:val="24"/>
                <w:szCs w:val="24"/>
              </w:rPr>
            </w:pPr>
            <w:r>
              <w:rPr>
                <w:rFonts w:cs="Calibri"/>
                <w:color w:val="000000"/>
                <w:sz w:val="24"/>
                <w:szCs w:val="24"/>
              </w:rPr>
              <w:t>USA β</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0,00</w:t>
            </w:r>
            <w:r>
              <w:rPr>
                <w:rFonts w:cs="Calibri"/>
                <w:color w:val="000000"/>
                <w:sz w:val="24"/>
                <w:szCs w:val="24"/>
              </w:rPr>
              <w:t xml:space="preserve"> (0,009)</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-0,03</w:t>
            </w:r>
            <w:r>
              <w:rPr>
                <w:rFonts w:cs="Calibri"/>
                <w:sz w:val="24"/>
                <w:szCs w:val="24"/>
              </w:rPr>
              <w:t xml:space="preserve"> (0,008)</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-0,10</w:t>
            </w:r>
            <w:r>
              <w:rPr>
                <w:rFonts w:cs="Calibri"/>
                <w:color w:val="000000"/>
                <w:sz w:val="24"/>
                <w:szCs w:val="24"/>
              </w:rPr>
              <w:t xml:space="preserve"> (0,007)</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-0,11</w:t>
            </w:r>
            <w:r>
              <w:rPr>
                <w:rFonts w:cs="Calibri"/>
                <w:sz w:val="24"/>
                <w:szCs w:val="24"/>
              </w:rPr>
              <w:t xml:space="preserve"> (0,071)</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-0,03</w:t>
            </w:r>
            <w:r>
              <w:rPr>
                <w:rFonts w:cs="Calibri"/>
                <w:sz w:val="24"/>
                <w:szCs w:val="24"/>
              </w:rPr>
              <w:t xml:space="preserve"> (0,09)</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-0,01</w:t>
            </w:r>
            <w:r>
              <w:rPr>
                <w:rFonts w:cs="Calibri"/>
                <w:sz w:val="24"/>
                <w:szCs w:val="24"/>
              </w:rPr>
              <w:t xml:space="preserve"> (0,009)</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-0,04</w:t>
            </w:r>
            <w:r>
              <w:rPr>
                <w:rFonts w:cs="Calibri"/>
                <w:sz w:val="24"/>
                <w:szCs w:val="24"/>
              </w:rPr>
              <w:t xml:space="preserve"> (0,09)</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-0,17</w:t>
            </w:r>
            <w:r>
              <w:rPr>
                <w:rFonts w:cs="Calibri"/>
                <w:sz w:val="24"/>
                <w:szCs w:val="24"/>
              </w:rPr>
              <w:t xml:space="preserve"> (0,063)</w:t>
            </w:r>
          </w:p>
        </w:tc>
      </w:tr>
      <w:tr w:rsidR="004F75D0" w:rsidRPr="00CA2183" w:rsidTr="00172502">
        <w:trPr>
          <w:trHeight w:val="300"/>
        </w:trPr>
        <w:tc>
          <w:tcPr>
            <w:tcW w:w="2393" w:type="dxa"/>
            <w:tcBorders>
              <w:top w:val="nil"/>
              <w:left w:val="single" w:sz="4" w:space="0" w:color="auto"/>
              <w:bottom w:val="single" w:sz="4" w:space="0" w:color="auto"/>
              <w:right w:val="single" w:sz="4" w:space="0" w:color="auto"/>
            </w:tcBorders>
            <w:shd w:val="clear" w:color="000000" w:fill="FFFF00"/>
            <w:noWrap/>
            <w:vAlign w:val="bottom"/>
          </w:tcPr>
          <w:p w:rsidR="004F75D0" w:rsidRPr="00CA2183" w:rsidRDefault="004F75D0" w:rsidP="001D1DBB">
            <w:pPr>
              <w:spacing w:after="0" w:line="240" w:lineRule="auto"/>
              <w:rPr>
                <w:rFonts w:cs="Calibri"/>
                <w:i/>
                <w:iCs/>
                <w:sz w:val="24"/>
                <w:szCs w:val="24"/>
              </w:rPr>
            </w:pPr>
            <w:r>
              <w:rPr>
                <w:rFonts w:cs="Calibri"/>
                <w:i/>
                <w:iCs/>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CA2183" w:rsidRDefault="004F75D0" w:rsidP="001D1DBB">
            <w:pPr>
              <w:spacing w:after="0" w:line="240" w:lineRule="auto"/>
              <w:jc w:val="right"/>
              <w:rPr>
                <w:rFonts w:cs="Calibri"/>
                <w:sz w:val="24"/>
                <w:szCs w:val="24"/>
              </w:rPr>
            </w:pPr>
            <w:r w:rsidRPr="00CA2183">
              <w:rPr>
                <w:rFonts w:cs="Calibri"/>
                <w:sz w:val="24"/>
                <w:szCs w:val="24"/>
              </w:rPr>
              <w:t>-0,02</w:t>
            </w:r>
            <w:r>
              <w:rPr>
                <w:rFonts w:cs="Calibri"/>
                <w:sz w:val="24"/>
                <w:szCs w:val="24"/>
              </w:rPr>
              <w:t xml:space="preserve"> (0,008)</w:t>
            </w:r>
          </w:p>
        </w:tc>
        <w:tc>
          <w:tcPr>
            <w:tcW w:w="914" w:type="dxa"/>
            <w:tcBorders>
              <w:top w:val="nil"/>
              <w:left w:val="nil"/>
              <w:bottom w:val="single" w:sz="4" w:space="0" w:color="auto"/>
              <w:right w:val="single" w:sz="4" w:space="0" w:color="auto"/>
            </w:tcBorders>
            <w:shd w:val="clear" w:color="000000" w:fill="FFFF00"/>
            <w:noWrap/>
            <w:vAlign w:val="bottom"/>
          </w:tcPr>
          <w:p w:rsidR="004F75D0" w:rsidRPr="00CA2183" w:rsidRDefault="004F75D0" w:rsidP="001D1DBB">
            <w:pPr>
              <w:spacing w:after="0" w:line="240" w:lineRule="auto"/>
              <w:jc w:val="right"/>
              <w:rPr>
                <w:rFonts w:cs="Calibri"/>
                <w:sz w:val="24"/>
                <w:szCs w:val="24"/>
              </w:rPr>
            </w:pPr>
            <w:r w:rsidRPr="00CA2183">
              <w:rPr>
                <w:rFonts w:cs="Calibri"/>
                <w:sz w:val="24"/>
                <w:szCs w:val="24"/>
              </w:rPr>
              <w:t>2,14</w:t>
            </w:r>
            <w:r>
              <w:rPr>
                <w:rFonts w:cs="Calibri"/>
                <w:sz w:val="24"/>
                <w:szCs w:val="24"/>
              </w:rPr>
              <w:t xml:space="preserve"> (0,043)</w:t>
            </w:r>
          </w:p>
        </w:tc>
        <w:tc>
          <w:tcPr>
            <w:tcW w:w="914" w:type="dxa"/>
            <w:tcBorders>
              <w:top w:val="nil"/>
              <w:left w:val="nil"/>
              <w:bottom w:val="single" w:sz="4" w:space="0" w:color="auto"/>
              <w:right w:val="single" w:sz="4" w:space="0" w:color="auto"/>
            </w:tcBorders>
            <w:shd w:val="clear" w:color="000000" w:fill="FFFF00"/>
            <w:noWrap/>
            <w:vAlign w:val="bottom"/>
          </w:tcPr>
          <w:p w:rsidR="004F75D0" w:rsidRPr="00CA2183" w:rsidRDefault="004F75D0" w:rsidP="001D1DBB">
            <w:pPr>
              <w:spacing w:after="0" w:line="240" w:lineRule="auto"/>
              <w:jc w:val="right"/>
              <w:rPr>
                <w:rFonts w:cs="Calibri"/>
                <w:sz w:val="24"/>
                <w:szCs w:val="24"/>
              </w:rPr>
            </w:pPr>
            <w:r w:rsidRPr="00CA2183">
              <w:rPr>
                <w:rFonts w:cs="Calibri"/>
                <w:sz w:val="24"/>
                <w:szCs w:val="24"/>
              </w:rPr>
              <w:t>0,81</w:t>
            </w:r>
            <w:r>
              <w:rPr>
                <w:rFonts w:cs="Calibri"/>
                <w:sz w:val="24"/>
                <w:szCs w:val="24"/>
              </w:rPr>
              <w:t xml:space="preserve"> (0,034)</w:t>
            </w:r>
          </w:p>
        </w:tc>
        <w:tc>
          <w:tcPr>
            <w:tcW w:w="914" w:type="dxa"/>
            <w:tcBorders>
              <w:top w:val="nil"/>
              <w:left w:val="nil"/>
              <w:bottom w:val="single" w:sz="4" w:space="0" w:color="auto"/>
              <w:right w:val="single" w:sz="4" w:space="0" w:color="auto"/>
            </w:tcBorders>
            <w:shd w:val="clear" w:color="000000" w:fill="FFFF00"/>
            <w:noWrap/>
            <w:vAlign w:val="bottom"/>
          </w:tcPr>
          <w:p w:rsidR="004F75D0" w:rsidRPr="00CA2183" w:rsidRDefault="004F75D0" w:rsidP="001D1DBB">
            <w:pPr>
              <w:spacing w:after="0" w:line="240" w:lineRule="auto"/>
              <w:jc w:val="right"/>
              <w:rPr>
                <w:rFonts w:cs="Calibri"/>
                <w:sz w:val="24"/>
                <w:szCs w:val="24"/>
              </w:rPr>
            </w:pPr>
            <w:r w:rsidRPr="00CA2183">
              <w:rPr>
                <w:rFonts w:cs="Calibri"/>
                <w:sz w:val="24"/>
                <w:szCs w:val="24"/>
              </w:rPr>
              <w:t>0,68</w:t>
            </w:r>
            <w:r>
              <w:rPr>
                <w:rFonts w:cs="Calibri"/>
                <w:sz w:val="24"/>
                <w:szCs w:val="24"/>
              </w:rPr>
              <w:t xml:space="preserve"> (0,039)</w:t>
            </w:r>
          </w:p>
        </w:tc>
        <w:tc>
          <w:tcPr>
            <w:tcW w:w="914" w:type="dxa"/>
            <w:tcBorders>
              <w:top w:val="nil"/>
              <w:left w:val="nil"/>
              <w:bottom w:val="single" w:sz="4" w:space="0" w:color="auto"/>
              <w:right w:val="single" w:sz="4" w:space="0" w:color="auto"/>
            </w:tcBorders>
            <w:shd w:val="clear" w:color="000000" w:fill="FFFF00"/>
            <w:noWrap/>
            <w:vAlign w:val="bottom"/>
          </w:tcPr>
          <w:p w:rsidR="004F75D0" w:rsidRPr="00CA2183" w:rsidRDefault="004F75D0" w:rsidP="001D1DBB">
            <w:pPr>
              <w:spacing w:after="0" w:line="240" w:lineRule="auto"/>
              <w:jc w:val="right"/>
              <w:rPr>
                <w:rFonts w:cs="Calibri"/>
                <w:sz w:val="24"/>
                <w:szCs w:val="24"/>
              </w:rPr>
            </w:pPr>
            <w:r w:rsidRPr="00CA2183">
              <w:rPr>
                <w:rFonts w:cs="Calibri"/>
                <w:sz w:val="24"/>
                <w:szCs w:val="24"/>
              </w:rPr>
              <w:t>-1,05</w:t>
            </w:r>
            <w:r>
              <w:rPr>
                <w:rFonts w:cs="Calibri"/>
                <w:sz w:val="24"/>
                <w:szCs w:val="24"/>
              </w:rPr>
              <w:t xml:space="preserve"> (0,006)</w:t>
            </w:r>
          </w:p>
        </w:tc>
        <w:tc>
          <w:tcPr>
            <w:tcW w:w="914" w:type="dxa"/>
            <w:tcBorders>
              <w:top w:val="nil"/>
              <w:left w:val="nil"/>
              <w:bottom w:val="single" w:sz="4" w:space="0" w:color="auto"/>
              <w:right w:val="single" w:sz="4" w:space="0" w:color="auto"/>
            </w:tcBorders>
            <w:shd w:val="clear" w:color="000000" w:fill="FFFF00"/>
            <w:noWrap/>
            <w:vAlign w:val="bottom"/>
          </w:tcPr>
          <w:p w:rsidR="004F75D0" w:rsidRPr="00CA2183" w:rsidRDefault="004F75D0" w:rsidP="00B21AB7">
            <w:pPr>
              <w:spacing w:after="0" w:line="240" w:lineRule="auto"/>
              <w:jc w:val="right"/>
              <w:rPr>
                <w:rFonts w:cs="Calibri"/>
                <w:sz w:val="24"/>
                <w:szCs w:val="24"/>
              </w:rPr>
            </w:pPr>
            <w:r w:rsidRPr="00CA2183">
              <w:rPr>
                <w:rFonts w:cs="Calibri"/>
                <w:sz w:val="24"/>
                <w:szCs w:val="24"/>
              </w:rPr>
              <w:t>-0,41</w:t>
            </w:r>
            <w:r>
              <w:rPr>
                <w:rFonts w:cs="Calibri"/>
                <w:sz w:val="24"/>
                <w:szCs w:val="24"/>
              </w:rPr>
              <w:t xml:space="preserve"> (0,08)</w:t>
            </w:r>
          </w:p>
        </w:tc>
        <w:tc>
          <w:tcPr>
            <w:tcW w:w="914" w:type="dxa"/>
            <w:tcBorders>
              <w:top w:val="nil"/>
              <w:left w:val="nil"/>
              <w:bottom w:val="single" w:sz="4" w:space="0" w:color="auto"/>
              <w:right w:val="single" w:sz="4" w:space="0" w:color="auto"/>
            </w:tcBorders>
            <w:shd w:val="clear" w:color="000000" w:fill="FFFF00"/>
            <w:noWrap/>
            <w:vAlign w:val="bottom"/>
          </w:tcPr>
          <w:p w:rsidR="004F75D0" w:rsidRPr="00CA2183" w:rsidRDefault="004F75D0" w:rsidP="001D1DBB">
            <w:pPr>
              <w:spacing w:after="0" w:line="240" w:lineRule="auto"/>
              <w:jc w:val="right"/>
              <w:rPr>
                <w:rFonts w:cs="Calibri"/>
                <w:sz w:val="24"/>
                <w:szCs w:val="24"/>
              </w:rPr>
            </w:pPr>
            <w:r w:rsidRPr="00CA2183">
              <w:rPr>
                <w:rFonts w:cs="Calibri"/>
                <w:sz w:val="24"/>
                <w:szCs w:val="24"/>
              </w:rPr>
              <w:t>-0,08</w:t>
            </w:r>
            <w:r>
              <w:rPr>
                <w:rFonts w:cs="Calibri"/>
                <w:sz w:val="24"/>
                <w:szCs w:val="24"/>
              </w:rPr>
              <w:t xml:space="preserve"> (0,09)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CA2183" w:rsidRDefault="004F75D0" w:rsidP="001D1DBB">
            <w:pPr>
              <w:spacing w:after="0" w:line="240" w:lineRule="auto"/>
              <w:jc w:val="right"/>
              <w:rPr>
                <w:rFonts w:cs="Calibri"/>
                <w:sz w:val="24"/>
                <w:szCs w:val="24"/>
              </w:rPr>
            </w:pPr>
            <w:r w:rsidRPr="00CA2183">
              <w:rPr>
                <w:rFonts w:cs="Calibri"/>
                <w:sz w:val="24"/>
                <w:szCs w:val="24"/>
              </w:rPr>
              <w:t>0,42</w:t>
            </w:r>
            <w:r>
              <w:rPr>
                <w:rFonts w:cs="Calibri"/>
                <w:sz w:val="24"/>
                <w:szCs w:val="24"/>
              </w:rPr>
              <w:t xml:space="preserve"> (0,05)</w:t>
            </w:r>
          </w:p>
        </w:tc>
      </w:tr>
      <w:tr w:rsidR="004F75D0" w:rsidRPr="005D4374" w:rsidTr="00172502">
        <w:trPr>
          <w:trHeight w:val="300"/>
        </w:trPr>
        <w:tc>
          <w:tcPr>
            <w:tcW w:w="2393" w:type="dxa"/>
            <w:tcBorders>
              <w:top w:val="nil"/>
              <w:left w:val="single" w:sz="4" w:space="0" w:color="auto"/>
              <w:bottom w:val="single" w:sz="4" w:space="0" w:color="auto"/>
              <w:right w:val="single" w:sz="4" w:space="0" w:color="auto"/>
            </w:tcBorders>
            <w:noWrap/>
            <w:vAlign w:val="bottom"/>
          </w:tcPr>
          <w:p w:rsidR="004F75D0" w:rsidRPr="00EB544F" w:rsidRDefault="004F75D0" w:rsidP="001D1DBB">
            <w:pPr>
              <w:spacing w:after="0" w:line="240" w:lineRule="auto"/>
              <w:rPr>
                <w:rFonts w:cs="Calibri"/>
                <w:color w:val="000000"/>
                <w:sz w:val="24"/>
                <w:szCs w:val="24"/>
              </w:rPr>
            </w:pPr>
            <w:r>
              <w:rPr>
                <w:rFonts w:cs="Calibri"/>
                <w:color w:val="000000"/>
                <w:sz w:val="24"/>
                <w:szCs w:val="24"/>
              </w:rPr>
              <w:t>E.U. β</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0,68</w:t>
            </w:r>
            <w:r>
              <w:rPr>
                <w:rFonts w:cs="Calibri"/>
                <w:color w:val="000000"/>
                <w:sz w:val="24"/>
                <w:szCs w:val="24"/>
              </w:rPr>
              <w:t xml:space="preserve"> (0,08)</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0,73</w:t>
            </w:r>
            <w:r>
              <w:rPr>
                <w:rFonts w:cs="Calibri"/>
                <w:color w:val="000000"/>
                <w:sz w:val="24"/>
                <w:szCs w:val="24"/>
              </w:rPr>
              <w:t xml:space="preserve"> (0,07)</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0,68</w:t>
            </w:r>
            <w:r>
              <w:rPr>
                <w:rFonts w:cs="Calibri"/>
                <w:color w:val="000000"/>
                <w:sz w:val="24"/>
                <w:szCs w:val="24"/>
              </w:rPr>
              <w:t xml:space="preserve"> (0,08)</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0,68</w:t>
            </w:r>
            <w:r>
              <w:rPr>
                <w:rFonts w:cs="Calibri"/>
                <w:color w:val="000000"/>
                <w:sz w:val="24"/>
                <w:szCs w:val="24"/>
              </w:rPr>
              <w:t xml:space="preserve"> (0,05)</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0,73</w:t>
            </w:r>
            <w:r>
              <w:rPr>
                <w:rFonts w:cs="Calibri"/>
                <w:color w:val="000000"/>
                <w:sz w:val="24"/>
                <w:szCs w:val="24"/>
              </w:rPr>
              <w:t xml:space="preserve"> (0,04)</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0,70</w:t>
            </w:r>
            <w:r>
              <w:rPr>
                <w:rFonts w:cs="Calibri"/>
                <w:color w:val="000000"/>
                <w:sz w:val="24"/>
                <w:szCs w:val="24"/>
              </w:rPr>
              <w:t xml:space="preserve"> (0,05)</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0,70</w:t>
            </w:r>
            <w:r>
              <w:rPr>
                <w:rFonts w:cs="Calibri"/>
                <w:color w:val="000000"/>
                <w:sz w:val="24"/>
                <w:szCs w:val="24"/>
              </w:rPr>
              <w:t xml:space="preserve"> (0,05)</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0,70</w:t>
            </w:r>
            <w:r>
              <w:rPr>
                <w:rFonts w:cs="Calibri"/>
                <w:color w:val="000000"/>
                <w:sz w:val="24"/>
                <w:szCs w:val="24"/>
              </w:rPr>
              <w:t xml:space="preserve"> (0,06)</w:t>
            </w:r>
          </w:p>
        </w:tc>
      </w:tr>
      <w:tr w:rsidR="004F75D0" w:rsidRPr="005D4374" w:rsidTr="00172502">
        <w:trPr>
          <w:trHeight w:val="300"/>
        </w:trPr>
        <w:tc>
          <w:tcPr>
            <w:tcW w:w="2393"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rPr>
                <w:rFonts w:cs="Calibri"/>
                <w:i/>
                <w:iCs/>
                <w:sz w:val="24"/>
                <w:szCs w:val="24"/>
              </w:rPr>
            </w:pPr>
            <w:r>
              <w:rPr>
                <w:rFonts w:cs="Calibri"/>
                <w:i/>
                <w:iCs/>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0,11</w:t>
            </w:r>
            <w:r>
              <w:rPr>
                <w:rFonts w:cs="Calibri"/>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0,12</w:t>
            </w:r>
            <w:r>
              <w:rPr>
                <w:rFonts w:cs="Calibri"/>
                <w:sz w:val="24"/>
                <w:szCs w:val="24"/>
              </w:rPr>
              <w:t xml:space="preserve"> (0,008)</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0,10</w:t>
            </w:r>
            <w:r>
              <w:rPr>
                <w:rFonts w:cs="Calibri"/>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3,09</w:t>
            </w:r>
            <w:r>
              <w:rPr>
                <w:rFonts w:cs="Calibri"/>
                <w:sz w:val="24"/>
                <w:szCs w:val="24"/>
              </w:rPr>
              <w:t xml:space="preserve"> (0,04)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2,75</w:t>
            </w:r>
            <w:r>
              <w:rPr>
                <w:rFonts w:cs="Calibri"/>
                <w:sz w:val="24"/>
                <w:szCs w:val="24"/>
              </w:rPr>
              <w:t xml:space="preserve"> (0,05)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3,58</w:t>
            </w:r>
            <w:r>
              <w:rPr>
                <w:rFonts w:cs="Calibri"/>
                <w:sz w:val="24"/>
                <w:szCs w:val="24"/>
              </w:rPr>
              <w:t xml:space="preserve"> (0,07)</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0,15</w:t>
            </w:r>
            <w:r>
              <w:rPr>
                <w:rFonts w:cs="Calibri"/>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D733A0">
            <w:pPr>
              <w:spacing w:after="0" w:line="240" w:lineRule="auto"/>
              <w:jc w:val="right"/>
              <w:rPr>
                <w:rFonts w:cs="Calibri"/>
                <w:sz w:val="24"/>
                <w:szCs w:val="24"/>
              </w:rPr>
            </w:pPr>
            <w:r w:rsidRPr="00EB544F">
              <w:rPr>
                <w:rFonts w:cs="Calibri"/>
                <w:sz w:val="24"/>
                <w:szCs w:val="24"/>
              </w:rPr>
              <w:t>0,05</w:t>
            </w:r>
            <w:r>
              <w:rPr>
                <w:rFonts w:cs="Calibri"/>
                <w:sz w:val="24"/>
                <w:szCs w:val="24"/>
              </w:rPr>
              <w:t xml:space="preserve"> (0,009)</w:t>
            </w:r>
          </w:p>
        </w:tc>
      </w:tr>
      <w:tr w:rsidR="004F75D0" w:rsidRPr="005D4374" w:rsidTr="00172502">
        <w:trPr>
          <w:trHeight w:val="394"/>
        </w:trPr>
        <w:tc>
          <w:tcPr>
            <w:tcW w:w="2393" w:type="dxa"/>
            <w:tcBorders>
              <w:top w:val="nil"/>
              <w:left w:val="single" w:sz="4" w:space="0" w:color="auto"/>
              <w:bottom w:val="single" w:sz="4" w:space="0" w:color="auto"/>
              <w:right w:val="single" w:sz="4" w:space="0" w:color="auto"/>
            </w:tcBorders>
            <w:noWrap/>
            <w:vAlign w:val="bottom"/>
          </w:tcPr>
          <w:p w:rsidR="004F75D0" w:rsidRPr="00EB544F" w:rsidRDefault="004F75D0" w:rsidP="001D1DBB">
            <w:pPr>
              <w:spacing w:after="0" w:line="240" w:lineRule="auto"/>
              <w:rPr>
                <w:rFonts w:cs="Calibri"/>
                <w:color w:val="000000"/>
                <w:sz w:val="24"/>
                <w:szCs w:val="24"/>
              </w:rPr>
            </w:pPr>
            <w:r w:rsidRPr="00EB544F">
              <w:rPr>
                <w:rFonts w:cs="Calibri"/>
                <w:color w:val="000000"/>
                <w:sz w:val="24"/>
                <w:szCs w:val="24"/>
              </w:rPr>
              <w:t>World’s advanced Econo</w:t>
            </w:r>
            <w:r>
              <w:rPr>
                <w:rFonts w:cs="Calibri"/>
                <w:color w:val="000000"/>
                <w:sz w:val="24"/>
                <w:szCs w:val="24"/>
              </w:rPr>
              <w:t>mies β</w:t>
            </w:r>
          </w:p>
        </w:tc>
        <w:tc>
          <w:tcPr>
            <w:tcW w:w="914" w:type="dxa"/>
            <w:tcBorders>
              <w:top w:val="nil"/>
              <w:left w:val="nil"/>
              <w:bottom w:val="single" w:sz="4" w:space="0" w:color="auto"/>
              <w:right w:val="single" w:sz="4" w:space="0" w:color="auto"/>
            </w:tcBorders>
            <w:noWrap/>
            <w:vAlign w:val="bottom"/>
          </w:tcPr>
          <w:p w:rsidR="004F75D0" w:rsidRPr="00EB544F" w:rsidRDefault="004F75D0" w:rsidP="004904FC">
            <w:pPr>
              <w:spacing w:after="0" w:line="240" w:lineRule="auto"/>
              <w:jc w:val="right"/>
              <w:rPr>
                <w:rFonts w:cs="Calibri"/>
                <w:color w:val="000000"/>
                <w:sz w:val="24"/>
                <w:szCs w:val="24"/>
              </w:rPr>
            </w:pPr>
            <w:r w:rsidRPr="00EB544F">
              <w:rPr>
                <w:rFonts w:cs="Calibri"/>
                <w:color w:val="000000"/>
                <w:sz w:val="24"/>
                <w:szCs w:val="24"/>
              </w:rPr>
              <w:t>0,87</w:t>
            </w:r>
            <w:r>
              <w:rPr>
                <w:rFonts w:cs="Calibri"/>
                <w:color w:val="000000"/>
                <w:sz w:val="24"/>
                <w:szCs w:val="24"/>
              </w:rPr>
              <w:t xml:space="preserve"> (0,02)</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0,98</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D733A0">
            <w:pPr>
              <w:spacing w:after="0" w:line="240" w:lineRule="auto"/>
              <w:jc w:val="right"/>
              <w:rPr>
                <w:rFonts w:cs="Calibri"/>
                <w:color w:val="000000"/>
                <w:sz w:val="24"/>
                <w:szCs w:val="24"/>
              </w:rPr>
            </w:pPr>
            <w:r w:rsidRPr="00EB544F">
              <w:rPr>
                <w:rFonts w:cs="Calibri"/>
                <w:color w:val="000000"/>
                <w:sz w:val="24"/>
                <w:szCs w:val="24"/>
              </w:rPr>
              <w:t>0,93</w:t>
            </w:r>
            <w:r>
              <w:rPr>
                <w:rFonts w:cs="Calibri"/>
                <w:color w:val="000000"/>
                <w:sz w:val="24"/>
                <w:szCs w:val="24"/>
              </w:rPr>
              <w:t xml:space="preserve"> (0,02)</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0,86</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0,90</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0,90</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0,89</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0,93</w:t>
            </w:r>
            <w:r>
              <w:rPr>
                <w:rFonts w:cs="Calibri"/>
                <w:color w:val="000000"/>
                <w:sz w:val="24"/>
                <w:szCs w:val="24"/>
              </w:rPr>
              <w:t xml:space="preserve"> (0,02)</w:t>
            </w:r>
          </w:p>
        </w:tc>
      </w:tr>
      <w:tr w:rsidR="004F75D0" w:rsidRPr="005D4374" w:rsidTr="00172502">
        <w:trPr>
          <w:trHeight w:val="300"/>
        </w:trPr>
        <w:tc>
          <w:tcPr>
            <w:tcW w:w="2393"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rPr>
                <w:rFonts w:cs="Calibri"/>
                <w:i/>
                <w:iCs/>
                <w:sz w:val="24"/>
                <w:szCs w:val="24"/>
              </w:rPr>
            </w:pPr>
            <w:r>
              <w:rPr>
                <w:rFonts w:cs="Calibri"/>
                <w:i/>
                <w:iCs/>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0,20</w:t>
            </w:r>
            <w:r>
              <w:rPr>
                <w:rFonts w:cs="Calibri"/>
                <w:sz w:val="24"/>
                <w:szCs w:val="24"/>
              </w:rPr>
              <w:t xml:space="preserve"> (0,008)</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0,37</w:t>
            </w:r>
            <w:r>
              <w:rPr>
                <w:rFonts w:cs="Calibri"/>
                <w:sz w:val="24"/>
                <w:szCs w:val="24"/>
              </w:rPr>
              <w:t xml:space="preserve"> (0,006)</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0,19</w:t>
            </w:r>
            <w:r>
              <w:rPr>
                <w:rFonts w:cs="Calibri"/>
                <w:sz w:val="24"/>
                <w:szCs w:val="24"/>
              </w:rPr>
              <w:t xml:space="preserve"> (0,008)</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1,05</w:t>
            </w:r>
            <w:r>
              <w:rPr>
                <w:rFonts w:cs="Calibri"/>
                <w:sz w:val="24"/>
                <w:szCs w:val="24"/>
              </w:rPr>
              <w:t xml:space="preserve"> (0,005)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0,61</w:t>
            </w:r>
            <w:r>
              <w:rPr>
                <w:rFonts w:cs="Calibri"/>
                <w:sz w:val="24"/>
                <w:szCs w:val="24"/>
              </w:rPr>
              <w:t xml:space="preserve"> (0,045)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3,16</w:t>
            </w:r>
            <w:r>
              <w:rPr>
                <w:rFonts w:cs="Calibri"/>
                <w:sz w:val="24"/>
                <w:szCs w:val="24"/>
              </w:rPr>
              <w:t xml:space="preserve"> (0,063)</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0,71</w:t>
            </w:r>
            <w:r>
              <w:rPr>
                <w:rFonts w:cs="Calibri"/>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0,39</w:t>
            </w:r>
            <w:r>
              <w:rPr>
                <w:rFonts w:cs="Calibri"/>
                <w:sz w:val="24"/>
                <w:szCs w:val="24"/>
              </w:rPr>
              <w:t xml:space="preserve"> (0,007)</w:t>
            </w:r>
          </w:p>
        </w:tc>
      </w:tr>
      <w:tr w:rsidR="004F75D0" w:rsidRPr="005D4374" w:rsidTr="00172502">
        <w:trPr>
          <w:trHeight w:val="300"/>
        </w:trPr>
        <w:tc>
          <w:tcPr>
            <w:tcW w:w="2393" w:type="dxa"/>
            <w:tcBorders>
              <w:top w:val="nil"/>
              <w:left w:val="single" w:sz="4" w:space="0" w:color="auto"/>
              <w:bottom w:val="single" w:sz="4" w:space="0" w:color="auto"/>
              <w:right w:val="single" w:sz="4" w:space="0" w:color="auto"/>
            </w:tcBorders>
            <w:noWrap/>
            <w:vAlign w:val="bottom"/>
          </w:tcPr>
          <w:p w:rsidR="004F75D0" w:rsidRPr="00EB544F" w:rsidRDefault="004F75D0" w:rsidP="00655FCB">
            <w:pPr>
              <w:spacing w:after="0" w:line="240" w:lineRule="auto"/>
              <w:rPr>
                <w:rFonts w:cs="Calibri"/>
                <w:color w:val="000000"/>
                <w:sz w:val="24"/>
                <w:szCs w:val="24"/>
              </w:rPr>
            </w:pPr>
            <w:r>
              <w:rPr>
                <w:rFonts w:cs="Calibri"/>
                <w:color w:val="000000"/>
                <w:sz w:val="24"/>
                <w:szCs w:val="24"/>
              </w:rPr>
              <w:t>G-7 β</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0,70</w:t>
            </w:r>
            <w:r>
              <w:rPr>
                <w:rFonts w:cs="Calibri"/>
                <w:color w:val="000000"/>
                <w:sz w:val="24"/>
                <w:szCs w:val="24"/>
              </w:rPr>
              <w:t xml:space="preserve"> (0,09)</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0,77</w:t>
            </w:r>
            <w:r>
              <w:rPr>
                <w:rFonts w:cs="Calibri"/>
                <w:color w:val="000000"/>
                <w:sz w:val="24"/>
                <w:szCs w:val="24"/>
              </w:rPr>
              <w:t xml:space="preserve"> (0,09)</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0,74</w:t>
            </w:r>
            <w:r>
              <w:rPr>
                <w:rFonts w:cs="Calibri"/>
                <w:color w:val="000000"/>
                <w:sz w:val="24"/>
                <w:szCs w:val="24"/>
              </w:rPr>
              <w:t xml:space="preserve"> (0,01)</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0,71</w:t>
            </w:r>
            <w:r>
              <w:rPr>
                <w:rFonts w:cs="Calibri"/>
                <w:color w:val="000000"/>
                <w:sz w:val="24"/>
                <w:szCs w:val="24"/>
              </w:rPr>
              <w:t xml:space="preserve"> (0,076)</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0,78</w:t>
            </w:r>
            <w:r>
              <w:rPr>
                <w:rFonts w:cs="Calibri"/>
                <w:color w:val="000000"/>
                <w:sz w:val="24"/>
                <w:szCs w:val="24"/>
              </w:rPr>
              <w:t xml:space="preserve"> (0,05)</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0,75</w:t>
            </w:r>
            <w:r>
              <w:rPr>
                <w:rFonts w:cs="Calibri"/>
                <w:color w:val="000000"/>
                <w:sz w:val="24"/>
                <w:szCs w:val="24"/>
              </w:rPr>
              <w:t xml:space="preserve"> (0,06)</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0,74</w:t>
            </w:r>
            <w:r>
              <w:rPr>
                <w:rFonts w:cs="Calibri"/>
                <w:color w:val="000000"/>
                <w:sz w:val="24"/>
                <w:szCs w:val="24"/>
              </w:rPr>
              <w:t xml:space="preserve"> (0,06)</w:t>
            </w:r>
          </w:p>
        </w:tc>
        <w:tc>
          <w:tcPr>
            <w:tcW w:w="914" w:type="dxa"/>
            <w:tcBorders>
              <w:top w:val="nil"/>
              <w:left w:val="nil"/>
              <w:bottom w:val="single" w:sz="4" w:space="0" w:color="auto"/>
              <w:right w:val="single" w:sz="4" w:space="0" w:color="auto"/>
            </w:tcBorders>
            <w:noWrap/>
            <w:vAlign w:val="bottom"/>
          </w:tcPr>
          <w:p w:rsidR="004F75D0" w:rsidRPr="00EB544F" w:rsidRDefault="004F75D0" w:rsidP="001D1DBB">
            <w:pPr>
              <w:spacing w:after="0" w:line="240" w:lineRule="auto"/>
              <w:jc w:val="right"/>
              <w:rPr>
                <w:rFonts w:cs="Calibri"/>
                <w:color w:val="000000"/>
                <w:sz w:val="24"/>
                <w:szCs w:val="24"/>
              </w:rPr>
            </w:pPr>
            <w:r w:rsidRPr="00EB544F">
              <w:rPr>
                <w:rFonts w:cs="Calibri"/>
                <w:color w:val="000000"/>
                <w:sz w:val="24"/>
                <w:szCs w:val="24"/>
              </w:rPr>
              <w:t>0,75</w:t>
            </w:r>
            <w:r>
              <w:rPr>
                <w:rFonts w:cs="Calibri"/>
                <w:color w:val="000000"/>
                <w:sz w:val="24"/>
                <w:szCs w:val="24"/>
              </w:rPr>
              <w:t xml:space="preserve"> (0,074)</w:t>
            </w:r>
          </w:p>
        </w:tc>
      </w:tr>
      <w:tr w:rsidR="004F75D0" w:rsidRPr="005D4374" w:rsidTr="00172502">
        <w:trPr>
          <w:trHeight w:val="300"/>
        </w:trPr>
        <w:tc>
          <w:tcPr>
            <w:tcW w:w="2393" w:type="dxa"/>
            <w:tcBorders>
              <w:top w:val="nil"/>
              <w:left w:val="single" w:sz="4" w:space="0" w:color="auto"/>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rPr>
                <w:rFonts w:cs="Calibri"/>
                <w:i/>
                <w:iCs/>
                <w:sz w:val="24"/>
                <w:szCs w:val="24"/>
              </w:rPr>
            </w:pPr>
            <w:r>
              <w:rPr>
                <w:rFonts w:cs="Calibri"/>
                <w:i/>
                <w:iCs/>
                <w:sz w:val="24"/>
                <w:szCs w:val="24"/>
              </w:rPr>
              <w:t>structural break γ</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0,53</w:t>
            </w:r>
            <w:r>
              <w:rPr>
                <w:rFonts w:cs="Calibri"/>
                <w:sz w:val="24"/>
                <w:szCs w:val="24"/>
              </w:rPr>
              <w:t xml:space="preserve"> (0,07)</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0,12</w:t>
            </w:r>
            <w:r>
              <w:rPr>
                <w:rFonts w:cs="Calibri"/>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0,01</w:t>
            </w:r>
            <w:r>
              <w:rPr>
                <w:rFonts w:cs="Calibri"/>
                <w:sz w:val="24"/>
                <w:szCs w:val="24"/>
              </w:rPr>
              <w:t xml:space="preserve"> (0,09)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1,62</w:t>
            </w:r>
            <w:r>
              <w:rPr>
                <w:rFonts w:cs="Calibri"/>
                <w:sz w:val="24"/>
                <w:szCs w:val="24"/>
              </w:rPr>
              <w:t xml:space="preserve"> (0,054)</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2,56</w:t>
            </w:r>
            <w:r>
              <w:rPr>
                <w:rFonts w:cs="Calibri"/>
                <w:sz w:val="24"/>
                <w:szCs w:val="24"/>
              </w:rPr>
              <w:t xml:space="preserve"> (0,042)</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2,15</w:t>
            </w:r>
            <w:r>
              <w:rPr>
                <w:rFonts w:cs="Calibri"/>
                <w:sz w:val="24"/>
                <w:szCs w:val="24"/>
              </w:rPr>
              <w:t xml:space="preserve"> (0,065)</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1D1DBB">
            <w:pPr>
              <w:spacing w:after="0" w:line="240" w:lineRule="auto"/>
              <w:jc w:val="right"/>
              <w:rPr>
                <w:rFonts w:cs="Calibri"/>
                <w:sz w:val="24"/>
                <w:szCs w:val="24"/>
              </w:rPr>
            </w:pPr>
            <w:r w:rsidRPr="00EB544F">
              <w:rPr>
                <w:rFonts w:cs="Calibri"/>
                <w:sz w:val="24"/>
                <w:szCs w:val="24"/>
              </w:rPr>
              <w:t>0,54</w:t>
            </w:r>
            <w:r>
              <w:rPr>
                <w:rFonts w:cs="Calibri"/>
                <w:sz w:val="24"/>
                <w:szCs w:val="24"/>
              </w:rPr>
              <w:t xml:space="preserve"> (0,009)</w:t>
            </w:r>
          </w:p>
        </w:tc>
        <w:tc>
          <w:tcPr>
            <w:tcW w:w="914" w:type="dxa"/>
            <w:tcBorders>
              <w:top w:val="nil"/>
              <w:left w:val="nil"/>
              <w:bottom w:val="single" w:sz="4" w:space="0" w:color="auto"/>
              <w:right w:val="single" w:sz="4" w:space="0" w:color="auto"/>
            </w:tcBorders>
            <w:shd w:val="clear" w:color="000000" w:fill="FFFF00"/>
            <w:noWrap/>
            <w:vAlign w:val="bottom"/>
          </w:tcPr>
          <w:p w:rsidR="004F75D0" w:rsidRPr="00EB544F" w:rsidRDefault="004F75D0" w:rsidP="00E52BF7">
            <w:pPr>
              <w:keepNext/>
              <w:spacing w:after="0" w:line="240" w:lineRule="auto"/>
              <w:jc w:val="right"/>
              <w:rPr>
                <w:rFonts w:cs="Calibri"/>
                <w:sz w:val="24"/>
                <w:szCs w:val="24"/>
              </w:rPr>
            </w:pPr>
            <w:r w:rsidRPr="00EB544F">
              <w:rPr>
                <w:rFonts w:cs="Calibri"/>
                <w:sz w:val="24"/>
                <w:szCs w:val="24"/>
              </w:rPr>
              <w:t>0,14</w:t>
            </w:r>
            <w:r>
              <w:rPr>
                <w:rFonts w:cs="Calibri"/>
                <w:sz w:val="24"/>
                <w:szCs w:val="24"/>
              </w:rPr>
              <w:t xml:space="preserve"> (0,008)</w:t>
            </w:r>
          </w:p>
        </w:tc>
      </w:tr>
    </w:tbl>
    <w:p w:rsidR="004F75D0" w:rsidRDefault="004F75D0">
      <w:pPr>
        <w:pStyle w:val="Caption"/>
      </w:pPr>
      <w:bookmarkStart w:id="49" w:name="_Toc274047069"/>
      <w:r>
        <w:t xml:space="preserve">Figure </w:t>
      </w:r>
      <w:fldSimple w:instr=" SEQ Figure \* ARABIC ">
        <w:r>
          <w:rPr>
            <w:noProof/>
          </w:rPr>
          <w:t>27</w:t>
        </w:r>
      </w:fldSimple>
      <w:r>
        <w:t>: Table representations of econometric tests between Russia and advanced economies</w:t>
      </w:r>
      <w:bookmarkEnd w:id="49"/>
    </w:p>
    <w:p w:rsidR="004F75D0" w:rsidRPr="00EB544F" w:rsidRDefault="004F75D0" w:rsidP="00EB544F">
      <w:pPr>
        <w:rPr>
          <w:i/>
          <w:sz w:val="24"/>
          <w:szCs w:val="24"/>
        </w:rPr>
      </w:pPr>
      <w:r w:rsidRPr="00EB544F">
        <w:rPr>
          <w:i/>
          <w:sz w:val="24"/>
          <w:szCs w:val="24"/>
        </w:rPr>
        <w:t>Significance level 95%</w:t>
      </w:r>
      <w:r>
        <w:rPr>
          <w:i/>
          <w:sz w:val="24"/>
          <w:szCs w:val="24"/>
        </w:rPr>
        <w:t>,</w:t>
      </w:r>
      <w:r w:rsidRPr="00655FCB">
        <w:rPr>
          <w:i/>
          <w:sz w:val="24"/>
          <w:szCs w:val="24"/>
        </w:rPr>
        <w:t xml:space="preserve"> </w:t>
      </w:r>
      <w:r>
        <w:rPr>
          <w:i/>
          <w:sz w:val="24"/>
          <w:szCs w:val="24"/>
        </w:rPr>
        <w:t>p-values in the parentheses</w:t>
      </w:r>
    </w:p>
    <w:p w:rsidR="004F75D0" w:rsidRDefault="004F75D0" w:rsidP="0091234C">
      <w:pPr>
        <w:rPr>
          <w:sz w:val="24"/>
          <w:szCs w:val="24"/>
        </w:rPr>
      </w:pPr>
      <w:r w:rsidRPr="0075414B">
        <w:rPr>
          <w:sz w:val="24"/>
          <w:szCs w:val="24"/>
        </w:rPr>
        <w:t xml:space="preserve">From an economic perspective Russia’s decoupling indication from the USA and the rejection of this hypothesis against the other AM groups is based on the lower degree of economic relations between these two countries which have been undeniably affected by their political relations during all the preceding years. Therefore the business cycles of these two countries are differentiating in high </w:t>
      </w:r>
      <w:r>
        <w:rPr>
          <w:sz w:val="24"/>
          <w:szCs w:val="24"/>
        </w:rPr>
        <w:t>rate</w:t>
      </w:r>
      <w:r w:rsidRPr="0075414B">
        <w:rPr>
          <w:sz w:val="24"/>
          <w:szCs w:val="24"/>
        </w:rPr>
        <w:t>.</w:t>
      </w:r>
    </w:p>
    <w:p w:rsidR="004F75D0" w:rsidRDefault="004F75D0" w:rsidP="0091234C">
      <w:pPr>
        <w:rPr>
          <w:sz w:val="24"/>
          <w:szCs w:val="24"/>
        </w:rPr>
      </w:pPr>
      <w:r w:rsidRPr="0075414B">
        <w:rPr>
          <w:sz w:val="24"/>
          <w:szCs w:val="24"/>
        </w:rPr>
        <w:t>In contradiction to this result the highly developed economic relations between Russia and the rest of the AM world creates an obviously higher degree of interdependence.</w:t>
      </w:r>
    </w:p>
    <w:p w:rsidR="004F75D0" w:rsidRPr="0075414B" w:rsidRDefault="004F75D0" w:rsidP="00757751">
      <w:pPr>
        <w:pStyle w:val="ListParagraph"/>
        <w:numPr>
          <w:ilvl w:val="0"/>
          <w:numId w:val="26"/>
        </w:numPr>
        <w:rPr>
          <w:b/>
          <w:sz w:val="24"/>
          <w:szCs w:val="24"/>
        </w:rPr>
      </w:pPr>
      <w:r w:rsidRPr="0075414B">
        <w:rPr>
          <w:b/>
          <w:sz w:val="24"/>
          <w:szCs w:val="24"/>
        </w:rPr>
        <w:t>Emerging Markets</w:t>
      </w:r>
    </w:p>
    <w:p w:rsidR="004F75D0" w:rsidRDefault="004F75D0" w:rsidP="0091234C">
      <w:r w:rsidRPr="0075414B">
        <w:rPr>
          <w:sz w:val="24"/>
          <w:szCs w:val="24"/>
        </w:rPr>
        <w:t xml:space="preserve">The results in the table below </w:t>
      </w:r>
      <w:r>
        <w:rPr>
          <w:i/>
          <w:sz w:val="24"/>
          <w:szCs w:val="24"/>
        </w:rPr>
        <w:t>(Figure 28</w:t>
      </w:r>
      <w:r w:rsidRPr="0075414B">
        <w:rPr>
          <w:i/>
          <w:sz w:val="24"/>
          <w:szCs w:val="24"/>
        </w:rPr>
        <w:t>)</w:t>
      </w:r>
      <w:r w:rsidRPr="0075414B">
        <w:rPr>
          <w:sz w:val="24"/>
          <w:szCs w:val="24"/>
        </w:rPr>
        <w:t xml:space="preserve"> are also aligned with the results on the preceding tables and the graphical depiction of the Euclidean distance of the EM simultaneously</w:t>
      </w:r>
      <w:r>
        <w:t xml:space="preserve">. </w:t>
      </w:r>
    </w:p>
    <w:tbl>
      <w:tblPr>
        <w:tblW w:w="9854" w:type="dxa"/>
        <w:tblLook w:val="00A0"/>
      </w:tblPr>
      <w:tblGrid>
        <w:gridCol w:w="2096"/>
        <w:gridCol w:w="909"/>
        <w:gridCol w:w="909"/>
        <w:gridCol w:w="1152"/>
        <w:gridCol w:w="1034"/>
        <w:gridCol w:w="917"/>
        <w:gridCol w:w="916"/>
        <w:gridCol w:w="1012"/>
        <w:gridCol w:w="909"/>
      </w:tblGrid>
      <w:tr w:rsidR="004F75D0" w:rsidRPr="0091234C" w:rsidTr="007A579C">
        <w:trPr>
          <w:trHeight w:val="217"/>
        </w:trPr>
        <w:tc>
          <w:tcPr>
            <w:tcW w:w="2096" w:type="dxa"/>
            <w:tcBorders>
              <w:top w:val="nil"/>
              <w:left w:val="nil"/>
              <w:bottom w:val="nil"/>
              <w:right w:val="nil"/>
            </w:tcBorders>
            <w:noWrap/>
            <w:vAlign w:val="bottom"/>
          </w:tcPr>
          <w:p w:rsidR="004F75D0" w:rsidRDefault="004F75D0" w:rsidP="0091234C">
            <w:pPr>
              <w:pStyle w:val="Heading1"/>
            </w:pPr>
            <w:r>
              <w:t xml:space="preserve">            </w:t>
            </w:r>
          </w:p>
          <w:p w:rsidR="004F75D0" w:rsidRDefault="004F75D0" w:rsidP="0091234C">
            <w:pPr>
              <w:pStyle w:val="Heading1"/>
            </w:pPr>
            <w:r>
              <w:t xml:space="preserve">     </w:t>
            </w:r>
          </w:p>
          <w:p w:rsidR="004F75D0" w:rsidRPr="0091234C" w:rsidRDefault="004F75D0" w:rsidP="0091234C">
            <w:pPr>
              <w:spacing w:after="0" w:line="240" w:lineRule="auto"/>
              <w:jc w:val="left"/>
              <w:rPr>
                <w:rFonts w:cs="Calibri"/>
                <w:color w:val="000000"/>
              </w:rPr>
            </w:pPr>
          </w:p>
        </w:tc>
        <w:tc>
          <w:tcPr>
            <w:tcW w:w="909" w:type="dxa"/>
            <w:tcBorders>
              <w:top w:val="nil"/>
              <w:left w:val="nil"/>
              <w:bottom w:val="nil"/>
              <w:right w:val="nil"/>
            </w:tcBorders>
            <w:noWrap/>
            <w:vAlign w:val="bottom"/>
          </w:tcPr>
          <w:p w:rsidR="004F75D0" w:rsidRPr="0091234C" w:rsidRDefault="004F75D0" w:rsidP="0091234C">
            <w:pPr>
              <w:spacing w:after="0" w:line="240" w:lineRule="auto"/>
              <w:jc w:val="left"/>
              <w:rPr>
                <w:rFonts w:cs="Calibri"/>
                <w:color w:val="000000"/>
              </w:rPr>
            </w:pPr>
          </w:p>
        </w:tc>
        <w:tc>
          <w:tcPr>
            <w:tcW w:w="909" w:type="dxa"/>
            <w:tcBorders>
              <w:top w:val="nil"/>
              <w:left w:val="nil"/>
              <w:bottom w:val="nil"/>
              <w:right w:val="nil"/>
            </w:tcBorders>
            <w:noWrap/>
            <w:vAlign w:val="bottom"/>
          </w:tcPr>
          <w:p w:rsidR="004F75D0" w:rsidRPr="0091234C" w:rsidRDefault="004F75D0" w:rsidP="0091234C">
            <w:pPr>
              <w:spacing w:after="0" w:line="240" w:lineRule="auto"/>
              <w:jc w:val="left"/>
              <w:rPr>
                <w:rFonts w:cs="Calibri"/>
                <w:color w:val="000000"/>
                <w:u w:val="single"/>
              </w:rPr>
            </w:pPr>
          </w:p>
        </w:tc>
        <w:tc>
          <w:tcPr>
            <w:tcW w:w="1152" w:type="dxa"/>
            <w:tcBorders>
              <w:top w:val="nil"/>
              <w:left w:val="nil"/>
              <w:bottom w:val="nil"/>
              <w:right w:val="nil"/>
            </w:tcBorders>
            <w:noWrap/>
            <w:vAlign w:val="bottom"/>
          </w:tcPr>
          <w:p w:rsidR="004F75D0" w:rsidRPr="0091234C" w:rsidRDefault="004F75D0" w:rsidP="0091234C">
            <w:pPr>
              <w:spacing w:after="0" w:line="240" w:lineRule="auto"/>
              <w:rPr>
                <w:rFonts w:cs="Calibri"/>
                <w:b/>
                <w:bCs/>
                <w:color w:val="000000"/>
                <w:sz w:val="24"/>
                <w:szCs w:val="24"/>
                <w:u w:val="single"/>
              </w:rPr>
            </w:pPr>
            <w:r>
              <w:rPr>
                <w:rFonts w:cs="Calibri"/>
                <w:b/>
                <w:bCs/>
                <w:color w:val="000000"/>
                <w:sz w:val="24"/>
                <w:szCs w:val="24"/>
                <w:u w:val="single"/>
              </w:rPr>
              <w:t xml:space="preserve"> </w:t>
            </w:r>
          </w:p>
          <w:p w:rsidR="004F75D0" w:rsidRPr="0091234C" w:rsidRDefault="004F75D0" w:rsidP="0091234C">
            <w:pPr>
              <w:spacing w:after="0" w:line="240" w:lineRule="auto"/>
              <w:rPr>
                <w:rFonts w:cs="Calibri"/>
                <w:b/>
                <w:bCs/>
                <w:color w:val="000000"/>
                <w:sz w:val="24"/>
                <w:szCs w:val="24"/>
                <w:u w:val="single"/>
              </w:rPr>
            </w:pPr>
            <w:r w:rsidRPr="0091234C">
              <w:rPr>
                <w:rFonts w:cs="Calibri"/>
                <w:b/>
                <w:bCs/>
                <w:color w:val="000000"/>
                <w:sz w:val="24"/>
                <w:szCs w:val="24"/>
                <w:u w:val="single"/>
              </w:rPr>
              <w:t>E</w:t>
            </w:r>
            <w:r>
              <w:rPr>
                <w:rFonts w:cs="Calibri"/>
                <w:b/>
                <w:bCs/>
                <w:color w:val="000000"/>
                <w:sz w:val="24"/>
                <w:szCs w:val="24"/>
                <w:u w:val="single"/>
              </w:rPr>
              <w:t xml:space="preserve">merging </w:t>
            </w:r>
            <w:r w:rsidRPr="0091234C">
              <w:rPr>
                <w:rFonts w:cs="Calibri"/>
                <w:b/>
                <w:bCs/>
                <w:color w:val="000000"/>
                <w:sz w:val="24"/>
                <w:szCs w:val="24"/>
                <w:u w:val="single"/>
              </w:rPr>
              <w:t>M</w:t>
            </w:r>
            <w:r>
              <w:rPr>
                <w:rFonts w:cs="Calibri"/>
                <w:b/>
                <w:bCs/>
                <w:color w:val="000000"/>
                <w:sz w:val="24"/>
                <w:szCs w:val="24"/>
                <w:u w:val="single"/>
              </w:rPr>
              <w:t>arkets</w:t>
            </w:r>
          </w:p>
          <w:p w:rsidR="004F75D0" w:rsidRPr="0091234C" w:rsidRDefault="004F75D0" w:rsidP="0091234C">
            <w:pPr>
              <w:spacing w:after="0" w:line="240" w:lineRule="auto"/>
              <w:rPr>
                <w:rFonts w:cs="Calibri"/>
                <w:b/>
                <w:bCs/>
                <w:color w:val="000000"/>
                <w:sz w:val="24"/>
                <w:szCs w:val="24"/>
                <w:u w:val="single"/>
              </w:rPr>
            </w:pPr>
          </w:p>
        </w:tc>
        <w:tc>
          <w:tcPr>
            <w:tcW w:w="1034" w:type="dxa"/>
            <w:tcBorders>
              <w:top w:val="nil"/>
              <w:left w:val="nil"/>
              <w:bottom w:val="nil"/>
              <w:right w:val="nil"/>
            </w:tcBorders>
            <w:noWrap/>
            <w:vAlign w:val="bottom"/>
          </w:tcPr>
          <w:p w:rsidR="004F75D0" w:rsidRPr="0091234C" w:rsidRDefault="004F75D0" w:rsidP="0091234C">
            <w:pPr>
              <w:spacing w:after="0" w:line="240" w:lineRule="auto"/>
              <w:jc w:val="left"/>
              <w:rPr>
                <w:rFonts w:cs="Calibri"/>
                <w:color w:val="000000"/>
              </w:rPr>
            </w:pPr>
          </w:p>
        </w:tc>
        <w:tc>
          <w:tcPr>
            <w:tcW w:w="917" w:type="dxa"/>
            <w:tcBorders>
              <w:top w:val="nil"/>
              <w:left w:val="nil"/>
              <w:bottom w:val="nil"/>
              <w:right w:val="nil"/>
            </w:tcBorders>
            <w:noWrap/>
            <w:vAlign w:val="bottom"/>
          </w:tcPr>
          <w:p w:rsidR="004F75D0" w:rsidRPr="0091234C" w:rsidRDefault="004F75D0" w:rsidP="0091234C">
            <w:pPr>
              <w:spacing w:after="0" w:line="240" w:lineRule="auto"/>
              <w:jc w:val="left"/>
              <w:rPr>
                <w:rFonts w:cs="Calibri"/>
                <w:color w:val="000000"/>
              </w:rPr>
            </w:pPr>
          </w:p>
        </w:tc>
        <w:tc>
          <w:tcPr>
            <w:tcW w:w="916" w:type="dxa"/>
            <w:tcBorders>
              <w:top w:val="nil"/>
              <w:left w:val="nil"/>
              <w:bottom w:val="nil"/>
              <w:right w:val="nil"/>
            </w:tcBorders>
            <w:noWrap/>
            <w:vAlign w:val="bottom"/>
          </w:tcPr>
          <w:p w:rsidR="004F75D0" w:rsidRPr="0091234C" w:rsidRDefault="004F75D0" w:rsidP="0091234C">
            <w:pPr>
              <w:spacing w:after="0" w:line="240" w:lineRule="auto"/>
              <w:jc w:val="left"/>
              <w:rPr>
                <w:rFonts w:cs="Calibri"/>
                <w:color w:val="000000"/>
              </w:rPr>
            </w:pPr>
          </w:p>
        </w:tc>
        <w:tc>
          <w:tcPr>
            <w:tcW w:w="1012" w:type="dxa"/>
            <w:tcBorders>
              <w:top w:val="nil"/>
              <w:left w:val="nil"/>
              <w:bottom w:val="nil"/>
              <w:right w:val="nil"/>
            </w:tcBorders>
            <w:noWrap/>
            <w:vAlign w:val="bottom"/>
          </w:tcPr>
          <w:p w:rsidR="004F75D0" w:rsidRPr="0091234C" w:rsidRDefault="004F75D0" w:rsidP="0091234C">
            <w:pPr>
              <w:spacing w:after="0" w:line="240" w:lineRule="auto"/>
              <w:jc w:val="left"/>
              <w:rPr>
                <w:rFonts w:cs="Calibri"/>
                <w:color w:val="000000"/>
              </w:rPr>
            </w:pPr>
          </w:p>
        </w:tc>
        <w:tc>
          <w:tcPr>
            <w:tcW w:w="909" w:type="dxa"/>
            <w:tcBorders>
              <w:top w:val="nil"/>
              <w:left w:val="nil"/>
              <w:bottom w:val="nil"/>
              <w:right w:val="nil"/>
            </w:tcBorders>
            <w:noWrap/>
            <w:vAlign w:val="bottom"/>
          </w:tcPr>
          <w:p w:rsidR="004F75D0" w:rsidRPr="0091234C" w:rsidRDefault="004F75D0" w:rsidP="0091234C">
            <w:pPr>
              <w:spacing w:after="0" w:line="240" w:lineRule="auto"/>
              <w:jc w:val="left"/>
              <w:rPr>
                <w:rFonts w:cs="Calibri"/>
                <w:color w:val="000000"/>
              </w:rPr>
            </w:pPr>
          </w:p>
        </w:tc>
      </w:tr>
      <w:tr w:rsidR="004F75D0" w:rsidRPr="0091234C" w:rsidTr="007A579C">
        <w:trPr>
          <w:trHeight w:val="140"/>
        </w:trPr>
        <w:tc>
          <w:tcPr>
            <w:tcW w:w="2096" w:type="dxa"/>
            <w:tcBorders>
              <w:top w:val="single" w:sz="4" w:space="0" w:color="auto"/>
              <w:left w:val="single" w:sz="4" w:space="0" w:color="auto"/>
              <w:bottom w:val="single" w:sz="4" w:space="0" w:color="auto"/>
              <w:right w:val="single" w:sz="4" w:space="0" w:color="auto"/>
            </w:tcBorders>
            <w:noWrap/>
            <w:vAlign w:val="bottom"/>
          </w:tcPr>
          <w:p w:rsidR="004F75D0" w:rsidRPr="0091234C" w:rsidRDefault="004F75D0" w:rsidP="0091234C">
            <w:pPr>
              <w:spacing w:after="0" w:line="240" w:lineRule="auto"/>
              <w:jc w:val="left"/>
              <w:rPr>
                <w:rFonts w:cs="Calibri"/>
                <w:b/>
                <w:color w:val="000000"/>
                <w:sz w:val="24"/>
                <w:szCs w:val="24"/>
              </w:rPr>
            </w:pPr>
          </w:p>
        </w:tc>
        <w:tc>
          <w:tcPr>
            <w:tcW w:w="909" w:type="dxa"/>
            <w:tcBorders>
              <w:top w:val="single" w:sz="4" w:space="0" w:color="auto"/>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b/>
                <w:bCs/>
                <w:color w:val="000000"/>
                <w:sz w:val="24"/>
                <w:szCs w:val="24"/>
              </w:rPr>
            </w:pPr>
            <w:r w:rsidRPr="0091234C">
              <w:rPr>
                <w:rFonts w:cs="Calibri"/>
                <w:b/>
                <w:bCs/>
                <w:color w:val="000000"/>
                <w:sz w:val="24"/>
                <w:szCs w:val="24"/>
              </w:rPr>
              <w:t>2000</w:t>
            </w:r>
          </w:p>
        </w:tc>
        <w:tc>
          <w:tcPr>
            <w:tcW w:w="909" w:type="dxa"/>
            <w:tcBorders>
              <w:top w:val="single" w:sz="4" w:space="0" w:color="auto"/>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b/>
                <w:bCs/>
                <w:color w:val="000000"/>
                <w:sz w:val="24"/>
                <w:szCs w:val="24"/>
              </w:rPr>
            </w:pPr>
            <w:r w:rsidRPr="0091234C">
              <w:rPr>
                <w:rFonts w:cs="Calibri"/>
                <w:b/>
                <w:bCs/>
                <w:color w:val="000000"/>
                <w:sz w:val="24"/>
                <w:szCs w:val="24"/>
              </w:rPr>
              <w:t>2001</w:t>
            </w:r>
          </w:p>
        </w:tc>
        <w:tc>
          <w:tcPr>
            <w:tcW w:w="1152" w:type="dxa"/>
            <w:tcBorders>
              <w:top w:val="single" w:sz="4" w:space="0" w:color="auto"/>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b/>
                <w:bCs/>
                <w:color w:val="000000"/>
                <w:sz w:val="24"/>
                <w:szCs w:val="24"/>
              </w:rPr>
            </w:pPr>
            <w:r w:rsidRPr="0091234C">
              <w:rPr>
                <w:rFonts w:cs="Calibri"/>
                <w:b/>
                <w:bCs/>
                <w:color w:val="000000"/>
                <w:sz w:val="24"/>
                <w:szCs w:val="24"/>
              </w:rPr>
              <w:t>2002</w:t>
            </w:r>
          </w:p>
        </w:tc>
        <w:tc>
          <w:tcPr>
            <w:tcW w:w="1034" w:type="dxa"/>
            <w:tcBorders>
              <w:top w:val="single" w:sz="4" w:space="0" w:color="auto"/>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b/>
                <w:bCs/>
                <w:color w:val="000000"/>
                <w:sz w:val="24"/>
                <w:szCs w:val="24"/>
              </w:rPr>
            </w:pPr>
            <w:r w:rsidRPr="0091234C">
              <w:rPr>
                <w:rFonts w:cs="Calibri"/>
                <w:b/>
                <w:bCs/>
                <w:color w:val="000000"/>
                <w:sz w:val="24"/>
                <w:szCs w:val="24"/>
              </w:rPr>
              <w:t>2003</w:t>
            </w:r>
          </w:p>
        </w:tc>
        <w:tc>
          <w:tcPr>
            <w:tcW w:w="917" w:type="dxa"/>
            <w:tcBorders>
              <w:top w:val="single" w:sz="4" w:space="0" w:color="auto"/>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b/>
                <w:bCs/>
                <w:color w:val="000000"/>
                <w:sz w:val="24"/>
                <w:szCs w:val="24"/>
              </w:rPr>
            </w:pPr>
            <w:r w:rsidRPr="0091234C">
              <w:rPr>
                <w:rFonts w:cs="Calibri"/>
                <w:b/>
                <w:bCs/>
                <w:color w:val="000000"/>
                <w:sz w:val="24"/>
                <w:szCs w:val="24"/>
              </w:rPr>
              <w:t>2004</w:t>
            </w:r>
          </w:p>
        </w:tc>
        <w:tc>
          <w:tcPr>
            <w:tcW w:w="916" w:type="dxa"/>
            <w:tcBorders>
              <w:top w:val="single" w:sz="4" w:space="0" w:color="auto"/>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b/>
                <w:bCs/>
                <w:color w:val="000000"/>
                <w:sz w:val="24"/>
                <w:szCs w:val="24"/>
              </w:rPr>
            </w:pPr>
            <w:r w:rsidRPr="0091234C">
              <w:rPr>
                <w:rFonts w:cs="Calibri"/>
                <w:b/>
                <w:bCs/>
                <w:color w:val="000000"/>
                <w:sz w:val="24"/>
                <w:szCs w:val="24"/>
              </w:rPr>
              <w:t>2005</w:t>
            </w:r>
          </w:p>
        </w:tc>
        <w:tc>
          <w:tcPr>
            <w:tcW w:w="1012" w:type="dxa"/>
            <w:tcBorders>
              <w:top w:val="single" w:sz="4" w:space="0" w:color="auto"/>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b/>
                <w:bCs/>
                <w:color w:val="000000"/>
                <w:sz w:val="24"/>
                <w:szCs w:val="24"/>
              </w:rPr>
            </w:pPr>
            <w:r w:rsidRPr="0091234C">
              <w:rPr>
                <w:rFonts w:cs="Calibri"/>
                <w:b/>
                <w:bCs/>
                <w:color w:val="000000"/>
                <w:sz w:val="24"/>
                <w:szCs w:val="24"/>
              </w:rPr>
              <w:t>2006</w:t>
            </w:r>
          </w:p>
        </w:tc>
        <w:tc>
          <w:tcPr>
            <w:tcW w:w="909" w:type="dxa"/>
            <w:tcBorders>
              <w:top w:val="single" w:sz="4" w:space="0" w:color="auto"/>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b/>
                <w:bCs/>
                <w:color w:val="000000"/>
                <w:sz w:val="24"/>
                <w:szCs w:val="24"/>
              </w:rPr>
            </w:pPr>
            <w:r w:rsidRPr="0091234C">
              <w:rPr>
                <w:rFonts w:cs="Calibri"/>
                <w:b/>
                <w:bCs/>
                <w:color w:val="000000"/>
                <w:sz w:val="24"/>
                <w:szCs w:val="24"/>
              </w:rPr>
              <w:t>2007</w:t>
            </w:r>
          </w:p>
        </w:tc>
      </w:tr>
      <w:tr w:rsidR="004F75D0" w:rsidRPr="0091234C" w:rsidTr="007A579C">
        <w:trPr>
          <w:trHeight w:val="140"/>
        </w:trPr>
        <w:tc>
          <w:tcPr>
            <w:tcW w:w="2096" w:type="dxa"/>
            <w:tcBorders>
              <w:top w:val="nil"/>
              <w:left w:val="single" w:sz="4" w:space="0" w:color="auto"/>
              <w:bottom w:val="single" w:sz="4" w:space="0" w:color="auto"/>
              <w:right w:val="single" w:sz="4" w:space="0" w:color="auto"/>
            </w:tcBorders>
            <w:noWrap/>
            <w:vAlign w:val="bottom"/>
          </w:tcPr>
          <w:p w:rsidR="004F75D0" w:rsidRPr="0091234C" w:rsidRDefault="004F75D0" w:rsidP="0091234C">
            <w:pPr>
              <w:spacing w:after="0" w:line="240" w:lineRule="auto"/>
              <w:jc w:val="left"/>
              <w:rPr>
                <w:rFonts w:cs="Calibri"/>
                <w:color w:val="000000"/>
                <w:sz w:val="24"/>
                <w:szCs w:val="24"/>
              </w:rPr>
            </w:pPr>
            <w:r w:rsidRPr="0091234C">
              <w:rPr>
                <w:rFonts w:cs="Calibri"/>
                <w:color w:val="000000"/>
                <w:sz w:val="24"/>
                <w:szCs w:val="24"/>
              </w:rPr>
              <w:t>USA (β)</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0,18</w:t>
            </w:r>
            <w:r>
              <w:rPr>
                <w:rFonts w:cs="Calibri"/>
                <w:color w:val="000000"/>
                <w:sz w:val="24"/>
                <w:szCs w:val="24"/>
              </w:rPr>
              <w:t xml:space="preserve"> (0,036)</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0,15</w:t>
            </w:r>
            <w:r>
              <w:rPr>
                <w:rFonts w:cs="Calibri"/>
                <w:color w:val="000000"/>
                <w:sz w:val="24"/>
                <w:szCs w:val="24"/>
              </w:rPr>
              <w:t xml:space="preserve"> (0,047)</w:t>
            </w:r>
          </w:p>
        </w:tc>
        <w:tc>
          <w:tcPr>
            <w:tcW w:w="1152"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0,08</w:t>
            </w:r>
            <w:r>
              <w:rPr>
                <w:rFonts w:cs="Calibri"/>
                <w:color w:val="000000"/>
                <w:sz w:val="24"/>
                <w:szCs w:val="24"/>
              </w:rPr>
              <w:t xml:space="preserve"> (0,068)</w:t>
            </w:r>
          </w:p>
        </w:tc>
        <w:tc>
          <w:tcPr>
            <w:tcW w:w="1034"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0,08</w:t>
            </w:r>
            <w:r>
              <w:rPr>
                <w:rFonts w:cs="Calibri"/>
                <w:color w:val="000000"/>
                <w:sz w:val="24"/>
                <w:szCs w:val="24"/>
              </w:rPr>
              <w:t xml:space="preserve"> (0,07)</w:t>
            </w:r>
          </w:p>
        </w:tc>
        <w:tc>
          <w:tcPr>
            <w:tcW w:w="917"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0,14</w:t>
            </w:r>
            <w:r>
              <w:rPr>
                <w:rFonts w:cs="Calibri"/>
                <w:color w:val="000000"/>
                <w:sz w:val="24"/>
                <w:szCs w:val="24"/>
              </w:rPr>
              <w:t xml:space="preserve"> (0,048)</w:t>
            </w:r>
          </w:p>
        </w:tc>
        <w:tc>
          <w:tcPr>
            <w:tcW w:w="916"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0,18</w:t>
            </w:r>
            <w:r>
              <w:rPr>
                <w:rFonts w:cs="Calibri"/>
                <w:color w:val="000000"/>
                <w:sz w:val="24"/>
                <w:szCs w:val="24"/>
              </w:rPr>
              <w:t xml:space="preserve"> (0,037)</w:t>
            </w:r>
          </w:p>
        </w:tc>
        <w:tc>
          <w:tcPr>
            <w:tcW w:w="1012"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0,21</w:t>
            </w:r>
            <w:r>
              <w:rPr>
                <w:rFonts w:cs="Calibri"/>
                <w:color w:val="000000"/>
                <w:sz w:val="24"/>
                <w:szCs w:val="24"/>
              </w:rPr>
              <w:t xml:space="preserve"> (0,034)</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0,15</w:t>
            </w:r>
            <w:r>
              <w:rPr>
                <w:rFonts w:cs="Calibri"/>
                <w:color w:val="000000"/>
                <w:sz w:val="24"/>
                <w:szCs w:val="24"/>
              </w:rPr>
              <w:t xml:space="preserve"> (0,052)</w:t>
            </w:r>
          </w:p>
        </w:tc>
      </w:tr>
      <w:tr w:rsidR="004F75D0" w:rsidRPr="0091234C" w:rsidTr="007A579C">
        <w:trPr>
          <w:trHeight w:val="140"/>
        </w:trPr>
        <w:tc>
          <w:tcPr>
            <w:tcW w:w="2096" w:type="dxa"/>
            <w:tcBorders>
              <w:top w:val="nil"/>
              <w:left w:val="single" w:sz="4" w:space="0" w:color="auto"/>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left"/>
              <w:rPr>
                <w:rFonts w:cs="Calibri"/>
                <w:i/>
                <w:iCs/>
                <w:sz w:val="24"/>
                <w:szCs w:val="24"/>
              </w:rPr>
            </w:pPr>
            <w:r w:rsidRPr="0091234C">
              <w:rPr>
                <w:rFonts w:cs="Calibri"/>
                <w:i/>
                <w:iCs/>
                <w:sz w:val="24"/>
                <w:szCs w:val="24"/>
              </w:rPr>
              <w:t>structural break (γ)</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Pr>
                <w:rFonts w:cs="Calibri"/>
                <w:color w:val="000000"/>
                <w:sz w:val="24"/>
                <w:szCs w:val="24"/>
              </w:rPr>
              <w:t>-</w:t>
            </w:r>
            <w:r w:rsidRPr="0091234C">
              <w:rPr>
                <w:rFonts w:cs="Calibri"/>
                <w:color w:val="000000"/>
                <w:sz w:val="24"/>
                <w:szCs w:val="24"/>
              </w:rPr>
              <w:t>1,25</w:t>
            </w:r>
            <w:r>
              <w:rPr>
                <w:rFonts w:cs="Calibri"/>
                <w:color w:val="000000"/>
                <w:sz w:val="24"/>
                <w:szCs w:val="24"/>
              </w:rPr>
              <w:t xml:space="preserve"> (0,042)</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2,84</w:t>
            </w:r>
            <w:r>
              <w:rPr>
                <w:rFonts w:cs="Calibri"/>
                <w:color w:val="000000"/>
                <w:sz w:val="24"/>
                <w:szCs w:val="24"/>
              </w:rPr>
              <w:t xml:space="preserve"> (0,027)</w:t>
            </w:r>
          </w:p>
        </w:tc>
        <w:tc>
          <w:tcPr>
            <w:tcW w:w="1152"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1,17</w:t>
            </w:r>
            <w:r>
              <w:rPr>
                <w:rFonts w:cs="Calibri"/>
                <w:color w:val="000000"/>
                <w:sz w:val="24"/>
                <w:szCs w:val="24"/>
              </w:rPr>
              <w:t xml:space="preserve"> (0,014)</w:t>
            </w:r>
          </w:p>
        </w:tc>
        <w:tc>
          <w:tcPr>
            <w:tcW w:w="1034"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1,01</w:t>
            </w:r>
            <w:r>
              <w:rPr>
                <w:rFonts w:cs="Calibri"/>
                <w:color w:val="000000"/>
                <w:sz w:val="24"/>
                <w:szCs w:val="24"/>
              </w:rPr>
              <w:t xml:space="preserve"> (0,017)</w:t>
            </w:r>
          </w:p>
        </w:tc>
        <w:tc>
          <w:tcPr>
            <w:tcW w:w="917"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2,32</w:t>
            </w:r>
            <w:r>
              <w:rPr>
                <w:rFonts w:cs="Calibri"/>
                <w:color w:val="000000"/>
                <w:sz w:val="24"/>
                <w:szCs w:val="24"/>
              </w:rPr>
              <w:t xml:space="preserve"> (0,027)</w:t>
            </w:r>
          </w:p>
        </w:tc>
        <w:tc>
          <w:tcPr>
            <w:tcW w:w="916"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Pr>
                <w:rFonts w:cs="Calibri"/>
                <w:sz w:val="24"/>
                <w:szCs w:val="24"/>
              </w:rPr>
              <w:t>-</w:t>
            </w:r>
            <w:r w:rsidRPr="0091234C">
              <w:rPr>
                <w:rFonts w:cs="Calibri"/>
                <w:sz w:val="24"/>
                <w:szCs w:val="24"/>
              </w:rPr>
              <w:t>1,40</w:t>
            </w:r>
            <w:r>
              <w:rPr>
                <w:rFonts w:cs="Calibri"/>
                <w:sz w:val="24"/>
                <w:szCs w:val="24"/>
              </w:rPr>
              <w:t xml:space="preserve"> (0,041)</w:t>
            </w:r>
          </w:p>
        </w:tc>
        <w:tc>
          <w:tcPr>
            <w:tcW w:w="1012"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Pr>
                <w:rFonts w:cs="Calibri"/>
                <w:sz w:val="24"/>
                <w:szCs w:val="24"/>
              </w:rPr>
              <w:t>-</w:t>
            </w:r>
            <w:r w:rsidRPr="0091234C">
              <w:rPr>
                <w:rFonts w:cs="Calibri"/>
                <w:sz w:val="24"/>
                <w:szCs w:val="24"/>
              </w:rPr>
              <w:t>0,43</w:t>
            </w:r>
            <w:r>
              <w:rPr>
                <w:rFonts w:cs="Calibri"/>
                <w:sz w:val="24"/>
                <w:szCs w:val="24"/>
              </w:rPr>
              <w:t xml:space="preserve"> (0,043)</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Pr>
                <w:rFonts w:cs="Calibri"/>
                <w:color w:val="000000"/>
                <w:sz w:val="24"/>
                <w:szCs w:val="24"/>
              </w:rPr>
              <w:t>-</w:t>
            </w:r>
            <w:r w:rsidRPr="0091234C">
              <w:rPr>
                <w:rFonts w:cs="Calibri"/>
                <w:color w:val="000000"/>
                <w:sz w:val="24"/>
                <w:szCs w:val="24"/>
              </w:rPr>
              <w:t>0,09</w:t>
            </w:r>
            <w:r>
              <w:rPr>
                <w:rFonts w:cs="Calibri"/>
                <w:color w:val="000000"/>
                <w:sz w:val="24"/>
                <w:szCs w:val="24"/>
              </w:rPr>
              <w:t xml:space="preserve"> (0,008)</w:t>
            </w:r>
          </w:p>
        </w:tc>
      </w:tr>
      <w:tr w:rsidR="004F75D0" w:rsidRPr="0091234C" w:rsidTr="007A579C">
        <w:trPr>
          <w:trHeight w:val="140"/>
        </w:trPr>
        <w:tc>
          <w:tcPr>
            <w:tcW w:w="2096" w:type="dxa"/>
            <w:tcBorders>
              <w:top w:val="nil"/>
              <w:left w:val="single" w:sz="4" w:space="0" w:color="auto"/>
              <w:bottom w:val="single" w:sz="4" w:space="0" w:color="auto"/>
              <w:right w:val="single" w:sz="4" w:space="0" w:color="auto"/>
            </w:tcBorders>
            <w:noWrap/>
            <w:vAlign w:val="bottom"/>
          </w:tcPr>
          <w:p w:rsidR="004F75D0" w:rsidRPr="0091234C" w:rsidRDefault="004F75D0" w:rsidP="0091234C">
            <w:pPr>
              <w:spacing w:after="0" w:line="240" w:lineRule="auto"/>
              <w:jc w:val="left"/>
              <w:rPr>
                <w:rFonts w:cs="Calibri"/>
                <w:color w:val="000000"/>
                <w:sz w:val="24"/>
                <w:szCs w:val="24"/>
              </w:rPr>
            </w:pPr>
            <w:r w:rsidRPr="0091234C">
              <w:rPr>
                <w:rFonts w:cs="Calibri"/>
                <w:color w:val="000000"/>
                <w:sz w:val="24"/>
                <w:szCs w:val="24"/>
              </w:rPr>
              <w:t>E.U. (β)</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0,49</w:t>
            </w:r>
            <w:r>
              <w:rPr>
                <w:rFonts w:cs="Calibri"/>
                <w:color w:val="000000"/>
                <w:sz w:val="24"/>
                <w:szCs w:val="24"/>
              </w:rPr>
              <w:t xml:space="preserve"> (0,01)</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0,47</w:t>
            </w:r>
            <w:r>
              <w:rPr>
                <w:rFonts w:cs="Calibri"/>
                <w:color w:val="000000"/>
                <w:sz w:val="24"/>
                <w:szCs w:val="24"/>
              </w:rPr>
              <w:t xml:space="preserve"> (0,02)</w:t>
            </w:r>
          </w:p>
        </w:tc>
        <w:tc>
          <w:tcPr>
            <w:tcW w:w="1152"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0,44</w:t>
            </w:r>
            <w:r>
              <w:rPr>
                <w:rFonts w:cs="Calibri"/>
                <w:color w:val="000000"/>
                <w:sz w:val="24"/>
                <w:szCs w:val="24"/>
              </w:rPr>
              <w:t xml:space="preserve"> (0,02)</w:t>
            </w:r>
          </w:p>
        </w:tc>
        <w:tc>
          <w:tcPr>
            <w:tcW w:w="1034"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0,48</w:t>
            </w:r>
            <w:r>
              <w:rPr>
                <w:rFonts w:cs="Calibri"/>
                <w:color w:val="000000"/>
                <w:sz w:val="24"/>
                <w:szCs w:val="24"/>
              </w:rPr>
              <w:t xml:space="preserve"> (0,009)</w:t>
            </w:r>
          </w:p>
        </w:tc>
        <w:tc>
          <w:tcPr>
            <w:tcW w:w="917"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0,51</w:t>
            </w:r>
            <w:r>
              <w:rPr>
                <w:rFonts w:cs="Calibri"/>
                <w:color w:val="000000"/>
                <w:sz w:val="24"/>
                <w:szCs w:val="24"/>
              </w:rPr>
              <w:t xml:space="preserve"> (0,007)</w:t>
            </w:r>
          </w:p>
        </w:tc>
        <w:tc>
          <w:tcPr>
            <w:tcW w:w="916"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0,50</w:t>
            </w:r>
            <w:r>
              <w:rPr>
                <w:rFonts w:cs="Calibri"/>
                <w:color w:val="000000"/>
                <w:sz w:val="24"/>
                <w:szCs w:val="24"/>
              </w:rPr>
              <w:t xml:space="preserve"> (0,009)</w:t>
            </w:r>
          </w:p>
        </w:tc>
        <w:tc>
          <w:tcPr>
            <w:tcW w:w="1012"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0,50</w:t>
            </w:r>
            <w:r>
              <w:rPr>
                <w:rFonts w:cs="Calibri"/>
                <w:color w:val="000000"/>
                <w:sz w:val="24"/>
                <w:szCs w:val="24"/>
              </w:rPr>
              <w:t xml:space="preserve"> (0,01)</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0,49</w:t>
            </w:r>
            <w:r>
              <w:rPr>
                <w:rFonts w:cs="Calibri"/>
                <w:color w:val="000000"/>
                <w:sz w:val="24"/>
                <w:szCs w:val="24"/>
              </w:rPr>
              <w:t xml:space="preserve"> (0,01)</w:t>
            </w:r>
          </w:p>
        </w:tc>
      </w:tr>
      <w:tr w:rsidR="004F75D0" w:rsidRPr="0091234C" w:rsidTr="007A579C">
        <w:trPr>
          <w:trHeight w:val="140"/>
        </w:trPr>
        <w:tc>
          <w:tcPr>
            <w:tcW w:w="2096" w:type="dxa"/>
            <w:tcBorders>
              <w:top w:val="nil"/>
              <w:left w:val="single" w:sz="4" w:space="0" w:color="auto"/>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left"/>
              <w:rPr>
                <w:rFonts w:cs="Calibri"/>
                <w:i/>
                <w:iCs/>
                <w:sz w:val="24"/>
                <w:szCs w:val="24"/>
              </w:rPr>
            </w:pPr>
            <w:r w:rsidRPr="0091234C">
              <w:rPr>
                <w:rFonts w:cs="Calibri"/>
                <w:i/>
                <w:iCs/>
                <w:sz w:val="24"/>
                <w:szCs w:val="24"/>
              </w:rPr>
              <w:t>structural break (γ)</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0,16</w:t>
            </w:r>
            <w:r>
              <w:rPr>
                <w:rFonts w:cs="Calibri"/>
                <w:color w:val="000000"/>
                <w:sz w:val="24"/>
                <w:szCs w:val="24"/>
              </w:rPr>
              <w:t xml:space="preserve"> (0,009)</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0,43</w:t>
            </w:r>
            <w:r>
              <w:rPr>
                <w:rFonts w:cs="Calibri"/>
                <w:color w:val="000000"/>
                <w:sz w:val="24"/>
                <w:szCs w:val="24"/>
              </w:rPr>
              <w:t xml:space="preserve"> (0,055)</w:t>
            </w:r>
          </w:p>
        </w:tc>
        <w:tc>
          <w:tcPr>
            <w:tcW w:w="1152"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0,98</w:t>
            </w:r>
            <w:r>
              <w:rPr>
                <w:rFonts w:cs="Calibri"/>
                <w:color w:val="000000"/>
                <w:sz w:val="24"/>
                <w:szCs w:val="24"/>
              </w:rPr>
              <w:t xml:space="preserve"> (0,023)</w:t>
            </w:r>
          </w:p>
        </w:tc>
        <w:tc>
          <w:tcPr>
            <w:tcW w:w="1034"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6,62</w:t>
            </w:r>
            <w:r>
              <w:rPr>
                <w:rFonts w:cs="Calibri"/>
                <w:color w:val="000000"/>
                <w:sz w:val="24"/>
                <w:szCs w:val="24"/>
              </w:rPr>
              <w:t xml:space="preserve"> (0,10)</w:t>
            </w:r>
          </w:p>
        </w:tc>
        <w:tc>
          <w:tcPr>
            <w:tcW w:w="917"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sidRPr="0091234C">
              <w:rPr>
                <w:rFonts w:cs="Calibri"/>
                <w:sz w:val="24"/>
                <w:szCs w:val="24"/>
              </w:rPr>
              <w:t>5,13</w:t>
            </w:r>
            <w:r>
              <w:rPr>
                <w:rFonts w:cs="Calibri"/>
                <w:sz w:val="24"/>
                <w:szCs w:val="24"/>
              </w:rPr>
              <w:t xml:space="preserve"> (0,014)</w:t>
            </w:r>
          </w:p>
        </w:tc>
        <w:tc>
          <w:tcPr>
            <w:tcW w:w="916"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sidRPr="0091234C">
              <w:rPr>
                <w:rFonts w:cs="Calibri"/>
                <w:sz w:val="24"/>
                <w:szCs w:val="24"/>
              </w:rPr>
              <w:t>4,24</w:t>
            </w:r>
            <w:r>
              <w:rPr>
                <w:rFonts w:cs="Calibri"/>
                <w:sz w:val="24"/>
                <w:szCs w:val="24"/>
              </w:rPr>
              <w:t xml:space="preserve"> (0,039)</w:t>
            </w:r>
          </w:p>
        </w:tc>
        <w:tc>
          <w:tcPr>
            <w:tcW w:w="1012"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sidRPr="0091234C">
              <w:rPr>
                <w:rFonts w:cs="Calibri"/>
                <w:sz w:val="24"/>
                <w:szCs w:val="24"/>
              </w:rPr>
              <w:t>4,93</w:t>
            </w:r>
            <w:r>
              <w:rPr>
                <w:rFonts w:cs="Calibri"/>
                <w:sz w:val="24"/>
                <w:szCs w:val="24"/>
              </w:rPr>
              <w:t xml:space="preserve"> (0,067)</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0,26</w:t>
            </w:r>
            <w:r>
              <w:rPr>
                <w:rFonts w:cs="Calibri"/>
                <w:color w:val="000000"/>
                <w:sz w:val="24"/>
                <w:szCs w:val="24"/>
              </w:rPr>
              <w:t xml:space="preserve"> (0,009)</w:t>
            </w:r>
          </w:p>
        </w:tc>
      </w:tr>
      <w:tr w:rsidR="004F75D0" w:rsidRPr="0091234C" w:rsidTr="007A579C">
        <w:trPr>
          <w:trHeight w:val="140"/>
        </w:trPr>
        <w:tc>
          <w:tcPr>
            <w:tcW w:w="2096" w:type="dxa"/>
            <w:tcBorders>
              <w:top w:val="nil"/>
              <w:left w:val="single" w:sz="4" w:space="0" w:color="auto"/>
              <w:bottom w:val="single" w:sz="4" w:space="0" w:color="auto"/>
              <w:right w:val="single" w:sz="4" w:space="0" w:color="auto"/>
            </w:tcBorders>
            <w:noWrap/>
            <w:vAlign w:val="bottom"/>
          </w:tcPr>
          <w:p w:rsidR="004F75D0" w:rsidRPr="0091234C" w:rsidRDefault="004F75D0" w:rsidP="0091234C">
            <w:pPr>
              <w:spacing w:after="0" w:line="240" w:lineRule="auto"/>
              <w:jc w:val="left"/>
              <w:rPr>
                <w:rFonts w:cs="Calibri"/>
                <w:color w:val="000000"/>
                <w:sz w:val="24"/>
                <w:szCs w:val="24"/>
              </w:rPr>
            </w:pPr>
            <w:r w:rsidRPr="0091234C">
              <w:rPr>
                <w:rFonts w:cs="Calibri"/>
                <w:color w:val="000000"/>
                <w:sz w:val="24"/>
                <w:szCs w:val="24"/>
              </w:rPr>
              <w:t>Advanced Economies (β)</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0,55</w:t>
            </w:r>
            <w:r>
              <w:rPr>
                <w:rFonts w:cs="Calibri"/>
                <w:color w:val="000000"/>
                <w:sz w:val="24"/>
                <w:szCs w:val="24"/>
              </w:rPr>
              <w:t xml:space="preserve"> (0,003)</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0,54</w:t>
            </w:r>
            <w:r>
              <w:rPr>
                <w:rFonts w:cs="Calibri"/>
                <w:color w:val="000000"/>
                <w:sz w:val="24"/>
                <w:szCs w:val="24"/>
              </w:rPr>
              <w:t xml:space="preserve"> (0,005) </w:t>
            </w:r>
          </w:p>
        </w:tc>
        <w:tc>
          <w:tcPr>
            <w:tcW w:w="1152"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0,51</w:t>
            </w:r>
            <w:r>
              <w:rPr>
                <w:rFonts w:cs="Calibri"/>
                <w:color w:val="000000"/>
                <w:sz w:val="24"/>
                <w:szCs w:val="24"/>
              </w:rPr>
              <w:t xml:space="preserve"> (0,005)</w:t>
            </w:r>
          </w:p>
        </w:tc>
        <w:tc>
          <w:tcPr>
            <w:tcW w:w="1034"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0,54</w:t>
            </w:r>
            <w:r>
              <w:rPr>
                <w:rFonts w:cs="Calibri"/>
                <w:color w:val="000000"/>
                <w:sz w:val="24"/>
                <w:szCs w:val="24"/>
              </w:rPr>
              <w:t xml:space="preserve"> (0,03)</w:t>
            </w:r>
          </w:p>
        </w:tc>
        <w:tc>
          <w:tcPr>
            <w:tcW w:w="917"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0,56</w:t>
            </w:r>
            <w:r>
              <w:rPr>
                <w:rFonts w:cs="Calibri"/>
                <w:color w:val="000000"/>
                <w:sz w:val="24"/>
                <w:szCs w:val="24"/>
              </w:rPr>
              <w:t xml:space="preserve"> (0,002)</w:t>
            </w:r>
          </w:p>
        </w:tc>
        <w:tc>
          <w:tcPr>
            <w:tcW w:w="916"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0,56</w:t>
            </w:r>
            <w:r>
              <w:rPr>
                <w:rFonts w:cs="Calibri"/>
                <w:color w:val="000000"/>
                <w:sz w:val="24"/>
                <w:szCs w:val="24"/>
              </w:rPr>
              <w:t xml:space="preserve"> (0,002)</w:t>
            </w:r>
          </w:p>
        </w:tc>
        <w:tc>
          <w:tcPr>
            <w:tcW w:w="1012"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0,56</w:t>
            </w:r>
            <w:r>
              <w:rPr>
                <w:rFonts w:cs="Calibri"/>
                <w:color w:val="000000"/>
                <w:sz w:val="24"/>
                <w:szCs w:val="24"/>
              </w:rPr>
              <w:t xml:space="preserve"> (0,003)</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0,56</w:t>
            </w:r>
            <w:r>
              <w:rPr>
                <w:rFonts w:cs="Calibri"/>
                <w:color w:val="000000"/>
                <w:sz w:val="24"/>
                <w:szCs w:val="24"/>
              </w:rPr>
              <w:t xml:space="preserve"> (0,003)</w:t>
            </w:r>
          </w:p>
        </w:tc>
      </w:tr>
      <w:tr w:rsidR="004F75D0" w:rsidRPr="0091234C" w:rsidTr="007A579C">
        <w:trPr>
          <w:trHeight w:val="140"/>
        </w:trPr>
        <w:tc>
          <w:tcPr>
            <w:tcW w:w="2096" w:type="dxa"/>
            <w:tcBorders>
              <w:top w:val="nil"/>
              <w:left w:val="single" w:sz="4" w:space="0" w:color="auto"/>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left"/>
              <w:rPr>
                <w:rFonts w:cs="Calibri"/>
                <w:i/>
                <w:iCs/>
                <w:sz w:val="24"/>
                <w:szCs w:val="24"/>
              </w:rPr>
            </w:pPr>
            <w:r w:rsidRPr="0091234C">
              <w:rPr>
                <w:rFonts w:cs="Calibri"/>
                <w:i/>
                <w:iCs/>
                <w:sz w:val="24"/>
                <w:szCs w:val="24"/>
              </w:rPr>
              <w:t>structural break (γ)</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0,31</w:t>
            </w:r>
            <w:r>
              <w:rPr>
                <w:rFonts w:cs="Calibri"/>
                <w:color w:val="000000"/>
                <w:sz w:val="24"/>
                <w:szCs w:val="24"/>
              </w:rPr>
              <w:t xml:space="preserve"> (0,008)</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0,37</w:t>
            </w:r>
            <w:r>
              <w:rPr>
                <w:rFonts w:cs="Calibri"/>
                <w:color w:val="000000"/>
                <w:sz w:val="24"/>
                <w:szCs w:val="24"/>
              </w:rPr>
              <w:t xml:space="preserve"> (0,06)</w:t>
            </w:r>
          </w:p>
        </w:tc>
        <w:tc>
          <w:tcPr>
            <w:tcW w:w="1152"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0,84</w:t>
            </w:r>
            <w:r>
              <w:rPr>
                <w:rFonts w:cs="Calibri"/>
                <w:color w:val="000000"/>
                <w:sz w:val="24"/>
                <w:szCs w:val="24"/>
              </w:rPr>
              <w:t xml:space="preserve"> (0,026)</w:t>
            </w:r>
          </w:p>
        </w:tc>
        <w:tc>
          <w:tcPr>
            <w:tcW w:w="1034"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3,07</w:t>
            </w:r>
            <w:r>
              <w:rPr>
                <w:rFonts w:cs="Calibri"/>
                <w:color w:val="000000"/>
                <w:sz w:val="24"/>
                <w:szCs w:val="24"/>
              </w:rPr>
              <w:t xml:space="preserve"> (0,012)</w:t>
            </w:r>
          </w:p>
        </w:tc>
        <w:tc>
          <w:tcPr>
            <w:tcW w:w="917"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C7260C">
            <w:pPr>
              <w:spacing w:after="0" w:line="240" w:lineRule="auto"/>
              <w:jc w:val="right"/>
              <w:rPr>
                <w:rFonts w:cs="Calibri"/>
                <w:sz w:val="24"/>
                <w:szCs w:val="24"/>
              </w:rPr>
            </w:pPr>
            <w:r w:rsidRPr="0091234C">
              <w:rPr>
                <w:rFonts w:cs="Calibri"/>
                <w:sz w:val="24"/>
                <w:szCs w:val="24"/>
              </w:rPr>
              <w:t>2,16</w:t>
            </w:r>
            <w:r>
              <w:rPr>
                <w:rFonts w:cs="Calibri"/>
                <w:sz w:val="24"/>
                <w:szCs w:val="24"/>
              </w:rPr>
              <w:t xml:space="preserve"> (0,014)</w:t>
            </w:r>
          </w:p>
        </w:tc>
        <w:tc>
          <w:tcPr>
            <w:tcW w:w="916"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Pr>
                <w:rFonts w:cs="Calibri"/>
                <w:sz w:val="24"/>
                <w:szCs w:val="24"/>
              </w:rPr>
              <w:t>6</w:t>
            </w:r>
            <w:r w:rsidRPr="0091234C">
              <w:rPr>
                <w:rFonts w:cs="Calibri"/>
                <w:sz w:val="24"/>
                <w:szCs w:val="24"/>
              </w:rPr>
              <w:t>,27</w:t>
            </w:r>
            <w:r>
              <w:rPr>
                <w:rFonts w:cs="Calibri"/>
                <w:sz w:val="24"/>
                <w:szCs w:val="24"/>
              </w:rPr>
              <w:t xml:space="preserve"> (0,036)</w:t>
            </w:r>
          </w:p>
        </w:tc>
        <w:tc>
          <w:tcPr>
            <w:tcW w:w="1012"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sidRPr="0091234C">
              <w:rPr>
                <w:rFonts w:cs="Calibri"/>
                <w:sz w:val="24"/>
                <w:szCs w:val="24"/>
              </w:rPr>
              <w:t>3,22</w:t>
            </w:r>
            <w:r>
              <w:rPr>
                <w:rFonts w:cs="Calibri"/>
                <w:sz w:val="24"/>
                <w:szCs w:val="24"/>
              </w:rPr>
              <w:t xml:space="preserve"> (0,06)</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sidRPr="0091234C">
              <w:rPr>
                <w:rFonts w:cs="Calibri"/>
                <w:sz w:val="24"/>
                <w:szCs w:val="24"/>
              </w:rPr>
              <w:t>0,10</w:t>
            </w:r>
            <w:r>
              <w:rPr>
                <w:rFonts w:cs="Calibri"/>
                <w:sz w:val="24"/>
                <w:szCs w:val="24"/>
              </w:rPr>
              <w:t xml:space="preserve"> (0,009)</w:t>
            </w:r>
          </w:p>
        </w:tc>
      </w:tr>
      <w:tr w:rsidR="004F75D0" w:rsidRPr="0091234C" w:rsidTr="007A579C">
        <w:trPr>
          <w:trHeight w:val="140"/>
        </w:trPr>
        <w:tc>
          <w:tcPr>
            <w:tcW w:w="2096" w:type="dxa"/>
            <w:tcBorders>
              <w:top w:val="nil"/>
              <w:left w:val="single" w:sz="4" w:space="0" w:color="auto"/>
              <w:bottom w:val="single" w:sz="4" w:space="0" w:color="auto"/>
              <w:right w:val="single" w:sz="4" w:space="0" w:color="auto"/>
            </w:tcBorders>
            <w:noWrap/>
            <w:vAlign w:val="bottom"/>
          </w:tcPr>
          <w:p w:rsidR="004F75D0" w:rsidRPr="0091234C" w:rsidRDefault="004F75D0" w:rsidP="0091234C">
            <w:pPr>
              <w:spacing w:after="0" w:line="240" w:lineRule="auto"/>
              <w:jc w:val="left"/>
              <w:rPr>
                <w:rFonts w:cs="Calibri"/>
                <w:color w:val="000000"/>
                <w:sz w:val="24"/>
                <w:szCs w:val="24"/>
              </w:rPr>
            </w:pPr>
            <w:r w:rsidRPr="0091234C">
              <w:rPr>
                <w:rFonts w:cs="Calibri"/>
                <w:color w:val="000000"/>
                <w:sz w:val="24"/>
                <w:szCs w:val="24"/>
              </w:rPr>
              <w:t>G-7 (β)</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0,46</w:t>
            </w:r>
            <w:r>
              <w:rPr>
                <w:rFonts w:cs="Calibri"/>
                <w:color w:val="000000"/>
                <w:sz w:val="24"/>
                <w:szCs w:val="24"/>
              </w:rPr>
              <w:t xml:space="preserve"> (0,01)</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0,44</w:t>
            </w:r>
            <w:r>
              <w:rPr>
                <w:rFonts w:cs="Calibri"/>
                <w:color w:val="000000"/>
                <w:sz w:val="24"/>
                <w:szCs w:val="24"/>
              </w:rPr>
              <w:t xml:space="preserve"> (0,025)</w:t>
            </w:r>
          </w:p>
        </w:tc>
        <w:tc>
          <w:tcPr>
            <w:tcW w:w="1152"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0,42</w:t>
            </w:r>
            <w:r>
              <w:rPr>
                <w:rFonts w:cs="Calibri"/>
                <w:color w:val="000000"/>
                <w:sz w:val="24"/>
                <w:szCs w:val="24"/>
              </w:rPr>
              <w:t xml:space="preserve"> (0,003)</w:t>
            </w:r>
          </w:p>
        </w:tc>
        <w:tc>
          <w:tcPr>
            <w:tcW w:w="1034"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0,45</w:t>
            </w:r>
            <w:r>
              <w:rPr>
                <w:rFonts w:cs="Calibri"/>
                <w:color w:val="000000"/>
                <w:sz w:val="24"/>
                <w:szCs w:val="24"/>
              </w:rPr>
              <w:t xml:space="preserve"> (0,01)</w:t>
            </w:r>
          </w:p>
        </w:tc>
        <w:tc>
          <w:tcPr>
            <w:tcW w:w="917"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0,49</w:t>
            </w:r>
            <w:r>
              <w:rPr>
                <w:rFonts w:cs="Calibri"/>
                <w:color w:val="000000"/>
                <w:sz w:val="24"/>
                <w:szCs w:val="24"/>
              </w:rPr>
              <w:t xml:space="preserve"> (0,009)</w:t>
            </w:r>
          </w:p>
        </w:tc>
        <w:tc>
          <w:tcPr>
            <w:tcW w:w="916"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0,48</w:t>
            </w:r>
            <w:r>
              <w:rPr>
                <w:rFonts w:cs="Calibri"/>
                <w:color w:val="000000"/>
                <w:sz w:val="24"/>
                <w:szCs w:val="24"/>
              </w:rPr>
              <w:t xml:space="preserve"> (0,01)</w:t>
            </w:r>
          </w:p>
        </w:tc>
        <w:tc>
          <w:tcPr>
            <w:tcW w:w="1012"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0,48</w:t>
            </w:r>
            <w:r>
              <w:rPr>
                <w:rFonts w:cs="Calibri"/>
                <w:color w:val="000000"/>
                <w:sz w:val="24"/>
                <w:szCs w:val="24"/>
              </w:rPr>
              <w:t xml:space="preserve"> (0,01)</w:t>
            </w:r>
          </w:p>
        </w:tc>
        <w:tc>
          <w:tcPr>
            <w:tcW w:w="909" w:type="dxa"/>
            <w:tcBorders>
              <w:top w:val="nil"/>
              <w:left w:val="nil"/>
              <w:bottom w:val="single" w:sz="4" w:space="0" w:color="auto"/>
              <w:right w:val="single" w:sz="4" w:space="0" w:color="auto"/>
            </w:tcBorders>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0,47</w:t>
            </w:r>
            <w:r>
              <w:rPr>
                <w:rFonts w:cs="Calibri"/>
                <w:color w:val="000000"/>
                <w:sz w:val="24"/>
                <w:szCs w:val="24"/>
              </w:rPr>
              <w:t xml:space="preserve"> (0,01)</w:t>
            </w:r>
          </w:p>
        </w:tc>
      </w:tr>
      <w:tr w:rsidR="004F75D0" w:rsidRPr="0091234C" w:rsidTr="007A579C">
        <w:trPr>
          <w:trHeight w:val="140"/>
        </w:trPr>
        <w:tc>
          <w:tcPr>
            <w:tcW w:w="2096" w:type="dxa"/>
            <w:tcBorders>
              <w:top w:val="nil"/>
              <w:left w:val="single" w:sz="4" w:space="0" w:color="auto"/>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left"/>
              <w:rPr>
                <w:rFonts w:cs="Calibri"/>
                <w:i/>
                <w:iCs/>
                <w:sz w:val="24"/>
                <w:szCs w:val="24"/>
              </w:rPr>
            </w:pPr>
            <w:r w:rsidRPr="0091234C">
              <w:rPr>
                <w:rFonts w:cs="Calibri"/>
                <w:i/>
                <w:iCs/>
                <w:sz w:val="24"/>
                <w:szCs w:val="24"/>
              </w:rPr>
              <w:t>structural break (γ)</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0,53</w:t>
            </w:r>
            <w:r>
              <w:rPr>
                <w:rFonts w:cs="Calibri"/>
                <w:color w:val="000000"/>
                <w:sz w:val="24"/>
                <w:szCs w:val="24"/>
              </w:rPr>
              <w:t xml:space="preserve"> (0,007)</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0,52</w:t>
            </w:r>
            <w:r>
              <w:rPr>
                <w:rFonts w:cs="Calibri"/>
                <w:color w:val="000000"/>
                <w:sz w:val="24"/>
                <w:szCs w:val="24"/>
              </w:rPr>
              <w:t xml:space="preserve"> (0,05)</w:t>
            </w:r>
          </w:p>
        </w:tc>
        <w:tc>
          <w:tcPr>
            <w:tcW w:w="1152"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0,92</w:t>
            </w:r>
            <w:r>
              <w:rPr>
                <w:rFonts w:cs="Calibri"/>
                <w:color w:val="000000"/>
                <w:sz w:val="24"/>
                <w:szCs w:val="24"/>
              </w:rPr>
              <w:t xml:space="preserve"> (0,024)</w:t>
            </w:r>
          </w:p>
        </w:tc>
        <w:tc>
          <w:tcPr>
            <w:tcW w:w="1034"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color w:val="000000"/>
                <w:sz w:val="24"/>
                <w:szCs w:val="24"/>
              </w:rPr>
            </w:pPr>
            <w:r w:rsidRPr="0091234C">
              <w:rPr>
                <w:rFonts w:cs="Calibri"/>
                <w:color w:val="000000"/>
                <w:sz w:val="24"/>
                <w:szCs w:val="24"/>
              </w:rPr>
              <w:t>3,97</w:t>
            </w:r>
            <w:r>
              <w:rPr>
                <w:rFonts w:cs="Calibri"/>
                <w:color w:val="000000"/>
                <w:sz w:val="24"/>
                <w:szCs w:val="24"/>
              </w:rPr>
              <w:t xml:space="preserve"> (0,012)</w:t>
            </w:r>
          </w:p>
        </w:tc>
        <w:tc>
          <w:tcPr>
            <w:tcW w:w="917"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Pr>
                <w:rFonts w:cs="Calibri"/>
                <w:sz w:val="24"/>
                <w:szCs w:val="24"/>
              </w:rPr>
              <w:t>-</w:t>
            </w:r>
            <w:r w:rsidRPr="0091234C">
              <w:rPr>
                <w:rFonts w:cs="Calibri"/>
                <w:sz w:val="24"/>
                <w:szCs w:val="24"/>
              </w:rPr>
              <w:t>4,57</w:t>
            </w:r>
            <w:r>
              <w:rPr>
                <w:rFonts w:cs="Calibri"/>
                <w:sz w:val="24"/>
                <w:szCs w:val="24"/>
              </w:rPr>
              <w:t xml:space="preserve"> (0,14)</w:t>
            </w:r>
          </w:p>
        </w:tc>
        <w:tc>
          <w:tcPr>
            <w:tcW w:w="916"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Pr>
                <w:rFonts w:cs="Calibri"/>
                <w:sz w:val="24"/>
                <w:szCs w:val="24"/>
              </w:rPr>
              <w:t>-</w:t>
            </w:r>
            <w:r w:rsidRPr="0091234C">
              <w:rPr>
                <w:rFonts w:cs="Calibri"/>
                <w:sz w:val="24"/>
                <w:szCs w:val="24"/>
              </w:rPr>
              <w:t>4,20</w:t>
            </w:r>
            <w:r>
              <w:rPr>
                <w:rFonts w:cs="Calibri"/>
                <w:sz w:val="24"/>
                <w:szCs w:val="24"/>
              </w:rPr>
              <w:t xml:space="preserve"> (0,37)</w:t>
            </w:r>
          </w:p>
        </w:tc>
        <w:tc>
          <w:tcPr>
            <w:tcW w:w="1012"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91234C">
            <w:pPr>
              <w:spacing w:after="0" w:line="240" w:lineRule="auto"/>
              <w:jc w:val="right"/>
              <w:rPr>
                <w:rFonts w:cs="Calibri"/>
                <w:sz w:val="24"/>
                <w:szCs w:val="24"/>
              </w:rPr>
            </w:pPr>
            <w:r>
              <w:rPr>
                <w:rFonts w:cs="Calibri"/>
                <w:sz w:val="24"/>
                <w:szCs w:val="24"/>
              </w:rPr>
              <w:t>-</w:t>
            </w:r>
            <w:r w:rsidRPr="0091234C">
              <w:rPr>
                <w:rFonts w:cs="Calibri"/>
                <w:sz w:val="24"/>
                <w:szCs w:val="24"/>
              </w:rPr>
              <w:t>2,27</w:t>
            </w:r>
            <w:r>
              <w:rPr>
                <w:rFonts w:cs="Calibri"/>
                <w:sz w:val="24"/>
                <w:szCs w:val="24"/>
              </w:rPr>
              <w:t xml:space="preserve"> (0,64)</w:t>
            </w:r>
          </w:p>
        </w:tc>
        <w:tc>
          <w:tcPr>
            <w:tcW w:w="909" w:type="dxa"/>
            <w:tcBorders>
              <w:top w:val="nil"/>
              <w:left w:val="nil"/>
              <w:bottom w:val="single" w:sz="4" w:space="0" w:color="auto"/>
              <w:right w:val="single" w:sz="4" w:space="0" w:color="auto"/>
            </w:tcBorders>
            <w:shd w:val="clear" w:color="000000" w:fill="FFFF00"/>
            <w:noWrap/>
            <w:vAlign w:val="bottom"/>
          </w:tcPr>
          <w:p w:rsidR="004F75D0" w:rsidRPr="0091234C" w:rsidRDefault="004F75D0" w:rsidP="00E52BF7">
            <w:pPr>
              <w:keepNext/>
              <w:spacing w:after="0" w:line="240" w:lineRule="auto"/>
              <w:jc w:val="right"/>
              <w:rPr>
                <w:rFonts w:cs="Calibri"/>
                <w:color w:val="000000"/>
                <w:sz w:val="24"/>
                <w:szCs w:val="24"/>
              </w:rPr>
            </w:pPr>
            <w:r w:rsidRPr="0091234C">
              <w:rPr>
                <w:rFonts w:cs="Calibri"/>
                <w:color w:val="000000"/>
                <w:sz w:val="24"/>
                <w:szCs w:val="24"/>
              </w:rPr>
              <w:t>0,24</w:t>
            </w:r>
            <w:r>
              <w:rPr>
                <w:rFonts w:cs="Calibri"/>
                <w:color w:val="000000"/>
                <w:sz w:val="24"/>
                <w:szCs w:val="24"/>
              </w:rPr>
              <w:t xml:space="preserve"> (0,009)</w:t>
            </w:r>
          </w:p>
        </w:tc>
      </w:tr>
    </w:tbl>
    <w:p w:rsidR="004F75D0" w:rsidRDefault="004F75D0">
      <w:pPr>
        <w:pStyle w:val="Caption"/>
      </w:pPr>
      <w:bookmarkStart w:id="50" w:name="_Toc274047070"/>
      <w:r>
        <w:t xml:space="preserve">Figure </w:t>
      </w:r>
      <w:fldSimple w:instr=" SEQ Figure \* ARABIC ">
        <w:r>
          <w:rPr>
            <w:noProof/>
          </w:rPr>
          <w:t>28</w:t>
        </w:r>
      </w:fldSimple>
      <w:r>
        <w:t>: Table representations of econometric tests between Emerging Markets and advanced economies</w:t>
      </w:r>
      <w:bookmarkEnd w:id="50"/>
    </w:p>
    <w:p w:rsidR="004F75D0" w:rsidRPr="00071F26" w:rsidRDefault="004F75D0" w:rsidP="0091234C">
      <w:pPr>
        <w:rPr>
          <w:i/>
          <w:sz w:val="24"/>
          <w:szCs w:val="24"/>
        </w:rPr>
      </w:pPr>
      <w:r w:rsidRPr="00071F26">
        <w:rPr>
          <w:i/>
          <w:sz w:val="24"/>
          <w:szCs w:val="24"/>
        </w:rPr>
        <w:t>Significance level 95%, p-values in the parentheses</w:t>
      </w:r>
    </w:p>
    <w:p w:rsidR="004F75D0" w:rsidRPr="0075414B" w:rsidRDefault="004F75D0" w:rsidP="00483257">
      <w:pPr>
        <w:rPr>
          <w:sz w:val="24"/>
          <w:szCs w:val="24"/>
        </w:rPr>
      </w:pPr>
      <w:r>
        <w:rPr>
          <w:sz w:val="24"/>
          <w:szCs w:val="24"/>
        </w:rPr>
        <w:t>Figure 28</w:t>
      </w:r>
      <w:r w:rsidRPr="0075414B">
        <w:rPr>
          <w:sz w:val="24"/>
          <w:szCs w:val="24"/>
        </w:rPr>
        <w:t xml:space="preserve"> shows coefficients that come from the </w:t>
      </w:r>
      <w:r>
        <w:rPr>
          <w:sz w:val="24"/>
          <w:szCs w:val="24"/>
        </w:rPr>
        <w:t xml:space="preserve">standardized </w:t>
      </w:r>
      <w:r w:rsidRPr="0075414B">
        <w:rPr>
          <w:sz w:val="24"/>
          <w:szCs w:val="24"/>
        </w:rPr>
        <w:t>output gaps of the individual EM countries that were regressed against the output gaps of the AM economies groups. Through this effort it is accomplished a more integrated view of the decoupling hypothesis</w:t>
      </w:r>
      <w:r>
        <w:rPr>
          <w:sz w:val="24"/>
          <w:szCs w:val="24"/>
        </w:rPr>
        <w:t>, since the previous results that show</w:t>
      </w:r>
      <w:r w:rsidRPr="0075414B">
        <w:rPr>
          <w:sz w:val="24"/>
          <w:szCs w:val="24"/>
        </w:rPr>
        <w:t xml:space="preserve"> each individual country’s degree of interdependence with the AM groups, can be </w:t>
      </w:r>
      <w:r>
        <w:rPr>
          <w:sz w:val="24"/>
          <w:szCs w:val="24"/>
        </w:rPr>
        <w:t xml:space="preserve">now </w:t>
      </w:r>
      <w:r w:rsidRPr="0075414B">
        <w:rPr>
          <w:sz w:val="24"/>
          <w:szCs w:val="24"/>
        </w:rPr>
        <w:t>supported by a more aggregate way of testing.</w:t>
      </w:r>
    </w:p>
    <w:p w:rsidR="004F75D0" w:rsidRPr="0075414B" w:rsidRDefault="004F75D0" w:rsidP="00483257">
      <w:pPr>
        <w:rPr>
          <w:sz w:val="24"/>
          <w:szCs w:val="24"/>
        </w:rPr>
      </w:pPr>
      <w:r w:rsidRPr="0075414B">
        <w:rPr>
          <w:sz w:val="24"/>
          <w:szCs w:val="24"/>
        </w:rPr>
        <w:t xml:space="preserve">The </w:t>
      </w:r>
      <w:r w:rsidRPr="0075414B">
        <w:rPr>
          <w:i/>
          <w:sz w:val="24"/>
          <w:szCs w:val="24"/>
        </w:rPr>
        <w:t xml:space="preserve">gammas </w:t>
      </w:r>
      <w:r w:rsidRPr="0075414B">
        <w:rPr>
          <w:sz w:val="24"/>
          <w:szCs w:val="24"/>
        </w:rPr>
        <w:t xml:space="preserve">we observe are mostly positive with the exception of USA in which four out of eight years of the sample indicate the presence of a structural break and thus a lower degree of business cycle interdependence. This result provides </w:t>
      </w:r>
      <w:r>
        <w:rPr>
          <w:sz w:val="24"/>
          <w:szCs w:val="24"/>
        </w:rPr>
        <w:t>additive</w:t>
      </w:r>
      <w:r w:rsidRPr="0075414B">
        <w:rPr>
          <w:sz w:val="24"/>
          <w:szCs w:val="24"/>
        </w:rPr>
        <w:t xml:space="preserve"> proof for the acceptance of the decoupling hypothesis that all the EM economies individually showed against the USA. </w:t>
      </w:r>
    </w:p>
    <w:p w:rsidR="004F75D0" w:rsidRPr="00D52502" w:rsidRDefault="004F75D0" w:rsidP="00483257">
      <w:pPr>
        <w:rPr>
          <w:i/>
          <w:sz w:val="24"/>
          <w:szCs w:val="24"/>
        </w:rPr>
      </w:pPr>
      <w:r w:rsidRPr="0075414B">
        <w:rPr>
          <w:sz w:val="24"/>
          <w:szCs w:val="24"/>
        </w:rPr>
        <w:t xml:space="preserve">From an economic rational this result can be explained by the same reasons that each of the four EM countries tested are decoupling from the USA </w:t>
      </w:r>
      <w:r w:rsidRPr="00D52502">
        <w:rPr>
          <w:i/>
          <w:sz w:val="24"/>
          <w:szCs w:val="24"/>
        </w:rPr>
        <w:t xml:space="preserve">(The dot-com bubble </w:t>
      </w:r>
      <w:r>
        <w:rPr>
          <w:i/>
          <w:sz w:val="24"/>
          <w:szCs w:val="24"/>
        </w:rPr>
        <w:t>for</w:t>
      </w:r>
      <w:r w:rsidRPr="00D52502">
        <w:rPr>
          <w:i/>
          <w:sz w:val="24"/>
          <w:szCs w:val="24"/>
        </w:rPr>
        <w:t xml:space="preserve"> </w:t>
      </w:r>
      <w:r>
        <w:rPr>
          <w:i/>
          <w:sz w:val="24"/>
          <w:szCs w:val="24"/>
        </w:rPr>
        <w:t xml:space="preserve">the </w:t>
      </w:r>
      <w:r w:rsidRPr="00D52502">
        <w:rPr>
          <w:i/>
          <w:sz w:val="24"/>
          <w:szCs w:val="24"/>
        </w:rPr>
        <w:t xml:space="preserve">case of Brazil, the high growth rates of GDP </w:t>
      </w:r>
      <w:r>
        <w:rPr>
          <w:i/>
          <w:sz w:val="24"/>
          <w:szCs w:val="24"/>
        </w:rPr>
        <w:t>for</w:t>
      </w:r>
      <w:r w:rsidRPr="00D52502">
        <w:rPr>
          <w:i/>
          <w:sz w:val="24"/>
          <w:szCs w:val="24"/>
        </w:rPr>
        <w:t xml:space="preserve"> the case of China, the detachment of India from the US economy and the lower degree of economic relations due to political relations with the USA for the case of Russia).</w:t>
      </w:r>
    </w:p>
    <w:p w:rsidR="004F75D0" w:rsidRPr="0075414B" w:rsidRDefault="004F75D0" w:rsidP="00483257">
      <w:pPr>
        <w:rPr>
          <w:sz w:val="24"/>
          <w:szCs w:val="24"/>
        </w:rPr>
      </w:pPr>
      <w:r w:rsidRPr="0075414B">
        <w:rPr>
          <w:sz w:val="24"/>
          <w:szCs w:val="24"/>
        </w:rPr>
        <w:t xml:space="preserve">Nevertheless the econometric tests of the EM output gap showed unexpectedly high and negative coefficients in the case of G7 indicating structural breaks. However the coefficients were not statistically significant and thus the misalignment with the graphical evidence of G7 cannot be explained. </w:t>
      </w:r>
    </w:p>
    <w:p w:rsidR="004F75D0" w:rsidRPr="0075414B" w:rsidRDefault="004F75D0" w:rsidP="00483257">
      <w:pPr>
        <w:rPr>
          <w:sz w:val="24"/>
          <w:szCs w:val="24"/>
        </w:rPr>
      </w:pPr>
      <w:r w:rsidRPr="0075414B">
        <w:rPr>
          <w:sz w:val="24"/>
          <w:szCs w:val="24"/>
        </w:rPr>
        <w:t>To sum up, these last results (</w:t>
      </w:r>
      <w:r w:rsidRPr="00D52502">
        <w:rPr>
          <w:i/>
          <w:sz w:val="24"/>
          <w:szCs w:val="24"/>
        </w:rPr>
        <w:t>EM economies against AM economies)</w:t>
      </w:r>
      <w:r w:rsidRPr="0075414B">
        <w:rPr>
          <w:sz w:val="24"/>
          <w:szCs w:val="24"/>
        </w:rPr>
        <w:t xml:space="preserve"> depict that the possible explanations given earlier for the indications of decoupling of the individual EM countries from the USA </w:t>
      </w:r>
      <w:r w:rsidRPr="00D52502">
        <w:rPr>
          <w:i/>
          <w:sz w:val="24"/>
          <w:szCs w:val="24"/>
        </w:rPr>
        <w:t>(the reason given was that single country was tested against group</w:t>
      </w:r>
      <w:r w:rsidRPr="0075414B">
        <w:rPr>
          <w:sz w:val="24"/>
          <w:szCs w:val="24"/>
        </w:rPr>
        <w:t>) are rejected. Even after the data were pooled and the output gap expressed the business cycle of four EM countries simultaneously, the decoupling indication sustained.</w:t>
      </w:r>
    </w:p>
    <w:p w:rsidR="004F75D0" w:rsidRPr="00A9245B" w:rsidRDefault="004F75D0" w:rsidP="00483257"/>
    <w:p w:rsidR="004F75D0" w:rsidRPr="0091234C" w:rsidRDefault="004F75D0" w:rsidP="0091234C"/>
    <w:p w:rsidR="004F75D0" w:rsidRPr="00C42FA3" w:rsidRDefault="004F75D0" w:rsidP="00E93D31">
      <w:pPr>
        <w:pStyle w:val="Heading2"/>
        <w:pBdr>
          <w:bottom w:val="single" w:sz="4" w:space="1" w:color="auto"/>
        </w:pBdr>
      </w:pPr>
      <w:bookmarkStart w:id="51" w:name="_Toc274041026"/>
      <w:r w:rsidRPr="007F7735">
        <w:t>Conclusion</w:t>
      </w:r>
      <w:bookmarkEnd w:id="51"/>
    </w:p>
    <w:p w:rsidR="004F75D0" w:rsidRDefault="004F75D0" w:rsidP="005E7028">
      <w:pPr>
        <w:pStyle w:val="ListParagraph"/>
        <w:rPr>
          <w:b/>
          <w:sz w:val="28"/>
          <w:szCs w:val="28"/>
          <w:u w:val="single"/>
        </w:rPr>
      </w:pPr>
    </w:p>
    <w:p w:rsidR="004F75D0" w:rsidRDefault="004F75D0" w:rsidP="00D63105">
      <w:pPr>
        <w:rPr>
          <w:sz w:val="24"/>
          <w:szCs w:val="24"/>
        </w:rPr>
      </w:pPr>
      <w:r w:rsidRPr="00EB544F">
        <w:rPr>
          <w:sz w:val="24"/>
          <w:szCs w:val="24"/>
        </w:rPr>
        <w:t xml:space="preserve">All in all, both kinds of testing showed that the decoupling hypothesis of these four </w:t>
      </w:r>
      <w:r>
        <w:rPr>
          <w:sz w:val="24"/>
          <w:szCs w:val="24"/>
        </w:rPr>
        <w:t xml:space="preserve">strong </w:t>
      </w:r>
      <w:r w:rsidRPr="00EB544F">
        <w:rPr>
          <w:sz w:val="24"/>
          <w:szCs w:val="24"/>
        </w:rPr>
        <w:t xml:space="preserve">emerging economies is widely rejected </w:t>
      </w:r>
      <w:r>
        <w:rPr>
          <w:sz w:val="24"/>
          <w:szCs w:val="24"/>
        </w:rPr>
        <w:t xml:space="preserve">during the sample years </w:t>
      </w:r>
      <w:r w:rsidRPr="00EB544F">
        <w:rPr>
          <w:sz w:val="24"/>
          <w:szCs w:val="24"/>
        </w:rPr>
        <w:t xml:space="preserve">while at the same time decoupling </w:t>
      </w:r>
      <w:r>
        <w:rPr>
          <w:sz w:val="24"/>
          <w:szCs w:val="24"/>
        </w:rPr>
        <w:t xml:space="preserve">of the business cycles </w:t>
      </w:r>
      <w:r w:rsidRPr="00EB544F">
        <w:rPr>
          <w:sz w:val="24"/>
          <w:szCs w:val="24"/>
        </w:rPr>
        <w:t>is confirmed against t</w:t>
      </w:r>
      <w:r>
        <w:rPr>
          <w:sz w:val="24"/>
          <w:szCs w:val="24"/>
        </w:rPr>
        <w:t>he USA according to the data and the methodology which was followed. This result contradicts to previous studies and especially to Walti’s research that have shown no signs of decoupling between emerging- and advanced-market economies in any of the tested groups of advanced economies.</w:t>
      </w:r>
    </w:p>
    <w:p w:rsidR="004F75D0" w:rsidRDefault="004F75D0" w:rsidP="00D63105">
      <w:pPr>
        <w:rPr>
          <w:sz w:val="24"/>
          <w:szCs w:val="24"/>
        </w:rPr>
      </w:pPr>
      <w:r>
        <w:rPr>
          <w:sz w:val="24"/>
          <w:szCs w:val="24"/>
        </w:rPr>
        <w:t xml:space="preserve">Furthermore Russia shows the higher degree of business cycle interdependence with the three groups of advanced economies </w:t>
      </w:r>
      <w:r w:rsidRPr="00D52502">
        <w:rPr>
          <w:i/>
          <w:sz w:val="24"/>
          <w:szCs w:val="24"/>
        </w:rPr>
        <w:t>(not with USA</w:t>
      </w:r>
      <w:r>
        <w:rPr>
          <w:sz w:val="24"/>
          <w:szCs w:val="24"/>
        </w:rPr>
        <w:t xml:space="preserve">) and India the second higher degree of interdependence again with the same three groups for all the sample years </w:t>
      </w:r>
      <w:r w:rsidRPr="00D52502">
        <w:rPr>
          <w:i/>
          <w:sz w:val="24"/>
          <w:szCs w:val="24"/>
        </w:rPr>
        <w:t>(especially during the recent years)</w:t>
      </w:r>
      <w:r>
        <w:rPr>
          <w:sz w:val="24"/>
          <w:szCs w:val="24"/>
        </w:rPr>
        <w:t xml:space="preserve"> in comparison to Brazil and China which show lower degree of business cycle synchronization throughout the sample years.</w:t>
      </w:r>
    </w:p>
    <w:p w:rsidR="004F75D0" w:rsidRDefault="004F75D0" w:rsidP="00D63105">
      <w:pPr>
        <w:rPr>
          <w:sz w:val="24"/>
          <w:szCs w:val="24"/>
        </w:rPr>
      </w:pPr>
      <w:r>
        <w:rPr>
          <w:sz w:val="24"/>
          <w:szCs w:val="24"/>
        </w:rPr>
        <w:t>However even with lower degree of interdependence Brazil and China still show tension of decoupling during the recent years since their Euclidean distance from each of the three groups of advanced economies are in average declining from year 2000 onwards.</w:t>
      </w:r>
    </w:p>
    <w:p w:rsidR="004F75D0" w:rsidRDefault="004F75D0" w:rsidP="00D63105">
      <w:pPr>
        <w:rPr>
          <w:sz w:val="24"/>
          <w:szCs w:val="24"/>
        </w:rPr>
      </w:pPr>
      <w:r>
        <w:rPr>
          <w:sz w:val="24"/>
          <w:szCs w:val="24"/>
        </w:rPr>
        <w:t xml:space="preserve">Moreover </w:t>
      </w:r>
      <w:r w:rsidRPr="00106CCD">
        <w:rPr>
          <w:sz w:val="24"/>
          <w:szCs w:val="24"/>
        </w:rPr>
        <w:t>exceptions</w:t>
      </w:r>
      <w:r>
        <w:rPr>
          <w:sz w:val="24"/>
          <w:szCs w:val="24"/>
        </w:rPr>
        <w:t xml:space="preserve"> from the decoupling-hypothesis rejection </w:t>
      </w:r>
      <w:r w:rsidRPr="00106CCD">
        <w:rPr>
          <w:sz w:val="24"/>
          <w:szCs w:val="24"/>
        </w:rPr>
        <w:t xml:space="preserve">in which emerging markets have shown growth </w:t>
      </w:r>
      <w:r>
        <w:rPr>
          <w:sz w:val="24"/>
          <w:szCs w:val="24"/>
        </w:rPr>
        <w:t xml:space="preserve">outperformance have been also met by Levy-Yeyati </w:t>
      </w:r>
      <w:r w:rsidRPr="00106CCD">
        <w:rPr>
          <w:i/>
          <w:sz w:val="24"/>
          <w:szCs w:val="24"/>
        </w:rPr>
        <w:t>(2009)</w:t>
      </w:r>
      <w:r>
        <w:rPr>
          <w:sz w:val="24"/>
          <w:szCs w:val="24"/>
        </w:rPr>
        <w:t>,</w:t>
      </w:r>
      <w:r w:rsidRPr="00106CCD">
        <w:rPr>
          <w:sz w:val="24"/>
          <w:szCs w:val="24"/>
        </w:rPr>
        <w:t xml:space="preserve"> </w:t>
      </w:r>
      <w:r>
        <w:rPr>
          <w:sz w:val="24"/>
          <w:szCs w:val="24"/>
        </w:rPr>
        <w:t xml:space="preserve">whose econometric methodology is followed in this research. The four emerging economies that were tested in this research are definitely regarded to outperform with their high GDP growth rates and thus are likely to match with the exceptions observed from Levy-Yeyati </w:t>
      </w:r>
      <w:r w:rsidRPr="00DC3493">
        <w:rPr>
          <w:i/>
          <w:sz w:val="24"/>
          <w:szCs w:val="24"/>
        </w:rPr>
        <w:t>(2009)</w:t>
      </w:r>
      <w:r>
        <w:rPr>
          <w:sz w:val="24"/>
          <w:szCs w:val="24"/>
        </w:rPr>
        <w:t xml:space="preserve">.  </w:t>
      </w:r>
    </w:p>
    <w:p w:rsidR="004F75D0" w:rsidRDefault="004F75D0" w:rsidP="00D63105">
      <w:pPr>
        <w:rPr>
          <w:sz w:val="24"/>
          <w:szCs w:val="24"/>
        </w:rPr>
      </w:pPr>
      <w:r>
        <w:rPr>
          <w:sz w:val="24"/>
          <w:szCs w:val="24"/>
        </w:rPr>
        <w:t xml:space="preserve">One possible reason for the decoupling signs between the emerging economies and the USA is that in this thesis are used single emerging countries to test against groups of countries </w:t>
      </w:r>
      <w:r w:rsidRPr="00D52502">
        <w:rPr>
          <w:i/>
          <w:sz w:val="24"/>
          <w:szCs w:val="24"/>
        </w:rPr>
        <w:t>(advanced-market economies).</w:t>
      </w:r>
      <w:r>
        <w:rPr>
          <w:sz w:val="24"/>
          <w:szCs w:val="24"/>
        </w:rPr>
        <w:t xml:space="preserve"> Walti in his research tests groups of emerging economies </w:t>
      </w:r>
      <w:r w:rsidRPr="00D52502">
        <w:rPr>
          <w:i/>
          <w:sz w:val="24"/>
          <w:szCs w:val="24"/>
        </w:rPr>
        <w:t>(separated by region e.g. Latin America, Asia and Eastern Europe).</w:t>
      </w:r>
      <w:r>
        <w:rPr>
          <w:sz w:val="24"/>
          <w:szCs w:val="24"/>
        </w:rPr>
        <w:t xml:space="preserve"> Therefore the output gap of a group can have a different effect on the final value and the result is to influence the Euclidean distances that show higher degree of interdependence.</w:t>
      </w:r>
    </w:p>
    <w:p w:rsidR="004F75D0" w:rsidRPr="00106CCD" w:rsidRDefault="004F75D0" w:rsidP="00106CCD">
      <w:pPr>
        <w:rPr>
          <w:sz w:val="24"/>
          <w:szCs w:val="24"/>
        </w:rPr>
      </w:pPr>
      <w:r>
        <w:rPr>
          <w:sz w:val="24"/>
          <w:szCs w:val="24"/>
        </w:rPr>
        <w:t xml:space="preserve">However this reason is obviously rejected since the emerging market countries showed significant degree of non-dependence also when tested in an aggregate manner </w:t>
      </w:r>
      <w:r w:rsidRPr="00D52502">
        <w:rPr>
          <w:i/>
          <w:sz w:val="24"/>
          <w:szCs w:val="24"/>
        </w:rPr>
        <w:t>(as a group of countries)</w:t>
      </w:r>
      <w:r>
        <w:rPr>
          <w:sz w:val="24"/>
          <w:szCs w:val="24"/>
        </w:rPr>
        <w:t>.</w:t>
      </w:r>
      <w:r w:rsidRPr="00106CCD">
        <w:rPr>
          <w:sz w:val="24"/>
          <w:szCs w:val="24"/>
        </w:rPr>
        <w:t xml:space="preserve"> </w:t>
      </w:r>
    </w:p>
    <w:p w:rsidR="004F75D0" w:rsidRDefault="004F75D0" w:rsidP="00D63105">
      <w:pPr>
        <w:rPr>
          <w:sz w:val="24"/>
          <w:szCs w:val="24"/>
        </w:rPr>
      </w:pPr>
      <w:r>
        <w:rPr>
          <w:sz w:val="24"/>
          <w:szCs w:val="24"/>
        </w:rPr>
        <w:t xml:space="preserve"> Therefore it can be supported that decoupling of these four emerging market economies from the USA is a fact since all of the indications lead to the same conclusion.  </w:t>
      </w:r>
    </w:p>
    <w:p w:rsidR="004F75D0" w:rsidRDefault="004F75D0" w:rsidP="00D63105">
      <w:pPr>
        <w:rPr>
          <w:sz w:val="24"/>
          <w:szCs w:val="24"/>
        </w:rPr>
      </w:pPr>
      <w:r>
        <w:rPr>
          <w:sz w:val="24"/>
          <w:szCs w:val="24"/>
        </w:rPr>
        <w:t>To conclude, further research in the decoupling hypothesis needs to be conducted in the next years and upcoming results would be quite interesting when researchers use data in their samples that include the recent financial crisis and the worldwide recession that followed.</w:t>
      </w:r>
    </w:p>
    <w:p w:rsidR="004F75D0" w:rsidRDefault="004F75D0" w:rsidP="00D63105">
      <w:pPr>
        <w:rPr>
          <w:sz w:val="24"/>
          <w:szCs w:val="24"/>
        </w:rPr>
      </w:pPr>
    </w:p>
    <w:p w:rsidR="004F75D0" w:rsidRDefault="004F75D0" w:rsidP="00D63105">
      <w:pPr>
        <w:rPr>
          <w:sz w:val="24"/>
          <w:szCs w:val="24"/>
        </w:rPr>
      </w:pPr>
    </w:p>
    <w:p w:rsidR="004F75D0" w:rsidRDefault="004F75D0" w:rsidP="00D63105">
      <w:pPr>
        <w:rPr>
          <w:sz w:val="24"/>
          <w:szCs w:val="24"/>
        </w:rPr>
      </w:pPr>
    </w:p>
    <w:p w:rsidR="004F75D0" w:rsidRDefault="004F75D0" w:rsidP="00D63105">
      <w:pPr>
        <w:rPr>
          <w:sz w:val="24"/>
          <w:szCs w:val="24"/>
        </w:rPr>
      </w:pPr>
    </w:p>
    <w:p w:rsidR="004F75D0" w:rsidRDefault="004F75D0" w:rsidP="00D63105">
      <w:pPr>
        <w:rPr>
          <w:sz w:val="24"/>
          <w:szCs w:val="24"/>
        </w:rPr>
      </w:pPr>
    </w:p>
    <w:p w:rsidR="004F75D0" w:rsidRDefault="004F75D0" w:rsidP="00D63105">
      <w:pPr>
        <w:rPr>
          <w:sz w:val="24"/>
          <w:szCs w:val="24"/>
        </w:rPr>
      </w:pPr>
    </w:p>
    <w:p w:rsidR="004F75D0" w:rsidRDefault="004F75D0" w:rsidP="00D63105">
      <w:pPr>
        <w:rPr>
          <w:sz w:val="24"/>
          <w:szCs w:val="24"/>
        </w:rPr>
      </w:pPr>
    </w:p>
    <w:p w:rsidR="004F75D0" w:rsidRDefault="004F75D0" w:rsidP="00D63105">
      <w:pPr>
        <w:rPr>
          <w:sz w:val="24"/>
          <w:szCs w:val="24"/>
        </w:rPr>
      </w:pPr>
    </w:p>
    <w:p w:rsidR="004F75D0" w:rsidRDefault="004F75D0" w:rsidP="00D63105">
      <w:pPr>
        <w:rPr>
          <w:sz w:val="24"/>
          <w:szCs w:val="24"/>
        </w:rPr>
      </w:pPr>
    </w:p>
    <w:p w:rsidR="004F75D0" w:rsidRDefault="004F75D0" w:rsidP="00D63105">
      <w:pPr>
        <w:rPr>
          <w:sz w:val="24"/>
          <w:szCs w:val="24"/>
        </w:rPr>
      </w:pPr>
    </w:p>
    <w:p w:rsidR="004F75D0" w:rsidRDefault="004F75D0" w:rsidP="00D63105">
      <w:pPr>
        <w:rPr>
          <w:sz w:val="24"/>
          <w:szCs w:val="24"/>
        </w:rPr>
      </w:pPr>
    </w:p>
    <w:p w:rsidR="004F75D0" w:rsidRDefault="004F75D0" w:rsidP="00D63105">
      <w:pPr>
        <w:rPr>
          <w:sz w:val="24"/>
          <w:szCs w:val="24"/>
        </w:rPr>
      </w:pPr>
    </w:p>
    <w:p w:rsidR="004F75D0" w:rsidRPr="00C42FA3" w:rsidRDefault="004F75D0" w:rsidP="00E93D31">
      <w:pPr>
        <w:pStyle w:val="Heading2"/>
        <w:pBdr>
          <w:bottom w:val="single" w:sz="4" w:space="1" w:color="auto"/>
        </w:pBdr>
      </w:pPr>
      <w:bookmarkStart w:id="52" w:name="_Toc274041027"/>
      <w:r w:rsidRPr="00C42FA3">
        <w:t>References</w:t>
      </w:r>
      <w:bookmarkEnd w:id="52"/>
    </w:p>
    <w:p w:rsidR="004F75D0" w:rsidRDefault="004F75D0" w:rsidP="00F649B2">
      <w:pPr>
        <w:pStyle w:val="ListParagraph"/>
        <w:rPr>
          <w:b/>
          <w:sz w:val="28"/>
          <w:szCs w:val="28"/>
          <w:u w:val="single"/>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F649B2">
        <w:rPr>
          <w:rFonts w:cs="Calibri"/>
          <w:sz w:val="24"/>
          <w:szCs w:val="24"/>
        </w:rPr>
        <w:t xml:space="preserve">Artis, M. and Zhang, W. (1997) International business cycles and the ERM: is there a </w:t>
      </w:r>
      <w:r>
        <w:rPr>
          <w:rFonts w:cs="Calibri"/>
          <w:sz w:val="24"/>
          <w:szCs w:val="24"/>
        </w:rPr>
        <w:t>E</w:t>
      </w:r>
      <w:r w:rsidRPr="00F649B2">
        <w:rPr>
          <w:rFonts w:cs="Calibri"/>
          <w:sz w:val="24"/>
          <w:szCs w:val="24"/>
        </w:rPr>
        <w:t>uropean business cycle?</w:t>
      </w:r>
      <w:r>
        <w:rPr>
          <w:rFonts w:cs="Calibri"/>
          <w:sz w:val="24"/>
          <w:szCs w:val="24"/>
        </w:rPr>
        <w:t xml:space="preserve">, </w:t>
      </w:r>
      <w:r w:rsidRPr="00F649B2">
        <w:rPr>
          <w:rFonts w:cs="Calibri"/>
          <w:sz w:val="24"/>
          <w:szCs w:val="24"/>
        </w:rPr>
        <w:t>International Journal of Finance and Economics 2, 1-16.</w:t>
      </w:r>
    </w:p>
    <w:p w:rsidR="004F75D0" w:rsidRPr="00F649B2" w:rsidRDefault="004F75D0" w:rsidP="00CB6330">
      <w:pPr>
        <w:pStyle w:val="ListParagraph"/>
        <w:autoSpaceDE w:val="0"/>
        <w:autoSpaceDN w:val="0"/>
        <w:adjustRightInd w:val="0"/>
        <w:spacing w:after="0" w:line="240" w:lineRule="auto"/>
        <w:rPr>
          <w:rFonts w:cs="Calibri"/>
          <w:sz w:val="24"/>
          <w:szCs w:val="24"/>
        </w:rPr>
      </w:pPr>
    </w:p>
    <w:p w:rsidR="004F75D0" w:rsidRPr="00CB6330" w:rsidRDefault="004F75D0" w:rsidP="00CB6330">
      <w:pPr>
        <w:pStyle w:val="ListParagraph"/>
        <w:numPr>
          <w:ilvl w:val="0"/>
          <w:numId w:val="21"/>
        </w:numPr>
        <w:autoSpaceDE w:val="0"/>
        <w:autoSpaceDN w:val="0"/>
        <w:adjustRightInd w:val="0"/>
        <w:spacing w:after="0" w:line="240" w:lineRule="auto"/>
        <w:rPr>
          <w:rFonts w:cs="Calibri"/>
          <w:sz w:val="24"/>
          <w:szCs w:val="24"/>
        </w:rPr>
      </w:pPr>
      <w:r w:rsidRPr="00CB6330">
        <w:rPr>
          <w:rFonts w:cs="Calibri"/>
          <w:sz w:val="24"/>
          <w:szCs w:val="24"/>
        </w:rPr>
        <w:t xml:space="preserve"> Artis, M. and Zhang, W. (1999) Further evidence on the international business cycle and the ERM: is t</w:t>
      </w:r>
      <w:r>
        <w:rPr>
          <w:rFonts w:cs="Calibri"/>
          <w:sz w:val="24"/>
          <w:szCs w:val="24"/>
        </w:rPr>
        <w:t xml:space="preserve">here a European business cycle?, </w:t>
      </w:r>
      <w:r w:rsidRPr="00CB6330">
        <w:rPr>
          <w:rFonts w:cs="Calibri"/>
          <w:sz w:val="24"/>
          <w:szCs w:val="24"/>
        </w:rPr>
        <w:t>Oxford Economic Papers 51, 120-132.</w:t>
      </w:r>
    </w:p>
    <w:p w:rsidR="004F75D0" w:rsidRPr="00F649B2" w:rsidRDefault="004F75D0" w:rsidP="00CB6330">
      <w:pPr>
        <w:pStyle w:val="ListParagraph"/>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F649B2">
        <w:rPr>
          <w:rFonts w:cs="Calibri"/>
          <w:sz w:val="24"/>
          <w:szCs w:val="24"/>
        </w:rPr>
        <w:t>Baxter, M. and Kouparitsas, M. (2005) Determinants of business cycle co movement:</w:t>
      </w:r>
      <w:r>
        <w:rPr>
          <w:rFonts w:cs="Calibri"/>
          <w:sz w:val="24"/>
          <w:szCs w:val="24"/>
        </w:rPr>
        <w:t xml:space="preserve"> </w:t>
      </w:r>
      <w:r w:rsidRPr="00F649B2">
        <w:rPr>
          <w:rFonts w:cs="Calibri"/>
          <w:sz w:val="24"/>
          <w:szCs w:val="24"/>
        </w:rPr>
        <w:t>a robust analysis, Journal of Monetary Economics 52, 113-157.</w:t>
      </w:r>
    </w:p>
    <w:p w:rsidR="004F75D0" w:rsidRPr="00F649B2" w:rsidRDefault="004F75D0" w:rsidP="00CB6330">
      <w:pPr>
        <w:pStyle w:val="ListParagraph"/>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F649B2">
        <w:rPr>
          <w:rFonts w:cs="Calibri"/>
          <w:sz w:val="24"/>
          <w:szCs w:val="24"/>
        </w:rPr>
        <w:t>Doyle, B. and Faust, J. (2005) Breaks in the variability and co movement of G-7</w:t>
      </w:r>
      <w:r>
        <w:rPr>
          <w:rFonts w:cs="Calibri"/>
          <w:sz w:val="24"/>
          <w:szCs w:val="24"/>
        </w:rPr>
        <w:t xml:space="preserve"> </w:t>
      </w:r>
      <w:r w:rsidRPr="00F649B2">
        <w:rPr>
          <w:rFonts w:cs="Calibri"/>
          <w:sz w:val="24"/>
          <w:szCs w:val="24"/>
        </w:rPr>
        <w:t>economic growth, Review of Economics and Statistics 87, 721-740.</w:t>
      </w:r>
    </w:p>
    <w:p w:rsidR="004F75D0" w:rsidRPr="00F649B2" w:rsidRDefault="004F75D0" w:rsidP="00CB6330">
      <w:pPr>
        <w:pStyle w:val="ListParagraph"/>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F649B2">
        <w:rPr>
          <w:rFonts w:cs="Calibri"/>
          <w:sz w:val="24"/>
          <w:szCs w:val="24"/>
        </w:rPr>
        <w:t>Fidrmuc, J. and Korhonen, I. (2006), Meta-analysis of the business cycle correlation between the euro area and the CEECs, Journal of Comparative Economics 34, 518-537.</w:t>
      </w:r>
    </w:p>
    <w:p w:rsidR="004F75D0" w:rsidRPr="00F649B2" w:rsidRDefault="004F75D0" w:rsidP="00CB6330">
      <w:pPr>
        <w:pStyle w:val="ListParagraph"/>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F649B2">
        <w:rPr>
          <w:rFonts w:cs="Calibri"/>
          <w:sz w:val="24"/>
          <w:szCs w:val="24"/>
        </w:rPr>
        <w:t>Flood, R. and Rose, A. (2009), In</w:t>
      </w:r>
      <w:r>
        <w:rPr>
          <w:rFonts w:cs="Calibri"/>
          <w:sz w:val="24"/>
          <w:szCs w:val="24"/>
        </w:rPr>
        <w:t>fl</w:t>
      </w:r>
      <w:r w:rsidRPr="00F649B2">
        <w:rPr>
          <w:rFonts w:cs="Calibri"/>
          <w:sz w:val="24"/>
          <w:szCs w:val="24"/>
        </w:rPr>
        <w:t>ation targeting and business cycle synchronization,</w:t>
      </w:r>
      <w:r>
        <w:rPr>
          <w:rFonts w:cs="Calibri"/>
          <w:sz w:val="24"/>
          <w:szCs w:val="24"/>
        </w:rPr>
        <w:t xml:space="preserve"> </w:t>
      </w:r>
      <w:r w:rsidRPr="00F649B2">
        <w:rPr>
          <w:rFonts w:cs="Calibri"/>
          <w:sz w:val="24"/>
          <w:szCs w:val="24"/>
        </w:rPr>
        <w:t>CEPR Working Paper 7377.</w:t>
      </w:r>
    </w:p>
    <w:p w:rsidR="004F75D0" w:rsidRPr="00CB6330" w:rsidRDefault="004F75D0" w:rsidP="00CB6330">
      <w:pPr>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Pr>
          <w:rFonts w:cs="Calibri"/>
          <w:sz w:val="24"/>
          <w:szCs w:val="24"/>
        </w:rPr>
        <w:t xml:space="preserve">Frankel, J. and Rose, A. (1998) </w:t>
      </w:r>
      <w:r w:rsidRPr="00F649B2">
        <w:rPr>
          <w:rFonts w:cs="Calibri"/>
          <w:sz w:val="24"/>
          <w:szCs w:val="24"/>
        </w:rPr>
        <w:t>The endogeneity of the optimum currency area criteria,</w:t>
      </w:r>
      <w:r>
        <w:rPr>
          <w:rFonts w:cs="Calibri"/>
          <w:sz w:val="24"/>
          <w:szCs w:val="24"/>
        </w:rPr>
        <w:t xml:space="preserve"> </w:t>
      </w:r>
      <w:r w:rsidRPr="00F649B2">
        <w:rPr>
          <w:rFonts w:cs="Calibri"/>
          <w:sz w:val="24"/>
          <w:szCs w:val="24"/>
        </w:rPr>
        <w:t>The Economic Journal 108, 1009-1025.</w:t>
      </w:r>
    </w:p>
    <w:p w:rsidR="004F75D0" w:rsidRPr="00CB6330" w:rsidRDefault="004F75D0" w:rsidP="00CB6330">
      <w:pPr>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F649B2">
        <w:rPr>
          <w:rFonts w:cs="Calibri"/>
          <w:sz w:val="24"/>
          <w:szCs w:val="24"/>
        </w:rPr>
        <w:t xml:space="preserve">Imbs, J. (2004) Trade, Finance, specialization, and synchronization, </w:t>
      </w:r>
      <w:r>
        <w:rPr>
          <w:rFonts w:cs="Calibri"/>
          <w:sz w:val="24"/>
          <w:szCs w:val="24"/>
        </w:rPr>
        <w:t>Review of Eco</w:t>
      </w:r>
      <w:r w:rsidRPr="00F649B2">
        <w:rPr>
          <w:rFonts w:cs="Calibri"/>
          <w:sz w:val="24"/>
          <w:szCs w:val="24"/>
        </w:rPr>
        <w:t>nomics and Statistics 86, 723-734.</w:t>
      </w:r>
    </w:p>
    <w:p w:rsidR="004F75D0" w:rsidRPr="00CB6330" w:rsidRDefault="004F75D0" w:rsidP="00CB6330">
      <w:pPr>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F649B2">
        <w:rPr>
          <w:rFonts w:cs="Calibri"/>
          <w:sz w:val="24"/>
          <w:szCs w:val="24"/>
        </w:rPr>
        <w:t xml:space="preserve"> Imbs, J. (20</w:t>
      </w:r>
      <w:r>
        <w:rPr>
          <w:rFonts w:cs="Calibri"/>
          <w:sz w:val="24"/>
          <w:szCs w:val="24"/>
        </w:rPr>
        <w:t xml:space="preserve">06) </w:t>
      </w:r>
      <w:r w:rsidRPr="00F649B2">
        <w:rPr>
          <w:rFonts w:cs="Calibri"/>
          <w:sz w:val="24"/>
          <w:szCs w:val="24"/>
        </w:rPr>
        <w:t>The real effects of financial integration, Journal of Inte</w:t>
      </w:r>
      <w:r>
        <w:rPr>
          <w:rFonts w:cs="Calibri"/>
          <w:sz w:val="24"/>
          <w:szCs w:val="24"/>
        </w:rPr>
        <w:t>rnational Eco</w:t>
      </w:r>
      <w:r w:rsidRPr="00F649B2">
        <w:rPr>
          <w:rFonts w:cs="Calibri"/>
          <w:sz w:val="24"/>
          <w:szCs w:val="24"/>
        </w:rPr>
        <w:t>nomics 68, 296-324.</w:t>
      </w:r>
    </w:p>
    <w:p w:rsidR="004F75D0" w:rsidRPr="00CB6330" w:rsidRDefault="004F75D0" w:rsidP="00CB6330">
      <w:pPr>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F649B2">
        <w:rPr>
          <w:rFonts w:cs="Calibri"/>
          <w:sz w:val="24"/>
          <w:szCs w:val="24"/>
        </w:rPr>
        <w:t xml:space="preserve"> Inklaar, R. and de Haan, J. (2001) Is there really a European business cycle? A</w:t>
      </w:r>
      <w:r>
        <w:rPr>
          <w:rFonts w:cs="Calibri"/>
          <w:sz w:val="24"/>
          <w:szCs w:val="24"/>
        </w:rPr>
        <w:t xml:space="preserve"> </w:t>
      </w:r>
      <w:r w:rsidRPr="00F649B2">
        <w:rPr>
          <w:rFonts w:cs="Calibri"/>
          <w:sz w:val="24"/>
          <w:szCs w:val="24"/>
        </w:rPr>
        <w:t>comment, Oxford Economic Papers 53, 215-220.</w:t>
      </w:r>
    </w:p>
    <w:p w:rsidR="004F75D0" w:rsidRPr="00CB6330" w:rsidRDefault="004F75D0" w:rsidP="00CB6330">
      <w:pPr>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F649B2">
        <w:rPr>
          <w:rFonts w:cs="Calibri"/>
          <w:sz w:val="24"/>
          <w:szCs w:val="24"/>
        </w:rPr>
        <w:t>Kose, M., Prasad, E. and Terrones, M. (2003) How does globalization affect the synchronization</w:t>
      </w:r>
      <w:r>
        <w:rPr>
          <w:rFonts w:cs="Calibri"/>
          <w:sz w:val="24"/>
          <w:szCs w:val="24"/>
        </w:rPr>
        <w:t xml:space="preserve"> </w:t>
      </w:r>
      <w:r w:rsidRPr="00F649B2">
        <w:rPr>
          <w:rFonts w:cs="Calibri"/>
          <w:sz w:val="24"/>
          <w:szCs w:val="24"/>
        </w:rPr>
        <w:t>of business cycles?</w:t>
      </w:r>
      <w:r>
        <w:rPr>
          <w:rFonts w:cs="Calibri"/>
          <w:sz w:val="24"/>
          <w:szCs w:val="24"/>
        </w:rPr>
        <w:t xml:space="preserve"> </w:t>
      </w:r>
      <w:r w:rsidRPr="00F649B2">
        <w:rPr>
          <w:rFonts w:cs="Calibri"/>
          <w:sz w:val="24"/>
          <w:szCs w:val="24"/>
        </w:rPr>
        <w:t>, American Economic Review 93, 57-62.</w:t>
      </w:r>
    </w:p>
    <w:p w:rsidR="004F75D0" w:rsidRPr="00CB6330" w:rsidRDefault="004F75D0" w:rsidP="00CB6330">
      <w:pPr>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F649B2">
        <w:rPr>
          <w:rFonts w:cs="Calibri"/>
          <w:sz w:val="24"/>
          <w:szCs w:val="24"/>
        </w:rPr>
        <w:t>Kose, A., Otrok, C. and Prasad, E. (2008) Global business cycles: convergence or</w:t>
      </w:r>
      <w:r>
        <w:rPr>
          <w:rFonts w:cs="Calibri"/>
          <w:sz w:val="24"/>
          <w:szCs w:val="24"/>
        </w:rPr>
        <w:t xml:space="preserve"> </w:t>
      </w:r>
      <w:r w:rsidRPr="00F649B2">
        <w:rPr>
          <w:rFonts w:cs="Calibri"/>
          <w:sz w:val="24"/>
          <w:szCs w:val="24"/>
        </w:rPr>
        <w:t>decoupling?</w:t>
      </w:r>
      <w:r>
        <w:rPr>
          <w:rFonts w:cs="Calibri"/>
          <w:sz w:val="24"/>
          <w:szCs w:val="24"/>
        </w:rPr>
        <w:t xml:space="preserve"> </w:t>
      </w:r>
      <w:r w:rsidRPr="00F649B2">
        <w:rPr>
          <w:rFonts w:cs="Calibri"/>
          <w:sz w:val="24"/>
          <w:szCs w:val="24"/>
        </w:rPr>
        <w:t>, NBER Working Paper 14292.</w:t>
      </w:r>
    </w:p>
    <w:p w:rsidR="004F75D0" w:rsidRPr="00CB6330" w:rsidRDefault="004F75D0" w:rsidP="00CB6330">
      <w:pPr>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Pr>
          <w:rFonts w:cs="Calibri"/>
          <w:sz w:val="24"/>
          <w:szCs w:val="24"/>
        </w:rPr>
        <w:t xml:space="preserve">Levy-Yeyati, E. (2009), On </w:t>
      </w:r>
      <w:r w:rsidRPr="00F649B2">
        <w:rPr>
          <w:rFonts w:cs="Calibri"/>
          <w:sz w:val="24"/>
          <w:szCs w:val="24"/>
        </w:rPr>
        <w:t>emerging markets decoupling and growth convergence,</w:t>
      </w:r>
      <w:r>
        <w:rPr>
          <w:rFonts w:cs="Calibri"/>
          <w:sz w:val="24"/>
          <w:szCs w:val="24"/>
        </w:rPr>
        <w:t xml:space="preserve"> </w:t>
      </w:r>
      <w:r w:rsidRPr="00F649B2">
        <w:rPr>
          <w:rFonts w:cs="Calibri"/>
          <w:sz w:val="24"/>
          <w:szCs w:val="24"/>
        </w:rPr>
        <w:t>VoxEU.org.</w:t>
      </w:r>
    </w:p>
    <w:p w:rsidR="004F75D0" w:rsidRPr="00CB6330" w:rsidRDefault="004F75D0" w:rsidP="00CB6330">
      <w:pPr>
        <w:pStyle w:val="ListParagraph"/>
        <w:rPr>
          <w:rFonts w:cs="Calibri"/>
          <w:sz w:val="24"/>
          <w:szCs w:val="24"/>
        </w:rPr>
      </w:pPr>
    </w:p>
    <w:p w:rsidR="004F75D0" w:rsidRPr="00CB6330" w:rsidRDefault="004F75D0" w:rsidP="00CB6330">
      <w:pPr>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CB6330">
        <w:rPr>
          <w:rFonts w:cs="Calibri"/>
          <w:sz w:val="24"/>
          <w:szCs w:val="24"/>
        </w:rPr>
        <w:t>Mink, M., Jacobs, J. and de Haan, J. (2007) Measuring synchronicity and co movement</w:t>
      </w:r>
      <w:r>
        <w:rPr>
          <w:rFonts w:cs="Calibri"/>
          <w:sz w:val="24"/>
          <w:szCs w:val="24"/>
        </w:rPr>
        <w:t xml:space="preserve"> </w:t>
      </w:r>
      <w:r w:rsidRPr="00CB6330">
        <w:rPr>
          <w:rFonts w:cs="Calibri"/>
          <w:sz w:val="24"/>
          <w:szCs w:val="24"/>
        </w:rPr>
        <w:t>of business cycles with an application to the euro area, CESifo Working Paper 2112.</w:t>
      </w:r>
    </w:p>
    <w:p w:rsidR="004F75D0" w:rsidRPr="00CB6330" w:rsidRDefault="004F75D0" w:rsidP="00CB6330">
      <w:pPr>
        <w:pStyle w:val="ListParagraph"/>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CB6330">
        <w:rPr>
          <w:rFonts w:cs="Calibri"/>
          <w:sz w:val="24"/>
          <w:szCs w:val="24"/>
        </w:rPr>
        <w:t xml:space="preserve">Ravn, M. and Uhlig, H. (2002) On </w:t>
      </w:r>
      <w:r>
        <w:rPr>
          <w:rFonts w:cs="Calibri"/>
          <w:sz w:val="24"/>
          <w:szCs w:val="24"/>
        </w:rPr>
        <w:t>adjusting the Hodrick-Prescott fi</w:t>
      </w:r>
      <w:r w:rsidRPr="00CB6330">
        <w:rPr>
          <w:rFonts w:cs="Calibri"/>
          <w:sz w:val="24"/>
          <w:szCs w:val="24"/>
        </w:rPr>
        <w:t>lter for the frequency</w:t>
      </w:r>
      <w:r>
        <w:rPr>
          <w:rFonts w:cs="Calibri"/>
          <w:sz w:val="24"/>
          <w:szCs w:val="24"/>
        </w:rPr>
        <w:t xml:space="preserve"> </w:t>
      </w:r>
      <w:r w:rsidRPr="00CB6330">
        <w:rPr>
          <w:rFonts w:cs="Calibri"/>
          <w:sz w:val="24"/>
          <w:szCs w:val="24"/>
        </w:rPr>
        <w:t>of observations, Review of Economics and Statistics 84, 371-375.</w:t>
      </w:r>
    </w:p>
    <w:p w:rsidR="004F75D0" w:rsidRPr="00CB6330" w:rsidRDefault="004F75D0" w:rsidP="00CB6330">
      <w:pPr>
        <w:autoSpaceDE w:val="0"/>
        <w:autoSpaceDN w:val="0"/>
        <w:adjustRightInd w:val="0"/>
        <w:spacing w:after="0" w:line="240" w:lineRule="auto"/>
        <w:rPr>
          <w:rFonts w:cs="Calibri"/>
          <w:sz w:val="24"/>
          <w:szCs w:val="24"/>
        </w:rPr>
      </w:pPr>
    </w:p>
    <w:p w:rsidR="004F75D0" w:rsidRDefault="004F75D0" w:rsidP="00F649B2">
      <w:pPr>
        <w:pStyle w:val="ListParagraph"/>
        <w:numPr>
          <w:ilvl w:val="0"/>
          <w:numId w:val="21"/>
        </w:numPr>
        <w:autoSpaceDE w:val="0"/>
        <w:autoSpaceDN w:val="0"/>
        <w:adjustRightInd w:val="0"/>
        <w:spacing w:after="0" w:line="240" w:lineRule="auto"/>
        <w:rPr>
          <w:rFonts w:cs="Calibri"/>
          <w:sz w:val="24"/>
          <w:szCs w:val="24"/>
        </w:rPr>
      </w:pPr>
      <w:r w:rsidRPr="00CB6330">
        <w:rPr>
          <w:rFonts w:cs="Calibri"/>
          <w:sz w:val="24"/>
          <w:szCs w:val="24"/>
        </w:rPr>
        <w:t>Rose, A. and Engel, C. (2002) Currency unions and international integration, Journal</w:t>
      </w:r>
      <w:r>
        <w:rPr>
          <w:rFonts w:cs="Calibri"/>
          <w:sz w:val="24"/>
          <w:szCs w:val="24"/>
        </w:rPr>
        <w:t xml:space="preserve"> </w:t>
      </w:r>
      <w:r w:rsidRPr="00CB6330">
        <w:rPr>
          <w:rFonts w:cs="Calibri"/>
          <w:sz w:val="24"/>
          <w:szCs w:val="24"/>
        </w:rPr>
        <w:t>of Money, Credit and Banking 34, 1067-1089.</w:t>
      </w:r>
    </w:p>
    <w:p w:rsidR="004F75D0" w:rsidRPr="00CB6330" w:rsidRDefault="004F75D0" w:rsidP="00CB6330">
      <w:pPr>
        <w:autoSpaceDE w:val="0"/>
        <w:autoSpaceDN w:val="0"/>
        <w:adjustRightInd w:val="0"/>
        <w:spacing w:after="0" w:line="240" w:lineRule="auto"/>
        <w:rPr>
          <w:rFonts w:cs="Calibri"/>
          <w:sz w:val="24"/>
          <w:szCs w:val="24"/>
        </w:rPr>
      </w:pPr>
    </w:p>
    <w:p w:rsidR="004F75D0" w:rsidRDefault="004F75D0" w:rsidP="00CB6330">
      <w:pPr>
        <w:pStyle w:val="ListParagraph"/>
        <w:numPr>
          <w:ilvl w:val="0"/>
          <w:numId w:val="21"/>
        </w:numPr>
        <w:autoSpaceDE w:val="0"/>
        <w:autoSpaceDN w:val="0"/>
        <w:adjustRightInd w:val="0"/>
        <w:spacing w:after="0" w:line="240" w:lineRule="auto"/>
        <w:rPr>
          <w:rFonts w:cs="Calibri"/>
          <w:sz w:val="24"/>
          <w:szCs w:val="24"/>
        </w:rPr>
      </w:pPr>
      <w:r w:rsidRPr="00CB6330">
        <w:rPr>
          <w:rFonts w:cs="Calibri"/>
          <w:sz w:val="24"/>
          <w:szCs w:val="24"/>
        </w:rPr>
        <w:t>Walti, S. (2009), The myth of decoupling, manuscript, Swiss National Bank.</w:t>
      </w:r>
    </w:p>
    <w:p w:rsidR="004F75D0" w:rsidRPr="00CB6330" w:rsidRDefault="004F75D0" w:rsidP="00CB6330">
      <w:pPr>
        <w:pStyle w:val="ListParagraph"/>
        <w:rPr>
          <w:rFonts w:cs="Calibri"/>
          <w:sz w:val="24"/>
          <w:szCs w:val="24"/>
        </w:rPr>
      </w:pPr>
    </w:p>
    <w:p w:rsidR="004F75D0" w:rsidRDefault="004F75D0" w:rsidP="00CB6330">
      <w:pPr>
        <w:pStyle w:val="ListParagraph"/>
        <w:numPr>
          <w:ilvl w:val="0"/>
          <w:numId w:val="21"/>
        </w:numPr>
        <w:autoSpaceDE w:val="0"/>
        <w:autoSpaceDN w:val="0"/>
        <w:adjustRightInd w:val="0"/>
        <w:spacing w:after="0" w:line="240" w:lineRule="auto"/>
        <w:rPr>
          <w:rFonts w:cs="Calibri"/>
          <w:sz w:val="24"/>
          <w:szCs w:val="24"/>
        </w:rPr>
      </w:pPr>
      <w:r w:rsidRPr="00CB6330">
        <w:rPr>
          <w:rFonts w:cs="Calibri"/>
          <w:sz w:val="24"/>
          <w:szCs w:val="24"/>
        </w:rPr>
        <w:t>Walti, S. (2010), No decoupling, more interdependence: business cycle co movements between</w:t>
      </w:r>
      <w:r>
        <w:rPr>
          <w:rFonts w:cs="Calibri"/>
          <w:sz w:val="24"/>
          <w:szCs w:val="24"/>
        </w:rPr>
        <w:t xml:space="preserve"> </w:t>
      </w:r>
      <w:r w:rsidRPr="00CB6330">
        <w:rPr>
          <w:rFonts w:cs="Calibri"/>
          <w:sz w:val="24"/>
          <w:szCs w:val="24"/>
        </w:rPr>
        <w:t>advanced and emerging economies</w:t>
      </w:r>
      <w:r>
        <w:rPr>
          <w:rFonts w:cs="Calibri"/>
          <w:sz w:val="24"/>
          <w:szCs w:val="24"/>
        </w:rPr>
        <w:t>, Swiss National Bank.</w:t>
      </w:r>
    </w:p>
    <w:p w:rsidR="004F75D0" w:rsidRPr="00421A07" w:rsidRDefault="004F75D0" w:rsidP="00421A07">
      <w:pPr>
        <w:pStyle w:val="ListParagraph"/>
        <w:rPr>
          <w:rFonts w:cs="Calibri"/>
          <w:sz w:val="24"/>
          <w:szCs w:val="24"/>
        </w:rPr>
      </w:pPr>
    </w:p>
    <w:p w:rsidR="004F75D0" w:rsidRDefault="004F75D0" w:rsidP="00421A07">
      <w:pPr>
        <w:pStyle w:val="ListParagraph"/>
        <w:numPr>
          <w:ilvl w:val="0"/>
          <w:numId w:val="21"/>
        </w:numPr>
        <w:autoSpaceDE w:val="0"/>
        <w:autoSpaceDN w:val="0"/>
        <w:adjustRightInd w:val="0"/>
        <w:spacing w:after="0" w:line="240" w:lineRule="auto"/>
        <w:rPr>
          <w:rFonts w:cs="Calibri"/>
          <w:sz w:val="24"/>
          <w:szCs w:val="24"/>
        </w:rPr>
      </w:pPr>
      <w:r>
        <w:rPr>
          <w:rFonts w:cs="Calibri"/>
          <w:sz w:val="24"/>
          <w:szCs w:val="24"/>
        </w:rPr>
        <w:t xml:space="preserve">  </w:t>
      </w:r>
      <w:hyperlink r:id="rId32" w:history="1">
        <w:r>
          <w:rPr>
            <w:rStyle w:val="Hyperlink"/>
          </w:rPr>
          <w:t>http://www.imf.org/external/index.htm</w:t>
        </w:r>
      </w:hyperlink>
    </w:p>
    <w:p w:rsidR="004F75D0" w:rsidRPr="00421A07" w:rsidRDefault="004F75D0" w:rsidP="00421A07">
      <w:pPr>
        <w:pStyle w:val="ListParagraph"/>
        <w:rPr>
          <w:rFonts w:cs="Calibri"/>
          <w:sz w:val="24"/>
          <w:szCs w:val="24"/>
        </w:rPr>
      </w:pPr>
    </w:p>
    <w:p w:rsidR="004F75D0" w:rsidRPr="00421A07" w:rsidRDefault="004F75D0" w:rsidP="00CB6330">
      <w:pPr>
        <w:pStyle w:val="ListParagraph"/>
        <w:numPr>
          <w:ilvl w:val="0"/>
          <w:numId w:val="21"/>
        </w:numPr>
        <w:autoSpaceDE w:val="0"/>
        <w:autoSpaceDN w:val="0"/>
        <w:adjustRightInd w:val="0"/>
        <w:spacing w:after="0" w:line="240" w:lineRule="auto"/>
        <w:rPr>
          <w:rFonts w:cs="Calibri"/>
          <w:sz w:val="24"/>
          <w:szCs w:val="24"/>
        </w:rPr>
      </w:pPr>
      <w:r>
        <w:t xml:space="preserve"> </w:t>
      </w:r>
      <w:hyperlink r:id="rId33" w:history="1">
        <w:r>
          <w:rPr>
            <w:rStyle w:val="Hyperlink"/>
          </w:rPr>
          <w:t>http://www.wikipedia.org/</w:t>
        </w:r>
      </w:hyperlink>
    </w:p>
    <w:p w:rsidR="004F75D0" w:rsidRPr="00421A07" w:rsidRDefault="004F75D0" w:rsidP="00421A07">
      <w:pPr>
        <w:pStyle w:val="ListParagraph"/>
        <w:rPr>
          <w:rFonts w:cs="Calibri"/>
          <w:sz w:val="24"/>
          <w:szCs w:val="24"/>
        </w:rPr>
      </w:pPr>
    </w:p>
    <w:p w:rsidR="004F75D0" w:rsidRDefault="004F75D0" w:rsidP="00F649B2">
      <w:pPr>
        <w:pStyle w:val="ListParagraph"/>
        <w:rPr>
          <w:rFonts w:cs="Calibri"/>
          <w:b/>
          <w:sz w:val="28"/>
          <w:szCs w:val="28"/>
          <w:u w:val="single"/>
        </w:rPr>
      </w:pPr>
    </w:p>
    <w:p w:rsidR="004F75D0" w:rsidRDefault="004F75D0" w:rsidP="00F649B2">
      <w:pPr>
        <w:pStyle w:val="ListParagraph"/>
        <w:rPr>
          <w:rFonts w:cs="Calibri"/>
          <w:b/>
          <w:sz w:val="28"/>
          <w:szCs w:val="28"/>
          <w:u w:val="single"/>
        </w:rPr>
      </w:pPr>
    </w:p>
    <w:p w:rsidR="004F75D0" w:rsidRDefault="004F75D0" w:rsidP="00F649B2">
      <w:pPr>
        <w:pStyle w:val="ListParagraph"/>
        <w:rPr>
          <w:rFonts w:cs="Calibri"/>
          <w:b/>
          <w:sz w:val="28"/>
          <w:szCs w:val="28"/>
          <w:u w:val="single"/>
        </w:rPr>
      </w:pPr>
    </w:p>
    <w:p w:rsidR="004F75D0" w:rsidRDefault="004F75D0" w:rsidP="00F649B2">
      <w:pPr>
        <w:pStyle w:val="ListParagraph"/>
        <w:rPr>
          <w:rFonts w:cs="Calibri"/>
          <w:b/>
          <w:sz w:val="28"/>
          <w:szCs w:val="28"/>
          <w:u w:val="single"/>
        </w:rPr>
      </w:pPr>
    </w:p>
    <w:p w:rsidR="004F75D0" w:rsidRDefault="004F75D0" w:rsidP="00F649B2">
      <w:pPr>
        <w:pStyle w:val="ListParagraph"/>
        <w:rPr>
          <w:rFonts w:cs="Calibri"/>
          <w:b/>
          <w:sz w:val="28"/>
          <w:szCs w:val="28"/>
          <w:u w:val="single"/>
        </w:rPr>
      </w:pPr>
    </w:p>
    <w:p w:rsidR="004F75D0" w:rsidRDefault="004F75D0" w:rsidP="00F649B2">
      <w:pPr>
        <w:pStyle w:val="ListParagraph"/>
        <w:rPr>
          <w:rFonts w:cs="Calibri"/>
          <w:b/>
          <w:sz w:val="28"/>
          <w:szCs w:val="28"/>
          <w:u w:val="single"/>
        </w:rPr>
      </w:pPr>
    </w:p>
    <w:p w:rsidR="004F75D0" w:rsidRDefault="004F75D0" w:rsidP="00F649B2">
      <w:pPr>
        <w:pStyle w:val="ListParagraph"/>
        <w:rPr>
          <w:rFonts w:cs="Calibri"/>
          <w:b/>
          <w:sz w:val="28"/>
          <w:szCs w:val="28"/>
          <w:u w:val="single"/>
        </w:rPr>
      </w:pPr>
    </w:p>
    <w:p w:rsidR="004F75D0" w:rsidRDefault="004F75D0" w:rsidP="00F649B2">
      <w:pPr>
        <w:pStyle w:val="ListParagraph"/>
        <w:rPr>
          <w:rFonts w:cs="Calibri"/>
          <w:b/>
          <w:sz w:val="28"/>
          <w:szCs w:val="28"/>
          <w:u w:val="single"/>
        </w:rPr>
      </w:pPr>
    </w:p>
    <w:p w:rsidR="004F75D0" w:rsidRDefault="004F75D0" w:rsidP="00F649B2">
      <w:pPr>
        <w:pStyle w:val="ListParagraph"/>
        <w:rPr>
          <w:rFonts w:cs="Calibri"/>
          <w:b/>
          <w:sz w:val="28"/>
          <w:szCs w:val="28"/>
          <w:u w:val="single"/>
        </w:rPr>
      </w:pPr>
    </w:p>
    <w:p w:rsidR="004F75D0" w:rsidRDefault="004F75D0" w:rsidP="00F649B2">
      <w:pPr>
        <w:pStyle w:val="ListParagraph"/>
        <w:rPr>
          <w:rFonts w:cs="Calibri"/>
          <w:b/>
          <w:sz w:val="28"/>
          <w:szCs w:val="28"/>
          <w:u w:val="single"/>
        </w:rPr>
      </w:pPr>
    </w:p>
    <w:p w:rsidR="004F75D0" w:rsidRPr="00051A32" w:rsidRDefault="004F75D0" w:rsidP="00051A32">
      <w:pPr>
        <w:rPr>
          <w:rFonts w:cs="Calibri"/>
          <w:b/>
          <w:sz w:val="28"/>
          <w:szCs w:val="28"/>
          <w:u w:val="single"/>
        </w:rPr>
      </w:pPr>
    </w:p>
    <w:p w:rsidR="004F75D0" w:rsidRDefault="004F75D0" w:rsidP="00F649B2">
      <w:pPr>
        <w:pStyle w:val="ListParagraph"/>
        <w:rPr>
          <w:rFonts w:cs="Calibri"/>
          <w:b/>
          <w:sz w:val="28"/>
          <w:szCs w:val="28"/>
          <w:u w:val="single"/>
        </w:rPr>
      </w:pPr>
    </w:p>
    <w:p w:rsidR="004F75D0" w:rsidRDefault="004F75D0" w:rsidP="00E93D31">
      <w:pPr>
        <w:pStyle w:val="Heading2"/>
        <w:pBdr>
          <w:bottom w:val="single" w:sz="4" w:space="1" w:color="auto"/>
        </w:pBdr>
      </w:pPr>
      <w:bookmarkStart w:id="53" w:name="_Toc274041028"/>
      <w:r w:rsidRPr="00C42FA3">
        <w:t>Appendix</w:t>
      </w:r>
      <w:bookmarkEnd w:id="53"/>
    </w:p>
    <w:p w:rsidR="004F75D0" w:rsidRDefault="004F75D0" w:rsidP="00EF6B7D"/>
    <w:p w:rsidR="004F75D0" w:rsidRDefault="004F75D0" w:rsidP="00EF6B7D"/>
    <w:tbl>
      <w:tblPr>
        <w:tblW w:w="8679" w:type="dxa"/>
        <w:jc w:val="center"/>
        <w:tblInd w:w="836" w:type="dxa"/>
        <w:tblLook w:val="00A0"/>
      </w:tblPr>
      <w:tblGrid>
        <w:gridCol w:w="1495"/>
        <w:gridCol w:w="1399"/>
        <w:gridCol w:w="1436"/>
        <w:gridCol w:w="1417"/>
        <w:gridCol w:w="1373"/>
        <w:gridCol w:w="1559"/>
      </w:tblGrid>
      <w:tr w:rsidR="004F75D0" w:rsidRPr="00EF6B7D" w:rsidTr="00926EB1">
        <w:trPr>
          <w:trHeight w:val="660"/>
          <w:jc w:val="center"/>
        </w:trPr>
        <w:tc>
          <w:tcPr>
            <w:tcW w:w="1495" w:type="dxa"/>
            <w:vMerge w:val="restart"/>
            <w:tcBorders>
              <w:top w:val="single" w:sz="4" w:space="0" w:color="auto"/>
              <w:left w:val="single" w:sz="4" w:space="0" w:color="auto"/>
              <w:bottom w:val="single" w:sz="4" w:space="0" w:color="000000"/>
              <w:right w:val="single" w:sz="4" w:space="0" w:color="auto"/>
            </w:tcBorders>
            <w:noWrap/>
            <w:textDirection w:val="btLr"/>
            <w:vAlign w:val="center"/>
          </w:tcPr>
          <w:p w:rsidR="004F75D0" w:rsidRPr="00EF6B7D" w:rsidRDefault="004F75D0" w:rsidP="00EF6B7D">
            <w:pPr>
              <w:spacing w:after="0" w:line="240" w:lineRule="auto"/>
              <w:jc w:val="center"/>
              <w:rPr>
                <w:rFonts w:cs="Calibri"/>
                <w:b/>
                <w:bCs/>
                <w:color w:val="000000"/>
              </w:rPr>
            </w:pPr>
            <w:r w:rsidRPr="00EF6B7D">
              <w:rPr>
                <w:rFonts w:cs="Calibri"/>
                <w:b/>
                <w:bCs/>
                <w:color w:val="000000"/>
              </w:rPr>
              <w:t>Euclidean distances between Brazil and groups of Advanced-market economies</w:t>
            </w:r>
          </w:p>
        </w:tc>
        <w:tc>
          <w:tcPr>
            <w:tcW w:w="1399" w:type="dxa"/>
            <w:tcBorders>
              <w:top w:val="single" w:sz="4" w:space="0" w:color="auto"/>
              <w:left w:val="nil"/>
              <w:bottom w:val="single" w:sz="4" w:space="0" w:color="auto"/>
              <w:right w:val="single" w:sz="4" w:space="0" w:color="auto"/>
            </w:tcBorders>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year</w:t>
            </w:r>
          </w:p>
        </w:tc>
        <w:tc>
          <w:tcPr>
            <w:tcW w:w="1436" w:type="dxa"/>
            <w:tcBorders>
              <w:top w:val="single" w:sz="4" w:space="0" w:color="auto"/>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U.S.A.</w:t>
            </w:r>
          </w:p>
        </w:tc>
        <w:tc>
          <w:tcPr>
            <w:tcW w:w="1417" w:type="dxa"/>
            <w:tcBorders>
              <w:top w:val="single" w:sz="4" w:space="0" w:color="auto"/>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 xml:space="preserve">E.U. </w:t>
            </w:r>
          </w:p>
        </w:tc>
        <w:tc>
          <w:tcPr>
            <w:tcW w:w="1373" w:type="dxa"/>
            <w:tcBorders>
              <w:top w:val="single" w:sz="4" w:space="0" w:color="auto"/>
              <w:left w:val="nil"/>
              <w:bottom w:val="single" w:sz="4" w:space="0" w:color="auto"/>
              <w:right w:val="single" w:sz="4" w:space="0" w:color="auto"/>
            </w:tcBorders>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Advanced economies</w:t>
            </w:r>
          </w:p>
        </w:tc>
        <w:tc>
          <w:tcPr>
            <w:tcW w:w="1559" w:type="dxa"/>
            <w:tcBorders>
              <w:top w:val="single" w:sz="4" w:space="0" w:color="auto"/>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G-7</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1980</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0,54</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1,51</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1,58</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1,50</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1981</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0,85</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0,10</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0,22</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0,04</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1982</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1,71</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0,57</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0,44</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0,83</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1983</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0,05</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0,16</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0,26</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0,11</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1984</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2,24</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0,12</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0,06</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0,19</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1985</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0,86</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1,72</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1,73</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1,85</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1986</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0,03</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0,62</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0,87</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0,73</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1987</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0,20</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0,24</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0,09</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0,22</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1988</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0,50</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0,36</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0,44</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0,65</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1989</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0,15</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1,13</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1,02</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0,91</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1990</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0,31</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0,26</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0,05</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0,12</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1991</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0,18</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1,05</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0,89</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1,14</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1992</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0,34</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1,78</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1,47</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1,70</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1993</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0,19</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0,48</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0,40</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0,60</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1994</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0,59</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0,10</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0,06</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0,01</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1995</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2,31</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0,30</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0,33</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0,52</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1996</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2,59</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0,86</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0,75</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1,10</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1997</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2,27</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1,78</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1,52</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1,78</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1998</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1,97</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1,53</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1,70</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1,73</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1999</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0,52</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0,21</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0,16</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0,22</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2000</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0,84</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0,94</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0,67</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0,57</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2001</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0,53</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0,41</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0,39</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0,32</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2002</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0,12</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0,29</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0,23</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0,22</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2003</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0,03</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1,23</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1,01</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1,10</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2004</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0,69</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1,46</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1,30</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1,49</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2005</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1,15</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0,63</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0,66</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0,74</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2006</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1,75</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0,20</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0,26</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0,32</w:t>
            </w:r>
          </w:p>
        </w:tc>
      </w:tr>
      <w:tr w:rsidR="004F75D0" w:rsidRPr="00EF6B7D" w:rsidTr="00926EB1">
        <w:trPr>
          <w:trHeight w:val="300"/>
          <w:jc w:val="center"/>
        </w:trPr>
        <w:tc>
          <w:tcPr>
            <w:tcW w:w="1495" w:type="dxa"/>
            <w:vMerge/>
            <w:tcBorders>
              <w:top w:val="single" w:sz="4" w:space="0" w:color="auto"/>
              <w:left w:val="single" w:sz="4" w:space="0" w:color="auto"/>
              <w:bottom w:val="single" w:sz="4" w:space="0" w:color="000000"/>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39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2007</w:t>
            </w:r>
          </w:p>
        </w:tc>
        <w:tc>
          <w:tcPr>
            <w:tcW w:w="1436"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1,82</w:t>
            </w:r>
          </w:p>
        </w:tc>
        <w:tc>
          <w:tcPr>
            <w:tcW w:w="141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0,30</w:t>
            </w:r>
          </w:p>
        </w:tc>
        <w:tc>
          <w:tcPr>
            <w:tcW w:w="137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0,39</w:t>
            </w:r>
          </w:p>
        </w:tc>
        <w:tc>
          <w:tcPr>
            <w:tcW w:w="155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0,34</w:t>
            </w:r>
          </w:p>
        </w:tc>
      </w:tr>
    </w:tbl>
    <w:p w:rsidR="004F75D0" w:rsidRDefault="004F75D0" w:rsidP="00EF6B7D">
      <w:pPr>
        <w:jc w:val="right"/>
      </w:pPr>
    </w:p>
    <w:p w:rsidR="004F75D0" w:rsidRDefault="004F75D0" w:rsidP="00EF6B7D">
      <w:pPr>
        <w:jc w:val="right"/>
      </w:pPr>
    </w:p>
    <w:p w:rsidR="004F75D0" w:rsidRDefault="004F75D0" w:rsidP="00EF6B7D">
      <w:pPr>
        <w:jc w:val="right"/>
      </w:pPr>
    </w:p>
    <w:p w:rsidR="004F75D0" w:rsidRDefault="004F75D0" w:rsidP="00EF6B7D">
      <w:pPr>
        <w:jc w:val="right"/>
      </w:pPr>
    </w:p>
    <w:p w:rsidR="004F75D0" w:rsidRDefault="004F75D0" w:rsidP="00EF6B7D">
      <w:pPr>
        <w:jc w:val="right"/>
      </w:pPr>
    </w:p>
    <w:tbl>
      <w:tblPr>
        <w:tblW w:w="8675" w:type="dxa"/>
        <w:jc w:val="center"/>
        <w:tblInd w:w="1709" w:type="dxa"/>
        <w:tblLook w:val="00A0"/>
      </w:tblPr>
      <w:tblGrid>
        <w:gridCol w:w="1551"/>
        <w:gridCol w:w="1277"/>
        <w:gridCol w:w="1483"/>
        <w:gridCol w:w="1449"/>
        <w:gridCol w:w="1432"/>
        <w:gridCol w:w="1483"/>
      </w:tblGrid>
      <w:tr w:rsidR="004F75D0" w:rsidRPr="00EF6B7D" w:rsidTr="00002475">
        <w:trPr>
          <w:trHeight w:val="660"/>
          <w:jc w:val="center"/>
        </w:trPr>
        <w:tc>
          <w:tcPr>
            <w:tcW w:w="1551" w:type="dxa"/>
            <w:vMerge w:val="restart"/>
            <w:tcBorders>
              <w:top w:val="single" w:sz="4" w:space="0" w:color="auto"/>
              <w:left w:val="single" w:sz="4" w:space="0" w:color="auto"/>
              <w:bottom w:val="single" w:sz="4" w:space="0" w:color="auto"/>
              <w:right w:val="single" w:sz="4" w:space="0" w:color="auto"/>
            </w:tcBorders>
            <w:noWrap/>
            <w:textDirection w:val="btLr"/>
            <w:vAlign w:val="center"/>
          </w:tcPr>
          <w:p w:rsidR="004F75D0" w:rsidRPr="00EF6B7D" w:rsidRDefault="004F75D0" w:rsidP="00EF6B7D">
            <w:pPr>
              <w:spacing w:after="0" w:line="240" w:lineRule="auto"/>
              <w:jc w:val="center"/>
              <w:rPr>
                <w:rFonts w:cs="Calibri"/>
                <w:b/>
                <w:bCs/>
                <w:color w:val="000000"/>
              </w:rPr>
            </w:pPr>
            <w:r w:rsidRPr="00EF6B7D">
              <w:rPr>
                <w:rFonts w:cs="Calibri"/>
                <w:b/>
                <w:bCs/>
                <w:color w:val="000000"/>
              </w:rPr>
              <w:t>Euclidean distances between China and groups of Advanced-market economies</w:t>
            </w:r>
          </w:p>
        </w:tc>
        <w:tc>
          <w:tcPr>
            <w:tcW w:w="1277" w:type="dxa"/>
            <w:tcBorders>
              <w:top w:val="single" w:sz="4" w:space="0" w:color="auto"/>
              <w:left w:val="nil"/>
              <w:bottom w:val="single" w:sz="4" w:space="0" w:color="auto"/>
              <w:right w:val="single" w:sz="4" w:space="0" w:color="auto"/>
            </w:tcBorders>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year</w:t>
            </w:r>
          </w:p>
        </w:tc>
        <w:tc>
          <w:tcPr>
            <w:tcW w:w="1483" w:type="dxa"/>
            <w:tcBorders>
              <w:top w:val="single" w:sz="4" w:space="0" w:color="auto"/>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U.S.A.</w:t>
            </w:r>
          </w:p>
        </w:tc>
        <w:tc>
          <w:tcPr>
            <w:tcW w:w="1449" w:type="dxa"/>
            <w:tcBorders>
              <w:top w:val="single" w:sz="4" w:space="0" w:color="auto"/>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 xml:space="preserve">E.U. </w:t>
            </w:r>
          </w:p>
        </w:tc>
        <w:tc>
          <w:tcPr>
            <w:tcW w:w="1432" w:type="dxa"/>
            <w:tcBorders>
              <w:top w:val="single" w:sz="4" w:space="0" w:color="auto"/>
              <w:left w:val="nil"/>
              <w:bottom w:val="single" w:sz="4" w:space="0" w:color="auto"/>
              <w:right w:val="single" w:sz="4" w:space="0" w:color="auto"/>
            </w:tcBorders>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Advanced economies</w:t>
            </w:r>
          </w:p>
        </w:tc>
        <w:tc>
          <w:tcPr>
            <w:tcW w:w="1483" w:type="dxa"/>
            <w:tcBorders>
              <w:top w:val="single" w:sz="4" w:space="0" w:color="auto"/>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G-7</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1980</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0,27</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1,78</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1,85</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1,77</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1981</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1,58</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0,63</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0,95</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0,77</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1982</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0,94</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0,21</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0,33</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0,05</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1983</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1,35</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1,14</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1,03</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1,19</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1984</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0,45</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1,90</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1,73</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1,98</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1985</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0,77</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1,81</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1,82</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1,94</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1986</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0,65</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0,06</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0,19</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0,06</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1987</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0,02</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0,46</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0,31</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0,44</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1988</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0,87</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1,02</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0,94</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0,73</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1989</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0,63</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1,90</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1,80</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1,69</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1990</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1,43</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1,37</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1,16</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1,23</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1991</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0,20</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1,43</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1,27</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1,52</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1992</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0,56</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0,87</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0,57</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0,80</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1993</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2,25</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1,58</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1,66</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1,46</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1994</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0,03</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0,51</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0,56</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0,63</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1995</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2,06</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0,05</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0,09</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0,27</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1996</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2,52</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0,79</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0,69</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1,03</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1997</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1,96</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1,47</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1,21</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1,47</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1998</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1,34</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0,89</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1,06</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1,09</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1999</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0,07</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0,38</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0,43</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0,37</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2000</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0,94</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0,84</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0,56</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0,46</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2001</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0,27</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0,67</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0,65</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0,58</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2002</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0,15</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0,02</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0,04</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0,05</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2003</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0,00</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1,27</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1,04</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1,13</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2004</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0,94</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1,71</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1,55</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1,75</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2005</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2,13</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1,60</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1,64</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1,71</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2006</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2,93</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1,38</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1,43</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1,50</w:t>
            </w:r>
          </w:p>
        </w:tc>
      </w:tr>
      <w:tr w:rsidR="004F75D0" w:rsidRPr="00EF6B7D" w:rsidTr="00002475">
        <w:trPr>
          <w:trHeight w:val="300"/>
          <w:jc w:val="center"/>
        </w:trPr>
        <w:tc>
          <w:tcPr>
            <w:tcW w:w="1551" w:type="dxa"/>
            <w:vMerge/>
            <w:tcBorders>
              <w:top w:val="single" w:sz="4" w:space="0" w:color="auto"/>
              <w:left w:val="single" w:sz="4" w:space="0" w:color="auto"/>
              <w:bottom w:val="single" w:sz="4" w:space="0" w:color="auto"/>
              <w:right w:val="single" w:sz="4" w:space="0" w:color="auto"/>
            </w:tcBorders>
            <w:vAlign w:val="center"/>
          </w:tcPr>
          <w:p w:rsidR="004F75D0" w:rsidRPr="00EF6B7D" w:rsidRDefault="004F75D0" w:rsidP="00EF6B7D">
            <w:pPr>
              <w:spacing w:after="0" w:line="240" w:lineRule="auto"/>
              <w:jc w:val="left"/>
              <w:rPr>
                <w:rFonts w:cs="Calibri"/>
                <w:b/>
                <w:bCs/>
                <w:color w:val="000000"/>
              </w:rPr>
            </w:pPr>
          </w:p>
        </w:tc>
        <w:tc>
          <w:tcPr>
            <w:tcW w:w="1277"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b/>
                <w:bCs/>
                <w:color w:val="000000"/>
              </w:rPr>
            </w:pPr>
            <w:r w:rsidRPr="00EF6B7D">
              <w:rPr>
                <w:rFonts w:cs="Calibri"/>
                <w:b/>
                <w:bCs/>
                <w:color w:val="000000"/>
              </w:rPr>
              <w:t>2007</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2,65</w:t>
            </w:r>
          </w:p>
        </w:tc>
        <w:tc>
          <w:tcPr>
            <w:tcW w:w="1449"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1,13</w:t>
            </w:r>
          </w:p>
        </w:tc>
        <w:tc>
          <w:tcPr>
            <w:tcW w:w="1432"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1,23</w:t>
            </w:r>
          </w:p>
        </w:tc>
        <w:tc>
          <w:tcPr>
            <w:tcW w:w="1483" w:type="dxa"/>
            <w:tcBorders>
              <w:top w:val="nil"/>
              <w:left w:val="nil"/>
              <w:bottom w:val="single" w:sz="4" w:space="0" w:color="auto"/>
              <w:right w:val="single" w:sz="4" w:space="0" w:color="auto"/>
            </w:tcBorders>
            <w:noWrap/>
            <w:vAlign w:val="bottom"/>
          </w:tcPr>
          <w:p w:rsidR="004F75D0" w:rsidRPr="00EF6B7D" w:rsidRDefault="004F75D0" w:rsidP="00EF6B7D">
            <w:pPr>
              <w:spacing w:after="0" w:line="240" w:lineRule="auto"/>
              <w:jc w:val="center"/>
              <w:rPr>
                <w:rFonts w:cs="Calibri"/>
                <w:color w:val="000000"/>
              </w:rPr>
            </w:pPr>
            <w:r w:rsidRPr="00EF6B7D">
              <w:rPr>
                <w:rFonts w:cs="Calibri"/>
                <w:color w:val="000000"/>
              </w:rPr>
              <w:t>1,18</w:t>
            </w:r>
          </w:p>
        </w:tc>
      </w:tr>
    </w:tbl>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tbl>
      <w:tblPr>
        <w:tblW w:w="8662" w:type="dxa"/>
        <w:jc w:val="center"/>
        <w:tblLook w:val="00A0"/>
      </w:tblPr>
      <w:tblGrid>
        <w:gridCol w:w="1420"/>
        <w:gridCol w:w="1469"/>
        <w:gridCol w:w="1523"/>
        <w:gridCol w:w="1337"/>
        <w:gridCol w:w="1417"/>
        <w:gridCol w:w="1496"/>
      </w:tblGrid>
      <w:tr w:rsidR="004F75D0" w:rsidRPr="006B4D38" w:rsidTr="00BA718B">
        <w:trPr>
          <w:trHeight w:val="660"/>
          <w:jc w:val="center"/>
        </w:trPr>
        <w:tc>
          <w:tcPr>
            <w:tcW w:w="1420" w:type="dxa"/>
            <w:vMerge w:val="restart"/>
            <w:tcBorders>
              <w:top w:val="single" w:sz="4" w:space="0" w:color="auto"/>
              <w:left w:val="single" w:sz="4" w:space="0" w:color="auto"/>
              <w:bottom w:val="single" w:sz="4" w:space="0" w:color="000000"/>
              <w:right w:val="single" w:sz="4" w:space="0" w:color="auto"/>
            </w:tcBorders>
            <w:noWrap/>
            <w:textDirection w:val="btLr"/>
            <w:vAlign w:val="center"/>
          </w:tcPr>
          <w:p w:rsidR="004F75D0" w:rsidRPr="006B4D38" w:rsidRDefault="004F75D0" w:rsidP="006B4D38">
            <w:pPr>
              <w:spacing w:after="0" w:line="240" w:lineRule="auto"/>
              <w:jc w:val="center"/>
              <w:rPr>
                <w:rFonts w:cs="Calibri"/>
                <w:b/>
                <w:bCs/>
                <w:color w:val="000000"/>
              </w:rPr>
            </w:pPr>
            <w:r w:rsidRPr="006B4D38">
              <w:rPr>
                <w:rFonts w:cs="Calibri"/>
                <w:b/>
                <w:bCs/>
                <w:color w:val="000000"/>
              </w:rPr>
              <w:t>Euclidean distances between India and groups of Advanced-market economies</w:t>
            </w:r>
          </w:p>
        </w:tc>
        <w:tc>
          <w:tcPr>
            <w:tcW w:w="1469" w:type="dxa"/>
            <w:tcBorders>
              <w:top w:val="single" w:sz="4" w:space="0" w:color="auto"/>
              <w:left w:val="nil"/>
              <w:bottom w:val="single" w:sz="4" w:space="0" w:color="auto"/>
              <w:right w:val="single" w:sz="4" w:space="0" w:color="auto"/>
            </w:tcBorders>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year</w:t>
            </w:r>
          </w:p>
        </w:tc>
        <w:tc>
          <w:tcPr>
            <w:tcW w:w="1523" w:type="dxa"/>
            <w:tcBorders>
              <w:top w:val="single" w:sz="4" w:space="0" w:color="auto"/>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U.S.A.</w:t>
            </w:r>
          </w:p>
        </w:tc>
        <w:tc>
          <w:tcPr>
            <w:tcW w:w="1337" w:type="dxa"/>
            <w:tcBorders>
              <w:top w:val="single" w:sz="4" w:space="0" w:color="auto"/>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 xml:space="preserve">E.U. </w:t>
            </w:r>
          </w:p>
        </w:tc>
        <w:tc>
          <w:tcPr>
            <w:tcW w:w="1417" w:type="dxa"/>
            <w:tcBorders>
              <w:top w:val="single" w:sz="4" w:space="0" w:color="auto"/>
              <w:left w:val="nil"/>
              <w:bottom w:val="single" w:sz="4" w:space="0" w:color="auto"/>
              <w:right w:val="single" w:sz="4" w:space="0" w:color="auto"/>
            </w:tcBorders>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Advanced economies</w:t>
            </w:r>
          </w:p>
        </w:tc>
        <w:tc>
          <w:tcPr>
            <w:tcW w:w="1496" w:type="dxa"/>
            <w:tcBorders>
              <w:top w:val="single" w:sz="4" w:space="0" w:color="auto"/>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G-7</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1980</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1,03</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3,08</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3,15</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3,07</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1981</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1,92</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1,29</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1,11</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1982</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0,92</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0,35</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0,03</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1983</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1,25</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0,93</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1,08</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1984</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1,16</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1,02</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1,27</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1985</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1,19</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1,40</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1,52</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1986</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0,28</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1,12</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0,99</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1987</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1,40</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0,96</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1,12</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0,98</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1988</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1,51</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1,65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1,57</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1,36</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1989</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0,15</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1,43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1,32</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1,21</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1990</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0,97</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1,24</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1,17</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1991</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0,34</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0,74</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0,98</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1992</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0,02</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1,45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1,15</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1,38</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1993</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0,44</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1,03</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1,23</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1994</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0,31</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0,18</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0,22</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0,29</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1995</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1,97</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0,01</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0,18</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1996</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1,53</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0,31</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0,04</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1997</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1,82</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1,07</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1,33</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1998</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0,88</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0,61</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0,63</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1999</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0,12</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0,49</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0,43</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2000</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1,04</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0,46</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0,36</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2001</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0,91</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0,02</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0,05</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2002</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0,69</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0,86</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0,80</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0,79</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2003</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0,13</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1,40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1,18</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1,26</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2004</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0,62</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1,23</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1,42</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2005</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1,16</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0,67</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0,74</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2006</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2,15</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0,61</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0,66</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0,73</w:t>
            </w:r>
          </w:p>
        </w:tc>
      </w:tr>
      <w:tr w:rsidR="004F75D0" w:rsidRPr="006B4D38" w:rsidTr="00BA718B">
        <w:trPr>
          <w:trHeight w:val="300"/>
          <w:jc w:val="center"/>
        </w:trPr>
        <w:tc>
          <w:tcPr>
            <w:tcW w:w="1420"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6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2007</w:t>
            </w:r>
          </w:p>
        </w:tc>
        <w:tc>
          <w:tcPr>
            <w:tcW w:w="1523"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0,99</w:t>
            </w:r>
          </w:p>
        </w:tc>
        <w:tc>
          <w:tcPr>
            <w:tcW w:w="133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0,52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0,43</w:t>
            </w:r>
          </w:p>
        </w:tc>
        <w:tc>
          <w:tcPr>
            <w:tcW w:w="1496"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0,48</w:t>
            </w:r>
          </w:p>
        </w:tc>
      </w:tr>
    </w:tbl>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tbl>
      <w:tblPr>
        <w:tblW w:w="8665" w:type="dxa"/>
        <w:jc w:val="center"/>
        <w:tblInd w:w="1754" w:type="dxa"/>
        <w:tblLook w:val="00A0"/>
      </w:tblPr>
      <w:tblGrid>
        <w:gridCol w:w="1474"/>
        <w:gridCol w:w="1418"/>
        <w:gridCol w:w="1417"/>
        <w:gridCol w:w="1418"/>
        <w:gridCol w:w="1417"/>
        <w:gridCol w:w="1521"/>
      </w:tblGrid>
      <w:tr w:rsidR="004F75D0" w:rsidRPr="006B4D38" w:rsidTr="00002475">
        <w:trPr>
          <w:trHeight w:val="660"/>
          <w:jc w:val="center"/>
        </w:trPr>
        <w:tc>
          <w:tcPr>
            <w:tcW w:w="1474" w:type="dxa"/>
            <w:vMerge w:val="restart"/>
            <w:tcBorders>
              <w:top w:val="single" w:sz="4" w:space="0" w:color="auto"/>
              <w:left w:val="single" w:sz="4" w:space="0" w:color="auto"/>
              <w:bottom w:val="single" w:sz="4" w:space="0" w:color="000000"/>
              <w:right w:val="single" w:sz="4" w:space="0" w:color="auto"/>
            </w:tcBorders>
            <w:textDirection w:val="btLr"/>
            <w:vAlign w:val="center"/>
          </w:tcPr>
          <w:p w:rsidR="004F75D0" w:rsidRPr="006B4D38" w:rsidRDefault="004F75D0" w:rsidP="006B4D38">
            <w:pPr>
              <w:spacing w:after="0" w:line="240" w:lineRule="auto"/>
              <w:jc w:val="center"/>
              <w:rPr>
                <w:rFonts w:cs="Calibri"/>
                <w:b/>
                <w:bCs/>
                <w:color w:val="000000"/>
              </w:rPr>
            </w:pPr>
            <w:r w:rsidRPr="006B4D38">
              <w:rPr>
                <w:rFonts w:cs="Calibri"/>
                <w:b/>
                <w:bCs/>
                <w:color w:val="000000"/>
              </w:rPr>
              <w:t>Euclidean distances between Russia and groups of Advanced-market economies</w:t>
            </w:r>
          </w:p>
        </w:tc>
        <w:tc>
          <w:tcPr>
            <w:tcW w:w="1418" w:type="dxa"/>
            <w:tcBorders>
              <w:top w:val="single" w:sz="4" w:space="0" w:color="auto"/>
              <w:left w:val="nil"/>
              <w:bottom w:val="single" w:sz="4" w:space="0" w:color="auto"/>
              <w:right w:val="single" w:sz="4" w:space="0" w:color="auto"/>
            </w:tcBorders>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year</w:t>
            </w:r>
          </w:p>
        </w:tc>
        <w:tc>
          <w:tcPr>
            <w:tcW w:w="1417" w:type="dxa"/>
            <w:tcBorders>
              <w:top w:val="single" w:sz="4" w:space="0" w:color="auto"/>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U.S.A.</w:t>
            </w:r>
          </w:p>
        </w:tc>
        <w:tc>
          <w:tcPr>
            <w:tcW w:w="1418" w:type="dxa"/>
            <w:tcBorders>
              <w:top w:val="single" w:sz="4" w:space="0" w:color="auto"/>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 xml:space="preserve">E.U. </w:t>
            </w:r>
          </w:p>
        </w:tc>
        <w:tc>
          <w:tcPr>
            <w:tcW w:w="1417" w:type="dxa"/>
            <w:tcBorders>
              <w:top w:val="single" w:sz="4" w:space="0" w:color="auto"/>
              <w:left w:val="nil"/>
              <w:bottom w:val="single" w:sz="4" w:space="0" w:color="auto"/>
              <w:right w:val="single" w:sz="4" w:space="0" w:color="auto"/>
            </w:tcBorders>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Advanced economies</w:t>
            </w:r>
          </w:p>
        </w:tc>
        <w:tc>
          <w:tcPr>
            <w:tcW w:w="1521" w:type="dxa"/>
            <w:tcBorders>
              <w:top w:val="single" w:sz="4" w:space="0" w:color="auto"/>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G-7</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0,72</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2,16</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1,85</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2,08</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1,00</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0,41</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0,21</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1,63</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1,10</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1,03</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2,25</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0,27</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0,46</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1996</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2,74</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1,01</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0,90</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1,25</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2,06</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1,56</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1,30</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1,56</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1998</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0,31</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0,04</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0,06</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1,18</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0,82</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0,88</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1,53</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0,03</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0,13</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2001</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0,41</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0,53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0,52</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0,44</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0,45</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0,33</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0,34</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0,69</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0,58</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0,36</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0,44</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0,02</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0,59</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0,79</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0,87</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0,38</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0,45</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2006</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1,57</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0,08</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0,14</w:t>
            </w:r>
          </w:p>
        </w:tc>
      </w:tr>
      <w:tr w:rsidR="004F75D0" w:rsidRPr="006B4D38" w:rsidTr="00002475">
        <w:trPr>
          <w:trHeight w:val="300"/>
          <w:jc w:val="center"/>
        </w:trPr>
        <w:tc>
          <w:tcPr>
            <w:tcW w:w="1474"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1,75</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0,33</w:t>
            </w:r>
          </w:p>
        </w:tc>
        <w:tc>
          <w:tcPr>
            <w:tcW w:w="1521"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0,28</w:t>
            </w:r>
          </w:p>
        </w:tc>
      </w:tr>
    </w:tbl>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tbl>
      <w:tblPr>
        <w:tblW w:w="8642" w:type="dxa"/>
        <w:jc w:val="center"/>
        <w:tblInd w:w="-2108" w:type="dxa"/>
        <w:tblLook w:val="00A0"/>
      </w:tblPr>
      <w:tblGrid>
        <w:gridCol w:w="1417"/>
        <w:gridCol w:w="1418"/>
        <w:gridCol w:w="1417"/>
        <w:gridCol w:w="1414"/>
        <w:gridCol w:w="1417"/>
        <w:gridCol w:w="1559"/>
      </w:tblGrid>
      <w:tr w:rsidR="004F75D0" w:rsidRPr="00AB18CD" w:rsidTr="00AB18CD">
        <w:trPr>
          <w:trHeight w:val="660"/>
          <w:jc w:val="center"/>
        </w:trPr>
        <w:tc>
          <w:tcPr>
            <w:tcW w:w="1417" w:type="dxa"/>
            <w:vMerge w:val="restart"/>
            <w:tcBorders>
              <w:top w:val="single" w:sz="4" w:space="0" w:color="auto"/>
              <w:left w:val="single" w:sz="4" w:space="0" w:color="auto"/>
              <w:bottom w:val="single" w:sz="4" w:space="0" w:color="auto"/>
              <w:right w:val="single" w:sz="4" w:space="0" w:color="auto"/>
            </w:tcBorders>
            <w:textDirection w:val="btLr"/>
            <w:vAlign w:val="center"/>
          </w:tcPr>
          <w:p w:rsidR="004F75D0" w:rsidRPr="00AB18CD" w:rsidRDefault="004F75D0" w:rsidP="00AB18CD">
            <w:pPr>
              <w:spacing w:after="0" w:line="240" w:lineRule="auto"/>
              <w:jc w:val="center"/>
              <w:rPr>
                <w:rFonts w:cs="Calibri"/>
                <w:b/>
                <w:bCs/>
                <w:color w:val="000000"/>
              </w:rPr>
            </w:pPr>
            <w:r w:rsidRPr="00AB18CD">
              <w:rPr>
                <w:rFonts w:cs="Calibri"/>
                <w:b/>
                <w:bCs/>
                <w:color w:val="000000"/>
              </w:rPr>
              <w:t>Euclidean distances between Emerging-Market economies group and groups of Advanced-Market economies</w:t>
            </w:r>
          </w:p>
        </w:tc>
        <w:tc>
          <w:tcPr>
            <w:tcW w:w="1418" w:type="dxa"/>
            <w:tcBorders>
              <w:top w:val="single" w:sz="4" w:space="0" w:color="auto"/>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year</w:t>
            </w:r>
          </w:p>
        </w:tc>
        <w:tc>
          <w:tcPr>
            <w:tcW w:w="1417" w:type="dxa"/>
            <w:tcBorders>
              <w:top w:val="single" w:sz="4" w:space="0" w:color="auto"/>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U.S.A.</w:t>
            </w:r>
          </w:p>
        </w:tc>
        <w:tc>
          <w:tcPr>
            <w:tcW w:w="1414" w:type="dxa"/>
            <w:tcBorders>
              <w:top w:val="single" w:sz="4" w:space="0" w:color="auto"/>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E.U.</w:t>
            </w:r>
          </w:p>
        </w:tc>
        <w:tc>
          <w:tcPr>
            <w:tcW w:w="1417" w:type="dxa"/>
            <w:tcBorders>
              <w:top w:val="single" w:sz="4" w:space="0" w:color="auto"/>
              <w:left w:val="nil"/>
              <w:bottom w:val="single" w:sz="4" w:space="0" w:color="auto"/>
              <w:right w:val="single" w:sz="4" w:space="0" w:color="auto"/>
            </w:tcBorders>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Advanced Economies</w:t>
            </w:r>
          </w:p>
        </w:tc>
        <w:tc>
          <w:tcPr>
            <w:tcW w:w="1559" w:type="dxa"/>
            <w:tcBorders>
              <w:top w:val="single" w:sz="4" w:space="0" w:color="auto"/>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G7</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1980</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0,02</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2,03</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2,09</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2,02</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1981</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1,37</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0,42</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0,74</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0,56</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1982</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1,26</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0,12</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0,01</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0,38</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1983</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0,59</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0,38</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0,27</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0,42</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1984</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1,57</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0,79</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0,61</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0,86</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1985</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0,95</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1,63</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1,63</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1,75</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1986</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0,17</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0,42</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0,67</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0,54</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1987</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0,30</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0,14</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0,01</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0,13</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1988</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0,14</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0,28</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0,21</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0,00</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1989</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0,03</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1,24</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1,14</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1,03</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1990</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0,49</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0,44</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0,22</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0,30</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1991</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0,06</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1,17</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1,01</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1,26</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1992</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0,70</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2,14</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1,83</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2,06</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1993</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0,76</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0,08</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0,16</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0,04</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1994</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1,08</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0,60</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0,56</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0,48</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1995</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2,56</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0,55</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0,58</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0,77</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1996</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3,02</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1,29</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1,19</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1,54</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1997</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2,54</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2,05</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1,79</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2,05</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1998</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1,09</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0,64</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0,82</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0,84</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1999</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0,96</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0,65</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0,60</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0,65</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2000</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1,44</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0,34</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0,07</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0,04</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2001</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0,83</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0,11</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0,09</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0,02</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2002</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0,34</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0,51</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0,45</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0,44</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2003</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0,13</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1,40</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1,18</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1,26</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2004</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0,74</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1,51</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1,35</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1,55</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2005</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1,40</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0,88</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0,91</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0,98</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2006</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2,02</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0,47</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0,53</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0,59</w:t>
            </w:r>
          </w:p>
        </w:tc>
      </w:tr>
      <w:tr w:rsidR="004F75D0" w:rsidRPr="00AB18CD" w:rsidTr="00AB18CD">
        <w:trPr>
          <w:trHeight w:val="300"/>
          <w:jc w:val="center"/>
        </w:trPr>
        <w:tc>
          <w:tcPr>
            <w:tcW w:w="1417" w:type="dxa"/>
            <w:vMerge/>
            <w:tcBorders>
              <w:top w:val="single" w:sz="4" w:space="0" w:color="auto"/>
              <w:left w:val="single" w:sz="4" w:space="0" w:color="auto"/>
              <w:bottom w:val="single" w:sz="4" w:space="0" w:color="auto"/>
              <w:right w:val="single" w:sz="4" w:space="0" w:color="auto"/>
            </w:tcBorders>
            <w:vAlign w:val="center"/>
          </w:tcPr>
          <w:p w:rsidR="004F75D0" w:rsidRPr="00AB18CD" w:rsidRDefault="004F75D0" w:rsidP="00AB18CD">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b/>
                <w:bCs/>
                <w:color w:val="000000"/>
              </w:rPr>
            </w:pPr>
            <w:r w:rsidRPr="00AB18CD">
              <w:rPr>
                <w:rFonts w:cs="Calibri"/>
                <w:b/>
                <w:bCs/>
                <w:color w:val="000000"/>
              </w:rPr>
              <w:t>2007</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1,76</w:t>
            </w:r>
          </w:p>
        </w:tc>
        <w:tc>
          <w:tcPr>
            <w:tcW w:w="1414"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0,24</w:t>
            </w:r>
          </w:p>
        </w:tc>
        <w:tc>
          <w:tcPr>
            <w:tcW w:w="1417"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0,33</w:t>
            </w:r>
          </w:p>
        </w:tc>
        <w:tc>
          <w:tcPr>
            <w:tcW w:w="1559" w:type="dxa"/>
            <w:tcBorders>
              <w:top w:val="nil"/>
              <w:left w:val="nil"/>
              <w:bottom w:val="single" w:sz="4" w:space="0" w:color="auto"/>
              <w:right w:val="single" w:sz="4" w:space="0" w:color="auto"/>
            </w:tcBorders>
            <w:noWrap/>
            <w:vAlign w:val="bottom"/>
          </w:tcPr>
          <w:p w:rsidR="004F75D0" w:rsidRPr="00AB18CD" w:rsidRDefault="004F75D0" w:rsidP="00AB18CD">
            <w:pPr>
              <w:spacing w:after="0" w:line="240" w:lineRule="auto"/>
              <w:jc w:val="center"/>
              <w:rPr>
                <w:rFonts w:cs="Calibri"/>
                <w:color w:val="000000"/>
              </w:rPr>
            </w:pPr>
            <w:r w:rsidRPr="00AB18CD">
              <w:rPr>
                <w:rFonts w:cs="Calibri"/>
                <w:color w:val="000000"/>
              </w:rPr>
              <w:t>0,28</w:t>
            </w:r>
          </w:p>
        </w:tc>
      </w:tr>
    </w:tbl>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tbl>
      <w:tblPr>
        <w:tblW w:w="9000" w:type="dxa"/>
        <w:jc w:val="center"/>
        <w:tblInd w:w="830" w:type="dxa"/>
        <w:tblLook w:val="00A0"/>
      </w:tblPr>
      <w:tblGrid>
        <w:gridCol w:w="989"/>
        <w:gridCol w:w="663"/>
        <w:gridCol w:w="1513"/>
        <w:gridCol w:w="1453"/>
        <w:gridCol w:w="1382"/>
        <w:gridCol w:w="1595"/>
        <w:gridCol w:w="1405"/>
      </w:tblGrid>
      <w:tr w:rsidR="004F75D0" w:rsidRPr="009D26D4" w:rsidTr="009D26D4">
        <w:trPr>
          <w:trHeight w:val="915"/>
          <w:jc w:val="center"/>
        </w:trPr>
        <w:tc>
          <w:tcPr>
            <w:tcW w:w="989" w:type="dxa"/>
            <w:vMerge w:val="restart"/>
            <w:tcBorders>
              <w:top w:val="single" w:sz="4" w:space="0" w:color="auto"/>
              <w:left w:val="single" w:sz="4" w:space="0" w:color="auto"/>
              <w:bottom w:val="single" w:sz="4" w:space="0" w:color="auto"/>
              <w:right w:val="single" w:sz="4" w:space="0" w:color="auto"/>
            </w:tcBorders>
            <w:noWrap/>
            <w:textDirection w:val="btLr"/>
            <w:vAlign w:val="center"/>
          </w:tcPr>
          <w:p w:rsidR="004F75D0" w:rsidRPr="009D26D4" w:rsidRDefault="004F75D0" w:rsidP="009D26D4">
            <w:pPr>
              <w:spacing w:after="0" w:line="240" w:lineRule="auto"/>
              <w:jc w:val="center"/>
              <w:rPr>
                <w:rFonts w:cs="Calibri"/>
                <w:b/>
                <w:bCs/>
                <w:color w:val="000000"/>
              </w:rPr>
            </w:pPr>
            <w:r w:rsidRPr="009D26D4">
              <w:rPr>
                <w:rFonts w:cs="Calibri"/>
                <w:b/>
                <w:bCs/>
                <w:color w:val="000000"/>
              </w:rPr>
              <w:t>Output gaps of Emerging-market Economies</w:t>
            </w:r>
          </w:p>
        </w:tc>
        <w:tc>
          <w:tcPr>
            <w:tcW w:w="663" w:type="dxa"/>
            <w:tcBorders>
              <w:top w:val="single" w:sz="4" w:space="0" w:color="auto"/>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year</w:t>
            </w:r>
          </w:p>
        </w:tc>
        <w:tc>
          <w:tcPr>
            <w:tcW w:w="1513" w:type="dxa"/>
            <w:tcBorders>
              <w:top w:val="single" w:sz="4" w:space="0" w:color="auto"/>
              <w:left w:val="nil"/>
              <w:bottom w:val="single" w:sz="4" w:space="0" w:color="auto"/>
              <w:right w:val="single" w:sz="4" w:space="0" w:color="auto"/>
            </w:tcBorders>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Brazil output gap</w:t>
            </w:r>
          </w:p>
        </w:tc>
        <w:tc>
          <w:tcPr>
            <w:tcW w:w="1453" w:type="dxa"/>
            <w:tcBorders>
              <w:top w:val="single" w:sz="4" w:space="0" w:color="auto"/>
              <w:left w:val="nil"/>
              <w:bottom w:val="single" w:sz="4" w:space="0" w:color="auto"/>
              <w:right w:val="single" w:sz="4" w:space="0" w:color="auto"/>
            </w:tcBorders>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China output gap</w:t>
            </w:r>
          </w:p>
        </w:tc>
        <w:tc>
          <w:tcPr>
            <w:tcW w:w="1382" w:type="dxa"/>
            <w:tcBorders>
              <w:top w:val="single" w:sz="4" w:space="0" w:color="auto"/>
              <w:left w:val="nil"/>
              <w:bottom w:val="single" w:sz="4" w:space="0" w:color="auto"/>
              <w:right w:val="single" w:sz="4" w:space="0" w:color="auto"/>
            </w:tcBorders>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India output gap</w:t>
            </w:r>
          </w:p>
        </w:tc>
        <w:tc>
          <w:tcPr>
            <w:tcW w:w="1595" w:type="dxa"/>
            <w:tcBorders>
              <w:top w:val="single" w:sz="4" w:space="0" w:color="auto"/>
              <w:left w:val="nil"/>
              <w:bottom w:val="single" w:sz="4" w:space="0" w:color="auto"/>
              <w:right w:val="single" w:sz="4" w:space="0" w:color="auto"/>
            </w:tcBorders>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Russia output gap</w:t>
            </w:r>
          </w:p>
        </w:tc>
        <w:tc>
          <w:tcPr>
            <w:tcW w:w="1405" w:type="dxa"/>
            <w:tcBorders>
              <w:top w:val="single" w:sz="4" w:space="0" w:color="auto"/>
              <w:left w:val="nil"/>
              <w:bottom w:val="single" w:sz="4" w:space="0" w:color="auto"/>
              <w:right w:val="single" w:sz="4" w:space="0" w:color="auto"/>
            </w:tcBorders>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EM output gap</w:t>
            </w:r>
          </w:p>
        </w:tc>
      </w:tr>
      <w:tr w:rsidR="004F75D0" w:rsidRPr="009D26D4" w:rsidTr="009D26D4">
        <w:trPr>
          <w:trHeight w:val="51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1980</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1,45</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1,18</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-0,12</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0,94</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1981</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1,13</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0,40</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0,05</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Pr>
                <w:rFonts w:cs="Calibri"/>
                <w:color w:val="000000"/>
              </w:rPr>
              <w:t>-</w:t>
            </w:r>
            <w:r w:rsidRPr="009D26D4">
              <w:rPr>
                <w:rFonts w:cs="Calibri"/>
                <w:color w:val="000000"/>
              </w:rPr>
              <w:t> </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0,60</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1982</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0,59</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-0,19</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-0,21</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0,14</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1983</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-1,04</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0,25</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0,15</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-0,51</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1984</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-1,53</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0,26</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-0,44</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-0,86</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1985</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-0,26</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-0,17</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-0,59</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-0,35</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1986</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-0,13</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-0,81</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0,12</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-0,33</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1987</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-0,26</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-0,48</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0,95</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-0,16</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1988</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-0,22</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1,15</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1,78</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0,42</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1989</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0,90</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1,68</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1,20</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1,02</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1990</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0,64</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-0,47</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1,93</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0,46</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1991</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-0,36</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-0,74</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-0,20</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 </w:t>
            </w:r>
            <w:r>
              <w:rPr>
                <w:rFonts w:cs="Calibri"/>
                <w:color w:val="000000"/>
              </w:rPr>
              <w:t>-</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-0,48</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1992</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-0,81</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0,09</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-0,48</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3,02</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-1,17</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1993</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-0,59</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1,47</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-1,22</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1,95</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-0,03</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1994</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0,17</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-0,45</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-0,11</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-1,71</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0,66</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1995</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1,32</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1,08</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0,99</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-7,30</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1,57</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1996</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1,67</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1,60</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0,61</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-8,99</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2,11</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1997</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1,78</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1,47</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1,32</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-9,50</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2,05</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1998</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1,49</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0,85</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0,39</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-8,10</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0,60</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1999</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-0,46</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0,12</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0,18</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1,33</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-0,90</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2000</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-0,15</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-0,25</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-0,36</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-0,18</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-0,75</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2001</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-0,94</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-0,69</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-1,32</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3,64</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-1,24</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2002</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-1,48</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-1,21</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-2,05</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6,24</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-1,70</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2003</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-1,46</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-1,50</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-1,63</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6,17</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-1,63</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2004</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-1,19</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-1,45</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-1,12</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4,83</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-1,24</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2005</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-0,53</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-1,50</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-0,54</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1,66</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-0,78</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2006</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-0,12</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-1,30</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-0,53</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-0,31</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-0,39</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color w:val="000000"/>
              </w:rPr>
            </w:pPr>
            <w:r w:rsidRPr="009D26D4">
              <w:rPr>
                <w:rFonts w:cs="Calibri"/>
                <w:b/>
                <w:bCs/>
                <w:color w:val="000000"/>
              </w:rPr>
              <w:t>2007</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0,41</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-0,42</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1,24</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-2,91</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0,48</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rPr>
            </w:pPr>
            <w:r w:rsidRPr="009D26D4">
              <w:rPr>
                <w:rFonts w:cs="Calibri"/>
                <w:b/>
                <w:bCs/>
              </w:rPr>
              <w:t>2008</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0,79</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1,17</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1,17</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-4,72</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1,21</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rPr>
            </w:pPr>
            <w:r w:rsidRPr="009D26D4">
              <w:rPr>
                <w:rFonts w:cs="Calibri"/>
                <w:b/>
                <w:bCs/>
              </w:rPr>
              <w:t>2009</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0,07</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0,82</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0,24</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-1,24</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-0,06</w:t>
            </w:r>
          </w:p>
        </w:tc>
      </w:tr>
      <w:tr w:rsidR="004F75D0" w:rsidRPr="009D26D4" w:rsidTr="009D26D4">
        <w:trPr>
          <w:trHeight w:val="300"/>
          <w:jc w:val="center"/>
        </w:trPr>
        <w:tc>
          <w:tcPr>
            <w:tcW w:w="989" w:type="dxa"/>
            <w:vMerge/>
            <w:tcBorders>
              <w:top w:val="single" w:sz="4" w:space="0" w:color="auto"/>
              <w:left w:val="single" w:sz="4" w:space="0" w:color="auto"/>
              <w:bottom w:val="single" w:sz="4" w:space="0" w:color="auto"/>
              <w:right w:val="single" w:sz="4" w:space="0" w:color="auto"/>
            </w:tcBorders>
            <w:vAlign w:val="center"/>
          </w:tcPr>
          <w:p w:rsidR="004F75D0" w:rsidRPr="009D26D4" w:rsidRDefault="004F75D0" w:rsidP="009D26D4">
            <w:pPr>
              <w:spacing w:after="0" w:line="240" w:lineRule="auto"/>
              <w:jc w:val="left"/>
              <w:rPr>
                <w:rFonts w:cs="Calibri"/>
                <w:b/>
                <w:bCs/>
                <w:color w:val="000000"/>
              </w:rPr>
            </w:pPr>
          </w:p>
        </w:tc>
        <w:tc>
          <w:tcPr>
            <w:tcW w:w="66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b/>
                <w:bCs/>
              </w:rPr>
            </w:pPr>
            <w:r w:rsidRPr="009D26D4">
              <w:rPr>
                <w:rFonts w:cs="Calibri"/>
                <w:b/>
                <w:bCs/>
              </w:rPr>
              <w:t>2010</w:t>
            </w:r>
          </w:p>
        </w:tc>
        <w:tc>
          <w:tcPr>
            <w:tcW w:w="151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0,58</w:t>
            </w:r>
          </w:p>
        </w:tc>
        <w:tc>
          <w:tcPr>
            <w:tcW w:w="1453"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0,65</w:t>
            </w:r>
          </w:p>
        </w:tc>
        <w:tc>
          <w:tcPr>
            <w:tcW w:w="1382"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0,51</w:t>
            </w:r>
          </w:p>
        </w:tc>
        <w:tc>
          <w:tcPr>
            <w:tcW w:w="159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rPr>
            </w:pPr>
            <w:r w:rsidRPr="009D26D4">
              <w:rPr>
                <w:rFonts w:cs="Calibri"/>
              </w:rPr>
              <w:t>-3,70</w:t>
            </w:r>
          </w:p>
        </w:tc>
        <w:tc>
          <w:tcPr>
            <w:tcW w:w="1405" w:type="dxa"/>
            <w:tcBorders>
              <w:top w:val="nil"/>
              <w:left w:val="nil"/>
              <w:bottom w:val="single" w:sz="4" w:space="0" w:color="auto"/>
              <w:right w:val="single" w:sz="4" w:space="0" w:color="auto"/>
            </w:tcBorders>
            <w:noWrap/>
            <w:vAlign w:val="bottom"/>
          </w:tcPr>
          <w:p w:rsidR="004F75D0" w:rsidRPr="009D26D4" w:rsidRDefault="004F75D0" w:rsidP="009D26D4">
            <w:pPr>
              <w:spacing w:after="0" w:line="240" w:lineRule="auto"/>
              <w:jc w:val="center"/>
              <w:rPr>
                <w:rFonts w:cs="Calibri"/>
                <w:color w:val="000000"/>
              </w:rPr>
            </w:pPr>
            <w:r w:rsidRPr="009D26D4">
              <w:rPr>
                <w:rFonts w:cs="Calibri"/>
                <w:color w:val="000000"/>
              </w:rPr>
              <w:t>0,33</w:t>
            </w:r>
          </w:p>
        </w:tc>
      </w:tr>
    </w:tbl>
    <w:p w:rsidR="004F75D0" w:rsidRDefault="004F75D0" w:rsidP="00EF6B7D">
      <w:pPr>
        <w:jc w:val="left"/>
      </w:pPr>
    </w:p>
    <w:p w:rsidR="004F75D0" w:rsidRDefault="004F75D0" w:rsidP="00EF6B7D">
      <w:pPr>
        <w:jc w:val="left"/>
      </w:pPr>
    </w:p>
    <w:p w:rsidR="004F75D0" w:rsidRDefault="004F75D0" w:rsidP="00EF6B7D">
      <w:pPr>
        <w:jc w:val="left"/>
      </w:pPr>
    </w:p>
    <w:p w:rsidR="004F75D0" w:rsidRDefault="004F75D0" w:rsidP="00EF6B7D">
      <w:pPr>
        <w:jc w:val="left"/>
      </w:pPr>
    </w:p>
    <w:tbl>
      <w:tblPr>
        <w:tblW w:w="8700" w:type="dxa"/>
        <w:jc w:val="center"/>
        <w:tblInd w:w="93" w:type="dxa"/>
        <w:tblLook w:val="00A0"/>
      </w:tblPr>
      <w:tblGrid>
        <w:gridCol w:w="1491"/>
        <w:gridCol w:w="1418"/>
        <w:gridCol w:w="1417"/>
        <w:gridCol w:w="1418"/>
        <w:gridCol w:w="1417"/>
        <w:gridCol w:w="1539"/>
      </w:tblGrid>
      <w:tr w:rsidR="004F75D0" w:rsidRPr="006B4D38" w:rsidTr="00002475">
        <w:trPr>
          <w:trHeight w:val="915"/>
          <w:jc w:val="center"/>
        </w:trPr>
        <w:tc>
          <w:tcPr>
            <w:tcW w:w="1491" w:type="dxa"/>
            <w:vMerge w:val="restart"/>
            <w:tcBorders>
              <w:top w:val="single" w:sz="4" w:space="0" w:color="auto"/>
              <w:left w:val="single" w:sz="4" w:space="0" w:color="auto"/>
              <w:bottom w:val="single" w:sz="4" w:space="0" w:color="000000"/>
              <w:right w:val="single" w:sz="4" w:space="0" w:color="auto"/>
            </w:tcBorders>
            <w:noWrap/>
            <w:textDirection w:val="btLr"/>
            <w:vAlign w:val="center"/>
          </w:tcPr>
          <w:p w:rsidR="004F75D0" w:rsidRPr="006B4D38" w:rsidRDefault="004F75D0" w:rsidP="006B4D38">
            <w:pPr>
              <w:spacing w:after="0" w:line="240" w:lineRule="auto"/>
              <w:jc w:val="center"/>
              <w:rPr>
                <w:rFonts w:cs="Calibri"/>
                <w:b/>
                <w:bCs/>
                <w:color w:val="000000"/>
              </w:rPr>
            </w:pPr>
            <w:r w:rsidRPr="006B4D38">
              <w:rPr>
                <w:rFonts w:cs="Calibri"/>
                <w:b/>
                <w:bCs/>
                <w:color w:val="000000"/>
              </w:rPr>
              <w:t>Output gaps of Advanced-market Economies</w:t>
            </w:r>
          </w:p>
        </w:tc>
        <w:tc>
          <w:tcPr>
            <w:tcW w:w="1418" w:type="dxa"/>
            <w:tcBorders>
              <w:top w:val="single" w:sz="4" w:space="0" w:color="auto"/>
              <w:left w:val="nil"/>
              <w:bottom w:val="single" w:sz="4" w:space="0" w:color="auto"/>
              <w:right w:val="single" w:sz="4" w:space="0" w:color="auto"/>
            </w:tcBorders>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year</w:t>
            </w:r>
          </w:p>
        </w:tc>
        <w:tc>
          <w:tcPr>
            <w:tcW w:w="1417" w:type="dxa"/>
            <w:tcBorders>
              <w:top w:val="single" w:sz="4" w:space="0" w:color="auto"/>
              <w:left w:val="nil"/>
              <w:bottom w:val="single" w:sz="4" w:space="0" w:color="auto"/>
              <w:right w:val="single" w:sz="4" w:space="0" w:color="auto"/>
            </w:tcBorders>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USA output gap</w:t>
            </w:r>
          </w:p>
        </w:tc>
        <w:tc>
          <w:tcPr>
            <w:tcW w:w="1418" w:type="dxa"/>
            <w:tcBorders>
              <w:top w:val="single" w:sz="4" w:space="0" w:color="auto"/>
              <w:left w:val="nil"/>
              <w:bottom w:val="single" w:sz="4" w:space="0" w:color="auto"/>
              <w:right w:val="single" w:sz="4" w:space="0" w:color="auto"/>
            </w:tcBorders>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E.U. output gap</w:t>
            </w:r>
          </w:p>
        </w:tc>
        <w:tc>
          <w:tcPr>
            <w:tcW w:w="1417" w:type="dxa"/>
            <w:tcBorders>
              <w:top w:val="single" w:sz="4" w:space="0" w:color="auto"/>
              <w:left w:val="nil"/>
              <w:bottom w:val="single" w:sz="4" w:space="0" w:color="auto"/>
              <w:right w:val="single" w:sz="4" w:space="0" w:color="auto"/>
            </w:tcBorders>
            <w:vAlign w:val="bottom"/>
          </w:tcPr>
          <w:p w:rsidR="004F75D0" w:rsidRPr="006B4D38" w:rsidRDefault="004F75D0" w:rsidP="006B4D38">
            <w:pPr>
              <w:spacing w:after="0" w:line="240" w:lineRule="auto"/>
              <w:jc w:val="center"/>
              <w:rPr>
                <w:rFonts w:cs="Calibri"/>
                <w:b/>
                <w:bCs/>
                <w:color w:val="000000"/>
                <w:sz w:val="18"/>
                <w:szCs w:val="18"/>
              </w:rPr>
            </w:pPr>
            <w:r w:rsidRPr="006B4D38">
              <w:rPr>
                <w:rFonts w:cs="Calibri"/>
                <w:b/>
                <w:bCs/>
                <w:color w:val="000000"/>
                <w:sz w:val="18"/>
                <w:szCs w:val="18"/>
              </w:rPr>
              <w:t>Advanced Economies output gap</w:t>
            </w:r>
          </w:p>
        </w:tc>
        <w:tc>
          <w:tcPr>
            <w:tcW w:w="1539" w:type="dxa"/>
            <w:tcBorders>
              <w:top w:val="single" w:sz="4" w:space="0" w:color="auto"/>
              <w:left w:val="nil"/>
              <w:bottom w:val="single" w:sz="4" w:space="0" w:color="auto"/>
              <w:right w:val="single" w:sz="4" w:space="0" w:color="auto"/>
            </w:tcBorders>
            <w:vAlign w:val="bottom"/>
          </w:tcPr>
          <w:p w:rsidR="004F75D0" w:rsidRPr="006B4D38" w:rsidRDefault="004F75D0" w:rsidP="006B4D38">
            <w:pPr>
              <w:spacing w:after="0" w:line="240" w:lineRule="auto"/>
              <w:jc w:val="center"/>
              <w:rPr>
                <w:rFonts w:cs="Calibri"/>
                <w:b/>
                <w:bCs/>
              </w:rPr>
            </w:pPr>
            <w:r w:rsidRPr="006B4D38">
              <w:rPr>
                <w:rFonts w:cs="Calibri"/>
                <w:b/>
                <w:bCs/>
              </w:rPr>
              <w:t>G-7 output gap</w:t>
            </w:r>
          </w:p>
        </w:tc>
      </w:tr>
      <w:tr w:rsidR="004F75D0" w:rsidRPr="006B4D38" w:rsidTr="00002475">
        <w:trPr>
          <w:trHeight w:val="51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0,92</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2,97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3,03</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2,95</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1981</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1,98</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1,35</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1,17</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-1,13</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0,15</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-0,24</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-1,10</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-0,78</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-0,94</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0,71</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-1,64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-1,47</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-1,72</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0,60</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-1,98</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-1,98</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-2,11</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1986</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-0,16</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-1,00</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-0,87</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-0,46</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-0,17</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-0,03</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1988</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0,28</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0,21</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0,42</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1989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1,05</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-0,12</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-0,01</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0,95</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0,69</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0,76</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1991</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-0,54</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0,54</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0,79</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-0,47</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0,66</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0,89</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-0,78</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-0,11</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-0,19</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0,01</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-0,42</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0,11</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0,18</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-0,98</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0,99</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0,80</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1996</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-0,92</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0,81</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0,92</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0,57</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-0,50</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0,26</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0,00</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1998</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-0,49</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-0,21</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-0,24</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1999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0,06</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-0,30</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-0,25</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0,68</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-1,09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-0,82</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-0,72</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2001</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-0,41</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-1,34</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-1,26</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2002</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-1,36</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-1,19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-1,25</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-1,26</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-1,50</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-0,23</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-0,45</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-0,37</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-0,50</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0,27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0,11</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0,30</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2005</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0,62</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0,13</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0,20</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2006</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1,63</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0,08</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0,13</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0,20</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color w:val="000000"/>
              </w:rPr>
            </w:pPr>
            <w:r w:rsidRPr="006B4D38">
              <w:rPr>
                <w:rFonts w:cs="Calibri"/>
                <w:b/>
                <w:bCs/>
                <w:color w:val="000000"/>
              </w:rPr>
              <w:t>2007</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2,23</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0,71</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color w:val="000000"/>
              </w:rPr>
            </w:pPr>
            <w:r w:rsidRPr="006B4D38">
              <w:rPr>
                <w:rFonts w:cs="Calibri"/>
                <w:color w:val="000000"/>
              </w:rPr>
              <w:t>0,81</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0,76</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rPr>
            </w:pPr>
            <w:r w:rsidRPr="006B4D38">
              <w:rPr>
                <w:rFonts w:cs="Calibri"/>
                <w:b/>
                <w:bCs/>
              </w:rPr>
              <w:t>2008</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1,46</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1,04</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0,93</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0,92</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rPr>
            </w:pPr>
            <w:r w:rsidRPr="006B4D38">
              <w:rPr>
                <w:rFonts w:cs="Calibri"/>
                <w:b/>
                <w:bCs/>
              </w:rPr>
              <w:t>2009</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-1,54</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-0,11</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-0,34</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-0,32</w:t>
            </w:r>
          </w:p>
        </w:tc>
      </w:tr>
      <w:tr w:rsidR="004F75D0" w:rsidRPr="006B4D38" w:rsidTr="00002475">
        <w:trPr>
          <w:trHeight w:val="300"/>
          <w:jc w:val="center"/>
        </w:trPr>
        <w:tc>
          <w:tcPr>
            <w:tcW w:w="1491" w:type="dxa"/>
            <w:vMerge/>
            <w:tcBorders>
              <w:top w:val="single" w:sz="4" w:space="0" w:color="auto"/>
              <w:left w:val="single" w:sz="4" w:space="0" w:color="auto"/>
              <w:bottom w:val="single" w:sz="4" w:space="0" w:color="000000"/>
              <w:right w:val="single" w:sz="4" w:space="0" w:color="auto"/>
            </w:tcBorders>
            <w:vAlign w:val="center"/>
          </w:tcPr>
          <w:p w:rsidR="004F75D0" w:rsidRPr="006B4D38" w:rsidRDefault="004F75D0" w:rsidP="006B4D38">
            <w:pPr>
              <w:spacing w:after="0" w:line="240" w:lineRule="auto"/>
              <w:jc w:val="left"/>
              <w:rPr>
                <w:rFonts w:cs="Calibri"/>
                <w:b/>
                <w:bCs/>
                <w:color w:val="000000"/>
              </w:rPr>
            </w:pP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b/>
                <w:bCs/>
              </w:rPr>
            </w:pPr>
            <w:r w:rsidRPr="006B4D38">
              <w:rPr>
                <w:rFonts w:cs="Calibri"/>
                <w:b/>
                <w:bCs/>
              </w:rPr>
              <w:t>2010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-1,34</w:t>
            </w:r>
          </w:p>
        </w:tc>
        <w:tc>
          <w:tcPr>
            <w:tcW w:w="1418"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-0,50</w:t>
            </w:r>
          </w:p>
        </w:tc>
        <w:tc>
          <w:tcPr>
            <w:tcW w:w="1417"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-0,37</w:t>
            </w:r>
          </w:p>
        </w:tc>
        <w:tc>
          <w:tcPr>
            <w:tcW w:w="1539" w:type="dxa"/>
            <w:tcBorders>
              <w:top w:val="nil"/>
              <w:left w:val="nil"/>
              <w:bottom w:val="single" w:sz="4" w:space="0" w:color="auto"/>
              <w:right w:val="single" w:sz="4" w:space="0" w:color="auto"/>
            </w:tcBorders>
            <w:noWrap/>
            <w:vAlign w:val="bottom"/>
          </w:tcPr>
          <w:p w:rsidR="004F75D0" w:rsidRPr="006B4D38" w:rsidRDefault="004F75D0" w:rsidP="006B4D38">
            <w:pPr>
              <w:spacing w:after="0" w:line="240" w:lineRule="auto"/>
              <w:jc w:val="center"/>
              <w:rPr>
                <w:rFonts w:cs="Calibri"/>
              </w:rPr>
            </w:pPr>
            <w:r w:rsidRPr="006B4D38">
              <w:rPr>
                <w:rFonts w:cs="Calibri"/>
              </w:rPr>
              <w:t>-0,37</w:t>
            </w:r>
          </w:p>
        </w:tc>
      </w:tr>
    </w:tbl>
    <w:p w:rsidR="004F75D0" w:rsidRPr="00EF6B7D" w:rsidRDefault="004F75D0" w:rsidP="00EF6B7D">
      <w:pPr>
        <w:jc w:val="left"/>
      </w:pPr>
    </w:p>
    <w:sectPr w:rsidR="004F75D0" w:rsidRPr="00EF6B7D" w:rsidSect="00A1636A">
      <w:headerReference w:type="default" r:id="rId34"/>
      <w:footerReference w:type="default" r:id="rId35"/>
      <w:pgSz w:w="12240" w:h="15840"/>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75D0" w:rsidRDefault="004F75D0" w:rsidP="00A10221">
      <w:pPr>
        <w:spacing w:after="0" w:line="240" w:lineRule="auto"/>
      </w:pPr>
      <w:r>
        <w:separator/>
      </w:r>
    </w:p>
  </w:endnote>
  <w:endnote w:type="continuationSeparator" w:id="1">
    <w:p w:rsidR="004F75D0" w:rsidRDefault="004F75D0" w:rsidP="00A102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5D0" w:rsidRDefault="004F75D0">
    <w:pPr>
      <w:pStyle w:val="Footer"/>
      <w:jc w:val="right"/>
    </w:pPr>
    <w:fldSimple w:instr=" PAGE   \* MERGEFORMAT ">
      <w:r>
        <w:rPr>
          <w:noProof/>
        </w:rPr>
        <w:t>2</w:t>
      </w:r>
    </w:fldSimple>
  </w:p>
  <w:p w:rsidR="004F75D0" w:rsidRDefault="004F75D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75D0" w:rsidRDefault="004F75D0" w:rsidP="00A10221">
      <w:pPr>
        <w:spacing w:after="0" w:line="240" w:lineRule="auto"/>
      </w:pPr>
      <w:r>
        <w:separator/>
      </w:r>
    </w:p>
  </w:footnote>
  <w:footnote w:type="continuationSeparator" w:id="1">
    <w:p w:rsidR="004F75D0" w:rsidRDefault="004F75D0" w:rsidP="00A1022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5D0" w:rsidRDefault="004F75D0" w:rsidP="00884F88">
    <w:pPr>
      <w:pStyle w:val="Header"/>
      <w:rPr>
        <w:sz w:val="20"/>
        <w:szCs w:val="20"/>
      </w:rPr>
    </w:pPr>
    <w:r w:rsidRPr="00C34F84">
      <w:rPr>
        <w:sz w:val="20"/>
        <w:szCs w:val="20"/>
      </w:rPr>
      <w:t>BUSINESS CYCLE SYNCHRONIZATIO</w:t>
    </w:r>
    <w:r>
      <w:rPr>
        <w:sz w:val="20"/>
        <w:szCs w:val="20"/>
      </w:rPr>
      <w:t>N: AN APPLICATION TO BRIC ECONOMIES</w:t>
    </w:r>
  </w:p>
  <w:p w:rsidR="004F75D0" w:rsidRPr="00C34F84" w:rsidRDefault="004F75D0" w:rsidP="00884F88">
    <w:pPr>
      <w:pStyle w:val="Header"/>
      <w:rPr>
        <w:sz w:val="20"/>
        <w:szCs w:val="20"/>
      </w:rPr>
    </w:pPr>
    <w:r>
      <w:rPr>
        <w:sz w:val="20"/>
        <w:szCs w:val="20"/>
      </w:rPr>
      <w:t xml:space="preserve"> </w:t>
    </w:r>
    <w:r w:rsidRPr="00C34F84">
      <w:rPr>
        <w:sz w:val="20"/>
        <w:szCs w:val="20"/>
      </w:rPr>
      <w:tab/>
    </w:r>
    <w:r w:rsidRPr="00C34F84">
      <w:rPr>
        <w:sz w:val="20"/>
        <w:szCs w:val="20"/>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66E52"/>
    <w:multiLevelType w:val="hybridMultilevel"/>
    <w:tmpl w:val="DD0803C4"/>
    <w:lvl w:ilvl="0" w:tplc="04090011">
      <w:start w:val="3"/>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126D2172"/>
    <w:multiLevelType w:val="hybridMultilevel"/>
    <w:tmpl w:val="E76E00A0"/>
    <w:lvl w:ilvl="0" w:tplc="51B897C8">
      <w:start w:val="1"/>
      <w:numFmt w:val="upperRoman"/>
      <w:lvlText w:val="%1."/>
      <w:lvlJc w:val="right"/>
      <w:pPr>
        <w:ind w:left="1080" w:hanging="360"/>
      </w:pPr>
      <w:rPr>
        <w:rFonts w:cs="Times New Roman" w:hint="default"/>
        <w:i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
    <w:nsid w:val="13F13338"/>
    <w:multiLevelType w:val="hybridMultilevel"/>
    <w:tmpl w:val="7318D528"/>
    <w:lvl w:ilvl="0" w:tplc="04090013">
      <w:start w:val="1"/>
      <w:numFmt w:val="upp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C57620A"/>
    <w:multiLevelType w:val="hybridMultilevel"/>
    <w:tmpl w:val="984AF592"/>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2058179B"/>
    <w:multiLevelType w:val="hybridMultilevel"/>
    <w:tmpl w:val="1D3871F2"/>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2E440F8"/>
    <w:multiLevelType w:val="multilevel"/>
    <w:tmpl w:val="490244DC"/>
    <w:lvl w:ilvl="0">
      <w:start w:val="3"/>
      <w:numFmt w:val="decimal"/>
      <w:lvlText w:val="%1."/>
      <w:lvlJc w:val="left"/>
      <w:pPr>
        <w:ind w:left="375" w:hanging="37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
    <w:nsid w:val="29031AFC"/>
    <w:multiLevelType w:val="hybridMultilevel"/>
    <w:tmpl w:val="F738AE0C"/>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2BBD268E"/>
    <w:multiLevelType w:val="hybridMultilevel"/>
    <w:tmpl w:val="1DAA4518"/>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2BF75613"/>
    <w:multiLevelType w:val="hybridMultilevel"/>
    <w:tmpl w:val="F0B4B330"/>
    <w:lvl w:ilvl="0" w:tplc="D50E2E56">
      <w:start w:val="1"/>
      <w:numFmt w:val="lowerLetter"/>
      <w:lvlText w:val="%1."/>
      <w:lvlJc w:val="left"/>
      <w:pPr>
        <w:ind w:left="1069" w:hanging="360"/>
      </w:pPr>
      <w:rPr>
        <w:rFonts w:eastAsia="Times New Roman" w:cs="Times New Roman" w:hint="default"/>
        <w:color w:val="0000FF"/>
        <w:u w:val="single"/>
      </w:rPr>
    </w:lvl>
    <w:lvl w:ilvl="1" w:tplc="04090019" w:tentative="1">
      <w:start w:val="1"/>
      <w:numFmt w:val="lowerLetter"/>
      <w:lvlText w:val="%2."/>
      <w:lvlJc w:val="left"/>
      <w:pPr>
        <w:ind w:left="1789" w:hanging="360"/>
      </w:pPr>
      <w:rPr>
        <w:rFonts w:cs="Times New Roman"/>
      </w:rPr>
    </w:lvl>
    <w:lvl w:ilvl="2" w:tplc="0409001B" w:tentative="1">
      <w:start w:val="1"/>
      <w:numFmt w:val="lowerRoman"/>
      <w:lvlText w:val="%3."/>
      <w:lvlJc w:val="right"/>
      <w:pPr>
        <w:ind w:left="2509" w:hanging="180"/>
      </w:pPr>
      <w:rPr>
        <w:rFonts w:cs="Times New Roman"/>
      </w:rPr>
    </w:lvl>
    <w:lvl w:ilvl="3" w:tplc="0409000F" w:tentative="1">
      <w:start w:val="1"/>
      <w:numFmt w:val="decimal"/>
      <w:lvlText w:val="%4."/>
      <w:lvlJc w:val="left"/>
      <w:pPr>
        <w:ind w:left="3229" w:hanging="360"/>
      </w:pPr>
      <w:rPr>
        <w:rFonts w:cs="Times New Roman"/>
      </w:rPr>
    </w:lvl>
    <w:lvl w:ilvl="4" w:tplc="04090019" w:tentative="1">
      <w:start w:val="1"/>
      <w:numFmt w:val="lowerLetter"/>
      <w:lvlText w:val="%5."/>
      <w:lvlJc w:val="left"/>
      <w:pPr>
        <w:ind w:left="3949" w:hanging="360"/>
      </w:pPr>
      <w:rPr>
        <w:rFonts w:cs="Times New Roman"/>
      </w:rPr>
    </w:lvl>
    <w:lvl w:ilvl="5" w:tplc="0409001B" w:tentative="1">
      <w:start w:val="1"/>
      <w:numFmt w:val="lowerRoman"/>
      <w:lvlText w:val="%6."/>
      <w:lvlJc w:val="right"/>
      <w:pPr>
        <w:ind w:left="4669" w:hanging="180"/>
      </w:pPr>
      <w:rPr>
        <w:rFonts w:cs="Times New Roman"/>
      </w:rPr>
    </w:lvl>
    <w:lvl w:ilvl="6" w:tplc="0409000F" w:tentative="1">
      <w:start w:val="1"/>
      <w:numFmt w:val="decimal"/>
      <w:lvlText w:val="%7."/>
      <w:lvlJc w:val="left"/>
      <w:pPr>
        <w:ind w:left="5389" w:hanging="360"/>
      </w:pPr>
      <w:rPr>
        <w:rFonts w:cs="Times New Roman"/>
      </w:rPr>
    </w:lvl>
    <w:lvl w:ilvl="7" w:tplc="04090019" w:tentative="1">
      <w:start w:val="1"/>
      <w:numFmt w:val="lowerLetter"/>
      <w:lvlText w:val="%8."/>
      <w:lvlJc w:val="left"/>
      <w:pPr>
        <w:ind w:left="6109" w:hanging="360"/>
      </w:pPr>
      <w:rPr>
        <w:rFonts w:cs="Times New Roman"/>
      </w:rPr>
    </w:lvl>
    <w:lvl w:ilvl="8" w:tplc="0409001B" w:tentative="1">
      <w:start w:val="1"/>
      <w:numFmt w:val="lowerRoman"/>
      <w:lvlText w:val="%9."/>
      <w:lvlJc w:val="right"/>
      <w:pPr>
        <w:ind w:left="6829" w:hanging="180"/>
      </w:pPr>
      <w:rPr>
        <w:rFonts w:cs="Times New Roman"/>
      </w:rPr>
    </w:lvl>
  </w:abstractNum>
  <w:abstractNum w:abstractNumId="9">
    <w:nsid w:val="2EC45C7A"/>
    <w:multiLevelType w:val="hybridMultilevel"/>
    <w:tmpl w:val="4D681BC6"/>
    <w:lvl w:ilvl="0" w:tplc="04090017">
      <w:start w:val="1"/>
      <w:numFmt w:val="lowerLetter"/>
      <w:lvlText w:val="%1)"/>
      <w:lvlJc w:val="left"/>
      <w:pPr>
        <w:ind w:left="720" w:hanging="360"/>
      </w:pPr>
      <w:rPr>
        <w:rFonts w:cs="Times New Roman" w:hint="default"/>
        <w:b w:val="0"/>
        <w:u w:val="non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3A59275B"/>
    <w:multiLevelType w:val="multilevel"/>
    <w:tmpl w:val="FE907418"/>
    <w:lvl w:ilvl="0">
      <w:start w:val="2"/>
      <w:numFmt w:val="decimal"/>
      <w:lvlText w:val="%1."/>
      <w:lvlJc w:val="left"/>
      <w:pPr>
        <w:ind w:left="375" w:hanging="37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3B39387B"/>
    <w:multiLevelType w:val="multilevel"/>
    <w:tmpl w:val="1B8E5882"/>
    <w:lvl w:ilvl="0">
      <w:start w:val="2"/>
      <w:numFmt w:val="decimal"/>
      <w:lvlText w:val="%1."/>
      <w:lvlJc w:val="left"/>
      <w:pPr>
        <w:ind w:left="375" w:hanging="37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3BF432A0"/>
    <w:multiLevelType w:val="multilevel"/>
    <w:tmpl w:val="7E5CEF30"/>
    <w:lvl w:ilvl="0">
      <w:start w:val="1"/>
      <w:numFmt w:val="lowerLetter"/>
      <w:lvlText w:val="%1)"/>
      <w:lvlJc w:val="left"/>
      <w:pPr>
        <w:ind w:left="1080" w:hanging="360"/>
      </w:pPr>
      <w:rPr>
        <w:rFonts w:cs="Times New Roman" w:hint="default"/>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13">
    <w:nsid w:val="3C874082"/>
    <w:multiLevelType w:val="hybridMultilevel"/>
    <w:tmpl w:val="4D9E0144"/>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3E7D70FD"/>
    <w:multiLevelType w:val="hybridMultilevel"/>
    <w:tmpl w:val="97A289D6"/>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436B3330"/>
    <w:multiLevelType w:val="hybridMultilevel"/>
    <w:tmpl w:val="346C5B6E"/>
    <w:lvl w:ilvl="0" w:tplc="2624A73A">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47275B52"/>
    <w:multiLevelType w:val="hybridMultilevel"/>
    <w:tmpl w:val="179C32CA"/>
    <w:lvl w:ilvl="0" w:tplc="0116055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51532FA8"/>
    <w:multiLevelType w:val="hybridMultilevel"/>
    <w:tmpl w:val="B14E914C"/>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5A8E306E"/>
    <w:multiLevelType w:val="hybridMultilevel"/>
    <w:tmpl w:val="4EAC6C2E"/>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5E5F3375"/>
    <w:multiLevelType w:val="hybridMultilevel"/>
    <w:tmpl w:val="C6D804DE"/>
    <w:lvl w:ilvl="0" w:tplc="0408000F">
      <w:start w:val="2"/>
      <w:numFmt w:val="decimal"/>
      <w:lvlText w:val="%1."/>
      <w:lvlJc w:val="left"/>
      <w:pPr>
        <w:ind w:left="720" w:hanging="360"/>
      </w:pPr>
      <w:rPr>
        <w:rFonts w:cs="Times New Roman" w:hint="default"/>
      </w:rPr>
    </w:lvl>
    <w:lvl w:ilvl="1" w:tplc="04080019">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20">
    <w:nsid w:val="617A46C1"/>
    <w:multiLevelType w:val="hybridMultilevel"/>
    <w:tmpl w:val="26BC6F08"/>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6530200A"/>
    <w:multiLevelType w:val="hybridMultilevel"/>
    <w:tmpl w:val="2E282864"/>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6EEF2569"/>
    <w:multiLevelType w:val="hybridMultilevel"/>
    <w:tmpl w:val="CD5CC5E4"/>
    <w:lvl w:ilvl="0" w:tplc="0116055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742921DF"/>
    <w:multiLevelType w:val="multilevel"/>
    <w:tmpl w:val="44DABB86"/>
    <w:lvl w:ilvl="0">
      <w:start w:val="3"/>
      <w:numFmt w:val="decimal"/>
      <w:lvlText w:val="%1."/>
      <w:lvlJc w:val="left"/>
      <w:pPr>
        <w:ind w:left="375" w:hanging="37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7BB9322C"/>
    <w:multiLevelType w:val="hybridMultilevel"/>
    <w:tmpl w:val="687833B8"/>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7C8310A0"/>
    <w:multiLevelType w:val="hybridMultilevel"/>
    <w:tmpl w:val="C36CBA72"/>
    <w:lvl w:ilvl="0" w:tplc="04090013">
      <w:start w:val="1"/>
      <w:numFmt w:val="upp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7F3B3FC1"/>
    <w:multiLevelType w:val="hybridMultilevel"/>
    <w:tmpl w:val="0E4A8662"/>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7F453DA1"/>
    <w:multiLevelType w:val="multilevel"/>
    <w:tmpl w:val="08A898AC"/>
    <w:lvl w:ilvl="0">
      <w:start w:val="3"/>
      <w:numFmt w:val="decimal"/>
      <w:lvlText w:val="%1."/>
      <w:lvlJc w:val="left"/>
      <w:pPr>
        <w:ind w:left="375" w:hanging="37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8">
    <w:nsid w:val="7F9126EF"/>
    <w:multiLevelType w:val="hybridMultilevel"/>
    <w:tmpl w:val="4D9E0144"/>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5"/>
  </w:num>
  <w:num w:numId="2">
    <w:abstractNumId w:val="21"/>
  </w:num>
  <w:num w:numId="3">
    <w:abstractNumId w:val="14"/>
  </w:num>
  <w:num w:numId="4">
    <w:abstractNumId w:val="6"/>
  </w:num>
  <w:num w:numId="5">
    <w:abstractNumId w:val="10"/>
  </w:num>
  <w:num w:numId="6">
    <w:abstractNumId w:val="4"/>
  </w:num>
  <w:num w:numId="7">
    <w:abstractNumId w:val="7"/>
  </w:num>
  <w:num w:numId="8">
    <w:abstractNumId w:val="20"/>
  </w:num>
  <w:num w:numId="9">
    <w:abstractNumId w:val="3"/>
  </w:num>
  <w:num w:numId="10">
    <w:abstractNumId w:val="5"/>
  </w:num>
  <w:num w:numId="11">
    <w:abstractNumId w:val="26"/>
  </w:num>
  <w:num w:numId="12">
    <w:abstractNumId w:val="18"/>
  </w:num>
  <w:num w:numId="13">
    <w:abstractNumId w:val="17"/>
  </w:num>
  <w:num w:numId="14">
    <w:abstractNumId w:val="11"/>
  </w:num>
  <w:num w:numId="15">
    <w:abstractNumId w:val="27"/>
  </w:num>
  <w:num w:numId="16">
    <w:abstractNumId w:val="9"/>
  </w:num>
  <w:num w:numId="17">
    <w:abstractNumId w:val="0"/>
  </w:num>
  <w:num w:numId="18">
    <w:abstractNumId w:val="23"/>
  </w:num>
  <w:num w:numId="19">
    <w:abstractNumId w:val="24"/>
  </w:num>
  <w:num w:numId="20">
    <w:abstractNumId w:val="1"/>
  </w:num>
  <w:num w:numId="21">
    <w:abstractNumId w:val="28"/>
  </w:num>
  <w:num w:numId="22">
    <w:abstractNumId w:val="13"/>
  </w:num>
  <w:num w:numId="23">
    <w:abstractNumId w:val="12"/>
  </w:num>
  <w:num w:numId="24">
    <w:abstractNumId w:val="19"/>
  </w:num>
  <w:num w:numId="25">
    <w:abstractNumId w:val="25"/>
  </w:num>
  <w:num w:numId="26">
    <w:abstractNumId w:val="2"/>
  </w:num>
  <w:num w:numId="27">
    <w:abstractNumId w:val="16"/>
  </w:num>
  <w:num w:numId="28">
    <w:abstractNumId w:val="22"/>
  </w:num>
  <w:num w:numId="2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E714A"/>
    <w:rsid w:val="00001068"/>
    <w:rsid w:val="00001A0F"/>
    <w:rsid w:val="00001A86"/>
    <w:rsid w:val="00002475"/>
    <w:rsid w:val="000035D9"/>
    <w:rsid w:val="0000487B"/>
    <w:rsid w:val="00004AA3"/>
    <w:rsid w:val="00012275"/>
    <w:rsid w:val="00016A88"/>
    <w:rsid w:val="00020235"/>
    <w:rsid w:val="00024026"/>
    <w:rsid w:val="0002619E"/>
    <w:rsid w:val="00027676"/>
    <w:rsid w:val="000334B1"/>
    <w:rsid w:val="000344A5"/>
    <w:rsid w:val="00036027"/>
    <w:rsid w:val="00036993"/>
    <w:rsid w:val="00051A32"/>
    <w:rsid w:val="00062127"/>
    <w:rsid w:val="000621A0"/>
    <w:rsid w:val="00071F26"/>
    <w:rsid w:val="00081F8D"/>
    <w:rsid w:val="000820DE"/>
    <w:rsid w:val="00086621"/>
    <w:rsid w:val="0009405A"/>
    <w:rsid w:val="000A146D"/>
    <w:rsid w:val="000A5539"/>
    <w:rsid w:val="000B5AAE"/>
    <w:rsid w:val="000C4545"/>
    <w:rsid w:val="000C59ED"/>
    <w:rsid w:val="000D760D"/>
    <w:rsid w:val="000E134B"/>
    <w:rsid w:val="000E638E"/>
    <w:rsid w:val="000E6AD6"/>
    <w:rsid w:val="000F1D3C"/>
    <w:rsid w:val="000F2F01"/>
    <w:rsid w:val="0010117E"/>
    <w:rsid w:val="0010691B"/>
    <w:rsid w:val="00106CCD"/>
    <w:rsid w:val="00107AF9"/>
    <w:rsid w:val="00110D9C"/>
    <w:rsid w:val="00114327"/>
    <w:rsid w:val="0011628F"/>
    <w:rsid w:val="0012677D"/>
    <w:rsid w:val="00130C0A"/>
    <w:rsid w:val="001331A8"/>
    <w:rsid w:val="00135372"/>
    <w:rsid w:val="00143E68"/>
    <w:rsid w:val="00146CA9"/>
    <w:rsid w:val="00156B41"/>
    <w:rsid w:val="00157948"/>
    <w:rsid w:val="0017023C"/>
    <w:rsid w:val="00172502"/>
    <w:rsid w:val="001742E4"/>
    <w:rsid w:val="0018284A"/>
    <w:rsid w:val="001867B9"/>
    <w:rsid w:val="001A2071"/>
    <w:rsid w:val="001A631D"/>
    <w:rsid w:val="001A7C0C"/>
    <w:rsid w:val="001B42CE"/>
    <w:rsid w:val="001B4E94"/>
    <w:rsid w:val="001D1DBB"/>
    <w:rsid w:val="001E6C20"/>
    <w:rsid w:val="001E6E04"/>
    <w:rsid w:val="001F1184"/>
    <w:rsid w:val="001F411A"/>
    <w:rsid w:val="002009A8"/>
    <w:rsid w:val="00206E3B"/>
    <w:rsid w:val="0021020A"/>
    <w:rsid w:val="0021262A"/>
    <w:rsid w:val="00214A22"/>
    <w:rsid w:val="002208F4"/>
    <w:rsid w:val="002305CC"/>
    <w:rsid w:val="002448BE"/>
    <w:rsid w:val="00262EDD"/>
    <w:rsid w:val="002732C6"/>
    <w:rsid w:val="0027746E"/>
    <w:rsid w:val="00292CDF"/>
    <w:rsid w:val="002931B8"/>
    <w:rsid w:val="00293A7D"/>
    <w:rsid w:val="00296953"/>
    <w:rsid w:val="002A2691"/>
    <w:rsid w:val="002B0437"/>
    <w:rsid w:val="002B1A5B"/>
    <w:rsid w:val="002C0835"/>
    <w:rsid w:val="002C238F"/>
    <w:rsid w:val="002C2E63"/>
    <w:rsid w:val="002C7D7C"/>
    <w:rsid w:val="002D3BED"/>
    <w:rsid w:val="002D692E"/>
    <w:rsid w:val="002D6E94"/>
    <w:rsid w:val="002E13F9"/>
    <w:rsid w:val="002E2B97"/>
    <w:rsid w:val="002E756A"/>
    <w:rsid w:val="002F7D77"/>
    <w:rsid w:val="0030013E"/>
    <w:rsid w:val="00300D09"/>
    <w:rsid w:val="0030305D"/>
    <w:rsid w:val="00305128"/>
    <w:rsid w:val="003054AF"/>
    <w:rsid w:val="00305A19"/>
    <w:rsid w:val="00310590"/>
    <w:rsid w:val="00317493"/>
    <w:rsid w:val="00322521"/>
    <w:rsid w:val="003237D4"/>
    <w:rsid w:val="00327890"/>
    <w:rsid w:val="00335229"/>
    <w:rsid w:val="00343051"/>
    <w:rsid w:val="003450CA"/>
    <w:rsid w:val="003466EA"/>
    <w:rsid w:val="0034715F"/>
    <w:rsid w:val="003523DE"/>
    <w:rsid w:val="00354B58"/>
    <w:rsid w:val="00364369"/>
    <w:rsid w:val="0036459C"/>
    <w:rsid w:val="00364EC6"/>
    <w:rsid w:val="00371525"/>
    <w:rsid w:val="0037415A"/>
    <w:rsid w:val="00377349"/>
    <w:rsid w:val="00381748"/>
    <w:rsid w:val="00386F67"/>
    <w:rsid w:val="003A5340"/>
    <w:rsid w:val="003A6EDF"/>
    <w:rsid w:val="003B3BCB"/>
    <w:rsid w:val="003B3FC5"/>
    <w:rsid w:val="003B633E"/>
    <w:rsid w:val="003F435E"/>
    <w:rsid w:val="00402F9A"/>
    <w:rsid w:val="0040314C"/>
    <w:rsid w:val="00411BB7"/>
    <w:rsid w:val="004147F7"/>
    <w:rsid w:val="00421A07"/>
    <w:rsid w:val="00433F12"/>
    <w:rsid w:val="00434E44"/>
    <w:rsid w:val="00435CE3"/>
    <w:rsid w:val="00442CD2"/>
    <w:rsid w:val="004445A4"/>
    <w:rsid w:val="004548A9"/>
    <w:rsid w:val="00457DF5"/>
    <w:rsid w:val="004614C5"/>
    <w:rsid w:val="00463294"/>
    <w:rsid w:val="004665E5"/>
    <w:rsid w:val="0046683B"/>
    <w:rsid w:val="004711D0"/>
    <w:rsid w:val="00476149"/>
    <w:rsid w:val="00483257"/>
    <w:rsid w:val="004904FC"/>
    <w:rsid w:val="00491C7A"/>
    <w:rsid w:val="004953FE"/>
    <w:rsid w:val="00497EE6"/>
    <w:rsid w:val="004A322A"/>
    <w:rsid w:val="004D477E"/>
    <w:rsid w:val="004D7120"/>
    <w:rsid w:val="004E2FD0"/>
    <w:rsid w:val="004F2ADA"/>
    <w:rsid w:val="004F30EB"/>
    <w:rsid w:val="004F75D0"/>
    <w:rsid w:val="004F7675"/>
    <w:rsid w:val="00507440"/>
    <w:rsid w:val="00511922"/>
    <w:rsid w:val="005123CB"/>
    <w:rsid w:val="00525E2F"/>
    <w:rsid w:val="00527D15"/>
    <w:rsid w:val="00532BD3"/>
    <w:rsid w:val="005331E7"/>
    <w:rsid w:val="00535664"/>
    <w:rsid w:val="00536277"/>
    <w:rsid w:val="00543154"/>
    <w:rsid w:val="00552868"/>
    <w:rsid w:val="00552B0B"/>
    <w:rsid w:val="00557252"/>
    <w:rsid w:val="00557B84"/>
    <w:rsid w:val="0056208A"/>
    <w:rsid w:val="0056406A"/>
    <w:rsid w:val="00565A95"/>
    <w:rsid w:val="00567BF1"/>
    <w:rsid w:val="00573F5F"/>
    <w:rsid w:val="005761B3"/>
    <w:rsid w:val="00582529"/>
    <w:rsid w:val="0059659C"/>
    <w:rsid w:val="00597B62"/>
    <w:rsid w:val="005A12FC"/>
    <w:rsid w:val="005A5A7F"/>
    <w:rsid w:val="005B2DDA"/>
    <w:rsid w:val="005B32DF"/>
    <w:rsid w:val="005B3A0A"/>
    <w:rsid w:val="005B7C29"/>
    <w:rsid w:val="005D1593"/>
    <w:rsid w:val="005D4374"/>
    <w:rsid w:val="005E004A"/>
    <w:rsid w:val="005E7028"/>
    <w:rsid w:val="00602BA1"/>
    <w:rsid w:val="00611B56"/>
    <w:rsid w:val="006170B8"/>
    <w:rsid w:val="00624012"/>
    <w:rsid w:val="006258CD"/>
    <w:rsid w:val="00626815"/>
    <w:rsid w:val="00634BFD"/>
    <w:rsid w:val="006415E2"/>
    <w:rsid w:val="0064340B"/>
    <w:rsid w:val="00645603"/>
    <w:rsid w:val="00647746"/>
    <w:rsid w:val="00650697"/>
    <w:rsid w:val="00655935"/>
    <w:rsid w:val="00655FCB"/>
    <w:rsid w:val="00667E5A"/>
    <w:rsid w:val="00671DA8"/>
    <w:rsid w:val="00677904"/>
    <w:rsid w:val="00681869"/>
    <w:rsid w:val="006852DE"/>
    <w:rsid w:val="006911A5"/>
    <w:rsid w:val="006A02A0"/>
    <w:rsid w:val="006A1035"/>
    <w:rsid w:val="006A6788"/>
    <w:rsid w:val="006A72EC"/>
    <w:rsid w:val="006B21EC"/>
    <w:rsid w:val="006B4D38"/>
    <w:rsid w:val="006B7135"/>
    <w:rsid w:val="006D0023"/>
    <w:rsid w:val="006D3E47"/>
    <w:rsid w:val="006E0F08"/>
    <w:rsid w:val="006E18B6"/>
    <w:rsid w:val="006F4345"/>
    <w:rsid w:val="00700865"/>
    <w:rsid w:val="00700CEA"/>
    <w:rsid w:val="00703108"/>
    <w:rsid w:val="00704A4E"/>
    <w:rsid w:val="007071F2"/>
    <w:rsid w:val="00720CA3"/>
    <w:rsid w:val="00722A26"/>
    <w:rsid w:val="007332D4"/>
    <w:rsid w:val="00733EB7"/>
    <w:rsid w:val="0073440D"/>
    <w:rsid w:val="00735E76"/>
    <w:rsid w:val="0075414B"/>
    <w:rsid w:val="00757751"/>
    <w:rsid w:val="00763512"/>
    <w:rsid w:val="00763C57"/>
    <w:rsid w:val="00764A6A"/>
    <w:rsid w:val="0077537A"/>
    <w:rsid w:val="00783D9C"/>
    <w:rsid w:val="007878A0"/>
    <w:rsid w:val="00792670"/>
    <w:rsid w:val="007927B1"/>
    <w:rsid w:val="00795AEC"/>
    <w:rsid w:val="007A579C"/>
    <w:rsid w:val="007B1D56"/>
    <w:rsid w:val="007B64B7"/>
    <w:rsid w:val="007C4117"/>
    <w:rsid w:val="007C491C"/>
    <w:rsid w:val="007C4C9B"/>
    <w:rsid w:val="007C7CC9"/>
    <w:rsid w:val="007D5DDE"/>
    <w:rsid w:val="007E22E9"/>
    <w:rsid w:val="007E5B47"/>
    <w:rsid w:val="007E6B6B"/>
    <w:rsid w:val="007F7735"/>
    <w:rsid w:val="00805E66"/>
    <w:rsid w:val="008065B4"/>
    <w:rsid w:val="00824581"/>
    <w:rsid w:val="0082540D"/>
    <w:rsid w:val="00830AD8"/>
    <w:rsid w:val="0083331B"/>
    <w:rsid w:val="00835D48"/>
    <w:rsid w:val="00845C93"/>
    <w:rsid w:val="00856E33"/>
    <w:rsid w:val="0086080F"/>
    <w:rsid w:val="008613E4"/>
    <w:rsid w:val="00863224"/>
    <w:rsid w:val="00871E77"/>
    <w:rsid w:val="0087518A"/>
    <w:rsid w:val="00876F4A"/>
    <w:rsid w:val="008802B8"/>
    <w:rsid w:val="00884F88"/>
    <w:rsid w:val="00885DD8"/>
    <w:rsid w:val="00886D94"/>
    <w:rsid w:val="008877F0"/>
    <w:rsid w:val="0089341B"/>
    <w:rsid w:val="00897537"/>
    <w:rsid w:val="008A7237"/>
    <w:rsid w:val="008C420A"/>
    <w:rsid w:val="008C6471"/>
    <w:rsid w:val="008D3AAC"/>
    <w:rsid w:val="008D54BC"/>
    <w:rsid w:val="008E701A"/>
    <w:rsid w:val="008F0DFB"/>
    <w:rsid w:val="008F3E53"/>
    <w:rsid w:val="0091234C"/>
    <w:rsid w:val="009131D6"/>
    <w:rsid w:val="00914E78"/>
    <w:rsid w:val="009218F7"/>
    <w:rsid w:val="00924178"/>
    <w:rsid w:val="00926EB1"/>
    <w:rsid w:val="00932E89"/>
    <w:rsid w:val="009351B2"/>
    <w:rsid w:val="009379AA"/>
    <w:rsid w:val="009432E9"/>
    <w:rsid w:val="00943713"/>
    <w:rsid w:val="00945B31"/>
    <w:rsid w:val="00950D8A"/>
    <w:rsid w:val="009511FC"/>
    <w:rsid w:val="00953706"/>
    <w:rsid w:val="00955006"/>
    <w:rsid w:val="00965823"/>
    <w:rsid w:val="00970150"/>
    <w:rsid w:val="0097505A"/>
    <w:rsid w:val="00981655"/>
    <w:rsid w:val="0098768C"/>
    <w:rsid w:val="009979EF"/>
    <w:rsid w:val="009A466A"/>
    <w:rsid w:val="009B0FE8"/>
    <w:rsid w:val="009B1033"/>
    <w:rsid w:val="009B5D97"/>
    <w:rsid w:val="009B5FF3"/>
    <w:rsid w:val="009C14DB"/>
    <w:rsid w:val="009C764A"/>
    <w:rsid w:val="009D04D0"/>
    <w:rsid w:val="009D26D4"/>
    <w:rsid w:val="009D3F5F"/>
    <w:rsid w:val="009E6A66"/>
    <w:rsid w:val="009E77C2"/>
    <w:rsid w:val="00A05956"/>
    <w:rsid w:val="00A10221"/>
    <w:rsid w:val="00A10CB4"/>
    <w:rsid w:val="00A12B61"/>
    <w:rsid w:val="00A15DD4"/>
    <w:rsid w:val="00A1636A"/>
    <w:rsid w:val="00A23D9F"/>
    <w:rsid w:val="00A32D3A"/>
    <w:rsid w:val="00A346DD"/>
    <w:rsid w:val="00A34F30"/>
    <w:rsid w:val="00A375BD"/>
    <w:rsid w:val="00A52A28"/>
    <w:rsid w:val="00A55ECA"/>
    <w:rsid w:val="00A57741"/>
    <w:rsid w:val="00A604B4"/>
    <w:rsid w:val="00A657C3"/>
    <w:rsid w:val="00A7110D"/>
    <w:rsid w:val="00A745A5"/>
    <w:rsid w:val="00A75ADB"/>
    <w:rsid w:val="00A83103"/>
    <w:rsid w:val="00A84AC8"/>
    <w:rsid w:val="00A91A22"/>
    <w:rsid w:val="00A9245B"/>
    <w:rsid w:val="00A942D2"/>
    <w:rsid w:val="00A97583"/>
    <w:rsid w:val="00AA2053"/>
    <w:rsid w:val="00AA43C6"/>
    <w:rsid w:val="00AB18CD"/>
    <w:rsid w:val="00AB25F9"/>
    <w:rsid w:val="00AB35DE"/>
    <w:rsid w:val="00AB496C"/>
    <w:rsid w:val="00AB5FCB"/>
    <w:rsid w:val="00AC20F8"/>
    <w:rsid w:val="00AD1E61"/>
    <w:rsid w:val="00AD4E4C"/>
    <w:rsid w:val="00AF300B"/>
    <w:rsid w:val="00AF4FD5"/>
    <w:rsid w:val="00B009FE"/>
    <w:rsid w:val="00B01BC5"/>
    <w:rsid w:val="00B027D7"/>
    <w:rsid w:val="00B12F70"/>
    <w:rsid w:val="00B13997"/>
    <w:rsid w:val="00B17BDE"/>
    <w:rsid w:val="00B21AB7"/>
    <w:rsid w:val="00B24B2A"/>
    <w:rsid w:val="00B266E6"/>
    <w:rsid w:val="00B274FF"/>
    <w:rsid w:val="00B320ED"/>
    <w:rsid w:val="00B35855"/>
    <w:rsid w:val="00B41EB3"/>
    <w:rsid w:val="00B72189"/>
    <w:rsid w:val="00B722C6"/>
    <w:rsid w:val="00B7318F"/>
    <w:rsid w:val="00B83397"/>
    <w:rsid w:val="00B845BD"/>
    <w:rsid w:val="00B952B4"/>
    <w:rsid w:val="00BA23BC"/>
    <w:rsid w:val="00BA269C"/>
    <w:rsid w:val="00BA5E20"/>
    <w:rsid w:val="00BA718B"/>
    <w:rsid w:val="00BB77D9"/>
    <w:rsid w:val="00BD698F"/>
    <w:rsid w:val="00BD768E"/>
    <w:rsid w:val="00BD7C3E"/>
    <w:rsid w:val="00BD7D8B"/>
    <w:rsid w:val="00BE345B"/>
    <w:rsid w:val="00BE4174"/>
    <w:rsid w:val="00BF329B"/>
    <w:rsid w:val="00BF32FE"/>
    <w:rsid w:val="00BF40E1"/>
    <w:rsid w:val="00BF6A2E"/>
    <w:rsid w:val="00C003CA"/>
    <w:rsid w:val="00C04633"/>
    <w:rsid w:val="00C061D7"/>
    <w:rsid w:val="00C15027"/>
    <w:rsid w:val="00C21610"/>
    <w:rsid w:val="00C34F84"/>
    <w:rsid w:val="00C37C43"/>
    <w:rsid w:val="00C37C4F"/>
    <w:rsid w:val="00C417E4"/>
    <w:rsid w:val="00C42FA3"/>
    <w:rsid w:val="00C53CC2"/>
    <w:rsid w:val="00C57490"/>
    <w:rsid w:val="00C61AE0"/>
    <w:rsid w:val="00C71D67"/>
    <w:rsid w:val="00C7260C"/>
    <w:rsid w:val="00C75E32"/>
    <w:rsid w:val="00C87CA4"/>
    <w:rsid w:val="00C92396"/>
    <w:rsid w:val="00C93353"/>
    <w:rsid w:val="00C940AA"/>
    <w:rsid w:val="00C96B68"/>
    <w:rsid w:val="00CA2183"/>
    <w:rsid w:val="00CA2B98"/>
    <w:rsid w:val="00CB1B59"/>
    <w:rsid w:val="00CB1CBC"/>
    <w:rsid w:val="00CB36AC"/>
    <w:rsid w:val="00CB5E1F"/>
    <w:rsid w:val="00CB6330"/>
    <w:rsid w:val="00CB6484"/>
    <w:rsid w:val="00CC1525"/>
    <w:rsid w:val="00CC15D4"/>
    <w:rsid w:val="00CC3809"/>
    <w:rsid w:val="00CC45C0"/>
    <w:rsid w:val="00CC5711"/>
    <w:rsid w:val="00CD38A1"/>
    <w:rsid w:val="00CD7A85"/>
    <w:rsid w:val="00CE1776"/>
    <w:rsid w:val="00CE57F2"/>
    <w:rsid w:val="00CE5A80"/>
    <w:rsid w:val="00CF0C51"/>
    <w:rsid w:val="00D010B4"/>
    <w:rsid w:val="00D01D06"/>
    <w:rsid w:val="00D13390"/>
    <w:rsid w:val="00D137DB"/>
    <w:rsid w:val="00D21EC6"/>
    <w:rsid w:val="00D23492"/>
    <w:rsid w:val="00D339AB"/>
    <w:rsid w:val="00D34F44"/>
    <w:rsid w:val="00D35E20"/>
    <w:rsid w:val="00D421DF"/>
    <w:rsid w:val="00D43020"/>
    <w:rsid w:val="00D440F3"/>
    <w:rsid w:val="00D52502"/>
    <w:rsid w:val="00D56835"/>
    <w:rsid w:val="00D604CA"/>
    <w:rsid w:val="00D63105"/>
    <w:rsid w:val="00D712F9"/>
    <w:rsid w:val="00D7155B"/>
    <w:rsid w:val="00D733A0"/>
    <w:rsid w:val="00D74925"/>
    <w:rsid w:val="00D76E48"/>
    <w:rsid w:val="00D80719"/>
    <w:rsid w:val="00D92A77"/>
    <w:rsid w:val="00D97384"/>
    <w:rsid w:val="00D9765C"/>
    <w:rsid w:val="00DA609C"/>
    <w:rsid w:val="00DB00A9"/>
    <w:rsid w:val="00DB2851"/>
    <w:rsid w:val="00DB406A"/>
    <w:rsid w:val="00DB493E"/>
    <w:rsid w:val="00DB5C09"/>
    <w:rsid w:val="00DB5FC1"/>
    <w:rsid w:val="00DB74A0"/>
    <w:rsid w:val="00DC3493"/>
    <w:rsid w:val="00DD1827"/>
    <w:rsid w:val="00DD33DD"/>
    <w:rsid w:val="00DD69C7"/>
    <w:rsid w:val="00DD74B1"/>
    <w:rsid w:val="00DE58C1"/>
    <w:rsid w:val="00DF0DE6"/>
    <w:rsid w:val="00DF248F"/>
    <w:rsid w:val="00DF6CEE"/>
    <w:rsid w:val="00E236AA"/>
    <w:rsid w:val="00E33842"/>
    <w:rsid w:val="00E33FBA"/>
    <w:rsid w:val="00E44E1A"/>
    <w:rsid w:val="00E478B5"/>
    <w:rsid w:val="00E52BF7"/>
    <w:rsid w:val="00E553BC"/>
    <w:rsid w:val="00E60CD9"/>
    <w:rsid w:val="00E6316E"/>
    <w:rsid w:val="00E64478"/>
    <w:rsid w:val="00E662AF"/>
    <w:rsid w:val="00E66379"/>
    <w:rsid w:val="00E6777F"/>
    <w:rsid w:val="00E71997"/>
    <w:rsid w:val="00E72291"/>
    <w:rsid w:val="00E726B1"/>
    <w:rsid w:val="00E81E45"/>
    <w:rsid w:val="00E836C1"/>
    <w:rsid w:val="00E867BE"/>
    <w:rsid w:val="00E9348C"/>
    <w:rsid w:val="00E93D31"/>
    <w:rsid w:val="00E96EFB"/>
    <w:rsid w:val="00EA4D3D"/>
    <w:rsid w:val="00EB008B"/>
    <w:rsid w:val="00EB544F"/>
    <w:rsid w:val="00EB6314"/>
    <w:rsid w:val="00EC70C8"/>
    <w:rsid w:val="00ED38B8"/>
    <w:rsid w:val="00ED775A"/>
    <w:rsid w:val="00EE1E0A"/>
    <w:rsid w:val="00EE4B3E"/>
    <w:rsid w:val="00EE6C37"/>
    <w:rsid w:val="00EE714A"/>
    <w:rsid w:val="00EE783C"/>
    <w:rsid w:val="00EF6B7D"/>
    <w:rsid w:val="00F00A36"/>
    <w:rsid w:val="00F0398C"/>
    <w:rsid w:val="00F139AE"/>
    <w:rsid w:val="00F33A1F"/>
    <w:rsid w:val="00F3412D"/>
    <w:rsid w:val="00F432EC"/>
    <w:rsid w:val="00F50196"/>
    <w:rsid w:val="00F52E82"/>
    <w:rsid w:val="00F53C0A"/>
    <w:rsid w:val="00F56513"/>
    <w:rsid w:val="00F649B2"/>
    <w:rsid w:val="00F76D13"/>
    <w:rsid w:val="00F9252E"/>
    <w:rsid w:val="00F93A9C"/>
    <w:rsid w:val="00FA57C6"/>
    <w:rsid w:val="00FB3FA5"/>
    <w:rsid w:val="00FB5E46"/>
    <w:rsid w:val="00FC7E56"/>
    <w:rsid w:val="00FD01CA"/>
    <w:rsid w:val="00FD51E0"/>
    <w:rsid w:val="00FD5311"/>
    <w:rsid w:val="00FE6530"/>
    <w:rsid w:val="00FF12BE"/>
    <w:rsid w:val="00FF347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7B1D56"/>
    <w:pPr>
      <w:spacing w:after="200" w:line="360" w:lineRule="auto"/>
      <w:jc w:val="both"/>
    </w:pPr>
  </w:style>
  <w:style w:type="paragraph" w:styleId="Heading1">
    <w:name w:val="heading 1"/>
    <w:basedOn w:val="Normal"/>
    <w:next w:val="Normal"/>
    <w:link w:val="Heading1Char"/>
    <w:uiPriority w:val="99"/>
    <w:qFormat/>
    <w:rsid w:val="00E93D31"/>
    <w:pPr>
      <w:keepNext/>
      <w:spacing w:before="240" w:after="60"/>
      <w:outlineLvl w:val="0"/>
    </w:pPr>
    <w:rPr>
      <w:rFonts w:eastAsia="Times New Roman"/>
      <w:b/>
      <w:bCs/>
      <w:kern w:val="32"/>
      <w:sz w:val="28"/>
      <w:szCs w:val="32"/>
    </w:rPr>
  </w:style>
  <w:style w:type="paragraph" w:styleId="Heading2">
    <w:name w:val="heading 2"/>
    <w:basedOn w:val="Normal"/>
    <w:next w:val="Normal"/>
    <w:link w:val="Heading2Char"/>
    <w:uiPriority w:val="99"/>
    <w:qFormat/>
    <w:rsid w:val="00E93D31"/>
    <w:pPr>
      <w:keepNext/>
      <w:spacing w:before="240" w:after="60"/>
      <w:outlineLvl w:val="1"/>
    </w:pPr>
    <w:rPr>
      <w:rFonts w:eastAsia="Times New Roman"/>
      <w:b/>
      <w:bCs/>
      <w:iCs/>
      <w:sz w:val="32"/>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93D31"/>
    <w:rPr>
      <w:rFonts w:eastAsia="Times New Roman" w:cs="Times New Roman"/>
      <w:b/>
      <w:bCs/>
      <w:kern w:val="32"/>
      <w:sz w:val="32"/>
      <w:szCs w:val="32"/>
      <w:lang w:val="en-US" w:eastAsia="en-US"/>
    </w:rPr>
  </w:style>
  <w:style w:type="character" w:customStyle="1" w:styleId="Heading2Char">
    <w:name w:val="Heading 2 Char"/>
    <w:basedOn w:val="DefaultParagraphFont"/>
    <w:link w:val="Heading2"/>
    <w:uiPriority w:val="99"/>
    <w:locked/>
    <w:rsid w:val="00E93D31"/>
    <w:rPr>
      <w:rFonts w:eastAsia="Times New Roman" w:cs="Times New Roman"/>
      <w:b/>
      <w:bCs/>
      <w:iCs/>
      <w:sz w:val="28"/>
      <w:szCs w:val="28"/>
      <w:lang w:val="en-US" w:eastAsia="en-US"/>
    </w:rPr>
  </w:style>
  <w:style w:type="paragraph" w:styleId="BalloonText">
    <w:name w:val="Balloon Text"/>
    <w:basedOn w:val="Normal"/>
    <w:link w:val="BalloonTextChar"/>
    <w:uiPriority w:val="99"/>
    <w:semiHidden/>
    <w:rsid w:val="00EB54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B544F"/>
    <w:rPr>
      <w:rFonts w:ascii="Tahoma" w:hAnsi="Tahoma" w:cs="Tahoma"/>
      <w:sz w:val="16"/>
      <w:szCs w:val="16"/>
    </w:rPr>
  </w:style>
  <w:style w:type="paragraph" w:styleId="ListParagraph">
    <w:name w:val="List Paragraph"/>
    <w:basedOn w:val="Normal"/>
    <w:uiPriority w:val="99"/>
    <w:qFormat/>
    <w:rsid w:val="00BD768E"/>
    <w:pPr>
      <w:ind w:left="720"/>
      <w:contextualSpacing/>
    </w:pPr>
  </w:style>
  <w:style w:type="character" w:styleId="PlaceholderText">
    <w:name w:val="Placeholder Text"/>
    <w:basedOn w:val="DefaultParagraphFont"/>
    <w:uiPriority w:val="99"/>
    <w:semiHidden/>
    <w:rsid w:val="00845C93"/>
    <w:rPr>
      <w:rFonts w:cs="Times New Roman"/>
      <w:color w:val="808080"/>
    </w:rPr>
  </w:style>
  <w:style w:type="paragraph" w:styleId="Header">
    <w:name w:val="header"/>
    <w:basedOn w:val="Normal"/>
    <w:link w:val="HeaderChar"/>
    <w:uiPriority w:val="99"/>
    <w:rsid w:val="00A10221"/>
    <w:pPr>
      <w:tabs>
        <w:tab w:val="center" w:pos="4703"/>
        <w:tab w:val="right" w:pos="9406"/>
      </w:tabs>
      <w:spacing w:after="0" w:line="240" w:lineRule="auto"/>
    </w:pPr>
  </w:style>
  <w:style w:type="character" w:customStyle="1" w:styleId="HeaderChar">
    <w:name w:val="Header Char"/>
    <w:basedOn w:val="DefaultParagraphFont"/>
    <w:link w:val="Header"/>
    <w:uiPriority w:val="99"/>
    <w:locked/>
    <w:rsid w:val="00A10221"/>
    <w:rPr>
      <w:rFonts w:cs="Times New Roman"/>
    </w:rPr>
  </w:style>
  <w:style w:type="paragraph" w:styleId="Footer">
    <w:name w:val="footer"/>
    <w:basedOn w:val="Normal"/>
    <w:link w:val="FooterChar"/>
    <w:uiPriority w:val="99"/>
    <w:rsid w:val="00A10221"/>
    <w:pPr>
      <w:tabs>
        <w:tab w:val="center" w:pos="4703"/>
        <w:tab w:val="right" w:pos="9406"/>
      </w:tabs>
      <w:spacing w:after="0" w:line="240" w:lineRule="auto"/>
    </w:pPr>
  </w:style>
  <w:style w:type="character" w:customStyle="1" w:styleId="FooterChar">
    <w:name w:val="Footer Char"/>
    <w:basedOn w:val="DefaultParagraphFont"/>
    <w:link w:val="Footer"/>
    <w:uiPriority w:val="99"/>
    <w:locked/>
    <w:rsid w:val="00A10221"/>
    <w:rPr>
      <w:rFonts w:cs="Times New Roman"/>
    </w:rPr>
  </w:style>
  <w:style w:type="paragraph" w:styleId="Title">
    <w:name w:val="Title"/>
    <w:basedOn w:val="Normal"/>
    <w:next w:val="Normal"/>
    <w:link w:val="TitleChar"/>
    <w:uiPriority w:val="99"/>
    <w:qFormat/>
    <w:rsid w:val="00371525"/>
    <w:pPr>
      <w:pBdr>
        <w:bottom w:val="single" w:sz="8" w:space="4" w:color="4F81BD"/>
      </w:pBdr>
      <w:spacing w:after="300" w:line="240" w:lineRule="auto"/>
      <w:contextualSpacing/>
    </w:pPr>
    <w:rPr>
      <w:rFonts w:eastAsia="Times New Roman"/>
      <w:b/>
      <w:spacing w:val="5"/>
      <w:kern w:val="28"/>
      <w:sz w:val="28"/>
      <w:szCs w:val="52"/>
    </w:rPr>
  </w:style>
  <w:style w:type="character" w:customStyle="1" w:styleId="TitleChar">
    <w:name w:val="Title Char"/>
    <w:basedOn w:val="DefaultParagraphFont"/>
    <w:link w:val="Title"/>
    <w:uiPriority w:val="99"/>
    <w:locked/>
    <w:rsid w:val="00371525"/>
    <w:rPr>
      <w:rFonts w:ascii="Calibri" w:hAnsi="Calibri" w:cs="Times New Roman"/>
      <w:b/>
      <w:spacing w:val="5"/>
      <w:kern w:val="28"/>
      <w:sz w:val="52"/>
      <w:szCs w:val="52"/>
      <w:lang w:val="en-US" w:eastAsia="en-US"/>
    </w:rPr>
  </w:style>
  <w:style w:type="paragraph" w:styleId="Subtitle">
    <w:name w:val="Subtitle"/>
    <w:basedOn w:val="Normal"/>
    <w:next w:val="Normal"/>
    <w:link w:val="SubtitleChar"/>
    <w:uiPriority w:val="99"/>
    <w:qFormat/>
    <w:rsid w:val="00476149"/>
    <w:pPr>
      <w:spacing w:after="60"/>
      <w:jc w:val="center"/>
      <w:outlineLvl w:val="1"/>
    </w:pPr>
    <w:rPr>
      <w:rFonts w:ascii="Cambria" w:eastAsia="Times New Roman" w:hAnsi="Cambria"/>
      <w:sz w:val="24"/>
      <w:szCs w:val="24"/>
    </w:rPr>
  </w:style>
  <w:style w:type="character" w:customStyle="1" w:styleId="SubtitleChar">
    <w:name w:val="Subtitle Char"/>
    <w:basedOn w:val="DefaultParagraphFont"/>
    <w:link w:val="Subtitle"/>
    <w:uiPriority w:val="99"/>
    <w:locked/>
    <w:rsid w:val="00476149"/>
    <w:rPr>
      <w:rFonts w:ascii="Cambria" w:hAnsi="Cambria" w:cs="Times New Roman"/>
      <w:sz w:val="24"/>
      <w:szCs w:val="24"/>
      <w:lang w:val="en-US" w:eastAsia="en-US"/>
    </w:rPr>
  </w:style>
  <w:style w:type="paragraph" w:styleId="TOCHeading">
    <w:name w:val="TOC Heading"/>
    <w:basedOn w:val="Heading1"/>
    <w:next w:val="Normal"/>
    <w:uiPriority w:val="99"/>
    <w:qFormat/>
    <w:rsid w:val="00E93D31"/>
    <w:pPr>
      <w:keepLines/>
      <w:spacing w:before="480" w:after="0" w:line="276" w:lineRule="auto"/>
      <w:jc w:val="left"/>
      <w:outlineLvl w:val="9"/>
    </w:pPr>
    <w:rPr>
      <w:color w:val="365F91"/>
      <w:kern w:val="0"/>
      <w:szCs w:val="28"/>
      <w:lang w:val="el-GR"/>
    </w:rPr>
  </w:style>
  <w:style w:type="paragraph" w:styleId="TOC2">
    <w:name w:val="toc 2"/>
    <w:basedOn w:val="Normal"/>
    <w:next w:val="Normal"/>
    <w:autoRedefine/>
    <w:uiPriority w:val="99"/>
    <w:rsid w:val="007C7CC9"/>
    <w:pPr>
      <w:tabs>
        <w:tab w:val="right" w:leader="dot" w:pos="9396"/>
      </w:tabs>
    </w:pPr>
  </w:style>
  <w:style w:type="paragraph" w:styleId="TOC1">
    <w:name w:val="toc 1"/>
    <w:basedOn w:val="Normal"/>
    <w:next w:val="Normal"/>
    <w:autoRedefine/>
    <w:uiPriority w:val="99"/>
    <w:rsid w:val="007C7CC9"/>
    <w:pPr>
      <w:tabs>
        <w:tab w:val="right" w:leader="dot" w:pos="9396"/>
      </w:tabs>
      <w:ind w:left="709"/>
    </w:pPr>
  </w:style>
  <w:style w:type="character" w:styleId="Hyperlink">
    <w:name w:val="Hyperlink"/>
    <w:basedOn w:val="DefaultParagraphFont"/>
    <w:uiPriority w:val="99"/>
    <w:rsid w:val="00C417E4"/>
    <w:rPr>
      <w:rFonts w:cs="Times New Roman"/>
      <w:color w:val="0000FF"/>
      <w:u w:val="single"/>
    </w:rPr>
  </w:style>
  <w:style w:type="paragraph" w:styleId="Caption">
    <w:name w:val="caption"/>
    <w:basedOn w:val="Normal"/>
    <w:next w:val="Normal"/>
    <w:uiPriority w:val="99"/>
    <w:qFormat/>
    <w:rsid w:val="00B009FE"/>
    <w:rPr>
      <w:b/>
      <w:bCs/>
      <w:sz w:val="20"/>
      <w:szCs w:val="20"/>
    </w:rPr>
  </w:style>
  <w:style w:type="paragraph" w:styleId="NoSpacing">
    <w:name w:val="No Spacing"/>
    <w:uiPriority w:val="99"/>
    <w:qFormat/>
    <w:rsid w:val="00B009FE"/>
    <w:pPr>
      <w:jc w:val="both"/>
    </w:pPr>
  </w:style>
  <w:style w:type="paragraph" w:styleId="TableofFigures">
    <w:name w:val="table of figures"/>
    <w:basedOn w:val="Normal"/>
    <w:next w:val="Normal"/>
    <w:uiPriority w:val="99"/>
    <w:rsid w:val="007D5DDE"/>
  </w:style>
  <w:style w:type="paragraph" w:styleId="PlainText">
    <w:name w:val="Plain Text"/>
    <w:basedOn w:val="Normal"/>
    <w:link w:val="PlainTextChar"/>
    <w:uiPriority w:val="99"/>
    <w:rsid w:val="00824581"/>
    <w:pPr>
      <w:spacing w:after="0" w:line="240" w:lineRule="auto"/>
      <w:jc w:val="left"/>
    </w:pPr>
    <w:rPr>
      <w:rFonts w:ascii="Courier New" w:eastAsia="Times New Roman" w:hAnsi="Courier New"/>
      <w:sz w:val="20"/>
      <w:szCs w:val="20"/>
    </w:rPr>
  </w:style>
  <w:style w:type="character" w:customStyle="1" w:styleId="PlainTextChar">
    <w:name w:val="Plain Text Char"/>
    <w:basedOn w:val="DefaultParagraphFont"/>
    <w:link w:val="PlainText"/>
    <w:uiPriority w:val="99"/>
    <w:locked/>
    <w:rsid w:val="00824581"/>
    <w:rPr>
      <w:rFonts w:ascii="Courier New" w:hAnsi="Courier New" w:cs="Times New Roman"/>
    </w:rPr>
  </w:style>
</w:styles>
</file>

<file path=word/webSettings.xml><?xml version="1.0" encoding="utf-8"?>
<w:webSettings xmlns:r="http://schemas.openxmlformats.org/officeDocument/2006/relationships" xmlns:w="http://schemas.openxmlformats.org/wordprocessingml/2006/main">
  <w:divs>
    <w:div w:id="814568937">
      <w:marLeft w:val="0"/>
      <w:marRight w:val="0"/>
      <w:marTop w:val="0"/>
      <w:marBottom w:val="0"/>
      <w:divBdr>
        <w:top w:val="none" w:sz="0" w:space="0" w:color="auto"/>
        <w:left w:val="none" w:sz="0" w:space="0" w:color="auto"/>
        <w:bottom w:val="none" w:sz="0" w:space="0" w:color="auto"/>
        <w:right w:val="none" w:sz="0" w:space="0" w:color="auto"/>
      </w:divBdr>
    </w:div>
    <w:div w:id="814568938">
      <w:marLeft w:val="0"/>
      <w:marRight w:val="0"/>
      <w:marTop w:val="0"/>
      <w:marBottom w:val="0"/>
      <w:divBdr>
        <w:top w:val="none" w:sz="0" w:space="0" w:color="auto"/>
        <w:left w:val="none" w:sz="0" w:space="0" w:color="auto"/>
        <w:bottom w:val="none" w:sz="0" w:space="0" w:color="auto"/>
        <w:right w:val="none" w:sz="0" w:space="0" w:color="auto"/>
      </w:divBdr>
    </w:div>
    <w:div w:id="814568939">
      <w:marLeft w:val="0"/>
      <w:marRight w:val="0"/>
      <w:marTop w:val="0"/>
      <w:marBottom w:val="0"/>
      <w:divBdr>
        <w:top w:val="none" w:sz="0" w:space="0" w:color="auto"/>
        <w:left w:val="none" w:sz="0" w:space="0" w:color="auto"/>
        <w:bottom w:val="none" w:sz="0" w:space="0" w:color="auto"/>
        <w:right w:val="none" w:sz="0" w:space="0" w:color="auto"/>
      </w:divBdr>
    </w:div>
    <w:div w:id="814568940">
      <w:marLeft w:val="0"/>
      <w:marRight w:val="0"/>
      <w:marTop w:val="0"/>
      <w:marBottom w:val="0"/>
      <w:divBdr>
        <w:top w:val="none" w:sz="0" w:space="0" w:color="auto"/>
        <w:left w:val="none" w:sz="0" w:space="0" w:color="auto"/>
        <w:bottom w:val="none" w:sz="0" w:space="0" w:color="auto"/>
        <w:right w:val="none" w:sz="0" w:space="0" w:color="auto"/>
      </w:divBdr>
    </w:div>
    <w:div w:id="814568941">
      <w:marLeft w:val="0"/>
      <w:marRight w:val="0"/>
      <w:marTop w:val="0"/>
      <w:marBottom w:val="0"/>
      <w:divBdr>
        <w:top w:val="none" w:sz="0" w:space="0" w:color="auto"/>
        <w:left w:val="none" w:sz="0" w:space="0" w:color="auto"/>
        <w:bottom w:val="none" w:sz="0" w:space="0" w:color="auto"/>
        <w:right w:val="none" w:sz="0" w:space="0" w:color="auto"/>
      </w:divBdr>
    </w:div>
    <w:div w:id="814568942">
      <w:marLeft w:val="0"/>
      <w:marRight w:val="0"/>
      <w:marTop w:val="0"/>
      <w:marBottom w:val="0"/>
      <w:divBdr>
        <w:top w:val="none" w:sz="0" w:space="0" w:color="auto"/>
        <w:left w:val="none" w:sz="0" w:space="0" w:color="auto"/>
        <w:bottom w:val="none" w:sz="0" w:space="0" w:color="auto"/>
        <w:right w:val="none" w:sz="0" w:space="0" w:color="auto"/>
      </w:divBdr>
    </w:div>
    <w:div w:id="814568943">
      <w:marLeft w:val="0"/>
      <w:marRight w:val="0"/>
      <w:marTop w:val="0"/>
      <w:marBottom w:val="0"/>
      <w:divBdr>
        <w:top w:val="none" w:sz="0" w:space="0" w:color="auto"/>
        <w:left w:val="none" w:sz="0" w:space="0" w:color="auto"/>
        <w:bottom w:val="none" w:sz="0" w:space="0" w:color="auto"/>
        <w:right w:val="none" w:sz="0" w:space="0" w:color="auto"/>
      </w:divBdr>
    </w:div>
    <w:div w:id="814568944">
      <w:marLeft w:val="0"/>
      <w:marRight w:val="0"/>
      <w:marTop w:val="0"/>
      <w:marBottom w:val="0"/>
      <w:divBdr>
        <w:top w:val="none" w:sz="0" w:space="0" w:color="auto"/>
        <w:left w:val="none" w:sz="0" w:space="0" w:color="auto"/>
        <w:bottom w:val="none" w:sz="0" w:space="0" w:color="auto"/>
        <w:right w:val="none" w:sz="0" w:space="0" w:color="auto"/>
      </w:divBdr>
    </w:div>
    <w:div w:id="814568945">
      <w:marLeft w:val="0"/>
      <w:marRight w:val="0"/>
      <w:marTop w:val="0"/>
      <w:marBottom w:val="0"/>
      <w:divBdr>
        <w:top w:val="none" w:sz="0" w:space="0" w:color="auto"/>
        <w:left w:val="none" w:sz="0" w:space="0" w:color="auto"/>
        <w:bottom w:val="none" w:sz="0" w:space="0" w:color="auto"/>
        <w:right w:val="none" w:sz="0" w:space="0" w:color="auto"/>
      </w:divBdr>
    </w:div>
    <w:div w:id="814568946">
      <w:marLeft w:val="0"/>
      <w:marRight w:val="0"/>
      <w:marTop w:val="0"/>
      <w:marBottom w:val="0"/>
      <w:divBdr>
        <w:top w:val="none" w:sz="0" w:space="0" w:color="auto"/>
        <w:left w:val="none" w:sz="0" w:space="0" w:color="auto"/>
        <w:bottom w:val="none" w:sz="0" w:space="0" w:color="auto"/>
        <w:right w:val="none" w:sz="0" w:space="0" w:color="auto"/>
      </w:divBdr>
    </w:div>
    <w:div w:id="814568947">
      <w:marLeft w:val="0"/>
      <w:marRight w:val="0"/>
      <w:marTop w:val="0"/>
      <w:marBottom w:val="0"/>
      <w:divBdr>
        <w:top w:val="none" w:sz="0" w:space="0" w:color="auto"/>
        <w:left w:val="none" w:sz="0" w:space="0" w:color="auto"/>
        <w:bottom w:val="none" w:sz="0" w:space="0" w:color="auto"/>
        <w:right w:val="none" w:sz="0" w:space="0" w:color="auto"/>
      </w:divBdr>
    </w:div>
    <w:div w:id="814568948">
      <w:marLeft w:val="0"/>
      <w:marRight w:val="0"/>
      <w:marTop w:val="0"/>
      <w:marBottom w:val="0"/>
      <w:divBdr>
        <w:top w:val="none" w:sz="0" w:space="0" w:color="auto"/>
        <w:left w:val="none" w:sz="0" w:space="0" w:color="auto"/>
        <w:bottom w:val="none" w:sz="0" w:space="0" w:color="auto"/>
        <w:right w:val="none" w:sz="0" w:space="0" w:color="auto"/>
      </w:divBdr>
    </w:div>
    <w:div w:id="814568949">
      <w:marLeft w:val="0"/>
      <w:marRight w:val="0"/>
      <w:marTop w:val="0"/>
      <w:marBottom w:val="0"/>
      <w:divBdr>
        <w:top w:val="none" w:sz="0" w:space="0" w:color="auto"/>
        <w:left w:val="none" w:sz="0" w:space="0" w:color="auto"/>
        <w:bottom w:val="none" w:sz="0" w:space="0" w:color="auto"/>
        <w:right w:val="none" w:sz="0" w:space="0" w:color="auto"/>
      </w:divBdr>
    </w:div>
    <w:div w:id="814568950">
      <w:marLeft w:val="0"/>
      <w:marRight w:val="0"/>
      <w:marTop w:val="0"/>
      <w:marBottom w:val="0"/>
      <w:divBdr>
        <w:top w:val="none" w:sz="0" w:space="0" w:color="auto"/>
        <w:left w:val="none" w:sz="0" w:space="0" w:color="auto"/>
        <w:bottom w:val="none" w:sz="0" w:space="0" w:color="auto"/>
        <w:right w:val="none" w:sz="0" w:space="0" w:color="auto"/>
      </w:divBdr>
    </w:div>
    <w:div w:id="814568951">
      <w:marLeft w:val="0"/>
      <w:marRight w:val="0"/>
      <w:marTop w:val="0"/>
      <w:marBottom w:val="0"/>
      <w:divBdr>
        <w:top w:val="none" w:sz="0" w:space="0" w:color="auto"/>
        <w:left w:val="none" w:sz="0" w:space="0" w:color="auto"/>
        <w:bottom w:val="none" w:sz="0" w:space="0" w:color="auto"/>
        <w:right w:val="none" w:sz="0" w:space="0" w:color="auto"/>
      </w:divBdr>
    </w:div>
    <w:div w:id="81456895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File:Russian_subdivisions_GRP_per_capita.svg" TargetMode="External"/><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www.wikipedia.org/"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www.imf.org/external/index.htm"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71</Pages>
  <Words>11983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cycle synchronization:</dc:title>
  <dc:subject/>
  <dc:creator>Alex</dc:creator>
  <cp:keywords/>
  <dc:description/>
  <cp:lastModifiedBy>Helene L. Molenaar</cp:lastModifiedBy>
  <cp:revision>2</cp:revision>
  <dcterms:created xsi:type="dcterms:W3CDTF">2010-10-18T09:58:00Z</dcterms:created>
  <dcterms:modified xsi:type="dcterms:W3CDTF">2010-10-18T09:58:00Z</dcterms:modified>
</cp:coreProperties>
</file>