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5242" w:rsidRPr="00531CE5" w:rsidRDefault="00FD5242" w:rsidP="00941438">
      <w:pPr>
        <w:rPr>
          <w:b/>
          <w:sz w:val="28"/>
          <w:szCs w:val="28"/>
          <w:u w:val="single"/>
          <w:lang w:val="en-US"/>
        </w:rPr>
      </w:pPr>
      <w:r w:rsidRPr="00531CE5">
        <w:rPr>
          <w:b/>
          <w:sz w:val="28"/>
          <w:szCs w:val="28"/>
          <w:u w:val="single"/>
          <w:lang w:val="en-US"/>
        </w:rPr>
        <w:t xml:space="preserve">ERASMUS UNIVERSITY </w:t>
      </w:r>
      <w:smartTag w:uri="urn:schemas-microsoft-com:office:smarttags" w:element="City">
        <w:smartTag w:uri="urn:schemas-microsoft-com:office:smarttags" w:element="place">
          <w:r w:rsidRPr="00531CE5">
            <w:rPr>
              <w:b/>
              <w:sz w:val="28"/>
              <w:szCs w:val="28"/>
              <w:u w:val="single"/>
              <w:lang w:val="en-US"/>
            </w:rPr>
            <w:t>ROTTERDAM</w:t>
          </w:r>
        </w:smartTag>
      </w:smartTag>
    </w:p>
    <w:p w:rsidR="00FD5242" w:rsidRPr="00531CE5" w:rsidRDefault="00FD5242" w:rsidP="00941438">
      <w:pPr>
        <w:rPr>
          <w:sz w:val="26"/>
          <w:szCs w:val="26"/>
          <w:lang w:val="en-US"/>
        </w:rPr>
      </w:pPr>
      <w:smartTag w:uri="urn:schemas-microsoft-com:office:smarttags" w:element="PlaceName">
        <w:smartTag w:uri="urn:schemas-microsoft-com:office:smarttags" w:element="place">
          <w:r>
            <w:rPr>
              <w:sz w:val="26"/>
              <w:szCs w:val="26"/>
              <w:lang w:val="en-US"/>
            </w:rPr>
            <w:t>ERASMUS</w:t>
          </w:r>
        </w:smartTag>
        <w:r>
          <w:rPr>
            <w:sz w:val="26"/>
            <w:szCs w:val="26"/>
            <w:lang w:val="en-US"/>
          </w:rPr>
          <w:t xml:space="preserve"> </w:t>
        </w:r>
        <w:smartTag w:uri="urn:schemas-microsoft-com:office:smarttags" w:element="PlaceType">
          <w:r>
            <w:rPr>
              <w:sz w:val="26"/>
              <w:szCs w:val="26"/>
              <w:lang w:val="en-US"/>
            </w:rPr>
            <w:t>SCHOOL</w:t>
          </w:r>
        </w:smartTag>
      </w:smartTag>
      <w:r>
        <w:rPr>
          <w:sz w:val="26"/>
          <w:szCs w:val="26"/>
          <w:lang w:val="en-US"/>
        </w:rPr>
        <w:t xml:space="preserve"> OF ECONOMICS</w:t>
      </w:r>
    </w:p>
    <w:p w:rsidR="00FD5242" w:rsidRPr="00531CE5" w:rsidRDefault="00FD5242" w:rsidP="00941438">
      <w:pPr>
        <w:rPr>
          <w:sz w:val="26"/>
          <w:szCs w:val="26"/>
          <w:lang w:val="en-US"/>
        </w:rPr>
      </w:pPr>
      <w:r w:rsidRPr="00531CE5">
        <w:rPr>
          <w:sz w:val="26"/>
          <w:szCs w:val="26"/>
          <w:lang w:val="en-US"/>
        </w:rPr>
        <w:t>ACCOUNTING, AUDITING AND CONTROL MASTER’S PROGRAM</w:t>
      </w:r>
      <w:r>
        <w:rPr>
          <w:sz w:val="26"/>
          <w:szCs w:val="26"/>
          <w:lang w:val="en-US"/>
        </w:rPr>
        <w:t xml:space="preserve"> </w:t>
      </w:r>
      <w:r w:rsidRPr="00531CE5">
        <w:rPr>
          <w:sz w:val="26"/>
          <w:szCs w:val="26"/>
          <w:lang w:val="en-US"/>
        </w:rPr>
        <w:t>2009-2010</w:t>
      </w:r>
    </w:p>
    <w:p w:rsidR="00FD5242" w:rsidRPr="00531CE5" w:rsidRDefault="00FD5242" w:rsidP="00941438">
      <w:pPr>
        <w:rPr>
          <w:color w:val="000000"/>
          <w:sz w:val="26"/>
          <w:szCs w:val="26"/>
          <w:lang w:val="en-US"/>
        </w:rPr>
      </w:pPr>
      <w:r w:rsidRPr="00531CE5">
        <w:rPr>
          <w:color w:val="000000"/>
          <w:sz w:val="26"/>
          <w:szCs w:val="26"/>
          <w:lang w:val="en-US"/>
        </w:rPr>
        <w:t xml:space="preserve">  </w:t>
      </w:r>
    </w:p>
    <w:p w:rsidR="00FD5242" w:rsidRDefault="00FD5242" w:rsidP="00941438">
      <w:pPr>
        <w:rPr>
          <w:color w:val="000000"/>
          <w:sz w:val="26"/>
          <w:szCs w:val="26"/>
          <w:lang w:val="en-US"/>
        </w:rPr>
      </w:pPr>
    </w:p>
    <w:p w:rsidR="00FD5242" w:rsidRPr="00531CE5" w:rsidRDefault="00FD5242" w:rsidP="00941438">
      <w:pPr>
        <w:rPr>
          <w:color w:val="000000"/>
          <w:sz w:val="26"/>
          <w:szCs w:val="26"/>
          <w:u w:val="single"/>
          <w:lang w:val="en-US"/>
        </w:rPr>
      </w:pPr>
      <w:r w:rsidRPr="00531CE5">
        <w:rPr>
          <w:color w:val="000000"/>
          <w:sz w:val="26"/>
          <w:szCs w:val="26"/>
          <w:u w:val="single"/>
          <w:lang w:val="en-US"/>
        </w:rPr>
        <w:t>Master Thesis:</w:t>
      </w:r>
    </w:p>
    <w:p w:rsidR="00FD5242" w:rsidRPr="00E02E87" w:rsidRDefault="00FD5242" w:rsidP="00941438">
      <w:pPr>
        <w:rPr>
          <w:b/>
          <w:color w:val="000000"/>
          <w:sz w:val="26"/>
          <w:szCs w:val="26"/>
          <w:lang w:val="en-US"/>
        </w:rPr>
      </w:pPr>
    </w:p>
    <w:p w:rsidR="00FD5242" w:rsidRPr="00941438" w:rsidRDefault="00FD5242" w:rsidP="00941438">
      <w:pPr>
        <w:rPr>
          <w:b/>
          <w:color w:val="000000"/>
          <w:sz w:val="26"/>
          <w:szCs w:val="26"/>
          <w:lang w:val="en-US"/>
        </w:rPr>
      </w:pPr>
      <w:r w:rsidRPr="00941438">
        <w:rPr>
          <w:b/>
          <w:color w:val="000000"/>
          <w:sz w:val="26"/>
          <w:szCs w:val="26"/>
          <w:lang w:val="en-US"/>
        </w:rPr>
        <w:t xml:space="preserve"> “The effects of the current financial crisis on auditors’ conservatism and audit fees, concerning stock exchange quoted firms in The </w:t>
      </w:r>
      <w:smartTag w:uri="urn:schemas-microsoft-com:office:smarttags" w:element="country-region">
        <w:smartTag w:uri="urn:schemas-microsoft-com:office:smarttags" w:element="place">
          <w:r w:rsidRPr="00941438">
            <w:rPr>
              <w:b/>
              <w:color w:val="000000"/>
              <w:sz w:val="26"/>
              <w:szCs w:val="26"/>
              <w:lang w:val="en-US"/>
            </w:rPr>
            <w:t>Netherlands</w:t>
          </w:r>
        </w:smartTag>
      </w:smartTag>
      <w:r w:rsidRPr="00941438">
        <w:rPr>
          <w:b/>
          <w:color w:val="000000"/>
          <w:sz w:val="26"/>
          <w:szCs w:val="26"/>
          <w:lang w:val="en-US"/>
        </w:rPr>
        <w:t>”</w:t>
      </w:r>
    </w:p>
    <w:p w:rsidR="00FD5242" w:rsidRPr="00941438" w:rsidRDefault="00FD5242" w:rsidP="00941438">
      <w:pPr>
        <w:rPr>
          <w:b/>
          <w:sz w:val="28"/>
          <w:szCs w:val="28"/>
          <w:lang w:val="en-US"/>
        </w:rPr>
      </w:pPr>
    </w:p>
    <w:p w:rsidR="00FD5242" w:rsidRDefault="00FD5242" w:rsidP="0094174E">
      <w:pPr>
        <w:jc w:val="center"/>
        <w:rPr>
          <w:b/>
          <w:sz w:val="28"/>
          <w:szCs w:val="28"/>
          <w:lang w:val="en-US"/>
        </w:rPr>
      </w:pPr>
      <w:r w:rsidRPr="00096D51">
        <w:rPr>
          <w:b/>
          <w:noProof/>
          <w:sz w:val="28"/>
          <w:szCs w:val="28"/>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 o:spid="_x0000_i1027" type="#_x0000_t75" alt="j0233018" style="width:201pt;height:204pt;visibility:visible">
            <v:imagedata r:id="rId7" o:title=""/>
          </v:shape>
        </w:pict>
      </w:r>
    </w:p>
    <w:p w:rsidR="00FD5242" w:rsidRDefault="00FD5242" w:rsidP="00941438">
      <w:pPr>
        <w:rPr>
          <w:b/>
          <w:sz w:val="28"/>
          <w:szCs w:val="28"/>
          <w:lang w:val="en-US"/>
        </w:rPr>
      </w:pPr>
    </w:p>
    <w:p w:rsidR="00FD5242" w:rsidRPr="00531CE5" w:rsidRDefault="00FD5242" w:rsidP="00941438">
      <w:pPr>
        <w:rPr>
          <w:lang w:val="en-US"/>
        </w:rPr>
      </w:pPr>
      <w:r w:rsidRPr="00531CE5">
        <w:rPr>
          <w:lang w:val="en-US"/>
        </w:rPr>
        <w:t>Conductor: Maria Moirasgenti (student nr.: 331425)</w:t>
      </w:r>
    </w:p>
    <w:p w:rsidR="00FD5242" w:rsidRPr="00531CE5" w:rsidRDefault="00FD5242" w:rsidP="00941438">
      <w:pPr>
        <w:rPr>
          <w:lang w:val="en-US"/>
        </w:rPr>
      </w:pPr>
      <w:r w:rsidRPr="00531CE5">
        <w:rPr>
          <w:lang w:val="en-US"/>
        </w:rPr>
        <w:t>Supervisor:  E.A. de Knecht</w:t>
      </w:r>
      <w:r>
        <w:rPr>
          <w:lang w:val="en-US"/>
        </w:rPr>
        <w:t xml:space="preserve"> RA</w:t>
      </w:r>
    </w:p>
    <w:p w:rsidR="00FD5242" w:rsidRPr="00531CE5" w:rsidRDefault="00FD5242" w:rsidP="00941438">
      <w:pPr>
        <w:rPr>
          <w:lang w:val="en-US"/>
        </w:rPr>
      </w:pPr>
      <w:r w:rsidRPr="00531CE5">
        <w:rPr>
          <w:lang w:val="en-US"/>
        </w:rPr>
        <w:t>Co-reader:</w:t>
      </w:r>
      <w:r>
        <w:rPr>
          <w:lang w:val="en-US"/>
        </w:rPr>
        <w:t xml:space="preserve"> </w:t>
      </w:r>
      <w:r w:rsidRPr="00531CE5">
        <w:rPr>
          <w:lang w:val="en-US"/>
        </w:rPr>
        <w:t xml:space="preserve"> A.H. van der Boom</w:t>
      </w:r>
    </w:p>
    <w:p w:rsidR="00FD5242" w:rsidRPr="00941438" w:rsidRDefault="00FD5242" w:rsidP="00941438">
      <w:pPr>
        <w:rPr>
          <w:b/>
          <w:sz w:val="28"/>
          <w:szCs w:val="28"/>
          <w:lang w:val="en-US"/>
        </w:rPr>
      </w:pPr>
    </w:p>
    <w:p w:rsidR="00FD5242" w:rsidRDefault="00FD5242" w:rsidP="008316D1">
      <w:pPr>
        <w:rPr>
          <w:b/>
          <w:lang w:val="en-US"/>
        </w:rPr>
      </w:pPr>
    </w:p>
    <w:p w:rsidR="00FD5242" w:rsidRDefault="00FD5242" w:rsidP="008316D1">
      <w:pPr>
        <w:rPr>
          <w:b/>
          <w:lang w:val="en-US"/>
        </w:rPr>
      </w:pPr>
    </w:p>
    <w:p w:rsidR="00FD5242" w:rsidRDefault="00FD5242" w:rsidP="000D7EC9">
      <w:pPr>
        <w:jc w:val="both"/>
        <w:rPr>
          <w:b/>
          <w:lang w:val="en-US"/>
        </w:rPr>
      </w:pPr>
      <w:r w:rsidRPr="00E07BA3">
        <w:rPr>
          <w:b/>
          <w:lang w:val="en-US"/>
        </w:rPr>
        <w:t>ABSTRACT</w:t>
      </w:r>
    </w:p>
    <w:p w:rsidR="00FD5242" w:rsidRDefault="00FD5242" w:rsidP="000D7EC9">
      <w:pPr>
        <w:spacing w:line="360" w:lineRule="auto"/>
        <w:jc w:val="both"/>
        <w:rPr>
          <w:lang w:val="en-US"/>
        </w:rPr>
      </w:pPr>
      <w:r w:rsidRPr="005F527C">
        <w:rPr>
          <w:lang w:val="en-US"/>
        </w:rPr>
        <w:t>This study was conducted in order to investigate the impacts of the current financial crisis on the auditors’ use of professional conservatism and on the audit fees, regarding Dutch stock exchange quoted companies. Audit conservatism was tested between two periods: first in the prior to the crisis period of 2005-2006, and second during the financial crisis period of 2008-2009. Audit fees were tested between the years 2008 and 2009</w:t>
      </w:r>
      <w:r>
        <w:rPr>
          <w:lang w:val="en-US"/>
        </w:rPr>
        <w:t xml:space="preserve"> due to data limitations. </w:t>
      </w:r>
      <w:r w:rsidRPr="005F527C">
        <w:rPr>
          <w:lang w:val="en-US"/>
        </w:rPr>
        <w:t xml:space="preserve">51 </w:t>
      </w:r>
      <w:r>
        <w:rPr>
          <w:lang w:val="en-US"/>
        </w:rPr>
        <w:t xml:space="preserve">stock exchange quoted </w:t>
      </w:r>
      <w:r w:rsidRPr="005F527C">
        <w:rPr>
          <w:lang w:val="en-US"/>
        </w:rPr>
        <w:t>firms were selected and investigated through multivariate pooled and linear</w:t>
      </w:r>
      <w:r>
        <w:rPr>
          <w:lang w:val="en-US"/>
        </w:rPr>
        <w:t xml:space="preserve"> regression analyses. Contrary to</w:t>
      </w:r>
      <w:r w:rsidRPr="005F527C">
        <w:rPr>
          <w:lang w:val="en-US"/>
        </w:rPr>
        <w:t xml:space="preserve"> the hypothesized increased levels of conservatism an</w:t>
      </w:r>
      <w:r>
        <w:rPr>
          <w:lang w:val="en-US"/>
        </w:rPr>
        <w:t>d audit fees, the Dutch</w:t>
      </w:r>
      <w:r w:rsidRPr="005F527C">
        <w:rPr>
          <w:lang w:val="en-US"/>
        </w:rPr>
        <w:t xml:space="preserve"> auditors were found to use lower levels of audit conservatism in their financial audit tasks and charge lower amounts of audit fees.</w:t>
      </w:r>
    </w:p>
    <w:p w:rsidR="00FD5242" w:rsidRDefault="00FD5242" w:rsidP="008316D1">
      <w:pPr>
        <w:spacing w:line="360" w:lineRule="auto"/>
        <w:jc w:val="both"/>
        <w:rPr>
          <w:lang w:val="en-US"/>
        </w:rPr>
      </w:pPr>
    </w:p>
    <w:p w:rsidR="00FD5242" w:rsidRDefault="00FD5242" w:rsidP="008316D1">
      <w:pPr>
        <w:spacing w:line="360" w:lineRule="auto"/>
        <w:jc w:val="both"/>
        <w:rPr>
          <w:lang w:val="en-US"/>
        </w:rPr>
      </w:pPr>
    </w:p>
    <w:p w:rsidR="00FD5242" w:rsidRDefault="00FD5242" w:rsidP="008316D1">
      <w:pPr>
        <w:spacing w:line="360" w:lineRule="auto"/>
        <w:jc w:val="both"/>
        <w:rPr>
          <w:lang w:val="en-US"/>
        </w:rPr>
      </w:pPr>
    </w:p>
    <w:p w:rsidR="00FD5242" w:rsidRDefault="00FD5242" w:rsidP="008316D1">
      <w:pPr>
        <w:spacing w:line="360" w:lineRule="auto"/>
        <w:jc w:val="both"/>
        <w:rPr>
          <w:lang w:val="en-US"/>
        </w:rPr>
      </w:pPr>
    </w:p>
    <w:p w:rsidR="00FD5242" w:rsidRDefault="00FD5242" w:rsidP="008316D1">
      <w:pPr>
        <w:spacing w:line="360" w:lineRule="auto"/>
        <w:jc w:val="both"/>
        <w:rPr>
          <w:lang w:val="en-US"/>
        </w:rPr>
      </w:pPr>
    </w:p>
    <w:p w:rsidR="00FD5242" w:rsidRDefault="00FD5242" w:rsidP="008316D1">
      <w:pPr>
        <w:spacing w:line="360" w:lineRule="auto"/>
        <w:jc w:val="both"/>
        <w:rPr>
          <w:lang w:val="en-US"/>
        </w:rPr>
      </w:pPr>
    </w:p>
    <w:p w:rsidR="00FD5242" w:rsidRDefault="00FD5242" w:rsidP="008316D1">
      <w:pPr>
        <w:spacing w:line="360" w:lineRule="auto"/>
        <w:jc w:val="both"/>
        <w:rPr>
          <w:lang w:val="en-US"/>
        </w:rPr>
      </w:pPr>
    </w:p>
    <w:p w:rsidR="00FD5242" w:rsidRPr="004244ED" w:rsidRDefault="00FD5242" w:rsidP="008316D1">
      <w:pPr>
        <w:spacing w:line="360" w:lineRule="auto"/>
        <w:jc w:val="both"/>
        <w:rPr>
          <w:b/>
          <w:i/>
          <w:u w:val="single"/>
          <w:lang w:val="en-US"/>
        </w:rPr>
      </w:pPr>
      <w:r w:rsidRPr="004244ED">
        <w:rPr>
          <w:b/>
          <w:i/>
          <w:u w:val="single"/>
          <w:lang w:val="en-US"/>
        </w:rPr>
        <w:t>Acknowledgements</w:t>
      </w:r>
    </w:p>
    <w:p w:rsidR="00FD5242" w:rsidRDefault="00FD5242" w:rsidP="00854BBF">
      <w:pPr>
        <w:spacing w:line="360" w:lineRule="auto"/>
        <w:jc w:val="both"/>
        <w:rPr>
          <w:lang w:val="en-US"/>
        </w:rPr>
      </w:pPr>
      <w:r w:rsidRPr="00995625">
        <w:rPr>
          <w:lang w:val="en-US"/>
        </w:rPr>
        <w:t>This</w:t>
      </w:r>
      <w:r>
        <w:rPr>
          <w:lang w:val="en-US"/>
        </w:rPr>
        <w:t xml:space="preserve"> study would have not been performed without the continuous guidance and help of my supervisor, with the Erasmus School of Economics E.A. de Knecht. Additional thanks are provided to the co-reader of this research, Dr. sc. ind. A.H. van der Boom. Special thanks are given to my sister Rallou, my parents Kostas and Vicky Moirasgenti, my friends across </w:t>
      </w:r>
      <w:smartTag w:uri="urn:schemas-microsoft-com:office:smarttags" w:element="country-region">
        <w:smartTag w:uri="urn:schemas-microsoft-com:office:smarttags" w:element="place">
          <w:r>
            <w:rPr>
              <w:lang w:val="en-US"/>
            </w:rPr>
            <w:t>Greece</w:t>
          </w:r>
        </w:smartTag>
      </w:smartTag>
      <w:r>
        <w:rPr>
          <w:lang w:val="en-US"/>
        </w:rPr>
        <w:t xml:space="preserve"> and The Netherlands, and Phd. candidate Stylianos Sakkas for their tremendous psychological support and precious willingness to share with me the pressure and stress of the last months. </w:t>
      </w:r>
    </w:p>
    <w:p w:rsidR="00FD5242" w:rsidRPr="00854BBF" w:rsidRDefault="00FD5242" w:rsidP="007C274E">
      <w:pPr>
        <w:spacing w:line="360" w:lineRule="auto"/>
        <w:jc w:val="both"/>
        <w:rPr>
          <w:lang w:val="en-US"/>
        </w:rPr>
      </w:pPr>
      <w:r>
        <w:rPr>
          <w:lang w:val="en-US"/>
        </w:rPr>
        <w:br w:type="page"/>
      </w:r>
      <w:r w:rsidRPr="000D6C84">
        <w:rPr>
          <w:b/>
          <w:lang w:val="en-US"/>
        </w:rPr>
        <w:t>CONTENTS</w:t>
      </w:r>
    </w:p>
    <w:p w:rsidR="00FD5242" w:rsidRDefault="00FD5242" w:rsidP="007C274E">
      <w:pPr>
        <w:jc w:val="both"/>
        <w:rPr>
          <w:lang w:val="en-US"/>
        </w:rPr>
      </w:pPr>
      <w:r w:rsidRPr="000C48B3">
        <w:rPr>
          <w:lang w:val="en-US"/>
        </w:rPr>
        <w:t>Abstract…………………………………………………………………………………………………………………</w:t>
      </w:r>
      <w:r>
        <w:rPr>
          <w:lang w:val="en-US"/>
        </w:rPr>
        <w:t>……</w:t>
      </w:r>
      <w:r w:rsidRPr="000C48B3">
        <w:rPr>
          <w:lang w:val="en-US"/>
        </w:rPr>
        <w:t>…</w:t>
      </w:r>
      <w:r>
        <w:rPr>
          <w:lang w:val="en-US"/>
        </w:rPr>
        <w:t>.p.2</w:t>
      </w:r>
    </w:p>
    <w:p w:rsidR="00FD5242" w:rsidRDefault="00FD5242" w:rsidP="007C274E">
      <w:pPr>
        <w:jc w:val="both"/>
        <w:rPr>
          <w:lang w:val="en-US"/>
        </w:rPr>
      </w:pPr>
      <w:r>
        <w:rPr>
          <w:lang w:val="en-US"/>
        </w:rPr>
        <w:t>Acknowledgements…………………………………………………………………………………………………………p.2</w:t>
      </w:r>
    </w:p>
    <w:p w:rsidR="00FD5242" w:rsidRPr="000C48B3" w:rsidRDefault="00FD5242" w:rsidP="007C274E">
      <w:pPr>
        <w:jc w:val="both"/>
        <w:rPr>
          <w:lang w:val="en-US"/>
        </w:rPr>
      </w:pPr>
      <w:r>
        <w:rPr>
          <w:lang w:val="en-US"/>
        </w:rPr>
        <w:t>Contents…………………………………………………………………………………………………………………………p.3</w:t>
      </w:r>
    </w:p>
    <w:p w:rsidR="00FD5242" w:rsidRPr="000C48B3" w:rsidRDefault="00FD5242" w:rsidP="007C274E">
      <w:pPr>
        <w:jc w:val="both"/>
        <w:rPr>
          <w:lang w:val="en-US"/>
        </w:rPr>
      </w:pPr>
      <w:r w:rsidRPr="000C48B3">
        <w:rPr>
          <w:lang w:val="en-US"/>
        </w:rPr>
        <w:t>CHAPTER 1-Introduction……………………………………………………………</w:t>
      </w:r>
      <w:r>
        <w:rPr>
          <w:lang w:val="en-US"/>
        </w:rPr>
        <w:t>……………….………</w:t>
      </w:r>
      <w:r w:rsidRPr="000C48B3">
        <w:rPr>
          <w:lang w:val="en-US"/>
        </w:rPr>
        <w:t>…</w:t>
      </w:r>
      <w:r>
        <w:rPr>
          <w:lang w:val="en-US"/>
        </w:rPr>
        <w:t>……….</w:t>
      </w:r>
      <w:r w:rsidRPr="000C48B3">
        <w:rPr>
          <w:lang w:val="en-US"/>
        </w:rPr>
        <w:t>.p.</w:t>
      </w:r>
      <w:r>
        <w:rPr>
          <w:lang w:val="en-US"/>
        </w:rPr>
        <w:t>6</w:t>
      </w:r>
    </w:p>
    <w:p w:rsidR="00FD5242" w:rsidRDefault="00FD5242" w:rsidP="007C274E">
      <w:pPr>
        <w:jc w:val="both"/>
        <w:rPr>
          <w:lang w:val="en-US"/>
        </w:rPr>
      </w:pPr>
      <w:r>
        <w:rPr>
          <w:lang w:val="en-US"/>
        </w:rPr>
        <w:t>1.1 Background………………………</w:t>
      </w:r>
      <w:r w:rsidRPr="000C48B3">
        <w:rPr>
          <w:lang w:val="en-US"/>
        </w:rPr>
        <w:t>………………………………………………………………</w:t>
      </w:r>
      <w:r>
        <w:rPr>
          <w:lang w:val="en-US"/>
        </w:rPr>
        <w:t>.</w:t>
      </w:r>
      <w:r w:rsidRPr="000C48B3">
        <w:rPr>
          <w:lang w:val="en-US"/>
        </w:rPr>
        <w:t>…………</w:t>
      </w:r>
      <w:r>
        <w:rPr>
          <w:lang w:val="en-US"/>
        </w:rPr>
        <w:t>…………</w:t>
      </w:r>
      <w:r w:rsidRPr="000C48B3">
        <w:rPr>
          <w:lang w:val="en-US"/>
        </w:rPr>
        <w:t>…p.</w:t>
      </w:r>
      <w:r>
        <w:rPr>
          <w:lang w:val="en-US"/>
        </w:rPr>
        <w:t>6</w:t>
      </w:r>
    </w:p>
    <w:p w:rsidR="00FD5242" w:rsidRDefault="00FD5242" w:rsidP="007C274E">
      <w:pPr>
        <w:jc w:val="both"/>
        <w:rPr>
          <w:lang w:val="en-US"/>
        </w:rPr>
      </w:pPr>
      <w:r>
        <w:rPr>
          <w:lang w:val="en-US"/>
        </w:rPr>
        <w:t xml:space="preserve">1.1.1 </w:t>
      </w:r>
      <w:r w:rsidRPr="001B77D0">
        <w:rPr>
          <w:lang w:val="en-US"/>
        </w:rPr>
        <w:t>The current financial crisis</w:t>
      </w:r>
      <w:r>
        <w:rPr>
          <w:lang w:val="en-US"/>
        </w:rPr>
        <w:t>……………………………………………………………………………………p.6</w:t>
      </w:r>
    </w:p>
    <w:p w:rsidR="00FD5242" w:rsidRDefault="00FD5242" w:rsidP="007C274E">
      <w:pPr>
        <w:jc w:val="both"/>
        <w:rPr>
          <w:lang w:val="en-US"/>
        </w:rPr>
      </w:pPr>
      <w:r>
        <w:rPr>
          <w:lang w:val="en-US"/>
        </w:rPr>
        <w:t>1.1.2 The external auditing profession……………………………………………………………………………p.7</w:t>
      </w:r>
    </w:p>
    <w:p w:rsidR="00FD5242" w:rsidRPr="001B77D0" w:rsidRDefault="00FD5242" w:rsidP="007C274E">
      <w:pPr>
        <w:jc w:val="both"/>
        <w:rPr>
          <w:lang w:val="en-US"/>
        </w:rPr>
      </w:pPr>
      <w:r>
        <w:rPr>
          <w:lang w:val="en-US"/>
        </w:rPr>
        <w:t>1.1.3 Auditors’ conservatism and audit fees…………………………………………………………….…..…p.8</w:t>
      </w:r>
    </w:p>
    <w:p w:rsidR="00FD5242" w:rsidRPr="000C48B3" w:rsidRDefault="00FD5242" w:rsidP="007C274E">
      <w:pPr>
        <w:jc w:val="both"/>
        <w:rPr>
          <w:lang w:val="en-US"/>
        </w:rPr>
      </w:pPr>
      <w:r w:rsidRPr="000C48B3">
        <w:rPr>
          <w:lang w:val="en-US"/>
        </w:rPr>
        <w:t>1.2 Objectives…………………………………………………………………………………………………</w:t>
      </w:r>
      <w:r>
        <w:rPr>
          <w:lang w:val="en-US"/>
        </w:rPr>
        <w:t>……….</w:t>
      </w:r>
      <w:r w:rsidRPr="000C48B3">
        <w:rPr>
          <w:lang w:val="en-US"/>
        </w:rPr>
        <w:t>..</w:t>
      </w:r>
      <w:r>
        <w:rPr>
          <w:lang w:val="en-US"/>
        </w:rPr>
        <w:t>......</w:t>
      </w:r>
      <w:r w:rsidRPr="000C48B3">
        <w:rPr>
          <w:lang w:val="en-US"/>
        </w:rPr>
        <w:t>p.</w:t>
      </w:r>
      <w:r>
        <w:rPr>
          <w:lang w:val="en-US"/>
        </w:rPr>
        <w:t>8</w:t>
      </w:r>
    </w:p>
    <w:p w:rsidR="00FD5242" w:rsidRPr="000C48B3" w:rsidRDefault="00FD5242" w:rsidP="007C274E">
      <w:pPr>
        <w:jc w:val="both"/>
        <w:rPr>
          <w:lang w:val="en-US"/>
        </w:rPr>
      </w:pPr>
      <w:r w:rsidRPr="000C48B3">
        <w:rPr>
          <w:lang w:val="en-US"/>
        </w:rPr>
        <w:t>1.3 Problem definition……………………………………………………………………………………</w:t>
      </w:r>
      <w:r>
        <w:rPr>
          <w:lang w:val="en-US"/>
        </w:rPr>
        <w:t>…..</w:t>
      </w:r>
      <w:r w:rsidRPr="000C48B3">
        <w:rPr>
          <w:lang w:val="en-US"/>
        </w:rPr>
        <w:t>……</w:t>
      </w:r>
      <w:r>
        <w:rPr>
          <w:lang w:val="en-US"/>
        </w:rPr>
        <w:t>……</w:t>
      </w:r>
      <w:r w:rsidRPr="000C48B3">
        <w:rPr>
          <w:lang w:val="en-US"/>
        </w:rPr>
        <w:t>.p.</w:t>
      </w:r>
      <w:r>
        <w:rPr>
          <w:lang w:val="en-US"/>
        </w:rPr>
        <w:t>9</w:t>
      </w:r>
    </w:p>
    <w:p w:rsidR="00FD5242" w:rsidRPr="000C48B3" w:rsidRDefault="00FD5242" w:rsidP="007C274E">
      <w:pPr>
        <w:jc w:val="both"/>
        <w:rPr>
          <w:lang w:val="en-US"/>
        </w:rPr>
      </w:pPr>
      <w:r w:rsidRPr="000C48B3">
        <w:rPr>
          <w:lang w:val="en-US"/>
        </w:rPr>
        <w:t>1.4 Methodology</w:t>
      </w:r>
      <w:r>
        <w:rPr>
          <w:lang w:val="en-US"/>
        </w:rPr>
        <w:t>………………………………………………………………………………………………………….…p.9</w:t>
      </w:r>
    </w:p>
    <w:p w:rsidR="00FD5242" w:rsidRPr="000C48B3" w:rsidRDefault="00FD5242" w:rsidP="007C274E">
      <w:pPr>
        <w:jc w:val="both"/>
        <w:rPr>
          <w:lang w:val="en-US"/>
        </w:rPr>
      </w:pPr>
      <w:r w:rsidRPr="000C48B3">
        <w:rPr>
          <w:lang w:val="en-US"/>
        </w:rPr>
        <w:t>1.5 Demarcation and limitations</w:t>
      </w:r>
      <w:r>
        <w:rPr>
          <w:lang w:val="en-US"/>
        </w:rPr>
        <w:t>………………………………………………………………………………….p.10</w:t>
      </w:r>
    </w:p>
    <w:p w:rsidR="00FD5242" w:rsidRPr="000C48B3" w:rsidRDefault="00FD5242" w:rsidP="007C274E">
      <w:pPr>
        <w:jc w:val="both"/>
        <w:rPr>
          <w:lang w:val="en-US"/>
        </w:rPr>
      </w:pPr>
      <w:r w:rsidRPr="000C48B3">
        <w:rPr>
          <w:lang w:val="en-US"/>
        </w:rPr>
        <w:t>1.6 Structure………………………………………………………………………………………………………</w:t>
      </w:r>
      <w:r>
        <w:rPr>
          <w:lang w:val="en-US"/>
        </w:rPr>
        <w:t>…………p.10</w:t>
      </w:r>
    </w:p>
    <w:p w:rsidR="00FD5242" w:rsidRPr="000C48B3" w:rsidRDefault="00FD5242" w:rsidP="007C274E">
      <w:pPr>
        <w:jc w:val="both"/>
        <w:rPr>
          <w:lang w:val="en-US"/>
        </w:rPr>
      </w:pPr>
      <w:r w:rsidRPr="000C48B3">
        <w:rPr>
          <w:lang w:val="en-US"/>
        </w:rPr>
        <w:t>CHAPTER 2-Financial information………………</w:t>
      </w:r>
      <w:r>
        <w:rPr>
          <w:lang w:val="en-US"/>
        </w:rPr>
        <w:t>………………………………………...………………………p.12</w:t>
      </w:r>
    </w:p>
    <w:p w:rsidR="00FD5242" w:rsidRDefault="00FD5242" w:rsidP="007C274E">
      <w:pPr>
        <w:jc w:val="both"/>
        <w:rPr>
          <w:lang w:val="en-US"/>
        </w:rPr>
      </w:pPr>
      <w:r>
        <w:rPr>
          <w:lang w:val="en-US"/>
        </w:rPr>
        <w:t>2.1 Introduction…………………………………………………………………………………………………….........p.12</w:t>
      </w:r>
    </w:p>
    <w:p w:rsidR="00FD5242" w:rsidRDefault="00FD5242" w:rsidP="007C274E">
      <w:pPr>
        <w:jc w:val="both"/>
        <w:rPr>
          <w:lang w:val="en-US"/>
        </w:rPr>
      </w:pPr>
      <w:r>
        <w:rPr>
          <w:lang w:val="en-US"/>
        </w:rPr>
        <w:t xml:space="preserve">2.2 </w:t>
      </w:r>
      <w:r w:rsidRPr="005E12A6">
        <w:rPr>
          <w:lang w:val="en-US"/>
        </w:rPr>
        <w:t>Theories concerning financial and accounting information</w:t>
      </w:r>
      <w:r>
        <w:rPr>
          <w:lang w:val="en-US"/>
        </w:rPr>
        <w:t>……………………………………..p.13</w:t>
      </w:r>
    </w:p>
    <w:p w:rsidR="00FD5242" w:rsidRDefault="00FD5242" w:rsidP="007C274E">
      <w:pPr>
        <w:jc w:val="both"/>
        <w:rPr>
          <w:lang w:val="en-US"/>
        </w:rPr>
      </w:pPr>
      <w:r>
        <w:rPr>
          <w:lang w:val="en-US"/>
        </w:rPr>
        <w:t>2.1.1 Agency Theory…………………………………………………………………………………………………….p.13</w:t>
      </w:r>
    </w:p>
    <w:p w:rsidR="00FD5242" w:rsidRDefault="00FD5242" w:rsidP="007C274E">
      <w:pPr>
        <w:jc w:val="both"/>
        <w:rPr>
          <w:lang w:val="en-US"/>
        </w:rPr>
      </w:pPr>
      <w:r>
        <w:rPr>
          <w:lang w:val="en-US"/>
        </w:rPr>
        <w:t>2.2.2 The efficient Market Hypothesis………………………………………………………………………….p.14</w:t>
      </w:r>
    </w:p>
    <w:p w:rsidR="00FD5242" w:rsidRPr="000C48B3" w:rsidRDefault="00FD5242" w:rsidP="007C274E">
      <w:pPr>
        <w:jc w:val="both"/>
        <w:rPr>
          <w:lang w:val="en-US"/>
        </w:rPr>
      </w:pPr>
      <w:r>
        <w:rPr>
          <w:lang w:val="en-US"/>
        </w:rPr>
        <w:t>2.2.3 The Positive Accounting Theory…………………………………………………………………………..p.16</w:t>
      </w:r>
    </w:p>
    <w:p w:rsidR="00FD5242" w:rsidRDefault="00FD5242" w:rsidP="007C274E">
      <w:pPr>
        <w:jc w:val="both"/>
        <w:rPr>
          <w:lang w:val="en-US"/>
        </w:rPr>
      </w:pPr>
      <w:r>
        <w:rPr>
          <w:lang w:val="en-US"/>
        </w:rPr>
        <w:t>2.3 Summary…………………………………………………………………………………………………………………p.18</w:t>
      </w:r>
    </w:p>
    <w:p w:rsidR="00FD5242" w:rsidRPr="000C48B3" w:rsidRDefault="00FD5242" w:rsidP="007C274E">
      <w:pPr>
        <w:jc w:val="both"/>
        <w:rPr>
          <w:lang w:val="en-US"/>
        </w:rPr>
      </w:pPr>
      <w:r w:rsidRPr="000C48B3">
        <w:rPr>
          <w:lang w:val="en-US"/>
        </w:rPr>
        <w:t>CHAPTER 3 – The Financial Crisis……………</w:t>
      </w:r>
      <w:r>
        <w:rPr>
          <w:lang w:val="en-US"/>
        </w:rPr>
        <w:t>……………………………………………………………………..p.19</w:t>
      </w:r>
    </w:p>
    <w:p w:rsidR="00FD5242" w:rsidRPr="000C48B3" w:rsidRDefault="00FD5242" w:rsidP="007C274E">
      <w:pPr>
        <w:jc w:val="both"/>
        <w:rPr>
          <w:lang w:val="en-US"/>
        </w:rPr>
      </w:pPr>
      <w:r w:rsidRPr="000C48B3">
        <w:rPr>
          <w:lang w:val="en-US"/>
        </w:rPr>
        <w:t>3.1 Insight in the causes of the crisi</w:t>
      </w:r>
      <w:r>
        <w:rPr>
          <w:lang w:val="en-US"/>
        </w:rPr>
        <w:t>s……………………………………………………………………………..p.19</w:t>
      </w:r>
    </w:p>
    <w:p w:rsidR="00FD5242" w:rsidRDefault="00FD5242" w:rsidP="007C274E">
      <w:pPr>
        <w:jc w:val="both"/>
        <w:rPr>
          <w:lang w:val="en-US"/>
        </w:rPr>
      </w:pPr>
      <w:r w:rsidRPr="000C48B3">
        <w:rPr>
          <w:lang w:val="en-US"/>
        </w:rPr>
        <w:t xml:space="preserve">3.2 Fair-value and off-balance sheet accounting: the </w:t>
      </w:r>
      <w:r>
        <w:rPr>
          <w:lang w:val="en-US"/>
        </w:rPr>
        <w:t>features of controversy………………p.24</w:t>
      </w:r>
    </w:p>
    <w:p w:rsidR="00FD5242" w:rsidRPr="000C48B3" w:rsidRDefault="00FD5242" w:rsidP="007C274E">
      <w:pPr>
        <w:jc w:val="both"/>
        <w:rPr>
          <w:lang w:val="en-US"/>
        </w:rPr>
      </w:pPr>
      <w:r>
        <w:rPr>
          <w:lang w:val="en-US"/>
        </w:rPr>
        <w:t>3.3 Summary…………………………………………………………………………………………………………..…….p.27</w:t>
      </w:r>
    </w:p>
    <w:p w:rsidR="00FD5242" w:rsidRPr="000C48B3" w:rsidRDefault="00FD5242" w:rsidP="007C274E">
      <w:pPr>
        <w:jc w:val="both"/>
        <w:rPr>
          <w:lang w:val="en-US"/>
        </w:rPr>
      </w:pPr>
      <w:r w:rsidRPr="000C48B3">
        <w:rPr>
          <w:lang w:val="en-US"/>
        </w:rPr>
        <w:t xml:space="preserve">CHAPTER 4 – The external auditing profession, the impacts of the financial crisis on external auditors, audit conservatism and </w:t>
      </w:r>
      <w:r>
        <w:rPr>
          <w:lang w:val="en-US"/>
        </w:rPr>
        <w:t>audit fees…………………………………………………...p.28</w:t>
      </w:r>
    </w:p>
    <w:p w:rsidR="00FD5242" w:rsidRPr="000C48B3" w:rsidRDefault="00FD5242" w:rsidP="007C274E">
      <w:pPr>
        <w:jc w:val="both"/>
        <w:rPr>
          <w:lang w:val="en-US"/>
        </w:rPr>
      </w:pPr>
      <w:r w:rsidRPr="000C48B3">
        <w:rPr>
          <w:lang w:val="en-US"/>
        </w:rPr>
        <w:t>4.1 External Auditing……………………</w:t>
      </w:r>
      <w:r>
        <w:rPr>
          <w:lang w:val="en-US"/>
        </w:rPr>
        <w:t>…………………………………………………………………………….…p.28</w:t>
      </w:r>
    </w:p>
    <w:p w:rsidR="00FD5242" w:rsidRPr="000C48B3" w:rsidRDefault="00FD5242" w:rsidP="007C274E">
      <w:pPr>
        <w:jc w:val="both"/>
        <w:rPr>
          <w:lang w:val="en-US"/>
        </w:rPr>
      </w:pPr>
      <w:r w:rsidRPr="000C48B3">
        <w:rPr>
          <w:lang w:val="en-US"/>
        </w:rPr>
        <w:t>4.2 Implications of the current financial crisis on t</w:t>
      </w:r>
      <w:r>
        <w:rPr>
          <w:lang w:val="en-US"/>
        </w:rPr>
        <w:t>he audit profession……………………….…p.32</w:t>
      </w:r>
    </w:p>
    <w:p w:rsidR="00FD5242" w:rsidRPr="000C48B3" w:rsidRDefault="00FD5242" w:rsidP="007C274E">
      <w:pPr>
        <w:jc w:val="both"/>
        <w:rPr>
          <w:lang w:val="en-US"/>
        </w:rPr>
      </w:pPr>
      <w:r w:rsidRPr="000C48B3">
        <w:rPr>
          <w:lang w:val="en-US"/>
        </w:rPr>
        <w:t>4.3 Conservatism in audits…………</w:t>
      </w:r>
      <w:r>
        <w:rPr>
          <w:lang w:val="en-US"/>
        </w:rPr>
        <w:t>………………………………………………………………………………….p.34</w:t>
      </w:r>
    </w:p>
    <w:p w:rsidR="00FD5242" w:rsidRPr="000C48B3" w:rsidRDefault="00FD5242" w:rsidP="007C274E">
      <w:pPr>
        <w:jc w:val="both"/>
        <w:rPr>
          <w:lang w:val="en-US"/>
        </w:rPr>
      </w:pPr>
      <w:r w:rsidRPr="000C48B3">
        <w:rPr>
          <w:lang w:val="en-US"/>
        </w:rPr>
        <w:t>4.4 Audit fee………………………………</w:t>
      </w:r>
      <w:r>
        <w:rPr>
          <w:lang w:val="en-US"/>
        </w:rPr>
        <w:t>……………………………………………………………………………..….p.39</w:t>
      </w:r>
    </w:p>
    <w:p w:rsidR="00FD5242" w:rsidRDefault="00FD5242" w:rsidP="007C274E">
      <w:pPr>
        <w:jc w:val="both"/>
        <w:rPr>
          <w:lang w:val="en-US"/>
        </w:rPr>
      </w:pPr>
      <w:r w:rsidRPr="000C48B3">
        <w:rPr>
          <w:lang w:val="en-US"/>
        </w:rPr>
        <w:t>4.5 The Association between Audit Fees and Aud</w:t>
      </w:r>
      <w:r>
        <w:rPr>
          <w:lang w:val="en-US"/>
        </w:rPr>
        <w:t>it Conservatism…………………………….…..p.40</w:t>
      </w:r>
    </w:p>
    <w:p w:rsidR="00FD5242" w:rsidRPr="000C48B3" w:rsidRDefault="00FD5242" w:rsidP="007C274E">
      <w:pPr>
        <w:jc w:val="both"/>
        <w:rPr>
          <w:lang w:val="en-US"/>
        </w:rPr>
      </w:pPr>
      <w:r>
        <w:rPr>
          <w:lang w:val="en-US"/>
        </w:rPr>
        <w:t>4.6 Summary…………………………………………………………………………………………………………………p.41</w:t>
      </w:r>
    </w:p>
    <w:p w:rsidR="00FD5242" w:rsidRPr="000C48B3" w:rsidRDefault="00FD5242" w:rsidP="007C274E">
      <w:pPr>
        <w:jc w:val="both"/>
        <w:rPr>
          <w:lang w:val="en-US"/>
        </w:rPr>
      </w:pPr>
      <w:r w:rsidRPr="000C48B3">
        <w:rPr>
          <w:lang w:val="en-US"/>
        </w:rPr>
        <w:t>CHAPTER 5 – Prior Research…………</w:t>
      </w:r>
      <w:r>
        <w:rPr>
          <w:lang w:val="en-US"/>
        </w:rPr>
        <w:t>……………………………………………………………………….……p.42</w:t>
      </w:r>
    </w:p>
    <w:p w:rsidR="00FD5242" w:rsidRDefault="00FD5242" w:rsidP="007C274E">
      <w:pPr>
        <w:jc w:val="both"/>
        <w:rPr>
          <w:lang w:val="en-US"/>
        </w:rPr>
      </w:pPr>
      <w:r w:rsidRPr="000C48B3">
        <w:rPr>
          <w:lang w:val="en-US"/>
        </w:rPr>
        <w:t>5.1 Prior Research investigation and Hypothe</w:t>
      </w:r>
      <w:r>
        <w:rPr>
          <w:lang w:val="en-US"/>
        </w:rPr>
        <w:t>ses development………………………………..….p.42</w:t>
      </w:r>
    </w:p>
    <w:p w:rsidR="00FD5242" w:rsidRPr="000C48B3" w:rsidRDefault="00FD5242" w:rsidP="007C274E">
      <w:pPr>
        <w:jc w:val="both"/>
        <w:rPr>
          <w:lang w:val="en-US"/>
        </w:rPr>
      </w:pPr>
      <w:r>
        <w:rPr>
          <w:lang w:val="en-US"/>
        </w:rPr>
        <w:t>5.2 Summary……………………………………………………………………………………………………………….p.53</w:t>
      </w:r>
    </w:p>
    <w:p w:rsidR="00FD5242" w:rsidRPr="000C48B3" w:rsidRDefault="00FD5242" w:rsidP="007C274E">
      <w:pPr>
        <w:jc w:val="both"/>
        <w:rPr>
          <w:lang w:val="en-US"/>
        </w:rPr>
      </w:pPr>
      <w:r w:rsidRPr="000C48B3">
        <w:rPr>
          <w:lang w:val="en-US"/>
        </w:rPr>
        <w:t>CHAPTER 6 – Research Desi</w:t>
      </w:r>
      <w:r>
        <w:rPr>
          <w:lang w:val="en-US"/>
        </w:rPr>
        <w:t>gn…………………………………………………………………………..</w:t>
      </w:r>
      <w:r w:rsidRPr="000C48B3">
        <w:rPr>
          <w:lang w:val="en-US"/>
        </w:rPr>
        <w:t>.</w:t>
      </w:r>
      <w:r>
        <w:rPr>
          <w:lang w:val="en-US"/>
        </w:rPr>
        <w:t>...........</w:t>
      </w:r>
      <w:r w:rsidRPr="000C48B3">
        <w:rPr>
          <w:lang w:val="en-US"/>
        </w:rPr>
        <w:t>p.</w:t>
      </w:r>
      <w:r>
        <w:rPr>
          <w:lang w:val="en-US"/>
        </w:rPr>
        <w:t>54</w:t>
      </w:r>
    </w:p>
    <w:p w:rsidR="00FD5242" w:rsidRPr="000C48B3" w:rsidRDefault="00FD5242" w:rsidP="007C274E">
      <w:pPr>
        <w:jc w:val="both"/>
        <w:rPr>
          <w:lang w:val="en-US"/>
        </w:rPr>
      </w:pPr>
      <w:r w:rsidRPr="000C48B3">
        <w:rPr>
          <w:lang w:val="en-US"/>
        </w:rPr>
        <w:t>6.1 Research approach…………………</w:t>
      </w:r>
      <w:r>
        <w:rPr>
          <w:lang w:val="en-US"/>
        </w:rPr>
        <w:t>…………………………………………………………………………….p.54</w:t>
      </w:r>
    </w:p>
    <w:p w:rsidR="00FD5242" w:rsidRPr="000C48B3" w:rsidRDefault="00FD5242" w:rsidP="007C274E">
      <w:pPr>
        <w:jc w:val="both"/>
        <w:rPr>
          <w:lang w:val="en-US"/>
        </w:rPr>
      </w:pPr>
      <w:r w:rsidRPr="000C48B3">
        <w:rPr>
          <w:lang w:val="en-US"/>
        </w:rPr>
        <w:t>6.2 Research methodology……………</w:t>
      </w:r>
      <w:r>
        <w:rPr>
          <w:lang w:val="en-US"/>
        </w:rPr>
        <w:t>……………………………………………………………………………p.55</w:t>
      </w:r>
    </w:p>
    <w:p w:rsidR="00FD5242" w:rsidRPr="000C48B3" w:rsidRDefault="00FD5242" w:rsidP="007C274E">
      <w:pPr>
        <w:jc w:val="both"/>
        <w:rPr>
          <w:lang w:val="en-US"/>
        </w:rPr>
      </w:pPr>
      <w:r w:rsidRPr="000C48B3">
        <w:rPr>
          <w:lang w:val="en-US"/>
        </w:rPr>
        <w:t xml:space="preserve">6.3 Measuring auditors’ conservatism and </w:t>
      </w:r>
      <w:r>
        <w:rPr>
          <w:lang w:val="en-US"/>
        </w:rPr>
        <w:t>audit fees……………………………………………….…p.56</w:t>
      </w:r>
    </w:p>
    <w:p w:rsidR="00FD5242" w:rsidRPr="000C48B3" w:rsidRDefault="00FD5242" w:rsidP="007C274E">
      <w:pPr>
        <w:jc w:val="both"/>
        <w:rPr>
          <w:color w:val="000000"/>
          <w:lang w:val="en-US"/>
        </w:rPr>
      </w:pPr>
      <w:r>
        <w:rPr>
          <w:color w:val="000000"/>
          <w:lang w:val="en-US"/>
        </w:rPr>
        <w:t>6.4 Control variables……………………………………………………………………………………………………..p.59</w:t>
      </w:r>
    </w:p>
    <w:p w:rsidR="00FD5242" w:rsidRDefault="00FD5242" w:rsidP="007C274E">
      <w:pPr>
        <w:jc w:val="both"/>
        <w:rPr>
          <w:lang w:val="en-US"/>
        </w:rPr>
      </w:pPr>
      <w:r w:rsidRPr="000C48B3">
        <w:rPr>
          <w:lang w:val="en-US"/>
        </w:rPr>
        <w:t>6.5 Sample selection ………………………</w:t>
      </w:r>
      <w:r>
        <w:rPr>
          <w:lang w:val="en-US"/>
        </w:rPr>
        <w:t>…………………………………………………………………………….p.61</w:t>
      </w:r>
    </w:p>
    <w:p w:rsidR="00FD5242" w:rsidRPr="000C48B3" w:rsidRDefault="00FD5242" w:rsidP="007C274E">
      <w:pPr>
        <w:jc w:val="both"/>
        <w:rPr>
          <w:lang w:val="en-US"/>
        </w:rPr>
      </w:pPr>
      <w:r>
        <w:rPr>
          <w:lang w:val="en-US"/>
        </w:rPr>
        <w:t>6.6 Summary………………………………………………………………………………………………………………..p.63</w:t>
      </w:r>
    </w:p>
    <w:p w:rsidR="00FD5242" w:rsidRPr="000C48B3" w:rsidRDefault="00FD5242" w:rsidP="007C274E">
      <w:pPr>
        <w:jc w:val="both"/>
        <w:rPr>
          <w:lang w:val="en-US"/>
        </w:rPr>
      </w:pPr>
      <w:r w:rsidRPr="000C48B3">
        <w:rPr>
          <w:lang w:val="en-US"/>
        </w:rPr>
        <w:t>CHAPTER 7 – Research results and analys</w:t>
      </w:r>
      <w:r>
        <w:rPr>
          <w:lang w:val="en-US"/>
        </w:rPr>
        <w:t>is…………………………………………………………………..p.64</w:t>
      </w:r>
    </w:p>
    <w:p w:rsidR="00FD5242" w:rsidRDefault="00FD5242" w:rsidP="007C274E">
      <w:pPr>
        <w:jc w:val="both"/>
        <w:rPr>
          <w:lang w:val="en-US"/>
        </w:rPr>
      </w:pPr>
      <w:r w:rsidRPr="000C48B3">
        <w:rPr>
          <w:lang w:val="en-US"/>
        </w:rPr>
        <w:t>7.1 Analysis of the investigation concerning the impact of the current financial crisis on auditors’ use of conservatism……………………………………………………………………</w:t>
      </w:r>
      <w:r>
        <w:rPr>
          <w:lang w:val="en-US"/>
        </w:rPr>
        <w:t>….</w:t>
      </w:r>
      <w:r w:rsidRPr="000C48B3">
        <w:rPr>
          <w:lang w:val="en-US"/>
        </w:rPr>
        <w:t>…………</w:t>
      </w:r>
      <w:r>
        <w:rPr>
          <w:lang w:val="en-US"/>
        </w:rPr>
        <w:t>..</w:t>
      </w:r>
      <w:r w:rsidRPr="000C48B3">
        <w:rPr>
          <w:lang w:val="en-US"/>
        </w:rPr>
        <w:t>…</w:t>
      </w:r>
      <w:r>
        <w:rPr>
          <w:lang w:val="en-US"/>
        </w:rPr>
        <w:t>.</w:t>
      </w:r>
      <w:r w:rsidRPr="000C48B3">
        <w:rPr>
          <w:lang w:val="en-US"/>
        </w:rPr>
        <w:t>p.</w:t>
      </w:r>
      <w:r>
        <w:rPr>
          <w:lang w:val="en-US"/>
        </w:rPr>
        <w:t>64</w:t>
      </w:r>
    </w:p>
    <w:p w:rsidR="00FD5242" w:rsidRDefault="00FD5242" w:rsidP="007C274E">
      <w:pPr>
        <w:jc w:val="both"/>
        <w:rPr>
          <w:lang w:val="en-US"/>
        </w:rPr>
      </w:pPr>
      <w:r>
        <w:rPr>
          <w:lang w:val="en-US"/>
        </w:rPr>
        <w:t>7.1.1 Descriptive statistics for Model 1…………………………………………………………………………p.64</w:t>
      </w:r>
    </w:p>
    <w:p w:rsidR="00FD5242" w:rsidRDefault="00FD5242" w:rsidP="007C274E">
      <w:pPr>
        <w:jc w:val="both"/>
        <w:rPr>
          <w:lang w:val="en-US"/>
        </w:rPr>
      </w:pPr>
      <w:r w:rsidRPr="00D24456">
        <w:rPr>
          <w:lang w:val="en-US"/>
        </w:rPr>
        <w:t>7.1.2 Pearson’s correlation testing</w:t>
      </w:r>
      <w:r>
        <w:rPr>
          <w:lang w:val="en-US"/>
        </w:rPr>
        <w:t>………………………………………………………………………………p.65</w:t>
      </w:r>
    </w:p>
    <w:p w:rsidR="00FD5242" w:rsidRDefault="00FD5242" w:rsidP="007C274E">
      <w:pPr>
        <w:jc w:val="both"/>
        <w:rPr>
          <w:bCs/>
          <w:lang w:val="en-US"/>
        </w:rPr>
      </w:pPr>
      <w:r>
        <w:rPr>
          <w:bCs/>
          <w:lang w:val="en-US"/>
        </w:rPr>
        <w:t xml:space="preserve">7.1.3 </w:t>
      </w:r>
      <w:r w:rsidRPr="00D24456">
        <w:rPr>
          <w:bCs/>
          <w:lang w:val="en-US"/>
        </w:rPr>
        <w:t>Coefficients’ analysis - Results investigation</w:t>
      </w:r>
      <w:r>
        <w:rPr>
          <w:bCs/>
          <w:lang w:val="en-US"/>
        </w:rPr>
        <w:t>…………………………………………………………p.68</w:t>
      </w:r>
    </w:p>
    <w:p w:rsidR="00FD5242" w:rsidRPr="00BC486B" w:rsidRDefault="00FD5242" w:rsidP="007C274E">
      <w:pPr>
        <w:jc w:val="both"/>
        <w:rPr>
          <w:bCs/>
          <w:lang w:val="en-US"/>
        </w:rPr>
      </w:pPr>
      <w:r>
        <w:rPr>
          <w:rFonts w:cs="Arial"/>
          <w:color w:val="000000"/>
          <w:lang w:val="en-US"/>
        </w:rPr>
        <w:t xml:space="preserve">7.1.4. </w:t>
      </w:r>
      <w:r w:rsidRPr="00D24456">
        <w:rPr>
          <w:rFonts w:cs="Arial"/>
          <w:color w:val="000000"/>
          <w:lang w:val="en-US"/>
        </w:rPr>
        <w:t>Complementary e</w:t>
      </w:r>
      <w:r>
        <w:rPr>
          <w:rFonts w:cs="Arial"/>
          <w:color w:val="000000"/>
          <w:lang w:val="en-US"/>
        </w:rPr>
        <w:t>vidence concerning data from 2005, 2006, 2008 and 2009……..p.71</w:t>
      </w:r>
      <w:r w:rsidRPr="00D24456">
        <w:rPr>
          <w:rFonts w:cs="Arial"/>
          <w:color w:val="000000"/>
          <w:lang w:val="en-US"/>
        </w:rPr>
        <w:t xml:space="preserve">  </w:t>
      </w:r>
    </w:p>
    <w:p w:rsidR="00FD5242" w:rsidRDefault="00FD5242" w:rsidP="007C274E">
      <w:pPr>
        <w:jc w:val="both"/>
        <w:rPr>
          <w:lang w:val="en-US"/>
        </w:rPr>
      </w:pPr>
      <w:r w:rsidRPr="000C48B3">
        <w:rPr>
          <w:lang w:val="en-US"/>
        </w:rPr>
        <w:t>7.2 The impact of the current financial crisis, concerning the auditors’ fees………………</w:t>
      </w:r>
      <w:r>
        <w:rPr>
          <w:lang w:val="en-US"/>
        </w:rPr>
        <w:t>…</w:t>
      </w:r>
      <w:r w:rsidRPr="000C48B3">
        <w:rPr>
          <w:lang w:val="en-US"/>
        </w:rPr>
        <w:t>p.</w:t>
      </w:r>
      <w:r>
        <w:rPr>
          <w:lang w:val="en-US"/>
        </w:rPr>
        <w:t>74</w:t>
      </w:r>
    </w:p>
    <w:p w:rsidR="00FD5242" w:rsidRDefault="00FD5242" w:rsidP="007C274E">
      <w:pPr>
        <w:jc w:val="both"/>
        <w:rPr>
          <w:lang w:val="en-US"/>
        </w:rPr>
      </w:pPr>
      <w:r>
        <w:rPr>
          <w:lang w:val="en-US"/>
        </w:rPr>
        <w:t xml:space="preserve">7.2.1 </w:t>
      </w:r>
      <w:r w:rsidRPr="008F38D4">
        <w:rPr>
          <w:lang w:val="en-US"/>
        </w:rPr>
        <w:t>Descriptive statistics for Model 3</w:t>
      </w:r>
      <w:r>
        <w:rPr>
          <w:lang w:val="en-US"/>
        </w:rPr>
        <w:t>………………………………………………………….……………p.75</w:t>
      </w:r>
    </w:p>
    <w:p w:rsidR="00FD5242" w:rsidRDefault="00FD5242" w:rsidP="007C274E">
      <w:pPr>
        <w:jc w:val="both"/>
        <w:rPr>
          <w:lang w:val="en-US"/>
        </w:rPr>
      </w:pPr>
      <w:r>
        <w:rPr>
          <w:lang w:val="en-US"/>
        </w:rPr>
        <w:t xml:space="preserve">7.2.2 </w:t>
      </w:r>
      <w:r w:rsidRPr="008F38D4">
        <w:rPr>
          <w:lang w:val="en-US"/>
        </w:rPr>
        <w:t>Pearson’s correlation testing</w:t>
      </w:r>
      <w:r>
        <w:rPr>
          <w:lang w:val="en-US"/>
        </w:rPr>
        <w:t>………………………………………………………………………………..p.76</w:t>
      </w:r>
    </w:p>
    <w:p w:rsidR="00FD5242" w:rsidRDefault="00FD5242" w:rsidP="007C274E">
      <w:pPr>
        <w:jc w:val="both"/>
        <w:rPr>
          <w:lang w:val="en-US"/>
        </w:rPr>
      </w:pPr>
      <w:r>
        <w:rPr>
          <w:lang w:val="en-US"/>
        </w:rPr>
        <w:t xml:space="preserve">7.2.3 </w:t>
      </w:r>
      <w:r w:rsidRPr="00353D2A">
        <w:rPr>
          <w:lang w:val="en-US"/>
        </w:rPr>
        <w:t>Coefficients’ analysis - Results investigation</w:t>
      </w:r>
      <w:r>
        <w:rPr>
          <w:lang w:val="en-US"/>
        </w:rPr>
        <w:t>………………………………………………………..p.79</w:t>
      </w:r>
    </w:p>
    <w:p w:rsidR="00FD5242" w:rsidRPr="00353D2A" w:rsidRDefault="00FD5242" w:rsidP="007C274E">
      <w:pPr>
        <w:jc w:val="both"/>
        <w:rPr>
          <w:bCs/>
          <w:lang w:val="en-US"/>
        </w:rPr>
      </w:pPr>
      <w:r>
        <w:rPr>
          <w:bCs/>
          <w:lang w:val="en-US"/>
        </w:rPr>
        <w:t>7.3 Summary………………………………………………………………………………………………………………...p.84</w:t>
      </w:r>
    </w:p>
    <w:p w:rsidR="00FD5242" w:rsidRDefault="00FD5242" w:rsidP="007C274E">
      <w:pPr>
        <w:jc w:val="both"/>
        <w:rPr>
          <w:color w:val="000000"/>
          <w:lang w:val="en-US"/>
        </w:rPr>
      </w:pPr>
      <w:r w:rsidRPr="000C48B3">
        <w:rPr>
          <w:color w:val="000000"/>
          <w:lang w:val="en-US"/>
        </w:rPr>
        <w:t>CHAPTE</w:t>
      </w:r>
      <w:r>
        <w:rPr>
          <w:color w:val="000000"/>
          <w:lang w:val="en-US"/>
        </w:rPr>
        <w:t>R 8 – Conclusion and Limitations……………………....................................................p.85</w:t>
      </w:r>
    </w:p>
    <w:p w:rsidR="00FD5242" w:rsidRDefault="00FD5242" w:rsidP="007C274E">
      <w:pPr>
        <w:jc w:val="both"/>
        <w:rPr>
          <w:color w:val="000000"/>
          <w:lang w:val="en-US"/>
        </w:rPr>
      </w:pPr>
      <w:r>
        <w:rPr>
          <w:color w:val="000000"/>
          <w:lang w:val="en-US"/>
        </w:rPr>
        <w:t>8.1 Conclusion………………………………………………………………………………………………………………p.85</w:t>
      </w:r>
    </w:p>
    <w:p w:rsidR="00FD5242" w:rsidRDefault="00FD5242" w:rsidP="007C274E">
      <w:pPr>
        <w:jc w:val="both"/>
        <w:rPr>
          <w:color w:val="000000"/>
          <w:lang w:val="en-US"/>
        </w:rPr>
      </w:pPr>
      <w:r>
        <w:rPr>
          <w:color w:val="000000"/>
          <w:lang w:val="en-US"/>
        </w:rPr>
        <w:t>8.2 Limitations………………………………………………………………………………………………………………p.85</w:t>
      </w:r>
    </w:p>
    <w:p w:rsidR="00FD5242" w:rsidRDefault="00FD5242" w:rsidP="007C274E">
      <w:pPr>
        <w:jc w:val="both"/>
        <w:rPr>
          <w:color w:val="000000"/>
          <w:lang w:val="en-US"/>
        </w:rPr>
      </w:pPr>
      <w:r>
        <w:rPr>
          <w:color w:val="000000"/>
          <w:lang w:val="en-US"/>
        </w:rPr>
        <w:t>8.3 Further research suggestions…………………………………………………………………………….……p.85</w:t>
      </w:r>
    </w:p>
    <w:p w:rsidR="00FD5242" w:rsidRDefault="00FD5242" w:rsidP="007C274E">
      <w:pPr>
        <w:jc w:val="both"/>
        <w:rPr>
          <w:color w:val="000000"/>
          <w:lang w:val="en-US"/>
        </w:rPr>
      </w:pPr>
      <w:r>
        <w:rPr>
          <w:color w:val="000000"/>
          <w:lang w:val="en-US"/>
        </w:rPr>
        <w:t>REFERENCES………………………………………………………………………………………………………………….p.87</w:t>
      </w:r>
    </w:p>
    <w:p w:rsidR="00FD5242" w:rsidRDefault="00FD5242" w:rsidP="00632666">
      <w:pPr>
        <w:jc w:val="both"/>
        <w:rPr>
          <w:color w:val="000000"/>
          <w:lang w:val="en-US"/>
        </w:rPr>
      </w:pPr>
      <w:r w:rsidRPr="000C48B3">
        <w:rPr>
          <w:color w:val="000000"/>
          <w:lang w:val="en-US"/>
        </w:rPr>
        <w:t>APENDIX…………………………………………………………………………………………………………</w:t>
      </w:r>
      <w:r>
        <w:rPr>
          <w:color w:val="000000"/>
          <w:lang w:val="en-US"/>
        </w:rPr>
        <w:t>...</w:t>
      </w:r>
      <w:r w:rsidRPr="000C48B3">
        <w:rPr>
          <w:color w:val="000000"/>
          <w:lang w:val="en-US"/>
        </w:rPr>
        <w:t>…</w:t>
      </w:r>
      <w:r>
        <w:rPr>
          <w:color w:val="000000"/>
          <w:lang w:val="en-US"/>
        </w:rPr>
        <w:t>……….</w:t>
      </w:r>
      <w:r w:rsidRPr="000C48B3">
        <w:rPr>
          <w:color w:val="000000"/>
          <w:lang w:val="en-US"/>
        </w:rPr>
        <w:t>p</w:t>
      </w:r>
      <w:r>
        <w:rPr>
          <w:color w:val="000000"/>
          <w:lang w:val="en-US"/>
        </w:rPr>
        <w:t xml:space="preserve">.9 </w:t>
      </w:r>
    </w:p>
    <w:p w:rsidR="00FD5242" w:rsidRDefault="00FD5242">
      <w:pPr>
        <w:spacing w:after="0" w:line="240" w:lineRule="auto"/>
        <w:rPr>
          <w:color w:val="000000"/>
          <w:lang w:val="en-US"/>
        </w:rPr>
      </w:pPr>
      <w:r>
        <w:rPr>
          <w:color w:val="000000"/>
          <w:lang w:val="en-US"/>
        </w:rPr>
        <w:br w:type="page"/>
      </w:r>
    </w:p>
    <w:p w:rsidR="00FD5242" w:rsidRPr="00854BBF" w:rsidRDefault="00FD5242" w:rsidP="00632666">
      <w:pPr>
        <w:jc w:val="both"/>
        <w:rPr>
          <w:color w:val="000000"/>
          <w:lang w:val="en-US"/>
        </w:rPr>
      </w:pPr>
      <w:r w:rsidRPr="00950107">
        <w:rPr>
          <w:b/>
          <w:sz w:val="26"/>
          <w:szCs w:val="26"/>
          <w:lang w:val="en-US"/>
        </w:rPr>
        <w:t>CHAPTER 1 – Introduction</w:t>
      </w:r>
    </w:p>
    <w:p w:rsidR="00FD5242" w:rsidRPr="00A920AB" w:rsidRDefault="00FD5242" w:rsidP="00F375AC">
      <w:pPr>
        <w:spacing w:line="360" w:lineRule="auto"/>
        <w:jc w:val="both"/>
        <w:rPr>
          <w:b/>
          <w:lang w:val="en-US"/>
        </w:rPr>
      </w:pPr>
      <w:r w:rsidRPr="00A920AB">
        <w:rPr>
          <w:b/>
          <w:lang w:val="en-US"/>
        </w:rPr>
        <w:t>1.1 Background</w:t>
      </w:r>
    </w:p>
    <w:p w:rsidR="00FD5242" w:rsidRDefault="00FD5242" w:rsidP="00F375AC">
      <w:pPr>
        <w:pStyle w:val="NoSpacing"/>
        <w:spacing w:line="360" w:lineRule="auto"/>
        <w:jc w:val="both"/>
        <w:rPr>
          <w:lang w:val="en-US"/>
        </w:rPr>
      </w:pPr>
      <w:r>
        <w:rPr>
          <w:lang w:val="en-US"/>
        </w:rPr>
        <w:t xml:space="preserve">    </w:t>
      </w:r>
      <w:r w:rsidRPr="0064664F">
        <w:rPr>
          <w:lang w:val="en-US"/>
        </w:rPr>
        <w:t>“We have an important role to play to ensure the survival of the financial system. Its survival depends on the vigilance of regulators, the adequacy of reporting processes and the openness of communication among all the key players. Now it is the time for external auditors to reassess their roles and responsibili</w:t>
      </w:r>
      <w:r>
        <w:rPr>
          <w:lang w:val="en-US"/>
        </w:rPr>
        <w:t>ties.” (</w:t>
      </w:r>
      <w:r w:rsidRPr="0064664F">
        <w:rPr>
          <w:lang w:val="en-US"/>
        </w:rPr>
        <w:t>CA Magazine, “The external auditors’ pivotal role” by</w:t>
      </w:r>
      <w:r>
        <w:rPr>
          <w:lang w:val="en-US"/>
        </w:rPr>
        <w:t xml:space="preserve"> Bradshaw &amp; Brown, 1988; </w:t>
      </w:r>
      <w:r w:rsidRPr="00530085">
        <w:rPr>
          <w:lang w:val="en-US"/>
        </w:rPr>
        <w:t>p.</w:t>
      </w:r>
      <w:r>
        <w:rPr>
          <w:lang w:val="en-US"/>
        </w:rPr>
        <w:t xml:space="preserve"> </w:t>
      </w:r>
      <w:r w:rsidRPr="00530085">
        <w:rPr>
          <w:lang w:val="en-US"/>
        </w:rPr>
        <w:t>46</w:t>
      </w:r>
      <w:r>
        <w:rPr>
          <w:lang w:val="en-US"/>
        </w:rPr>
        <w:t>)</w:t>
      </w:r>
    </w:p>
    <w:p w:rsidR="00FD5242" w:rsidRDefault="00FD5242" w:rsidP="00F375AC">
      <w:pPr>
        <w:pStyle w:val="NoSpacing"/>
        <w:spacing w:line="360" w:lineRule="auto"/>
        <w:jc w:val="both"/>
        <w:rPr>
          <w:lang w:val="en-US"/>
        </w:rPr>
      </w:pPr>
    </w:p>
    <w:p w:rsidR="00FD5242" w:rsidRDefault="00FD5242" w:rsidP="00F375AC">
      <w:pPr>
        <w:pStyle w:val="NoSpacing"/>
        <w:spacing w:line="360" w:lineRule="auto"/>
        <w:jc w:val="both"/>
        <w:rPr>
          <w:lang w:val="en-US"/>
        </w:rPr>
      </w:pPr>
      <w:r>
        <w:rPr>
          <w:lang w:val="en-US"/>
        </w:rPr>
        <w:t xml:space="preserve">    </w:t>
      </w:r>
      <w:r w:rsidRPr="00D343BB">
        <w:rPr>
          <w:lang w:val="en-US"/>
        </w:rPr>
        <w:t>This extract was taken from an article written and published</w:t>
      </w:r>
      <w:r>
        <w:rPr>
          <w:lang w:val="en-US"/>
        </w:rPr>
        <w:t xml:space="preserve"> in 1988. The time could not be </w:t>
      </w:r>
      <w:r w:rsidRPr="00D343BB">
        <w:rPr>
          <w:lang w:val="en-US"/>
        </w:rPr>
        <w:t>more right to argue that today, during the days of a financial</w:t>
      </w:r>
      <w:r>
        <w:rPr>
          <w:lang w:val="en-US"/>
        </w:rPr>
        <w:t xml:space="preserve"> recession, auditors and their profession is </w:t>
      </w:r>
      <w:r w:rsidRPr="00D343BB">
        <w:rPr>
          <w:lang w:val="en-US"/>
        </w:rPr>
        <w:t>in a high degree</w:t>
      </w:r>
      <w:r>
        <w:rPr>
          <w:lang w:val="en-US"/>
        </w:rPr>
        <w:t xml:space="preserve"> </w:t>
      </w:r>
      <w:r w:rsidRPr="00D343BB">
        <w:rPr>
          <w:lang w:val="en-US"/>
        </w:rPr>
        <w:t>influenced.</w:t>
      </w:r>
    </w:p>
    <w:p w:rsidR="00FD5242" w:rsidRDefault="00FD5242" w:rsidP="00F375AC">
      <w:pPr>
        <w:pStyle w:val="NoSpacing"/>
        <w:spacing w:line="360" w:lineRule="auto"/>
        <w:jc w:val="both"/>
        <w:rPr>
          <w:lang w:val="en-US"/>
        </w:rPr>
      </w:pPr>
    </w:p>
    <w:p w:rsidR="00FD5242" w:rsidRDefault="00FD5242" w:rsidP="00F375AC">
      <w:pPr>
        <w:pStyle w:val="NoSpacing"/>
        <w:spacing w:line="360" w:lineRule="auto"/>
        <w:jc w:val="both"/>
        <w:rPr>
          <w:lang w:val="en-US"/>
        </w:rPr>
      </w:pPr>
      <w:r>
        <w:rPr>
          <w:lang w:val="en-US"/>
        </w:rPr>
        <w:t xml:space="preserve">    </w:t>
      </w:r>
      <w:r w:rsidRPr="00D343BB">
        <w:rPr>
          <w:lang w:val="en-US"/>
        </w:rPr>
        <w:t>This pa</w:t>
      </w:r>
      <w:r>
        <w:rPr>
          <w:lang w:val="en-US"/>
        </w:rPr>
        <w:t>per concerns a research that</w:t>
      </w:r>
      <w:r w:rsidRPr="00D343BB">
        <w:rPr>
          <w:lang w:val="en-US"/>
        </w:rPr>
        <w:t xml:space="preserve"> will try to sh</w:t>
      </w:r>
      <w:r>
        <w:rPr>
          <w:lang w:val="en-US"/>
        </w:rPr>
        <w:t xml:space="preserve">ed light on the effects of the </w:t>
      </w:r>
      <w:r w:rsidRPr="00D343BB">
        <w:rPr>
          <w:lang w:val="en-US"/>
        </w:rPr>
        <w:t xml:space="preserve">recent financial crisis to the </w:t>
      </w:r>
      <w:r>
        <w:rPr>
          <w:lang w:val="en-US"/>
        </w:rPr>
        <w:t xml:space="preserve">tasks of </w:t>
      </w:r>
      <w:r w:rsidRPr="00D343BB">
        <w:rPr>
          <w:lang w:val="en-US"/>
        </w:rPr>
        <w:t xml:space="preserve">external </w:t>
      </w:r>
      <w:r>
        <w:rPr>
          <w:lang w:val="en-US"/>
        </w:rPr>
        <w:t xml:space="preserve">financial </w:t>
      </w:r>
      <w:r w:rsidRPr="00D343BB">
        <w:rPr>
          <w:lang w:val="en-US"/>
        </w:rPr>
        <w:t>auditing</w:t>
      </w:r>
      <w:r>
        <w:rPr>
          <w:lang w:val="en-US"/>
        </w:rPr>
        <w:t>.</w:t>
      </w:r>
      <w:r w:rsidRPr="00D343BB">
        <w:rPr>
          <w:lang w:val="en-US"/>
        </w:rPr>
        <w:t xml:space="preserve"> This int</w:t>
      </w:r>
      <w:r>
        <w:rPr>
          <w:lang w:val="en-US"/>
        </w:rPr>
        <w:t xml:space="preserve">erest concerning the influence of the </w:t>
      </w:r>
      <w:r w:rsidRPr="00D343BB">
        <w:rPr>
          <w:lang w:val="en-US"/>
        </w:rPr>
        <w:t>financial crisis on the external auditing profession is originat</w:t>
      </w:r>
      <w:r>
        <w:rPr>
          <w:lang w:val="en-US"/>
        </w:rPr>
        <w:t xml:space="preserve">ed based on three parties: First the </w:t>
      </w:r>
      <w:r w:rsidRPr="00D343BB">
        <w:rPr>
          <w:lang w:val="en-US"/>
        </w:rPr>
        <w:t>whole business world, second the public and third the academ</w:t>
      </w:r>
      <w:r>
        <w:rPr>
          <w:lang w:val="en-US"/>
        </w:rPr>
        <w:t xml:space="preserve">ic world. All previous studies </w:t>
      </w:r>
      <w:r w:rsidRPr="00D343BB">
        <w:rPr>
          <w:lang w:val="en-US"/>
        </w:rPr>
        <w:t>have proved that auditing is severely affected by change</w:t>
      </w:r>
      <w:r>
        <w:rPr>
          <w:lang w:val="en-US"/>
        </w:rPr>
        <w:t>s in the business world, therefore the assumption exists that in this case a great influence exists. More precisely</w:t>
      </w:r>
      <w:r w:rsidRPr="00D343BB">
        <w:rPr>
          <w:lang w:val="en-US"/>
        </w:rPr>
        <w:t>,</w:t>
      </w:r>
      <w:r>
        <w:rPr>
          <w:lang w:val="en-US"/>
        </w:rPr>
        <w:t xml:space="preserve"> </w:t>
      </w:r>
      <w:r w:rsidRPr="00D343BB">
        <w:rPr>
          <w:lang w:val="en-US"/>
        </w:rPr>
        <w:t>t</w:t>
      </w:r>
      <w:r>
        <w:rPr>
          <w:lang w:val="en-US"/>
        </w:rPr>
        <w:t xml:space="preserve">he focus of this research will </w:t>
      </w:r>
      <w:r w:rsidRPr="00D343BB">
        <w:rPr>
          <w:lang w:val="en-US"/>
        </w:rPr>
        <w:t xml:space="preserve">concern the levels of </w:t>
      </w:r>
      <w:r>
        <w:rPr>
          <w:lang w:val="en-US"/>
        </w:rPr>
        <w:t xml:space="preserve">the use of </w:t>
      </w:r>
      <w:r w:rsidRPr="00D343BB">
        <w:rPr>
          <w:lang w:val="en-US"/>
        </w:rPr>
        <w:t>conservatism in auditors’ evaluations.</w:t>
      </w:r>
      <w:r>
        <w:rPr>
          <w:lang w:val="en-US"/>
        </w:rPr>
        <w:t xml:space="preserve"> The levels of conservatism determine the audit fees, consequently the impact of the current financial crisis on audit fees will be investigated as well.</w:t>
      </w:r>
    </w:p>
    <w:p w:rsidR="00FD5242" w:rsidRDefault="00FD5242" w:rsidP="00F375AC">
      <w:pPr>
        <w:pStyle w:val="NoSpacing"/>
        <w:spacing w:line="360" w:lineRule="auto"/>
        <w:jc w:val="both"/>
        <w:rPr>
          <w:lang w:val="en-US"/>
        </w:rPr>
      </w:pPr>
    </w:p>
    <w:p w:rsidR="00FD5242" w:rsidRPr="004E0338" w:rsidRDefault="00FD5242" w:rsidP="00F375AC">
      <w:pPr>
        <w:pStyle w:val="NoSpacing"/>
        <w:numPr>
          <w:ilvl w:val="2"/>
          <w:numId w:val="8"/>
        </w:numPr>
        <w:spacing w:line="360" w:lineRule="auto"/>
        <w:jc w:val="both"/>
        <w:rPr>
          <w:u w:val="single"/>
          <w:lang w:val="en-US"/>
        </w:rPr>
      </w:pPr>
      <w:r w:rsidRPr="004E0338">
        <w:rPr>
          <w:u w:val="single"/>
          <w:lang w:val="en-US"/>
        </w:rPr>
        <w:t>The current financial crisis</w:t>
      </w:r>
    </w:p>
    <w:p w:rsidR="00FD5242" w:rsidRDefault="00FD5242" w:rsidP="00F375AC">
      <w:pPr>
        <w:pStyle w:val="NoSpacing"/>
        <w:spacing w:line="360" w:lineRule="auto"/>
        <w:jc w:val="both"/>
        <w:rPr>
          <w:lang w:val="en-US"/>
        </w:rPr>
      </w:pPr>
    </w:p>
    <w:p w:rsidR="00FD5242" w:rsidRDefault="00FD5242" w:rsidP="00F375AC">
      <w:pPr>
        <w:spacing w:line="360" w:lineRule="auto"/>
        <w:jc w:val="both"/>
        <w:rPr>
          <w:lang w:val="en-US"/>
        </w:rPr>
      </w:pPr>
      <w:r>
        <w:rPr>
          <w:lang w:val="en-US"/>
        </w:rPr>
        <w:t xml:space="preserve">    The financial crisis that started in 2007 indeed is a global financial crisis. It is considered the outcome of the liquidity shortfall in the </w:t>
      </w:r>
      <w:smartTag w:uri="urn:schemas-microsoft-com:office:smarttags" w:element="country-region">
        <w:smartTag w:uri="urn:schemas-microsoft-com:office:smarttags" w:element="place">
          <w:r>
            <w:rPr>
              <w:lang w:val="en-US"/>
            </w:rPr>
            <w:t>United States</w:t>
          </w:r>
        </w:smartTag>
      </w:smartTag>
      <w:r>
        <w:rPr>
          <w:lang w:val="en-US"/>
        </w:rPr>
        <w:t xml:space="preserve">. Its results in the general financial sector can be summarized in the dissolution of large financial institutions, the huge declines in consumer growth rates, the supporting efforts of banks by the national governments and severe downturns in the stock markets globally.  </w:t>
      </w:r>
    </w:p>
    <w:p w:rsidR="00FD5242" w:rsidRDefault="00FD5242" w:rsidP="00F375AC">
      <w:pPr>
        <w:spacing w:line="360" w:lineRule="auto"/>
        <w:jc w:val="both"/>
        <w:rPr>
          <w:lang w:val="en-US"/>
        </w:rPr>
      </w:pPr>
      <w:r>
        <w:rPr>
          <w:lang w:val="en-US"/>
        </w:rPr>
        <w:t xml:space="preserve">    The results and the implications from the current situation are so expanding and severe, that all aspects of the business world are now going through a changing and developing phase. The auditing profession is inevitably affected in a major scale. Criticism and blame has focused on a wide range of complex and global factors in general. However, it is more than disappointing to note that the financial audits assuring the fairness of statements by banks declaring financial difficulties and filing for bankruptcy soon after receiving an unqualified audit report were conducted exclusively by one of the Big Four Auditing firms, committed to provide the highest assurance level. </w:t>
      </w:r>
    </w:p>
    <w:p w:rsidR="00FD5242" w:rsidRDefault="00FD5242" w:rsidP="00F375AC">
      <w:pPr>
        <w:spacing w:line="360" w:lineRule="auto"/>
        <w:jc w:val="both"/>
        <w:rPr>
          <w:lang w:val="en-US"/>
        </w:rPr>
      </w:pPr>
      <w:r>
        <w:rPr>
          <w:lang w:val="en-US"/>
        </w:rPr>
        <w:t xml:space="preserve">   The interest of this study focuses on a few economic theories that provide insights in the function of the capital markets and on the causes and the consequences of the crisis in the global economy. In addition, detailed references concerning the external auditing profession are provided.</w:t>
      </w:r>
    </w:p>
    <w:p w:rsidR="00FD5242" w:rsidRPr="00E222F6" w:rsidRDefault="00FD5242" w:rsidP="00F375AC">
      <w:pPr>
        <w:pStyle w:val="NoSpacing"/>
        <w:numPr>
          <w:ilvl w:val="2"/>
          <w:numId w:val="8"/>
        </w:numPr>
        <w:spacing w:line="360" w:lineRule="auto"/>
        <w:jc w:val="both"/>
        <w:rPr>
          <w:u w:val="single"/>
          <w:lang w:val="en-US"/>
        </w:rPr>
      </w:pPr>
      <w:r w:rsidRPr="00E222F6">
        <w:rPr>
          <w:u w:val="single"/>
          <w:lang w:val="en-US"/>
        </w:rPr>
        <w:t xml:space="preserve">The external auditing profession </w:t>
      </w:r>
    </w:p>
    <w:p w:rsidR="00FD5242" w:rsidRPr="00E222F6" w:rsidRDefault="00FD5242" w:rsidP="00F375AC">
      <w:pPr>
        <w:pStyle w:val="NoSpacing"/>
        <w:spacing w:line="360" w:lineRule="auto"/>
        <w:jc w:val="both"/>
        <w:rPr>
          <w:u w:val="single"/>
          <w:lang w:val="en-US"/>
        </w:rPr>
      </w:pPr>
    </w:p>
    <w:p w:rsidR="00FD5242" w:rsidRDefault="00FD5242" w:rsidP="00F375AC">
      <w:pPr>
        <w:pStyle w:val="NoSpacing"/>
        <w:spacing w:line="360" w:lineRule="auto"/>
        <w:jc w:val="both"/>
        <w:rPr>
          <w:lang w:val="en-US"/>
        </w:rPr>
      </w:pPr>
      <w:r>
        <w:rPr>
          <w:lang w:val="en-US"/>
        </w:rPr>
        <w:t xml:space="preserve">    Audits are one form of the attestation services provided by external auditors. This research focuses on audits of historical financial statements, in which an opinion is expressed about the fairness of a company’s financial statements by CPA firms.</w:t>
      </w:r>
    </w:p>
    <w:p w:rsidR="00FD5242" w:rsidRDefault="00FD5242" w:rsidP="00F375AC">
      <w:pPr>
        <w:pStyle w:val="NoSpacing"/>
        <w:spacing w:line="360" w:lineRule="auto"/>
        <w:jc w:val="both"/>
        <w:rPr>
          <w:lang w:val="en-US"/>
        </w:rPr>
      </w:pPr>
    </w:p>
    <w:p w:rsidR="00FD5242" w:rsidRDefault="00FD5242" w:rsidP="00F375AC">
      <w:pPr>
        <w:spacing w:line="360" w:lineRule="auto"/>
        <w:jc w:val="both"/>
        <w:rPr>
          <w:lang w:val="en-US"/>
        </w:rPr>
      </w:pPr>
      <w:r>
        <w:rPr>
          <w:lang w:val="en-US"/>
        </w:rPr>
        <w:t xml:space="preserve">    The magnitude of the financial crisis is huge enough to have influenced all the areas of the business-financial world, including of course the auditing profession. External audit is promoted as an assurance tool concerning all interested parties in the financial statements of a company. This is highly to be questioned though considering the latest news. A very well known example concerning this is the case of Lehman Brothers, one of the biggest banks that operated in the United States of America (USA) and received an unqualified opinion shortly before filing for bankruptcy. Because the roots of the problematic situation expand beyond the auditors’ profession scope, but cannot be characterized as not plausible, the question “</w:t>
      </w:r>
      <w:r w:rsidRPr="00E97E1E">
        <w:rPr>
          <w:i/>
          <w:lang w:val="en-US"/>
        </w:rPr>
        <w:t>where were the auditors</w:t>
      </w:r>
      <w:r>
        <w:rPr>
          <w:i/>
          <w:lang w:val="en-US"/>
        </w:rPr>
        <w:t>?</w:t>
      </w:r>
      <w:r>
        <w:rPr>
          <w:lang w:val="en-US"/>
        </w:rPr>
        <w:t>” is not as prevalent as in the past where the big auditing scandals had taken place (Enron, A hold, Adelphia).</w:t>
      </w:r>
      <w:r w:rsidRPr="004C1D18">
        <w:rPr>
          <w:lang w:val="en-US"/>
        </w:rPr>
        <w:t xml:space="preserve"> </w:t>
      </w:r>
      <w:r>
        <w:rPr>
          <w:lang w:val="en-US"/>
        </w:rPr>
        <w:t>However, since the level of “duty” towards the public keeps on increasing, the skills concerning the financial audits of firms in the current years need to be enriched.</w:t>
      </w:r>
    </w:p>
    <w:p w:rsidR="00FD5242" w:rsidRDefault="00FD5242" w:rsidP="00F375AC">
      <w:pPr>
        <w:spacing w:line="360" w:lineRule="auto"/>
        <w:jc w:val="both"/>
        <w:rPr>
          <w:lang w:val="en-US"/>
        </w:rPr>
      </w:pPr>
      <w:r>
        <w:rPr>
          <w:lang w:val="en-US"/>
        </w:rPr>
        <w:t xml:space="preserve">    The implications concerning the auditing profession, especially the independent one, are inevitable and certainly severe. In any case, it is not to be forgotten that traditionally financial auditors were and still are the ones to trust the savings of a lifetime. The key features of the profession will be analyzed in this study, along with the impacts of the crisis on its functions.</w:t>
      </w:r>
    </w:p>
    <w:p w:rsidR="00FD5242" w:rsidRPr="00B337BA" w:rsidRDefault="00FD5242" w:rsidP="00F375AC">
      <w:pPr>
        <w:pStyle w:val="ListParagraph"/>
        <w:numPr>
          <w:ilvl w:val="2"/>
          <w:numId w:val="8"/>
        </w:numPr>
        <w:spacing w:line="360" w:lineRule="auto"/>
        <w:jc w:val="both"/>
        <w:rPr>
          <w:u w:val="single"/>
          <w:lang w:val="en-US"/>
        </w:rPr>
      </w:pPr>
      <w:r w:rsidRPr="00B337BA">
        <w:rPr>
          <w:u w:val="single"/>
          <w:lang w:val="en-US"/>
        </w:rPr>
        <w:t>Auditors’ conservatism and audit fees</w:t>
      </w:r>
    </w:p>
    <w:p w:rsidR="00FD5242" w:rsidRDefault="00FD5242" w:rsidP="00F375AC">
      <w:pPr>
        <w:spacing w:line="360" w:lineRule="auto"/>
        <w:jc w:val="both"/>
        <w:rPr>
          <w:lang w:val="en-US"/>
        </w:rPr>
      </w:pPr>
      <w:r>
        <w:rPr>
          <w:lang w:val="en-US"/>
        </w:rPr>
        <w:t xml:space="preserve">    Auditors’ conservatism relates to the general accounting principle of conservatism that can be summarized in the next rule: anticipation of all losses but no anticipation of profits (Basu, 1997). </w:t>
      </w:r>
    </w:p>
    <w:p w:rsidR="00FD5242" w:rsidRPr="00556498" w:rsidRDefault="00FD5242" w:rsidP="00F375AC">
      <w:pPr>
        <w:spacing w:line="360" w:lineRule="auto"/>
        <w:jc w:val="both"/>
        <w:rPr>
          <w:lang w:val="en-US"/>
        </w:rPr>
      </w:pPr>
      <w:r>
        <w:rPr>
          <w:lang w:val="en-US"/>
        </w:rPr>
        <w:t xml:space="preserve">    Conservatism is a highly respected concept on audits and at the same time highly associated with audit fees. The higher the conservatism the more the efforts and the working hours the auditors dedicate for the conduction of their assurance tasks, resulting in increased audit fees.</w:t>
      </w:r>
      <w:r w:rsidRPr="00FC1891">
        <w:rPr>
          <w:lang w:val="en-US"/>
        </w:rPr>
        <w:t xml:space="preserve"> </w:t>
      </w:r>
      <w:r>
        <w:rPr>
          <w:lang w:val="en-US"/>
        </w:rPr>
        <w:t>It will be very interesting from a scientific point of view to investigate how auditors’ conservatism has actually been affected during the recent financial crisis. Comparisons with the prior-to-crisis levels of conservatism will provide us with a clear view of these effects.</w:t>
      </w:r>
    </w:p>
    <w:p w:rsidR="00FD5242" w:rsidRPr="00851527" w:rsidRDefault="00FD5242" w:rsidP="00F375AC">
      <w:pPr>
        <w:pStyle w:val="ListParagraph"/>
        <w:numPr>
          <w:ilvl w:val="1"/>
          <w:numId w:val="8"/>
        </w:numPr>
        <w:spacing w:line="360" w:lineRule="auto"/>
        <w:jc w:val="both"/>
        <w:rPr>
          <w:b/>
          <w:lang w:val="en-US"/>
        </w:rPr>
      </w:pPr>
      <w:r w:rsidRPr="00851527">
        <w:rPr>
          <w:b/>
          <w:lang w:val="en-US"/>
        </w:rPr>
        <w:t xml:space="preserve">Objectives </w:t>
      </w:r>
    </w:p>
    <w:p w:rsidR="00FD5242" w:rsidRDefault="00FD5242" w:rsidP="00F375AC">
      <w:pPr>
        <w:spacing w:line="360" w:lineRule="auto"/>
        <w:jc w:val="both"/>
        <w:rPr>
          <w:lang w:val="en-US"/>
        </w:rPr>
      </w:pPr>
      <w:r>
        <w:rPr>
          <w:lang w:val="en-US"/>
        </w:rPr>
        <w:t xml:space="preserve">    The purpose of this research is to investigate </w:t>
      </w:r>
      <w:r w:rsidRPr="00097A3B">
        <w:rPr>
          <w:lang w:val="en-US"/>
        </w:rPr>
        <w:t>the effects o</w:t>
      </w:r>
      <w:r>
        <w:rPr>
          <w:lang w:val="en-US"/>
        </w:rPr>
        <w:t xml:space="preserve">f the recent financial crisis concerning the external auditing tasks. </w:t>
      </w:r>
      <w:r w:rsidRPr="00097A3B">
        <w:rPr>
          <w:lang w:val="en-US"/>
        </w:rPr>
        <w:t xml:space="preserve">More specifically, the impact of the current financial crisis on </w:t>
      </w:r>
      <w:r>
        <w:rPr>
          <w:lang w:val="en-US"/>
        </w:rPr>
        <w:t xml:space="preserve">the </w:t>
      </w:r>
      <w:r w:rsidRPr="00097A3B">
        <w:rPr>
          <w:lang w:val="en-US"/>
        </w:rPr>
        <w:t xml:space="preserve">auditors’ </w:t>
      </w:r>
      <w:r>
        <w:rPr>
          <w:lang w:val="en-US"/>
        </w:rPr>
        <w:t xml:space="preserve">use of </w:t>
      </w:r>
      <w:r w:rsidRPr="00097A3B">
        <w:rPr>
          <w:lang w:val="en-US"/>
        </w:rPr>
        <w:t xml:space="preserve">conservatism and </w:t>
      </w:r>
      <w:r>
        <w:rPr>
          <w:lang w:val="en-US"/>
        </w:rPr>
        <w:t xml:space="preserve">the </w:t>
      </w:r>
      <w:r w:rsidRPr="00097A3B">
        <w:rPr>
          <w:lang w:val="en-US"/>
        </w:rPr>
        <w:t>audit fees will be investigated. All previous studies have proved that auditing is severely affected b</w:t>
      </w:r>
      <w:r>
        <w:rPr>
          <w:lang w:val="en-US"/>
        </w:rPr>
        <w:t xml:space="preserve">y changes in the business world; consequently, </w:t>
      </w:r>
      <w:r w:rsidRPr="00097A3B">
        <w:rPr>
          <w:lang w:val="en-US"/>
        </w:rPr>
        <w:t xml:space="preserve">a great influence in this case is expected as well. </w:t>
      </w:r>
    </w:p>
    <w:p w:rsidR="00FD5242" w:rsidRDefault="00FD5242" w:rsidP="00F375AC">
      <w:pPr>
        <w:spacing w:line="360" w:lineRule="auto"/>
        <w:jc w:val="both"/>
        <w:rPr>
          <w:lang w:val="en-US"/>
        </w:rPr>
      </w:pPr>
      <w:r>
        <w:rPr>
          <w:b/>
          <w:lang w:val="en-US"/>
        </w:rPr>
        <w:t xml:space="preserve">    </w:t>
      </w:r>
      <w:r>
        <w:rPr>
          <w:lang w:val="en-US"/>
        </w:rPr>
        <w:t>The public -including also all related parties- is relying on auditors’ assurance about the discovery of frauds and advice for safer and profitable money investing. A proof of high professional standards based on the findings of this research will boost the trust and the lost confidence on auditors, especially today that the business world is still in the midst of a recession phase.</w:t>
      </w:r>
    </w:p>
    <w:p w:rsidR="00FD5242" w:rsidRDefault="00FD5242" w:rsidP="00F375AC">
      <w:pPr>
        <w:spacing w:line="360" w:lineRule="auto"/>
        <w:jc w:val="both"/>
        <w:rPr>
          <w:lang w:val="en-US"/>
        </w:rPr>
      </w:pPr>
      <w:r>
        <w:rPr>
          <w:lang w:val="en-US"/>
        </w:rPr>
        <w:t xml:space="preserve">    The motivation of this research</w:t>
      </w:r>
      <w:r w:rsidRPr="004B42D1">
        <w:rPr>
          <w:lang w:val="en-US"/>
        </w:rPr>
        <w:t xml:space="preserve"> results from the timeliness and </w:t>
      </w:r>
      <w:r>
        <w:rPr>
          <w:lang w:val="en-US"/>
        </w:rPr>
        <w:t xml:space="preserve">the </w:t>
      </w:r>
      <w:r w:rsidRPr="004B42D1">
        <w:rPr>
          <w:lang w:val="en-US"/>
        </w:rPr>
        <w:t>importance of this issue, considering the worldwide financial circumstances and the key role of the audit</w:t>
      </w:r>
      <w:r>
        <w:rPr>
          <w:lang w:val="en-US"/>
        </w:rPr>
        <w:t>ing profession. What is more, the</w:t>
      </w:r>
      <w:r w:rsidRPr="004B42D1">
        <w:rPr>
          <w:lang w:val="en-US"/>
        </w:rPr>
        <w:t xml:space="preserve"> g</w:t>
      </w:r>
      <w:r>
        <w:rPr>
          <w:lang w:val="en-US"/>
        </w:rPr>
        <w:t>reat interest in actual practical and ethical considerations was the motivation</w:t>
      </w:r>
      <w:r w:rsidRPr="004B42D1">
        <w:rPr>
          <w:lang w:val="en-US"/>
        </w:rPr>
        <w:t xml:space="preserve"> to investigate issues from an academic point of view.</w:t>
      </w:r>
    </w:p>
    <w:p w:rsidR="00FD5242" w:rsidRDefault="00FD5242" w:rsidP="00713AD4">
      <w:pPr>
        <w:spacing w:after="0" w:line="240" w:lineRule="auto"/>
        <w:rPr>
          <w:lang w:val="en-US"/>
        </w:rPr>
      </w:pPr>
    </w:p>
    <w:p w:rsidR="00FD5242" w:rsidRPr="00556498" w:rsidRDefault="00FD5242" w:rsidP="00713AD4">
      <w:pPr>
        <w:spacing w:after="0" w:line="240" w:lineRule="auto"/>
        <w:rPr>
          <w:lang w:val="en-US"/>
        </w:rPr>
      </w:pPr>
    </w:p>
    <w:p w:rsidR="00FD5242" w:rsidRPr="009F2ECF" w:rsidRDefault="00FD5242" w:rsidP="00F375AC">
      <w:pPr>
        <w:pStyle w:val="ListParagraph"/>
        <w:numPr>
          <w:ilvl w:val="1"/>
          <w:numId w:val="8"/>
        </w:numPr>
        <w:spacing w:line="360" w:lineRule="auto"/>
        <w:jc w:val="both"/>
        <w:rPr>
          <w:b/>
          <w:lang w:val="en-US"/>
        </w:rPr>
      </w:pPr>
      <w:r w:rsidRPr="009F2ECF">
        <w:rPr>
          <w:b/>
          <w:lang w:val="en-US"/>
        </w:rPr>
        <w:t>Problem Definition</w:t>
      </w:r>
    </w:p>
    <w:p w:rsidR="00FD5242" w:rsidRDefault="00FD5242" w:rsidP="00F375AC">
      <w:pPr>
        <w:spacing w:line="360" w:lineRule="auto"/>
        <w:jc w:val="both"/>
        <w:rPr>
          <w:lang w:val="en-US"/>
        </w:rPr>
      </w:pPr>
      <w:r>
        <w:rPr>
          <w:lang w:val="en-US"/>
        </w:rPr>
        <w:t>The problem of this research can be summarized in the following question:</w:t>
      </w:r>
    </w:p>
    <w:p w:rsidR="00FD5242" w:rsidRPr="00781BC8" w:rsidRDefault="00FD5242" w:rsidP="00F375AC">
      <w:pPr>
        <w:spacing w:line="360" w:lineRule="auto"/>
        <w:jc w:val="both"/>
        <w:rPr>
          <w:i/>
          <w:u w:val="single"/>
          <w:lang w:val="en-US"/>
        </w:rPr>
      </w:pPr>
      <w:r w:rsidRPr="00781BC8">
        <w:rPr>
          <w:i/>
          <w:u w:val="single"/>
          <w:lang w:val="en-US"/>
        </w:rPr>
        <w:t>“What are the effects o</w:t>
      </w:r>
      <w:r>
        <w:rPr>
          <w:i/>
          <w:u w:val="single"/>
          <w:lang w:val="en-US"/>
        </w:rPr>
        <w:t>f the current financial crisis o</w:t>
      </w:r>
      <w:r w:rsidRPr="00781BC8">
        <w:rPr>
          <w:i/>
          <w:u w:val="single"/>
          <w:lang w:val="en-US"/>
        </w:rPr>
        <w:t>n auditors’ conservatism and audit fees concerning Dutch stock exchange quoted companies?”</w:t>
      </w:r>
    </w:p>
    <w:p w:rsidR="00FD5242" w:rsidRDefault="00FD5242" w:rsidP="00F375AC">
      <w:pPr>
        <w:spacing w:line="360" w:lineRule="auto"/>
        <w:jc w:val="both"/>
        <w:rPr>
          <w:lang w:val="en-US"/>
        </w:rPr>
      </w:pPr>
      <w:r>
        <w:rPr>
          <w:lang w:val="en-US"/>
        </w:rPr>
        <w:t>In order to answer this main question the next sub-questions need to be answered:</w:t>
      </w:r>
    </w:p>
    <w:p w:rsidR="00FD5242" w:rsidRPr="00A61F6C" w:rsidRDefault="00FD5242" w:rsidP="00F375AC">
      <w:pPr>
        <w:pStyle w:val="ListParagraph"/>
        <w:numPr>
          <w:ilvl w:val="0"/>
          <w:numId w:val="5"/>
        </w:numPr>
        <w:spacing w:line="360" w:lineRule="auto"/>
        <w:jc w:val="both"/>
        <w:rPr>
          <w:i/>
          <w:lang w:val="en-US"/>
        </w:rPr>
      </w:pPr>
      <w:r w:rsidRPr="00A61F6C">
        <w:rPr>
          <w:i/>
          <w:lang w:val="en-US"/>
        </w:rPr>
        <w:t>What is the theoretical background concerning financial information?</w:t>
      </w:r>
    </w:p>
    <w:p w:rsidR="00FD5242" w:rsidRPr="008108D3" w:rsidRDefault="00FD5242" w:rsidP="00F375AC">
      <w:pPr>
        <w:pStyle w:val="ListParagraph"/>
        <w:numPr>
          <w:ilvl w:val="0"/>
          <w:numId w:val="5"/>
        </w:numPr>
        <w:spacing w:line="360" w:lineRule="auto"/>
        <w:jc w:val="both"/>
        <w:rPr>
          <w:i/>
          <w:lang w:val="en-US"/>
        </w:rPr>
      </w:pPr>
      <w:r w:rsidRPr="008108D3">
        <w:rPr>
          <w:i/>
          <w:lang w:val="en-US"/>
        </w:rPr>
        <w:t>What are the causes and the impacts of the present financial crisis for the business world?</w:t>
      </w:r>
    </w:p>
    <w:p w:rsidR="00FD5242" w:rsidRPr="008108D3" w:rsidRDefault="00FD5242" w:rsidP="00F375AC">
      <w:pPr>
        <w:pStyle w:val="ListParagraph"/>
        <w:numPr>
          <w:ilvl w:val="0"/>
          <w:numId w:val="5"/>
        </w:numPr>
        <w:spacing w:line="360" w:lineRule="auto"/>
        <w:jc w:val="both"/>
        <w:rPr>
          <w:i/>
          <w:lang w:val="en-US"/>
        </w:rPr>
      </w:pPr>
      <w:r w:rsidRPr="008108D3">
        <w:rPr>
          <w:i/>
          <w:lang w:val="en-US"/>
        </w:rPr>
        <w:t xml:space="preserve">What is the content of the external auditors’ profession and what is the content of the term auditors’ conservatism? </w:t>
      </w:r>
    </w:p>
    <w:p w:rsidR="00FD5242" w:rsidRPr="008108D3" w:rsidRDefault="00FD5242" w:rsidP="00F375AC">
      <w:pPr>
        <w:pStyle w:val="ListParagraph"/>
        <w:numPr>
          <w:ilvl w:val="0"/>
          <w:numId w:val="5"/>
        </w:numPr>
        <w:spacing w:line="360" w:lineRule="auto"/>
        <w:jc w:val="both"/>
        <w:rPr>
          <w:i/>
          <w:lang w:val="en-US"/>
        </w:rPr>
      </w:pPr>
      <w:r w:rsidRPr="008108D3">
        <w:rPr>
          <w:i/>
          <w:lang w:val="en-US"/>
        </w:rPr>
        <w:t>What is the relation between the audit conservatism and the audit fees?</w:t>
      </w:r>
    </w:p>
    <w:p w:rsidR="00FD5242" w:rsidRDefault="00FD5242" w:rsidP="00F375AC">
      <w:pPr>
        <w:pStyle w:val="ListParagraph"/>
        <w:numPr>
          <w:ilvl w:val="0"/>
          <w:numId w:val="5"/>
        </w:numPr>
        <w:spacing w:line="360" w:lineRule="auto"/>
        <w:jc w:val="both"/>
        <w:rPr>
          <w:i/>
          <w:lang w:val="en-US"/>
        </w:rPr>
      </w:pPr>
      <w:r w:rsidRPr="008108D3">
        <w:rPr>
          <w:i/>
          <w:lang w:val="en-US"/>
        </w:rPr>
        <w:t>Based on prior research, in which way did the financial crisis influence the audit profession?</w:t>
      </w:r>
    </w:p>
    <w:p w:rsidR="00FD5242" w:rsidRPr="00556498" w:rsidRDefault="00FD5242" w:rsidP="00F375AC">
      <w:pPr>
        <w:pStyle w:val="ListParagraph"/>
        <w:spacing w:line="360" w:lineRule="auto"/>
        <w:ind w:left="405"/>
        <w:jc w:val="both"/>
        <w:rPr>
          <w:lang w:val="en-US"/>
        </w:rPr>
      </w:pPr>
    </w:p>
    <w:p w:rsidR="00FD5242" w:rsidRPr="009F2ECF" w:rsidRDefault="00FD5242" w:rsidP="00F375AC">
      <w:pPr>
        <w:pStyle w:val="ListParagraph"/>
        <w:numPr>
          <w:ilvl w:val="1"/>
          <w:numId w:val="8"/>
        </w:numPr>
        <w:spacing w:line="360" w:lineRule="auto"/>
        <w:jc w:val="both"/>
        <w:rPr>
          <w:b/>
          <w:lang w:val="en-US"/>
        </w:rPr>
      </w:pPr>
      <w:r w:rsidRPr="009F2ECF">
        <w:rPr>
          <w:b/>
          <w:lang w:val="en-US"/>
        </w:rPr>
        <w:t>Methodology</w:t>
      </w:r>
    </w:p>
    <w:p w:rsidR="00FD5242" w:rsidRDefault="00FD5242" w:rsidP="00F375AC">
      <w:pPr>
        <w:spacing w:line="360" w:lineRule="auto"/>
        <w:jc w:val="both"/>
        <w:rPr>
          <w:lang w:val="en-US"/>
        </w:rPr>
      </w:pPr>
      <w:r>
        <w:rPr>
          <w:lang w:val="en-US"/>
        </w:rPr>
        <w:t xml:space="preserve">    </w:t>
      </w:r>
      <w:r w:rsidRPr="0053437B">
        <w:rPr>
          <w:lang w:val="en-US"/>
        </w:rPr>
        <w:t xml:space="preserve">The </w:t>
      </w:r>
      <w:r w:rsidRPr="00D94175">
        <w:rPr>
          <w:lang w:val="en-US"/>
        </w:rPr>
        <w:t xml:space="preserve">sample </w:t>
      </w:r>
      <w:r>
        <w:rPr>
          <w:lang w:val="en-US"/>
        </w:rPr>
        <w:t>of this</w:t>
      </w:r>
      <w:r w:rsidRPr="0053437B">
        <w:rPr>
          <w:lang w:val="en-US"/>
        </w:rPr>
        <w:t xml:space="preserve"> study will consist of Dutch listed firms audited by </w:t>
      </w:r>
      <w:r>
        <w:rPr>
          <w:lang w:val="en-US"/>
        </w:rPr>
        <w:t xml:space="preserve">both </w:t>
      </w:r>
      <w:r w:rsidRPr="0053437B">
        <w:rPr>
          <w:lang w:val="en-US"/>
        </w:rPr>
        <w:t xml:space="preserve">the Big Four </w:t>
      </w:r>
      <w:r>
        <w:rPr>
          <w:lang w:val="en-US"/>
        </w:rPr>
        <w:t xml:space="preserve">and non-Big Four </w:t>
      </w:r>
      <w:r w:rsidRPr="0053437B">
        <w:rPr>
          <w:lang w:val="en-US"/>
        </w:rPr>
        <w:t>audit firms. Th</w:t>
      </w:r>
      <w:r>
        <w:rPr>
          <w:lang w:val="en-US"/>
        </w:rPr>
        <w:t xml:space="preserve">ese firms were chosen </w:t>
      </w:r>
      <w:r w:rsidRPr="0053437B">
        <w:rPr>
          <w:lang w:val="en-US"/>
        </w:rPr>
        <w:t>because in general firms in The Netherlands are considered fast responding in changes and new developments. In addition</w:t>
      </w:r>
      <w:r>
        <w:rPr>
          <w:lang w:val="en-US"/>
        </w:rPr>
        <w:t>,</w:t>
      </w:r>
      <w:r w:rsidRPr="0053437B">
        <w:rPr>
          <w:lang w:val="en-US"/>
        </w:rPr>
        <w:t xml:space="preserve"> Dutch Big Four audit firms have proved to be very innovative and competent to</w:t>
      </w:r>
      <w:r>
        <w:rPr>
          <w:lang w:val="en-US"/>
        </w:rPr>
        <w:t xml:space="preserve"> consider their work effective, </w:t>
      </w:r>
      <w:r w:rsidRPr="0053437B">
        <w:rPr>
          <w:lang w:val="en-US"/>
        </w:rPr>
        <w:t>valid</w:t>
      </w:r>
      <w:r>
        <w:rPr>
          <w:lang w:val="en-US"/>
        </w:rPr>
        <w:t>,</w:t>
      </w:r>
      <w:r w:rsidRPr="0053437B">
        <w:rPr>
          <w:lang w:val="en-US"/>
        </w:rPr>
        <w:t xml:space="preserve"> and precise. This is highly significant since the starting point of this crisis (severe negative facts did actua</w:t>
      </w:r>
      <w:r>
        <w:rPr>
          <w:lang w:val="en-US"/>
        </w:rPr>
        <w:t xml:space="preserve">lly happen) is considered </w:t>
      </w:r>
      <w:r w:rsidRPr="0053437B">
        <w:rPr>
          <w:lang w:val="en-US"/>
        </w:rPr>
        <w:t xml:space="preserve">2008, only two years ago. Data prior to crisis will be gathered from years 2005-2006 and will be compared with </w:t>
      </w:r>
      <w:r>
        <w:rPr>
          <w:lang w:val="en-US"/>
        </w:rPr>
        <w:t xml:space="preserve">the </w:t>
      </w:r>
      <w:r w:rsidRPr="0053437B">
        <w:rPr>
          <w:lang w:val="en-US"/>
        </w:rPr>
        <w:t xml:space="preserve">data during the crisis </w:t>
      </w:r>
      <w:r>
        <w:rPr>
          <w:lang w:val="en-US"/>
        </w:rPr>
        <w:t xml:space="preserve">concerning </w:t>
      </w:r>
      <w:r w:rsidRPr="0053437B">
        <w:rPr>
          <w:lang w:val="en-US"/>
        </w:rPr>
        <w:t>th</w:t>
      </w:r>
      <w:r>
        <w:rPr>
          <w:lang w:val="en-US"/>
        </w:rPr>
        <w:t xml:space="preserve">e period 2008-2009. This comparison will take place in order to investigate the changes in auditors’ conservatism. Because three </w:t>
      </w:r>
      <w:r w:rsidRPr="0053437B">
        <w:rPr>
          <w:lang w:val="en-US"/>
        </w:rPr>
        <w:t xml:space="preserve"> years are c</w:t>
      </w:r>
      <w:r>
        <w:rPr>
          <w:lang w:val="en-US"/>
        </w:rPr>
        <w:t>onsidered an adequate period concerning</w:t>
      </w:r>
      <w:r w:rsidRPr="0053437B">
        <w:rPr>
          <w:lang w:val="en-US"/>
        </w:rPr>
        <w:t xml:space="preserve"> full adjustments in Sarbanes-Oxley act </w:t>
      </w:r>
      <w:r>
        <w:rPr>
          <w:lang w:val="en-US"/>
        </w:rPr>
        <w:t>of 2002 requirements, while at the same time</w:t>
      </w:r>
      <w:r w:rsidRPr="0053437B">
        <w:rPr>
          <w:lang w:val="en-US"/>
        </w:rPr>
        <w:t xml:space="preserve"> predicti</w:t>
      </w:r>
      <w:r>
        <w:rPr>
          <w:lang w:val="en-US"/>
        </w:rPr>
        <w:t>ons of the upcoming crisis had no</w:t>
      </w:r>
      <w:r w:rsidRPr="0053437B">
        <w:rPr>
          <w:lang w:val="en-US"/>
        </w:rPr>
        <w:t>t still taken place</w:t>
      </w:r>
      <w:r>
        <w:rPr>
          <w:lang w:val="en-US"/>
        </w:rPr>
        <w:t>, the</w:t>
      </w:r>
      <w:r w:rsidRPr="0053437B">
        <w:rPr>
          <w:lang w:val="en-US"/>
        </w:rPr>
        <w:t xml:space="preserve"> years </w:t>
      </w:r>
      <w:r>
        <w:rPr>
          <w:lang w:val="en-US"/>
        </w:rPr>
        <w:t xml:space="preserve">of </w:t>
      </w:r>
      <w:r w:rsidRPr="0053437B">
        <w:rPr>
          <w:lang w:val="en-US"/>
        </w:rPr>
        <w:t xml:space="preserve">2005-2006 </w:t>
      </w:r>
      <w:r>
        <w:rPr>
          <w:lang w:val="en-US"/>
        </w:rPr>
        <w:t>have been selected. The y</w:t>
      </w:r>
      <w:r w:rsidRPr="0053437B">
        <w:rPr>
          <w:lang w:val="en-US"/>
        </w:rPr>
        <w:t xml:space="preserve">ears 2008 and 2009 are years of proved recession. </w:t>
      </w:r>
      <w:r>
        <w:rPr>
          <w:lang w:val="en-US"/>
        </w:rPr>
        <w:t>D</w:t>
      </w:r>
      <w:r w:rsidRPr="0053437B">
        <w:rPr>
          <w:lang w:val="en-US"/>
        </w:rPr>
        <w:t>ue to absence of data</w:t>
      </w:r>
      <w:r>
        <w:rPr>
          <w:lang w:val="en-US"/>
        </w:rPr>
        <w:t xml:space="preserve">, </w:t>
      </w:r>
      <w:r w:rsidRPr="0053437B">
        <w:rPr>
          <w:lang w:val="en-US"/>
        </w:rPr>
        <w:t>2010</w:t>
      </w:r>
      <w:r>
        <w:rPr>
          <w:lang w:val="en-US"/>
        </w:rPr>
        <w:t xml:space="preserve"> cannot be investigated. Since they are published in the companies’ financial statements every year after June 2008, d</w:t>
      </w:r>
      <w:r w:rsidRPr="0053437B">
        <w:rPr>
          <w:lang w:val="en-US"/>
        </w:rPr>
        <w:t>ata on audit fees and auditors will be easily collected</w:t>
      </w:r>
      <w:r>
        <w:rPr>
          <w:lang w:val="en-US"/>
        </w:rPr>
        <w:t xml:space="preserve"> concerning 2008 and 2009.</w:t>
      </w:r>
      <w:r w:rsidRPr="0053437B">
        <w:rPr>
          <w:lang w:val="en-US"/>
        </w:rPr>
        <w:t xml:space="preserve"> </w:t>
      </w:r>
      <w:r>
        <w:rPr>
          <w:lang w:val="en-US"/>
        </w:rPr>
        <w:t xml:space="preserve">Consequently, the changes in audit fees will be found through the comparison of the audit fees between 2008 and 2009 due to the lack of disclosed data concerning 2005 and 2006. </w:t>
      </w:r>
      <w:r w:rsidRPr="0053437B">
        <w:rPr>
          <w:lang w:val="en-US"/>
        </w:rPr>
        <w:t xml:space="preserve">Access to this data, along with all the other financial data needed, can be provided by the Library Databases of the Erasmus University (Erasmus School of Economics). </w:t>
      </w:r>
      <w:r w:rsidRPr="0033288F">
        <w:rPr>
          <w:lang w:val="en-US"/>
        </w:rPr>
        <w:t xml:space="preserve">Other online sources of financial data are also the </w:t>
      </w:r>
      <w:hyperlink r:id="rId8" w:history="1">
        <w:r w:rsidRPr="0033288F">
          <w:rPr>
            <w:rStyle w:val="Hyperlink"/>
            <w:lang w:val="en-US"/>
          </w:rPr>
          <w:t>http://www.annualreports.com</w:t>
        </w:r>
      </w:hyperlink>
      <w:r w:rsidRPr="0033288F">
        <w:rPr>
          <w:lang w:val="en-US"/>
        </w:rPr>
        <w:t xml:space="preserve"> website and the </w:t>
      </w:r>
      <w:hyperlink r:id="rId9" w:history="1">
        <w:r w:rsidRPr="0033288F">
          <w:rPr>
            <w:rStyle w:val="Hyperlink"/>
            <w:lang w:val="en-US"/>
          </w:rPr>
          <w:t>http://www.ecb.int/pub/annual/html/index.en.html</w:t>
        </w:r>
      </w:hyperlink>
      <w:r w:rsidRPr="0033288F">
        <w:rPr>
          <w:lang w:val="en-US"/>
        </w:rPr>
        <w:t>, which is the official internet site of the European Central Bank.</w:t>
      </w:r>
    </w:p>
    <w:p w:rsidR="00FD5242" w:rsidRDefault="00FD5242" w:rsidP="00F375AC">
      <w:pPr>
        <w:spacing w:line="360" w:lineRule="auto"/>
        <w:jc w:val="both"/>
        <w:rPr>
          <w:color w:val="000000"/>
          <w:lang w:val="en-US"/>
        </w:rPr>
      </w:pPr>
      <w:r>
        <w:rPr>
          <w:lang w:val="en-US"/>
        </w:rPr>
        <w:t xml:space="preserve">    </w:t>
      </w:r>
      <w:r w:rsidRPr="0033288F">
        <w:rPr>
          <w:lang w:val="en-US"/>
        </w:rPr>
        <w:t>The variables that will be tested are auditors’ conservatism and audit fees in response to the recent financial crisis. The current financial cris</w:t>
      </w:r>
      <w:r>
        <w:rPr>
          <w:lang w:val="en-US"/>
        </w:rPr>
        <w:t>is is the independent variable and t</w:t>
      </w:r>
      <w:r w:rsidRPr="0033288F">
        <w:rPr>
          <w:lang w:val="en-US"/>
        </w:rPr>
        <w:t>he dependent variables consist of auditors’ conservatism and audit fees</w:t>
      </w:r>
      <w:r w:rsidRPr="0033288F">
        <w:rPr>
          <w:i/>
          <w:lang w:val="en-US"/>
        </w:rPr>
        <w:t>.</w:t>
      </w:r>
      <w:r w:rsidRPr="0033288F">
        <w:rPr>
          <w:lang w:val="en-US"/>
        </w:rPr>
        <w:t xml:space="preserve"> The control variables are presente</w:t>
      </w:r>
      <w:r>
        <w:rPr>
          <w:lang w:val="en-US"/>
        </w:rPr>
        <w:t>d and explained in the relative</w:t>
      </w:r>
      <w:r w:rsidRPr="0033288F">
        <w:rPr>
          <w:lang w:val="en-US"/>
        </w:rPr>
        <w:t xml:space="preserve"> part.</w:t>
      </w:r>
      <w:r>
        <w:rPr>
          <w:lang w:val="en-US"/>
        </w:rPr>
        <w:t xml:space="preserve"> </w:t>
      </w:r>
      <w:r>
        <w:rPr>
          <w:bCs/>
          <w:color w:val="000000"/>
          <w:lang w:val="en-US"/>
        </w:rPr>
        <w:t>W</w:t>
      </w:r>
      <w:r w:rsidRPr="0033288F">
        <w:rPr>
          <w:bCs/>
          <w:color w:val="000000"/>
          <w:lang w:val="en-US"/>
        </w:rPr>
        <w:t xml:space="preserve">ith </w:t>
      </w:r>
      <w:r>
        <w:rPr>
          <w:bCs/>
          <w:color w:val="000000"/>
          <w:lang w:val="en-US"/>
        </w:rPr>
        <w:t xml:space="preserve">the </w:t>
      </w:r>
      <w:r w:rsidRPr="0033288F">
        <w:rPr>
          <w:bCs/>
          <w:color w:val="000000"/>
          <w:lang w:val="en-US"/>
        </w:rPr>
        <w:t>ordinary least squares</w:t>
      </w:r>
      <w:r w:rsidRPr="0033288F">
        <w:rPr>
          <w:color w:val="000000"/>
          <w:lang w:val="en-US"/>
        </w:rPr>
        <w:t xml:space="preserve"> (OLS)</w:t>
      </w:r>
      <w:r>
        <w:rPr>
          <w:color w:val="000000"/>
          <w:lang w:val="en-US"/>
        </w:rPr>
        <w:t xml:space="preserve"> a linear regression model will be used and estimated. More precisely, the adjusted version of the regression model Basu created in this research will be used.</w:t>
      </w:r>
    </w:p>
    <w:p w:rsidR="00FD5242" w:rsidRPr="003068A6" w:rsidRDefault="00FD5242" w:rsidP="00F375AC">
      <w:pPr>
        <w:pStyle w:val="ListParagraph"/>
        <w:numPr>
          <w:ilvl w:val="1"/>
          <w:numId w:val="8"/>
        </w:numPr>
        <w:spacing w:line="360" w:lineRule="auto"/>
        <w:jc w:val="both"/>
        <w:rPr>
          <w:b/>
          <w:color w:val="000000"/>
          <w:lang w:val="en-US"/>
        </w:rPr>
      </w:pPr>
      <w:r w:rsidRPr="003068A6">
        <w:rPr>
          <w:b/>
          <w:color w:val="000000"/>
          <w:lang w:val="en-US"/>
        </w:rPr>
        <w:t>Demarcation and limitations</w:t>
      </w:r>
    </w:p>
    <w:p w:rsidR="00FD5242" w:rsidRDefault="00FD5242" w:rsidP="00F375AC">
      <w:pPr>
        <w:spacing w:line="360" w:lineRule="auto"/>
        <w:jc w:val="both"/>
        <w:rPr>
          <w:lang w:val="en-US"/>
        </w:rPr>
      </w:pPr>
      <w:r>
        <w:rPr>
          <w:lang w:val="en-US"/>
        </w:rPr>
        <w:t xml:space="preserve">    The findings of this research will help to understand the causes of the changes in auditors’ conservatism, the implications concerning the auditing profession and the business world on a second level. </w:t>
      </w:r>
    </w:p>
    <w:p w:rsidR="00FD5242" w:rsidRPr="00556498" w:rsidRDefault="00FD5242" w:rsidP="00F375AC">
      <w:pPr>
        <w:spacing w:line="360" w:lineRule="auto"/>
        <w:jc w:val="both"/>
        <w:rPr>
          <w:lang w:val="en-US"/>
        </w:rPr>
      </w:pPr>
      <w:r>
        <w:rPr>
          <w:lang w:val="en-US"/>
        </w:rPr>
        <w:t xml:space="preserve">    As in every scientific research, limitations exist that need to be considered.</w:t>
      </w:r>
      <w:r w:rsidRPr="00D31135">
        <w:rPr>
          <w:lang w:val="en-US"/>
        </w:rPr>
        <w:t xml:space="preserve"> First, the period that will be investigated during</w:t>
      </w:r>
      <w:r>
        <w:rPr>
          <w:lang w:val="en-US"/>
        </w:rPr>
        <w:t xml:space="preserve"> the crisis is limited to the</w:t>
      </w:r>
      <w:r w:rsidRPr="00D31135">
        <w:rPr>
          <w:lang w:val="en-US"/>
        </w:rPr>
        <w:t xml:space="preserve"> years 2008 and 2009 and </w:t>
      </w:r>
      <w:r>
        <w:rPr>
          <w:lang w:val="en-US"/>
        </w:rPr>
        <w:t xml:space="preserve">because the presence </w:t>
      </w:r>
      <w:r w:rsidRPr="00D31135">
        <w:rPr>
          <w:lang w:val="en-US"/>
        </w:rPr>
        <w:t>of change</w:t>
      </w:r>
      <w:r>
        <w:rPr>
          <w:lang w:val="en-US"/>
        </w:rPr>
        <w:t xml:space="preserve">s could be in a premature phase </w:t>
      </w:r>
      <w:r w:rsidRPr="00D31135">
        <w:rPr>
          <w:lang w:val="en-US"/>
        </w:rPr>
        <w:t xml:space="preserve">this may have implications </w:t>
      </w:r>
      <w:r>
        <w:rPr>
          <w:lang w:val="en-US"/>
        </w:rPr>
        <w:t>concerning the</w:t>
      </w:r>
      <w:r w:rsidRPr="00D31135">
        <w:rPr>
          <w:lang w:val="en-US"/>
        </w:rPr>
        <w:t xml:space="preserve"> </w:t>
      </w:r>
      <w:r>
        <w:rPr>
          <w:lang w:val="en-US"/>
        </w:rPr>
        <w:t xml:space="preserve">findings. </w:t>
      </w:r>
      <w:r w:rsidRPr="00D31135">
        <w:rPr>
          <w:lang w:val="en-US"/>
        </w:rPr>
        <w:t>Inflation effec</w:t>
      </w:r>
      <w:r>
        <w:rPr>
          <w:lang w:val="en-US"/>
        </w:rPr>
        <w:t>ts on audit fees, if any, should be captured too. Lack of data in audit fees for the years 2005-2006 limits the generalization of the findings concerning fees and makes the comparison between the periods prior and during the crisis not possible. However, the expectation exists that these results are representative concerning the audit firm industry.</w:t>
      </w:r>
    </w:p>
    <w:p w:rsidR="00FD5242" w:rsidRPr="00245730" w:rsidRDefault="00FD5242" w:rsidP="00F375AC">
      <w:pPr>
        <w:pStyle w:val="ListParagraph"/>
        <w:numPr>
          <w:ilvl w:val="1"/>
          <w:numId w:val="8"/>
        </w:numPr>
        <w:spacing w:line="360" w:lineRule="auto"/>
        <w:jc w:val="both"/>
        <w:rPr>
          <w:b/>
          <w:lang w:val="en-US"/>
        </w:rPr>
      </w:pPr>
      <w:r w:rsidRPr="00245730">
        <w:rPr>
          <w:b/>
          <w:lang w:val="en-US"/>
        </w:rPr>
        <w:t>Structure</w:t>
      </w:r>
    </w:p>
    <w:p w:rsidR="00FD5242" w:rsidRDefault="00FD5242" w:rsidP="00F375AC">
      <w:pPr>
        <w:spacing w:line="360" w:lineRule="auto"/>
        <w:jc w:val="both"/>
        <w:rPr>
          <w:lang w:val="en-US"/>
        </w:rPr>
      </w:pPr>
      <w:r>
        <w:rPr>
          <w:lang w:val="en-US"/>
        </w:rPr>
        <w:t xml:space="preserve">    The remainder of this study will continue according to the next structure: Chapter 2 is focused on the economic theories and the background on financial information. Chapter 3 deals with the present global financial crisis. Insights will be provided that refer to the causes and implications of the crisis on the business world. Chapter 4 analyzes the external auditing profession, </w:t>
      </w:r>
      <w:r w:rsidRPr="00B80384">
        <w:rPr>
          <w:lang w:val="en-US"/>
        </w:rPr>
        <w:t>the impacts of the financial crisis on it</w:t>
      </w:r>
      <w:r>
        <w:rPr>
          <w:lang w:val="en-US"/>
        </w:rPr>
        <w:t xml:space="preserve"> and the concept of audit conservatism, while Chapter 5 comments on the relation between the audit conservatism and audit fees. Chapter 6 demonstrates the methodology and findings of prior research conducted, concerning the subject of auditors’ use of conservatism and audit fees. Chapter 7 presents the research design that is used for the empirical part of this study and Chapter 8 provides the presentation of the results of the empirical testing. Finally, Chapter 9 analyzes the main conclusions and the limitations of this study and makes recommendations concerning the areas that the future research should focus on.</w:t>
      </w:r>
    </w:p>
    <w:p w:rsidR="00FD5242" w:rsidRPr="00854BBF" w:rsidRDefault="00FD5242" w:rsidP="00F375AC">
      <w:pPr>
        <w:spacing w:line="360" w:lineRule="auto"/>
        <w:jc w:val="both"/>
        <w:rPr>
          <w:lang w:val="en-US"/>
        </w:rPr>
      </w:pPr>
      <w:r>
        <w:rPr>
          <w:lang w:val="en-US"/>
        </w:rPr>
        <w:br w:type="page"/>
      </w:r>
      <w:r w:rsidRPr="00950107">
        <w:rPr>
          <w:b/>
          <w:sz w:val="26"/>
          <w:szCs w:val="26"/>
          <w:lang w:val="en-US"/>
        </w:rPr>
        <w:t>CHAPTER 2 – Financial information</w:t>
      </w:r>
    </w:p>
    <w:p w:rsidR="00FD5242" w:rsidRPr="00FA3CBB" w:rsidRDefault="00FD5242" w:rsidP="00F375AC">
      <w:pPr>
        <w:spacing w:line="360" w:lineRule="auto"/>
        <w:jc w:val="both"/>
        <w:rPr>
          <w:b/>
          <w:lang w:val="en-US"/>
        </w:rPr>
      </w:pPr>
      <w:r>
        <w:rPr>
          <w:b/>
          <w:lang w:val="en-US"/>
        </w:rPr>
        <w:t>2.1 Introduction</w:t>
      </w:r>
    </w:p>
    <w:p w:rsidR="00FD5242" w:rsidRDefault="00FD5242" w:rsidP="00F375AC">
      <w:pPr>
        <w:spacing w:line="360" w:lineRule="auto"/>
        <w:jc w:val="both"/>
        <w:rPr>
          <w:lang w:val="en-US"/>
        </w:rPr>
      </w:pPr>
      <w:r>
        <w:rPr>
          <w:lang w:val="en-US"/>
        </w:rPr>
        <w:t xml:space="preserve">    From an economic perspective, information can be recognized as a business resource and as such, it is extremely important for the survival of the businesses. The most important characteristic is that information is produced by facts that cause the user of the information to take an action that otherwise he/she would or could have not taken (Hall, 2008, p. 11).</w:t>
      </w:r>
    </w:p>
    <w:p w:rsidR="00FD5242" w:rsidRDefault="00FD5242" w:rsidP="00F375AC">
      <w:pPr>
        <w:spacing w:line="360" w:lineRule="auto"/>
        <w:jc w:val="both"/>
        <w:rPr>
          <w:lang w:val="en-US"/>
        </w:rPr>
      </w:pPr>
      <w:r>
        <w:rPr>
          <w:lang w:val="en-US"/>
        </w:rPr>
        <w:t xml:space="preserve">    Financial information’s supreme goal is to help the users of the financial statements of the companies in their decision making process and that is the reason why the users of financial statements are also characterized as decision makers. Auditors’ tasks are part of the assurance services that are designed to improve the quality of information, both financial and non-financial used by the decision makers. Conflict resolution and uncertainty reduction are outcomes emerging also from the problematic use of financial information.</w:t>
      </w:r>
    </w:p>
    <w:p w:rsidR="00FD5242" w:rsidRDefault="00FD5242" w:rsidP="00F375AC">
      <w:pPr>
        <w:spacing w:before="240" w:line="360" w:lineRule="auto"/>
        <w:jc w:val="both"/>
        <w:rPr>
          <w:lang w:val="en-US"/>
        </w:rPr>
      </w:pPr>
      <w:r>
        <w:rPr>
          <w:lang w:val="en-US"/>
        </w:rPr>
        <w:t xml:space="preserve">    The users of financial information and financial reporting consist of two broad categories: external and internal. Creditors, suppliers, customers, stockholders, potential investors, regulatory and tax authorities are namely the external users. More specifically, this category is distinguished in institutional users such as the Securities and Exchange Commission (SEC), banks and the Internal Revenue Service (IRS) and trading partners such as clients and suppliers. Internal users are managers of every level and operational personnel of the organization.</w:t>
      </w:r>
    </w:p>
    <w:p w:rsidR="00FD5242" w:rsidRDefault="00FD5242" w:rsidP="00F375AC">
      <w:pPr>
        <w:spacing w:before="240" w:line="360" w:lineRule="auto"/>
        <w:jc w:val="both"/>
        <w:rPr>
          <w:lang w:val="en-US"/>
        </w:rPr>
      </w:pPr>
      <w:r>
        <w:rPr>
          <w:lang w:val="en-US"/>
        </w:rPr>
        <w:t xml:space="preserve">    The financial statements of the companies communicate all relevant information concerning the financial position of the company to the users. These statements though, can be prepared according to a number of accounting and reporting methods that are able to manipulate the content of the financial information. Managers have incentives to and do actually misstate the accounting information concerning the firm that employs them. At this point, the professional duty of the auditors is highlighted. Auditors are committed to assure the public for the fairness of the reported financial statements of the firms that are considered the sum of all the associated with the firm financial information. These statements are considered by many as one of the triggering forces of the investing activities. </w:t>
      </w:r>
    </w:p>
    <w:p w:rsidR="00FD5242" w:rsidRDefault="00FD5242" w:rsidP="00F375AC">
      <w:pPr>
        <w:spacing w:before="240" w:line="360" w:lineRule="auto"/>
        <w:jc w:val="both"/>
        <w:rPr>
          <w:lang w:val="en-US"/>
        </w:rPr>
      </w:pPr>
      <w:r>
        <w:rPr>
          <w:lang w:val="en-US"/>
        </w:rPr>
        <w:t xml:space="preserve">    The importance of valid and adequate financial information is undisputed concerning the survival and the plain functioning of the economic world. The next part of the chapter will give insight in the financial theories that explain the nature, the scope, the treatment and the incentives of the financial information presented in the financial statements.</w:t>
      </w:r>
    </w:p>
    <w:p w:rsidR="00FD5242" w:rsidRDefault="00FD5242" w:rsidP="00F375AC">
      <w:pPr>
        <w:pStyle w:val="ListParagraph"/>
        <w:numPr>
          <w:ilvl w:val="1"/>
          <w:numId w:val="9"/>
        </w:numPr>
        <w:spacing w:before="240" w:line="360" w:lineRule="auto"/>
        <w:jc w:val="both"/>
        <w:rPr>
          <w:b/>
          <w:lang w:val="en-US"/>
        </w:rPr>
      </w:pPr>
      <w:r w:rsidRPr="005A3DC6">
        <w:rPr>
          <w:b/>
          <w:lang w:val="en-US"/>
        </w:rPr>
        <w:t xml:space="preserve">Theories concerning financial and accounting information </w:t>
      </w:r>
    </w:p>
    <w:p w:rsidR="00FD5242" w:rsidRPr="005A3DC6" w:rsidRDefault="00FD5242" w:rsidP="00F375AC">
      <w:pPr>
        <w:pStyle w:val="ListParagraph"/>
        <w:spacing w:before="240" w:line="360" w:lineRule="auto"/>
        <w:ind w:left="360"/>
        <w:jc w:val="both"/>
        <w:rPr>
          <w:b/>
          <w:lang w:val="en-US"/>
        </w:rPr>
      </w:pPr>
    </w:p>
    <w:p w:rsidR="00FD5242" w:rsidRPr="005A3DC6" w:rsidRDefault="00FD5242" w:rsidP="00F375AC">
      <w:pPr>
        <w:pStyle w:val="ListParagraph"/>
        <w:numPr>
          <w:ilvl w:val="2"/>
          <w:numId w:val="9"/>
        </w:numPr>
        <w:spacing w:before="240" w:line="360" w:lineRule="auto"/>
        <w:jc w:val="both"/>
        <w:rPr>
          <w:u w:val="single"/>
          <w:lang w:val="en-US"/>
        </w:rPr>
      </w:pPr>
      <w:r w:rsidRPr="005A3DC6">
        <w:rPr>
          <w:u w:val="single"/>
          <w:lang w:val="en-US"/>
        </w:rPr>
        <w:t>Agency Theory</w:t>
      </w:r>
    </w:p>
    <w:p w:rsidR="00FD5242" w:rsidRDefault="00FD5242" w:rsidP="00F375AC">
      <w:pPr>
        <w:spacing w:before="240" w:line="360" w:lineRule="auto"/>
        <w:jc w:val="both"/>
        <w:rPr>
          <w:lang w:val="en-US"/>
        </w:rPr>
      </w:pPr>
      <w:r>
        <w:rPr>
          <w:lang w:val="en-US"/>
        </w:rPr>
        <w:t xml:space="preserve">    A very famous theory concerning managers’ decisions related to the choice and disclosure of accounting methods is </w:t>
      </w:r>
      <w:r w:rsidRPr="00BC74DD">
        <w:rPr>
          <w:lang w:val="en-US"/>
        </w:rPr>
        <w:t>agency theory</w:t>
      </w:r>
      <w:r>
        <w:rPr>
          <w:lang w:val="en-US"/>
        </w:rPr>
        <w:t xml:space="preserve"> or otherwise referred to as the “principal-agent” problem. Focusing on the relationship between the trading parties of principals and agents, this theory recognizes the existence and importance of transaction and information costs incurring from this relationship. The theory explained in a valid way the incentives behind managers’ accounting methods selection.</w:t>
      </w:r>
    </w:p>
    <w:p w:rsidR="00FD5242" w:rsidRDefault="00FD5242" w:rsidP="00F375AC">
      <w:pPr>
        <w:spacing w:before="240" w:line="360" w:lineRule="auto"/>
        <w:jc w:val="both"/>
        <w:rPr>
          <w:lang w:val="en-US"/>
        </w:rPr>
      </w:pPr>
      <w:r>
        <w:rPr>
          <w:lang w:val="en-US"/>
        </w:rPr>
        <w:t xml:space="preserve">   Jensen and Meckling’s study (1976) was the primary paper that contributed to the development of the agency theory. They used the principals and agents’ definition of the two parties forming the agency relationship, in which a contract is used concerning the engagement of one (or more) person –the agent- to perform a service that requires delegated decision-making activities on behalf of another –the principal-. They relied upon traditional economic literature that highlights the maximization of own wealth as the main cause of people engaging in financial transactions. The relationships and conflicts between these two parties and the efficiency of markets and other contractual mechanisms were investigated in order to discover their effects on the minimization of the inherent costs of the agency relationship. The agency theory considers the firm as a nexus of contracts. The purpose of these contracts is to ensure that all related parties act for their own profit and simultaneously for the achievement of the organization’s goals as well. The nominal assumption of the agency theory is that the individuals will always act motivated by self-interests, thus the key tool for a successful organization is the setting of mechanisms adequate to ensure the benefit of both the individuals and the organization.</w:t>
      </w:r>
    </w:p>
    <w:p w:rsidR="00FD5242" w:rsidRDefault="00FD5242" w:rsidP="00F375AC">
      <w:pPr>
        <w:spacing w:before="240" w:line="360" w:lineRule="auto"/>
        <w:jc w:val="both"/>
        <w:rPr>
          <w:lang w:val="en-US"/>
        </w:rPr>
      </w:pPr>
      <w:r>
        <w:rPr>
          <w:lang w:val="en-US"/>
        </w:rPr>
        <w:t xml:space="preserve">    The incentives issue is another core element of the agency theory. Referring to that Lambert (2001) pointed out the importance of the incentive problem in the financial world and distinguished four common reasons resulting in the conflicts between agents and principals. These are signaled as effort aversion, differential risk aversion, differential time-horizons, and effort for personal profit of every form from the side of the agent. Thus, it is claimed in the agency theory that principals will be motivated by self-interest and that they will demonstrate self-opportunistic behavior in their professional tasks, resulting finally in agents receiving lower salaries from the principals. Consequently, it is argued that in the end the agents are the ones to pay for the mistaken principals’ assumptions. Hence, “the agents are therefore assumed to have an incentive to enter into contractual arrangements that appear to be able to reduce their ability to undertake actions detrimental to the interests of the principals” (Deegan and Unerman, 2006, pp. 214). The bottom-line assumption is that the information problem that arises when agents are not aware of when principals’ goals are met is solved with the provision of appropriate incentives to the agents.</w:t>
      </w:r>
    </w:p>
    <w:p w:rsidR="00FD5242" w:rsidRDefault="00FD5242" w:rsidP="00F375AC">
      <w:pPr>
        <w:spacing w:before="240" w:line="360" w:lineRule="auto"/>
        <w:jc w:val="both"/>
        <w:rPr>
          <w:lang w:val="en-US"/>
        </w:rPr>
      </w:pPr>
      <w:r>
        <w:rPr>
          <w:lang w:val="en-US"/>
        </w:rPr>
        <w:t xml:space="preserve">    Agency theory is one of the fundamental theories of the economic and political science world and contributed to the development of many more. The Efficient Market Hypothesis is another theoretical approach that is highly associated with the role financial information and will be analyzed in the subsequent part of this chapter.</w:t>
      </w:r>
    </w:p>
    <w:p w:rsidR="00FD5242" w:rsidRPr="005A3DC6" w:rsidRDefault="00FD5242" w:rsidP="00F375AC">
      <w:pPr>
        <w:pStyle w:val="ListParagraph"/>
        <w:numPr>
          <w:ilvl w:val="2"/>
          <w:numId w:val="9"/>
        </w:numPr>
        <w:spacing w:before="240" w:line="360" w:lineRule="auto"/>
        <w:jc w:val="both"/>
        <w:rPr>
          <w:u w:val="single"/>
          <w:lang w:val="en-US"/>
        </w:rPr>
      </w:pPr>
      <w:r w:rsidRPr="005A3DC6">
        <w:rPr>
          <w:u w:val="single"/>
          <w:lang w:val="en-US"/>
        </w:rPr>
        <w:t>The Efficient Market Hypothesis (EMH)</w:t>
      </w:r>
    </w:p>
    <w:p w:rsidR="00FD5242" w:rsidRDefault="00FD5242" w:rsidP="00F375AC">
      <w:pPr>
        <w:spacing w:before="240" w:line="360" w:lineRule="auto"/>
        <w:jc w:val="both"/>
        <w:rPr>
          <w:lang w:val="en-US"/>
        </w:rPr>
      </w:pPr>
      <w:r>
        <w:rPr>
          <w:b/>
          <w:lang w:val="en-US"/>
        </w:rPr>
        <w:t xml:space="preserve">    </w:t>
      </w:r>
      <w:r>
        <w:rPr>
          <w:lang w:val="en-US"/>
        </w:rPr>
        <w:t>The Efficient Market Hypothesis is a theoretical approach that became famous in the 1960’s and has been developed by Eugene Farma</w:t>
      </w:r>
      <w:r w:rsidRPr="00D37BD1">
        <w:rPr>
          <w:lang w:val="en-US"/>
        </w:rPr>
        <w:t>. It is based in the random walk theory, developed by Bachelier (1964) and supporting that all current information is reflected in current security prices, consequently future price movements are random because they are triggered by unexpected news</w:t>
      </w:r>
      <w:r>
        <w:rPr>
          <w:lang w:val="en-US"/>
        </w:rPr>
        <w:t>. It supports in general that capital markets are informationally efficient, interpreted in capital markets reacting to publicly available information in an efficient and impartial way. The basic concept is that security prices reflect the informative “package” of all publicly available information, while this publicly available information emerges from more sources than just accounting disclosures. Since the capital market is extremely competitive, the release of new information is expected to be quickly and in a high degree adjusted in the prices of the shares.</w:t>
      </w:r>
    </w:p>
    <w:p w:rsidR="00FD5242" w:rsidRDefault="00FD5242" w:rsidP="00F375AC">
      <w:pPr>
        <w:spacing w:before="240" w:line="360" w:lineRule="auto"/>
        <w:jc w:val="both"/>
        <w:rPr>
          <w:lang w:val="en-US"/>
        </w:rPr>
      </w:pPr>
      <w:r>
        <w:rPr>
          <w:lang w:val="en-US"/>
        </w:rPr>
        <w:t xml:space="preserve">    The EMH is based in three primary arguments. First, it argues that share prices reflect information from all kinds of sources and that accounting information is only one kind of these sources. Thus, capital market reactions are not expected if changes in the accounting method occur, assuming of course that the changes do not cause differences in the cash flows of a firm. In addition, the efficiency of the markets in the evaluation of accounting information is considered granted. The third and last perspective is that other potentially unverified evidence can always emerge. These three arguments were pointed out from Watts and Zimmerman (1968) to note that increased accounting regulation has little to do in restricting opportunistic behaviors.   </w:t>
      </w:r>
    </w:p>
    <w:p w:rsidR="00FD5242" w:rsidRDefault="00FD5242" w:rsidP="00F375AC">
      <w:pPr>
        <w:spacing w:before="240" w:line="360" w:lineRule="auto"/>
        <w:jc w:val="both"/>
        <w:rPr>
          <w:lang w:val="en-US"/>
        </w:rPr>
      </w:pPr>
      <w:r>
        <w:rPr>
          <w:lang w:val="en-US"/>
        </w:rPr>
        <w:t xml:space="preserve">    The three versions of the hypothesis are namely </w:t>
      </w:r>
      <w:r w:rsidRPr="00940F82">
        <w:rPr>
          <w:i/>
          <w:lang w:val="en-US"/>
        </w:rPr>
        <w:t>weak</w:t>
      </w:r>
      <w:r>
        <w:rPr>
          <w:lang w:val="en-US"/>
        </w:rPr>
        <w:t xml:space="preserve">, </w:t>
      </w:r>
      <w:r w:rsidRPr="00940F82">
        <w:rPr>
          <w:i/>
          <w:lang w:val="en-US"/>
        </w:rPr>
        <w:t>semi-strong,</w:t>
      </w:r>
      <w:r>
        <w:rPr>
          <w:lang w:val="en-US"/>
        </w:rPr>
        <w:t xml:space="preserve"> and </w:t>
      </w:r>
      <w:r w:rsidRPr="00940F82">
        <w:rPr>
          <w:i/>
          <w:lang w:val="en-US"/>
        </w:rPr>
        <w:t>strong</w:t>
      </w:r>
      <w:r>
        <w:rPr>
          <w:lang w:val="en-US"/>
        </w:rPr>
        <w:t>. In its weak form, the EMH claims that the prices of traded assets already reflect all public available information of the past. The semi-strong version adds to the claims of the weak version the immediate response in the prices of the traded assets of new public available information. The strong form of the hypothesis additionally predicts the price adjustments of the traded assets in response to hidden or inside information</w:t>
      </w:r>
      <w:r w:rsidRPr="00D37BD1">
        <w:rPr>
          <w:lang w:val="en-US"/>
        </w:rPr>
        <w:t>. From a forecasting perspective</w:t>
      </w:r>
      <w:r>
        <w:rPr>
          <w:lang w:val="en-US"/>
        </w:rPr>
        <w:t>,</w:t>
      </w:r>
      <w:r w:rsidRPr="00D37BD1">
        <w:rPr>
          <w:lang w:val="en-US"/>
        </w:rPr>
        <w:t xml:space="preserve"> Timmermann and Granger (2004) argue that the EMH “crudely” notes that calculating beforehand the returns from speculative assets is simply not possible.</w:t>
      </w:r>
      <w:r>
        <w:rPr>
          <w:lang w:val="en-US"/>
        </w:rPr>
        <w:t xml:space="preserve"> </w:t>
      </w:r>
    </w:p>
    <w:p w:rsidR="00FD5242" w:rsidRDefault="00FD5242" w:rsidP="00F375AC">
      <w:pPr>
        <w:spacing w:before="240" w:line="360" w:lineRule="auto"/>
        <w:jc w:val="both"/>
        <w:rPr>
          <w:lang w:val="en-US"/>
        </w:rPr>
      </w:pPr>
      <w:r>
        <w:rPr>
          <w:lang w:val="en-US"/>
        </w:rPr>
        <w:t xml:space="preserve">    The significant limitation of the EFH is that it fails to give explanations concerning the preferences of managers in accounting methods. Opponents of the EMH argue that the EFH is simply inefficient. In more detail, it is argued that investors’ behavior is also driven by cognitive biases (i.e. overconfidence or overreaction) that are attributed to simple human errors in the reasoning and information analyses. Warren Buffet, an American billionaire and one of the most successful investors of the world, characteristically quoted “I’d be a burglar in the street if markets were efficient.”</w:t>
      </w:r>
      <w:r>
        <w:rPr>
          <w:rStyle w:val="FootnoteReference"/>
          <w:lang w:val="en-US"/>
        </w:rPr>
        <w:footnoteReference w:id="2"/>
      </w:r>
    </w:p>
    <w:p w:rsidR="00FD5242" w:rsidRDefault="00FD5242" w:rsidP="00F375AC">
      <w:pPr>
        <w:spacing w:before="240" w:line="360" w:lineRule="auto"/>
        <w:jc w:val="both"/>
        <w:rPr>
          <w:lang w:val="en-US"/>
        </w:rPr>
      </w:pPr>
      <w:r>
        <w:rPr>
          <w:lang w:val="en-US"/>
        </w:rPr>
        <w:t xml:space="preserve">    Despite the severe restrictions of the EMH, it has contributed in the development of other economic theories and approaches. The conceptual combination of the Efficient Market Hypothesis and the Agency Theory provided the theoretical base of the Positive accounting theory, which is the last economic approach analyzed subsequently in this study.</w:t>
      </w:r>
    </w:p>
    <w:p w:rsidR="00FD5242" w:rsidRDefault="00FD5242" w:rsidP="00E55270">
      <w:pPr>
        <w:spacing w:after="0" w:line="240" w:lineRule="auto"/>
        <w:jc w:val="both"/>
        <w:rPr>
          <w:lang w:val="en-US"/>
        </w:rPr>
      </w:pPr>
      <w:r>
        <w:rPr>
          <w:lang w:val="en-US"/>
        </w:rPr>
        <w:br w:type="page"/>
      </w:r>
    </w:p>
    <w:p w:rsidR="00FD5242" w:rsidRPr="005A3DC6" w:rsidRDefault="00FD5242" w:rsidP="00F375AC">
      <w:pPr>
        <w:pStyle w:val="ListParagraph"/>
        <w:numPr>
          <w:ilvl w:val="2"/>
          <w:numId w:val="9"/>
        </w:numPr>
        <w:spacing w:before="240" w:line="360" w:lineRule="auto"/>
        <w:jc w:val="both"/>
        <w:rPr>
          <w:u w:val="single"/>
          <w:lang w:val="en-US"/>
        </w:rPr>
      </w:pPr>
      <w:r w:rsidRPr="005A3DC6">
        <w:rPr>
          <w:u w:val="single"/>
          <w:lang w:val="en-US"/>
        </w:rPr>
        <w:t>The Positive Accounting Theory (PAT)</w:t>
      </w:r>
    </w:p>
    <w:p w:rsidR="00FD5242" w:rsidRDefault="00FD5242" w:rsidP="00F375AC">
      <w:pPr>
        <w:spacing w:before="240" w:line="360" w:lineRule="auto"/>
        <w:jc w:val="both"/>
        <w:rPr>
          <w:lang w:val="en-US"/>
        </w:rPr>
      </w:pPr>
      <w:r>
        <w:rPr>
          <w:lang w:val="en-US"/>
        </w:rPr>
        <w:t xml:space="preserve">    In general, a positive theory concentrates on the explanation and prediction of particular phenomena. The perspective of the firm as an aggregate of contractual arrangements along with other theoretical views of the company as an efficient mechanism of reducing transaction costs led to the development of the </w:t>
      </w:r>
      <w:r w:rsidRPr="00BC74DD">
        <w:rPr>
          <w:lang w:val="en-US"/>
        </w:rPr>
        <w:t>Positive Accounting Theory</w:t>
      </w:r>
      <w:r>
        <w:rPr>
          <w:lang w:val="en-US"/>
        </w:rPr>
        <w:t xml:space="preserve">. The title of this theory itself reveals the dispensed importance on the role of accounting in reducing the transaction costs of the firm emerging from information and motivational asymmetries between the associated parties. Additionally, it is highlighted that firms with efficient corporate governance structures focus on efficiently written contracts for every part of the firm, including of course the accounting system. The paper of Watts and Zimmerman (1978) is recognized as the official documented study that resulted in the development and the recognition of the Positive Accounting theory by the scientific world. </w:t>
      </w:r>
    </w:p>
    <w:p w:rsidR="00FD5242" w:rsidRDefault="00FD5242" w:rsidP="00F375AC">
      <w:pPr>
        <w:spacing w:before="240" w:line="360" w:lineRule="auto"/>
        <w:jc w:val="both"/>
        <w:rPr>
          <w:lang w:val="en-US"/>
        </w:rPr>
      </w:pPr>
      <w:r w:rsidRPr="00A16516">
        <w:rPr>
          <w:lang w:val="en-US"/>
        </w:rPr>
        <w:t xml:space="preserve">    </w:t>
      </w:r>
      <w:r>
        <w:rPr>
          <w:lang w:val="en-US"/>
        </w:rPr>
        <w:t>Positive Accounting theory focuses on the explanation and prediction of managers’ choices concerning accounting methods. The relationships between the individuals within and outside a firm are a central point of the PAT. Insights in financial accounting’s role as a measure to overcome the “principal-agent” problem are provided and more specifically, how financial accounting mitigates the contradicting and costly implications of each party’s self-interest operating behavior. Primary to the Positive Accounting theory is the self-interest approach, which argues that contractual arrangements are inevitable in order to achieve alignment of all the associated parties’ self-interests. The important implication here referring to the accounting information provided by the agents is that these contracts must take into consideration the outputs of the accounting system in order to be valid and correctly detained. It is certainly undisputed that agents eventually select the use of accounting methods that reflect their achievements in the most efficient way. Thus, severe importance is given in the reduction of regulation concerning financial reporting since it is encountered to result in unnecessary costs and complications concerning the contractual arrangements.</w:t>
      </w:r>
    </w:p>
    <w:p w:rsidR="00FD5242" w:rsidRDefault="00FD5242" w:rsidP="00F375AC">
      <w:pPr>
        <w:spacing w:before="240" w:line="360" w:lineRule="auto"/>
        <w:jc w:val="both"/>
        <w:rPr>
          <w:lang w:val="en-US"/>
        </w:rPr>
      </w:pPr>
      <w:r>
        <w:rPr>
          <w:lang w:val="en-US"/>
        </w:rPr>
        <w:t xml:space="preserve">    Positive Accounting Theory relies in two different perspectives: the </w:t>
      </w:r>
      <w:r w:rsidRPr="008D4848">
        <w:rPr>
          <w:i/>
          <w:lang w:val="en-US"/>
        </w:rPr>
        <w:t xml:space="preserve">opportunistic </w:t>
      </w:r>
      <w:r>
        <w:rPr>
          <w:lang w:val="en-US"/>
        </w:rPr>
        <w:t xml:space="preserve">and the </w:t>
      </w:r>
      <w:r w:rsidRPr="008D4848">
        <w:rPr>
          <w:i/>
          <w:lang w:val="en-US"/>
        </w:rPr>
        <w:t>efficiency</w:t>
      </w:r>
      <w:r>
        <w:rPr>
          <w:lang w:val="en-US"/>
        </w:rPr>
        <w:t xml:space="preserve"> perspective. The opportunistic perspective is focused on the explanation of the role of the contractual arrangements in minimizing the agency costs emerging from the delegated authority for decision making by the principals to the agents. It can be also referred to as “ex ante” perspective since it is applied in the proactive approach of these contractual arrangements. Differences in the choices of accounting methods from different organizations are explained by this approach. The opportunistic perspective on the other hand, is not interested in the contractual arrangements themselves that can be costly if written in too much detail concerning the accounting choices, but is more focused on the explanation and prediction of opportunistic behaviors from the side of the agents that occur inevitably. It is also entitled as the “ex post” perspective because it concerns management’s behavior after the signing of the defining responsibility contracts. </w:t>
      </w:r>
    </w:p>
    <w:p w:rsidR="00FD5242" w:rsidRDefault="00FD5242" w:rsidP="00F375AC">
      <w:pPr>
        <w:spacing w:before="240" w:line="360" w:lineRule="auto"/>
        <w:jc w:val="both"/>
        <w:rPr>
          <w:lang w:val="en-US"/>
        </w:rPr>
      </w:pPr>
      <w:r>
        <w:rPr>
          <w:lang w:val="en-US"/>
        </w:rPr>
        <w:t xml:space="preserve">    Utilizing these two different perspectives, the PAT highlights the next three principal hypotheses as signaled in the book of Deegan and Unerman (2006). The </w:t>
      </w:r>
      <w:r w:rsidRPr="00337B23">
        <w:rPr>
          <w:i/>
          <w:lang w:val="en-US"/>
        </w:rPr>
        <w:t>bonus hypothesis</w:t>
      </w:r>
      <w:r>
        <w:rPr>
          <w:i/>
          <w:lang w:val="en-US"/>
        </w:rPr>
        <w:t xml:space="preserve"> </w:t>
      </w:r>
      <w:r>
        <w:rPr>
          <w:lang w:val="en-US"/>
        </w:rPr>
        <w:t xml:space="preserve">is based on the opportunistic perspective in that it predicts that companies will make use of the accounting numbers reflecting the performance of the firm to determine managers’ bonuses. Consequently, managers’ self-interest will dominate their effort to show the highest possible profits, no matter the magnitude of the manipulated financial reports. The </w:t>
      </w:r>
      <w:r w:rsidRPr="00DA639E">
        <w:rPr>
          <w:i/>
          <w:lang w:val="en-US"/>
        </w:rPr>
        <w:t>debt hypothesis</w:t>
      </w:r>
      <w:r>
        <w:rPr>
          <w:lang w:val="en-US"/>
        </w:rPr>
        <w:t xml:space="preserve"> argues that in the effort of obtaining lower cost funds, firms will hold contractual arrangements with lenders that commit to correct value-reflecting safeguards in management’s choice of accounting treatments. However, the opportunistic incentive predicts that leveraged firms will select accounting methods that reduce the effects of debt obligations. The last one is the </w:t>
      </w:r>
      <w:r w:rsidRPr="001224AB">
        <w:rPr>
          <w:i/>
          <w:lang w:val="en-US"/>
        </w:rPr>
        <w:t>political cost hypothesis</w:t>
      </w:r>
      <w:r>
        <w:rPr>
          <w:lang w:val="en-US"/>
        </w:rPr>
        <w:t>, concerning the direct and indirect relationships and connections between the firms and the many other external parties. A characteristic assumption is that managers of high profit firms will make use of accounting practices that reduce the amount of reported earnings, in order to avoid the negative attention of politicians, which can lead to higher taxation or numerous other measures, and the public outcry.</w:t>
      </w:r>
    </w:p>
    <w:p w:rsidR="00FD5242" w:rsidRDefault="00FD5242" w:rsidP="00F375AC">
      <w:pPr>
        <w:spacing w:before="240" w:line="360" w:lineRule="auto"/>
        <w:jc w:val="both"/>
        <w:rPr>
          <w:lang w:val="en-US"/>
        </w:rPr>
      </w:pPr>
      <w:r>
        <w:rPr>
          <w:lang w:val="en-US"/>
        </w:rPr>
        <w:t xml:space="preserve">    Despite the many useful implications emerging from the Positive Accounting Theory, a lot of criticism has been put into its failure in the prescription issue. Its focus is the explanation and the prediction of actual accounting practices used, but no investigating effort is put on the study of optimal accounting standards. The contradicting theory of normative accounting is the one trying to derive and implement in an efficient way these optimal accounting standards-</w:t>
      </w:r>
      <w:r w:rsidRPr="00D37BD1">
        <w:rPr>
          <w:lang w:val="en-US"/>
        </w:rPr>
        <w:t xml:space="preserve">shortly </w:t>
      </w:r>
      <w:r>
        <w:rPr>
          <w:lang w:val="en-US"/>
        </w:rPr>
        <w:t>signal</w:t>
      </w:r>
      <w:r w:rsidRPr="00D37BD1">
        <w:rPr>
          <w:lang w:val="en-US"/>
        </w:rPr>
        <w:t>ing “what ought to be”</w:t>
      </w:r>
      <w:r>
        <w:rPr>
          <w:lang w:val="en-US"/>
        </w:rPr>
        <w:t xml:space="preserve">. Another significant limitation of the PAT is that it restricts all aspects of the human mind and behavior by assuming that all individuals act based solely on self-interest. </w:t>
      </w:r>
      <w:r w:rsidRPr="00620F11">
        <w:rPr>
          <w:lang w:val="en-US"/>
        </w:rPr>
        <w:t xml:space="preserve">While the </w:t>
      </w:r>
      <w:r>
        <w:rPr>
          <w:lang w:val="en-US"/>
        </w:rPr>
        <w:t>before signaled</w:t>
      </w:r>
      <w:r w:rsidRPr="00620F11">
        <w:rPr>
          <w:lang w:val="en-US"/>
        </w:rPr>
        <w:t xml:space="preserve"> criticisms continue to gain defenders and accounting practice challenges its assumptions, the Positive Accounting Theory still holds in numerous scientific studies and is still taught in </w:t>
      </w:r>
      <w:r>
        <w:rPr>
          <w:lang w:val="en-US"/>
        </w:rPr>
        <w:t xml:space="preserve">many </w:t>
      </w:r>
      <w:r w:rsidRPr="00620F11">
        <w:rPr>
          <w:lang w:val="en-US"/>
        </w:rPr>
        <w:t xml:space="preserve">accounting research schools. </w:t>
      </w:r>
    </w:p>
    <w:p w:rsidR="00FD5242" w:rsidRPr="00E8432E" w:rsidRDefault="00FD5242" w:rsidP="00F375AC">
      <w:pPr>
        <w:spacing w:before="240" w:line="360" w:lineRule="auto"/>
        <w:jc w:val="both"/>
        <w:rPr>
          <w:b/>
          <w:lang w:val="en-US"/>
        </w:rPr>
      </w:pPr>
      <w:r w:rsidRPr="00E8432E">
        <w:rPr>
          <w:b/>
          <w:lang w:val="en-US"/>
        </w:rPr>
        <w:t xml:space="preserve">2.3 </w:t>
      </w:r>
      <w:r>
        <w:rPr>
          <w:b/>
          <w:lang w:val="en-US"/>
        </w:rPr>
        <w:t>S</w:t>
      </w:r>
      <w:r w:rsidRPr="00E8432E">
        <w:rPr>
          <w:b/>
          <w:lang w:val="en-US"/>
        </w:rPr>
        <w:t>ummary</w:t>
      </w:r>
    </w:p>
    <w:p w:rsidR="00FD5242" w:rsidRDefault="00FD5242" w:rsidP="00055502">
      <w:pPr>
        <w:spacing w:before="240" w:line="360" w:lineRule="auto"/>
        <w:jc w:val="both"/>
        <w:rPr>
          <w:lang w:val="en-US"/>
        </w:rPr>
      </w:pPr>
      <w:r>
        <w:rPr>
          <w:lang w:val="en-US"/>
        </w:rPr>
        <w:t xml:space="preserve">    All theories of accounting have limitations and flaws and this is the underlying conclusion of this chapter. This chapter was dedicated in the economic theories investigating the information gap between capital holders and managers, namely the Agency Theory, the Efficient Market Hypothesis, and the Positive Accounting Theory. Insight was given in the consequences of the inevitable existence of this gap, concerning all regarding parties and the relationships between them. The current financial crisis is of course considered as an outcome of this informational gap and will be investigated in the subsequent chapter. Focus is concentrated on the causes and the implications of the crisis on the business world.</w:t>
      </w:r>
    </w:p>
    <w:p w:rsidR="00FD5242" w:rsidRPr="00055502" w:rsidRDefault="00FD5242" w:rsidP="00055502">
      <w:pPr>
        <w:spacing w:before="240" w:line="360" w:lineRule="auto"/>
        <w:jc w:val="both"/>
        <w:rPr>
          <w:lang w:val="en-US"/>
        </w:rPr>
      </w:pPr>
      <w:r>
        <w:rPr>
          <w:lang w:val="en-US"/>
        </w:rPr>
        <w:br w:type="page"/>
      </w:r>
      <w:r w:rsidRPr="00950107">
        <w:rPr>
          <w:b/>
          <w:sz w:val="26"/>
          <w:szCs w:val="26"/>
          <w:lang w:val="en-US"/>
        </w:rPr>
        <w:t xml:space="preserve">CHAPTER 3 – </w:t>
      </w:r>
      <w:r w:rsidRPr="003900C5">
        <w:rPr>
          <w:sz w:val="26"/>
          <w:szCs w:val="26"/>
          <w:lang w:val="en-US"/>
        </w:rPr>
        <w:t>The</w:t>
      </w:r>
      <w:r w:rsidRPr="00950107">
        <w:rPr>
          <w:b/>
          <w:sz w:val="26"/>
          <w:szCs w:val="26"/>
          <w:lang w:val="en-US"/>
        </w:rPr>
        <w:t xml:space="preserve"> Financial Crisis</w:t>
      </w:r>
    </w:p>
    <w:p w:rsidR="00FD5242" w:rsidRPr="00A002CE" w:rsidRDefault="00FD5242" w:rsidP="00F375AC">
      <w:pPr>
        <w:spacing w:line="360" w:lineRule="auto"/>
        <w:jc w:val="both"/>
        <w:rPr>
          <w:b/>
          <w:lang w:val="en-US"/>
        </w:rPr>
      </w:pPr>
      <w:r>
        <w:rPr>
          <w:b/>
          <w:lang w:val="en-US"/>
        </w:rPr>
        <w:t xml:space="preserve">3.1 </w:t>
      </w:r>
      <w:r w:rsidRPr="00A002CE">
        <w:rPr>
          <w:b/>
          <w:lang w:val="en-US"/>
        </w:rPr>
        <w:t>Insight in the causes of the crisis</w:t>
      </w:r>
    </w:p>
    <w:p w:rsidR="00FD5242" w:rsidRDefault="00FD5242" w:rsidP="00F375AC">
      <w:pPr>
        <w:spacing w:line="360" w:lineRule="auto"/>
        <w:jc w:val="both"/>
        <w:rPr>
          <w:lang w:val="en-US"/>
        </w:rPr>
      </w:pPr>
      <w:r>
        <w:rPr>
          <w:lang w:val="en-US"/>
        </w:rPr>
        <w:t xml:space="preserve">    </w:t>
      </w:r>
      <w:r w:rsidRPr="00A6289A">
        <w:rPr>
          <w:lang w:val="en-US"/>
        </w:rPr>
        <w:t>It is an undisputed fact, that the financial crisis that started in 2008 in the United States is a global one. The collapse of major financial enterprises, the numerous dissolutions of enterprises, the increased rates of unemployment, the extremely reduced stock prices</w:t>
      </w:r>
      <w:r>
        <w:rPr>
          <w:lang w:val="en-US"/>
        </w:rPr>
        <w:t>,</w:t>
      </w:r>
      <w:r w:rsidRPr="00A6289A">
        <w:rPr>
          <w:lang w:val="en-US"/>
        </w:rPr>
        <w:t xml:space="preserve"> and the freeze of investing and growth activity are evidence proving the pervasiveness of the crisis. All economies, independently if they are developed or under development ones, are suffering from increasing economic turbulence and that causes severe consequences in every aspect of the human life. Despite the countless economic damage, the social cost of the unfolding crisis is another </w:t>
      </w:r>
      <w:r>
        <w:rPr>
          <w:lang w:val="en-US"/>
        </w:rPr>
        <w:t>impact that can be proved even more significant</w:t>
      </w:r>
      <w:r w:rsidRPr="00A6289A">
        <w:rPr>
          <w:lang w:val="en-US"/>
        </w:rPr>
        <w:t>.</w:t>
      </w:r>
    </w:p>
    <w:p w:rsidR="00FD5242" w:rsidRDefault="00FD5242" w:rsidP="00F375AC">
      <w:pPr>
        <w:spacing w:line="360" w:lineRule="auto"/>
        <w:jc w:val="both"/>
        <w:rPr>
          <w:lang w:val="en-US"/>
        </w:rPr>
      </w:pPr>
      <w:r>
        <w:rPr>
          <w:lang w:val="en-US"/>
        </w:rPr>
        <w:t xml:space="preserve">    A large number of contributions exist, namely financial institutions, academic researchers, and statistic analysts, consulting and financing enterprises that are primarily concerned with the causes of the global financial crisis in both the short-run determinants and the underlying structures approach. Briefly, commonly recognized core causes are the financing of Western economies that created a huge credit debt and supported extremely risky and complex financial instruments, corporate structures, and inadequate rules of regulation.</w:t>
      </w:r>
    </w:p>
    <w:p w:rsidR="00FD5242" w:rsidRDefault="00FD5242" w:rsidP="00F375AC">
      <w:pPr>
        <w:spacing w:line="360" w:lineRule="auto"/>
        <w:jc w:val="both"/>
        <w:rPr>
          <w:lang w:val="en-US"/>
        </w:rPr>
      </w:pPr>
      <w:r>
        <w:rPr>
          <w:lang w:val="en-US"/>
        </w:rPr>
        <w:t xml:space="preserve">    Crotty (2009) locates the cause on the New Financial Architecture and the financial deregulation and financing processes. He argues that the consequences of the crisis are more severe, but still in the borders of a normal recession phase results due to endogenous restrictions of the business cycle functions. </w:t>
      </w:r>
    </w:p>
    <w:p w:rsidR="00FD5242" w:rsidRDefault="00FD5242" w:rsidP="00F375AC">
      <w:pPr>
        <w:spacing w:line="360" w:lineRule="auto"/>
        <w:jc w:val="both"/>
        <w:rPr>
          <w:lang w:val="en-US"/>
        </w:rPr>
      </w:pPr>
      <w:r>
        <w:rPr>
          <w:lang w:val="en-US"/>
        </w:rPr>
        <w:t xml:space="preserve">    Morgan (2009) places focus on the sequential and cumulative financial failures of the pre-crisis period, with a concentrated caution on the banking sector’s theoretical framework and practical policies. Tregenna (2009) also focuses on the United States banking sector and specifically on its structure and profitability, merely caused by the rising levels of concentration. </w:t>
      </w:r>
    </w:p>
    <w:p w:rsidR="00FD5242" w:rsidRPr="00A6289A" w:rsidRDefault="00FD5242" w:rsidP="00F375AC">
      <w:pPr>
        <w:spacing w:line="360" w:lineRule="auto"/>
        <w:jc w:val="both"/>
        <w:rPr>
          <w:lang w:val="en-US"/>
        </w:rPr>
      </w:pPr>
      <w:r>
        <w:rPr>
          <w:lang w:val="en-US"/>
        </w:rPr>
        <w:t xml:space="preserve">    </w:t>
      </w:r>
      <w:r w:rsidRPr="00020A50">
        <w:rPr>
          <w:lang w:val="en-US"/>
        </w:rPr>
        <w:t xml:space="preserve">Palma </w:t>
      </w:r>
      <w:r>
        <w:rPr>
          <w:lang w:val="en-US"/>
        </w:rPr>
        <w:t xml:space="preserve">(2009) used the perspective of heterodox Keynesian-Minsky-Kindlebergian financial economics to point out the primary mechanisms responsible for the crisis, namely </w:t>
      </w:r>
      <w:r w:rsidRPr="00085809">
        <w:rPr>
          <w:i/>
          <w:lang w:val="en-US"/>
        </w:rPr>
        <w:t>excess liquidity, income polarization, financial and productive capital conflicts, lax regulation, rationalities and principal-agent dilemmas</w:t>
      </w:r>
      <w:r>
        <w:rPr>
          <w:lang w:val="en-US"/>
        </w:rPr>
        <w:t>. He argues that the outcomes of the crisis are expected in a recession or crisis period, but were so severe in this case due to the general political and resource distributional environment. Since they have transformed the neo-liberalism theory into a constant and systematic tool for abnormal earnings, in the first place the capital holders are the ones to be held responsible for the current situation. Responsibility lies also in the hands of the state holders. The capitalists were able to place their “cruel intentions” in action due to the “no compulsions on big business” approach that the state bodies of the world adopted during the past few decades.</w:t>
      </w:r>
    </w:p>
    <w:p w:rsidR="00FD5242" w:rsidRDefault="00FD5242" w:rsidP="00F375AC">
      <w:pPr>
        <w:spacing w:line="360" w:lineRule="auto"/>
        <w:jc w:val="both"/>
        <w:rPr>
          <w:lang w:val="en-US"/>
        </w:rPr>
      </w:pPr>
      <w:r>
        <w:rPr>
          <w:lang w:val="en-US"/>
        </w:rPr>
        <w:t xml:space="preserve">    </w:t>
      </w:r>
      <w:r w:rsidRPr="00020A50">
        <w:rPr>
          <w:lang w:val="en-US"/>
        </w:rPr>
        <w:t>Diamond and Rajan</w:t>
      </w:r>
      <w:r w:rsidRPr="00D2669C">
        <w:rPr>
          <w:color w:val="FF0000"/>
          <w:lang w:val="en-US"/>
        </w:rPr>
        <w:t xml:space="preserve"> </w:t>
      </w:r>
      <w:r>
        <w:rPr>
          <w:lang w:val="en-US"/>
        </w:rPr>
        <w:t xml:space="preserve">(2009) offered a more detailed documentation on the causes of the crisis. They argued that the United States financial sector flooded with new exotic financial instruments firstly the real estate branch and then the bank balance sheets in both commercial and investment banks. These exotic instruments, named generally Structured Investment Vehicles (SIVs) or conduits were mainly financed with high-risk short-term debt. SIVs are investment assets issued with some unusual, often option-like in the case of notes or bonds, clause. Digging deeper in the search for the roots of these causes they analyzed the problematic conditions and SIVs that led to the crisis. </w:t>
      </w:r>
    </w:p>
    <w:p w:rsidR="00FD5242" w:rsidRDefault="00FD5242" w:rsidP="00F375AC">
      <w:pPr>
        <w:spacing w:line="360" w:lineRule="auto"/>
        <w:jc w:val="both"/>
        <w:rPr>
          <w:lang w:val="en-US"/>
        </w:rPr>
      </w:pPr>
      <w:r>
        <w:rPr>
          <w:lang w:val="en-US"/>
        </w:rPr>
        <w:t xml:space="preserve">The misallocation of investment was the first one to be investigated. Prior to the current-one crises that occurred in the late 1990’s in East Asia, Argentina, Brazil, Russia and Turkey led to emerging markets becoming more “prone” to abroad borrowing. Inevitably, investment and consumption was reduced. Noise from the collapse of the IT bubble of 2000 was still loud, but the world’s central banks led by the Federal Reserve provided the public with comfort through extreme accommodative monetary policies. Low interest rates in many countries called out the need for housing. Demand for housing, as well as prices, rose severely all over the world. The crisis though was deeper in the US because of the securitized sub-prime mortgage loans. “Sub-prime” or “Alt-A” are not official regulatory designations that refer to borrowers perceived to be riskier than average borrowers due to their credit history as noted by Gorton (2009). Mortgage-Backed Securities (MBS) are </w:t>
      </w:r>
      <w:r w:rsidRPr="00CC6CEF">
        <w:rPr>
          <w:lang w:val="en-US"/>
        </w:rPr>
        <w:t>asset-backed</w:t>
      </w:r>
      <w:r>
        <w:rPr>
          <w:i/>
          <w:lang w:val="en-US"/>
        </w:rPr>
        <w:t xml:space="preserve"> </w:t>
      </w:r>
      <w:r>
        <w:rPr>
          <w:lang w:val="en-US"/>
        </w:rPr>
        <w:t>securities, secured by a mortgage or collection of mortgages. Securitization reassured international investors to hold home mortgage loans directly, despite the many “disadvantages” they carry like servicing, credit quality risk and default likelihood. The diversification of the packaged mortgages mitigated the risk, leaving “riskier” claims to be sold to those who had the appetite and the knowledge to hold them. Through these securitizing procedures, AA-rated portions, that are bonds receiving the highest rating by the bond rating agencies like Moody’s and Standard and Poor’s (S&amp;P), were squeezed out from the underlying package of mortgages. As Diamond and Rajan (2009, pp. 606) signaled “</w:t>
      </w:r>
      <w:r w:rsidRPr="000F275D">
        <w:rPr>
          <w:lang w:val="en-US"/>
        </w:rPr>
        <w:t>the lower quality securities issued against the initial package of mortgages were packaged together with similar securities from other packages, and a new range of securities, including a large quantity</w:t>
      </w:r>
      <w:r>
        <w:rPr>
          <w:lang w:val="en-US"/>
        </w:rPr>
        <w:t xml:space="preserve"> rated AAA, was issued by this </w:t>
      </w:r>
      <w:r w:rsidRPr="000C3B98">
        <w:rPr>
          <w:i/>
          <w:lang w:val="en-US"/>
        </w:rPr>
        <w:t>collateralized debt obligation</w:t>
      </w:r>
      <w:r>
        <w:rPr>
          <w:lang w:val="en-US"/>
        </w:rPr>
        <w:t xml:space="preserve">”. </w:t>
      </w:r>
    </w:p>
    <w:p w:rsidR="00FD5242" w:rsidRDefault="00FD5242" w:rsidP="00F375AC">
      <w:pPr>
        <w:spacing w:line="360" w:lineRule="auto"/>
        <w:jc w:val="both"/>
        <w:rPr>
          <w:lang w:val="en-US"/>
        </w:rPr>
      </w:pPr>
      <w:r>
        <w:rPr>
          <w:lang w:val="en-US"/>
        </w:rPr>
        <w:t xml:space="preserve">Since rating agencies could only process information such as the homeowner’s credit score and the loan-to-value ratio, but not more detailed information concerning the evaluation of the borrower’s creditworthiness, originators relied on the “house/equity’s” price rise in the case of a needed loan repayment. Simultaneously, the creation of very complicated securities through repeated securitization caused significant problems in valuing these financial instruments. As long as house prices kept rising the evaluation difficulties were overlooked. Their severe consequences though became evident immediately after the first reductions in prices came forward and defaults started taking place. The authors find interesting that even though, theoretically, banks were in position to realize and assess the risk of the numerous MBSs they were holding, they kept on holding them. Banks trusted that they were worth the risk because they were quite profitable for a period and the uncertainty concerning the true or apparent excess returns was not at that time a significant problem to deal with. International savings and the Federal Reserve’s reassurances for instant lowering interest rate measures enhanced banks’ risky short-term profit policies if they were to be increased. In general, short-term debt is cheaper in normal circumstances than long-term obligations. However, when times are unfavorable, illiquidity is an unwanted and negative effect that runs the situation to extremes. Thus, the financial crisis turned out to be inevitable after all. </w:t>
      </w:r>
    </w:p>
    <w:p w:rsidR="00FD5242" w:rsidRDefault="00FD5242" w:rsidP="00F375AC">
      <w:pPr>
        <w:spacing w:line="360" w:lineRule="auto"/>
        <w:jc w:val="both"/>
        <w:rPr>
          <w:lang w:val="en-US"/>
        </w:rPr>
      </w:pPr>
      <w:r>
        <w:rPr>
          <w:lang w:val="en-US"/>
        </w:rPr>
        <w:t>Banks were holding numerous securities of high risk financed with short-term debt. When the “housing bubble” started steaming, as soon as the first house prices declined and mortgage defaults started expanding, all MBSs started falling in value and became harder to price and even more unprofitable to borrow. The Federal Reserve tried to mitigate the illiquidity problem of the banks with new terms of banking borrowing but the route to the financial collapse was predestinated. The authors describe this clearly (pp.608):</w:t>
      </w:r>
      <w:r>
        <w:rPr>
          <w:i/>
          <w:lang w:val="en-US"/>
        </w:rPr>
        <w:t xml:space="preserve"> </w:t>
      </w:r>
      <w:r w:rsidRPr="00835B4C">
        <w:rPr>
          <w:lang w:val="en-US"/>
        </w:rPr>
        <w:t>as more banks tried to sell out of their positions, prices plummeted further and concerns about illiquidity turned to potential insolvency -despite being able to borrow against the full value of their illiquid assets- there was now not enough asset value to offset the liabilities</w:t>
      </w:r>
      <w:r>
        <w:rPr>
          <w:lang w:val="en-US"/>
        </w:rPr>
        <w:t>. Confusion and uncertainty from the side of the bank clients called forth many bank runs. The chaos started in September 2008, when Lehman Brothers, the fifth biggest investment bank of the US filed for bankruptcy. Soon after that, banks became very reluctant in lending and interbank lending was minimized. The failures of financial institutions like Freddie Mac (Federal Home Loan Mortgage Corporation), Fannie Mae (Federal National Mortgage Association</w:t>
      </w:r>
      <w:r>
        <w:rPr>
          <w:rStyle w:val="FootnoteReference"/>
          <w:lang w:val="en-US"/>
        </w:rPr>
        <w:t xml:space="preserve"> </w:t>
      </w:r>
      <w:r>
        <w:rPr>
          <w:lang w:val="en-US"/>
        </w:rPr>
        <w:t>), AIG (American Insurance Group</w:t>
      </w:r>
      <w:r>
        <w:rPr>
          <w:rStyle w:val="FootnoteReference"/>
          <w:lang w:val="en-US"/>
        </w:rPr>
        <w:t xml:space="preserve"> </w:t>
      </w:r>
      <w:r>
        <w:rPr>
          <w:lang w:val="en-US"/>
        </w:rPr>
        <w:t>) and Lehman Brothers that invested in the exotic financial instruments are signaled as the most characteristic.</w:t>
      </w:r>
    </w:p>
    <w:p w:rsidR="00FD5242" w:rsidRDefault="00FD5242" w:rsidP="00F375AC">
      <w:pPr>
        <w:spacing w:line="360" w:lineRule="auto"/>
        <w:jc w:val="both"/>
        <w:rPr>
          <w:lang w:val="en-US"/>
        </w:rPr>
      </w:pPr>
      <w:r>
        <w:rPr>
          <w:lang w:val="en-US"/>
        </w:rPr>
        <w:t xml:space="preserve">    The significance of the systemic risk present in the United States in 2007 and 2008 is highlighted in the paper of </w:t>
      </w:r>
      <w:r w:rsidRPr="00020A50">
        <w:rPr>
          <w:lang w:val="en-US"/>
        </w:rPr>
        <w:t>Acharya, Philippon, Richardson</w:t>
      </w:r>
      <w:r>
        <w:rPr>
          <w:lang w:val="en-US"/>
        </w:rPr>
        <w:t>,</w:t>
      </w:r>
      <w:r w:rsidRPr="00020A50">
        <w:rPr>
          <w:lang w:val="en-US"/>
        </w:rPr>
        <w:t xml:space="preserve"> and Roubini</w:t>
      </w:r>
      <w:r>
        <w:rPr>
          <w:lang w:val="en-US"/>
        </w:rPr>
        <w:t xml:space="preserve"> (2009). Systemic risk is interpreted as “</w:t>
      </w:r>
      <w:r w:rsidRPr="00102875">
        <w:rPr>
          <w:lang w:val="en-US"/>
        </w:rPr>
        <w:t>widespread failures of financial institutions or freezing up of capital markets</w:t>
      </w:r>
      <w:r>
        <w:rPr>
          <w:lang w:val="en-US"/>
        </w:rPr>
        <w:t xml:space="preserve"> that eventually reduce the levels of capital available in the markets” (pp. 1). In general, the authors distinguish three phases of the financial collapse, which is shortly recognized as the outcome of a simultaneous credit boom and a housing bubble, emerging from the coexistence of extended leverage and preservation of the credit risk from the financial entities. The first phase is located in 2007; when the system of sub-prime and Alt-A mortgages held by numerous non-bank lenders fell apart. The second phase involved the destruction of the SIVs system and conduits that took place soon after the investors realized the degree of risk of the financial assets they were holding. The third phase was the burst of the primary US independent broker-dealers. This fact</w:t>
      </w:r>
      <w:r w:rsidRPr="00EC39EB">
        <w:rPr>
          <w:lang w:val="en-US"/>
        </w:rPr>
        <w:t xml:space="preserve"> occurred when their </w:t>
      </w:r>
      <w:r>
        <w:rPr>
          <w:lang w:val="en-US"/>
        </w:rPr>
        <w:t>liabilities took the form of</w:t>
      </w:r>
      <w:r w:rsidRPr="00EC39EB">
        <w:rPr>
          <w:lang w:val="en-US"/>
        </w:rPr>
        <w:t xml:space="preserve"> repurchase agreements (REPOs)</w:t>
      </w:r>
      <w:r>
        <w:rPr>
          <w:lang w:val="en-US"/>
        </w:rPr>
        <w:t>,</w:t>
      </w:r>
      <w:r w:rsidRPr="00EC39EB">
        <w:rPr>
          <w:lang w:val="en-US"/>
        </w:rPr>
        <w:t xml:space="preserve"> financing that was the basis of their leveraged operations</w:t>
      </w:r>
      <w:r>
        <w:rPr>
          <w:lang w:val="en-US"/>
        </w:rPr>
        <w:t xml:space="preserve"> (pp. 95). Driving forces of these risky betting behaviors were poor corporate governance driven by executive compensation incentives, loose guarantee government policies inducing moral hazard and managements’ haul to extreme risk/return investments. </w:t>
      </w:r>
    </w:p>
    <w:p w:rsidR="00FD5242" w:rsidRDefault="00FD5242" w:rsidP="00F375AC">
      <w:pPr>
        <w:spacing w:line="360" w:lineRule="auto"/>
        <w:jc w:val="both"/>
        <w:rPr>
          <w:lang w:val="en-US"/>
        </w:rPr>
      </w:pPr>
      <w:r>
        <w:rPr>
          <w:lang w:val="en-US"/>
        </w:rPr>
        <w:t xml:space="preserve">    Providing a temporal sequence of the facts, the authors recognize the initial trigger for the worst post-war financial crisis as the housing market’s downturn in the first quarter of 2006. The housing bubble did indeed “blew up”, however it was the collapse of the two highly levered funds invested in ABSs held by Bear Stearns that is identified as proof of the systemic failure occurring at the time. Bear Sterns was the fifth largest investment bank involved in a major scale in the sub-prime mortgage market and went through a bank run in March 2008. The high systemic risk of Bear Sterns is attributed to the major interference of the bank with the rest counterparts of the financial industry. JP Morgan &amp; Chase, a major financial services provider internationally was prompted and provided US$30 billion no recourse funding by the US government and did purchase Bear Sterns. ‘Lehman brothers’, the fourth largest investment bank was signaled by the authors as an actual case of materialized systemic risk. Lehman Brothers filed for bankruptcy on 12 September 2008 a fact that nobody could ever expect considering the financial place of the bank and the prevalence of its activities. Doubts and insecurity flooded in the business industry even though the government decided its full-blown bailout. The purchase of Merrill Lynch by the Bank of America is signaled as a consequence of Lehman Brothers’ bankruptcy, along with the huge increases in the cost of Morgan Stanley’s and Goldman Sachs’s five year Credit Default Swaps protection points. A credit swap or credit derivative is an exchange of a fixed or floating coupon against the payment of a loss caused by default on a specific loan or bond. Lack of transparency became apparent in the whole business world, since government bailouts continued and federal investments worth millions of dollars in the collapsed enterprises came out public. Illiquidity and insolvency were the obvious concerns for the investors and the Federal Reserve and the Treasury went on taking assurance measures like bailouts and extreme favorable terms for the purchases of the shocked entities. The authors characteristically mention that improvisation in these measures, instead of thorough analysis and investigation, was overused. However, as it is always the case, shallow curing was never a good healing method and the downturn turned out to be an international fact. Moving on to suggestions for the salvation of the wounded business world, they propose three broad recommendations to the government sector: liquidity provision, burst prevention, and establishment of long-term solutions.</w:t>
      </w:r>
    </w:p>
    <w:p w:rsidR="00FD5242" w:rsidRDefault="00FD5242" w:rsidP="00F375AC">
      <w:pPr>
        <w:spacing w:line="360" w:lineRule="auto"/>
        <w:jc w:val="both"/>
        <w:rPr>
          <w:lang w:val="en-US"/>
        </w:rPr>
      </w:pPr>
      <w:r>
        <w:rPr>
          <w:lang w:val="en-US"/>
        </w:rPr>
        <w:t xml:space="preserve">        Taylor (2008) also tried to shed light on the causes of the crisis and the circumstances that prolonged it, focusing on government policies and interventions. The main cause presented here is a monetary excess and more specifically, the rapid change in the interest rate policy that led to the inevitable boom and bust in the housing field.</w:t>
      </w:r>
    </w:p>
    <w:p w:rsidR="00FD5242" w:rsidRDefault="00FD5242" w:rsidP="00F375AC">
      <w:pPr>
        <w:spacing w:line="360" w:lineRule="auto"/>
        <w:jc w:val="both"/>
        <w:rPr>
          <w:lang w:val="en-US"/>
        </w:rPr>
      </w:pPr>
      <w:r>
        <w:rPr>
          <w:lang w:val="en-US"/>
        </w:rPr>
        <w:t xml:space="preserve">    In the paper of Reinhart and Rogoff (2008), while the government response is signaled as one way to mitigate the results of the crisis, more emphasis is given on how dramatic the shock of the financial markets will turn out to be. Additionally all common sources for the crises of the last 60 years are described, defined in a broad scope as increases in asset prices, debt, and deficits and decreases in growth patterns. A common characteristic is also a precedent financial liberalization, enhanced by the general technological progress and the formation of new financial entities and instruments.</w:t>
      </w:r>
    </w:p>
    <w:p w:rsidR="00FD5242" w:rsidRDefault="00FD5242" w:rsidP="00F375AC">
      <w:pPr>
        <w:spacing w:line="360" w:lineRule="auto"/>
        <w:jc w:val="both"/>
        <w:rPr>
          <w:lang w:val="en-US"/>
        </w:rPr>
      </w:pPr>
      <w:r>
        <w:rPr>
          <w:lang w:val="en-US"/>
        </w:rPr>
        <w:t xml:space="preserve">    </w:t>
      </w:r>
      <w:r w:rsidRPr="00020A50">
        <w:rPr>
          <w:lang w:val="en-US"/>
        </w:rPr>
        <w:t>Carmassi, Gros</w:t>
      </w:r>
      <w:r>
        <w:rPr>
          <w:lang w:val="en-US"/>
        </w:rPr>
        <w:t>,</w:t>
      </w:r>
      <w:r w:rsidRPr="00020A50">
        <w:rPr>
          <w:lang w:val="en-US"/>
        </w:rPr>
        <w:t xml:space="preserve"> and Micossi (</w:t>
      </w:r>
      <w:r>
        <w:rPr>
          <w:lang w:val="en-US"/>
        </w:rPr>
        <w:t xml:space="preserve">2009) named in short the cause of the global financial crisis as the result of lax monetary policies. These policies concerned excessive leverage and maturity transformation by the banking sector. Regulation contributed to the situation simply by minimum and favorable to the banks’ risky financial instruments’ intervention, allowing </w:t>
      </w:r>
      <w:r>
        <w:rPr>
          <w:i/>
          <w:lang w:val="en-US"/>
        </w:rPr>
        <w:t>reckless bets on asset price increases</w:t>
      </w:r>
      <w:r>
        <w:rPr>
          <w:lang w:val="en-US"/>
        </w:rPr>
        <w:t>. Innovation is the term used to name the establishment of the new SIVs.</w:t>
      </w:r>
      <w:r w:rsidRPr="005D2A5F">
        <w:rPr>
          <w:lang w:val="en-US"/>
        </w:rPr>
        <w:t xml:space="preserve"> </w:t>
      </w:r>
      <w:r>
        <w:rPr>
          <w:lang w:val="en-US"/>
        </w:rPr>
        <w:t>They argue that innovation did indeed promote credit expansion and instability, but was not the main cause of the crisis. Instead, the entire short-term profit-seeking environment in which they were established is highlighted as the primary factor generating them.</w:t>
      </w:r>
    </w:p>
    <w:p w:rsidR="00FD5242" w:rsidRPr="00AD4B7B" w:rsidRDefault="00FD5242" w:rsidP="00F375AC">
      <w:pPr>
        <w:spacing w:line="360" w:lineRule="auto"/>
        <w:jc w:val="both"/>
        <w:rPr>
          <w:b/>
          <w:lang w:val="en-US"/>
        </w:rPr>
      </w:pPr>
      <w:r>
        <w:rPr>
          <w:b/>
          <w:lang w:val="en-US"/>
        </w:rPr>
        <w:t>3</w:t>
      </w:r>
      <w:r w:rsidRPr="00AD4B7B">
        <w:rPr>
          <w:b/>
          <w:lang w:val="en-US"/>
        </w:rPr>
        <w:t>.2 Fair-value and off-balance sheet accounting: the features of controversy</w:t>
      </w:r>
    </w:p>
    <w:p w:rsidR="00FD5242" w:rsidRDefault="00FD5242" w:rsidP="00F375AC">
      <w:pPr>
        <w:spacing w:line="360" w:lineRule="auto"/>
        <w:jc w:val="both"/>
        <w:rPr>
          <w:lang w:val="en-US"/>
        </w:rPr>
      </w:pPr>
      <w:r>
        <w:rPr>
          <w:lang w:val="en-US"/>
        </w:rPr>
        <w:t xml:space="preserve">    Lack of transparency in every aspect of the business world was also identified as one of the two main issues that generated the crisis, from a core level perspective by Rouse (2009). Mark-to-market valuations, in which market prices are used for the calculation of values and losses or gains of positions, is the point of controversy that has created numerous conflicts due to the need for accurate value-reflecting transactions. Lax corporate governance was highlighted as the second one. Executive compensation and lack of responsibility admittance acts are the symptoms highlighted to misuse the concept of corporate governance.</w:t>
      </w:r>
    </w:p>
    <w:p w:rsidR="00FD5242" w:rsidRDefault="00FD5242" w:rsidP="00F375AC">
      <w:pPr>
        <w:spacing w:line="360" w:lineRule="auto"/>
        <w:jc w:val="both"/>
        <w:rPr>
          <w:lang w:val="en-US"/>
        </w:rPr>
      </w:pPr>
      <w:r>
        <w:rPr>
          <w:lang w:val="en-US"/>
        </w:rPr>
        <w:t xml:space="preserve">    Mark-to-market or Fair value accounting is an ambiguous subject that is discussed in many papers. In the paper of Laux and Leuz (2009), it is argued that great pressure is put on the accounting standard setters to loose the rules concerning “strict” fair-value accounting. However, research has proven that no significant correlation between the fair-value accounting practice and the expansive bank problems that led to the generalized crisis. On the contrary, this method was used by the banks as a safeguard and provided the necessary discretion to banks in their efforts to avoid market price traps. In addition, they argue that even if the effect of fair-value accounting in downward routes of prices and contagion turns out to be existent, the positive effect of timely recognition of losses is still dominant.</w:t>
      </w:r>
    </w:p>
    <w:p w:rsidR="00FD5242" w:rsidRDefault="00FD5242" w:rsidP="00F375AC">
      <w:pPr>
        <w:spacing w:line="360" w:lineRule="auto"/>
        <w:jc w:val="both"/>
        <w:rPr>
          <w:lang w:val="en-US"/>
        </w:rPr>
      </w:pPr>
      <w:r>
        <w:rPr>
          <w:lang w:val="en-US"/>
        </w:rPr>
        <w:t xml:space="preserve">    Goh, Ng, and </w:t>
      </w:r>
      <w:r w:rsidRPr="005C4442">
        <w:rPr>
          <w:lang w:val="en-US"/>
        </w:rPr>
        <w:t>Yong (2009)</w:t>
      </w:r>
      <w:r>
        <w:rPr>
          <w:lang w:val="en-US"/>
        </w:rPr>
        <w:t xml:space="preserve"> provided more insight in the fair-value accounting concept by researching the reliance of investors for the estimates of assets reported by banks in conformity with Statement of Financial Accounting Standards no. 157 (SFAS 157). Significant variation in the pricing of different fair value assets was discovered, and more specifically mark-to-model assets were priced lower than mark-to-market assets. Mark-to-model accounting is the opposite of mark-to-market accounting that makes use of internal assumptions and finance models for pricing purposes.</w:t>
      </w:r>
    </w:p>
    <w:p w:rsidR="00FD5242" w:rsidRDefault="00FD5242" w:rsidP="00F375AC">
      <w:pPr>
        <w:spacing w:line="360" w:lineRule="auto"/>
        <w:jc w:val="both"/>
        <w:rPr>
          <w:lang w:val="en-US"/>
        </w:rPr>
      </w:pPr>
      <w:r>
        <w:rPr>
          <w:lang w:val="en-US"/>
        </w:rPr>
        <w:t xml:space="preserve">    The paper of Coates (2009) expressed another weakness of the financial system that contributed to the unpleasant crisis, which are the defective disclosure rules. Off-balance sheet accounting was enforced inadequately, however, importance is also given to the fact that many financial entities simply failed to estimate correctly their assets’ risks. Of course, it was the combination of these with the no-limits subsidized home ownership policy and the launch of mortgage-related assets with minimum government guarantee that created the widespread damage.</w:t>
      </w:r>
      <w:r>
        <w:rPr>
          <w:color w:val="FF0000"/>
          <w:lang w:val="en-US"/>
        </w:rPr>
        <w:t xml:space="preserve"> </w:t>
      </w:r>
      <w:r>
        <w:rPr>
          <w:lang w:val="en-US"/>
        </w:rPr>
        <w:t>Caution is also given on the integration between the sectors of the economic world, since a downturn in one sector is proved to lead to losses in others. Political implications are also emphasized as weak proactive measures taking the form of repeated regulation and deregulation, which was more confusing than calming for the worrying public.</w:t>
      </w:r>
    </w:p>
    <w:p w:rsidR="00FD5242" w:rsidRDefault="00FD5242" w:rsidP="00F375AC">
      <w:pPr>
        <w:spacing w:line="360" w:lineRule="auto"/>
        <w:jc w:val="both"/>
        <w:rPr>
          <w:lang w:val="en-US"/>
        </w:rPr>
      </w:pPr>
      <w:r>
        <w:rPr>
          <w:lang w:val="en-US"/>
        </w:rPr>
        <w:t xml:space="preserve">        Within the same scope, the research of Whalen (2008) refers to the fair-value accounting method that the Securities and Exchange Commission (SEC) and the Financial Accounting Standards Board (FASB) require for the enterprises to adopt, as one of the three fundamental reasons for the downswing of the sub-prime market. The other two are of course the aggressive homeownership policy that took place with the support of new exotic financial tools and the abnormally favorable attitude that the SEC and the national bank regulators showed against the complex structured derivatives and securities leading to severe illiquidity and distrust problems.</w:t>
      </w:r>
    </w:p>
    <w:p w:rsidR="00FD5242" w:rsidRDefault="00FD5242" w:rsidP="00F375AC">
      <w:pPr>
        <w:spacing w:line="360" w:lineRule="auto"/>
        <w:jc w:val="both"/>
        <w:rPr>
          <w:lang w:val="en-US"/>
        </w:rPr>
      </w:pPr>
      <w:r>
        <w:rPr>
          <w:lang w:val="en-US"/>
        </w:rPr>
        <w:t xml:space="preserve">    Murphy (2008) concentrates on the effects the severe mispricing in the Credit Default Swaps (CDS) market that was the result of severe mispricing for these assets and theoretical framework based on unrealistic assumptions. The housing mortgage default is of course recognized as the initial trigger for the whole economic collapse, but the author states that it was only a component and symptom of the deeper problem. More than $60 trillion worth credit default swaps were unregulated and contracted without even the minimum guarantee of adequate documentation. The bailout policy as an effective measure against the financial downward is also criticized and was computed around $3 trillion by the time of the completion of the research with strong evidence that this amount will turn out to be significantly higher in the course of time.</w:t>
      </w:r>
    </w:p>
    <w:p w:rsidR="00FD5242" w:rsidRDefault="00FD5242" w:rsidP="00F375AC">
      <w:pPr>
        <w:spacing w:line="360" w:lineRule="auto"/>
        <w:jc w:val="both"/>
        <w:rPr>
          <w:lang w:val="en-US"/>
        </w:rPr>
      </w:pPr>
      <w:r>
        <w:rPr>
          <w:lang w:val="en-US"/>
        </w:rPr>
        <w:t xml:space="preserve">    Accounting theories and practices like the fair-value accounting method are deeply implicated form the financial crisis and have been the subject of many research papers, some of them already signaled. In the paper of Arnold (2009,) the gaps of theory and method in accounting research that have contributed to the current situation are being analyzed. Methodological gaps are detected in the relationship between the academic research world and the “accounting in action” procedures. In this case, asset valuation methods and off-balance sheet entities are the apples of discord. Bank assets valuation and auditors’ requirement on consolidation of off-balance sheet entities are nowadays issues with huge impact on solvency and going-concern worries. A very indicative example of the unlimited off-balance sheet accounting practice is the case of Citigroup, which held $1.3 trillion worth of assets off-balance sheet in 2008. Fair-value accounting is the number one controversial subject with critics arguing that it has contributed to abnormal credit expansion and increased the number of risky investments by all parties, thus more solid modification of valuation rules is needed.</w:t>
      </w:r>
    </w:p>
    <w:p w:rsidR="00FD5242" w:rsidRDefault="00FD5242" w:rsidP="00F375AC">
      <w:pPr>
        <w:spacing w:line="360" w:lineRule="auto"/>
        <w:jc w:val="both"/>
        <w:rPr>
          <w:lang w:val="en-US"/>
        </w:rPr>
      </w:pPr>
      <w:r>
        <w:rPr>
          <w:lang w:val="en-US"/>
        </w:rPr>
        <w:t xml:space="preserve">    The Financial Accounting Standards Board (FASB) and the International Accounting Standards Board (IASB) were of course “perturbed” by the international financial collapse and the expanded public protests. Henry and Holzman (2009) analyze the usual debate issue of off-balance sheet accounting and refer to the change in the off-balance sheet accounting treatment by the FASB in September 2008. The changes aimed at eliminating the concept of QSPEs in accounting standards through the obligatory report of securitizations and SPEs on the balance sheets. In the same concept, a staff position was issued at the same time dramatically expanding the disclosures about derivatives, both in qualitative and quantitative requirements (like the derivatives’ nature, potential amount of future payments, fair-value, and provisions about coverage of potential payments). </w:t>
      </w:r>
    </w:p>
    <w:p w:rsidR="00FD5242" w:rsidRDefault="00FD5242" w:rsidP="00F375AC">
      <w:pPr>
        <w:spacing w:line="360" w:lineRule="auto"/>
        <w:jc w:val="both"/>
        <w:rPr>
          <w:lang w:val="en-US"/>
        </w:rPr>
      </w:pPr>
      <w:r>
        <w:rPr>
          <w:lang w:val="en-US"/>
        </w:rPr>
        <w:t>Concerning the “hot potato” of fair-value measurement, FASB also declared clarifications in managements’ justification for asset valuation in illiquid markets, broker quoted, and transaction prices in inactive markets, disorderly transactions and factors determining the temporal or not impairment of an investment. Viewing from the same perspective, the IASB decided on strict monitoring tactics in the US involved with fair value measurement and financial instruments’ classification. A global advisory group forced with the task of reviewing all reporting issues associated with the crisis was decided to be formed in a joint action of the two regulatory boards.</w:t>
      </w:r>
    </w:p>
    <w:p w:rsidR="00FD5242" w:rsidRDefault="00FD5242" w:rsidP="00F375AC">
      <w:pPr>
        <w:spacing w:line="360" w:lineRule="auto"/>
        <w:jc w:val="both"/>
        <w:rPr>
          <w:b/>
          <w:lang w:val="en-US"/>
        </w:rPr>
      </w:pPr>
      <w:r>
        <w:rPr>
          <w:lang w:val="en-US"/>
        </w:rPr>
        <w:t xml:space="preserve">    </w:t>
      </w:r>
      <w:r>
        <w:rPr>
          <w:b/>
          <w:lang w:val="en-US"/>
        </w:rPr>
        <w:t>3.3 S</w:t>
      </w:r>
      <w:r w:rsidRPr="00E8432E">
        <w:rPr>
          <w:b/>
          <w:lang w:val="en-US"/>
        </w:rPr>
        <w:t>ummary</w:t>
      </w:r>
    </w:p>
    <w:p w:rsidR="00FD5242" w:rsidRDefault="00FD5242" w:rsidP="00F375AC">
      <w:pPr>
        <w:spacing w:line="360" w:lineRule="auto"/>
        <w:jc w:val="both"/>
        <w:rPr>
          <w:b/>
          <w:lang w:val="en-US"/>
        </w:rPr>
      </w:pPr>
      <w:r>
        <w:rPr>
          <w:b/>
          <w:lang w:val="en-US"/>
        </w:rPr>
        <w:t xml:space="preserve">    </w:t>
      </w:r>
      <w:r w:rsidRPr="005F6837">
        <w:rPr>
          <w:lang w:val="en-US"/>
        </w:rPr>
        <w:t xml:space="preserve">This part of the study was focused on the presentation and explanation of the fundamental causes of the still holding global financial crisis. Briefly, the causes can be summarized in the collapse of the U.S. housing financing, the development of risky structured financial instruments, and the establishment of inadequate banking practices and regulation. Furthermore, a more detailed examination of the two controversial accounting practices, namely the off-balance sheet and the fair-value reporting methods was presented. </w:t>
      </w:r>
      <w:r>
        <w:rPr>
          <w:lang w:val="en-US"/>
        </w:rPr>
        <w:t xml:space="preserve">The findings of future research will provide a clearer view for the causes and the impacts of the financial crisis in all aspects of the business world. This study is focused on independent auditors. </w:t>
      </w:r>
      <w:r w:rsidRPr="005F6837">
        <w:rPr>
          <w:lang w:val="en-US"/>
        </w:rPr>
        <w:t>Thorough and detailed analysis of the impact</w:t>
      </w:r>
      <w:r>
        <w:rPr>
          <w:lang w:val="en-US"/>
        </w:rPr>
        <w:t>s</w:t>
      </w:r>
      <w:r w:rsidRPr="005F6837">
        <w:rPr>
          <w:lang w:val="en-US"/>
        </w:rPr>
        <w:t xml:space="preserve"> of the crisis specified on the external auditing profession along with a general analysis of auditors’ professional code </w:t>
      </w:r>
      <w:r>
        <w:rPr>
          <w:lang w:val="en-US"/>
        </w:rPr>
        <w:t>will</w:t>
      </w:r>
      <w:r w:rsidRPr="005F6837">
        <w:rPr>
          <w:lang w:val="en-US"/>
        </w:rPr>
        <w:t xml:space="preserve"> also be provided in the subsequent chapter. Focus is concentrated in th</w:t>
      </w:r>
      <w:r>
        <w:rPr>
          <w:lang w:val="en-US"/>
        </w:rPr>
        <w:t>e concept of audit conservatism, the audit fees, and the interrelations between them.</w:t>
      </w:r>
    </w:p>
    <w:p w:rsidR="00FD5242" w:rsidRPr="00854BBF" w:rsidRDefault="00FD5242" w:rsidP="00F375AC">
      <w:pPr>
        <w:spacing w:line="360" w:lineRule="auto"/>
        <w:jc w:val="both"/>
        <w:rPr>
          <w:b/>
          <w:lang w:val="en-US"/>
        </w:rPr>
      </w:pPr>
      <w:r>
        <w:rPr>
          <w:b/>
          <w:lang w:val="en-US"/>
        </w:rPr>
        <w:br w:type="page"/>
      </w:r>
      <w:r w:rsidRPr="00706343">
        <w:rPr>
          <w:b/>
          <w:sz w:val="26"/>
          <w:szCs w:val="26"/>
          <w:lang w:val="en-US"/>
        </w:rPr>
        <w:t>CHAPTER 4 – The external auditing profession, the impacts of the financial</w:t>
      </w:r>
      <w:r>
        <w:rPr>
          <w:b/>
          <w:sz w:val="26"/>
          <w:szCs w:val="26"/>
          <w:lang w:val="en-US"/>
        </w:rPr>
        <w:t xml:space="preserve"> crisis on external auditors,</w:t>
      </w:r>
      <w:r w:rsidRPr="00706343">
        <w:rPr>
          <w:b/>
          <w:sz w:val="26"/>
          <w:szCs w:val="26"/>
          <w:lang w:val="en-US"/>
        </w:rPr>
        <w:t xml:space="preserve"> audit conservatism </w:t>
      </w:r>
      <w:r>
        <w:rPr>
          <w:b/>
          <w:sz w:val="26"/>
          <w:szCs w:val="26"/>
          <w:lang w:val="en-US"/>
        </w:rPr>
        <w:t>and audit fees</w:t>
      </w:r>
    </w:p>
    <w:p w:rsidR="00FD5242" w:rsidRDefault="00FD5242" w:rsidP="00F375AC">
      <w:pPr>
        <w:spacing w:line="360" w:lineRule="auto"/>
        <w:jc w:val="both"/>
        <w:rPr>
          <w:b/>
          <w:lang w:val="en-US"/>
        </w:rPr>
      </w:pPr>
      <w:r>
        <w:rPr>
          <w:b/>
          <w:lang w:val="en-US"/>
        </w:rPr>
        <w:t>4.1 External Auditing</w:t>
      </w:r>
    </w:p>
    <w:p w:rsidR="00FD5242" w:rsidRDefault="00FD5242" w:rsidP="00F375AC">
      <w:pPr>
        <w:spacing w:line="360" w:lineRule="auto"/>
        <w:jc w:val="both"/>
        <w:rPr>
          <w:lang w:val="en-US"/>
        </w:rPr>
      </w:pPr>
      <w:r>
        <w:rPr>
          <w:lang w:val="en-US"/>
        </w:rPr>
        <w:t xml:space="preserve">    Auditing is the “</w:t>
      </w:r>
      <w:r w:rsidRPr="00706343">
        <w:rPr>
          <w:lang w:val="en-US"/>
        </w:rPr>
        <w:t>accumulation and evaluation of evidence concerning information to determine and to report on the degree of correspondence between this information and the established criteria</w:t>
      </w:r>
      <w:r>
        <w:rPr>
          <w:lang w:val="en-US"/>
        </w:rPr>
        <w:t>” (Elder, Arens &amp; Beasly, 2006, pp. 4). Another definition of auditing is “a form of independent attestation performed by an expert -the auditor- who expresses an opinion about the fairness of a company’s financial statements” (Hall, 2008, pp. 36). External audits are promoted as an assurance tool concerning all interested parties in the financial statements of a company and need to be performed by competent and independent Certified Public Accounting firms or Certified Public Accountants (CPAs in both terms). That is the reason why they in addition are called independent audits. External auditors are tasked with the duty of convincing the public that capitalist corporations and management are not corrupt and that companies are made accountable. More specifically, the objective of an audit of financial statements is to enable the auditor to express an opinion whether the financial statements are prepared, in all material respects, in accordance with an applicable financial reporting framework (International Standards on Auditing ISA-200). From an agency theory perspective, external auditing is considered a powerful tool for signaling or in reducing managers’ opportunistic behavior, in cases like for example earnings management.</w:t>
      </w:r>
    </w:p>
    <w:p w:rsidR="00FD5242" w:rsidRDefault="00FD5242" w:rsidP="00F375AC">
      <w:pPr>
        <w:spacing w:line="360" w:lineRule="auto"/>
        <w:jc w:val="both"/>
        <w:rPr>
          <w:lang w:val="en-US"/>
        </w:rPr>
      </w:pPr>
      <w:r>
        <w:rPr>
          <w:lang w:val="en-US"/>
        </w:rPr>
        <w:t xml:space="preserve">    The profession is structured upon six basic principles of conduct, according to ISA-200</w:t>
      </w:r>
      <w:r>
        <w:rPr>
          <w:rStyle w:val="FootnoteReference"/>
          <w:lang w:val="en-US"/>
        </w:rPr>
        <w:footnoteReference w:id="3"/>
      </w:r>
      <w:r>
        <w:rPr>
          <w:lang w:val="en-US"/>
        </w:rPr>
        <w:t>. At first, auditing responsibilities should be exercised with sensitive professional and moral judgments. The second principle requires from auditors to serve the public interest, honor the public trust, and commit to professionalism in all their duties. The highest level of integrity is the prerequisite for the maintenance and growth of public’s confidence. Independence both in fact and in appearance and objectivity should be carried out in all professional responsibilities. A member should demonstrate due care in order to keep constantly in touch with the profession’s technical and ethical standards, while improving  competence and quality regarding the auditing tasks will keep professional responsibility in the appropriate levels. The last principle involves the examination of the scope and nature of the services provided by the auditor in order to maintain high professional standards while conducting an audit.</w:t>
      </w:r>
    </w:p>
    <w:p w:rsidR="00FD5242" w:rsidRPr="00C213DB" w:rsidRDefault="00FD5242" w:rsidP="00F375AC">
      <w:pPr>
        <w:spacing w:line="360" w:lineRule="auto"/>
        <w:jc w:val="both"/>
        <w:rPr>
          <w:lang w:val="en-US"/>
        </w:rPr>
      </w:pPr>
      <w:r>
        <w:rPr>
          <w:lang w:val="en-US"/>
        </w:rPr>
        <w:t xml:space="preserve">    One of the most significant facts in the history of the profession is the Sarbanes </w:t>
      </w:r>
      <w:r w:rsidRPr="008C56BF">
        <w:rPr>
          <w:lang w:val="en-US"/>
        </w:rPr>
        <w:t xml:space="preserve">Oxley </w:t>
      </w:r>
      <w:r>
        <w:rPr>
          <w:lang w:val="en-US"/>
        </w:rPr>
        <w:t xml:space="preserve">(SOX) </w:t>
      </w:r>
      <w:r w:rsidRPr="008C56BF">
        <w:rPr>
          <w:lang w:val="en-US"/>
        </w:rPr>
        <w:t>Act</w:t>
      </w:r>
      <w:r>
        <w:rPr>
          <w:lang w:val="en-US"/>
        </w:rPr>
        <w:t xml:space="preserve"> of 2002. Huge scandals of corporate and accounting frauds like the Enron case led the American Congress to pass the SOX Act, considered from the majority of the professionals as the most important legislation following the Securities Acts of 1933 and 1994 (Elder et. al 2006). Briefly, the provisions of the Act concern publicly held companies and audit firms. The establishment of the Public Company Accounting Oversight Board (PCAOB)</w:t>
      </w:r>
      <w:r>
        <w:rPr>
          <w:rStyle w:val="FootnoteReference"/>
          <w:lang w:val="en-US"/>
        </w:rPr>
        <w:footnoteReference w:id="4"/>
      </w:r>
      <w:r>
        <w:rPr>
          <w:lang w:val="en-US"/>
        </w:rPr>
        <w:t xml:space="preserve"> and the external auditor’s report on the effectiveness of the company’s internal control over financial reporting are attributed as the most significant regulated constitutive elements.</w:t>
      </w:r>
    </w:p>
    <w:p w:rsidR="00FD5242" w:rsidRDefault="00FD5242" w:rsidP="00F375AC">
      <w:pPr>
        <w:spacing w:line="360" w:lineRule="auto"/>
        <w:jc w:val="both"/>
        <w:rPr>
          <w:lang w:val="en-US"/>
        </w:rPr>
      </w:pPr>
      <w:r>
        <w:rPr>
          <w:lang w:val="en-US"/>
        </w:rPr>
        <w:t xml:space="preserve">    With references on the relevant literature, concerning the auditing profession’s scope and the discussion subjects, information that is more detailed will be provided. Research has been focusing on several issues. The need for mandatory audits, going-concern opinions, technical skills and size of audit or audited firms consist the most common ones.</w:t>
      </w:r>
    </w:p>
    <w:p w:rsidR="00FD5242" w:rsidRDefault="00FD5242" w:rsidP="00F375AC">
      <w:pPr>
        <w:spacing w:line="360" w:lineRule="auto"/>
        <w:jc w:val="both"/>
        <w:rPr>
          <w:lang w:val="en-US"/>
        </w:rPr>
      </w:pPr>
      <w:r>
        <w:rPr>
          <w:lang w:val="en-US"/>
        </w:rPr>
        <w:t xml:space="preserve">    </w:t>
      </w:r>
      <w:r w:rsidRPr="00BC283A">
        <w:rPr>
          <w:lang w:val="en-US"/>
        </w:rPr>
        <w:t>While developing the Positive Accounting Theory, Jensen, and Meckling (1976) argued that audited financial statements reduce the costs of funding. External parties rely on auditors’ opinions in order to evaluate the financial position of the firm associated with resources and obligations and consequently the companies are able to attract funds at a lower cost. This leads ultimately to the increase of the value of the firm. Additionally, increased demand for financial statement auditing is argued to take place when managers’ of firms are rewarded based on accounting results and when the firm holds debt defined in accounting-based covenants in order to protect the debt</w:t>
      </w:r>
      <w:r>
        <w:rPr>
          <w:lang w:val="en-US"/>
        </w:rPr>
        <w:t xml:space="preserve"> </w:t>
      </w:r>
      <w:r w:rsidRPr="00BC283A">
        <w:rPr>
          <w:lang w:val="en-US"/>
        </w:rPr>
        <w:t>holders’ interests, as signaled by Deegan and Unerman (2006).</w:t>
      </w:r>
    </w:p>
    <w:p w:rsidR="00FD5242" w:rsidRDefault="00FD5242" w:rsidP="00F375AC">
      <w:pPr>
        <w:spacing w:line="360" w:lineRule="auto"/>
        <w:jc w:val="both"/>
        <w:rPr>
          <w:lang w:val="en-US"/>
        </w:rPr>
      </w:pPr>
      <w:r>
        <w:rPr>
          <w:lang w:val="en-US"/>
        </w:rPr>
        <w:t xml:space="preserve">    Arrunada (2004) criticizes the hyperbolic regulation of the auditing practices. He characteristically states, “</w:t>
      </w:r>
      <w:r w:rsidRPr="003D0B6D">
        <w:rPr>
          <w:lang w:val="en-US"/>
        </w:rPr>
        <w:t>legislators have been using audit and financial crises as excuses to introduce additional regulation into an industry already over-regulated</w:t>
      </w:r>
      <w:r>
        <w:rPr>
          <w:lang w:val="en-US"/>
        </w:rPr>
        <w:t xml:space="preserve">” (pp. 635). The method of trial and error is proposed against repeated regulation that provokes doubt and confusion. It is argued that markets have effective mechanisms that can locate and punish audit failures themselves, without the introduction of new standards and rules of practice that can be proved too “violent” and of questionable motivation. Though bankruptcies and fraud are no special news nowadays, importance should be given in the causal reasons for these unpleasant facts and in appropriate self-healing measures that can only come from the driving forces of the markets. Government intervention should be limited and oriented towards these self-healing measures and it is about time that auditing will no longer be treated as the usual “fall guy.” The paper proceeds with references concerning the three basic characteristics of auditing that should be taken into account when audit regulation takes place. The first is professional judgment that enables auditors to decide on unverifiable or costly for third parties information. The second is the specific nature of audit quality. Focus in this case should be concentrated on the monitoring procedures from the client’s side by the standard setting bodies. The last characteristic involves the existence and effectiveness of private quality assurance techniques and concerns the quality of an audit, which should be guaranteed within the borders of the specific needs that an audit fulfils. Critic is expressed in other important issues of the auditing profession too. The mandatory auditor rotation is argued to damage the two sides of audit quality, namely technical competence and independence. Moreover, it has proved to be costly and can be helpful in collusion between the audit firms that can create a form of oligopoly market in the audit sector. The author concludes by suggesting that mandatory audits should not expand in more firm categories than already present. Auditing and financial reporting should be the outcome of the related parties’ requests in companies that are not obliged to these tasks, enforcing timeliness, usefulness, and innovation in </w:t>
      </w:r>
      <w:r>
        <w:rPr>
          <w:i/>
          <w:lang w:val="en-US"/>
        </w:rPr>
        <w:t>“</w:t>
      </w:r>
      <w:r w:rsidRPr="002902B9">
        <w:rPr>
          <w:lang w:val="en-US"/>
        </w:rPr>
        <w:t>financial information in line with real user demand</w:t>
      </w:r>
      <w:r>
        <w:rPr>
          <w:lang w:val="en-US"/>
        </w:rPr>
        <w:t>” (pp. 642).</w:t>
      </w:r>
    </w:p>
    <w:p w:rsidR="00FD5242" w:rsidRDefault="00FD5242" w:rsidP="00F375AC">
      <w:pPr>
        <w:spacing w:line="360" w:lineRule="auto"/>
        <w:jc w:val="both"/>
        <w:rPr>
          <w:lang w:val="en-US"/>
        </w:rPr>
      </w:pPr>
      <w:r>
        <w:rPr>
          <w:lang w:val="en-US"/>
        </w:rPr>
        <w:t xml:space="preserve">    The controversial subject of Going-Concern doubt is examined in the paper of Citron and Taffler (2001). The self-fulfilling prophecy argument is investigated as to be the reason for auditors not expressing a Going-Concern Opinion (GCO) when reasonable evidence indicates such an opinion. According to the self-fulfilling prophecy theory, an event will take place as soon as there is reference concerning it attributed completely to the reference itself. Their research found no empirical support for such an argument. On the contrary, three out of four reports containing a GCO were not followed by failure before publication of a posterior set of accounts. More specifically, only the 15% of the bankrupted companies that were examined between 1987 and 1994 were qualified with a GCO prior to failure. The results show that it is the financial distress causing the bankruptcies or the going-concern opinions, and not the disclosure by itself. Results also impressively indicate that a GCO can cause an alert mechanism that will most likely result in the survival of the company. However, authors point out the significance of moral compunction when auditors express such an opinion. The self interest, consideration of decision impact on the audited companies and the possibility of lack of professional skills in making going-concern  estimations are factors influencing their decision making process. Auditors themselves actually put focus on the self-fulfilling prophecy argument and seem not to be guided only by the strict ethical propositions of the professional code of conduct.</w:t>
      </w:r>
    </w:p>
    <w:p w:rsidR="00FD5242" w:rsidRDefault="00FD5242" w:rsidP="00F375AC">
      <w:pPr>
        <w:spacing w:line="360" w:lineRule="auto"/>
        <w:jc w:val="both"/>
        <w:rPr>
          <w:lang w:val="en-US"/>
        </w:rPr>
      </w:pPr>
      <w:r>
        <w:rPr>
          <w:lang w:val="en-US"/>
        </w:rPr>
        <w:t xml:space="preserve">    A contradicting to the before signaled research is the one of Bhimani, Gulamhussen &amp; Lopes (2009). They investigated the effectiveness of auditors’ GCO evaluation as an external governance mechanism and proved that firms receiving a GCO are more likely to default in comparison to those receiving a Clean Opinion (CO). They also found that the size of the firm is negatively related to default, whereas the age is a contributory to default factor.</w:t>
      </w:r>
    </w:p>
    <w:p w:rsidR="00FD5242" w:rsidRDefault="00FD5242" w:rsidP="00F375AC">
      <w:pPr>
        <w:spacing w:line="360" w:lineRule="auto"/>
        <w:jc w:val="both"/>
        <w:rPr>
          <w:lang w:val="en-US"/>
        </w:rPr>
      </w:pPr>
      <w:r>
        <w:rPr>
          <w:lang w:val="en-US"/>
        </w:rPr>
        <w:t xml:space="preserve">    The size of a firm and its implications on auditors’ report was the subject of the paper of Reynolds and Francis (2001). Investigating Big Audit firms, they found no evidence supporting favorable reporting for larger clients. However, more conservative reporting for large clients was proved in connection with the greater litigation risk these clients face.</w:t>
      </w:r>
    </w:p>
    <w:p w:rsidR="00FD5242" w:rsidRDefault="00FD5242" w:rsidP="00F375AC">
      <w:pPr>
        <w:spacing w:line="360" w:lineRule="auto"/>
        <w:jc w:val="both"/>
        <w:rPr>
          <w:lang w:val="en-US"/>
        </w:rPr>
      </w:pPr>
      <w:r>
        <w:rPr>
          <w:lang w:val="en-US"/>
        </w:rPr>
        <w:t xml:space="preserve">    Roberts (2010) studied auditors’ independence in terms of impartiality or advocacy in client conflicts. Impartiality is needed when auditors perform their auditing tasks, while advocacy is diffused in tax settings. The results of his research proved the tendency of auditors to exhibit self-interest in reacting to clients’ reporting preferences. As it is stated, “</w:t>
      </w:r>
      <w:r w:rsidRPr="009B768A">
        <w:rPr>
          <w:lang w:val="en-US"/>
        </w:rPr>
        <w:t>experienced CPAs are as client-supportive in audit settings as they are in tax settings when exercising their professional judgment</w:t>
      </w:r>
      <w:r>
        <w:rPr>
          <w:lang w:val="en-US"/>
        </w:rPr>
        <w:t>” (pp. 29). Similar to this, he showed that there is not a standards ruled behavior concerning impartiality in auditing followed by all professionals.</w:t>
      </w:r>
    </w:p>
    <w:p w:rsidR="00FD5242" w:rsidRDefault="00FD5242" w:rsidP="00F375AC">
      <w:pPr>
        <w:spacing w:line="360" w:lineRule="auto"/>
        <w:jc w:val="both"/>
        <w:rPr>
          <w:lang w:val="en-US"/>
        </w:rPr>
      </w:pPr>
      <w:r>
        <w:rPr>
          <w:lang w:val="en-US"/>
        </w:rPr>
        <w:t xml:space="preserve">    There is a large amount of interesting and controversial issues throughout the profession. However, more expanded reference on them lies out of the scope of this research. The next part will provide more insight in the implications of the crisis in the professional auditing sector in general.    </w:t>
      </w:r>
    </w:p>
    <w:p w:rsidR="00FD5242" w:rsidRDefault="00FD5242" w:rsidP="00F375AC">
      <w:pPr>
        <w:spacing w:line="360" w:lineRule="auto"/>
        <w:jc w:val="both"/>
        <w:rPr>
          <w:b/>
          <w:lang w:val="en-US"/>
        </w:rPr>
      </w:pPr>
      <w:r>
        <w:rPr>
          <w:b/>
          <w:lang w:val="en-US"/>
        </w:rPr>
        <w:t>4</w:t>
      </w:r>
      <w:r w:rsidRPr="007C6CB3">
        <w:rPr>
          <w:b/>
          <w:lang w:val="en-US"/>
        </w:rPr>
        <w:t>.2 Implications of the current financial crisis on the audit profession</w:t>
      </w:r>
    </w:p>
    <w:p w:rsidR="00FD5242" w:rsidRDefault="00FD5242" w:rsidP="00F375AC">
      <w:pPr>
        <w:spacing w:line="360" w:lineRule="auto"/>
        <w:jc w:val="both"/>
        <w:rPr>
          <w:lang w:val="en-US"/>
        </w:rPr>
      </w:pPr>
      <w:r>
        <w:rPr>
          <w:b/>
          <w:lang w:val="en-US"/>
        </w:rPr>
        <w:t xml:space="preserve">    </w:t>
      </w:r>
      <w:r>
        <w:rPr>
          <w:lang w:val="en-US"/>
        </w:rPr>
        <w:t xml:space="preserve">The pervasiveness and severe consequences of the global financial crisis can be realized in every sector of the business world. Concerning the auditing profession, the news of the past two years has caused doubt on the assurance character of the financial auditing tasks. On January 28 of 2008 Lehman Brothers, one of the biggest banks operating in the USA received an unqualified opinion on its annual accounts for the year 2007. A clean bill of health on its quarterly accounts followed, on 10 July 2008 (Sikka, 2009, pp. 869). It is more than suspicious for the CPA firm that provided the assurance for the fairness of the financial statements of the bank that Lehman Brothers filed for bankruptcy on 14 September 2008. The case is almost identical for many other financial enterprises all over the world, which received an unqualified opinion on their financial statements published soon before their public admittance of financial difficulties or dissolution. It is even more disturbing to find out that these financial audits were conducted exclusively by one of the Big Four Accounting firms-PricewaterhouseCoopers (PWC), KPMG, Ernst &amp; Young, and Deloitte &amp; Touche. Table 1 in the </w:t>
      </w:r>
      <w:r w:rsidRPr="00506468">
        <w:rPr>
          <w:lang w:val="en-US"/>
        </w:rPr>
        <w:t xml:space="preserve">APPENDIX </w:t>
      </w:r>
      <w:r>
        <w:rPr>
          <w:lang w:val="en-US"/>
        </w:rPr>
        <w:t>section shows many cases like the previous one signaled.</w:t>
      </w:r>
    </w:p>
    <w:p w:rsidR="00FD5242" w:rsidRDefault="00FD5242" w:rsidP="00F375AC">
      <w:pPr>
        <w:spacing w:line="360" w:lineRule="auto"/>
        <w:jc w:val="both"/>
        <w:rPr>
          <w:lang w:val="en-US"/>
        </w:rPr>
      </w:pPr>
      <w:r>
        <w:rPr>
          <w:lang w:val="en-US"/>
        </w:rPr>
        <w:t xml:space="preserve">    Nowadays auditors are more than ever obliged to defend their profession’s reputation and perform their tasks with the highest degree of professionalism. Serving the public in the most efficient way should be the number one priority. Despite the fact that the primary responsibilities for the present situation burden banks and other financial institutions, regulatory authorities and rating agencies and not the auditors, their role creates reasonable questions about the interconnections with the these parties. The study of Roberts (2010) proved the tendency of auditors to exhibit self-interest in reacting to clients’ reporting preferences, and had strong implications concerning the principles of independence and impartiality. It is plausible to think that auditors will be asked to audit the financial statements of an enterprise in a more lenient and favorable way in the times of a crisis, since the users of these financial statements put a lot of importance on auditors’ reports. </w:t>
      </w:r>
    </w:p>
    <w:p w:rsidR="00FD5242" w:rsidRDefault="00FD5242" w:rsidP="00F375AC">
      <w:pPr>
        <w:spacing w:line="360" w:lineRule="auto"/>
        <w:jc w:val="both"/>
        <w:rPr>
          <w:lang w:val="en-US"/>
        </w:rPr>
      </w:pPr>
      <w:r>
        <w:rPr>
          <w:lang w:val="en-US"/>
        </w:rPr>
        <w:t xml:space="preserve">    The issues of corporate governance and lack of transparency are currently brought into light as significant factors causing the financial crisis (Rouse, 2009). The challenges for the auditing profession are more than obvious, and it seems that the appropriate “authorities” have already taken some action. Revisions of auditing standards and codes of ethics are the usual solutions, whenever the auditing industry was facing a crisis (Sikka 2009). The most relevant to this study, are the “Re-proposed Auditing Standards related to the Auditor’s Assessment of the Response to Risk; Proposed Conforming Amendments to PCAOB Standards”, with direct links to the conservatism concept. Following this direction, the study of Humphrey, Loft &amp; Woods (2009) gives insight “</w:t>
      </w:r>
      <w:r w:rsidRPr="00D06CD1">
        <w:rPr>
          <w:lang w:val="en-US"/>
        </w:rPr>
        <w:t>in the active nature of the regulatory responses to the crisis and the shifting and competing influences among key regulatory and professional participants in the global audit arena</w:t>
      </w:r>
      <w:r>
        <w:rPr>
          <w:lang w:val="en-US"/>
        </w:rPr>
        <w:t>”</w:t>
      </w:r>
      <w:r w:rsidRPr="00F440F1">
        <w:rPr>
          <w:i/>
          <w:lang w:val="en-US"/>
        </w:rPr>
        <w:t>.</w:t>
      </w:r>
      <w:r>
        <w:rPr>
          <w:lang w:val="en-US"/>
        </w:rPr>
        <w:t xml:space="preserve"> They focus their interest on the need for audit researchers to be more sensitive to the future revised global financial architecture. More publicly available and accessible knowledge of the workings of international audit practice, the regulatory networks and the forces driving regulatory policy and its impact at the level of practice are today prerequisites, according to their findings, for balancing the unstable financial environment.</w:t>
      </w:r>
    </w:p>
    <w:p w:rsidR="00FD5242" w:rsidRDefault="00FD5242" w:rsidP="00F375AC">
      <w:pPr>
        <w:spacing w:line="360" w:lineRule="auto"/>
        <w:jc w:val="both"/>
        <w:rPr>
          <w:lang w:val="en-US"/>
        </w:rPr>
      </w:pPr>
      <w:r>
        <w:rPr>
          <w:lang w:val="en-US"/>
        </w:rPr>
        <w:t xml:space="preserve">    Other attempts from appropriate authorities, in order to escape the financial reporting issues due to the crisis are signaled in this part. The Public Company Accounting Oversight Board (PCAOB) in the USA is at moment processing the release of some new or revised standards, trying to heal the “wounded” trust relationship with the public. The International Financial Reporting Standards (IFRS) is also revising IAS 37, about provisions, contingent liabilities, and contingent assets and all the Taxonomy standards in general. IFRS has even established the Financial Crisis Advisory Group (FCAG). It would be more than useful if these efforts lead to, as Herrmann et al. (2009) commented, an increase</w:t>
      </w:r>
      <w:r w:rsidRPr="005D1C3B">
        <w:rPr>
          <w:lang w:val="en-US"/>
        </w:rPr>
        <w:t xml:space="preserve"> in financial quality</w:t>
      </w:r>
      <w:r>
        <w:rPr>
          <w:lang w:val="en-US"/>
        </w:rPr>
        <w:t>.</w:t>
      </w:r>
    </w:p>
    <w:p w:rsidR="00FD5242" w:rsidRDefault="00FD5242" w:rsidP="00F375AC">
      <w:pPr>
        <w:spacing w:line="360" w:lineRule="auto"/>
        <w:jc w:val="both"/>
        <w:rPr>
          <w:lang w:val="en-US"/>
        </w:rPr>
      </w:pPr>
      <w:r>
        <w:rPr>
          <w:lang w:val="en-US"/>
        </w:rPr>
        <w:t xml:space="preserve">    It cannot be disputed that the regulating authorities and investors have traditionally put their focus on the corporate financial statements in order to assess risks and economic exposure. However, creative accounting has become the most usual method for managers to manipulate of their companies’ financial statements. In the banking sector only, an early estimate suggested that despite the development of revised and new auditing standards, banks had around US$ 5000 billion of assets and liabilities off balance sheet (Financial Times, 3 June 2008; taken from Sikka, 2009). The amount is rather impressive and reasonable doubts about the auditing tasks are created. </w:t>
      </w:r>
    </w:p>
    <w:p w:rsidR="00FD5242" w:rsidRDefault="00FD5242" w:rsidP="00F375AC">
      <w:pPr>
        <w:spacing w:line="360" w:lineRule="auto"/>
        <w:jc w:val="both"/>
        <w:rPr>
          <w:lang w:val="en-US"/>
        </w:rPr>
      </w:pPr>
      <w:r>
        <w:rPr>
          <w:lang w:val="en-US"/>
        </w:rPr>
        <w:t xml:space="preserve">    Traditionally, auditors were the ones to trust the savings of a lifetime. Regulating authorities trusted the auditors when deciding about risk assessment and measures to be taken. All in all, auditors have likely failed to prove that they are operating within an objectivity scope, with strong-based moral values that enhance the relevant theories and practices followed. The dominant auditing theories provided an insufficient basis for understanding the transformations that were and can still be occurring in the international political economy. Arnold (2009) argues that quantitative databases became the only necessity concerning the conduction of financial audits and the professionals themselves failed to predict and efficiently react to the effects of the crisis on </w:t>
      </w:r>
      <w:r w:rsidRPr="00EE3C0F">
        <w:rPr>
          <w:lang w:val="en-US"/>
        </w:rPr>
        <w:t>financial reporting standards, accounting</w:t>
      </w:r>
      <w:r>
        <w:rPr>
          <w:lang w:val="en-US"/>
        </w:rPr>
        <w:t xml:space="preserve"> firms and accounting methods. It is reasonable to argue that these failures limit the potential of investigating, interpreting, and response to the crisis as it continues to rise. Accounting and auditing practices are deeply implicated in the current financial crisis and in proposals for recapitalizing financial institutions and restoring stability to the global financial system.</w:t>
      </w:r>
    </w:p>
    <w:p w:rsidR="00FD5242" w:rsidRDefault="00FD5242" w:rsidP="00F375AC">
      <w:pPr>
        <w:spacing w:line="360" w:lineRule="auto"/>
        <w:jc w:val="both"/>
        <w:rPr>
          <w:lang w:val="en-US"/>
        </w:rPr>
      </w:pPr>
      <w:r>
        <w:rPr>
          <w:lang w:val="en-US"/>
        </w:rPr>
        <w:t xml:space="preserve">    Concluding, independent auditors play an important role in ensuring the integrity of firms’ financial reports, since they can resist management’s opportunistic behavior by emphasizing conservative financial reporting (Herrmann, Pornupatham &amp;</w:t>
      </w:r>
      <w:r w:rsidRPr="00300F5D">
        <w:rPr>
          <w:lang w:val="en-US"/>
        </w:rPr>
        <w:t xml:space="preserve"> Vichitsarawong,</w:t>
      </w:r>
      <w:r>
        <w:rPr>
          <w:lang w:val="en-US"/>
        </w:rPr>
        <w:t xml:space="preserve"> 2008). Audit conservatism is a basic component of the principal standards of the profession, focusing on this perspective and will be analyzed in the subsequent part.</w:t>
      </w:r>
    </w:p>
    <w:p w:rsidR="00FD5242" w:rsidRDefault="00FD5242" w:rsidP="00F375AC">
      <w:pPr>
        <w:spacing w:line="360" w:lineRule="auto"/>
        <w:jc w:val="both"/>
        <w:rPr>
          <w:b/>
          <w:lang w:val="en-US"/>
        </w:rPr>
      </w:pPr>
      <w:r>
        <w:rPr>
          <w:b/>
          <w:lang w:val="en-US"/>
        </w:rPr>
        <w:t>4.3 Conservatism in audits</w:t>
      </w:r>
    </w:p>
    <w:p w:rsidR="00FD5242" w:rsidRDefault="00FD5242" w:rsidP="00F375AC">
      <w:pPr>
        <w:spacing w:line="360" w:lineRule="auto"/>
        <w:jc w:val="both"/>
        <w:rPr>
          <w:lang w:val="en-US"/>
        </w:rPr>
      </w:pPr>
      <w:r>
        <w:rPr>
          <w:lang w:val="en-US"/>
        </w:rPr>
        <w:t xml:space="preserve">    The general meaning of conservatism is caution or moderation in behavior or outlook. In a more conceptual level, conservatism is a political attitude that advocates institutions and traditional practices that have developed organically promoting stability and continuity. Throughout this research, the definition that Basu (1997) used for conservatism in the financial world will be used. Basu interpreted conservatism as “</w:t>
      </w:r>
      <w:r w:rsidRPr="00D543AB">
        <w:rPr>
          <w:lang w:val="en-US"/>
        </w:rPr>
        <w:t>resulting in earnings reflectin</w:t>
      </w:r>
      <w:r>
        <w:rPr>
          <w:lang w:val="en-US"/>
        </w:rPr>
        <w:t xml:space="preserve">g </w:t>
      </w:r>
      <w:r w:rsidRPr="00D543AB">
        <w:rPr>
          <w:i/>
          <w:lang w:val="en-US"/>
        </w:rPr>
        <w:t>bad news</w:t>
      </w:r>
      <w:r>
        <w:rPr>
          <w:lang w:val="en-US"/>
        </w:rPr>
        <w:t xml:space="preserve"> more quickly than </w:t>
      </w:r>
      <w:r w:rsidRPr="00D543AB">
        <w:rPr>
          <w:i/>
          <w:lang w:val="en-US"/>
        </w:rPr>
        <w:t>good news</w:t>
      </w:r>
      <w:r>
        <w:rPr>
          <w:i/>
          <w:lang w:val="en-US"/>
        </w:rPr>
        <w:t>.</w:t>
      </w:r>
      <w:r>
        <w:rPr>
          <w:lang w:val="en-US"/>
        </w:rPr>
        <w:t>”</w:t>
      </w:r>
      <w:r w:rsidRPr="00C734F4">
        <w:rPr>
          <w:lang w:val="en-US"/>
        </w:rPr>
        <w:t xml:space="preserve"> </w:t>
      </w:r>
    </w:p>
    <w:p w:rsidR="00FD5242" w:rsidRDefault="00FD5242" w:rsidP="00F375AC">
      <w:pPr>
        <w:spacing w:line="360" w:lineRule="auto"/>
        <w:jc w:val="both"/>
        <w:rPr>
          <w:lang w:val="en-US"/>
        </w:rPr>
      </w:pPr>
      <w:r>
        <w:rPr>
          <w:lang w:val="en-US"/>
        </w:rPr>
        <w:t xml:space="preserve">    Viewed from the same perspective,</w:t>
      </w:r>
      <w:r>
        <w:rPr>
          <w:b/>
          <w:lang w:val="en-US"/>
        </w:rPr>
        <w:t xml:space="preserve"> </w:t>
      </w:r>
      <w:r>
        <w:rPr>
          <w:lang w:val="en-US"/>
        </w:rPr>
        <w:t>conservatism</w:t>
      </w:r>
      <w:r w:rsidRPr="00C734F4">
        <w:rPr>
          <w:lang w:val="en-US"/>
        </w:rPr>
        <w:t xml:space="preserve"> </w:t>
      </w:r>
      <w:r>
        <w:rPr>
          <w:lang w:val="en-US"/>
        </w:rPr>
        <w:t>is the respected principle when the recognition of unrealized losses is conducted within a short period, whereas the recognition of unrealized gains is postponed until completion. Conservatism is a concept generally applied in the accounting and auditing policies and procedures. Thorough observation of accounting and auditing practices recognized models of consistently prudent behavior as argued by Henderson, Peirson &amp; Brown (1992). The professionals were systematically overstating expenses and underestimating revenues in cases of unclear estimations that required professional judgment of a higher degree. The International Accounting Standards Board (IASB) refers to the content of “prudence” to clarify conservatism. Prudence is defined  by the International Financial Reporting Standards (IFRS, 2004, paragraph 37)</w:t>
      </w:r>
      <w:r>
        <w:rPr>
          <w:rStyle w:val="FootnoteReference"/>
          <w:lang w:val="en-US"/>
        </w:rPr>
        <w:footnoteReference w:id="5"/>
      </w:r>
      <w:r>
        <w:rPr>
          <w:lang w:val="en-US"/>
        </w:rPr>
        <w:t xml:space="preserve"> as “the inclusion of a degree of caution in the exercise of the judgments needed in making the estimates required under conditions of uncertainty, such that assets or income are not overstated and liabilities or expenses are not understated”. Accountants and of course auditors briefly summarize conservatism in the following rule: “</w:t>
      </w:r>
      <w:r w:rsidRPr="008318A5">
        <w:rPr>
          <w:lang w:val="en-US"/>
        </w:rPr>
        <w:t>anticipate no profits, but anticipate all losses</w:t>
      </w:r>
      <w:r>
        <w:rPr>
          <w:lang w:val="en-US"/>
        </w:rPr>
        <w:t xml:space="preserve">” (Basu, 1997, pp. 7). </w:t>
      </w:r>
    </w:p>
    <w:p w:rsidR="00FD5242" w:rsidRDefault="00FD5242" w:rsidP="00F375AC">
      <w:pPr>
        <w:spacing w:line="360" w:lineRule="auto"/>
        <w:jc w:val="both"/>
        <w:rPr>
          <w:lang w:val="en-US"/>
        </w:rPr>
      </w:pPr>
      <w:r>
        <w:rPr>
          <w:lang w:val="en-US"/>
        </w:rPr>
        <w:t xml:space="preserve">    The association between audit and accounting conservatism is undisputed. The financial statements of a company are a product of managements’ selection concerning the accounting methods used. These statements are audited by independent auditors who express an opinion about the true and fair view of their disclosure. Auditors’ are entitled to require modifications or changes in the preparation and presentation of the financial statements if they conclude this is appropriate. Consequently, audit and accounting conservatism are considered as the same concept, in that they are both responsible for the same outcome: fair financial statements. This is particularly the perspective considered in the present research. Auditing conservatism is proxied with the firm’s accountants’ use of conservatism. The majority of the scientific studies are using the same adjustment concerning audit and accounting conservatism, by not conducting a distinction between the two concepts form the first place.</w:t>
      </w:r>
    </w:p>
    <w:p w:rsidR="00FD5242" w:rsidRDefault="00FD5242" w:rsidP="00F375AC">
      <w:pPr>
        <w:spacing w:line="360" w:lineRule="auto"/>
        <w:jc w:val="both"/>
        <w:rPr>
          <w:lang w:val="en-US"/>
        </w:rPr>
      </w:pPr>
      <w:r>
        <w:rPr>
          <w:lang w:val="en-US"/>
        </w:rPr>
        <w:t xml:space="preserve">    Another existent association is between </w:t>
      </w:r>
      <w:r w:rsidRPr="008A6543">
        <w:rPr>
          <w:i/>
          <w:lang w:val="en-US"/>
        </w:rPr>
        <w:t>audit risk</w:t>
      </w:r>
      <w:r>
        <w:rPr>
          <w:lang w:val="en-US"/>
        </w:rPr>
        <w:t xml:space="preserve"> and auditors’ conservatism. Audit risk refers to the possibility of expressing a false opinion about the fairness of a firm’s financial statements. Generally, auditors accept a level of risk or uncertainty while conducting their duties. Auditors must estimate carefully this amount of risk and respond to it in the most efficient way. This is something to be achieved by using conservatism in all the “risky” areas of the audit.</w:t>
      </w:r>
    </w:p>
    <w:p w:rsidR="00FD5242" w:rsidRDefault="00FD5242" w:rsidP="00F375AC">
      <w:pPr>
        <w:spacing w:line="360" w:lineRule="auto"/>
        <w:jc w:val="both"/>
        <w:rPr>
          <w:lang w:val="en-US"/>
        </w:rPr>
      </w:pPr>
      <w:r>
        <w:rPr>
          <w:lang w:val="en-US"/>
        </w:rPr>
        <w:t xml:space="preserve">    Basu (1997) highlighted in his study the systematic differences between bad news and good news periods in terms of timeliness and persistence of earnings. Firms’ stock returns were used to distinguish bad and good news and it was proved that bad news is timelier than good news. In addition, the concurrent sensitivity of earnings to negative returns is two to six times higher than the concurrent sensitivity of earnings in the case of positive returns. The relatively weaker association of the concurrent cash flow-return with publicly available good news than the concurrent earnings-return association was another one of his findings. In addition, the author found that unexpected earnings increases are more persistent compared to the unexpected earnings declines. The overall conclusion of this highly significant research drawn by the measurement of the sensitivity of earnings was that conservatism has increased overtime.</w:t>
      </w:r>
    </w:p>
    <w:p w:rsidR="00FD5242" w:rsidRDefault="00FD5242" w:rsidP="00F375AC">
      <w:pPr>
        <w:spacing w:line="360" w:lineRule="auto"/>
        <w:jc w:val="both"/>
        <w:rPr>
          <w:lang w:val="en-US"/>
        </w:rPr>
      </w:pPr>
      <w:r>
        <w:rPr>
          <w:lang w:val="en-US"/>
        </w:rPr>
        <w:t xml:space="preserve">    Another study concerning the accounting conservatism by Easton and Pae (2004), distinguished conservatism in two types: conservatism due to accounting rules and conservatism associated with investments in positive net present value projects. Conservatism is also distinguished in </w:t>
      </w:r>
      <w:r w:rsidRPr="00637175">
        <w:rPr>
          <w:i/>
          <w:lang w:val="en-US"/>
        </w:rPr>
        <w:t>ex ante conservatism</w:t>
      </w:r>
      <w:r>
        <w:rPr>
          <w:lang w:val="en-US"/>
        </w:rPr>
        <w:t xml:space="preserve"> and </w:t>
      </w:r>
      <w:r w:rsidRPr="00637175">
        <w:rPr>
          <w:i/>
          <w:lang w:val="en-US"/>
        </w:rPr>
        <w:t>ex post conservatism</w:t>
      </w:r>
      <w:r>
        <w:rPr>
          <w:lang w:val="en-US"/>
        </w:rPr>
        <w:t xml:space="preserve"> in a large number of scientific studies. “Ex ante” or “unconditional” conservatism is related to the accounting choices that in general underestimate the book value of net assets (Beaver &amp; Ryan, 2005; </w:t>
      </w:r>
      <w:r w:rsidRPr="00CB0908">
        <w:rPr>
          <w:lang w:val="en-US"/>
        </w:rPr>
        <w:t>Feltham &amp; Olson, 1995; Penman &amp; Zhang, 200</w:t>
      </w:r>
      <w:r>
        <w:rPr>
          <w:lang w:val="en-US"/>
        </w:rPr>
        <w:t xml:space="preserve">2; Qiang, 2007; Cano-Rodriguez, 2010; Li et al., 2007). “Ex post” or “conditional conservatism” writes down the book value of assets under sufficiently adverse and not favorable circumstances (Basu, 1997; Ball et al. 2000; </w:t>
      </w:r>
      <w:r w:rsidRPr="00CB0908">
        <w:rPr>
          <w:lang w:val="en-US"/>
        </w:rPr>
        <w:t>Pope &amp; Walker 1999</w:t>
      </w:r>
      <w:r>
        <w:rPr>
          <w:lang w:val="en-US"/>
        </w:rPr>
        <w:t>, 2003; Li et al., 2007; Beaver &amp; Ryan, 2005; Cano-Rodriguez, 2010;). Furthermore, the study of Krishnan (1994) argues that the overall conservatism of the auditor can be viewed in the tendency of providing qualified opinions. Findings demonstrate that any negative information gathered during the conduction of an audit can produce the outcome of increased auditing conservatism. In addition, c</w:t>
      </w:r>
      <w:r w:rsidRPr="00DB65BB">
        <w:rPr>
          <w:lang w:val="en-US"/>
        </w:rPr>
        <w:t>onsistent with the institutional theory</w:t>
      </w:r>
      <w:r>
        <w:rPr>
          <w:lang w:val="en-US"/>
        </w:rPr>
        <w:t>, which</w:t>
      </w:r>
      <w:r w:rsidRPr="00DB65BB">
        <w:rPr>
          <w:lang w:val="en-US"/>
        </w:rPr>
        <w:t xml:space="preserve"> argues that managers are p</w:t>
      </w:r>
      <w:r>
        <w:rPr>
          <w:lang w:val="en-US"/>
        </w:rPr>
        <w:t xml:space="preserve">ressured in a coercive, mimetic, </w:t>
      </w:r>
      <w:r w:rsidRPr="00DB65BB">
        <w:rPr>
          <w:lang w:val="en-US"/>
        </w:rPr>
        <w:t>or normative way to adopt certain voluntary corporate reporting practices</w:t>
      </w:r>
      <w:r>
        <w:rPr>
          <w:lang w:val="en-US"/>
        </w:rPr>
        <w:t xml:space="preserve"> (Deegan &amp; Unerman, 2006, pp.299)</w:t>
      </w:r>
      <w:r w:rsidRPr="00DB65BB">
        <w:rPr>
          <w:lang w:val="en-US"/>
        </w:rPr>
        <w:t xml:space="preserve"> increased conservatism is expected from the auditors’ side.</w:t>
      </w:r>
    </w:p>
    <w:p w:rsidR="00FD5242" w:rsidRDefault="00FD5242" w:rsidP="00F375AC">
      <w:pPr>
        <w:spacing w:before="240" w:line="360" w:lineRule="auto"/>
        <w:jc w:val="both"/>
        <w:rPr>
          <w:lang w:val="en-US"/>
        </w:rPr>
      </w:pPr>
      <w:r>
        <w:rPr>
          <w:lang w:val="en-US"/>
        </w:rPr>
        <w:t xml:space="preserve">    The study of Francis and Krishnan (1999) gave insight in the relationship between auditor reporting conservatism and accounting accruals. More specifically, they examined whether accounting accruals can increase the possibility of a firm receiving a modified audit report concerning both issues of asset realization uncertainties and Going-Concern difficulties. Accruals increase the inherent audit risk because they are considered as “vulnerable” subjects of calculation errors by the authors. They indeed found that auditors of high-accrual firms are more likely to issue modified opinions for asset realization uncertainties and for Going-Concern problems. A second significant finding was that Big audit firms (six at the time of the study) provided evidence of conservative professional behavior, documenting an empirically tested reason for the perceived higher quality of audits conducted by these firms. The higher level of conservatism by the Big audit firms is manifested in the recognition of discretionary accruals and in a lower threshold provision for the issuance of the two types of modified audit reports.</w:t>
      </w:r>
    </w:p>
    <w:p w:rsidR="00FD5242" w:rsidRDefault="00FD5242" w:rsidP="00F375AC">
      <w:pPr>
        <w:spacing w:before="240" w:line="360" w:lineRule="auto"/>
        <w:jc w:val="both"/>
        <w:rPr>
          <w:lang w:val="en-US"/>
        </w:rPr>
      </w:pPr>
      <w:r>
        <w:rPr>
          <w:lang w:val="en-US"/>
        </w:rPr>
        <w:t xml:space="preserve">    Consistent with the precedent findings is the study of Davis and Ashton (1997) documenting that auditors reduce the threshold for the “substantial doubt” criterion in order to decide on their Going-Concern opinion for highly financially distressed entities, while assessing financial distress with a high degree. Similar results were found in Kinney’s and Nelson’s (1996) research, revealing auditors’ tendency to disclose contingent losses in a modified audit report in the case of limited or non-existent outcome information.</w:t>
      </w:r>
    </w:p>
    <w:p w:rsidR="00FD5242" w:rsidRDefault="00FD5242" w:rsidP="00F375AC">
      <w:pPr>
        <w:spacing w:before="240" w:line="360" w:lineRule="auto"/>
        <w:jc w:val="both"/>
        <w:rPr>
          <w:lang w:val="en-US"/>
        </w:rPr>
      </w:pPr>
      <w:r>
        <w:rPr>
          <w:lang w:val="en-US"/>
        </w:rPr>
        <w:t xml:space="preserve">   Carcello and Palmrose (1994) conducted a research that provided evidence that the incidence and the magnitude of litigation in the case of a bankruptcy are severely lower if a modified audit report has been previously issued. The “surprise” effect is demonstrated as the reasoning for this finding, highly associated with third-party claims against auditors. A modified audit report prepares stakeholders for a potential failure, thus minimizing the possibility of sudden stock price decreases that usually result in litigation activities against the auditing firm.</w:t>
      </w:r>
    </w:p>
    <w:p w:rsidR="00FD5242" w:rsidRDefault="00FD5242" w:rsidP="00F375AC">
      <w:pPr>
        <w:spacing w:line="360" w:lineRule="auto"/>
        <w:jc w:val="both"/>
        <w:rPr>
          <w:lang w:val="en-US"/>
        </w:rPr>
      </w:pPr>
      <w:r>
        <w:rPr>
          <w:lang w:val="en-US"/>
        </w:rPr>
        <w:t xml:space="preserve">    The significance of the external auditing tasks and conservatism used in them is also highlighted in part in the paper of Bhimani, Gulamhussen &amp; Lopes (2009). They investigated the effectiveness of the auditor’s Going-Concern (GCO) evaluation as an external governance mechanism. They proved that firms that receive a GCO are more likely to default in comparison to those receiving a Clean Opinion (CO). Their findings suggest that the </w:t>
      </w:r>
      <w:r w:rsidRPr="0050781B">
        <w:rPr>
          <w:lang w:val="en-US"/>
        </w:rPr>
        <w:t xml:space="preserve">information conveyed by GCO </w:t>
      </w:r>
      <w:r>
        <w:rPr>
          <w:lang w:val="en-US"/>
        </w:rPr>
        <w:t>is respected by all related with the firms’ parties</w:t>
      </w:r>
      <w:r w:rsidRPr="0050781B">
        <w:rPr>
          <w:lang w:val="en-US"/>
        </w:rPr>
        <w:t xml:space="preserve"> </w:t>
      </w:r>
      <w:r>
        <w:rPr>
          <w:lang w:val="en-US"/>
        </w:rPr>
        <w:t>and these parties include of course the capital providers, banks. Considering the fact that banks contribute significantly in firms’ liquidity, the key feature of conservatism is pointed out here. Too much conservatism can cost a firm’s existence and can cause unemployment to a few or even many employees, whereas too little can be proved not enough. Auditors can be found in the inconvenient position of being accused for professional negligence or even partiality and corruption.</w:t>
      </w:r>
    </w:p>
    <w:p w:rsidR="00FD5242" w:rsidRDefault="00FD5242" w:rsidP="00F375AC">
      <w:pPr>
        <w:spacing w:line="360" w:lineRule="auto"/>
        <w:jc w:val="both"/>
        <w:rPr>
          <w:lang w:val="en-US"/>
        </w:rPr>
      </w:pPr>
      <w:r>
        <w:rPr>
          <w:lang w:val="en-US"/>
        </w:rPr>
        <w:t xml:space="preserve">     Professional skepticism is a concept that by itself requires a significant level of “professional” conservatism, meaning that the auditor should start and continue an audit keeping a very objective and impartial position, reflecting the GAAP. Other issues though, must be taken into consideration at this point, as implicated by the research of Kennedy &amp; Peecher (1997). Their paper examined how accurately auditors assess their own technical knowledge and that of their subordinates. They came up to the rather disappointing conclusion that auditors are overconfident in their technical knowledge. </w:t>
      </w:r>
      <w:r w:rsidRPr="004B696E">
        <w:rPr>
          <w:lang w:val="en-US"/>
        </w:rPr>
        <w:t>Audit supervisors were proved to overestimate their own technical knowledge to predict the technical knowledge of their subordinates. In addition, the technical knowledge gap between supervisors and their subordinates increases the formers’ optimism about the skills of the latter.</w:t>
      </w:r>
      <w:r>
        <w:rPr>
          <w:i/>
          <w:lang w:val="en-US"/>
        </w:rPr>
        <w:t xml:space="preserve"> </w:t>
      </w:r>
      <w:r>
        <w:rPr>
          <w:lang w:val="en-US"/>
        </w:rPr>
        <w:t>These findings are highly associated with auditing conservatism. Overconfidence can be easily translated into lack of due care accompanied by mistakes and failures that are definitely not related with conservative auditing practices.</w:t>
      </w:r>
    </w:p>
    <w:p w:rsidR="00FD5242" w:rsidRDefault="00FD5242" w:rsidP="00F375AC">
      <w:pPr>
        <w:spacing w:line="360" w:lineRule="auto"/>
        <w:jc w:val="both"/>
        <w:rPr>
          <w:lang w:val="en-US"/>
        </w:rPr>
      </w:pPr>
      <w:r>
        <w:rPr>
          <w:lang w:val="en-US"/>
        </w:rPr>
        <w:t xml:space="preserve">    The paper of Li, Peasnell &amp; Beekes (2007) tested the causal relationship between the endogenous auditor choice and the magnitude of conservatism in earnings when controlling for managers’ self-selection bias and balance sheet conservatism. Their findings proved that no significant difference exists in earnings conservatism between Big and Non-Big audit firms. No significant difference was found between the monitoring power of Big and Non-Big audit firm auditors on clients’ earnings conservatism. Another issue arising here is clientele’s size. The results of Reynolds and Francis (2001) in their investigation concerning the magnitude of the interference between the audit reports and the size of the client indicate the tendency of Big-firm auditors in reporting more conservatively for larger clients.</w:t>
      </w:r>
    </w:p>
    <w:p w:rsidR="00FD5242" w:rsidRDefault="00FD5242" w:rsidP="00F375AC">
      <w:pPr>
        <w:spacing w:line="360" w:lineRule="auto"/>
        <w:jc w:val="both"/>
        <w:rPr>
          <w:lang w:val="en-US"/>
        </w:rPr>
      </w:pPr>
      <w:r>
        <w:rPr>
          <w:lang w:val="en-US"/>
        </w:rPr>
        <w:t xml:space="preserve">    Conservatism is a highly respected concept on audits. The ethical dilemmas, but also the difficulties concerning the completion of a financial statement audit are daily issues an auditor faces. However, at the same time auditors seem to be overconfident about their skills, thus consequently less conservatism is used. If this situation remains unstable during a crisis period then the results for the auditing profession will turn out to be catastrophic. It will be very interesting from a scientific point of view to investigate how auditors’ conservatism has actually been affected during the recent financial crisis.</w:t>
      </w:r>
      <w:r>
        <w:rPr>
          <w:color w:val="984806"/>
          <w:lang w:val="en-US"/>
        </w:rPr>
        <w:t xml:space="preserve"> </w:t>
      </w:r>
      <w:r>
        <w:rPr>
          <w:lang w:val="en-US"/>
        </w:rPr>
        <w:t>Comparisons with the prior-to-crisis levels of conservatism will provide us with a clear view of these effects.</w:t>
      </w:r>
      <w:r>
        <w:rPr>
          <w:color w:val="984806"/>
          <w:lang w:val="en-US"/>
        </w:rPr>
        <w:t xml:space="preserve">  </w:t>
      </w:r>
    </w:p>
    <w:p w:rsidR="00FD5242" w:rsidRDefault="00FD5242" w:rsidP="00F375AC">
      <w:pPr>
        <w:spacing w:line="360" w:lineRule="auto"/>
        <w:jc w:val="both"/>
        <w:rPr>
          <w:b/>
          <w:lang w:val="en-US"/>
        </w:rPr>
      </w:pPr>
      <w:r>
        <w:rPr>
          <w:b/>
          <w:lang w:val="en-US"/>
        </w:rPr>
        <w:t>4.4 Audit fee</w:t>
      </w:r>
    </w:p>
    <w:p w:rsidR="00FD5242" w:rsidRDefault="00FD5242" w:rsidP="00F375AC">
      <w:pPr>
        <w:spacing w:line="360" w:lineRule="auto"/>
        <w:jc w:val="both"/>
        <w:rPr>
          <w:lang w:val="en-US"/>
        </w:rPr>
      </w:pPr>
      <w:r>
        <w:rPr>
          <w:lang w:val="en-US"/>
        </w:rPr>
        <w:t xml:space="preserve">    Audit fee is the amount payable to an auditor for the conduction of a financial audit. It is also referred to as “auditors’ remuneration” and must be clearly distinguished from the fees that are paid to the auditor for any other non-audit service.</w:t>
      </w:r>
    </w:p>
    <w:p w:rsidR="00FD5242" w:rsidRDefault="00FD5242" w:rsidP="00F375AC">
      <w:pPr>
        <w:spacing w:line="360" w:lineRule="auto"/>
        <w:jc w:val="both"/>
        <w:rPr>
          <w:lang w:val="en-US"/>
        </w:rPr>
      </w:pPr>
      <w:r>
        <w:rPr>
          <w:lang w:val="en-US"/>
        </w:rPr>
        <w:t xml:space="preserve">    A highly controversial issue that arises since the beginning of the profession, concerns the audit fees. Since audit fees are determined by the management of the audited firms and paid by the audited firms, auditors’ independence in fact and appearance is reasonably questioned. It is undoubted that auditors themselves must be dedicated to the keep the profession’s esteem in the highest level by conducting audits in accordance with the professional standards of the appropriate regulatory boards.</w:t>
      </w:r>
    </w:p>
    <w:p w:rsidR="00FD5242" w:rsidRDefault="00FD5242" w:rsidP="00F375AC">
      <w:pPr>
        <w:spacing w:line="360" w:lineRule="auto"/>
        <w:jc w:val="both"/>
        <w:rPr>
          <w:lang w:val="en-US"/>
        </w:rPr>
      </w:pPr>
      <w:r>
        <w:rPr>
          <w:lang w:val="en-US"/>
        </w:rPr>
        <w:t xml:space="preserve">    The majority of the papers studying audit fees are concerned with their determinants, price competition between audit firms and general trends in audit pricing. </w:t>
      </w:r>
    </w:p>
    <w:p w:rsidR="00FD5242" w:rsidRPr="00A317BE" w:rsidRDefault="00FD5242" w:rsidP="00F375AC">
      <w:pPr>
        <w:spacing w:line="360" w:lineRule="auto"/>
        <w:jc w:val="both"/>
        <w:rPr>
          <w:lang w:val="en-US"/>
        </w:rPr>
      </w:pPr>
      <w:r>
        <w:rPr>
          <w:lang w:val="en-US"/>
        </w:rPr>
        <w:t xml:space="preserve">    Simunic (1980) was the first to conduct an innovative analysis on the pricing of audit services. He gave insight in the dominant audit fee determinants and provided   evidence disclosing the prevalence of price competition in the market of the publicly held companies’ audits. Moreover, he shed some light in the question arising relationship between the employer, which is the audited company and its employee, which is the audit firm. Although there is a contradicting interest between the two counterparties concerning responsibility of ex-post litigation, it is argued </w:t>
      </w:r>
      <w:r w:rsidRPr="00A317BE">
        <w:rPr>
          <w:lang w:val="en-US"/>
        </w:rPr>
        <w:t xml:space="preserve">that  </w:t>
      </w:r>
      <w:r>
        <w:rPr>
          <w:lang w:val="en-US"/>
        </w:rPr>
        <w:t>“</w:t>
      </w:r>
      <w:r w:rsidRPr="00A317BE">
        <w:rPr>
          <w:lang w:val="en-US"/>
        </w:rPr>
        <w:t>liability avoidance motivation implies that at the time of the audit there is  a mutuality in the auditee’s and auditor’s private interests vis-à-vis the external world</w:t>
      </w:r>
      <w:r>
        <w:rPr>
          <w:lang w:val="en-US"/>
        </w:rPr>
        <w:t>” (pp. 188)</w:t>
      </w:r>
      <w:r w:rsidRPr="00A317BE">
        <w:rPr>
          <w:lang w:val="en-US"/>
        </w:rPr>
        <w:t>.</w:t>
      </w:r>
    </w:p>
    <w:p w:rsidR="00FD5242" w:rsidRDefault="00FD5242" w:rsidP="00F375AC">
      <w:pPr>
        <w:spacing w:line="360" w:lineRule="auto"/>
        <w:jc w:val="both"/>
        <w:rPr>
          <w:lang w:val="en-US"/>
        </w:rPr>
      </w:pPr>
      <w:r>
        <w:rPr>
          <w:lang w:val="en-US"/>
        </w:rPr>
        <w:t xml:space="preserve">    Following Simunic’s analysis, Hay, Knechel &amp; Wong (2006) distinguished the attributes of audit fees. Client attributes are size, complexity, inherent risk, and profitability, and leverage, form of ownership, internal control policies, governance and industry. Auditor attributes consist of auditor quality, auditor tenure, and location. Engagement attributes are report lag, “busy” season that refers to the popular fiscal year end, audit problems, non-audit services, and reporting issues.</w:t>
      </w:r>
    </w:p>
    <w:p w:rsidR="00FD5242" w:rsidRDefault="00FD5242" w:rsidP="00F375AC">
      <w:pPr>
        <w:spacing w:line="360" w:lineRule="auto"/>
        <w:jc w:val="both"/>
        <w:rPr>
          <w:lang w:val="en-US"/>
        </w:rPr>
      </w:pPr>
      <w:r>
        <w:rPr>
          <w:lang w:val="en-US"/>
        </w:rPr>
        <w:t xml:space="preserve">    The controlling determinant of audit fees across the literature is the audited party’s </w:t>
      </w:r>
      <w:r w:rsidRPr="00AE7CB6">
        <w:rPr>
          <w:i/>
          <w:lang w:val="en-US"/>
        </w:rPr>
        <w:t>size</w:t>
      </w:r>
      <w:r>
        <w:rPr>
          <w:lang w:val="en-US"/>
        </w:rPr>
        <w:t>. Size is usually measured in terms of total assets or even total revenues and always positively related to audit fees. In Cobbin’s (2002) international research of the audit fee determinants, the complexity and business risk of the firm and the size of the audit firm are also pointed out as important elements in the determination of these fees. In the study of Owusu-Ansah, Leventis &amp; Caramanis (2010) investigating the factors pricing audit fees in Greece, the results prove that audit fees are positively related with company size, Big audit firms, auditee’s financial wealth. Surprisingly, auditor change affects audit fees in a negative way. The most important contribution of this paper is that it provided evidence for the existence of an endogenous relationship between audit fees and audit hours. The authors conclude by highlighting the importance of other factors that can influence audit fees, such as Board of Directors characteristics, audit committees’ existence and dynamic role and effective implementation of internal control measures.</w:t>
      </w:r>
    </w:p>
    <w:p w:rsidR="00FD5242" w:rsidRPr="00C64C32" w:rsidRDefault="00FD5242" w:rsidP="00F375AC">
      <w:pPr>
        <w:spacing w:line="360" w:lineRule="auto"/>
        <w:jc w:val="both"/>
        <w:rPr>
          <w:lang w:val="en-US"/>
        </w:rPr>
      </w:pPr>
      <w:r>
        <w:rPr>
          <w:lang w:val="en-US"/>
        </w:rPr>
        <w:t xml:space="preserve">    A more thorough investigation of the effects of the crisis on auditors’ conservatism will be provided in the subsequent chapter that presents prior research concerning the matter. The remainder of this part will give insight in the tight relationship between the auditors’ use of conservatism and the audit fees.</w:t>
      </w:r>
    </w:p>
    <w:p w:rsidR="00FD5242" w:rsidRDefault="00FD5242" w:rsidP="00F375AC">
      <w:pPr>
        <w:spacing w:line="360" w:lineRule="auto"/>
        <w:jc w:val="both"/>
        <w:rPr>
          <w:b/>
          <w:lang w:val="en-US"/>
        </w:rPr>
      </w:pPr>
      <w:r>
        <w:rPr>
          <w:b/>
          <w:lang w:val="en-US"/>
        </w:rPr>
        <w:t>4.5</w:t>
      </w:r>
      <w:r w:rsidRPr="00E74CCF">
        <w:rPr>
          <w:b/>
          <w:lang w:val="en-US"/>
        </w:rPr>
        <w:t xml:space="preserve"> The Association between Audit Fees and Audit Conservatism</w:t>
      </w:r>
    </w:p>
    <w:p w:rsidR="00FD5242" w:rsidRDefault="00FD5242" w:rsidP="00F375AC">
      <w:pPr>
        <w:spacing w:line="360" w:lineRule="auto"/>
        <w:jc w:val="both"/>
        <w:rPr>
          <w:lang w:val="en-US"/>
        </w:rPr>
      </w:pPr>
      <w:r>
        <w:rPr>
          <w:b/>
          <w:lang w:val="en-US"/>
        </w:rPr>
        <w:t xml:space="preserve">    </w:t>
      </w:r>
      <w:r>
        <w:rPr>
          <w:lang w:val="en-US"/>
        </w:rPr>
        <w:t>Simply stated, audit conservatism is positively related to audit fees. This relationship is quite easy to understand; when the use of audit conservatism is increased, more effort and more hours are dedicated in the conduction of a financial audit. More audit hours are compensated inevitably with higher audit fees.</w:t>
      </w:r>
    </w:p>
    <w:p w:rsidR="00FD5242" w:rsidRPr="00B61CB7" w:rsidRDefault="00FD5242" w:rsidP="00F375AC">
      <w:pPr>
        <w:spacing w:line="360" w:lineRule="auto"/>
        <w:jc w:val="both"/>
        <w:rPr>
          <w:lang w:val="en-US"/>
        </w:rPr>
      </w:pPr>
      <w:r>
        <w:rPr>
          <w:lang w:val="en-US"/>
        </w:rPr>
        <w:t xml:space="preserve">    Auditors’ reporting conservatism and the potential benefits from the establishment of price premium charges were investigated by Simunic and Stein (1996). Their intention was to demonstrate effective alternatives in order to mitigate the results of auditors’ hyperbolic use of conservatism. The empirical evidence of the study though proved to be unenthusiastic in that </w:t>
      </w:r>
      <w:r w:rsidRPr="00D0669F">
        <w:rPr>
          <w:lang w:val="en-US"/>
        </w:rPr>
        <w:t>there is no significant risk premium in audit fees</w:t>
      </w:r>
      <w:r>
        <w:rPr>
          <w:lang w:val="en-US"/>
        </w:rPr>
        <w:t>.</w:t>
      </w:r>
    </w:p>
    <w:p w:rsidR="00FD5242" w:rsidRDefault="00FD5242" w:rsidP="00F375AC">
      <w:pPr>
        <w:spacing w:line="360" w:lineRule="auto"/>
        <w:jc w:val="both"/>
        <w:rPr>
          <w:lang w:val="en-US"/>
        </w:rPr>
      </w:pPr>
      <w:r>
        <w:rPr>
          <w:lang w:val="en-US"/>
        </w:rPr>
        <w:t xml:space="preserve">    In the paper of Willekens and Achmadi (2003), the issues of price competition in the private client segment of the audit market and changes in the audit-pricing model are examined. Evidence supports in general that increased concentration in the audit market caused surprisingly increased instead of decreased price competition. The same results were observed in the older study of Maher et al. (1992). A significant decrease in audit fees was recorded between 1977 and 1981, which were years of increased competition in the auditing market. </w:t>
      </w:r>
    </w:p>
    <w:p w:rsidR="00FD5242" w:rsidRDefault="00FD5242" w:rsidP="00F375AC">
      <w:pPr>
        <w:spacing w:line="360" w:lineRule="auto"/>
        <w:jc w:val="both"/>
        <w:rPr>
          <w:lang w:val="en-US"/>
        </w:rPr>
      </w:pPr>
      <w:r>
        <w:rPr>
          <w:lang w:val="en-US"/>
        </w:rPr>
        <w:t xml:space="preserve">    The interconnections of internal and external auditing were tested in the study of Munro &amp; Stewart (2010). An interesting conclusion that came out of this paper related to audit fees is that external auditors’ lack of trust on internal audit work  can result to additional external audit fees emerging from additional audit hours. Extra fees are undoubtedly an undesirable outcome for both the client and the audit firm, since clients seek for the minimization of their expenditures and auditors strive hard for publics and clientele’s trust and recognition of high professional esteem.</w:t>
      </w:r>
    </w:p>
    <w:p w:rsidR="00FD5242" w:rsidRPr="00AF0CF0" w:rsidRDefault="00FD5242" w:rsidP="00F375AC">
      <w:pPr>
        <w:spacing w:line="360" w:lineRule="auto"/>
        <w:jc w:val="both"/>
        <w:rPr>
          <w:b/>
          <w:lang w:val="en-US"/>
        </w:rPr>
      </w:pPr>
      <w:r w:rsidRPr="00AF0CF0">
        <w:rPr>
          <w:b/>
          <w:lang w:val="en-US"/>
        </w:rPr>
        <w:t xml:space="preserve">4.6 </w:t>
      </w:r>
      <w:r>
        <w:rPr>
          <w:b/>
          <w:lang w:val="en-US"/>
        </w:rPr>
        <w:t>S</w:t>
      </w:r>
      <w:r w:rsidRPr="00AF0CF0">
        <w:rPr>
          <w:b/>
          <w:lang w:val="en-US"/>
        </w:rPr>
        <w:t>ummary</w:t>
      </w:r>
    </w:p>
    <w:p w:rsidR="00FD5242" w:rsidRDefault="00FD5242" w:rsidP="00F375AC">
      <w:pPr>
        <w:spacing w:line="360" w:lineRule="auto"/>
        <w:jc w:val="both"/>
        <w:rPr>
          <w:lang w:val="en-US"/>
        </w:rPr>
      </w:pPr>
      <w:r>
        <w:rPr>
          <w:lang w:val="en-US"/>
        </w:rPr>
        <w:t xml:space="preserve">    </w:t>
      </w:r>
      <w:r w:rsidRPr="006770AC">
        <w:rPr>
          <w:lang w:val="en-US"/>
        </w:rPr>
        <w:t>The focus of this chapter was towards the understanding of the external auditing profession and the implications of the financial crisis on it. Emphasis was direct</w:t>
      </w:r>
      <w:r>
        <w:rPr>
          <w:lang w:val="en-US"/>
        </w:rPr>
        <w:t>ed o</w:t>
      </w:r>
      <w:r w:rsidRPr="006770AC">
        <w:rPr>
          <w:lang w:val="en-US"/>
        </w:rPr>
        <w:t xml:space="preserve">n the professional standard of conservatism and the presentation of the incentives for increased audit conservatism. </w:t>
      </w:r>
      <w:r>
        <w:rPr>
          <w:lang w:val="en-US"/>
        </w:rPr>
        <w:t>P</w:t>
      </w:r>
      <w:r w:rsidRPr="006770AC">
        <w:rPr>
          <w:lang w:val="en-US"/>
        </w:rPr>
        <w:t>rofessional judgment and skepticism should be in the first row of defense in the battle between the auditing profession and the current low levels of trust from all third parties. Undoubtedly, auditors’ duty is to serve the public in an independent and unbiased manner regardless of the environmental circumstances</w:t>
      </w:r>
      <w:r>
        <w:rPr>
          <w:lang w:val="en-US"/>
        </w:rPr>
        <w:t xml:space="preserve">. </w:t>
      </w:r>
      <w:r w:rsidRPr="006770AC">
        <w:rPr>
          <w:lang w:val="en-US"/>
        </w:rPr>
        <w:t xml:space="preserve">Moreover, the findings from a large number of scientific studies have shown that auditors have strong incentives in completing their financial auditing tasks with an increased use of conservatism. </w:t>
      </w:r>
      <w:r>
        <w:rPr>
          <w:lang w:val="en-US"/>
        </w:rPr>
        <w:t>A</w:t>
      </w:r>
      <w:r w:rsidRPr="006770AC">
        <w:rPr>
          <w:lang w:val="en-US"/>
        </w:rPr>
        <w:t xml:space="preserve">udit fees </w:t>
      </w:r>
      <w:r>
        <w:rPr>
          <w:lang w:val="en-US"/>
        </w:rPr>
        <w:t>were also analy</w:t>
      </w:r>
      <w:r w:rsidRPr="006770AC">
        <w:rPr>
          <w:lang w:val="en-US"/>
        </w:rPr>
        <w:t>zed</w:t>
      </w:r>
      <w:r>
        <w:rPr>
          <w:lang w:val="en-US"/>
        </w:rPr>
        <w:t>,</w:t>
      </w:r>
      <w:r w:rsidRPr="006770AC">
        <w:rPr>
          <w:lang w:val="en-US"/>
        </w:rPr>
        <w:t xml:space="preserve"> as well as </w:t>
      </w:r>
      <w:r>
        <w:rPr>
          <w:lang w:val="en-US"/>
        </w:rPr>
        <w:t>the</w:t>
      </w:r>
      <w:r w:rsidRPr="006770AC">
        <w:rPr>
          <w:lang w:val="en-US"/>
        </w:rPr>
        <w:t xml:space="preserve"> associations </w:t>
      </w:r>
      <w:r>
        <w:rPr>
          <w:lang w:val="en-US"/>
        </w:rPr>
        <w:t>of audit fees and auditors’ conservatism</w:t>
      </w:r>
      <w:r w:rsidRPr="006770AC">
        <w:rPr>
          <w:lang w:val="en-US"/>
        </w:rPr>
        <w:t>.</w:t>
      </w:r>
    </w:p>
    <w:p w:rsidR="00FD5242" w:rsidRDefault="00FD5242" w:rsidP="00F375AC">
      <w:pPr>
        <w:spacing w:line="360" w:lineRule="auto"/>
        <w:jc w:val="both"/>
        <w:rPr>
          <w:lang w:val="en-US"/>
        </w:rPr>
      </w:pPr>
      <w:r w:rsidRPr="006770AC">
        <w:rPr>
          <w:lang w:val="en-US"/>
        </w:rPr>
        <w:t xml:space="preserve">  </w:t>
      </w:r>
      <w:r>
        <w:rPr>
          <w:lang w:val="en-US"/>
        </w:rPr>
        <w:t xml:space="preserve"> This</w:t>
      </w:r>
      <w:r w:rsidRPr="006770AC">
        <w:rPr>
          <w:lang w:val="en-US"/>
        </w:rPr>
        <w:t xml:space="preserve"> relationship between audit fees and the degree of conservatism used by independent auditors completing their professional tasks in a period of crisis will be analyzed soundly in the next Chapter. An adequate number of scientific studies have focused on the subject and their findings are almost identical. The correlation is highly predictable: the interested </w:t>
      </w:r>
      <w:r>
        <w:rPr>
          <w:lang w:val="en-US"/>
        </w:rPr>
        <w:t>in the financial statements of</w:t>
      </w:r>
      <w:r w:rsidRPr="006770AC">
        <w:rPr>
          <w:lang w:val="en-US"/>
        </w:rPr>
        <w:t xml:space="preserve"> firm parties consider auditors as the assurance experts in revealing the find</w:t>
      </w:r>
      <w:r>
        <w:rPr>
          <w:lang w:val="en-US"/>
        </w:rPr>
        <w:t xml:space="preserve">ings concerning </w:t>
      </w:r>
      <w:r w:rsidRPr="006770AC">
        <w:rPr>
          <w:lang w:val="en-US"/>
        </w:rPr>
        <w:t xml:space="preserve">the actual performance of the firm. </w:t>
      </w:r>
      <w:r>
        <w:rPr>
          <w:lang w:val="en-US"/>
        </w:rPr>
        <w:t>The subsequent part analyzes</w:t>
      </w:r>
      <w:r w:rsidRPr="006770AC">
        <w:rPr>
          <w:lang w:val="en-US"/>
        </w:rPr>
        <w:t xml:space="preserve"> the results of prior research </w:t>
      </w:r>
      <w:r>
        <w:rPr>
          <w:lang w:val="en-US"/>
        </w:rPr>
        <w:t>and provides sound background concerning</w:t>
      </w:r>
      <w:r w:rsidRPr="006770AC">
        <w:rPr>
          <w:lang w:val="en-US"/>
        </w:rPr>
        <w:t xml:space="preserve"> this expectation</w:t>
      </w:r>
      <w:r>
        <w:rPr>
          <w:lang w:val="en-US"/>
        </w:rPr>
        <w:t>,</w:t>
      </w:r>
      <w:r w:rsidRPr="006770AC">
        <w:rPr>
          <w:lang w:val="en-US"/>
        </w:rPr>
        <w:t xml:space="preserve"> and forms the model concerning the research design of this study.</w:t>
      </w:r>
    </w:p>
    <w:p w:rsidR="00FD5242" w:rsidRPr="00C8124F" w:rsidRDefault="00FD5242" w:rsidP="00F375AC">
      <w:pPr>
        <w:spacing w:line="360" w:lineRule="auto"/>
        <w:jc w:val="both"/>
        <w:rPr>
          <w:lang w:val="en-US"/>
        </w:rPr>
      </w:pPr>
      <w:r>
        <w:rPr>
          <w:lang w:val="en-US"/>
        </w:rPr>
        <w:br w:type="page"/>
      </w:r>
      <w:r w:rsidRPr="00C218B4">
        <w:rPr>
          <w:b/>
          <w:lang w:val="en-US"/>
        </w:rPr>
        <w:t>CHAPTER 5 – Prior Research</w:t>
      </w:r>
    </w:p>
    <w:p w:rsidR="00FD5242" w:rsidRPr="00415A2E" w:rsidRDefault="00FD5242" w:rsidP="00F375AC">
      <w:pPr>
        <w:spacing w:line="360" w:lineRule="auto"/>
        <w:jc w:val="both"/>
        <w:rPr>
          <w:b/>
          <w:lang w:val="en-US"/>
        </w:rPr>
      </w:pPr>
      <w:r>
        <w:rPr>
          <w:b/>
          <w:lang w:val="en-US"/>
        </w:rPr>
        <w:t>5.1 Prior Research investigation and Hypotheses development</w:t>
      </w:r>
    </w:p>
    <w:p w:rsidR="00FD5242" w:rsidRDefault="00FD5242" w:rsidP="00F375AC">
      <w:pPr>
        <w:spacing w:line="360" w:lineRule="auto"/>
        <w:jc w:val="both"/>
        <w:rPr>
          <w:lang w:val="en-US"/>
        </w:rPr>
      </w:pPr>
      <w:r>
        <w:rPr>
          <w:lang w:val="en-US"/>
        </w:rPr>
        <w:t xml:space="preserve">    Conservatism in external audits has been the main subject of many scientific papers. The most commonly investigated subjects concern the differences between the audit firms’ size and the corresponding levels of conservatism, the going-concern opinions, and the accounting accruals. Concerning all the before signaled subjects, prior research in general, has shown that Big audit firms report more conservatively than non-Big audit firms in all the afore signaled subjects and that all independent auditors are more likely to issue a going-concern opinion after the enactment of the SOX-Act of 2002.</w:t>
      </w:r>
    </w:p>
    <w:p w:rsidR="00FD5242" w:rsidRDefault="00FD5242" w:rsidP="00F375AC">
      <w:pPr>
        <w:spacing w:line="360" w:lineRule="auto"/>
        <w:jc w:val="both"/>
        <w:rPr>
          <w:lang w:val="en-US"/>
        </w:rPr>
      </w:pPr>
      <w:r>
        <w:rPr>
          <w:lang w:val="en-US"/>
        </w:rPr>
        <w:t xml:space="preserve">    Basu (1997) conducted an empirical study on the conservatism principle that became the basic model for all subsequent researches concerning conservatism. The main subject of his investigation was the systematic differences between good and bad news periods in the persistence and timeliness of earnings. He proxies concerning positive and negative unexpected annual stock returns to “bad” and “good” news respectively and found firstly that earnings are timelier or concurrently sensitive in reflecting publicly available “bad” than “good” news. More precisely, the contemporaneous sensitivity of earnings to negative returns is two to six times than that of earnings to positive returns. Secondly, he found that negative earnings changes are less persistent than the positive ones. In accordance with this asymmetry, he proved that the Earnings Response Coefficients (ERCs) are higher for the positive earnings changes than for the negative earnings changes. The last one of his findings was the stronger association of the concurrent earnings-return association in comparison with the concurrent cash flow-return association for publicly available “bad news” compared to “good news.” The examination period he used was between 1963 and 1990 and argued of for the existence of simultaneous increases in conservatism and in auditors’ exposure to legal liability during this period. The testing sample consisted of all the firm-year observations concerning that period and was investigated with a “reverse” regression method he established based on the model used by Beaver et al. (1980). His findings are overall consistent with increased conservatism over the three decades of investigation.</w:t>
      </w:r>
    </w:p>
    <w:p w:rsidR="00FD5242" w:rsidRDefault="00FD5242" w:rsidP="00F375AC">
      <w:pPr>
        <w:spacing w:line="360" w:lineRule="auto"/>
        <w:jc w:val="both"/>
        <w:rPr>
          <w:lang w:val="en-US"/>
        </w:rPr>
      </w:pPr>
      <w:r>
        <w:rPr>
          <w:lang w:val="en-US"/>
        </w:rPr>
        <w:t xml:space="preserve">    Basu, Hwang &amp; Jan (2001) examined auditors’ conservatism between the different quarterly earnings. They argued that auditors’ legal liability incentives are accounted for fourth quarter earnings being systematically different from all other interim ones, thus auditors determine earnings of fourth quarters and their components more conservatively than managers did. Their study first showed that fourth quarters are more likely to be involved with higher frequencies and magnitude of losses, negative extraordinary and special items, and negative discontinued operations. Using Basu’s (1997) model they measured conservatism by the difference in the coefficients and adjusted R²s from the “reverse” regressions of quarterly earnings on concurrent quarterly positive and negative unexpected returns, covering the twenty-four year period of 1975-1998 with in total 463.440 firm-quarter observations. They concluded that the difference in timeliness of earnings to good and bad news is greatest in the fourth quarter, also consistent with increased auditors’ conservatism. The authors provided also evidence of rational and quick auditor responses to changes in their environment by showing that fourth quarter earnings are more sensitive in high auditor liability periods. The clear assumption made at this point is that since a crisis period is similar to a fourth quarter in terms of increased frequencies and magnitudes of losses, negative items, and discontinued operations and legal liability exposure, increased conservatism is to be expected from the auditors’ side emerging from the current financial downturn. </w:t>
      </w:r>
    </w:p>
    <w:p w:rsidR="00FD5242" w:rsidRDefault="00FD5242" w:rsidP="00F375AC">
      <w:pPr>
        <w:spacing w:line="360" w:lineRule="auto"/>
        <w:jc w:val="both"/>
        <w:rPr>
          <w:lang w:val="en-US"/>
        </w:rPr>
      </w:pPr>
      <w:r>
        <w:rPr>
          <w:lang w:val="en-US"/>
        </w:rPr>
        <w:t xml:space="preserve">    The study of Francis &amp; Krishnan (1999), provide similar implications while emphasizing on auditors’ conservatism in relation with accounting accruals. It is argued that since accruals increase inherent audit risk due to their increased potential manipulation by the managers, auditors are more likely to issue a modified report for either asset realization doubts or going concern problems, whereas the possibility increases in the case of a high-accrual firm. Auditors lower their threshold for issuing a modified audit report</w:t>
      </w:r>
      <w:r>
        <w:rPr>
          <w:rStyle w:val="FootnoteReference"/>
          <w:lang w:val="en-US"/>
        </w:rPr>
        <w:footnoteReference w:id="6"/>
      </w:r>
      <w:r>
        <w:rPr>
          <w:lang w:val="en-US"/>
        </w:rPr>
        <w:t xml:space="preserve">, posed by the authors as “auditor reporting conservatism” resulting in a higher amount of both types of modified audit reports. The empirical part of the research was conducted with the probit model (two level and three level probit models) of auditor reporting developed in Krishnan (1994) and Krishnan and Stephens (1995). The authors focused on determining if auditors’ likelihood of issuing a modified opinion differed between high-accrual and low-accrual firms, after controlling for other factors that influence the decision of the audit opinion. The final sample consisted of 2.068 stock exchange quoted U.S. companies and the respective data was collected from the years 1986 and 1987. The conclusion was that auditors are twice more likely to issue a modified audit opinion for high-accrual firms, and on a second level that income-increasing accruals result in increased reporting conservatism compared to income-decreasing accruals. Income-increasing accruals and the selection of profit-increasing accounting practices by managers are expected in turbulent times such as the current financial crisis period, enhancing the assumption for increased audit conservatism during the current financial downturn. Francis &amp; Krishnan (1999) also extended their research by introducing the audit firm’s size variable and found that only Big audit firms (six at the time) show evidence of reporting conservatism. </w:t>
      </w:r>
      <w:r w:rsidRPr="00C21250">
        <w:rPr>
          <w:lang w:val="en-US"/>
        </w:rPr>
        <w:t>This finding contributes to the selection of this study’s sample that will consist of firms audited by one of the Big audit firms.</w:t>
      </w:r>
    </w:p>
    <w:p w:rsidR="00FD5242" w:rsidRDefault="00FD5242" w:rsidP="00F375AC">
      <w:pPr>
        <w:spacing w:line="360" w:lineRule="auto"/>
        <w:jc w:val="both"/>
        <w:rPr>
          <w:lang w:val="en-US"/>
        </w:rPr>
      </w:pPr>
      <w:r>
        <w:rPr>
          <w:lang w:val="en-US"/>
        </w:rPr>
        <w:t xml:space="preserve">    Going-concern opinions were the main subject in the research of Geiger, Raghunandan and Rama (2005) that investigated auditors’ reporting decisions associated with the establishment of the SOX-Act. The SOX-Act was qualified as the result of enormous legislative and media scrutiny that emerged from the continuous auditing failures of the years before 2002. In December 2001, the congressional hearings concerning the Act began, consequently this point was chosen as the distinguishing one for the periods examined. The focus was concentrated in firms that had already entered bankruptcy. Precisely, the authors examined the changes in the likelihood of bankrupt firms having received a prior going-concern opinion. They hypothesized that auditors’ reporting decisions would be more conservative after December 2001, leading to a higher possibility of bankrupt firms having received a prior going-concern modified audit opinion. Their sample consists of 226 firms that during the period between of 2000 and 2003 were confronted with bankruptcy, and was tested through a multivariate logistic regression model. The findings proved that after controlling for financial stress, default status, client size, bankruptcy, and reporting lags, industry type and auditor size, auditors issued more going-concern modified opinions after December 2001. In more detail, 70% of the bankrupt firms had already received a going-concern opinion prior to the bankruptcy in the 2002-2003 periods, while the percentage decreases significantly to 40% in the 2000-2001 periods. In order to confirm the results without any limitations emerging from environmental conditions, they tested bankrupt firms from two different but with same circumstantial outline periods, 2002-2003 and 1991-1992 respectively, characterized as “recovery from recession” periods and found again that auditors issued more modified going-concern opinions in the latter period than in the precedent one. The findings were the same, verifying that the changes in the going-concern rates after December 2001 are accounted in changes in client characteristics and auditors’ reporting practices. This tendency of increased auditors’ conservatism was already signaled by Francis &amp; Krishnan (1999). The statistical analysis proved in numbers that 60% of the increased likelihood of a going-concern modified opinion after December 2001 is attributed to the increased audit conservatism rates. This evidence also supports the existence of strong self-correcting dynamics within the audit profession’s scope. Lastly, another interesting finding that came into spotlight was that the increased audit conservatism is associated with delays in the auditing procedures. The associations between the audit fees and the delays in the assuring procedures and the recession phases of the investigated periods draw the attention on the strong association between auditors’ conservatism, audit fees, and the financially stressed period of the last years. It is more than reasonable to assume that this period is demanding for the use of increased conservatism during the conduction of independent financial audits, which results in higher audit fees.</w:t>
      </w:r>
    </w:p>
    <w:p w:rsidR="00FD5242" w:rsidRDefault="00FD5242" w:rsidP="00F375AC">
      <w:pPr>
        <w:spacing w:line="360" w:lineRule="auto"/>
        <w:jc w:val="both"/>
        <w:rPr>
          <w:lang w:val="en-US"/>
        </w:rPr>
      </w:pPr>
      <w:r>
        <w:rPr>
          <w:lang w:val="en-US"/>
        </w:rPr>
        <w:t xml:space="preserve">    Another study that has contributed in the understanding of the timeliness in auditors’ increased levels of conservatism is that of Fargher &amp; Jiang (2008). They hypothesized that auditors would be more likely to issue a going-concern modified audit report to financially stressed companies immediately after the turbulent for the independent auditing profession period of 2000-2002. They confirmed this hypothesis after testing a sample of 1769 Australian stock exchange quoted companies for the pre-crisis period and 3344 Australian stock exchange quoted companies for the post-crisis period. The statistical model used in was separated in a two-stage and a single-stage analysis of two multivariate regression equations developed. In more detail, the going-concern modification rate was increased from 8% in 1999 to 13% in 2003. However, while testing the years after the first responding to the increased litigation, scrutiny, and public distrust against the audit profession period, their findings provided insignificant evidence of increased audit conservatism. This finding implies that auditors are more motivated to make use of increased professional judgment and effort in crisis periods concerning their profession or the business world in general. Additionally, research has shown increased audit effort after 2002 (Bedard &amp; Johnstone, 2005) and higher levels of professional skepticism in the conduction of financial audits after the same year (Secru et al., 2006). These studies provide stronger support in the expectation of increased audit conservatism during the years of the proved financial crisis of 2008-2009, especially after the high-profile professional collapse caused by huge financial institutions’ bankruptcies soon after receiving an unqualified audit report.</w:t>
      </w:r>
    </w:p>
    <w:p w:rsidR="00FD5242" w:rsidRDefault="00FD5242" w:rsidP="00F375AC">
      <w:pPr>
        <w:spacing w:line="360" w:lineRule="auto"/>
        <w:jc w:val="both"/>
        <w:rPr>
          <w:lang w:val="en-US"/>
        </w:rPr>
      </w:pPr>
      <w:r>
        <w:rPr>
          <w:lang w:val="en-US"/>
        </w:rPr>
        <w:t xml:space="preserve">    Herrmann, Pornupatham, Vichitsarawong (2009) examined the impact of the Asian financial crisis on auditors’ conservatism in general, and the differences between the conservatism of Big Four and non-Big Four auditors during the investigated period. They examined first the link between audit firms size and audit quality (Arrunanda, 1999; Krishnan &amp; Schauer, 2000; Malone &amp; Roberts, 1999; Moizer, 1997). Secondly, while investigating the link between conservatism and audit firm size (Basu et al., 2001; Chung et al., 2003; Lee at al., 2003), they searched for the impacts of the Asian financial crisis on auditors’ conservatism and separated their sample in Big Four and non-Big Four auditors. They tested a sample consisting of 311 observations during the crisis period of 1997-1998 and 978 observations during the post-crisis period of 1999-2003 and discovered that companies audited by Big Four firms report more conservatively than companies audited by non-Big Four firms did. They also found out that Thai companies, in general, reported more aggressively during the financial crisis and more conservatively in the period following the financial crisis. More specifically, during the crisis the Big Four audit clients reported more conservatively than non-Big Four audit clients did. The findings were not the same when it comes to the post-crisis period: no difference was discovered in the conservatism levels between Big Four audit clients and non-</w:t>
      </w:r>
      <w:r w:rsidRPr="00DB27C4">
        <w:rPr>
          <w:lang w:val="en-US"/>
        </w:rPr>
        <w:t xml:space="preserve"> </w:t>
      </w:r>
      <w:r>
        <w:rPr>
          <w:lang w:val="en-US"/>
        </w:rPr>
        <w:t xml:space="preserve">Big Four audit clients. </w:t>
      </w:r>
    </w:p>
    <w:p w:rsidR="00FD5242" w:rsidRDefault="00FD5242" w:rsidP="00F375AC">
      <w:pPr>
        <w:spacing w:line="360" w:lineRule="auto"/>
        <w:jc w:val="both"/>
        <w:rPr>
          <w:lang w:val="en-US"/>
        </w:rPr>
      </w:pPr>
      <w:r>
        <w:rPr>
          <w:lang w:val="en-US"/>
        </w:rPr>
        <w:t xml:space="preserve">    In order to test auditors’ behavior in turbulent times concerning the dominant Big Four audit firms operating in the Netherlands, a research was conducted by the Netherlands Authority for the Financial Markets (AFM) in September 2010. This body was established by the Act on the supervision of audit firms in 2006</w:t>
      </w:r>
      <w:r>
        <w:rPr>
          <w:rStyle w:val="FootnoteReference"/>
          <w:lang w:val="en-US"/>
        </w:rPr>
        <w:footnoteReference w:id="7"/>
      </w:r>
      <w:r>
        <w:rPr>
          <w:lang w:val="en-US"/>
        </w:rPr>
        <w:t>, who determined the rules and the duties of auditors performing statutory audits. The rules concern mostly the mandatory licenses provided by the Authority regarding statutory audits, the mandatory supervision of the audits by the Authority, and the compliance with handouts regarding the fundamental aspects of the external auditing profession, which are independence, competence, objectivity, and integrity. The research was conducted in 2009 and concerned data for the financial statement audits operated by the Big Four audit firms: KPMG, Ernst &amp; Young, PriceWaterhouseCoopers, and Deloitte-Touche-</w:t>
      </w:r>
      <w:r w:rsidRPr="00693CAB">
        <w:rPr>
          <w:lang w:val="en-US"/>
        </w:rPr>
        <w:t>Tohmatsu</w:t>
      </w:r>
      <w:r>
        <w:rPr>
          <w:lang w:val="en-US"/>
        </w:rPr>
        <w:t>. These firms conduct the 80% of total Sales statutory audits in the Netherlands.</w:t>
      </w:r>
    </w:p>
    <w:p w:rsidR="00FD5242" w:rsidRDefault="00FD5242" w:rsidP="00F375AC">
      <w:pPr>
        <w:spacing w:line="360" w:lineRule="auto"/>
        <w:jc w:val="both"/>
        <w:rPr>
          <w:lang w:val="en-US"/>
        </w:rPr>
      </w:pPr>
      <w:r>
        <w:rPr>
          <w:lang w:val="en-US"/>
        </w:rPr>
        <w:t>The research used a sample concerning data of 46 audits, reporting on the statements of public interest entities (involved in the construction, real estate, automotive, banking and insurance sectors, and municipalities, as well as housing associations) that are stock exchange quoted. The findings were rather disappointing in that they showed that auditors performed lower quality audits. Specifically, these lower quality audits were related with lack of professional skepticism, insufficient audit evidence and documentation, and insufficient reliance in the activities of other auditors such as the internal auditors, the auditors of foreign subsidiaries and other experts such as IT executives. Moreover, evidence revealed that auditors conducted insufficient system-oriented activities and that they had insufficient involvement in other firm activities. An inadequate system of quality assurance was also found concerning the role of the compliance officer and the system of internal reviews, along with a reduced level of commitment regarding the considerations of the quality in carrying out an engagement quality control. Additionally, another significant finding was that these audits were carried out without complete records concerning any violations discovered and the relevant actions taken. In relation with the investigated elements of this study, the research of the official Dutch body authorized with the supervision of the external auditors proved the use of decreased levels of conservatism.</w:t>
      </w:r>
    </w:p>
    <w:p w:rsidR="00FD5242" w:rsidRDefault="00FD5242" w:rsidP="00F375AC">
      <w:pPr>
        <w:spacing w:line="360" w:lineRule="auto"/>
        <w:jc w:val="both"/>
        <w:rPr>
          <w:lang w:val="en-US"/>
        </w:rPr>
      </w:pPr>
      <w:r>
        <w:rPr>
          <w:lang w:val="en-US"/>
        </w:rPr>
        <w:t xml:space="preserve">    The focus of this research would be concentrated on clients of both types of audit firms, however the sample used was audited exclusively by Big Four audit firms. A contradicting phenomenon exists, in that several banks and other enterprises around the world had received an unqualified opinion soon before they filed for bankruptcy or completely dissolved while being audited by one of the Big Four audit firms. Since this happened right before the “explosion” of the crisis and the auditing profession came down in the light of the microscope and the reputation and the public view was at stake (and still is), it is reasonably expected that during the crisis period auditors’ conservatism would be increased. In general, there are also contradicting scientific studies concerning the quality of audits conducted by the Big and the non-Big audit firms. A detailed explanation concerning this “higher quality” will be provided in the research design part, where the choice of the sample of this study will be thoroughly analyzed and explained.</w:t>
      </w:r>
    </w:p>
    <w:p w:rsidR="00FD5242" w:rsidRDefault="00FD5242" w:rsidP="00F375AC">
      <w:pPr>
        <w:spacing w:line="360" w:lineRule="auto"/>
        <w:jc w:val="both"/>
        <w:rPr>
          <w:lang w:val="en-US"/>
        </w:rPr>
      </w:pPr>
      <w:r>
        <w:rPr>
          <w:lang w:val="en-US"/>
        </w:rPr>
        <w:t xml:space="preserve">    </w:t>
      </w:r>
      <w:r w:rsidRPr="00C03D27">
        <w:rPr>
          <w:lang w:val="en-US"/>
        </w:rPr>
        <w:t>Gul et al</w:t>
      </w:r>
      <w:r>
        <w:rPr>
          <w:lang w:val="en-US"/>
        </w:rPr>
        <w:t>. (2008)</w:t>
      </w:r>
      <w:r w:rsidRPr="00C03D27">
        <w:rPr>
          <w:lang w:val="en-US"/>
        </w:rPr>
        <w:t xml:space="preserve"> examined in th</w:t>
      </w:r>
      <w:r>
        <w:rPr>
          <w:lang w:val="en-US"/>
        </w:rPr>
        <w:t xml:space="preserve">eir study the relationship between the Asian financial crisis and the Accounting conservatism and Audit fees. Their first objective was to prove that the Asian financial downturn between the years 1996-1997 was indeed a crisis. As evidence concerning this statement, the authors decided to take into account the number of the dissolved enterprises during the years observed. As expected, the number of deregistered firms of the years 1996 and 1997 approximately doubled compared to the one of 1995, and became approximately ten times the number of the deregistered firms of 1994. Their second hypothesis involved conservatism and audit fees during the crisis. 2061 Hong Kong registered and deregistered firms from 1990 until 1997 consisted the sample for the empirical tests conducted. It is important here to note that they took into account the rarely used, adversely related to the auditing conservatism concept of accounting conservatism. Precisely, they argued that client favorable financial statements are preferable in years of financial downturn and constitute the result of less accounting conservatism. The less accounting conservatism is translated in an increased audit effort. This is due to the fact that more evidence have to be accumulated and thorough investigation through more substantial tests and analytical procedures have to take part that result inevitably in increased audit fees. </w:t>
      </w:r>
      <w:r w:rsidRPr="00E009C4">
        <w:rPr>
          <w:lang w:val="en-US"/>
        </w:rPr>
        <w:t xml:space="preserve">When firms report aggressively, a suspicion of </w:t>
      </w:r>
      <w:r>
        <w:rPr>
          <w:lang w:val="en-US"/>
        </w:rPr>
        <w:t xml:space="preserve">GAAP violation comes into light. Furthermore, inaccuracies and vagueness in the financial statements reduce the reliability of accounting numbers and financial statements’ disclosures. Despite the additional effort needed from the auditors to assure for the fairness of the reported results, there is a higher possibility of a litigation and damaged reputation emerging from materially misstated statements. This leads to more conservative audit treatment and consequently higher audit fees. </w:t>
      </w:r>
    </w:p>
    <w:p w:rsidR="00FD5242" w:rsidRPr="003D3256" w:rsidRDefault="00FD5242" w:rsidP="00F375AC">
      <w:pPr>
        <w:spacing w:line="360" w:lineRule="auto"/>
        <w:jc w:val="both"/>
        <w:rPr>
          <w:lang w:val="en-US"/>
        </w:rPr>
      </w:pPr>
      <w:r>
        <w:rPr>
          <w:lang w:val="en-US"/>
        </w:rPr>
        <w:t>Considering all the before signaled theory, the following hypothesis is formulated:</w:t>
      </w:r>
    </w:p>
    <w:p w:rsidR="00FD5242" w:rsidRDefault="00FD5242" w:rsidP="00F375AC">
      <w:pPr>
        <w:spacing w:line="360" w:lineRule="auto"/>
        <w:jc w:val="both"/>
        <w:rPr>
          <w:b/>
          <w:i/>
          <w:lang w:val="en-US"/>
        </w:rPr>
      </w:pPr>
      <w:r w:rsidRPr="002F0138">
        <w:rPr>
          <w:b/>
          <w:i/>
          <w:sz w:val="24"/>
          <w:szCs w:val="24"/>
          <w:u w:val="single"/>
          <w:lang w:val="en-US"/>
        </w:rPr>
        <w:t xml:space="preserve">Hypothesis </w:t>
      </w:r>
      <w:r w:rsidRPr="003C043F">
        <w:rPr>
          <w:b/>
          <w:i/>
          <w:sz w:val="26"/>
          <w:szCs w:val="26"/>
          <w:u w:val="single"/>
          <w:lang w:val="en-US"/>
        </w:rPr>
        <w:t>1</w:t>
      </w:r>
      <w:r w:rsidRPr="00662D21">
        <w:rPr>
          <w:b/>
          <w:i/>
          <w:lang w:val="en-US"/>
        </w:rPr>
        <w:t xml:space="preserve">: </w:t>
      </w:r>
    </w:p>
    <w:p w:rsidR="00FD5242" w:rsidRDefault="00FD5242" w:rsidP="00F375AC">
      <w:pPr>
        <w:spacing w:line="360" w:lineRule="auto"/>
        <w:jc w:val="both"/>
        <w:rPr>
          <w:b/>
          <w:i/>
          <w:lang w:val="en-US"/>
        </w:rPr>
      </w:pPr>
      <w:r w:rsidRPr="00662D21">
        <w:rPr>
          <w:b/>
          <w:i/>
          <w:lang w:val="en-US"/>
        </w:rPr>
        <w:t>The current financial crisis has resulted in increased auditing conservatis</w:t>
      </w:r>
      <w:r>
        <w:rPr>
          <w:b/>
          <w:i/>
          <w:lang w:val="en-US"/>
        </w:rPr>
        <w:t>m during the crisis period</w:t>
      </w:r>
      <w:r w:rsidRPr="00662D21">
        <w:rPr>
          <w:b/>
          <w:i/>
          <w:lang w:val="en-US"/>
        </w:rPr>
        <w:t xml:space="preserve"> compared to the prior-crisis period</w:t>
      </w:r>
      <w:r>
        <w:rPr>
          <w:b/>
          <w:i/>
          <w:lang w:val="en-US"/>
        </w:rPr>
        <w:t>, concerning the Dutch stock exchange quoted companies.</w:t>
      </w:r>
    </w:p>
    <w:p w:rsidR="00FD5242" w:rsidRDefault="00FD5242" w:rsidP="00F375AC">
      <w:pPr>
        <w:spacing w:line="360" w:lineRule="auto"/>
        <w:jc w:val="both"/>
        <w:rPr>
          <w:lang w:val="en-US"/>
        </w:rPr>
      </w:pPr>
      <w:r>
        <w:rPr>
          <w:lang w:val="en-US"/>
        </w:rPr>
        <w:t xml:space="preserve">    Gul et al. (2008) extended their research on the relation between the increased levels of audit conservatism and the audit fees. Evidence proved the positive relationship between auditors’ conservatism and audit fees. Surprisingly interesting for the authors was the fact that during financial downturns, managerial incentives for less accounting conservatism increases audit fees “</w:t>
      </w:r>
      <w:r w:rsidRPr="00E009C4">
        <w:rPr>
          <w:lang w:val="en-US"/>
        </w:rPr>
        <w:t>precisely wh</w:t>
      </w:r>
      <w:r>
        <w:rPr>
          <w:lang w:val="en-US"/>
        </w:rPr>
        <w:t>en the firms can least affords such an increase” (pp. 1). They argued that the decreased accounting conservatism level is highly significant because it also addresses a hidden cost of the financial downturns</w:t>
      </w:r>
      <w:r>
        <w:rPr>
          <w:rStyle w:val="FootnoteReference"/>
          <w:lang w:val="en-US"/>
        </w:rPr>
        <w:footnoteReference w:id="8"/>
      </w:r>
      <w:r>
        <w:rPr>
          <w:lang w:val="en-US"/>
        </w:rPr>
        <w:t xml:space="preserve">, the </w:t>
      </w:r>
      <w:r w:rsidRPr="00E009C4">
        <w:rPr>
          <w:lang w:val="en-US"/>
        </w:rPr>
        <w:t xml:space="preserve">indirect effect of the </w:t>
      </w:r>
      <w:r>
        <w:rPr>
          <w:lang w:val="en-US"/>
        </w:rPr>
        <w:t>existent</w:t>
      </w:r>
      <w:r w:rsidRPr="00E009C4">
        <w:rPr>
          <w:lang w:val="en-US"/>
        </w:rPr>
        <w:t xml:space="preserve"> incentive contracts</w:t>
      </w:r>
      <w:r>
        <w:rPr>
          <w:lang w:val="en-US"/>
        </w:rPr>
        <w:t xml:space="preserve">. The increased managers’ pressure for favorable reporting is the main cause of the high audit fees, since they excluded inflation impacts and financial crisis’s impacts </w:t>
      </w:r>
      <w:r w:rsidRPr="00D41117">
        <w:rPr>
          <w:i/>
          <w:lang w:val="en-US"/>
        </w:rPr>
        <w:t>per se</w:t>
      </w:r>
      <w:r>
        <w:rPr>
          <w:lang w:val="en-US"/>
        </w:rPr>
        <w:t xml:space="preserve"> on increased audit fees by examining a longer period of time that confirmed their findings. </w:t>
      </w:r>
    </w:p>
    <w:p w:rsidR="00FD5242" w:rsidRDefault="00FD5242" w:rsidP="00F375AC">
      <w:pPr>
        <w:spacing w:line="360" w:lineRule="auto"/>
        <w:jc w:val="both"/>
        <w:rPr>
          <w:lang w:val="en-US"/>
        </w:rPr>
      </w:pPr>
      <w:r>
        <w:rPr>
          <w:lang w:val="en-US"/>
        </w:rPr>
        <w:t xml:space="preserve">    Another study confirming the causes of a boost in the audit fee amounts is the one of Gul et al. (2003) investigating discretionary accruals and their relations with managers’ incentives and audit fees. The discretionary accruals are subject of thorough accounting treatment, since they are uncertain accruals that can be easily manipulated. Consequently, auditors increase the level of the inherent risk appraisal of the audit procedures leading to increased audit effort and at the bottom line to higher audit fees. The sample consisted of 648 Australian firms of the year 1993 that were tested through a multiple-regression audit fee model with Ordinary Least Squares (OLS) regressions. They formatted the findings of their research concerning the audit fees in arguing that there is a positive association between discretionary accruals and audit fees, </w:t>
      </w:r>
      <w:r w:rsidRPr="00615DD5">
        <w:rPr>
          <w:i/>
          <w:lang w:val="en-US"/>
        </w:rPr>
        <w:t>ceteris paribus</w:t>
      </w:r>
      <w:r>
        <w:rPr>
          <w:lang w:val="en-US"/>
        </w:rPr>
        <w:t>. Discretionary accruals were proved lower in amount after the enforcement SOX-Act of 2002 as examined by Lai (2003), thus it can be argued that they are treated with higher professional skepticism and higher conservatism by auditors. Since discretionary accruals are positively associated with audit fees, the reasonable assumption is that higher levels of auditing conservatism are also associated with higher audit fees. Consistent with these findings, Shengupta &amp; Shen (2007) also proved that firms with poorer quality accruals is associated with higher audit fees, due to the increased audit effort and professional skepticism demanded by the CPAs.</w:t>
      </w:r>
    </w:p>
    <w:p w:rsidR="00FD5242" w:rsidRDefault="00FD5242" w:rsidP="00F375AC">
      <w:pPr>
        <w:spacing w:line="360" w:lineRule="auto"/>
        <w:jc w:val="both"/>
        <w:rPr>
          <w:lang w:val="en-US"/>
        </w:rPr>
      </w:pPr>
      <w:r>
        <w:rPr>
          <w:lang w:val="en-US"/>
        </w:rPr>
        <w:t xml:space="preserve">    Jarva’s (2010) research is also consistent with increased audit fees emerging from increased professional skepticism and audit effort. He examined the consequences of SFAS 142 goodwill write-offs with a sample of 277 SFAS 142 goodwill write-offs taken from the period between 2002 and 2005, by using a two-stage statistical approach of a propensity score matching method followed by a regression analysis. The evidence signaled that write-off firms pay higher future audit fees. This suggests that auditors charge higher fees due to the extra effort necessary for the goodwill amortization and impairment testing or due to the additional risk faced by themselves. </w:t>
      </w:r>
    </w:p>
    <w:p w:rsidR="00FD5242" w:rsidRDefault="00FD5242" w:rsidP="00F375AC">
      <w:pPr>
        <w:spacing w:line="360" w:lineRule="auto"/>
        <w:jc w:val="both"/>
        <w:rPr>
          <w:lang w:val="en-US"/>
        </w:rPr>
      </w:pPr>
      <w:r>
        <w:rPr>
          <w:lang w:val="en-US"/>
        </w:rPr>
        <w:t>The findings of Jarva (2010) are consisted with efficient audit pricing, as it is the case for all the referring studies. Their findings contributed broadly to the audit fee literature and to the formation of the second hypothesized claim of this study.</w:t>
      </w:r>
    </w:p>
    <w:p w:rsidR="00FD5242" w:rsidRDefault="00FD5242" w:rsidP="00F375AC">
      <w:pPr>
        <w:spacing w:line="360" w:lineRule="auto"/>
        <w:jc w:val="both"/>
        <w:rPr>
          <w:lang w:val="en-US"/>
        </w:rPr>
      </w:pPr>
      <w:r>
        <w:rPr>
          <w:lang w:val="en-US"/>
        </w:rPr>
        <w:t xml:space="preserve">    High audit fees already existed at the times right before the financial crisis’s breakdown. In addition, the unqualified opinions presented to firms that went bankrupted soon after these opinions came public, the investigation of the differences in the audit fees during the current global financial crisis consists the second primary concern of this research, which is constructed as following:</w:t>
      </w:r>
    </w:p>
    <w:p w:rsidR="00FD5242" w:rsidRDefault="00FD5242" w:rsidP="00F375AC">
      <w:pPr>
        <w:spacing w:line="360" w:lineRule="auto"/>
        <w:jc w:val="both"/>
        <w:rPr>
          <w:b/>
          <w:i/>
          <w:lang w:val="en-US"/>
        </w:rPr>
      </w:pPr>
      <w:r w:rsidRPr="002F0138">
        <w:rPr>
          <w:b/>
          <w:i/>
          <w:sz w:val="24"/>
          <w:szCs w:val="24"/>
          <w:u w:val="single"/>
          <w:lang w:val="en-US"/>
        </w:rPr>
        <w:t>Hypothesis 2</w:t>
      </w:r>
      <w:r w:rsidRPr="00662D21">
        <w:rPr>
          <w:b/>
          <w:i/>
          <w:lang w:val="en-US"/>
        </w:rPr>
        <w:t xml:space="preserve">: </w:t>
      </w:r>
    </w:p>
    <w:p w:rsidR="00FD5242" w:rsidRPr="003D3256" w:rsidRDefault="00FD5242" w:rsidP="00F375AC">
      <w:pPr>
        <w:spacing w:line="360" w:lineRule="auto"/>
        <w:jc w:val="both"/>
        <w:rPr>
          <w:lang w:val="en-US"/>
        </w:rPr>
      </w:pPr>
      <w:r w:rsidRPr="00662D21">
        <w:rPr>
          <w:b/>
          <w:i/>
          <w:lang w:val="en-US"/>
        </w:rPr>
        <w:t xml:space="preserve">The current financial crisis has resulted in increased audit fees, </w:t>
      </w:r>
      <w:r>
        <w:rPr>
          <w:b/>
          <w:i/>
          <w:lang w:val="en-US"/>
        </w:rPr>
        <w:t xml:space="preserve">because </w:t>
      </w:r>
      <w:r w:rsidRPr="00662D21">
        <w:rPr>
          <w:b/>
          <w:i/>
          <w:lang w:val="en-US"/>
        </w:rPr>
        <w:t>of the increased audit efforts</w:t>
      </w:r>
      <w:r>
        <w:rPr>
          <w:b/>
          <w:i/>
          <w:lang w:val="en-US"/>
        </w:rPr>
        <w:t>, concerning the Dutch stock exchange quoted companies.</w:t>
      </w:r>
    </w:p>
    <w:p w:rsidR="00FD5242" w:rsidRDefault="00FD5242" w:rsidP="0066780B">
      <w:pPr>
        <w:spacing w:line="360" w:lineRule="auto"/>
        <w:jc w:val="both"/>
        <w:rPr>
          <w:lang w:val="en-US"/>
        </w:rPr>
      </w:pPr>
      <w:r>
        <w:rPr>
          <w:lang w:val="en-US"/>
        </w:rPr>
        <w:t xml:space="preserve">    Since the current financial crisis has undoubtedly affected the external auditing profession in a major scale, both hypotheses are expected to be confirmed. The focus of this research is the magnitude and the orientation of these impacts respectively. Another interesting issue to be investigated is if conservatism plays the most important feature of the audit fee amount, in the case of increased auditors’ conservatism. It can be argued that it could be sidelined from the auditors’ efforts to attract more or retain their clients by negotiating fees in order to adjust to the inevitable severe liquidity shortages emerging from the financial downturn. A brief summary highlighting the prior research’s findings is provided with the subsequent Table form. These prior studies, their research designs and findings constitute the fundamental foundation of the hypothesized claims and the empirical examination of this study.</w:t>
      </w:r>
    </w:p>
    <w:p w:rsidR="00FD5242" w:rsidRDefault="00FD5242" w:rsidP="0066780B">
      <w:pPr>
        <w:spacing w:line="360" w:lineRule="auto"/>
        <w:jc w:val="both"/>
        <w:rPr>
          <w:lang w:val="en-US"/>
        </w:rPr>
      </w:pPr>
      <w:r>
        <w:rPr>
          <w:lang w:val="en-US"/>
        </w:rPr>
        <w:br w:type="page"/>
        <w:t>Summary of prior research: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526"/>
        <w:gridCol w:w="1669"/>
        <w:gridCol w:w="1654"/>
        <w:gridCol w:w="1675"/>
        <w:gridCol w:w="1670"/>
      </w:tblGrid>
      <w:tr w:rsidR="00FD5242" w:rsidRPr="0087010D" w:rsidTr="0087010D">
        <w:tc>
          <w:tcPr>
            <w:tcW w:w="1526" w:type="dxa"/>
          </w:tcPr>
          <w:p w:rsidR="00FD5242" w:rsidRPr="0087010D" w:rsidRDefault="00FD5242" w:rsidP="0087010D">
            <w:pPr>
              <w:spacing w:after="0" w:line="360" w:lineRule="auto"/>
              <w:jc w:val="both"/>
              <w:rPr>
                <w:b/>
                <w:i/>
                <w:lang w:val="en-US"/>
              </w:rPr>
            </w:pPr>
            <w:r w:rsidRPr="0087010D">
              <w:rPr>
                <w:b/>
                <w:i/>
                <w:lang w:val="en-US"/>
              </w:rPr>
              <w:t>Authors (Year)</w:t>
            </w:r>
          </w:p>
        </w:tc>
        <w:tc>
          <w:tcPr>
            <w:tcW w:w="1669" w:type="dxa"/>
          </w:tcPr>
          <w:p w:rsidR="00FD5242" w:rsidRPr="0087010D" w:rsidRDefault="00FD5242" w:rsidP="0087010D">
            <w:pPr>
              <w:spacing w:after="0" w:line="360" w:lineRule="auto"/>
              <w:jc w:val="both"/>
              <w:rPr>
                <w:b/>
                <w:i/>
                <w:lang w:val="en-US"/>
              </w:rPr>
            </w:pPr>
            <w:r w:rsidRPr="0087010D">
              <w:rPr>
                <w:b/>
                <w:i/>
                <w:lang w:val="en-US"/>
              </w:rPr>
              <w:t xml:space="preserve">Object </w:t>
            </w:r>
          </w:p>
        </w:tc>
        <w:tc>
          <w:tcPr>
            <w:tcW w:w="1654" w:type="dxa"/>
          </w:tcPr>
          <w:p w:rsidR="00FD5242" w:rsidRPr="0087010D" w:rsidRDefault="00FD5242" w:rsidP="0087010D">
            <w:pPr>
              <w:spacing w:after="0" w:line="360" w:lineRule="auto"/>
              <w:jc w:val="both"/>
              <w:rPr>
                <w:b/>
                <w:i/>
                <w:lang w:val="en-US"/>
              </w:rPr>
            </w:pPr>
            <w:r w:rsidRPr="0087010D">
              <w:rPr>
                <w:b/>
                <w:i/>
                <w:lang w:val="en-US"/>
              </w:rPr>
              <w:t>Sample</w:t>
            </w:r>
          </w:p>
        </w:tc>
        <w:tc>
          <w:tcPr>
            <w:tcW w:w="1675" w:type="dxa"/>
          </w:tcPr>
          <w:p w:rsidR="00FD5242" w:rsidRPr="0087010D" w:rsidRDefault="00FD5242" w:rsidP="0087010D">
            <w:pPr>
              <w:spacing w:after="0" w:line="360" w:lineRule="auto"/>
              <w:jc w:val="both"/>
              <w:rPr>
                <w:b/>
                <w:i/>
                <w:lang w:val="en-US"/>
              </w:rPr>
            </w:pPr>
            <w:r w:rsidRPr="0087010D">
              <w:rPr>
                <w:b/>
                <w:i/>
                <w:lang w:val="en-US"/>
              </w:rPr>
              <w:t>Methodology</w:t>
            </w:r>
          </w:p>
        </w:tc>
        <w:tc>
          <w:tcPr>
            <w:tcW w:w="1670" w:type="dxa"/>
          </w:tcPr>
          <w:p w:rsidR="00FD5242" w:rsidRPr="0087010D" w:rsidRDefault="00FD5242" w:rsidP="0087010D">
            <w:pPr>
              <w:spacing w:after="0" w:line="360" w:lineRule="auto"/>
              <w:jc w:val="both"/>
              <w:rPr>
                <w:b/>
                <w:i/>
                <w:lang w:val="en-US"/>
              </w:rPr>
            </w:pPr>
            <w:r w:rsidRPr="0087010D">
              <w:rPr>
                <w:b/>
                <w:i/>
                <w:lang w:val="en-US"/>
              </w:rPr>
              <w:t>Outcome</w:t>
            </w:r>
          </w:p>
        </w:tc>
      </w:tr>
      <w:tr w:rsidR="00FD5242" w:rsidRPr="009E2EF6" w:rsidTr="0087010D">
        <w:tc>
          <w:tcPr>
            <w:tcW w:w="1526" w:type="dxa"/>
          </w:tcPr>
          <w:p w:rsidR="00FD5242" w:rsidRPr="0087010D" w:rsidRDefault="00FD5242" w:rsidP="0087010D">
            <w:pPr>
              <w:spacing w:after="0" w:line="312" w:lineRule="auto"/>
              <w:jc w:val="both"/>
              <w:rPr>
                <w:lang w:val="en-US"/>
              </w:rPr>
            </w:pPr>
            <w:r w:rsidRPr="0087010D">
              <w:rPr>
                <w:lang w:val="en-US"/>
              </w:rPr>
              <w:t>Basu (1997)</w:t>
            </w:r>
          </w:p>
          <w:p w:rsidR="00FD5242" w:rsidRPr="0087010D" w:rsidRDefault="00FD5242" w:rsidP="0087010D">
            <w:pPr>
              <w:spacing w:after="0" w:line="312" w:lineRule="auto"/>
              <w:rPr>
                <w:lang w:val="en-US"/>
              </w:rPr>
            </w:pPr>
          </w:p>
          <w:p w:rsidR="00FD5242" w:rsidRPr="0087010D" w:rsidRDefault="00FD5242" w:rsidP="0087010D">
            <w:pPr>
              <w:spacing w:after="0" w:line="312" w:lineRule="auto"/>
              <w:rPr>
                <w:lang w:val="en-US"/>
              </w:rPr>
            </w:pPr>
          </w:p>
          <w:p w:rsidR="00FD5242" w:rsidRPr="0087010D" w:rsidRDefault="00FD5242" w:rsidP="0087010D">
            <w:pPr>
              <w:tabs>
                <w:tab w:val="left" w:pos="1215"/>
              </w:tabs>
              <w:spacing w:after="0" w:line="312" w:lineRule="auto"/>
              <w:rPr>
                <w:lang w:val="en-US"/>
              </w:rPr>
            </w:pPr>
            <w:r w:rsidRPr="0087010D">
              <w:rPr>
                <w:lang w:val="en-US"/>
              </w:rPr>
              <w:tab/>
            </w:r>
          </w:p>
        </w:tc>
        <w:tc>
          <w:tcPr>
            <w:tcW w:w="1669" w:type="dxa"/>
          </w:tcPr>
          <w:p w:rsidR="00FD5242" w:rsidRPr="0087010D" w:rsidRDefault="00FD5242" w:rsidP="0087010D">
            <w:pPr>
              <w:spacing w:after="0" w:line="312" w:lineRule="auto"/>
              <w:jc w:val="both"/>
              <w:rPr>
                <w:lang w:val="en-US"/>
              </w:rPr>
            </w:pPr>
            <w:r w:rsidRPr="0087010D">
              <w:rPr>
                <w:lang w:val="en-US"/>
              </w:rPr>
              <w:t>The conservatism concept and the timeliness and persistence of earnings</w:t>
            </w:r>
          </w:p>
        </w:tc>
        <w:tc>
          <w:tcPr>
            <w:tcW w:w="1654" w:type="dxa"/>
          </w:tcPr>
          <w:p w:rsidR="00FD5242" w:rsidRPr="0087010D" w:rsidRDefault="00FD5242" w:rsidP="0087010D">
            <w:pPr>
              <w:spacing w:after="0" w:line="312" w:lineRule="auto"/>
              <w:jc w:val="both"/>
              <w:rPr>
                <w:lang w:val="en-US"/>
              </w:rPr>
            </w:pPr>
            <w:r w:rsidRPr="0087010D">
              <w:rPr>
                <w:lang w:val="en-US"/>
              </w:rPr>
              <w:t>Every firm-year observation between the years 1963-1990</w:t>
            </w:r>
          </w:p>
        </w:tc>
        <w:tc>
          <w:tcPr>
            <w:tcW w:w="1675" w:type="dxa"/>
          </w:tcPr>
          <w:p w:rsidR="00FD5242" w:rsidRPr="0087010D" w:rsidRDefault="00FD5242" w:rsidP="0087010D">
            <w:pPr>
              <w:spacing w:after="0" w:line="312" w:lineRule="auto"/>
              <w:jc w:val="both"/>
              <w:rPr>
                <w:lang w:val="en-US"/>
              </w:rPr>
            </w:pPr>
            <w:r w:rsidRPr="0087010D">
              <w:rPr>
                <w:lang w:val="en-US"/>
              </w:rPr>
              <w:t>The “reverse” regression model that he created</w:t>
            </w:r>
          </w:p>
        </w:tc>
        <w:tc>
          <w:tcPr>
            <w:tcW w:w="1670" w:type="dxa"/>
          </w:tcPr>
          <w:p w:rsidR="00FD5242" w:rsidRPr="0087010D" w:rsidRDefault="00FD5242" w:rsidP="0087010D">
            <w:pPr>
              <w:spacing w:after="0" w:line="312" w:lineRule="auto"/>
              <w:jc w:val="both"/>
              <w:rPr>
                <w:lang w:val="en-US"/>
              </w:rPr>
            </w:pPr>
            <w:r w:rsidRPr="0087010D">
              <w:rPr>
                <w:lang w:val="en-US"/>
              </w:rPr>
              <w:t>Negative earnings changes are timelier but less persistent, Earnings Response Coefficients (ERCs) are higher for positive earnings changes</w:t>
            </w:r>
          </w:p>
        </w:tc>
      </w:tr>
      <w:tr w:rsidR="00FD5242" w:rsidRPr="009E2EF6" w:rsidTr="0087010D">
        <w:tc>
          <w:tcPr>
            <w:tcW w:w="1526" w:type="dxa"/>
          </w:tcPr>
          <w:p w:rsidR="00FD5242" w:rsidRPr="0087010D" w:rsidRDefault="00FD5242" w:rsidP="0087010D">
            <w:pPr>
              <w:spacing w:after="0" w:line="312" w:lineRule="auto"/>
              <w:jc w:val="both"/>
              <w:rPr>
                <w:lang w:val="en-US"/>
              </w:rPr>
            </w:pPr>
            <w:r w:rsidRPr="0087010D">
              <w:rPr>
                <w:lang w:val="en-US"/>
              </w:rPr>
              <w:t>Basu (1997)</w:t>
            </w:r>
          </w:p>
          <w:p w:rsidR="00FD5242" w:rsidRPr="0087010D" w:rsidRDefault="00FD5242" w:rsidP="0087010D">
            <w:pPr>
              <w:spacing w:after="0" w:line="312" w:lineRule="auto"/>
              <w:rPr>
                <w:lang w:val="en-US"/>
              </w:rPr>
            </w:pPr>
          </w:p>
          <w:p w:rsidR="00FD5242" w:rsidRPr="0087010D" w:rsidRDefault="00FD5242" w:rsidP="0087010D">
            <w:pPr>
              <w:spacing w:after="0" w:line="312" w:lineRule="auto"/>
              <w:rPr>
                <w:lang w:val="en-US"/>
              </w:rPr>
            </w:pPr>
          </w:p>
          <w:p w:rsidR="00FD5242" w:rsidRPr="0087010D" w:rsidRDefault="00FD5242" w:rsidP="0087010D">
            <w:pPr>
              <w:tabs>
                <w:tab w:val="left" w:pos="1215"/>
              </w:tabs>
              <w:spacing w:after="0" w:line="312" w:lineRule="auto"/>
              <w:rPr>
                <w:lang w:val="en-US"/>
              </w:rPr>
            </w:pPr>
            <w:r w:rsidRPr="0087010D">
              <w:rPr>
                <w:lang w:val="en-US"/>
              </w:rPr>
              <w:tab/>
            </w:r>
          </w:p>
        </w:tc>
        <w:tc>
          <w:tcPr>
            <w:tcW w:w="1669" w:type="dxa"/>
          </w:tcPr>
          <w:p w:rsidR="00FD5242" w:rsidRPr="0087010D" w:rsidRDefault="00FD5242" w:rsidP="0087010D">
            <w:pPr>
              <w:spacing w:after="0" w:line="312" w:lineRule="auto"/>
              <w:jc w:val="both"/>
              <w:rPr>
                <w:lang w:val="en-US"/>
              </w:rPr>
            </w:pPr>
            <w:r w:rsidRPr="0087010D">
              <w:rPr>
                <w:lang w:val="en-US"/>
              </w:rPr>
              <w:t>The conservatism concept and the timeliness and persistence of earnings</w:t>
            </w:r>
          </w:p>
        </w:tc>
        <w:tc>
          <w:tcPr>
            <w:tcW w:w="1654" w:type="dxa"/>
          </w:tcPr>
          <w:p w:rsidR="00FD5242" w:rsidRPr="0087010D" w:rsidRDefault="00FD5242" w:rsidP="0087010D">
            <w:pPr>
              <w:spacing w:after="0" w:line="312" w:lineRule="auto"/>
              <w:jc w:val="both"/>
              <w:rPr>
                <w:lang w:val="en-US"/>
              </w:rPr>
            </w:pPr>
            <w:r w:rsidRPr="0087010D">
              <w:rPr>
                <w:lang w:val="en-US"/>
              </w:rPr>
              <w:t>Every firm-year observation between the years 1963-1990</w:t>
            </w:r>
          </w:p>
        </w:tc>
        <w:tc>
          <w:tcPr>
            <w:tcW w:w="1675" w:type="dxa"/>
          </w:tcPr>
          <w:p w:rsidR="00FD5242" w:rsidRPr="0087010D" w:rsidRDefault="00FD5242" w:rsidP="0087010D">
            <w:pPr>
              <w:spacing w:after="0" w:line="312" w:lineRule="auto"/>
              <w:jc w:val="both"/>
              <w:rPr>
                <w:lang w:val="en-US"/>
              </w:rPr>
            </w:pPr>
            <w:r w:rsidRPr="0087010D">
              <w:rPr>
                <w:lang w:val="en-US"/>
              </w:rPr>
              <w:t>The “reverse” regression model that he created</w:t>
            </w:r>
          </w:p>
        </w:tc>
        <w:tc>
          <w:tcPr>
            <w:tcW w:w="1670" w:type="dxa"/>
          </w:tcPr>
          <w:p w:rsidR="00FD5242" w:rsidRPr="0087010D" w:rsidRDefault="00FD5242" w:rsidP="0087010D">
            <w:pPr>
              <w:spacing w:after="0" w:line="312" w:lineRule="auto"/>
              <w:jc w:val="both"/>
              <w:rPr>
                <w:lang w:val="en-US"/>
              </w:rPr>
            </w:pPr>
            <w:r>
              <w:rPr>
                <w:lang w:val="en-US"/>
              </w:rPr>
              <w:t xml:space="preserve">Negative earnings changes are timelier but </w:t>
            </w:r>
            <w:r w:rsidRPr="0087010D">
              <w:rPr>
                <w:lang w:val="en-US"/>
              </w:rPr>
              <w:t xml:space="preserve">less persistent, </w:t>
            </w:r>
            <w:r>
              <w:rPr>
                <w:lang w:val="en-US"/>
              </w:rPr>
              <w:t xml:space="preserve">ERCs </w:t>
            </w:r>
            <w:r w:rsidRPr="0087010D">
              <w:rPr>
                <w:lang w:val="en-US"/>
              </w:rPr>
              <w:t>are higher for positive earnings changes</w:t>
            </w:r>
          </w:p>
        </w:tc>
      </w:tr>
      <w:tr w:rsidR="00FD5242" w:rsidRPr="009E2EF6" w:rsidTr="0087010D">
        <w:tc>
          <w:tcPr>
            <w:tcW w:w="1526" w:type="dxa"/>
          </w:tcPr>
          <w:p w:rsidR="00FD5242" w:rsidRPr="0087010D" w:rsidRDefault="00FD5242" w:rsidP="0087010D">
            <w:pPr>
              <w:spacing w:after="0" w:line="312" w:lineRule="auto"/>
              <w:jc w:val="both"/>
              <w:rPr>
                <w:lang w:val="en-US"/>
              </w:rPr>
            </w:pPr>
            <w:r w:rsidRPr="0087010D">
              <w:rPr>
                <w:lang w:val="en-US"/>
              </w:rPr>
              <w:t>Francis &amp; Krishnan (1999)</w:t>
            </w:r>
          </w:p>
        </w:tc>
        <w:tc>
          <w:tcPr>
            <w:tcW w:w="1669" w:type="dxa"/>
          </w:tcPr>
          <w:p w:rsidR="00FD5242" w:rsidRPr="0087010D" w:rsidRDefault="00FD5242" w:rsidP="0087010D">
            <w:pPr>
              <w:spacing w:after="0" w:line="312" w:lineRule="auto"/>
              <w:jc w:val="both"/>
              <w:rPr>
                <w:lang w:val="en-US"/>
              </w:rPr>
            </w:pPr>
            <w:r w:rsidRPr="0087010D">
              <w:rPr>
                <w:lang w:val="en-US"/>
              </w:rPr>
              <w:t>Auditors’ conservatism relation with accounting accruals</w:t>
            </w:r>
          </w:p>
        </w:tc>
        <w:tc>
          <w:tcPr>
            <w:tcW w:w="1654" w:type="dxa"/>
          </w:tcPr>
          <w:p w:rsidR="00FD5242" w:rsidRPr="0087010D" w:rsidRDefault="00FD5242" w:rsidP="0087010D">
            <w:pPr>
              <w:spacing w:after="0" w:line="312" w:lineRule="auto"/>
              <w:jc w:val="both"/>
              <w:rPr>
                <w:lang w:val="en-US"/>
              </w:rPr>
            </w:pPr>
            <w:r w:rsidRPr="0087010D">
              <w:rPr>
                <w:lang w:val="en-US"/>
              </w:rPr>
              <w:t>2.068 stock exchange quoted U.S. companies (from the years 1986 and 1987)</w:t>
            </w:r>
          </w:p>
        </w:tc>
        <w:tc>
          <w:tcPr>
            <w:tcW w:w="1675" w:type="dxa"/>
          </w:tcPr>
          <w:p w:rsidR="00FD5242" w:rsidRPr="0087010D" w:rsidRDefault="00FD5242" w:rsidP="0087010D">
            <w:pPr>
              <w:spacing w:after="0" w:line="312" w:lineRule="auto"/>
              <w:jc w:val="both"/>
              <w:rPr>
                <w:lang w:val="en-US"/>
              </w:rPr>
            </w:pPr>
            <w:r w:rsidRPr="0087010D">
              <w:rPr>
                <w:lang w:val="en-US"/>
              </w:rPr>
              <w:t>Krishnan’s two level and three level probit model</w:t>
            </w:r>
          </w:p>
        </w:tc>
        <w:tc>
          <w:tcPr>
            <w:tcW w:w="1670" w:type="dxa"/>
          </w:tcPr>
          <w:p w:rsidR="00FD5242" w:rsidRPr="0087010D" w:rsidRDefault="00FD5242" w:rsidP="0087010D">
            <w:pPr>
              <w:spacing w:after="0" w:line="312" w:lineRule="auto"/>
              <w:jc w:val="both"/>
              <w:rPr>
                <w:lang w:val="en-US"/>
              </w:rPr>
            </w:pPr>
            <w:r w:rsidRPr="0087010D">
              <w:rPr>
                <w:lang w:val="en-US"/>
              </w:rPr>
              <w:t>Auditors are  more likely to issue a modified audit opinion for high-accrual firms and income-increasing accruals result in higher conservatism</w:t>
            </w:r>
          </w:p>
        </w:tc>
      </w:tr>
    </w:tbl>
    <w:p w:rsidR="00FD5242" w:rsidRDefault="00FD5242" w:rsidP="00815AA8">
      <w:pPr>
        <w:spacing w:line="360" w:lineRule="auto"/>
        <w:jc w:val="both"/>
        <w:rPr>
          <w:b/>
          <w:lang w:val="en-US"/>
        </w:rPr>
      </w:pPr>
      <w:r>
        <w:rPr>
          <w:b/>
          <w:lang w:val="en-US"/>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671"/>
        <w:gridCol w:w="1675"/>
        <w:gridCol w:w="1658"/>
        <w:gridCol w:w="1671"/>
        <w:gridCol w:w="1665"/>
      </w:tblGrid>
      <w:tr w:rsidR="00FD5242" w:rsidRPr="00A06A82" w:rsidTr="00A06A82">
        <w:tc>
          <w:tcPr>
            <w:tcW w:w="1704" w:type="dxa"/>
          </w:tcPr>
          <w:p w:rsidR="00FD5242" w:rsidRPr="00A06A82" w:rsidRDefault="00FD5242" w:rsidP="00A06A82">
            <w:pPr>
              <w:spacing w:after="0" w:line="360" w:lineRule="auto"/>
              <w:jc w:val="both"/>
              <w:rPr>
                <w:b/>
                <w:i/>
                <w:lang w:val="en-US"/>
              </w:rPr>
            </w:pPr>
            <w:r w:rsidRPr="00A06A82">
              <w:rPr>
                <w:b/>
                <w:i/>
                <w:lang w:val="en-US"/>
              </w:rPr>
              <w:t>Authors (Year)</w:t>
            </w:r>
          </w:p>
        </w:tc>
        <w:tc>
          <w:tcPr>
            <w:tcW w:w="1704" w:type="dxa"/>
          </w:tcPr>
          <w:p w:rsidR="00FD5242" w:rsidRPr="00A06A82" w:rsidRDefault="00FD5242" w:rsidP="00A06A82">
            <w:pPr>
              <w:spacing w:after="0" w:line="360" w:lineRule="auto"/>
              <w:jc w:val="both"/>
              <w:rPr>
                <w:b/>
                <w:i/>
                <w:lang w:val="en-US"/>
              </w:rPr>
            </w:pPr>
            <w:r w:rsidRPr="00A06A82">
              <w:rPr>
                <w:b/>
                <w:i/>
                <w:lang w:val="en-US"/>
              </w:rPr>
              <w:t xml:space="preserve">Object </w:t>
            </w:r>
          </w:p>
        </w:tc>
        <w:tc>
          <w:tcPr>
            <w:tcW w:w="1704" w:type="dxa"/>
          </w:tcPr>
          <w:p w:rsidR="00FD5242" w:rsidRPr="00A06A82" w:rsidRDefault="00FD5242" w:rsidP="00A06A82">
            <w:pPr>
              <w:spacing w:after="0" w:line="360" w:lineRule="auto"/>
              <w:jc w:val="both"/>
              <w:rPr>
                <w:b/>
                <w:i/>
                <w:lang w:val="en-US"/>
              </w:rPr>
            </w:pPr>
            <w:r w:rsidRPr="00A06A82">
              <w:rPr>
                <w:b/>
                <w:i/>
                <w:lang w:val="en-US"/>
              </w:rPr>
              <w:t>Sample</w:t>
            </w:r>
          </w:p>
        </w:tc>
        <w:tc>
          <w:tcPr>
            <w:tcW w:w="1705" w:type="dxa"/>
          </w:tcPr>
          <w:p w:rsidR="00FD5242" w:rsidRPr="00A06A82" w:rsidRDefault="00FD5242" w:rsidP="00A06A82">
            <w:pPr>
              <w:spacing w:after="0" w:line="360" w:lineRule="auto"/>
              <w:jc w:val="both"/>
              <w:rPr>
                <w:b/>
                <w:i/>
                <w:lang w:val="en-US"/>
              </w:rPr>
            </w:pPr>
            <w:r w:rsidRPr="00A06A82">
              <w:rPr>
                <w:b/>
                <w:i/>
                <w:lang w:val="en-US"/>
              </w:rPr>
              <w:t>Methodology</w:t>
            </w:r>
          </w:p>
        </w:tc>
        <w:tc>
          <w:tcPr>
            <w:tcW w:w="1705" w:type="dxa"/>
          </w:tcPr>
          <w:p w:rsidR="00FD5242" w:rsidRPr="00A06A82" w:rsidRDefault="00FD5242" w:rsidP="00A06A82">
            <w:pPr>
              <w:spacing w:after="0" w:line="360" w:lineRule="auto"/>
              <w:jc w:val="both"/>
              <w:rPr>
                <w:b/>
                <w:i/>
                <w:lang w:val="en-US"/>
              </w:rPr>
            </w:pPr>
            <w:r w:rsidRPr="00A06A82">
              <w:rPr>
                <w:b/>
                <w:i/>
                <w:lang w:val="en-US"/>
              </w:rPr>
              <w:t>Outcome</w:t>
            </w:r>
          </w:p>
        </w:tc>
      </w:tr>
      <w:tr w:rsidR="00FD5242" w:rsidRPr="009E2EF6" w:rsidTr="00A06A82">
        <w:tc>
          <w:tcPr>
            <w:tcW w:w="1704" w:type="dxa"/>
          </w:tcPr>
          <w:p w:rsidR="00FD5242" w:rsidRPr="00A06A82" w:rsidRDefault="00FD5242" w:rsidP="00A06A82">
            <w:pPr>
              <w:spacing w:after="0" w:line="312" w:lineRule="auto"/>
              <w:jc w:val="both"/>
              <w:rPr>
                <w:lang w:val="en-US"/>
              </w:rPr>
            </w:pPr>
            <w:r w:rsidRPr="00A06A82">
              <w:rPr>
                <w:lang w:val="en-US"/>
              </w:rPr>
              <w:t>Geiger, Raghunandan &amp; Rama (2005)</w:t>
            </w:r>
          </w:p>
        </w:tc>
        <w:tc>
          <w:tcPr>
            <w:tcW w:w="1704" w:type="dxa"/>
          </w:tcPr>
          <w:p w:rsidR="00FD5242" w:rsidRPr="00A06A82" w:rsidRDefault="00FD5242" w:rsidP="00A06A82">
            <w:pPr>
              <w:spacing w:after="0" w:line="312" w:lineRule="auto"/>
              <w:jc w:val="both"/>
              <w:rPr>
                <w:lang w:val="en-US"/>
              </w:rPr>
            </w:pPr>
            <w:r w:rsidRPr="00A06A82">
              <w:rPr>
                <w:lang w:val="en-US"/>
              </w:rPr>
              <w:t>Auditors’ reporting decisions associated with the establishment of the SOX-Act</w:t>
            </w:r>
          </w:p>
        </w:tc>
        <w:tc>
          <w:tcPr>
            <w:tcW w:w="1704" w:type="dxa"/>
          </w:tcPr>
          <w:p w:rsidR="00FD5242" w:rsidRPr="00A06A82" w:rsidRDefault="00FD5242" w:rsidP="00A06A82">
            <w:pPr>
              <w:spacing w:after="0"/>
              <w:jc w:val="both"/>
              <w:rPr>
                <w:lang w:val="en-US"/>
              </w:rPr>
            </w:pPr>
            <w:r w:rsidRPr="00A06A82">
              <w:rPr>
                <w:lang w:val="en-US"/>
              </w:rPr>
              <w:t>226 firms that entered into bankruptcy during the period between 2000 and 2003</w:t>
            </w:r>
          </w:p>
        </w:tc>
        <w:tc>
          <w:tcPr>
            <w:tcW w:w="1705" w:type="dxa"/>
          </w:tcPr>
          <w:p w:rsidR="00FD5242" w:rsidRPr="00A06A82" w:rsidRDefault="00FD5242" w:rsidP="00A06A82">
            <w:pPr>
              <w:spacing w:after="0" w:line="312" w:lineRule="auto"/>
              <w:jc w:val="both"/>
              <w:rPr>
                <w:lang w:val="en-US"/>
              </w:rPr>
            </w:pPr>
            <w:r w:rsidRPr="00A06A82">
              <w:rPr>
                <w:lang w:val="en-US"/>
              </w:rPr>
              <w:t>Multivariate logistic regression model</w:t>
            </w:r>
          </w:p>
        </w:tc>
        <w:tc>
          <w:tcPr>
            <w:tcW w:w="1705" w:type="dxa"/>
          </w:tcPr>
          <w:p w:rsidR="00FD5242" w:rsidRPr="00A06A82" w:rsidRDefault="00FD5242" w:rsidP="00A06A82">
            <w:pPr>
              <w:spacing w:after="0"/>
              <w:jc w:val="both"/>
              <w:rPr>
                <w:lang w:val="en-US"/>
              </w:rPr>
            </w:pPr>
            <w:r w:rsidRPr="00A06A82">
              <w:rPr>
                <w:lang w:val="en-US"/>
              </w:rPr>
              <w:t>Auditors issue more going-concern modified opinions after December 2001 and increased audit conservatism is associated with delays in  audit procedures</w:t>
            </w:r>
          </w:p>
        </w:tc>
      </w:tr>
      <w:tr w:rsidR="00FD5242" w:rsidRPr="009E2EF6" w:rsidTr="00A06A82">
        <w:tc>
          <w:tcPr>
            <w:tcW w:w="1704" w:type="dxa"/>
          </w:tcPr>
          <w:p w:rsidR="00FD5242" w:rsidRPr="00A06A82" w:rsidRDefault="00FD5242" w:rsidP="00A06A82">
            <w:pPr>
              <w:spacing w:after="0" w:line="312" w:lineRule="auto"/>
              <w:jc w:val="both"/>
              <w:rPr>
                <w:lang w:val="en-US"/>
              </w:rPr>
            </w:pPr>
            <w:r w:rsidRPr="00A06A82">
              <w:rPr>
                <w:lang w:val="en-US"/>
              </w:rPr>
              <w:t>Fargher &amp; Jiang (2008)</w:t>
            </w:r>
          </w:p>
        </w:tc>
        <w:tc>
          <w:tcPr>
            <w:tcW w:w="1704" w:type="dxa"/>
          </w:tcPr>
          <w:p w:rsidR="00FD5242" w:rsidRPr="00A06A82" w:rsidRDefault="00FD5242" w:rsidP="00A06A82">
            <w:pPr>
              <w:spacing w:after="0" w:line="312" w:lineRule="auto"/>
              <w:jc w:val="both"/>
              <w:rPr>
                <w:lang w:val="en-US"/>
              </w:rPr>
            </w:pPr>
            <w:r w:rsidRPr="00A06A82">
              <w:rPr>
                <w:lang w:val="en-US"/>
              </w:rPr>
              <w:t>Auditors’ propensity to issue Going-Concern Opinions after the 2000-2002 period</w:t>
            </w:r>
          </w:p>
        </w:tc>
        <w:tc>
          <w:tcPr>
            <w:tcW w:w="1704" w:type="dxa"/>
          </w:tcPr>
          <w:p w:rsidR="00FD5242" w:rsidRPr="00A06A82" w:rsidRDefault="00FD5242" w:rsidP="00A06A82">
            <w:pPr>
              <w:spacing w:after="0" w:line="312" w:lineRule="auto"/>
              <w:jc w:val="both"/>
              <w:rPr>
                <w:lang w:val="en-US"/>
              </w:rPr>
            </w:pPr>
            <w:r w:rsidRPr="00A06A82">
              <w:rPr>
                <w:lang w:val="en-US"/>
              </w:rPr>
              <w:t>1769 Australian stock exchange quoted companies for the pre-crisis period and 3344 for the post-crisis period</w:t>
            </w:r>
          </w:p>
        </w:tc>
        <w:tc>
          <w:tcPr>
            <w:tcW w:w="1705" w:type="dxa"/>
          </w:tcPr>
          <w:p w:rsidR="00FD5242" w:rsidRPr="00A06A82" w:rsidRDefault="00FD5242" w:rsidP="00A06A82">
            <w:pPr>
              <w:spacing w:after="0" w:line="312" w:lineRule="auto"/>
              <w:jc w:val="both"/>
              <w:rPr>
                <w:lang w:val="en-US"/>
              </w:rPr>
            </w:pPr>
            <w:r w:rsidRPr="00A06A82">
              <w:rPr>
                <w:lang w:val="en-US"/>
              </w:rPr>
              <w:t>Two-stage and single-stage analysis of two multivariate regression equations developed</w:t>
            </w:r>
          </w:p>
        </w:tc>
        <w:tc>
          <w:tcPr>
            <w:tcW w:w="1705" w:type="dxa"/>
          </w:tcPr>
          <w:p w:rsidR="00FD5242" w:rsidRPr="00A06A82" w:rsidRDefault="00FD5242" w:rsidP="00A06A82">
            <w:pPr>
              <w:spacing w:after="0"/>
              <w:jc w:val="both"/>
              <w:rPr>
                <w:lang w:val="en-US"/>
              </w:rPr>
            </w:pPr>
            <w:r w:rsidRPr="00A06A82">
              <w:rPr>
                <w:lang w:val="en-US"/>
              </w:rPr>
              <w:t xml:space="preserve">Auditors are more likely to issue a going-concern modified audit report to financially stressed companies immediately after the crisis period, concerning the profession between 2000-2002 </w:t>
            </w:r>
          </w:p>
        </w:tc>
      </w:tr>
      <w:tr w:rsidR="00FD5242" w:rsidRPr="009E2EF6" w:rsidTr="00A06A82">
        <w:tc>
          <w:tcPr>
            <w:tcW w:w="1704" w:type="dxa"/>
          </w:tcPr>
          <w:p w:rsidR="00FD5242" w:rsidRPr="00A06A82" w:rsidRDefault="00FD5242" w:rsidP="00A06A82">
            <w:pPr>
              <w:spacing w:after="0" w:line="312" w:lineRule="auto"/>
              <w:jc w:val="both"/>
              <w:rPr>
                <w:lang w:val="en-US"/>
              </w:rPr>
            </w:pPr>
            <w:r w:rsidRPr="00A06A82">
              <w:rPr>
                <w:lang w:val="en-US"/>
              </w:rPr>
              <w:t>Gul, Srinidhi &amp; Shieh (2008)</w:t>
            </w:r>
          </w:p>
        </w:tc>
        <w:tc>
          <w:tcPr>
            <w:tcW w:w="1704" w:type="dxa"/>
          </w:tcPr>
          <w:p w:rsidR="00FD5242" w:rsidRPr="00A06A82" w:rsidRDefault="00FD5242" w:rsidP="00A06A82">
            <w:pPr>
              <w:spacing w:after="0" w:line="312" w:lineRule="auto"/>
              <w:jc w:val="both"/>
              <w:rPr>
                <w:lang w:val="en-US"/>
              </w:rPr>
            </w:pPr>
            <w:r w:rsidRPr="00A06A82">
              <w:rPr>
                <w:lang w:val="en-US"/>
              </w:rPr>
              <w:t>The Asian financial crisis and its impacts on Accounting conservatism and Audit fees</w:t>
            </w:r>
          </w:p>
        </w:tc>
        <w:tc>
          <w:tcPr>
            <w:tcW w:w="1704" w:type="dxa"/>
          </w:tcPr>
          <w:p w:rsidR="00FD5242" w:rsidRPr="00A06A82" w:rsidRDefault="00FD5242" w:rsidP="00A06A82">
            <w:pPr>
              <w:spacing w:after="0" w:line="312" w:lineRule="auto"/>
              <w:jc w:val="both"/>
              <w:rPr>
                <w:lang w:val="en-US"/>
              </w:rPr>
            </w:pPr>
            <w:r w:rsidRPr="00A06A82">
              <w:rPr>
                <w:lang w:val="en-US"/>
              </w:rPr>
              <w:t>2061 Hong Kong registered and deregistered firms from 1990 until 1997</w:t>
            </w:r>
          </w:p>
        </w:tc>
        <w:tc>
          <w:tcPr>
            <w:tcW w:w="1705" w:type="dxa"/>
          </w:tcPr>
          <w:p w:rsidR="00FD5242" w:rsidRPr="00A06A82" w:rsidRDefault="00FD5242" w:rsidP="00A06A82">
            <w:pPr>
              <w:spacing w:after="0" w:line="312" w:lineRule="auto"/>
              <w:jc w:val="both"/>
              <w:rPr>
                <w:lang w:val="en-US"/>
              </w:rPr>
            </w:pPr>
            <w:r w:rsidRPr="00A06A82">
              <w:rPr>
                <w:lang w:val="en-US"/>
              </w:rPr>
              <w:t>Basu’s “reverse” regression model</w:t>
            </w:r>
          </w:p>
        </w:tc>
        <w:tc>
          <w:tcPr>
            <w:tcW w:w="1705" w:type="dxa"/>
          </w:tcPr>
          <w:p w:rsidR="00FD5242" w:rsidRPr="00A06A82" w:rsidRDefault="00FD5242" w:rsidP="00A06A82">
            <w:pPr>
              <w:spacing w:after="0" w:line="312" w:lineRule="auto"/>
              <w:jc w:val="both"/>
              <w:rPr>
                <w:lang w:val="en-US"/>
              </w:rPr>
            </w:pPr>
            <w:r w:rsidRPr="00A06A82">
              <w:rPr>
                <w:lang w:val="en-US"/>
              </w:rPr>
              <w:t xml:space="preserve">Accounting conservatism dropped significantly during the crisis period, resulting in a boost in auditors’ conservatism and audit fees </w:t>
            </w:r>
          </w:p>
        </w:tc>
      </w:tr>
    </w:tbl>
    <w:p w:rsidR="00FD5242" w:rsidRDefault="00FD5242" w:rsidP="00F375AC">
      <w:pPr>
        <w:spacing w:line="360" w:lineRule="auto"/>
        <w:jc w:val="both"/>
        <w:rPr>
          <w:b/>
          <w:lang w:val="en-US"/>
        </w:rPr>
      </w:pPr>
    </w:p>
    <w:p w:rsidR="00FD5242" w:rsidRDefault="00FD5242" w:rsidP="00F375AC">
      <w:pPr>
        <w:spacing w:line="360" w:lineRule="auto"/>
        <w:jc w:val="both"/>
        <w:rPr>
          <w:b/>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663"/>
        <w:gridCol w:w="1680"/>
        <w:gridCol w:w="1646"/>
        <w:gridCol w:w="1678"/>
        <w:gridCol w:w="1673"/>
      </w:tblGrid>
      <w:tr w:rsidR="00FD5242" w:rsidRPr="00A06A82" w:rsidTr="00A06A82">
        <w:tc>
          <w:tcPr>
            <w:tcW w:w="1704" w:type="dxa"/>
          </w:tcPr>
          <w:p w:rsidR="00FD5242" w:rsidRPr="00A06A82" w:rsidRDefault="00FD5242" w:rsidP="00A06A82">
            <w:pPr>
              <w:spacing w:after="0" w:line="360" w:lineRule="auto"/>
              <w:jc w:val="both"/>
              <w:rPr>
                <w:b/>
                <w:i/>
                <w:lang w:val="en-US"/>
              </w:rPr>
            </w:pPr>
            <w:r w:rsidRPr="00A06A82">
              <w:rPr>
                <w:b/>
                <w:i/>
                <w:lang w:val="en-US"/>
              </w:rPr>
              <w:t>Authors (Year)</w:t>
            </w:r>
          </w:p>
        </w:tc>
        <w:tc>
          <w:tcPr>
            <w:tcW w:w="1704" w:type="dxa"/>
          </w:tcPr>
          <w:p w:rsidR="00FD5242" w:rsidRPr="00A06A82" w:rsidRDefault="00FD5242" w:rsidP="00A06A82">
            <w:pPr>
              <w:spacing w:after="0" w:line="360" w:lineRule="auto"/>
              <w:jc w:val="both"/>
              <w:rPr>
                <w:b/>
                <w:i/>
                <w:lang w:val="en-US"/>
              </w:rPr>
            </w:pPr>
            <w:r w:rsidRPr="00A06A82">
              <w:rPr>
                <w:b/>
                <w:i/>
                <w:lang w:val="en-US"/>
              </w:rPr>
              <w:t xml:space="preserve">Object </w:t>
            </w:r>
          </w:p>
        </w:tc>
        <w:tc>
          <w:tcPr>
            <w:tcW w:w="1704" w:type="dxa"/>
          </w:tcPr>
          <w:p w:rsidR="00FD5242" w:rsidRPr="00A06A82" w:rsidRDefault="00FD5242" w:rsidP="00A06A82">
            <w:pPr>
              <w:spacing w:after="0" w:line="360" w:lineRule="auto"/>
              <w:jc w:val="both"/>
              <w:rPr>
                <w:b/>
                <w:i/>
                <w:lang w:val="en-US"/>
              </w:rPr>
            </w:pPr>
            <w:r w:rsidRPr="00A06A82">
              <w:rPr>
                <w:b/>
                <w:i/>
                <w:lang w:val="en-US"/>
              </w:rPr>
              <w:t>Sample</w:t>
            </w:r>
          </w:p>
        </w:tc>
        <w:tc>
          <w:tcPr>
            <w:tcW w:w="1705" w:type="dxa"/>
          </w:tcPr>
          <w:p w:rsidR="00FD5242" w:rsidRPr="00A06A82" w:rsidRDefault="00FD5242" w:rsidP="00A06A82">
            <w:pPr>
              <w:spacing w:after="0" w:line="360" w:lineRule="auto"/>
              <w:jc w:val="both"/>
              <w:rPr>
                <w:b/>
                <w:i/>
                <w:lang w:val="en-US"/>
              </w:rPr>
            </w:pPr>
            <w:r w:rsidRPr="00A06A82">
              <w:rPr>
                <w:b/>
                <w:i/>
                <w:lang w:val="en-US"/>
              </w:rPr>
              <w:t>Methodology</w:t>
            </w:r>
          </w:p>
        </w:tc>
        <w:tc>
          <w:tcPr>
            <w:tcW w:w="1705" w:type="dxa"/>
          </w:tcPr>
          <w:p w:rsidR="00FD5242" w:rsidRPr="00A06A82" w:rsidRDefault="00FD5242" w:rsidP="00A06A82">
            <w:pPr>
              <w:spacing w:after="0" w:line="360" w:lineRule="auto"/>
              <w:jc w:val="both"/>
              <w:rPr>
                <w:b/>
                <w:i/>
                <w:lang w:val="en-US"/>
              </w:rPr>
            </w:pPr>
            <w:r w:rsidRPr="00A06A82">
              <w:rPr>
                <w:b/>
                <w:i/>
                <w:lang w:val="en-US"/>
              </w:rPr>
              <w:t>Outcome</w:t>
            </w:r>
          </w:p>
        </w:tc>
      </w:tr>
      <w:tr w:rsidR="00FD5242" w:rsidRPr="009E2EF6" w:rsidTr="00A06A82">
        <w:tc>
          <w:tcPr>
            <w:tcW w:w="1704" w:type="dxa"/>
          </w:tcPr>
          <w:p w:rsidR="00FD5242" w:rsidRPr="00A06A82" w:rsidRDefault="00FD5242" w:rsidP="00A06A82">
            <w:pPr>
              <w:spacing w:after="0" w:line="312" w:lineRule="auto"/>
              <w:jc w:val="both"/>
              <w:rPr>
                <w:lang w:val="en-US"/>
              </w:rPr>
            </w:pPr>
            <w:r w:rsidRPr="00A06A82">
              <w:rPr>
                <w:lang w:val="en-US"/>
              </w:rPr>
              <w:t>Gul, Chen  &amp; Tsui (2003)</w:t>
            </w:r>
          </w:p>
        </w:tc>
        <w:tc>
          <w:tcPr>
            <w:tcW w:w="1704" w:type="dxa"/>
          </w:tcPr>
          <w:p w:rsidR="00FD5242" w:rsidRPr="00A06A82" w:rsidRDefault="00FD5242" w:rsidP="00A06A82">
            <w:pPr>
              <w:spacing w:after="0" w:line="312" w:lineRule="auto"/>
              <w:jc w:val="both"/>
              <w:rPr>
                <w:lang w:val="en-US"/>
              </w:rPr>
            </w:pPr>
            <w:r w:rsidRPr="00A06A82">
              <w:rPr>
                <w:lang w:val="en-US"/>
              </w:rPr>
              <w:t>Discretionary accruals, managers’ incentives and audit fees</w:t>
            </w:r>
          </w:p>
        </w:tc>
        <w:tc>
          <w:tcPr>
            <w:tcW w:w="1704" w:type="dxa"/>
          </w:tcPr>
          <w:p w:rsidR="00FD5242" w:rsidRPr="00A06A82" w:rsidRDefault="00FD5242" w:rsidP="00A06A82">
            <w:pPr>
              <w:spacing w:after="0" w:line="312" w:lineRule="auto"/>
              <w:jc w:val="both"/>
              <w:rPr>
                <w:lang w:val="en-US"/>
              </w:rPr>
            </w:pPr>
            <w:r w:rsidRPr="00A06A82">
              <w:rPr>
                <w:lang w:val="en-US"/>
              </w:rPr>
              <w:t>648 Australian firms of the 1993 year</w:t>
            </w:r>
          </w:p>
        </w:tc>
        <w:tc>
          <w:tcPr>
            <w:tcW w:w="1705" w:type="dxa"/>
          </w:tcPr>
          <w:p w:rsidR="00FD5242" w:rsidRPr="00A06A82" w:rsidRDefault="00FD5242" w:rsidP="00A06A82">
            <w:pPr>
              <w:spacing w:after="0" w:line="312" w:lineRule="auto"/>
              <w:jc w:val="both"/>
              <w:rPr>
                <w:lang w:val="en-US"/>
              </w:rPr>
            </w:pPr>
            <w:r w:rsidRPr="00A06A82">
              <w:rPr>
                <w:lang w:val="en-US"/>
              </w:rPr>
              <w:t>Multiple-regression (same as “reverse”) audit fee model</w:t>
            </w:r>
          </w:p>
        </w:tc>
        <w:tc>
          <w:tcPr>
            <w:tcW w:w="1705" w:type="dxa"/>
          </w:tcPr>
          <w:p w:rsidR="00FD5242" w:rsidRPr="00A06A82" w:rsidRDefault="00FD5242" w:rsidP="00A06A82">
            <w:pPr>
              <w:spacing w:after="0" w:line="312" w:lineRule="auto"/>
              <w:jc w:val="both"/>
              <w:rPr>
                <w:lang w:val="en-US"/>
              </w:rPr>
            </w:pPr>
            <w:r w:rsidRPr="00A06A82">
              <w:rPr>
                <w:lang w:val="en-US"/>
              </w:rPr>
              <w:t>Discretionary accruals and audit fees are positively related</w:t>
            </w:r>
          </w:p>
        </w:tc>
      </w:tr>
      <w:tr w:rsidR="00FD5242" w:rsidRPr="009E2EF6" w:rsidTr="00A06A82">
        <w:tc>
          <w:tcPr>
            <w:tcW w:w="1704" w:type="dxa"/>
          </w:tcPr>
          <w:p w:rsidR="00FD5242" w:rsidRPr="00A06A82" w:rsidRDefault="00FD5242" w:rsidP="00A06A82">
            <w:pPr>
              <w:spacing w:after="0" w:line="312" w:lineRule="auto"/>
              <w:jc w:val="both"/>
              <w:rPr>
                <w:lang w:val="en-US"/>
              </w:rPr>
            </w:pPr>
            <w:r w:rsidRPr="00A06A82">
              <w:rPr>
                <w:lang w:val="en-US"/>
              </w:rPr>
              <w:t>Jarva (2010)</w:t>
            </w:r>
          </w:p>
        </w:tc>
        <w:tc>
          <w:tcPr>
            <w:tcW w:w="1704" w:type="dxa"/>
          </w:tcPr>
          <w:p w:rsidR="00FD5242" w:rsidRPr="00A06A82" w:rsidRDefault="00FD5242" w:rsidP="00A06A82">
            <w:pPr>
              <w:spacing w:after="0" w:line="312" w:lineRule="auto"/>
              <w:jc w:val="both"/>
              <w:rPr>
                <w:lang w:val="en-US"/>
              </w:rPr>
            </w:pPr>
            <w:r w:rsidRPr="00A06A82">
              <w:rPr>
                <w:lang w:val="en-US"/>
              </w:rPr>
              <w:t>the Economic consequences of SFAS 142 goodwill write-offs</w:t>
            </w:r>
          </w:p>
        </w:tc>
        <w:tc>
          <w:tcPr>
            <w:tcW w:w="1704" w:type="dxa"/>
          </w:tcPr>
          <w:p w:rsidR="00FD5242" w:rsidRPr="00A06A82" w:rsidRDefault="00FD5242" w:rsidP="00A06A82">
            <w:pPr>
              <w:spacing w:after="0" w:line="312" w:lineRule="auto"/>
              <w:jc w:val="both"/>
              <w:rPr>
                <w:lang w:val="en-US"/>
              </w:rPr>
            </w:pPr>
            <w:r w:rsidRPr="00A06A82">
              <w:rPr>
                <w:lang w:val="en-US"/>
              </w:rPr>
              <w:t>277 SFAS 142 goodwill write-offs taken from the 2002-2005 period</w:t>
            </w:r>
          </w:p>
        </w:tc>
        <w:tc>
          <w:tcPr>
            <w:tcW w:w="1705" w:type="dxa"/>
          </w:tcPr>
          <w:p w:rsidR="00FD5242" w:rsidRPr="00A06A82" w:rsidRDefault="00FD5242" w:rsidP="00A06A82">
            <w:pPr>
              <w:spacing w:after="0" w:line="312" w:lineRule="auto"/>
              <w:jc w:val="both"/>
              <w:rPr>
                <w:lang w:val="en-US"/>
              </w:rPr>
            </w:pPr>
            <w:r w:rsidRPr="00A06A82">
              <w:rPr>
                <w:lang w:val="en-US"/>
              </w:rPr>
              <w:t>Multivariate regression analysis</w:t>
            </w:r>
          </w:p>
        </w:tc>
        <w:tc>
          <w:tcPr>
            <w:tcW w:w="1705" w:type="dxa"/>
          </w:tcPr>
          <w:p w:rsidR="00FD5242" w:rsidRPr="00A06A82" w:rsidRDefault="00FD5242" w:rsidP="00A06A82">
            <w:pPr>
              <w:spacing w:after="0" w:line="312" w:lineRule="auto"/>
              <w:jc w:val="both"/>
              <w:rPr>
                <w:lang w:val="en-US"/>
              </w:rPr>
            </w:pPr>
            <w:r w:rsidRPr="00A06A82">
              <w:rPr>
                <w:lang w:val="en-US"/>
              </w:rPr>
              <w:t>Write-off firms pay higher future audit fees</w:t>
            </w:r>
          </w:p>
        </w:tc>
      </w:tr>
      <w:tr w:rsidR="00FD5242" w:rsidRPr="009E2EF6" w:rsidTr="00A06A82">
        <w:tc>
          <w:tcPr>
            <w:tcW w:w="1704" w:type="dxa"/>
          </w:tcPr>
          <w:p w:rsidR="00FD5242" w:rsidRPr="00A06A82" w:rsidRDefault="00FD5242" w:rsidP="00A06A82">
            <w:pPr>
              <w:spacing w:line="360" w:lineRule="auto"/>
              <w:jc w:val="both"/>
              <w:rPr>
                <w:lang w:val="en-US"/>
              </w:rPr>
            </w:pPr>
            <w:r w:rsidRPr="00A06A82">
              <w:rPr>
                <w:lang w:val="en-US"/>
              </w:rPr>
              <w:t>Netherlands Authority of Financial Markets (2010)</w:t>
            </w:r>
          </w:p>
        </w:tc>
        <w:tc>
          <w:tcPr>
            <w:tcW w:w="1704" w:type="dxa"/>
          </w:tcPr>
          <w:p w:rsidR="00FD5242" w:rsidRPr="00A06A82" w:rsidRDefault="00FD5242" w:rsidP="00A06A82">
            <w:pPr>
              <w:spacing w:line="360" w:lineRule="auto"/>
              <w:jc w:val="both"/>
              <w:rPr>
                <w:lang w:val="en-US"/>
              </w:rPr>
            </w:pPr>
            <w:r w:rsidRPr="00A06A82">
              <w:rPr>
                <w:lang w:val="en-US"/>
              </w:rPr>
              <w:t>Supervision of  audit firms</w:t>
            </w:r>
          </w:p>
        </w:tc>
        <w:tc>
          <w:tcPr>
            <w:tcW w:w="1704" w:type="dxa"/>
          </w:tcPr>
          <w:p w:rsidR="00FD5242" w:rsidRPr="00A06A82" w:rsidRDefault="00FD5242" w:rsidP="00A06A82">
            <w:pPr>
              <w:spacing w:line="360" w:lineRule="auto"/>
              <w:jc w:val="both"/>
              <w:rPr>
                <w:lang w:val="en-US"/>
              </w:rPr>
            </w:pPr>
            <w:r w:rsidRPr="00A06A82">
              <w:rPr>
                <w:lang w:val="en-US"/>
              </w:rPr>
              <w:t>46 audits of public interest entities conducted in 2008</w:t>
            </w:r>
          </w:p>
        </w:tc>
        <w:tc>
          <w:tcPr>
            <w:tcW w:w="1705" w:type="dxa"/>
          </w:tcPr>
          <w:p w:rsidR="00FD5242" w:rsidRPr="00A06A82" w:rsidRDefault="00FD5242" w:rsidP="00A06A82">
            <w:pPr>
              <w:spacing w:line="360" w:lineRule="auto"/>
              <w:jc w:val="both"/>
              <w:rPr>
                <w:lang w:val="en-US"/>
              </w:rPr>
            </w:pPr>
            <w:r w:rsidRPr="00A06A82">
              <w:rPr>
                <w:lang w:val="en-US"/>
              </w:rPr>
              <w:t>Survey</w:t>
            </w:r>
          </w:p>
        </w:tc>
        <w:tc>
          <w:tcPr>
            <w:tcW w:w="1705" w:type="dxa"/>
          </w:tcPr>
          <w:p w:rsidR="00FD5242" w:rsidRPr="00A06A82" w:rsidRDefault="00FD5242" w:rsidP="00A06A82">
            <w:pPr>
              <w:spacing w:line="360" w:lineRule="auto"/>
              <w:jc w:val="both"/>
              <w:rPr>
                <w:lang w:val="en-US"/>
              </w:rPr>
            </w:pPr>
            <w:r w:rsidRPr="00A06A82">
              <w:rPr>
                <w:lang w:val="en-US"/>
              </w:rPr>
              <w:t>Big Four firms performed low quality audits regarding the investigated statutory audits</w:t>
            </w:r>
          </w:p>
        </w:tc>
      </w:tr>
    </w:tbl>
    <w:p w:rsidR="00FD5242" w:rsidRDefault="00FD5242" w:rsidP="00F375AC">
      <w:pPr>
        <w:spacing w:line="360" w:lineRule="auto"/>
        <w:jc w:val="both"/>
        <w:rPr>
          <w:b/>
          <w:lang w:val="en-US"/>
        </w:rPr>
      </w:pPr>
    </w:p>
    <w:p w:rsidR="00FD5242" w:rsidRDefault="00FD5242" w:rsidP="00F375AC">
      <w:pPr>
        <w:spacing w:line="360" w:lineRule="auto"/>
        <w:jc w:val="both"/>
        <w:rPr>
          <w:b/>
          <w:lang w:val="en-US"/>
        </w:rPr>
      </w:pPr>
      <w:r w:rsidRPr="00A33CE6">
        <w:rPr>
          <w:b/>
          <w:lang w:val="en-US"/>
        </w:rPr>
        <w:t xml:space="preserve">5.2 </w:t>
      </w:r>
      <w:r>
        <w:rPr>
          <w:b/>
          <w:lang w:val="en-US"/>
        </w:rPr>
        <w:t>Summary</w:t>
      </w:r>
    </w:p>
    <w:p w:rsidR="00FD5242" w:rsidRDefault="00FD5242" w:rsidP="00F375AC">
      <w:pPr>
        <w:spacing w:line="360" w:lineRule="auto"/>
        <w:jc w:val="both"/>
        <w:rPr>
          <w:lang w:val="en-US"/>
        </w:rPr>
      </w:pPr>
      <w:r>
        <w:rPr>
          <w:lang w:val="en-US"/>
        </w:rPr>
        <w:t xml:space="preserve">    The theoretical background concerning audit conservatism, audit fees, and their changes due to financial crises was analyzed in the preceding part. Overall, empirical research has found that audit conservatism and audit fees are positively related and that in crisis periods both elements show increasing tendencies. The hypotheses developed concern the so far not investigated financial crisis that started in 2008 and the changes regarding the two auditing elements. The sample and the research design of the empirical examination that will test these hypotheses will be the subject of the subsequent chapter. The expectation is that both hypotheses will be verified, assuring that the current financial crisis has resulted in increased auditors’ use of conservatism and audit fees.</w:t>
      </w:r>
    </w:p>
    <w:p w:rsidR="00FD5242" w:rsidRPr="00A61FAC" w:rsidRDefault="00FD5242" w:rsidP="00F375AC">
      <w:pPr>
        <w:spacing w:line="360" w:lineRule="auto"/>
        <w:jc w:val="both"/>
        <w:rPr>
          <w:lang w:val="en-US"/>
        </w:rPr>
      </w:pPr>
      <w:r>
        <w:rPr>
          <w:lang w:val="en-US"/>
        </w:rPr>
        <w:br w:type="page"/>
      </w:r>
      <w:r w:rsidRPr="00694CBD">
        <w:rPr>
          <w:b/>
          <w:sz w:val="26"/>
          <w:szCs w:val="26"/>
          <w:lang w:val="en-US"/>
        </w:rPr>
        <w:t xml:space="preserve">CHAPTER 6 </w:t>
      </w:r>
      <w:r>
        <w:rPr>
          <w:b/>
          <w:sz w:val="26"/>
          <w:szCs w:val="26"/>
          <w:lang w:val="en-US"/>
        </w:rPr>
        <w:t>–</w:t>
      </w:r>
      <w:r w:rsidRPr="00694CBD">
        <w:rPr>
          <w:b/>
          <w:sz w:val="26"/>
          <w:szCs w:val="26"/>
          <w:lang w:val="en-US"/>
        </w:rPr>
        <w:t xml:space="preserve"> R</w:t>
      </w:r>
      <w:r>
        <w:rPr>
          <w:b/>
          <w:sz w:val="26"/>
          <w:szCs w:val="26"/>
          <w:lang w:val="en-US"/>
        </w:rPr>
        <w:t>esearch Design</w:t>
      </w:r>
    </w:p>
    <w:p w:rsidR="00FD5242" w:rsidRDefault="00FD5242" w:rsidP="00F375AC">
      <w:pPr>
        <w:spacing w:line="360" w:lineRule="auto"/>
        <w:jc w:val="both"/>
        <w:rPr>
          <w:b/>
          <w:lang w:val="en-US"/>
        </w:rPr>
      </w:pPr>
      <w:r w:rsidRPr="00772476">
        <w:rPr>
          <w:b/>
          <w:lang w:val="en-US"/>
        </w:rPr>
        <w:t xml:space="preserve">6.1 </w:t>
      </w:r>
      <w:r>
        <w:rPr>
          <w:b/>
          <w:lang w:val="en-US"/>
        </w:rPr>
        <w:t>Research approach</w:t>
      </w:r>
    </w:p>
    <w:p w:rsidR="00FD5242" w:rsidRDefault="00FD5242" w:rsidP="00F375AC">
      <w:pPr>
        <w:spacing w:line="360" w:lineRule="auto"/>
        <w:jc w:val="both"/>
        <w:rPr>
          <w:lang w:val="en-US"/>
        </w:rPr>
      </w:pPr>
      <w:r>
        <w:rPr>
          <w:lang w:val="en-US"/>
        </w:rPr>
        <w:t xml:space="preserve">    </w:t>
      </w:r>
      <w:r w:rsidRPr="00665CEF">
        <w:rPr>
          <w:lang w:val="en-US"/>
        </w:rPr>
        <w:t xml:space="preserve">The two main research approaches used to test phenomena are the </w:t>
      </w:r>
      <w:r>
        <w:rPr>
          <w:lang w:val="en-US"/>
        </w:rPr>
        <w:t>qualitative and quant</w:t>
      </w:r>
      <w:r w:rsidRPr="00665CEF">
        <w:rPr>
          <w:lang w:val="en-US"/>
        </w:rPr>
        <w:t xml:space="preserve">itative </w:t>
      </w:r>
      <w:r>
        <w:rPr>
          <w:lang w:val="en-US"/>
        </w:rPr>
        <w:t>approaches</w:t>
      </w:r>
      <w:r w:rsidRPr="00665CEF">
        <w:rPr>
          <w:lang w:val="en-US"/>
        </w:rPr>
        <w:t>.</w:t>
      </w:r>
    </w:p>
    <w:p w:rsidR="00FD5242" w:rsidRDefault="00FD5242" w:rsidP="00F375AC">
      <w:pPr>
        <w:spacing w:line="360" w:lineRule="auto"/>
        <w:jc w:val="both"/>
        <w:rPr>
          <w:lang w:val="en-US"/>
        </w:rPr>
      </w:pPr>
      <w:r w:rsidRPr="00AA0851">
        <w:rPr>
          <w:lang w:val="en-US"/>
        </w:rPr>
        <w:t xml:space="preserve">    </w:t>
      </w:r>
      <w:r w:rsidRPr="006E41FA">
        <w:rPr>
          <w:i/>
          <w:u w:val="single"/>
          <w:lang w:val="en-US"/>
        </w:rPr>
        <w:t>Qualitative research</w:t>
      </w:r>
      <w:r>
        <w:rPr>
          <w:lang w:val="en-US"/>
        </w:rPr>
        <w:t xml:space="preserve"> is regarded as the “inquiry” method accounted for the investigation and understanding of more conceptual features, such as meanings, concepts, characteristics and behaviors. In short, it investigates the way and the reasoning for humans’ decision-making. It is involved with non-numerical data; consequently, the role of the researcher becomes asymmetrically significant. Since it does not allow generalizations, it is recognized as the least scientific one. The testing sample is small and specifically chosen concerning the particular cases examined. The results are analyzed and subjectively interpreted by the conductor of the research and can only explain the specific subjects under investigation. The findings of such a research easily and reasonably can be questioned considered as biased.</w:t>
      </w:r>
    </w:p>
    <w:p w:rsidR="00FD5242" w:rsidRDefault="00FD5242" w:rsidP="00F375AC">
      <w:pPr>
        <w:spacing w:line="360" w:lineRule="auto"/>
        <w:jc w:val="both"/>
        <w:rPr>
          <w:lang w:val="en-US"/>
        </w:rPr>
      </w:pPr>
      <w:r>
        <w:rPr>
          <w:lang w:val="en-US"/>
        </w:rPr>
        <w:t xml:space="preserve">This study is concerned with the examination and the assessment of specific variables and the relationship between them, consequently this kind of research, the quantitative one, cannot be selected as the appropriate empirical method. In order to analyze and prove the type and the magnitude of the variables and their interconnections, “harder” scientific evidence is required such as strictly interpreted numerical data. </w:t>
      </w:r>
    </w:p>
    <w:p w:rsidR="00FD5242" w:rsidRDefault="00FD5242" w:rsidP="00F375AC">
      <w:pPr>
        <w:spacing w:line="360" w:lineRule="auto"/>
        <w:jc w:val="both"/>
        <w:rPr>
          <w:lang w:val="en-US"/>
        </w:rPr>
      </w:pPr>
      <w:r>
        <w:rPr>
          <w:lang w:val="en-US"/>
        </w:rPr>
        <w:t xml:space="preserve">    </w:t>
      </w:r>
      <w:r w:rsidRPr="006E41FA">
        <w:rPr>
          <w:i/>
          <w:u w:val="single"/>
          <w:lang w:val="en-US"/>
        </w:rPr>
        <w:t>Quantitative research</w:t>
      </w:r>
      <w:r>
        <w:rPr>
          <w:lang w:val="en-US"/>
        </w:rPr>
        <w:t xml:space="preserve"> on the other hand, is regarded as the empirical investigation of measurable properties and phenomena and the relationships among them. The aim of a quantitative research is to determine the relationship between an independent and a dependent (or outcome variable) feature. In addition, a quantitative research is also used concerning the examination and the explanation of the mechanisms of treatment or behavioral procedures. In order to test the association between the two types of variables based on observation and/or prior research findings, specific hypotheses are developed. The corresponding findings are attributed to the results of the mathematical models established to correspond to the specific hypotheses. </w:t>
      </w:r>
    </w:p>
    <w:p w:rsidR="00FD5242" w:rsidRDefault="00FD5242" w:rsidP="00F375AC">
      <w:pPr>
        <w:spacing w:line="360" w:lineRule="auto"/>
        <w:jc w:val="both"/>
        <w:rPr>
          <w:lang w:val="en-US"/>
        </w:rPr>
      </w:pPr>
      <w:r>
        <w:rPr>
          <w:lang w:val="en-US"/>
        </w:rPr>
        <w:t>Since it is the most appropriate and objective one, this kind of research, the quantitative one, is the one used concerning the empirical testing in this study. Studies targeted to quantifying relationships can be either descriptive, or experimental. The descriptive type is used for simple measurement of the examined elements, no modification in conditions or behavior is attempted. In contrast, experimental studies involve measurements that are taken and then intervened or modified, in order to examine the results of these testing procedures. The results of a statistical research are considered robust, reliable and can be generalized due to the employment of scientific –mathematical- models. The data used for quantitative research is more efficient and can test hypotheses as the ones developed in the precedent chapter. Furthermore, the tested sample can be as large as adequate for the establishment and the scientific recognition and approval of the statistically produced findings. It is important though, to select a representative sample of the population so that findings are considered unbiased, objective, and generalizing. Additionally, this type of research has more advantages in that it is less time consuming and expensive.</w:t>
      </w:r>
    </w:p>
    <w:p w:rsidR="00FD5242" w:rsidRDefault="00FD5242" w:rsidP="00F375AC">
      <w:pPr>
        <w:spacing w:line="360" w:lineRule="auto"/>
        <w:jc w:val="both"/>
        <w:rPr>
          <w:lang w:val="en-US"/>
        </w:rPr>
      </w:pPr>
      <w:r>
        <w:rPr>
          <w:lang w:val="en-US"/>
        </w:rPr>
        <w:t xml:space="preserve">    The goal of this study is to determine the relationship between the emergence and the impacts of the current financial crisis (independent element) and auditors’ conservatism and audit fees (dependent elements). Consequently, it is clear that the quantitative type of research instead of the qualitative one is the most suitable. The specific statistical model used is analyzed in the subsequent parts.</w:t>
      </w:r>
    </w:p>
    <w:p w:rsidR="00FD5242" w:rsidRDefault="00FD5242" w:rsidP="00F375AC">
      <w:pPr>
        <w:spacing w:line="360" w:lineRule="auto"/>
        <w:jc w:val="both"/>
        <w:rPr>
          <w:b/>
          <w:lang w:val="en-US"/>
        </w:rPr>
      </w:pPr>
      <w:r>
        <w:rPr>
          <w:b/>
          <w:lang w:val="en-US"/>
        </w:rPr>
        <w:t>6.2 Research methodology</w:t>
      </w:r>
    </w:p>
    <w:p w:rsidR="00FD5242" w:rsidRDefault="00FD5242" w:rsidP="00F375AC">
      <w:pPr>
        <w:spacing w:line="360" w:lineRule="auto"/>
        <w:jc w:val="both"/>
        <w:rPr>
          <w:lang w:val="en-US"/>
        </w:rPr>
      </w:pPr>
      <w:r>
        <w:rPr>
          <w:lang w:val="en-US"/>
        </w:rPr>
        <w:t xml:space="preserve">    Verschuren and Dooreward (2007) defined the quantitative types of research in surveys and experiments. </w:t>
      </w:r>
      <w:r w:rsidRPr="002275E6">
        <w:rPr>
          <w:i/>
          <w:lang w:val="en-US"/>
        </w:rPr>
        <w:t>Surveys</w:t>
      </w:r>
      <w:r>
        <w:rPr>
          <w:lang w:val="en-US"/>
        </w:rPr>
        <w:t xml:space="preserve"> are conducted through cross-sectional and longitudinal studies with questionnaires or interviews that are aimed to estimate the characteristics of a population, while </w:t>
      </w:r>
      <w:r w:rsidRPr="002275E6">
        <w:rPr>
          <w:i/>
          <w:lang w:val="en-US"/>
        </w:rPr>
        <w:t>experiments</w:t>
      </w:r>
      <w:r>
        <w:rPr>
          <w:lang w:val="en-US"/>
        </w:rPr>
        <w:t xml:space="preserve"> are used to determine a cause-and-effect relationship. Furthermore, they distinguished three categories of experimental procedures, namely laboratory, quasi-experiment, and simulation.</w:t>
      </w:r>
      <w:r>
        <w:rPr>
          <w:b/>
          <w:lang w:val="en-US"/>
        </w:rPr>
        <w:t xml:space="preserve"> </w:t>
      </w:r>
      <w:r>
        <w:rPr>
          <w:bCs/>
          <w:lang w:val="en-US"/>
        </w:rPr>
        <w:t>Q</w:t>
      </w:r>
      <w:r w:rsidRPr="009224E9">
        <w:rPr>
          <w:bCs/>
          <w:lang w:val="en-US"/>
        </w:rPr>
        <w:t>uasi-experiment</w:t>
      </w:r>
      <w:r>
        <w:rPr>
          <w:bCs/>
          <w:lang w:val="en-US"/>
        </w:rPr>
        <w:t>s</w:t>
      </w:r>
      <w:r>
        <w:rPr>
          <w:lang w:val="en-US"/>
        </w:rPr>
        <w:t xml:space="preserve"> involve elements</w:t>
      </w:r>
      <w:r w:rsidRPr="009224E9">
        <w:rPr>
          <w:lang w:val="en-US"/>
        </w:rPr>
        <w:t xml:space="preserve"> </w:t>
      </w:r>
      <w:r>
        <w:rPr>
          <w:lang w:val="en-US"/>
        </w:rPr>
        <w:t>that</w:t>
      </w:r>
      <w:r w:rsidRPr="009224E9">
        <w:rPr>
          <w:lang w:val="en-US"/>
        </w:rPr>
        <w:t xml:space="preserve"> are not </w:t>
      </w:r>
      <w:hyperlink r:id="rId10" w:tooltip="Random assignment" w:history="1">
        <w:r w:rsidRPr="00613306">
          <w:rPr>
            <w:rStyle w:val="Hyperlink"/>
            <w:color w:val="auto"/>
            <w:u w:val="none"/>
            <w:lang w:val="en-US"/>
          </w:rPr>
          <w:t>randomly assigned</w:t>
        </w:r>
      </w:hyperlink>
      <w:r w:rsidRPr="009224E9">
        <w:rPr>
          <w:lang w:val="en-US"/>
        </w:rPr>
        <w:t xml:space="preserve"> to different groups in order to measure outcomes</w:t>
      </w:r>
      <w:r>
        <w:rPr>
          <w:lang w:val="en-US"/>
        </w:rPr>
        <w:t xml:space="preserve">, </w:t>
      </w:r>
      <w:r w:rsidRPr="009224E9">
        <w:rPr>
          <w:lang w:val="en-US"/>
        </w:rPr>
        <w:t>but grouped according to a characteristic that they already possess</w:t>
      </w:r>
      <w:r>
        <w:rPr>
          <w:lang w:val="en-US"/>
        </w:rPr>
        <w:t>. This is going to be the scientific approach of this study, since the data tested are thoroughly selected and categorized. Moreover, the financial crisis starting in 2008 is considered the “cause” element and auditors’ conservatism and audit fees are considered the “effect” elements, a fact that excludes the surveys approach from the first place.</w:t>
      </w:r>
    </w:p>
    <w:p w:rsidR="00FD5242" w:rsidRPr="00B46B35" w:rsidRDefault="00FD5242" w:rsidP="00F375AC">
      <w:pPr>
        <w:spacing w:line="360" w:lineRule="auto"/>
        <w:jc w:val="both"/>
        <w:rPr>
          <w:b/>
          <w:color w:val="000000"/>
          <w:lang w:val="en-US"/>
        </w:rPr>
      </w:pPr>
      <w:r>
        <w:rPr>
          <w:lang w:val="en-US"/>
        </w:rPr>
        <w:t xml:space="preserve">    This study is investigating the impacts of the global financial crisis of the last 3 years (2008-2010) on auditors’ conservatism and the audit fees. In order to process their data, the majority of the scientific studies investigating conservatism, either in accounting or auditing activities, use the model of Basu (1997). As already commented, Basu used a multivariate regression model. The ordinary least squares (OLS) method estimates the unknown parameters in a linear regression model. </w:t>
      </w:r>
      <w:r w:rsidRPr="00B46B35">
        <w:rPr>
          <w:color w:val="000000"/>
          <w:lang w:val="en-US"/>
        </w:rPr>
        <w:t xml:space="preserve">This is achieved by minimizing the sum of squared distances between the observed responses in a set of </w:t>
      </w:r>
      <w:hyperlink r:id="rId11" w:tooltip="Data" w:history="1">
        <w:r w:rsidRPr="00B856D3">
          <w:rPr>
            <w:rStyle w:val="Hyperlink"/>
            <w:color w:val="000000"/>
            <w:u w:val="none"/>
            <w:lang w:val="en-US"/>
          </w:rPr>
          <w:t>data</w:t>
        </w:r>
      </w:hyperlink>
      <w:r w:rsidRPr="00B46B35">
        <w:rPr>
          <w:color w:val="000000"/>
          <w:lang w:val="en-US"/>
        </w:rPr>
        <w:t xml:space="preserve">, and the fitted responses </w:t>
      </w:r>
      <w:r>
        <w:rPr>
          <w:color w:val="000000"/>
          <w:lang w:val="en-US"/>
        </w:rPr>
        <w:t>based on</w:t>
      </w:r>
      <w:r w:rsidRPr="00B46B35">
        <w:rPr>
          <w:color w:val="000000"/>
          <w:lang w:val="en-US"/>
        </w:rPr>
        <w:t xml:space="preserve"> the </w:t>
      </w:r>
      <w:r>
        <w:rPr>
          <w:color w:val="000000"/>
          <w:lang w:val="en-US"/>
        </w:rPr>
        <w:t xml:space="preserve">used </w:t>
      </w:r>
      <w:r w:rsidRPr="00B46B35">
        <w:rPr>
          <w:color w:val="000000"/>
          <w:lang w:val="en-US"/>
        </w:rPr>
        <w:t>regression model.</w:t>
      </w:r>
    </w:p>
    <w:p w:rsidR="00FD5242" w:rsidRPr="00B46B35" w:rsidRDefault="00FD5242" w:rsidP="00F375AC">
      <w:pPr>
        <w:pStyle w:val="Heading3"/>
        <w:spacing w:line="360" w:lineRule="auto"/>
        <w:jc w:val="both"/>
        <w:rPr>
          <w:rFonts w:ascii="Calibri" w:hAnsi="Calibri"/>
          <w:b w:val="0"/>
          <w:color w:val="000000"/>
          <w:sz w:val="22"/>
          <w:szCs w:val="22"/>
        </w:rPr>
      </w:pPr>
      <w:r w:rsidRPr="00B46B35">
        <w:rPr>
          <w:rStyle w:val="mw-headline"/>
          <w:rFonts w:ascii="Calibri" w:hAnsi="Calibri"/>
          <w:b w:val="0"/>
          <w:color w:val="000000"/>
          <w:sz w:val="22"/>
          <w:szCs w:val="22"/>
        </w:rPr>
        <w:t xml:space="preserve">The underlying assumptions of the </w:t>
      </w:r>
      <w:r>
        <w:rPr>
          <w:rStyle w:val="mw-headline"/>
          <w:rFonts w:ascii="Calibri" w:hAnsi="Calibri"/>
          <w:b w:val="0"/>
          <w:color w:val="000000"/>
          <w:sz w:val="22"/>
          <w:szCs w:val="22"/>
        </w:rPr>
        <w:t xml:space="preserve">OLS </w:t>
      </w:r>
      <w:r w:rsidRPr="00B46B35">
        <w:rPr>
          <w:rStyle w:val="mw-headline"/>
          <w:rFonts w:ascii="Calibri" w:hAnsi="Calibri"/>
          <w:b w:val="0"/>
          <w:color w:val="000000"/>
          <w:sz w:val="22"/>
          <w:szCs w:val="22"/>
        </w:rPr>
        <w:t>model are:</w:t>
      </w:r>
    </w:p>
    <w:p w:rsidR="00FD5242" w:rsidRPr="00B46B35" w:rsidRDefault="00FD5242" w:rsidP="00F375AC">
      <w:pPr>
        <w:numPr>
          <w:ilvl w:val="0"/>
          <w:numId w:val="12"/>
        </w:numPr>
        <w:spacing w:before="100" w:beforeAutospacing="1" w:after="100" w:afterAutospacing="1" w:line="360" w:lineRule="auto"/>
        <w:jc w:val="both"/>
        <w:rPr>
          <w:color w:val="000000"/>
          <w:lang w:val="en-US"/>
        </w:rPr>
      </w:pPr>
      <w:r w:rsidRPr="00B46B35">
        <w:rPr>
          <w:color w:val="000000"/>
          <w:lang w:val="en-US"/>
        </w:rPr>
        <w:t xml:space="preserve">The response variables are </w:t>
      </w:r>
      <w:hyperlink r:id="rId12" w:tooltip="Correlation" w:history="1">
        <w:r w:rsidRPr="00B856D3">
          <w:rPr>
            <w:rStyle w:val="Hyperlink"/>
            <w:color w:val="000000"/>
            <w:u w:val="none"/>
            <w:lang w:val="en-US"/>
          </w:rPr>
          <w:t>uncorrelated</w:t>
        </w:r>
      </w:hyperlink>
      <w:r w:rsidRPr="00B46B35">
        <w:rPr>
          <w:color w:val="000000"/>
          <w:lang w:val="en-US"/>
        </w:rPr>
        <w:t xml:space="preserve"> with each other.</w:t>
      </w:r>
    </w:p>
    <w:p w:rsidR="00FD5242" w:rsidRPr="00B46B35" w:rsidRDefault="00FD5242" w:rsidP="00F375AC">
      <w:pPr>
        <w:numPr>
          <w:ilvl w:val="0"/>
          <w:numId w:val="12"/>
        </w:numPr>
        <w:spacing w:before="100" w:beforeAutospacing="1" w:after="100" w:afterAutospacing="1" w:line="360" w:lineRule="auto"/>
        <w:jc w:val="both"/>
        <w:rPr>
          <w:color w:val="000000"/>
          <w:lang w:val="en-US"/>
        </w:rPr>
      </w:pPr>
      <w:r w:rsidRPr="00B46B35">
        <w:rPr>
          <w:color w:val="000000"/>
          <w:lang w:val="en-US"/>
        </w:rPr>
        <w:t xml:space="preserve">The errors have zero mean </w:t>
      </w:r>
    </w:p>
    <w:p w:rsidR="00FD5242" w:rsidRPr="00B46B35" w:rsidRDefault="00FD5242" w:rsidP="00F375AC">
      <w:pPr>
        <w:numPr>
          <w:ilvl w:val="0"/>
          <w:numId w:val="12"/>
        </w:numPr>
        <w:spacing w:before="100" w:beforeAutospacing="1" w:after="100" w:afterAutospacing="1" w:line="360" w:lineRule="auto"/>
        <w:jc w:val="both"/>
        <w:rPr>
          <w:color w:val="000000"/>
          <w:lang w:val="en-US"/>
        </w:rPr>
      </w:pPr>
      <w:r w:rsidRPr="00B46B35">
        <w:rPr>
          <w:color w:val="000000"/>
          <w:lang w:val="en-US"/>
        </w:rPr>
        <w:t xml:space="preserve">The errors have finite second moments that are the same for all units </w:t>
      </w:r>
      <w:r w:rsidRPr="00AE5036">
        <w:rPr>
          <w:color w:val="000000"/>
          <w:lang w:val="en-US"/>
        </w:rPr>
        <w:t>(</w:t>
      </w:r>
      <w:hyperlink r:id="rId13" w:tooltip="Homoscedasticity" w:history="1">
        <w:r w:rsidRPr="00B856D3">
          <w:rPr>
            <w:rStyle w:val="Hyperlink"/>
            <w:color w:val="000000"/>
            <w:u w:val="none"/>
            <w:lang w:val="en-US"/>
          </w:rPr>
          <w:t>Homoscedasticity</w:t>
        </w:r>
      </w:hyperlink>
      <w:r w:rsidRPr="00AE5036">
        <w:rPr>
          <w:color w:val="000000"/>
          <w:lang w:val="en-US"/>
        </w:rPr>
        <w:t>)</w:t>
      </w:r>
    </w:p>
    <w:p w:rsidR="00FD5242" w:rsidRDefault="00FD5242" w:rsidP="00F375AC">
      <w:pPr>
        <w:spacing w:line="360" w:lineRule="auto"/>
        <w:jc w:val="both"/>
        <w:rPr>
          <w:lang w:val="en-US"/>
        </w:rPr>
      </w:pPr>
      <w:r>
        <w:rPr>
          <w:lang w:val="en-US"/>
        </w:rPr>
        <w:t xml:space="preserve">    Basu’s hypotheses concerned the systematic differences between good and bad news periods in the timeliness and in the persistence of earnings, due to the better specification of OLS standard errors and test statistics when the lagging variable is specified as the dependent one. Specifically, his first and primary hypothesis was that the slope coefficient and R</w:t>
      </w:r>
      <w:r>
        <w:rPr>
          <w:vertAlign w:val="superscript"/>
          <w:lang w:val="en-US"/>
        </w:rPr>
        <w:t xml:space="preserve">2 </w:t>
      </w:r>
      <w:r>
        <w:rPr>
          <w:lang w:val="en-US"/>
        </w:rPr>
        <w:t>from a regression of annual earnings on annual unexpected returns (negative for “bad news” and positive for “good news”) are higher concerning the negative unexpected returns than concerning the positive ones. Indeed his findings were consistent with his prediction. The specific statistical model he used to investigate the use of conservatism is demonstrated in the subsequent part of this chapter.</w:t>
      </w:r>
    </w:p>
    <w:p w:rsidR="00FD5242" w:rsidRDefault="00FD5242" w:rsidP="00F375AC">
      <w:pPr>
        <w:spacing w:line="360" w:lineRule="auto"/>
        <w:jc w:val="both"/>
        <w:rPr>
          <w:lang w:val="en-US"/>
        </w:rPr>
      </w:pPr>
      <w:r>
        <w:rPr>
          <w:lang w:val="en-US"/>
        </w:rPr>
        <w:t xml:space="preserve">    The Basu model is selected as the most appropriate regarding the conduction of this study. The impacts of the crisis in audit fees are investigated by running the statistical model used in Gul et al. (2003), in order to define the relationship between the dependent and the independent variables. Overall, both analyses will consist of regression models as far as the statistical testing is concerned.</w:t>
      </w:r>
    </w:p>
    <w:p w:rsidR="00FD5242" w:rsidRPr="00B00B03" w:rsidRDefault="00FD5242" w:rsidP="00F375AC">
      <w:pPr>
        <w:spacing w:line="360" w:lineRule="auto"/>
        <w:jc w:val="both"/>
        <w:rPr>
          <w:lang w:val="en-US"/>
        </w:rPr>
      </w:pPr>
      <w:r>
        <w:rPr>
          <w:b/>
          <w:lang w:val="en-US"/>
        </w:rPr>
        <w:t>6.3 Measuring auditors’ conservatism and audit fees</w:t>
      </w:r>
    </w:p>
    <w:p w:rsidR="00FD5242" w:rsidRDefault="00FD5242" w:rsidP="00F375AC">
      <w:pPr>
        <w:spacing w:line="360" w:lineRule="auto"/>
        <w:jc w:val="both"/>
        <w:rPr>
          <w:lang w:val="en-US"/>
        </w:rPr>
      </w:pPr>
      <w:r w:rsidRPr="008E74C4">
        <w:rPr>
          <w:lang w:val="en-US"/>
        </w:rPr>
        <w:t xml:space="preserve">    Basu (1997) measured conservatism as the asymmetric</w:t>
      </w:r>
      <w:r>
        <w:rPr>
          <w:lang w:val="en-US"/>
        </w:rPr>
        <w:t>ally</w:t>
      </w:r>
      <w:r w:rsidRPr="008E74C4">
        <w:rPr>
          <w:lang w:val="en-US"/>
        </w:rPr>
        <w:t xml:space="preserve"> </w:t>
      </w:r>
      <w:r>
        <w:rPr>
          <w:lang w:val="en-US"/>
        </w:rPr>
        <w:t>recognized</w:t>
      </w:r>
      <w:r w:rsidRPr="008E74C4">
        <w:rPr>
          <w:lang w:val="en-US"/>
        </w:rPr>
        <w:t xml:space="preserve"> bad and good news in contemporaneous earnings.</w:t>
      </w:r>
      <w:r>
        <w:rPr>
          <w:lang w:val="en-US"/>
        </w:rPr>
        <w:t xml:space="preserve"> Within the same concept, the empirical approach of this study associates audit conservatism and audit fees with the estimation risk attributed to the asymmetric recognition of bad and good news in earnings. The model he used proxied good news by unexpected positive stock returns and bad news by unexpected negative stock returns as presented:</w:t>
      </w:r>
    </w:p>
    <w:p w:rsidR="00FD5242" w:rsidRDefault="00FD5242" w:rsidP="00F375AC">
      <w:pPr>
        <w:spacing w:line="360" w:lineRule="auto"/>
        <w:jc w:val="both"/>
        <w:rPr>
          <w:lang w:val="en-US"/>
        </w:rPr>
      </w:pPr>
    </w:p>
    <w:tbl>
      <w:tblPr>
        <w:tblW w:w="0" w:type="auto"/>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Look w:val="00A0"/>
      </w:tblPr>
      <w:tblGrid>
        <w:gridCol w:w="8340"/>
      </w:tblGrid>
      <w:tr w:rsidR="00FD5242" w:rsidRPr="009E2EF6" w:rsidTr="00AD41B0">
        <w:trPr>
          <w:trHeight w:val="236"/>
        </w:trPr>
        <w:tc>
          <w:tcPr>
            <w:tcW w:w="8522" w:type="dxa"/>
            <w:tcBorders>
              <w:bottom w:val="thinThickSmallGap" w:sz="24" w:space="0" w:color="B6DDE8"/>
            </w:tcBorders>
          </w:tcPr>
          <w:p w:rsidR="00FD5242" w:rsidRPr="00AD41B0" w:rsidRDefault="00FD5242" w:rsidP="00AD41B0">
            <w:pPr>
              <w:spacing w:after="0" w:line="360" w:lineRule="auto"/>
              <w:jc w:val="both"/>
              <w:rPr>
                <w:rFonts w:ascii="Cambria" w:hAnsi="Cambria"/>
                <w:b/>
                <w:bCs/>
                <w:lang w:val="en-US"/>
              </w:rPr>
            </w:pPr>
          </w:p>
        </w:tc>
      </w:tr>
      <w:tr w:rsidR="00FD5242" w:rsidRPr="00F32ADF" w:rsidTr="00AD41B0">
        <w:trPr>
          <w:trHeight w:val="295"/>
        </w:trPr>
        <w:tc>
          <w:tcPr>
            <w:tcW w:w="8522" w:type="dxa"/>
            <w:tcBorders>
              <w:top w:val="thinThickSmallGap" w:sz="24" w:space="0" w:color="B6DDE8"/>
              <w:bottom w:val="thinThickSmallGap" w:sz="24" w:space="0" w:color="B6DDE8"/>
            </w:tcBorders>
            <w:shd w:val="clear" w:color="auto" w:fill="D2EAF1"/>
          </w:tcPr>
          <w:p w:rsidR="00FD5242" w:rsidRPr="00AA76E0" w:rsidRDefault="00FD5242" w:rsidP="00AA76E0">
            <w:pPr>
              <w:spacing w:after="0" w:line="360" w:lineRule="auto"/>
              <w:jc w:val="center"/>
              <w:rPr>
                <w:rFonts w:ascii="Cambria" w:hAnsi="Cambria"/>
                <w:b/>
                <w:bCs/>
                <w:vertAlign w:val="subscript"/>
                <w:lang w:val="sv-SE"/>
              </w:rPr>
            </w:pPr>
            <w:r w:rsidRPr="00716ECD">
              <w:rPr>
                <w:rFonts w:ascii="Cambria" w:hAnsi="Cambria"/>
                <w:b/>
                <w:bCs/>
                <w:lang w:val="sv-SE"/>
              </w:rPr>
              <w:t>X</w:t>
            </w:r>
            <w:r w:rsidRPr="00716ECD">
              <w:rPr>
                <w:rFonts w:ascii="Cambria" w:hAnsi="Cambria"/>
                <w:b/>
                <w:bCs/>
                <w:vertAlign w:val="subscript"/>
                <w:lang w:val="sv-SE"/>
              </w:rPr>
              <w:t>it</w:t>
            </w:r>
            <w:r w:rsidRPr="00716ECD">
              <w:rPr>
                <w:rFonts w:ascii="Cambria" w:hAnsi="Cambria"/>
                <w:b/>
                <w:bCs/>
                <w:lang w:val="sv-SE"/>
              </w:rPr>
              <w:t>/P</w:t>
            </w:r>
            <w:r w:rsidRPr="00716ECD">
              <w:rPr>
                <w:rFonts w:ascii="Cambria" w:hAnsi="Cambria"/>
                <w:b/>
                <w:bCs/>
                <w:vertAlign w:val="subscript"/>
                <w:lang w:val="sv-SE"/>
              </w:rPr>
              <w:t xml:space="preserve">it-1 </w:t>
            </w:r>
            <w:r w:rsidRPr="00716ECD">
              <w:rPr>
                <w:rFonts w:ascii="Cambria" w:hAnsi="Cambria"/>
                <w:b/>
                <w:bCs/>
                <w:lang w:val="sv-SE"/>
              </w:rPr>
              <w:t>= b</w:t>
            </w:r>
            <w:r w:rsidRPr="00716ECD">
              <w:rPr>
                <w:rFonts w:ascii="Cambria" w:hAnsi="Cambria"/>
                <w:b/>
                <w:bCs/>
                <w:vertAlign w:val="subscript"/>
                <w:lang w:val="sv-SE"/>
              </w:rPr>
              <w:t>0</w:t>
            </w:r>
            <w:r w:rsidRPr="00716ECD">
              <w:rPr>
                <w:rFonts w:ascii="Cambria" w:hAnsi="Cambria"/>
                <w:b/>
                <w:bCs/>
                <w:lang w:val="sv-SE"/>
              </w:rPr>
              <w:t xml:space="preserve"> + b</w:t>
            </w:r>
            <w:r w:rsidRPr="00716ECD">
              <w:rPr>
                <w:rFonts w:ascii="Cambria" w:hAnsi="Cambria"/>
                <w:b/>
                <w:bCs/>
                <w:vertAlign w:val="subscript"/>
                <w:lang w:val="sv-SE"/>
              </w:rPr>
              <w:t>1</w:t>
            </w:r>
            <w:r w:rsidRPr="00716ECD">
              <w:rPr>
                <w:rFonts w:ascii="Cambria" w:hAnsi="Cambria"/>
                <w:b/>
                <w:bCs/>
                <w:lang w:val="sv-SE"/>
              </w:rPr>
              <w:t>DR</w:t>
            </w:r>
            <w:r w:rsidRPr="00716ECD">
              <w:rPr>
                <w:rFonts w:ascii="Cambria" w:hAnsi="Cambria"/>
                <w:b/>
                <w:bCs/>
                <w:vertAlign w:val="subscript"/>
                <w:lang w:val="sv-SE"/>
              </w:rPr>
              <w:t>it</w:t>
            </w:r>
            <w:r w:rsidRPr="00716ECD">
              <w:rPr>
                <w:rFonts w:ascii="Cambria" w:hAnsi="Cambria"/>
                <w:b/>
                <w:bCs/>
                <w:lang w:val="sv-SE"/>
              </w:rPr>
              <w:t xml:space="preserve"> + b</w:t>
            </w:r>
            <w:r w:rsidRPr="00716ECD">
              <w:rPr>
                <w:rFonts w:ascii="Cambria" w:hAnsi="Cambria"/>
                <w:b/>
                <w:bCs/>
                <w:vertAlign w:val="subscript"/>
                <w:lang w:val="sv-SE"/>
              </w:rPr>
              <w:t>2</w:t>
            </w:r>
            <w:r w:rsidRPr="00716ECD">
              <w:rPr>
                <w:rFonts w:ascii="Cambria" w:hAnsi="Cambria"/>
                <w:b/>
                <w:bCs/>
                <w:lang w:val="sv-SE"/>
              </w:rPr>
              <w:t>R</w:t>
            </w:r>
            <w:r w:rsidRPr="00716ECD">
              <w:rPr>
                <w:rFonts w:ascii="Cambria" w:hAnsi="Cambria"/>
                <w:b/>
                <w:bCs/>
                <w:vertAlign w:val="subscript"/>
                <w:lang w:val="sv-SE"/>
              </w:rPr>
              <w:t xml:space="preserve">it </w:t>
            </w:r>
            <w:r w:rsidRPr="00716ECD">
              <w:rPr>
                <w:rFonts w:ascii="Cambria" w:hAnsi="Cambria"/>
                <w:b/>
                <w:bCs/>
                <w:lang w:val="sv-SE"/>
              </w:rPr>
              <w:t>+ b</w:t>
            </w:r>
            <w:r w:rsidRPr="00716ECD">
              <w:rPr>
                <w:rFonts w:ascii="Cambria" w:hAnsi="Cambria"/>
                <w:b/>
                <w:bCs/>
                <w:vertAlign w:val="subscript"/>
                <w:lang w:val="sv-SE"/>
              </w:rPr>
              <w:t>3</w:t>
            </w:r>
            <w:r w:rsidRPr="00716ECD">
              <w:rPr>
                <w:rFonts w:ascii="Cambria" w:hAnsi="Cambria"/>
                <w:b/>
                <w:bCs/>
                <w:lang w:val="sv-SE"/>
              </w:rPr>
              <w:t>R</w:t>
            </w:r>
            <w:r w:rsidRPr="00716ECD">
              <w:rPr>
                <w:rFonts w:ascii="Cambria" w:hAnsi="Cambria"/>
                <w:b/>
                <w:bCs/>
                <w:vertAlign w:val="subscript"/>
                <w:lang w:val="sv-SE"/>
              </w:rPr>
              <w:t xml:space="preserve">it </w:t>
            </w:r>
            <w:r w:rsidRPr="00716ECD">
              <w:rPr>
                <w:rFonts w:ascii="Cambria" w:hAnsi="Cambria"/>
                <w:b/>
                <w:bCs/>
                <w:lang w:val="sv-SE"/>
              </w:rPr>
              <w:t>* DR</w:t>
            </w:r>
            <w:r w:rsidRPr="00716ECD">
              <w:rPr>
                <w:rFonts w:ascii="Cambria" w:hAnsi="Cambria"/>
                <w:b/>
                <w:bCs/>
                <w:vertAlign w:val="subscript"/>
                <w:lang w:val="sv-SE"/>
              </w:rPr>
              <w:t>it</w:t>
            </w:r>
            <w:r>
              <w:rPr>
                <w:rFonts w:ascii="Cambria" w:hAnsi="Cambria"/>
                <w:b/>
                <w:bCs/>
                <w:lang w:val="sv-SE"/>
              </w:rPr>
              <w:t xml:space="preserve"> + </w:t>
            </w:r>
            <w:r>
              <w:rPr>
                <w:rFonts w:ascii="Cambria" w:hAnsi="Cambria"/>
                <w:b/>
                <w:bCs/>
              </w:rPr>
              <w:t>ε</w:t>
            </w:r>
            <w:r w:rsidRPr="00716ECD">
              <w:rPr>
                <w:rFonts w:ascii="Cambria" w:hAnsi="Cambria"/>
                <w:b/>
                <w:bCs/>
                <w:lang w:val="sv-SE"/>
              </w:rPr>
              <w:t xml:space="preserve">  (1)</w:t>
            </w:r>
            <w:r w:rsidRPr="00716ECD">
              <w:rPr>
                <w:rFonts w:ascii="Cambria" w:hAnsi="Cambria"/>
                <w:b/>
                <w:bCs/>
                <w:vertAlign w:val="subscript"/>
                <w:lang w:val="sv-SE"/>
              </w:rPr>
              <w:t xml:space="preserve"> </w:t>
            </w:r>
          </w:p>
        </w:tc>
      </w:tr>
      <w:tr w:rsidR="00FD5242" w:rsidRPr="00F32ADF" w:rsidTr="00AD41B0">
        <w:trPr>
          <w:trHeight w:val="223"/>
        </w:trPr>
        <w:tc>
          <w:tcPr>
            <w:tcW w:w="8522" w:type="dxa"/>
            <w:tcBorders>
              <w:top w:val="thinThickSmallGap" w:sz="24" w:space="0" w:color="B6DDE8"/>
            </w:tcBorders>
          </w:tcPr>
          <w:p w:rsidR="00FD5242" w:rsidRPr="00716ECD" w:rsidRDefault="00FD5242" w:rsidP="00AD41B0">
            <w:pPr>
              <w:spacing w:after="0" w:line="360" w:lineRule="auto"/>
              <w:jc w:val="both"/>
              <w:rPr>
                <w:rFonts w:ascii="Cambria" w:hAnsi="Cambria"/>
                <w:b/>
                <w:bCs/>
                <w:lang w:val="sv-SE"/>
              </w:rPr>
            </w:pPr>
          </w:p>
        </w:tc>
      </w:tr>
    </w:tbl>
    <w:p w:rsidR="00FD5242" w:rsidRPr="00716ECD" w:rsidRDefault="00FD5242" w:rsidP="00F375AC">
      <w:pPr>
        <w:spacing w:line="360" w:lineRule="auto"/>
        <w:jc w:val="both"/>
        <w:rPr>
          <w:b/>
          <w:lang w:val="sv-SE"/>
        </w:rPr>
      </w:pPr>
    </w:p>
    <w:p w:rsidR="00FD5242" w:rsidRDefault="00FD5242" w:rsidP="00F375AC">
      <w:pPr>
        <w:spacing w:line="360" w:lineRule="auto"/>
        <w:jc w:val="both"/>
        <w:rPr>
          <w:lang w:val="en-US"/>
        </w:rPr>
      </w:pPr>
      <w:r>
        <w:rPr>
          <w:lang w:val="en-US"/>
        </w:rPr>
        <w:t>Where:</w:t>
      </w:r>
    </w:p>
    <w:p w:rsidR="00FD5242" w:rsidRDefault="00FD5242" w:rsidP="00F375AC">
      <w:pPr>
        <w:spacing w:line="360" w:lineRule="auto"/>
        <w:rPr>
          <w:lang w:val="en-US"/>
        </w:rPr>
      </w:pPr>
      <w:r>
        <w:rPr>
          <w:lang w:val="en-US"/>
        </w:rPr>
        <w:t>X</w:t>
      </w:r>
      <w:r>
        <w:rPr>
          <w:vertAlign w:val="subscript"/>
          <w:lang w:val="en-US"/>
        </w:rPr>
        <w:t xml:space="preserve">it </w:t>
      </w:r>
      <w:r>
        <w:rPr>
          <w:lang w:val="en-US"/>
        </w:rPr>
        <w:t>= Earnings per Share for firm 1 in fiscal year 1</w:t>
      </w:r>
    </w:p>
    <w:p w:rsidR="00FD5242" w:rsidRDefault="00FD5242" w:rsidP="00F375AC">
      <w:pPr>
        <w:spacing w:line="360" w:lineRule="auto"/>
        <w:rPr>
          <w:lang w:val="en-US"/>
        </w:rPr>
      </w:pPr>
      <w:r>
        <w:rPr>
          <w:lang w:val="en-US"/>
        </w:rPr>
        <w:t>P</w:t>
      </w:r>
      <w:r>
        <w:rPr>
          <w:vertAlign w:val="subscript"/>
          <w:lang w:val="en-US"/>
        </w:rPr>
        <w:t xml:space="preserve">it-1 </w:t>
      </w:r>
      <w:r>
        <w:rPr>
          <w:lang w:val="en-US"/>
        </w:rPr>
        <w:t>= Price per Share at the beginning of the fiscal year</w:t>
      </w:r>
    </w:p>
    <w:p w:rsidR="00FD5242" w:rsidRDefault="00FD5242" w:rsidP="00F375AC">
      <w:pPr>
        <w:spacing w:line="360" w:lineRule="auto"/>
        <w:rPr>
          <w:lang w:val="en-US"/>
        </w:rPr>
      </w:pPr>
      <w:r>
        <w:rPr>
          <w:lang w:val="en-US"/>
        </w:rPr>
        <w:t>R</w:t>
      </w:r>
      <w:r>
        <w:rPr>
          <w:vertAlign w:val="subscript"/>
          <w:lang w:val="en-US"/>
        </w:rPr>
        <w:t xml:space="preserve">it </w:t>
      </w:r>
      <w:r>
        <w:rPr>
          <w:lang w:val="en-US"/>
        </w:rPr>
        <w:t>= Returns</w:t>
      </w:r>
    </w:p>
    <w:p w:rsidR="00FD5242" w:rsidRPr="007C274E" w:rsidRDefault="00FD5242" w:rsidP="00F375AC">
      <w:pPr>
        <w:spacing w:line="360" w:lineRule="auto"/>
        <w:rPr>
          <w:lang w:val="en-US"/>
        </w:rPr>
      </w:pPr>
      <w:r w:rsidRPr="0085780A">
        <w:rPr>
          <w:lang w:val="en-US"/>
        </w:rPr>
        <w:t>DR</w:t>
      </w:r>
      <w:r w:rsidRPr="0085780A">
        <w:rPr>
          <w:vertAlign w:val="subscript"/>
          <w:lang w:val="en-US"/>
        </w:rPr>
        <w:t xml:space="preserve">it </w:t>
      </w:r>
      <w:r w:rsidRPr="0085780A">
        <w:rPr>
          <w:lang w:val="en-US"/>
        </w:rPr>
        <w:t xml:space="preserve">= Dummy variable, </w:t>
      </w:r>
      <w:r>
        <w:rPr>
          <w:lang w:val="en-US"/>
        </w:rPr>
        <w:t xml:space="preserve">which takes the value </w:t>
      </w:r>
      <w:r w:rsidRPr="0085780A">
        <w:rPr>
          <w:lang w:val="en-US"/>
        </w:rPr>
        <w:t>1</w:t>
      </w:r>
      <w:r>
        <w:rPr>
          <w:lang w:val="en-US"/>
        </w:rPr>
        <w:t xml:space="preserve"> if </w:t>
      </w:r>
      <w:r w:rsidRPr="0085780A">
        <w:rPr>
          <w:lang w:val="en-US"/>
        </w:rPr>
        <w:t>R</w:t>
      </w:r>
      <w:r w:rsidRPr="0085780A">
        <w:rPr>
          <w:vertAlign w:val="subscript"/>
          <w:lang w:val="en-US"/>
        </w:rPr>
        <w:t xml:space="preserve">it </w:t>
      </w:r>
      <w:r>
        <w:rPr>
          <w:lang w:val="en-US"/>
        </w:rPr>
        <w:t xml:space="preserve">&lt; 0 (the case of negative returns) and 0 if </w:t>
      </w:r>
      <w:r w:rsidRPr="0085780A">
        <w:rPr>
          <w:lang w:val="en-US"/>
        </w:rPr>
        <w:t>R</w:t>
      </w:r>
      <w:r w:rsidRPr="0085780A">
        <w:rPr>
          <w:vertAlign w:val="subscript"/>
          <w:lang w:val="en-US"/>
        </w:rPr>
        <w:t xml:space="preserve">it </w:t>
      </w:r>
      <w:r>
        <w:rPr>
          <w:lang w:val="en-US"/>
        </w:rPr>
        <w:t>&gt; 0 (the case of positive returns)</w:t>
      </w:r>
    </w:p>
    <w:p w:rsidR="00FD5242" w:rsidRPr="00AB1A64" w:rsidRDefault="00FD5242" w:rsidP="00F375AC">
      <w:pPr>
        <w:spacing w:line="360" w:lineRule="auto"/>
        <w:rPr>
          <w:lang w:val="en-US"/>
        </w:rPr>
      </w:pPr>
      <w:r w:rsidRPr="00AB1A64">
        <w:rPr>
          <w:bCs/>
        </w:rPr>
        <w:t>ε</w:t>
      </w:r>
      <w:r w:rsidRPr="004D525A">
        <w:rPr>
          <w:bCs/>
          <w:lang w:val="en-US"/>
        </w:rPr>
        <w:t xml:space="preserve"> </w:t>
      </w:r>
      <w:r w:rsidRPr="004D525A">
        <w:rPr>
          <w:b/>
          <w:bCs/>
          <w:lang w:val="en-US"/>
        </w:rPr>
        <w:t xml:space="preserve">= </w:t>
      </w:r>
      <w:r w:rsidRPr="00AB1A64">
        <w:rPr>
          <w:bCs/>
          <w:lang w:val="en-US"/>
        </w:rPr>
        <w:t>error term</w:t>
      </w:r>
      <w:r>
        <w:rPr>
          <w:b/>
          <w:bCs/>
          <w:lang w:val="en-US"/>
        </w:rPr>
        <w:t xml:space="preserve"> </w:t>
      </w:r>
    </w:p>
    <w:p w:rsidR="00FD5242" w:rsidRPr="00B27D27" w:rsidRDefault="00FD5242" w:rsidP="00F375AC">
      <w:pPr>
        <w:spacing w:line="360" w:lineRule="auto"/>
        <w:jc w:val="both"/>
        <w:rPr>
          <w:lang w:val="en-US"/>
        </w:rPr>
      </w:pPr>
      <w:r>
        <w:rPr>
          <w:lang w:val="en-US"/>
        </w:rPr>
        <w:t xml:space="preserve">    The interaction between the dummy variable and the return measures the difference in the sensitivity of earnings concerning negative and positive returns. Referring to return, the ratio of Return on Equity (ROE) will be used. Consequently, due to the increased sensitivity of earnings regarding bad news than regarding good news, the coefficient </w:t>
      </w:r>
      <w:r w:rsidRPr="00B27D27">
        <w:rPr>
          <w:lang w:val="en-US"/>
        </w:rPr>
        <w:t>b</w:t>
      </w:r>
      <w:r>
        <w:rPr>
          <w:vertAlign w:val="subscript"/>
          <w:lang w:val="en-US"/>
        </w:rPr>
        <w:t>3</w:t>
      </w:r>
      <w:r>
        <w:rPr>
          <w:lang w:val="en-US"/>
        </w:rPr>
        <w:t xml:space="preserve"> is positive concerning conservative reporting. Briefly, the greater the degree of conservatism, the greater will be the value of </w:t>
      </w:r>
      <w:r w:rsidRPr="00B27D27">
        <w:rPr>
          <w:lang w:val="en-US"/>
        </w:rPr>
        <w:t>b</w:t>
      </w:r>
      <w:r>
        <w:rPr>
          <w:vertAlign w:val="subscript"/>
          <w:lang w:val="en-US"/>
        </w:rPr>
        <w:t>3</w:t>
      </w:r>
      <w:r>
        <w:rPr>
          <w:lang w:val="en-US"/>
        </w:rPr>
        <w:t>.</w:t>
      </w:r>
    </w:p>
    <w:p w:rsidR="00FD5242" w:rsidRDefault="00FD5242" w:rsidP="00F375AC">
      <w:pPr>
        <w:spacing w:line="360" w:lineRule="auto"/>
        <w:jc w:val="both"/>
        <w:rPr>
          <w:lang w:val="en-US"/>
        </w:rPr>
      </w:pPr>
      <w:r>
        <w:rPr>
          <w:lang w:val="en-US"/>
        </w:rPr>
        <w:t xml:space="preserve">    In order to estimate the change in auditors’ conservatism, this formula provides the basic form regarding the modified version of Basu’s model used in this study. The statistical testing will be conducted through a cross-sectional regression analysis for the years before and the years during the financial crisis. Two testing procedures will be conducted: four linear regression analyses for each one of the selected years before and the years during the financial crisis (2005, 2006, 2008, 2009) and two pooled regression analyses concerning the combined data of the two different periods, before and during the financial crisis (2005-2006 Panel, 2008-2009 Panel). The explanation for the specific years selected will be presented in the subsequent part concerning all the information about the sample used. </w:t>
      </w:r>
    </w:p>
    <w:p w:rsidR="00FD5242" w:rsidRDefault="00FD5242" w:rsidP="00F375AC">
      <w:pPr>
        <w:spacing w:line="360" w:lineRule="auto"/>
        <w:jc w:val="both"/>
        <w:rPr>
          <w:lang w:val="en-US"/>
        </w:rPr>
      </w:pPr>
      <w:r>
        <w:rPr>
          <w:lang w:val="en-US"/>
        </w:rPr>
        <w:t>The adjusted model is developed as follows:</w:t>
      </w:r>
    </w:p>
    <w:tbl>
      <w:tblPr>
        <w:tblW w:w="8615"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Look w:val="00A0"/>
      </w:tblPr>
      <w:tblGrid>
        <w:gridCol w:w="8615"/>
      </w:tblGrid>
      <w:tr w:rsidR="00FD5242" w:rsidRPr="009E2EF6" w:rsidTr="0063290E">
        <w:trPr>
          <w:trHeight w:val="63"/>
        </w:trPr>
        <w:tc>
          <w:tcPr>
            <w:tcW w:w="8615" w:type="dxa"/>
            <w:tcBorders>
              <w:bottom w:val="thinThickSmallGap" w:sz="24" w:space="0" w:color="B6DDE8"/>
            </w:tcBorders>
          </w:tcPr>
          <w:p w:rsidR="00FD5242" w:rsidRPr="00AD41B0" w:rsidRDefault="00FD5242" w:rsidP="00AD41B0">
            <w:pPr>
              <w:spacing w:after="0" w:line="360" w:lineRule="auto"/>
              <w:jc w:val="both"/>
              <w:rPr>
                <w:rFonts w:ascii="Cambria" w:hAnsi="Cambria"/>
                <w:b/>
                <w:bCs/>
                <w:lang w:val="en-US"/>
              </w:rPr>
            </w:pPr>
          </w:p>
        </w:tc>
      </w:tr>
      <w:tr w:rsidR="00FD5242" w:rsidRPr="00F32ADF" w:rsidTr="0063290E">
        <w:trPr>
          <w:trHeight w:val="294"/>
        </w:trPr>
        <w:tc>
          <w:tcPr>
            <w:tcW w:w="8615" w:type="dxa"/>
            <w:tcBorders>
              <w:top w:val="thinThickSmallGap" w:sz="24" w:space="0" w:color="B6DDE8"/>
              <w:bottom w:val="thinThickSmallGap" w:sz="24" w:space="0" w:color="B6DDE8"/>
            </w:tcBorders>
            <w:shd w:val="clear" w:color="auto" w:fill="D2EAF1"/>
          </w:tcPr>
          <w:p w:rsidR="00FD5242" w:rsidRPr="00B61179" w:rsidRDefault="00FD5242" w:rsidP="009A1D96">
            <w:pPr>
              <w:spacing w:after="0" w:line="360" w:lineRule="auto"/>
              <w:jc w:val="center"/>
              <w:rPr>
                <w:rFonts w:ascii="Cambria" w:hAnsi="Cambria"/>
                <w:b/>
                <w:bCs/>
                <w:lang w:val="sv-SE"/>
              </w:rPr>
            </w:pPr>
            <w:r w:rsidRPr="00B61179">
              <w:rPr>
                <w:rFonts w:ascii="Cambria" w:hAnsi="Cambria"/>
                <w:b/>
                <w:bCs/>
                <w:lang w:val="sv-SE"/>
              </w:rPr>
              <w:t>X</w:t>
            </w:r>
            <w:r w:rsidRPr="00B61179">
              <w:rPr>
                <w:rFonts w:ascii="Cambria" w:hAnsi="Cambria"/>
                <w:b/>
                <w:bCs/>
                <w:vertAlign w:val="subscript"/>
                <w:lang w:val="sv-SE"/>
              </w:rPr>
              <w:t>it</w:t>
            </w:r>
            <w:r w:rsidRPr="00B61179">
              <w:rPr>
                <w:rFonts w:ascii="Cambria" w:hAnsi="Cambria"/>
                <w:b/>
                <w:bCs/>
                <w:lang w:val="sv-SE"/>
              </w:rPr>
              <w:t>/P</w:t>
            </w:r>
            <w:r w:rsidRPr="00B61179">
              <w:rPr>
                <w:rFonts w:ascii="Cambria" w:hAnsi="Cambria"/>
                <w:b/>
                <w:bCs/>
                <w:vertAlign w:val="subscript"/>
                <w:lang w:val="sv-SE"/>
              </w:rPr>
              <w:t xml:space="preserve">it-1 </w:t>
            </w:r>
            <w:r w:rsidRPr="00B61179">
              <w:rPr>
                <w:rFonts w:ascii="Cambria" w:hAnsi="Cambria"/>
                <w:b/>
                <w:bCs/>
                <w:lang w:val="sv-SE"/>
              </w:rPr>
              <w:t>= b</w:t>
            </w:r>
            <w:r w:rsidRPr="00B61179">
              <w:rPr>
                <w:rFonts w:ascii="Cambria" w:hAnsi="Cambria"/>
                <w:b/>
                <w:bCs/>
                <w:vertAlign w:val="subscript"/>
                <w:lang w:val="sv-SE"/>
              </w:rPr>
              <w:t>0</w:t>
            </w:r>
            <w:r w:rsidRPr="00B61179">
              <w:rPr>
                <w:rFonts w:ascii="Cambria" w:hAnsi="Cambria"/>
                <w:b/>
                <w:bCs/>
                <w:lang w:val="sv-SE"/>
              </w:rPr>
              <w:t xml:space="preserve"> + b</w:t>
            </w:r>
            <w:r w:rsidRPr="00B61179">
              <w:rPr>
                <w:rFonts w:ascii="Cambria" w:hAnsi="Cambria"/>
                <w:b/>
                <w:bCs/>
                <w:vertAlign w:val="subscript"/>
                <w:lang w:val="sv-SE"/>
              </w:rPr>
              <w:t>1</w:t>
            </w:r>
            <w:r w:rsidRPr="00B61179">
              <w:rPr>
                <w:rFonts w:ascii="Cambria" w:hAnsi="Cambria"/>
                <w:b/>
                <w:bCs/>
                <w:lang w:val="sv-SE"/>
              </w:rPr>
              <w:t>DR</w:t>
            </w:r>
            <w:r w:rsidRPr="00B61179">
              <w:rPr>
                <w:rFonts w:ascii="Cambria" w:hAnsi="Cambria"/>
                <w:b/>
                <w:bCs/>
                <w:vertAlign w:val="subscript"/>
                <w:lang w:val="sv-SE"/>
              </w:rPr>
              <w:t>it</w:t>
            </w:r>
            <w:r w:rsidRPr="00B61179">
              <w:rPr>
                <w:rFonts w:ascii="Cambria" w:hAnsi="Cambria"/>
                <w:b/>
                <w:bCs/>
                <w:lang w:val="sv-SE"/>
              </w:rPr>
              <w:t xml:space="preserve"> + b</w:t>
            </w:r>
            <w:r w:rsidRPr="00B61179">
              <w:rPr>
                <w:rFonts w:ascii="Cambria" w:hAnsi="Cambria"/>
                <w:b/>
                <w:bCs/>
                <w:vertAlign w:val="subscript"/>
                <w:lang w:val="sv-SE"/>
              </w:rPr>
              <w:t>2</w:t>
            </w:r>
            <w:r w:rsidRPr="00B61179">
              <w:rPr>
                <w:rFonts w:ascii="Cambria" w:hAnsi="Cambria"/>
                <w:b/>
                <w:bCs/>
                <w:lang w:val="sv-SE"/>
              </w:rPr>
              <w:t>R</w:t>
            </w:r>
            <w:r w:rsidRPr="00B61179">
              <w:rPr>
                <w:rFonts w:ascii="Cambria" w:hAnsi="Cambria"/>
                <w:b/>
                <w:bCs/>
                <w:vertAlign w:val="subscript"/>
                <w:lang w:val="sv-SE"/>
              </w:rPr>
              <w:t>it</w:t>
            </w:r>
            <w:r w:rsidRPr="00B61179">
              <w:rPr>
                <w:rFonts w:ascii="Cambria" w:hAnsi="Cambria"/>
                <w:b/>
                <w:bCs/>
                <w:lang w:val="sv-SE"/>
              </w:rPr>
              <w:t xml:space="preserve"> + b</w:t>
            </w:r>
            <w:r w:rsidRPr="00B61179">
              <w:rPr>
                <w:rFonts w:ascii="Cambria" w:hAnsi="Cambria"/>
                <w:b/>
                <w:bCs/>
                <w:vertAlign w:val="subscript"/>
                <w:lang w:val="sv-SE"/>
              </w:rPr>
              <w:t>3</w:t>
            </w:r>
            <w:r w:rsidRPr="00B61179">
              <w:rPr>
                <w:rFonts w:ascii="Cambria" w:hAnsi="Cambria"/>
                <w:b/>
                <w:bCs/>
                <w:lang w:val="sv-SE"/>
              </w:rPr>
              <w:t>R</w:t>
            </w:r>
            <w:r w:rsidRPr="00B61179">
              <w:rPr>
                <w:rFonts w:ascii="Cambria" w:hAnsi="Cambria"/>
                <w:b/>
                <w:bCs/>
                <w:vertAlign w:val="subscript"/>
                <w:lang w:val="sv-SE"/>
              </w:rPr>
              <w:t>it</w:t>
            </w:r>
            <w:r w:rsidRPr="00B61179">
              <w:rPr>
                <w:rFonts w:ascii="Cambria" w:hAnsi="Cambria"/>
                <w:b/>
                <w:bCs/>
                <w:lang w:val="sv-SE"/>
              </w:rPr>
              <w:t xml:space="preserve"> * DR</w:t>
            </w:r>
            <w:r w:rsidRPr="00B61179">
              <w:rPr>
                <w:rFonts w:ascii="Cambria" w:hAnsi="Cambria"/>
                <w:b/>
                <w:bCs/>
                <w:vertAlign w:val="subscript"/>
                <w:lang w:val="sv-SE"/>
              </w:rPr>
              <w:t>it</w:t>
            </w:r>
            <w:r w:rsidRPr="00B61179">
              <w:rPr>
                <w:rFonts w:ascii="Cambria" w:hAnsi="Cambria"/>
                <w:b/>
                <w:bCs/>
                <w:lang w:val="sv-SE"/>
              </w:rPr>
              <w:t xml:space="preserve"> + </w:t>
            </w:r>
            <w:r>
              <w:rPr>
                <w:rFonts w:ascii="Cambria" w:hAnsi="Cambria"/>
                <w:b/>
                <w:bCs/>
              </w:rPr>
              <w:t>ε</w:t>
            </w:r>
            <w:r w:rsidRPr="00B61179">
              <w:rPr>
                <w:rFonts w:ascii="Cambria" w:hAnsi="Cambria"/>
                <w:b/>
                <w:bCs/>
                <w:lang w:val="sv-SE"/>
              </w:rPr>
              <w:t xml:space="preserve">     (2)</w:t>
            </w:r>
          </w:p>
        </w:tc>
      </w:tr>
      <w:tr w:rsidR="00FD5242" w:rsidRPr="00F32ADF" w:rsidTr="0063290E">
        <w:trPr>
          <w:trHeight w:val="20"/>
        </w:trPr>
        <w:tc>
          <w:tcPr>
            <w:tcW w:w="8615" w:type="dxa"/>
            <w:tcBorders>
              <w:top w:val="thinThickSmallGap" w:sz="24" w:space="0" w:color="B6DDE8"/>
            </w:tcBorders>
          </w:tcPr>
          <w:p w:rsidR="00FD5242" w:rsidRPr="00B61179" w:rsidRDefault="00FD5242" w:rsidP="00AD41B0">
            <w:pPr>
              <w:spacing w:after="0" w:line="360" w:lineRule="auto"/>
              <w:jc w:val="both"/>
              <w:rPr>
                <w:rFonts w:ascii="Cambria" w:hAnsi="Cambria"/>
                <w:b/>
                <w:bCs/>
                <w:lang w:val="sv-SE"/>
              </w:rPr>
            </w:pPr>
          </w:p>
        </w:tc>
      </w:tr>
    </w:tbl>
    <w:p w:rsidR="00FD5242" w:rsidRPr="00B61179" w:rsidRDefault="00FD5242" w:rsidP="00F375AC">
      <w:pPr>
        <w:spacing w:line="360" w:lineRule="auto"/>
        <w:jc w:val="both"/>
        <w:rPr>
          <w:lang w:val="sv-SE"/>
        </w:rPr>
      </w:pPr>
    </w:p>
    <w:p w:rsidR="00FD5242" w:rsidRPr="00CE41DA" w:rsidRDefault="00FD5242" w:rsidP="00F375AC">
      <w:pPr>
        <w:spacing w:line="360" w:lineRule="auto"/>
        <w:jc w:val="both"/>
        <w:rPr>
          <w:lang w:val="en-US"/>
        </w:rPr>
      </w:pPr>
      <w:r w:rsidRPr="007C274E">
        <w:rPr>
          <w:lang w:val="sv-SE"/>
        </w:rPr>
        <w:t xml:space="preserve">    </w:t>
      </w:r>
      <w:r>
        <w:rPr>
          <w:lang w:val="en-US"/>
        </w:rPr>
        <w:t>In detail, the coefficient relating to auditors’ conservatism in both periods (before and during the crisis) is b</w:t>
      </w:r>
      <w:r>
        <w:rPr>
          <w:vertAlign w:val="subscript"/>
          <w:lang w:val="en-US"/>
        </w:rPr>
        <w:t>3</w:t>
      </w:r>
      <w:r>
        <w:rPr>
          <w:lang w:val="en-US"/>
        </w:rPr>
        <w:t>. Consistent with the developed hypothesis, the expectation is that b</w:t>
      </w:r>
      <w:r>
        <w:rPr>
          <w:vertAlign w:val="subscript"/>
          <w:lang w:val="en-US"/>
        </w:rPr>
        <w:t xml:space="preserve">1 </w:t>
      </w:r>
      <w:r>
        <w:rPr>
          <w:lang w:val="en-US"/>
        </w:rPr>
        <w:t>will be positive and of medium significance for the period before the financial crisis (2005-2006), denoting the same trend in auditors’ conservatism. Additionally, according to the presented theory b</w:t>
      </w:r>
      <w:r>
        <w:rPr>
          <w:vertAlign w:val="subscript"/>
          <w:lang w:val="en-US"/>
        </w:rPr>
        <w:t xml:space="preserve">3 </w:t>
      </w:r>
      <w:r>
        <w:rPr>
          <w:lang w:val="en-US"/>
        </w:rPr>
        <w:t xml:space="preserve">will turn out to be positive and of higher significance regarding the period during the financial crisis (2008-2009), denoting a similar significant increase in the degree of audit conservatism during the downturn years. </w:t>
      </w:r>
    </w:p>
    <w:p w:rsidR="00FD5242" w:rsidRDefault="00FD5242" w:rsidP="00F375AC">
      <w:pPr>
        <w:spacing w:line="360" w:lineRule="auto"/>
        <w:jc w:val="both"/>
        <w:rPr>
          <w:color w:val="000000"/>
          <w:lang w:val="en-US"/>
        </w:rPr>
      </w:pPr>
      <w:r>
        <w:rPr>
          <w:lang w:val="en-US"/>
        </w:rPr>
        <w:t xml:space="preserve">    As commented thoroughly in the findings of prior research studies, </w:t>
      </w:r>
      <w:r>
        <w:rPr>
          <w:color w:val="000000"/>
          <w:lang w:val="en-US"/>
        </w:rPr>
        <w:t xml:space="preserve">the effects of the financial crisis on auditors’ conservatism are expected to result simultaneously in changes in the amounts of audit fees. These changes will be investigated using the OLS regression model with natural log of external audit fees (LAF) as the dependent variable and conservatism (CSV) and other control variables as independent variables. The results of the investigation of the second hypothesis developed will be found through the empirical model </w:t>
      </w:r>
      <w:r w:rsidRPr="006370B5">
        <w:rPr>
          <w:color w:val="000000"/>
          <w:lang w:val="en-US"/>
        </w:rPr>
        <w:t>structured as follows</w:t>
      </w:r>
      <w:r>
        <w:rPr>
          <w:color w:val="000000"/>
          <w:lang w:val="en-US"/>
        </w:rPr>
        <w:t>:</w:t>
      </w:r>
    </w:p>
    <w:tbl>
      <w:tblPr>
        <w:tblW w:w="0" w:type="auto"/>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Look w:val="00A0"/>
      </w:tblPr>
      <w:tblGrid>
        <w:gridCol w:w="8340"/>
      </w:tblGrid>
      <w:tr w:rsidR="00FD5242" w:rsidRPr="009E2EF6" w:rsidTr="00AD41B0">
        <w:trPr>
          <w:trHeight w:val="236"/>
        </w:trPr>
        <w:tc>
          <w:tcPr>
            <w:tcW w:w="8522" w:type="dxa"/>
            <w:tcBorders>
              <w:bottom w:val="thinThickSmallGap" w:sz="24" w:space="0" w:color="B6DDE8"/>
            </w:tcBorders>
          </w:tcPr>
          <w:p w:rsidR="00FD5242" w:rsidRPr="00AD41B0" w:rsidRDefault="00FD5242" w:rsidP="00AD41B0">
            <w:pPr>
              <w:spacing w:after="0" w:line="360" w:lineRule="auto"/>
              <w:jc w:val="both"/>
              <w:rPr>
                <w:rFonts w:ascii="Cambria" w:hAnsi="Cambria"/>
                <w:b/>
                <w:bCs/>
                <w:lang w:val="en-US"/>
              </w:rPr>
            </w:pPr>
          </w:p>
        </w:tc>
      </w:tr>
      <w:tr w:rsidR="00FD5242" w:rsidRPr="009E2EF6" w:rsidTr="00AD41B0">
        <w:trPr>
          <w:trHeight w:val="295"/>
        </w:trPr>
        <w:tc>
          <w:tcPr>
            <w:tcW w:w="8522" w:type="dxa"/>
            <w:tcBorders>
              <w:top w:val="thinThickSmallGap" w:sz="24" w:space="0" w:color="B6DDE8"/>
              <w:bottom w:val="thinThickSmallGap" w:sz="24" w:space="0" w:color="B6DDE8"/>
            </w:tcBorders>
            <w:shd w:val="clear" w:color="auto" w:fill="D2EAF1"/>
          </w:tcPr>
          <w:p w:rsidR="00FD5242" w:rsidRPr="00AD41B0" w:rsidRDefault="00FD5242" w:rsidP="001E56B4">
            <w:pPr>
              <w:spacing w:after="0" w:line="360" w:lineRule="auto"/>
              <w:jc w:val="center"/>
              <w:rPr>
                <w:rFonts w:ascii="Cambria" w:hAnsi="Cambria"/>
                <w:b/>
                <w:bCs/>
                <w:lang w:val="en-US"/>
              </w:rPr>
            </w:pPr>
            <w:r w:rsidRPr="00AD41B0">
              <w:rPr>
                <w:rFonts w:ascii="Cambria" w:hAnsi="Cambria"/>
                <w:b/>
                <w:bCs/>
                <w:color w:val="000000"/>
                <w:lang w:val="en-US"/>
              </w:rPr>
              <w:t>LAF</w:t>
            </w:r>
            <w:r w:rsidRPr="00AD41B0">
              <w:rPr>
                <w:rFonts w:ascii="Cambria" w:hAnsi="Cambria"/>
                <w:b/>
                <w:bCs/>
                <w:color w:val="000000"/>
                <w:vertAlign w:val="subscript"/>
                <w:lang w:val="en-US"/>
              </w:rPr>
              <w:t>it</w:t>
            </w:r>
            <w:r w:rsidRPr="00AD41B0">
              <w:rPr>
                <w:rFonts w:ascii="Cambria" w:hAnsi="Cambria"/>
                <w:b/>
                <w:bCs/>
                <w:color w:val="000000"/>
                <w:lang w:val="en-US"/>
              </w:rPr>
              <w:t xml:space="preserve"> = b</w:t>
            </w:r>
            <w:r w:rsidRPr="00AD41B0">
              <w:rPr>
                <w:rFonts w:ascii="Cambria" w:hAnsi="Cambria"/>
                <w:b/>
                <w:bCs/>
                <w:color w:val="000000"/>
                <w:vertAlign w:val="subscript"/>
                <w:lang w:val="en-US"/>
              </w:rPr>
              <w:t>0</w:t>
            </w:r>
            <w:r w:rsidRPr="00AD41B0">
              <w:rPr>
                <w:rFonts w:ascii="Cambria" w:hAnsi="Cambria"/>
                <w:b/>
                <w:bCs/>
                <w:color w:val="000000"/>
                <w:lang w:val="en-US"/>
              </w:rPr>
              <w:t xml:space="preserve"> + b</w:t>
            </w:r>
            <w:r w:rsidRPr="00AD41B0">
              <w:rPr>
                <w:rFonts w:ascii="Cambria" w:hAnsi="Cambria"/>
                <w:b/>
                <w:bCs/>
                <w:color w:val="000000"/>
                <w:vertAlign w:val="subscript"/>
                <w:lang w:val="en-US"/>
              </w:rPr>
              <w:t>1</w:t>
            </w:r>
            <w:r w:rsidRPr="00AD41B0">
              <w:rPr>
                <w:rFonts w:ascii="Cambria" w:hAnsi="Cambria"/>
                <w:b/>
                <w:bCs/>
                <w:color w:val="000000"/>
                <w:lang w:val="en-US"/>
              </w:rPr>
              <w:t xml:space="preserve"> CSV</w:t>
            </w:r>
            <w:r w:rsidRPr="00AD41B0">
              <w:rPr>
                <w:rFonts w:ascii="Cambria" w:hAnsi="Cambria"/>
                <w:b/>
                <w:bCs/>
                <w:color w:val="000000"/>
                <w:vertAlign w:val="subscript"/>
                <w:lang w:val="en-US"/>
              </w:rPr>
              <w:t>it</w:t>
            </w:r>
            <w:r w:rsidRPr="00AD41B0">
              <w:rPr>
                <w:rFonts w:ascii="Cambria" w:hAnsi="Cambria"/>
                <w:b/>
                <w:bCs/>
                <w:color w:val="000000"/>
                <w:lang w:val="en-US"/>
              </w:rPr>
              <w:t xml:space="preserve"> + b</w:t>
            </w:r>
            <w:r w:rsidRPr="00AD41B0">
              <w:rPr>
                <w:rFonts w:ascii="Cambria" w:hAnsi="Cambria"/>
                <w:b/>
                <w:bCs/>
                <w:color w:val="000000"/>
                <w:vertAlign w:val="subscript"/>
                <w:lang w:val="en-US"/>
              </w:rPr>
              <w:t>2</w:t>
            </w:r>
            <w:r w:rsidRPr="00AD41B0">
              <w:rPr>
                <w:rFonts w:ascii="Cambria" w:hAnsi="Cambria"/>
                <w:b/>
                <w:bCs/>
                <w:color w:val="000000"/>
                <w:lang w:val="en-US"/>
              </w:rPr>
              <w:t xml:space="preserve"> SIZE</w:t>
            </w:r>
            <w:r w:rsidRPr="00AD41B0">
              <w:rPr>
                <w:rFonts w:ascii="Cambria" w:hAnsi="Cambria"/>
                <w:b/>
                <w:bCs/>
                <w:color w:val="000000"/>
                <w:vertAlign w:val="subscript"/>
                <w:lang w:val="en-US"/>
              </w:rPr>
              <w:t>it</w:t>
            </w:r>
            <w:r w:rsidRPr="00AD41B0">
              <w:rPr>
                <w:rFonts w:ascii="Cambria" w:hAnsi="Cambria"/>
                <w:b/>
                <w:bCs/>
                <w:color w:val="000000"/>
                <w:lang w:val="en-US"/>
              </w:rPr>
              <w:t xml:space="preserve"> + b</w:t>
            </w:r>
            <w:r w:rsidRPr="00AD41B0">
              <w:rPr>
                <w:rFonts w:ascii="Cambria" w:hAnsi="Cambria"/>
                <w:b/>
                <w:bCs/>
                <w:color w:val="000000"/>
                <w:vertAlign w:val="subscript"/>
                <w:lang w:val="en-US"/>
              </w:rPr>
              <w:t>3</w:t>
            </w:r>
            <w:r w:rsidRPr="00AD41B0">
              <w:rPr>
                <w:rFonts w:ascii="Cambria" w:hAnsi="Cambria"/>
                <w:b/>
                <w:bCs/>
                <w:color w:val="000000"/>
                <w:lang w:val="en-US"/>
              </w:rPr>
              <w:t xml:space="preserve"> QR</w:t>
            </w:r>
            <w:r w:rsidRPr="00AD41B0">
              <w:rPr>
                <w:rFonts w:ascii="Cambria" w:hAnsi="Cambria"/>
                <w:b/>
                <w:bCs/>
                <w:color w:val="000000"/>
                <w:vertAlign w:val="subscript"/>
                <w:lang w:val="en-US"/>
              </w:rPr>
              <w:t>it</w:t>
            </w:r>
            <w:r w:rsidRPr="00AD41B0">
              <w:rPr>
                <w:rFonts w:ascii="Cambria" w:hAnsi="Cambria"/>
                <w:b/>
                <w:bCs/>
                <w:color w:val="000000"/>
                <w:lang w:val="en-US"/>
              </w:rPr>
              <w:t xml:space="preserve"> + b</w:t>
            </w:r>
            <w:r w:rsidRPr="00AD41B0">
              <w:rPr>
                <w:rFonts w:ascii="Cambria" w:hAnsi="Cambria"/>
                <w:b/>
                <w:bCs/>
                <w:color w:val="000000"/>
                <w:vertAlign w:val="subscript"/>
                <w:lang w:val="en-US"/>
              </w:rPr>
              <w:t>4</w:t>
            </w:r>
            <w:r w:rsidRPr="00AD41B0">
              <w:rPr>
                <w:rFonts w:ascii="Cambria" w:hAnsi="Cambria"/>
                <w:b/>
                <w:bCs/>
                <w:color w:val="000000"/>
                <w:lang w:val="en-US"/>
              </w:rPr>
              <w:t xml:space="preserve"> LEV</w:t>
            </w:r>
            <w:r w:rsidRPr="00AD41B0">
              <w:rPr>
                <w:rFonts w:ascii="Cambria" w:hAnsi="Cambria"/>
                <w:b/>
                <w:bCs/>
                <w:color w:val="000000"/>
                <w:vertAlign w:val="subscript"/>
                <w:lang w:val="en-US"/>
              </w:rPr>
              <w:t>it</w:t>
            </w:r>
            <w:r w:rsidRPr="00AD41B0">
              <w:rPr>
                <w:rFonts w:ascii="Cambria" w:hAnsi="Cambria"/>
                <w:b/>
                <w:bCs/>
                <w:color w:val="000000"/>
                <w:lang w:val="en-US"/>
              </w:rPr>
              <w:t xml:space="preserve"> + b</w:t>
            </w:r>
            <w:r w:rsidRPr="00AD41B0">
              <w:rPr>
                <w:rFonts w:ascii="Cambria" w:hAnsi="Cambria"/>
                <w:b/>
                <w:bCs/>
                <w:color w:val="000000"/>
                <w:vertAlign w:val="subscript"/>
                <w:lang w:val="en-US"/>
              </w:rPr>
              <w:t>5</w:t>
            </w:r>
            <w:r w:rsidRPr="00AD41B0">
              <w:rPr>
                <w:rFonts w:ascii="Cambria" w:hAnsi="Cambria"/>
                <w:b/>
                <w:bCs/>
                <w:color w:val="000000"/>
                <w:lang w:val="en-US"/>
              </w:rPr>
              <w:t xml:space="preserve"> INVREC</w:t>
            </w:r>
            <w:r w:rsidRPr="00AD41B0">
              <w:rPr>
                <w:rFonts w:ascii="Cambria" w:hAnsi="Cambria"/>
                <w:b/>
                <w:bCs/>
                <w:color w:val="000000"/>
                <w:vertAlign w:val="subscript"/>
                <w:lang w:val="en-US"/>
              </w:rPr>
              <w:t>it</w:t>
            </w:r>
            <w:r w:rsidRPr="00AD41B0">
              <w:rPr>
                <w:rFonts w:ascii="Cambria" w:hAnsi="Cambria"/>
                <w:b/>
                <w:bCs/>
                <w:color w:val="000000"/>
                <w:lang w:val="en-US"/>
              </w:rPr>
              <w:t xml:space="preserve"> + b</w:t>
            </w:r>
            <w:r w:rsidRPr="00AD41B0">
              <w:rPr>
                <w:rFonts w:ascii="Cambria" w:hAnsi="Cambria"/>
                <w:b/>
                <w:bCs/>
                <w:color w:val="000000"/>
                <w:vertAlign w:val="subscript"/>
                <w:lang w:val="en-US"/>
              </w:rPr>
              <w:t>6</w:t>
            </w:r>
            <w:r w:rsidRPr="00AD41B0">
              <w:rPr>
                <w:rFonts w:ascii="Cambria" w:hAnsi="Cambria"/>
                <w:b/>
                <w:bCs/>
                <w:color w:val="000000"/>
                <w:lang w:val="en-US"/>
              </w:rPr>
              <w:t xml:space="preserve"> ROI</w:t>
            </w:r>
            <w:r w:rsidRPr="00AD41B0">
              <w:rPr>
                <w:rFonts w:ascii="Cambria" w:hAnsi="Cambria"/>
                <w:b/>
                <w:bCs/>
                <w:color w:val="000000"/>
                <w:vertAlign w:val="subscript"/>
                <w:lang w:val="en-US"/>
              </w:rPr>
              <w:t>it</w:t>
            </w:r>
            <w:r w:rsidRPr="00AD41B0">
              <w:rPr>
                <w:rFonts w:ascii="Cambria" w:hAnsi="Cambria"/>
                <w:b/>
                <w:bCs/>
                <w:color w:val="000000"/>
                <w:lang w:val="en-US"/>
              </w:rPr>
              <w:t xml:space="preserve"> </w:t>
            </w:r>
            <w:r>
              <w:rPr>
                <w:rFonts w:ascii="Cambria" w:hAnsi="Cambria"/>
                <w:b/>
                <w:bCs/>
                <w:color w:val="000000"/>
                <w:lang w:val="en-US"/>
              </w:rPr>
              <w:t xml:space="preserve">+ </w:t>
            </w:r>
            <w:r>
              <w:rPr>
                <w:rFonts w:ascii="Cambria" w:hAnsi="Cambria"/>
                <w:b/>
                <w:bCs/>
                <w:color w:val="000000"/>
              </w:rPr>
              <w:t>ε</w:t>
            </w:r>
            <w:r w:rsidRPr="00C64F9A">
              <w:rPr>
                <w:rFonts w:ascii="Cambria" w:hAnsi="Cambria"/>
                <w:b/>
                <w:bCs/>
                <w:color w:val="000000"/>
                <w:lang w:val="en-US"/>
              </w:rPr>
              <w:t xml:space="preserve">   </w:t>
            </w:r>
            <w:r w:rsidRPr="00AD41B0">
              <w:rPr>
                <w:rFonts w:ascii="Cambria" w:hAnsi="Cambria"/>
                <w:b/>
                <w:bCs/>
                <w:color w:val="000000"/>
                <w:lang w:val="en-US"/>
              </w:rPr>
              <w:t>(3)</w:t>
            </w:r>
          </w:p>
        </w:tc>
      </w:tr>
      <w:tr w:rsidR="00FD5242" w:rsidRPr="009E2EF6" w:rsidTr="00AD41B0">
        <w:trPr>
          <w:trHeight w:val="223"/>
        </w:trPr>
        <w:tc>
          <w:tcPr>
            <w:tcW w:w="8522" w:type="dxa"/>
            <w:tcBorders>
              <w:top w:val="thinThickSmallGap" w:sz="24" w:space="0" w:color="B6DDE8"/>
            </w:tcBorders>
          </w:tcPr>
          <w:p w:rsidR="00FD5242" w:rsidRPr="00AD41B0" w:rsidRDefault="00FD5242" w:rsidP="00AD41B0">
            <w:pPr>
              <w:spacing w:after="0" w:line="360" w:lineRule="auto"/>
              <w:jc w:val="both"/>
              <w:rPr>
                <w:rFonts w:ascii="Cambria" w:hAnsi="Cambria"/>
                <w:b/>
                <w:bCs/>
                <w:lang w:val="en-US"/>
              </w:rPr>
            </w:pPr>
          </w:p>
        </w:tc>
      </w:tr>
    </w:tbl>
    <w:p w:rsidR="00FD5242" w:rsidRDefault="00FD5242" w:rsidP="00F375AC">
      <w:pPr>
        <w:spacing w:line="360" w:lineRule="auto"/>
        <w:jc w:val="both"/>
        <w:rPr>
          <w:color w:val="000000"/>
          <w:lang w:val="en-US"/>
        </w:rPr>
      </w:pPr>
    </w:p>
    <w:p w:rsidR="00FD5242" w:rsidRDefault="00FD5242" w:rsidP="00F375AC">
      <w:pPr>
        <w:spacing w:line="360" w:lineRule="auto"/>
        <w:jc w:val="both"/>
        <w:rPr>
          <w:color w:val="000000"/>
          <w:lang w:val="en-US"/>
        </w:rPr>
      </w:pPr>
      <w:r>
        <w:rPr>
          <w:color w:val="000000"/>
          <w:lang w:val="en-US"/>
        </w:rPr>
        <w:t>Where:</w:t>
      </w:r>
    </w:p>
    <w:p w:rsidR="00FD5242" w:rsidRDefault="00FD5242" w:rsidP="00F375AC">
      <w:pPr>
        <w:spacing w:line="360" w:lineRule="auto"/>
        <w:jc w:val="both"/>
        <w:rPr>
          <w:color w:val="000000"/>
          <w:lang w:val="en-US"/>
        </w:rPr>
      </w:pPr>
      <w:r w:rsidRPr="009F3DB0">
        <w:rPr>
          <w:color w:val="000000"/>
          <w:lang w:val="en-US"/>
        </w:rPr>
        <w:t>LAF</w:t>
      </w:r>
      <w:r w:rsidRPr="009F3DB0">
        <w:rPr>
          <w:color w:val="000000"/>
          <w:vertAlign w:val="subscript"/>
          <w:lang w:val="en-US"/>
        </w:rPr>
        <w:t>it</w:t>
      </w:r>
      <w:r>
        <w:rPr>
          <w:color w:val="000000"/>
          <w:lang w:val="en-US"/>
        </w:rPr>
        <w:t xml:space="preserve"> = Natural log of external audit fees</w:t>
      </w:r>
    </w:p>
    <w:p w:rsidR="00FD5242" w:rsidRPr="00195FD8" w:rsidRDefault="00FD5242" w:rsidP="00F375AC">
      <w:pPr>
        <w:spacing w:line="360" w:lineRule="auto"/>
        <w:jc w:val="both"/>
        <w:rPr>
          <w:color w:val="000000"/>
          <w:lang w:val="en-US"/>
        </w:rPr>
      </w:pPr>
      <w:r w:rsidRPr="00195FD8">
        <w:rPr>
          <w:color w:val="000000"/>
          <w:lang w:val="en-US"/>
        </w:rPr>
        <w:t>CSV</w:t>
      </w:r>
      <w:r w:rsidRPr="00195FD8">
        <w:rPr>
          <w:color w:val="000000"/>
          <w:vertAlign w:val="subscript"/>
          <w:lang w:val="en-US"/>
        </w:rPr>
        <w:t xml:space="preserve">it </w:t>
      </w:r>
      <w:r w:rsidRPr="00195FD8">
        <w:rPr>
          <w:color w:val="000000"/>
          <w:lang w:val="en-US"/>
        </w:rPr>
        <w:t xml:space="preserve">= Dummy variable, which takes the value 1 in years of lower </w:t>
      </w:r>
      <w:r w:rsidRPr="00A251D0">
        <w:rPr>
          <w:color w:val="000000"/>
          <w:lang w:val="en-US"/>
        </w:rPr>
        <w:t>auditors</w:t>
      </w:r>
      <w:r w:rsidRPr="00195FD8">
        <w:rPr>
          <w:color w:val="000000"/>
          <w:lang w:val="en-US"/>
        </w:rPr>
        <w:t>’ conservatism and the value 0 in years of higher</w:t>
      </w:r>
      <w:r w:rsidRPr="00A251D0">
        <w:rPr>
          <w:color w:val="000000"/>
          <w:lang w:val="en-US"/>
        </w:rPr>
        <w:t xml:space="preserve"> auditors’</w:t>
      </w:r>
      <w:r w:rsidRPr="00195FD8">
        <w:rPr>
          <w:color w:val="000000"/>
          <w:lang w:val="en-US"/>
        </w:rPr>
        <w:t xml:space="preserve"> conservatism</w:t>
      </w:r>
    </w:p>
    <w:p w:rsidR="00FD5242" w:rsidRDefault="00FD5242" w:rsidP="00F375AC">
      <w:pPr>
        <w:spacing w:line="360" w:lineRule="auto"/>
        <w:jc w:val="both"/>
        <w:rPr>
          <w:color w:val="000000"/>
          <w:lang w:val="en-US"/>
        </w:rPr>
      </w:pPr>
      <w:r w:rsidRPr="009F3DB0">
        <w:rPr>
          <w:color w:val="000000"/>
          <w:lang w:val="en-US"/>
        </w:rPr>
        <w:t>SIZE</w:t>
      </w:r>
      <w:r w:rsidRPr="009F3DB0">
        <w:rPr>
          <w:color w:val="000000"/>
          <w:vertAlign w:val="subscript"/>
          <w:lang w:val="en-US"/>
        </w:rPr>
        <w:t>it</w:t>
      </w:r>
      <w:r>
        <w:rPr>
          <w:color w:val="000000"/>
          <w:vertAlign w:val="subscript"/>
          <w:lang w:val="en-US"/>
        </w:rPr>
        <w:t xml:space="preserve"> </w:t>
      </w:r>
      <w:r>
        <w:rPr>
          <w:color w:val="000000"/>
          <w:lang w:val="en-US"/>
        </w:rPr>
        <w:t>= Natural log of total assets</w:t>
      </w:r>
    </w:p>
    <w:p w:rsidR="00FD5242" w:rsidRDefault="00FD5242" w:rsidP="00F375AC">
      <w:pPr>
        <w:spacing w:line="360" w:lineRule="auto"/>
        <w:jc w:val="both"/>
        <w:rPr>
          <w:color w:val="000000"/>
          <w:lang w:val="en-US"/>
        </w:rPr>
      </w:pPr>
      <w:r w:rsidRPr="009F3DB0">
        <w:rPr>
          <w:color w:val="000000"/>
          <w:lang w:val="en-US"/>
        </w:rPr>
        <w:t>QR</w:t>
      </w:r>
      <w:r w:rsidRPr="009F3DB0">
        <w:rPr>
          <w:color w:val="000000"/>
          <w:vertAlign w:val="subscript"/>
          <w:lang w:val="en-US"/>
        </w:rPr>
        <w:t>it</w:t>
      </w:r>
      <w:r>
        <w:rPr>
          <w:color w:val="000000"/>
          <w:vertAlign w:val="subscript"/>
          <w:lang w:val="en-US"/>
        </w:rPr>
        <w:t xml:space="preserve"> </w:t>
      </w:r>
      <w:r>
        <w:rPr>
          <w:color w:val="000000"/>
          <w:lang w:val="en-US"/>
        </w:rPr>
        <w:t>= Ratio of current assets less inventory to current liabilities</w:t>
      </w:r>
    </w:p>
    <w:p w:rsidR="00FD5242" w:rsidRDefault="00FD5242" w:rsidP="00F375AC">
      <w:pPr>
        <w:spacing w:line="360" w:lineRule="auto"/>
        <w:jc w:val="both"/>
        <w:rPr>
          <w:color w:val="000000"/>
          <w:lang w:val="en-US"/>
        </w:rPr>
      </w:pPr>
      <w:r>
        <w:rPr>
          <w:color w:val="000000"/>
          <w:lang w:val="en-US"/>
        </w:rPr>
        <w:t>LEV</w:t>
      </w:r>
      <w:r w:rsidRPr="009F3DB0">
        <w:rPr>
          <w:color w:val="000000"/>
          <w:vertAlign w:val="subscript"/>
          <w:lang w:val="en-US"/>
        </w:rPr>
        <w:t>it</w:t>
      </w:r>
      <w:r>
        <w:rPr>
          <w:color w:val="000000"/>
          <w:vertAlign w:val="subscript"/>
          <w:lang w:val="en-US"/>
        </w:rPr>
        <w:t xml:space="preserve"> </w:t>
      </w:r>
      <w:r>
        <w:rPr>
          <w:color w:val="000000"/>
          <w:lang w:val="en-US"/>
        </w:rPr>
        <w:t>= total debt to book value of equity (leverage)</w:t>
      </w:r>
    </w:p>
    <w:p w:rsidR="00FD5242" w:rsidRDefault="00FD5242" w:rsidP="00F375AC">
      <w:pPr>
        <w:spacing w:line="360" w:lineRule="auto"/>
        <w:jc w:val="both"/>
        <w:rPr>
          <w:color w:val="000000"/>
          <w:lang w:val="en-US"/>
        </w:rPr>
      </w:pPr>
      <w:r w:rsidRPr="009F3DB0">
        <w:rPr>
          <w:color w:val="000000"/>
          <w:lang w:val="en-US"/>
        </w:rPr>
        <w:t>INVREC</w:t>
      </w:r>
      <w:r w:rsidRPr="009F3DB0">
        <w:rPr>
          <w:color w:val="000000"/>
          <w:vertAlign w:val="subscript"/>
          <w:lang w:val="en-US"/>
        </w:rPr>
        <w:t>it</w:t>
      </w:r>
      <w:r>
        <w:rPr>
          <w:color w:val="000000"/>
          <w:vertAlign w:val="subscript"/>
          <w:lang w:val="en-US"/>
        </w:rPr>
        <w:t xml:space="preserve"> </w:t>
      </w:r>
      <w:r>
        <w:rPr>
          <w:color w:val="000000"/>
          <w:lang w:val="en-US"/>
        </w:rPr>
        <w:t xml:space="preserve">= Book value of inventory and receivables to total assets </w:t>
      </w:r>
    </w:p>
    <w:p w:rsidR="00FD5242" w:rsidRPr="007C274E" w:rsidRDefault="00FD5242" w:rsidP="00F375AC">
      <w:pPr>
        <w:spacing w:line="360" w:lineRule="auto"/>
        <w:jc w:val="both"/>
        <w:rPr>
          <w:color w:val="000000"/>
          <w:lang w:val="en-US"/>
        </w:rPr>
      </w:pPr>
      <w:r>
        <w:rPr>
          <w:color w:val="000000"/>
          <w:lang w:val="en-US"/>
        </w:rPr>
        <w:t>ROI</w:t>
      </w:r>
      <w:r w:rsidRPr="009F3DB0">
        <w:rPr>
          <w:color w:val="000000"/>
          <w:vertAlign w:val="subscript"/>
          <w:lang w:val="en-US"/>
        </w:rPr>
        <w:t>it</w:t>
      </w:r>
      <w:r>
        <w:rPr>
          <w:color w:val="000000"/>
          <w:vertAlign w:val="subscript"/>
          <w:lang w:val="en-US"/>
        </w:rPr>
        <w:t xml:space="preserve"> </w:t>
      </w:r>
      <w:r>
        <w:rPr>
          <w:color w:val="000000"/>
          <w:lang w:val="en-US"/>
        </w:rPr>
        <w:t>= Earnings before extraordinary to total assets</w:t>
      </w:r>
    </w:p>
    <w:p w:rsidR="00FD5242" w:rsidRPr="008842EC" w:rsidRDefault="00FD5242" w:rsidP="00F375AC">
      <w:pPr>
        <w:spacing w:line="360" w:lineRule="auto"/>
        <w:jc w:val="both"/>
        <w:rPr>
          <w:color w:val="000000"/>
          <w:lang w:val="en-US"/>
        </w:rPr>
      </w:pPr>
      <w:r>
        <w:rPr>
          <w:color w:val="000000"/>
        </w:rPr>
        <w:t>ε</w:t>
      </w:r>
      <w:r w:rsidRPr="007E4AF7">
        <w:rPr>
          <w:color w:val="000000"/>
          <w:lang w:val="en-US"/>
        </w:rPr>
        <w:t xml:space="preserve"> = </w:t>
      </w:r>
      <w:r>
        <w:rPr>
          <w:color w:val="000000"/>
          <w:lang w:val="en-US"/>
        </w:rPr>
        <w:t>error term</w:t>
      </w:r>
    </w:p>
    <w:p w:rsidR="00FD5242" w:rsidRPr="006F7B38" w:rsidRDefault="00FD5242" w:rsidP="00F375AC">
      <w:pPr>
        <w:spacing w:line="360" w:lineRule="auto"/>
        <w:jc w:val="both"/>
        <w:rPr>
          <w:lang w:val="en-US"/>
        </w:rPr>
      </w:pPr>
      <w:r>
        <w:rPr>
          <w:color w:val="000000"/>
          <w:lang w:val="en-US"/>
        </w:rPr>
        <w:t xml:space="preserve">    Concerning the measurement of the level of audit fees, this model is used in most of the relevant scientific studies (Gul et al., 2008; Francis &amp; Wang, 2004; Ferguson et al., 2005). As observed, several control variables that will be explained in detail in the next paragraph.</w:t>
      </w:r>
    </w:p>
    <w:p w:rsidR="00FD5242" w:rsidRDefault="00FD5242" w:rsidP="00F375AC">
      <w:pPr>
        <w:spacing w:line="360" w:lineRule="auto"/>
        <w:jc w:val="both"/>
        <w:rPr>
          <w:color w:val="000000"/>
          <w:lang w:val="en-US"/>
        </w:rPr>
      </w:pPr>
      <w:r w:rsidRPr="007C398C">
        <w:rPr>
          <w:b/>
          <w:color w:val="000000"/>
          <w:lang w:val="en-US"/>
        </w:rPr>
        <w:t>6.4 Control Variables</w:t>
      </w:r>
    </w:p>
    <w:p w:rsidR="00FD5242" w:rsidRPr="00F952AF" w:rsidRDefault="00FD5242" w:rsidP="00F375AC">
      <w:pPr>
        <w:spacing w:line="360" w:lineRule="auto"/>
        <w:jc w:val="both"/>
        <w:rPr>
          <w:color w:val="000000"/>
          <w:lang w:val="en-US"/>
        </w:rPr>
      </w:pPr>
      <w:r>
        <w:rPr>
          <w:color w:val="000000"/>
          <w:lang w:val="en-US"/>
        </w:rPr>
        <w:t xml:space="preserve">    The regression model presented will estimate the impact of the current financial crisis on the magnitude of the audit fees. It concerns seven control variables. The control variable</w:t>
      </w:r>
      <w:r>
        <w:rPr>
          <w:color w:val="000000"/>
          <w:vertAlign w:val="subscript"/>
          <w:lang w:val="en-US"/>
        </w:rPr>
        <w:t xml:space="preserve"> </w:t>
      </w:r>
      <w:r w:rsidRPr="00195FD8">
        <w:rPr>
          <w:color w:val="000000"/>
          <w:lang w:val="en-US"/>
        </w:rPr>
        <w:t>CSV</w:t>
      </w:r>
      <w:r w:rsidRPr="00195FD8">
        <w:rPr>
          <w:color w:val="000000"/>
          <w:vertAlign w:val="subscript"/>
          <w:lang w:val="en-US"/>
        </w:rPr>
        <w:t>it</w:t>
      </w:r>
      <w:r>
        <w:rPr>
          <w:color w:val="000000"/>
          <w:lang w:val="en-US"/>
        </w:rPr>
        <w:t>, is regarded as a dummy variable that was explained previously in the presentation of the model. To denote the absence or presence of some categorical effect that is likely to shift the outcome, dummy or else indicator variable is one that takes only the values of 0 or 1. Concerning the testing of the second Hypothesis, relating the use of conservatism in auditing with the audit fees,</w:t>
      </w:r>
      <w:r w:rsidRPr="00195FD8">
        <w:rPr>
          <w:color w:val="000000"/>
          <w:lang w:val="en-US"/>
        </w:rPr>
        <w:t xml:space="preserve"> CSV</w:t>
      </w:r>
      <w:r w:rsidRPr="00195FD8">
        <w:rPr>
          <w:color w:val="000000"/>
          <w:vertAlign w:val="subscript"/>
          <w:lang w:val="en-US"/>
        </w:rPr>
        <w:t>it</w:t>
      </w:r>
      <w:r>
        <w:rPr>
          <w:color w:val="000000"/>
          <w:lang w:val="en-US"/>
        </w:rPr>
        <w:t xml:space="preserve"> is the most significant variable.</w:t>
      </w:r>
    </w:p>
    <w:p w:rsidR="00FD5242" w:rsidRDefault="00FD5242" w:rsidP="00F375AC">
      <w:pPr>
        <w:spacing w:line="360" w:lineRule="auto"/>
        <w:jc w:val="both"/>
        <w:rPr>
          <w:color w:val="000000"/>
          <w:lang w:val="en-US"/>
        </w:rPr>
      </w:pPr>
      <w:r>
        <w:rPr>
          <w:color w:val="000000"/>
          <w:lang w:val="en-US"/>
        </w:rPr>
        <w:t xml:space="preserve">    Continuing the investigation of the variables, the necessity exists to provide concerning the five remaining “plain” control variables in the model more detailed information, and the reasoning concerning their inclusion in the statistical model:</w:t>
      </w:r>
    </w:p>
    <w:p w:rsidR="00FD5242" w:rsidRDefault="00FD5242" w:rsidP="00F375AC">
      <w:pPr>
        <w:spacing w:line="360" w:lineRule="auto"/>
        <w:jc w:val="both"/>
        <w:rPr>
          <w:color w:val="000000"/>
          <w:lang w:val="en-US"/>
        </w:rPr>
      </w:pPr>
      <w:r w:rsidRPr="00C661B9">
        <w:rPr>
          <w:color w:val="000000"/>
          <w:u w:val="single"/>
          <w:lang w:val="en-US"/>
        </w:rPr>
        <w:t>SIZE</w:t>
      </w:r>
    </w:p>
    <w:p w:rsidR="00FD5242" w:rsidRDefault="00FD5242" w:rsidP="00F375AC">
      <w:pPr>
        <w:spacing w:line="360" w:lineRule="auto"/>
        <w:jc w:val="both"/>
        <w:rPr>
          <w:color w:val="000000"/>
          <w:lang w:val="en-US"/>
        </w:rPr>
      </w:pPr>
      <w:r w:rsidRPr="00076875">
        <w:rPr>
          <w:color w:val="000000"/>
          <w:lang w:val="en-US"/>
        </w:rPr>
        <w:t>SIZE</w:t>
      </w:r>
      <w:r>
        <w:rPr>
          <w:color w:val="000000"/>
          <w:lang w:val="en-US"/>
        </w:rPr>
        <w:t xml:space="preserve"> refers to the auditee’s size. As already commented, larger firms have higher incentives to manipulate their financial statements, either because of management compensation incentives upwards, or downwards emerging from government actions and taxing regulations. </w:t>
      </w:r>
    </w:p>
    <w:p w:rsidR="00FD5242" w:rsidRDefault="00FD5242" w:rsidP="00F375AC">
      <w:pPr>
        <w:spacing w:line="360" w:lineRule="auto"/>
        <w:jc w:val="both"/>
        <w:rPr>
          <w:color w:val="000000"/>
          <w:lang w:val="en-US"/>
        </w:rPr>
      </w:pPr>
      <w:r>
        <w:rPr>
          <w:color w:val="000000"/>
          <w:u w:val="single"/>
          <w:lang w:val="en-US"/>
        </w:rPr>
        <w:t>QR</w:t>
      </w:r>
    </w:p>
    <w:p w:rsidR="00FD5242" w:rsidRDefault="00FD5242" w:rsidP="00F375AC">
      <w:pPr>
        <w:spacing w:line="360" w:lineRule="auto"/>
        <w:jc w:val="both"/>
        <w:rPr>
          <w:color w:val="000000"/>
          <w:lang w:val="en-US"/>
        </w:rPr>
      </w:pPr>
      <w:r w:rsidRPr="00076875">
        <w:rPr>
          <w:color w:val="000000"/>
          <w:lang w:val="en-US"/>
        </w:rPr>
        <w:t>QR</w:t>
      </w:r>
      <w:r>
        <w:rPr>
          <w:color w:val="000000"/>
          <w:lang w:val="en-US"/>
        </w:rPr>
        <w:t xml:space="preserve"> refers to the quick ratio, which indicates the short-term liquidity of a firm. Since it is used to show the company’s ability to cover its short-term obligations with its own liquid assets, the higher the ratio, the better the position of the company is.</w:t>
      </w:r>
    </w:p>
    <w:p w:rsidR="00FD5242" w:rsidRPr="00076875" w:rsidRDefault="00FD5242" w:rsidP="00F375AC">
      <w:pPr>
        <w:spacing w:line="360" w:lineRule="auto"/>
        <w:jc w:val="both"/>
        <w:rPr>
          <w:color w:val="000000"/>
          <w:u w:val="single"/>
          <w:lang w:val="en-US"/>
        </w:rPr>
      </w:pPr>
      <w:r>
        <w:rPr>
          <w:color w:val="000000"/>
          <w:u w:val="single"/>
          <w:lang w:val="en-US"/>
        </w:rPr>
        <w:t>LEV</w:t>
      </w:r>
    </w:p>
    <w:p w:rsidR="00FD5242" w:rsidRDefault="00FD5242" w:rsidP="00F375AC">
      <w:pPr>
        <w:spacing w:line="360" w:lineRule="auto"/>
        <w:jc w:val="both"/>
        <w:rPr>
          <w:color w:val="000000"/>
          <w:lang w:val="en-US"/>
        </w:rPr>
      </w:pPr>
      <w:r>
        <w:rPr>
          <w:color w:val="000000"/>
          <w:lang w:val="en-US"/>
        </w:rPr>
        <w:t>LEV is the debt/equity ratio that measures the financial leverage of a company. It captures the effect of the financing practices of a firm by indicating the proportion of debt and equity that the company uses in order to finance its assets. If the ratio is high, then a company is considered to finance aggressively its growth with debt, potentially resulting in additional interest expenses. Additionally, firms with a LEV variable of higher degree are exposed to higher litigation risk, consequently resulting in the expectation of increased audit fees.</w:t>
      </w:r>
    </w:p>
    <w:p w:rsidR="00FD5242" w:rsidRDefault="00FD5242" w:rsidP="00F375AC">
      <w:pPr>
        <w:spacing w:line="360" w:lineRule="auto"/>
        <w:jc w:val="both"/>
        <w:rPr>
          <w:color w:val="000000"/>
          <w:lang w:val="en-US"/>
        </w:rPr>
      </w:pPr>
      <w:r>
        <w:rPr>
          <w:color w:val="000000"/>
          <w:lang w:val="en-US"/>
        </w:rPr>
        <w:t>While the precedent analyzed quick ratio (QR) is informative about the short-term capital structure of a company, the debt/equity ratio (LEV) informs about the long-term capital structure of the company.</w:t>
      </w:r>
    </w:p>
    <w:p w:rsidR="00FD5242" w:rsidRDefault="00FD5242" w:rsidP="00F375AC">
      <w:pPr>
        <w:spacing w:line="360" w:lineRule="auto"/>
        <w:jc w:val="both"/>
        <w:rPr>
          <w:color w:val="000000"/>
          <w:u w:val="single"/>
          <w:lang w:val="en-US"/>
        </w:rPr>
      </w:pPr>
      <w:r w:rsidRPr="00D233E5">
        <w:rPr>
          <w:color w:val="000000"/>
          <w:u w:val="single"/>
          <w:lang w:val="en-US"/>
        </w:rPr>
        <w:t>INVREC</w:t>
      </w:r>
    </w:p>
    <w:p w:rsidR="00FD5242" w:rsidRDefault="00FD5242" w:rsidP="00F375AC">
      <w:pPr>
        <w:spacing w:line="360" w:lineRule="auto"/>
        <w:jc w:val="both"/>
        <w:rPr>
          <w:color w:val="000000"/>
          <w:lang w:val="en-US"/>
        </w:rPr>
      </w:pPr>
      <w:r>
        <w:rPr>
          <w:color w:val="000000"/>
          <w:lang w:val="en-US"/>
        </w:rPr>
        <w:t>INVREC is a variable associated with inventories and receivables. Firms exhibiting higher INVREC levels are reasonably associated with more complex and time consuming financial audits, and they are more likely to getting charged with higher audit fees.</w:t>
      </w:r>
    </w:p>
    <w:p w:rsidR="00FD5242" w:rsidRDefault="00FD5242" w:rsidP="00F375AC">
      <w:pPr>
        <w:spacing w:line="360" w:lineRule="auto"/>
        <w:jc w:val="both"/>
        <w:rPr>
          <w:color w:val="000000"/>
          <w:u w:val="single"/>
          <w:lang w:val="en-US"/>
        </w:rPr>
      </w:pPr>
      <w:r w:rsidRPr="00881662">
        <w:rPr>
          <w:color w:val="000000"/>
          <w:u w:val="single"/>
          <w:lang w:val="en-US"/>
        </w:rPr>
        <w:t>ROI</w:t>
      </w:r>
    </w:p>
    <w:p w:rsidR="00FD5242" w:rsidRDefault="00FD5242" w:rsidP="00F375AC">
      <w:pPr>
        <w:spacing w:line="360" w:lineRule="auto"/>
        <w:jc w:val="both"/>
        <w:rPr>
          <w:color w:val="000000"/>
          <w:lang w:val="en-US"/>
        </w:rPr>
      </w:pPr>
      <w:r w:rsidRPr="00881662">
        <w:rPr>
          <w:color w:val="000000"/>
          <w:lang w:val="en-US"/>
        </w:rPr>
        <w:t>ROI</w:t>
      </w:r>
      <w:r>
        <w:rPr>
          <w:color w:val="000000"/>
          <w:lang w:val="en-US"/>
        </w:rPr>
        <w:t xml:space="preserve"> is the return on investment variable, which is generally appreciated as performance evaluation measure. In this form, it is an indicator of the assessment of the overall audit risk. Firms with lower ROI ratios are less likely to experience litigation risk. Consequently, the higher the ratio, the higher the audit fees charged to a firm.</w:t>
      </w:r>
    </w:p>
    <w:p w:rsidR="00FD5242" w:rsidRDefault="00FD5242" w:rsidP="00F375AC">
      <w:pPr>
        <w:spacing w:line="360" w:lineRule="auto"/>
        <w:jc w:val="both"/>
        <w:rPr>
          <w:color w:val="000000"/>
          <w:lang w:val="en-US"/>
        </w:rPr>
      </w:pPr>
      <w:r>
        <w:rPr>
          <w:color w:val="000000"/>
          <w:lang w:val="en-US"/>
        </w:rPr>
        <w:t xml:space="preserve">    The primary expectation concerning the results of the regression analysis is that audit fees will be found positively related to auditors’ conservatism. Stated in numbers, it is expected that the coefficient </w:t>
      </w:r>
      <w:r w:rsidRPr="00867A84">
        <w:rPr>
          <w:color w:val="000000"/>
          <w:lang w:val="en-US"/>
        </w:rPr>
        <w:t>b</w:t>
      </w:r>
      <w:r w:rsidRPr="00867A84">
        <w:rPr>
          <w:color w:val="000000"/>
          <w:vertAlign w:val="subscript"/>
          <w:lang w:val="en-US"/>
        </w:rPr>
        <w:t>1</w:t>
      </w:r>
      <w:r>
        <w:rPr>
          <w:color w:val="000000"/>
          <w:vertAlign w:val="subscript"/>
          <w:lang w:val="en-US"/>
        </w:rPr>
        <w:t xml:space="preserve"> </w:t>
      </w:r>
      <w:r>
        <w:rPr>
          <w:color w:val="000000"/>
          <w:lang w:val="en-US"/>
        </w:rPr>
        <w:t>for the conservatism measure will be found positive and significant. The investigation of the impacts of the crisis in audit fees will be examined with two linear regression analyses for the years 2008 and 2009 respectively, and one pooled regression analysis concerning the combined data of the two years, determining the combined results.</w:t>
      </w:r>
    </w:p>
    <w:p w:rsidR="00FD5242" w:rsidRDefault="00FD5242" w:rsidP="00F375AC">
      <w:pPr>
        <w:spacing w:line="360" w:lineRule="auto"/>
        <w:jc w:val="both"/>
        <w:rPr>
          <w:color w:val="000000"/>
          <w:lang w:val="en-US"/>
        </w:rPr>
      </w:pPr>
    </w:p>
    <w:p w:rsidR="00FD5242" w:rsidRDefault="00FD5242" w:rsidP="00F375AC">
      <w:pPr>
        <w:spacing w:line="360" w:lineRule="auto"/>
        <w:jc w:val="both"/>
        <w:rPr>
          <w:color w:val="000000"/>
          <w:lang w:val="en-US"/>
        </w:rPr>
      </w:pPr>
    </w:p>
    <w:p w:rsidR="00FD5242" w:rsidRDefault="00FD5242" w:rsidP="00F375AC">
      <w:pPr>
        <w:spacing w:line="360" w:lineRule="auto"/>
        <w:jc w:val="both"/>
        <w:rPr>
          <w:b/>
          <w:lang w:val="en-US"/>
        </w:rPr>
      </w:pPr>
      <w:r>
        <w:rPr>
          <w:b/>
          <w:lang w:val="en-US"/>
        </w:rPr>
        <w:t xml:space="preserve">6.5 Sample selection </w:t>
      </w:r>
    </w:p>
    <w:p w:rsidR="00FD5242" w:rsidRDefault="00FD5242" w:rsidP="00F375AC">
      <w:pPr>
        <w:spacing w:line="360" w:lineRule="auto"/>
        <w:jc w:val="both"/>
        <w:rPr>
          <w:lang w:val="en-US"/>
        </w:rPr>
      </w:pPr>
      <w:r>
        <w:rPr>
          <w:b/>
          <w:lang w:val="en-US"/>
        </w:rPr>
        <w:t xml:space="preserve">    </w:t>
      </w:r>
      <w:r w:rsidRPr="00A11C4A">
        <w:rPr>
          <w:lang w:val="en-US"/>
        </w:rPr>
        <w:t xml:space="preserve">Concerning the audit conservatism and the changes of </w:t>
      </w:r>
      <w:r>
        <w:rPr>
          <w:lang w:val="en-US"/>
        </w:rPr>
        <w:t xml:space="preserve">the </w:t>
      </w:r>
      <w:r w:rsidRPr="00A11C4A">
        <w:rPr>
          <w:lang w:val="en-US"/>
        </w:rPr>
        <w:t xml:space="preserve">audit conservatism due to the emergence of the global financial crisis, two periods are investigated: 2005-2006 for the period before the financial crisis and 2008-2009 for the period during the financial crisis. On the other hand, concerning the potential changes in audit fees due to the emergence of the global financial crisis, only one period can be investigated and that is the 2008-2009 period. </w:t>
      </w:r>
      <w:r>
        <w:rPr>
          <w:lang w:val="en-US"/>
        </w:rPr>
        <w:t>S</w:t>
      </w:r>
      <w:r w:rsidRPr="00A11C4A">
        <w:rPr>
          <w:lang w:val="en-US"/>
        </w:rPr>
        <w:t>ince Dutch firms were obliged to declare their auditor</w:t>
      </w:r>
      <w:r>
        <w:rPr>
          <w:lang w:val="en-US"/>
        </w:rPr>
        <w:t>s’ remuneration after July 2008, t</w:t>
      </w:r>
      <w:r w:rsidRPr="00A11C4A">
        <w:rPr>
          <w:lang w:val="en-US"/>
        </w:rPr>
        <w:t>his investigated period consists of years that are both during the financi</w:t>
      </w:r>
      <w:r>
        <w:rPr>
          <w:lang w:val="en-US"/>
        </w:rPr>
        <w:t>al crisis. Lack of data concerning</w:t>
      </w:r>
      <w:r w:rsidRPr="00A11C4A">
        <w:rPr>
          <w:lang w:val="en-US"/>
        </w:rPr>
        <w:t xml:space="preserve"> the amounts of audit fees in the period before the emergence of the crisis and specifically for the years 2005 and 2006 limits the conduction of a comparison between the two different periods, </w:t>
      </w:r>
    </w:p>
    <w:p w:rsidR="00FD5242" w:rsidRDefault="00FD5242" w:rsidP="00F375AC">
      <w:pPr>
        <w:spacing w:line="360" w:lineRule="auto"/>
        <w:jc w:val="both"/>
        <w:rPr>
          <w:lang w:val="en-US"/>
        </w:rPr>
      </w:pPr>
      <w:r>
        <w:rPr>
          <w:lang w:val="en-US"/>
        </w:rPr>
        <w:t xml:space="preserve">    In sum, 51 Dutch stock exchange quoted firms were investigated. Specifically, 17 firms from the Dutch AEX index, 23 firms from the Dutch AMX index, and 11 firms from the AScX index were examined. The initial sample consisted of the 25 firms of the three separate indexes, totaling in 75 firms. The firms were later reduced in the ones fulfilling certain criteria. The criteria involved the existence of the firms in the four investigated years (2005, 2006, 2008, and 2009), and of course the existence of all required data concerning elements of the firms’ financial statements. Firms with omitting values and firms that were not active during the investigated years were excluded from the initial sample of 75 firms and resulted in the final used sample of 51 firms. </w:t>
      </w:r>
    </w:p>
    <w:p w:rsidR="00FD5242" w:rsidRPr="00A11C4A" w:rsidRDefault="00FD5242" w:rsidP="00F375AC">
      <w:pPr>
        <w:spacing w:line="360" w:lineRule="auto"/>
        <w:jc w:val="both"/>
        <w:rPr>
          <w:color w:val="000000"/>
          <w:lang w:val="en-US"/>
        </w:rPr>
      </w:pPr>
      <w:r>
        <w:rPr>
          <w:lang w:val="en-US"/>
        </w:rPr>
        <w:t>It is necessary to signal that the data concerning the audit fees involves solely the fees paid regarding the financial statements’ audits of the firms.</w:t>
      </w:r>
    </w:p>
    <w:p w:rsidR="00FD5242" w:rsidRDefault="00FD5242" w:rsidP="00F375AC">
      <w:pPr>
        <w:spacing w:line="360" w:lineRule="auto"/>
        <w:jc w:val="both"/>
        <w:rPr>
          <w:lang w:val="en-US"/>
        </w:rPr>
      </w:pPr>
      <w:r>
        <w:rPr>
          <w:lang w:val="en-US"/>
        </w:rPr>
        <w:t xml:space="preserve">    Concerning the highly contradicting subject of the difference in audit quality between the Big and the non-Big Four audit firms, there is a large number of scientific papers argue about different findings. Lang &amp; Maffet (2010) argue that the quality of the information provided by accounting data is likely to be higher if such data are audited and assured by one of the Big audit firms. Ajona et al. also (2008) hypothesized that Big firm auditors are less tolerant of the establishment of new income-increasing manipulations and consequently have stronger monitoring power in reducing management’s opportunistic practices. Evidence, though, disclosed that Big audit firms superior performance in code-law countries is only context specific, not overall general and depends on the specific audited firm’ “audit risk model”. Consistent with the higher-quality argument of Big firm audits, Myers et al. (2010) found that Big firm auditors after the enactment of the SOX-Act of 2002 became more accurate in issuing Going Concern modifications</w:t>
      </w:r>
      <w:r>
        <w:rPr>
          <w:rStyle w:val="FootnoteReference"/>
          <w:lang w:val="en-US"/>
        </w:rPr>
        <w:footnoteReference w:id="9"/>
      </w:r>
      <w:r>
        <w:rPr>
          <w:lang w:val="en-US"/>
        </w:rPr>
        <w:t>. In the study of Gul et al. (2008), the statistical model used consisted of a variable concerning the audit firm’s size. The content of this variable was interpreted as a proof of audit quality in that, Big firm audits were considered as the only high quality ones. Furthermore, Hermann et al. (2008) showed that during the Asian financial crisis of 1996-1997, Big audit firms’ clients compared to non-Big audit firms’ clients were more sensitive to bad news than non-Big audit firms’ clients were signaling. Big audit firms’ faster adjustments and responses in environmental changes. However, in the same study, evidence proved no significant difference in the use of conservatism between the two different firm categories in the post-crisis period, indicating that non-Big firm audits are conducted with higher quality professional standards through the presence of time. Additionally, in the paper of Cano-Rodriguez (2010) concerning conservatism in the audits of Spanish stock exchange quoted firms, evidence proved that in the absence of essential litigation and reputation risk Big auditors are conducting audits of higher quality, while at the same time  they tend to be over-conservative in furious professional times. Li et al. (2007) after searching the influence of auditor choice in earnings conservatism found no significantly stronger monitoring power of Big firm auditors on auditee’s earnings conservatism in comparison with the same power of non-Big firm auditors.</w:t>
      </w:r>
    </w:p>
    <w:p w:rsidR="00FD5242" w:rsidRDefault="00FD5242" w:rsidP="00F375AC">
      <w:pPr>
        <w:spacing w:line="360" w:lineRule="auto"/>
        <w:jc w:val="both"/>
        <w:rPr>
          <w:lang w:val="en-US"/>
        </w:rPr>
      </w:pPr>
      <w:r>
        <w:rPr>
          <w:lang w:val="en-US"/>
        </w:rPr>
        <w:t xml:space="preserve">    Overall, theory has been contradicting concerning the Big and non-Big audit firms’ performances, however a higher number of studies have shown evidence of higher quality audits conducted by the Big audit firms. One of the Big audit firms audits the majority of the Dutch stock exchange quoted companies: consequently, no significance, exists in relation with the audit firm’s size variable.</w:t>
      </w:r>
    </w:p>
    <w:p w:rsidR="00FD5242" w:rsidRPr="00D52412" w:rsidRDefault="00FD5242" w:rsidP="00F375AC">
      <w:pPr>
        <w:spacing w:line="360" w:lineRule="auto"/>
        <w:jc w:val="both"/>
        <w:rPr>
          <w:b/>
          <w:lang w:val="en-US"/>
        </w:rPr>
      </w:pPr>
      <w:r>
        <w:rPr>
          <w:lang w:val="en-US"/>
        </w:rPr>
        <w:t xml:space="preserve"> </w:t>
      </w:r>
      <w:r>
        <w:rPr>
          <w:b/>
          <w:lang w:val="en-US"/>
        </w:rPr>
        <w:t>6.6</w:t>
      </w:r>
      <w:r w:rsidRPr="00D52412">
        <w:rPr>
          <w:b/>
          <w:lang w:val="en-US"/>
        </w:rPr>
        <w:t xml:space="preserve"> Summary</w:t>
      </w:r>
    </w:p>
    <w:p w:rsidR="00FD5242" w:rsidRDefault="00FD5242" w:rsidP="00F375AC">
      <w:pPr>
        <w:spacing w:line="360" w:lineRule="auto"/>
        <w:jc w:val="both"/>
        <w:rPr>
          <w:lang w:val="en-US"/>
        </w:rPr>
      </w:pPr>
      <w:r>
        <w:rPr>
          <w:lang w:val="en-US"/>
        </w:rPr>
        <w:t xml:space="preserve">    Summarizing this part, an insight in the research design of this study was presented. In order to investigate auditors’ conservatism and audit fees during and prior to the current financial crisis, quantitative research was selected as the most appropriate type of research. Precisely, in order to test the hypotheses developed, the empirical method of regression analysis with ordinary least squares (OLS) will be used. The corresponding models were presented and the reasoning concerning their selection as well. Additionally, an analysis of the variables of the models was provided. </w:t>
      </w:r>
    </w:p>
    <w:p w:rsidR="00FD5242" w:rsidRDefault="00FD5242" w:rsidP="006376F7">
      <w:pPr>
        <w:spacing w:line="360" w:lineRule="auto"/>
        <w:rPr>
          <w:lang w:val="en-US"/>
        </w:rPr>
      </w:pPr>
      <w:r>
        <w:rPr>
          <w:lang w:val="en-US"/>
        </w:rPr>
        <w:t xml:space="preserve">    The results from the statistical analysis of the models, concerning the modification of auditors’ conservatism and audit fees, along with any other essential subjects discovered are demonstrated and commented in the subsequent chapters.</w:t>
      </w:r>
    </w:p>
    <w:p w:rsidR="00FD5242" w:rsidRPr="00F61655" w:rsidRDefault="00FD5242" w:rsidP="006376F7">
      <w:pPr>
        <w:spacing w:line="360" w:lineRule="auto"/>
        <w:rPr>
          <w:lang w:val="en-US"/>
        </w:rPr>
      </w:pPr>
      <w:r>
        <w:rPr>
          <w:lang w:val="en-US"/>
        </w:rPr>
        <w:br w:type="page"/>
      </w:r>
      <w:r w:rsidRPr="00456996">
        <w:rPr>
          <w:b/>
          <w:sz w:val="26"/>
          <w:szCs w:val="26"/>
          <w:lang w:val="en-US"/>
        </w:rPr>
        <w:t>CHA</w:t>
      </w:r>
      <w:r>
        <w:rPr>
          <w:b/>
          <w:sz w:val="26"/>
          <w:szCs w:val="26"/>
          <w:lang w:val="en-US"/>
        </w:rPr>
        <w:t>PTER 7</w:t>
      </w:r>
      <w:r w:rsidRPr="00456996">
        <w:rPr>
          <w:b/>
          <w:sz w:val="26"/>
          <w:szCs w:val="26"/>
          <w:lang w:val="en-US"/>
        </w:rPr>
        <w:t xml:space="preserve"> – Research results and analysis</w:t>
      </w:r>
    </w:p>
    <w:p w:rsidR="00FD5242" w:rsidRDefault="00FD5242" w:rsidP="006376F7">
      <w:pPr>
        <w:spacing w:line="360" w:lineRule="auto"/>
        <w:jc w:val="both"/>
        <w:rPr>
          <w:lang w:val="en-US"/>
        </w:rPr>
      </w:pPr>
      <w:r>
        <w:rPr>
          <w:lang w:val="en-US"/>
        </w:rPr>
        <w:t xml:space="preserve">    This chapter will comment on the results of the statistical investigation conducted to determine the impacts of the current financial crisis on auditors’ use of conservatism and on the audit fees regarding Dutch CPAs. The analysis of the results concerning Model 2 is demonstrated in the first part of the chapter, which focuses on the impact of the crisis on auditors’ use of conservatism, and second concerning Model 3 in the subsequent part of the chapter that focuses on the impact of the crisis on the level of the auditors’ fees. First, the descriptive statistics of the sample tested will be demonstrated along with a reference to interesting observations. Second, the evidence of the regression analyses of the two statistical models used will be presented and a thorough analysis of this evidence will be commented. The analysis is performed in order to interpret the corresponding numerical findings in the examined changes in the relationships between the tested variables. Additionally, an explanation concerning the reasoning of the findings will be commented. The overall empirical analysis will be briefly signaled in the last part of the chapter, which contains the summary.</w:t>
      </w:r>
    </w:p>
    <w:p w:rsidR="00FD5242" w:rsidRPr="000808D1" w:rsidRDefault="00FD5242" w:rsidP="006376F7">
      <w:pPr>
        <w:spacing w:line="360" w:lineRule="auto"/>
        <w:jc w:val="both"/>
        <w:rPr>
          <w:b/>
          <w:lang w:val="en-US"/>
        </w:rPr>
      </w:pPr>
      <w:r>
        <w:rPr>
          <w:b/>
          <w:lang w:val="en-US"/>
        </w:rPr>
        <w:t>7</w:t>
      </w:r>
      <w:r w:rsidRPr="00815408">
        <w:rPr>
          <w:b/>
          <w:lang w:val="en-US"/>
        </w:rPr>
        <w:t xml:space="preserve">.1 </w:t>
      </w:r>
      <w:r>
        <w:rPr>
          <w:b/>
          <w:lang w:val="en-US"/>
        </w:rPr>
        <w:t xml:space="preserve">Analysis of the investigation concerning </w:t>
      </w:r>
      <w:r w:rsidRPr="00620837">
        <w:rPr>
          <w:b/>
          <w:lang w:val="en-US"/>
        </w:rPr>
        <w:t xml:space="preserve">the impact of the </w:t>
      </w:r>
      <w:r>
        <w:rPr>
          <w:b/>
          <w:lang w:val="en-US"/>
        </w:rPr>
        <w:t xml:space="preserve">current financial </w:t>
      </w:r>
      <w:r w:rsidRPr="00620837">
        <w:rPr>
          <w:b/>
          <w:lang w:val="en-US"/>
        </w:rPr>
        <w:t>crisis on auditors’ use of conservatism</w:t>
      </w:r>
    </w:p>
    <w:p w:rsidR="00FD5242" w:rsidRDefault="00FD5242" w:rsidP="006376F7">
      <w:pPr>
        <w:spacing w:line="360" w:lineRule="auto"/>
        <w:jc w:val="both"/>
        <w:rPr>
          <w:lang w:val="en-US"/>
        </w:rPr>
      </w:pPr>
      <w:r>
        <w:rPr>
          <w:lang w:val="en-US"/>
        </w:rPr>
        <w:t xml:space="preserve">    Model 2 was used to determine of the effects of the current financial crisis on auditors’ conservatism level. Model 2 was specified as:</w:t>
      </w:r>
    </w:p>
    <w:p w:rsidR="00FD5242" w:rsidRPr="000B2D54" w:rsidRDefault="00FD5242" w:rsidP="006376F7">
      <w:pPr>
        <w:spacing w:line="360" w:lineRule="auto"/>
        <w:jc w:val="both"/>
        <w:rPr>
          <w:b/>
          <w:lang w:val="en-US"/>
        </w:rPr>
      </w:pPr>
      <w:r w:rsidRPr="000B2D54">
        <w:rPr>
          <w:b/>
          <w:bCs/>
          <w:lang w:val="en-US"/>
        </w:rPr>
        <w:t>X</w:t>
      </w:r>
      <w:r w:rsidRPr="000B2D54">
        <w:rPr>
          <w:b/>
          <w:bCs/>
          <w:vertAlign w:val="subscript"/>
          <w:lang w:val="en-US"/>
        </w:rPr>
        <w:t>it</w:t>
      </w:r>
      <w:r w:rsidRPr="000B2D54">
        <w:rPr>
          <w:b/>
          <w:bCs/>
          <w:lang w:val="en-US"/>
        </w:rPr>
        <w:t>/P</w:t>
      </w:r>
      <w:r w:rsidRPr="000B2D54">
        <w:rPr>
          <w:b/>
          <w:bCs/>
          <w:vertAlign w:val="subscript"/>
          <w:lang w:val="en-US"/>
        </w:rPr>
        <w:t xml:space="preserve">it-1 </w:t>
      </w:r>
      <w:r w:rsidRPr="000B2D54">
        <w:rPr>
          <w:b/>
          <w:bCs/>
          <w:lang w:val="en-US"/>
        </w:rPr>
        <w:t>= b</w:t>
      </w:r>
      <w:r w:rsidRPr="000B2D54">
        <w:rPr>
          <w:b/>
          <w:bCs/>
          <w:vertAlign w:val="subscript"/>
          <w:lang w:val="en-US"/>
        </w:rPr>
        <w:t>0</w:t>
      </w:r>
      <w:r w:rsidRPr="000B2D54">
        <w:rPr>
          <w:b/>
          <w:bCs/>
          <w:lang w:val="en-US"/>
        </w:rPr>
        <w:t xml:space="preserve"> + b</w:t>
      </w:r>
      <w:r w:rsidRPr="000B2D54">
        <w:rPr>
          <w:b/>
          <w:bCs/>
          <w:vertAlign w:val="subscript"/>
          <w:lang w:val="en-US"/>
        </w:rPr>
        <w:t>1</w:t>
      </w:r>
      <w:r w:rsidRPr="000B2D54">
        <w:rPr>
          <w:b/>
          <w:bCs/>
          <w:lang w:val="en-US"/>
        </w:rPr>
        <w:t>DR</w:t>
      </w:r>
      <w:r w:rsidRPr="000B2D54">
        <w:rPr>
          <w:b/>
          <w:bCs/>
          <w:vertAlign w:val="subscript"/>
          <w:lang w:val="en-US"/>
        </w:rPr>
        <w:t>it</w:t>
      </w:r>
      <w:r w:rsidRPr="000B2D54">
        <w:rPr>
          <w:b/>
          <w:bCs/>
          <w:lang w:val="en-US"/>
        </w:rPr>
        <w:t xml:space="preserve"> + b</w:t>
      </w:r>
      <w:r w:rsidRPr="000B2D54">
        <w:rPr>
          <w:b/>
          <w:bCs/>
          <w:vertAlign w:val="subscript"/>
          <w:lang w:val="en-US"/>
        </w:rPr>
        <w:t>2</w:t>
      </w:r>
      <w:r w:rsidRPr="000B2D54">
        <w:rPr>
          <w:b/>
          <w:bCs/>
          <w:lang w:val="en-US"/>
        </w:rPr>
        <w:t>R</w:t>
      </w:r>
      <w:r w:rsidRPr="000B2D54">
        <w:rPr>
          <w:b/>
          <w:bCs/>
          <w:vertAlign w:val="subscript"/>
          <w:lang w:val="en-US"/>
        </w:rPr>
        <w:t>it</w:t>
      </w:r>
      <w:r w:rsidRPr="000B2D54">
        <w:rPr>
          <w:b/>
          <w:bCs/>
          <w:lang w:val="en-US"/>
        </w:rPr>
        <w:t xml:space="preserve"> + b</w:t>
      </w:r>
      <w:r w:rsidRPr="000B2D54">
        <w:rPr>
          <w:b/>
          <w:bCs/>
          <w:vertAlign w:val="subscript"/>
          <w:lang w:val="en-US"/>
        </w:rPr>
        <w:t>3</w:t>
      </w:r>
      <w:r w:rsidRPr="000B2D54">
        <w:rPr>
          <w:b/>
          <w:bCs/>
          <w:lang w:val="en-US"/>
        </w:rPr>
        <w:t>R</w:t>
      </w:r>
      <w:r w:rsidRPr="000B2D54">
        <w:rPr>
          <w:b/>
          <w:bCs/>
          <w:vertAlign w:val="subscript"/>
          <w:lang w:val="en-US"/>
        </w:rPr>
        <w:t>it</w:t>
      </w:r>
      <w:r w:rsidRPr="000B2D54">
        <w:rPr>
          <w:b/>
          <w:bCs/>
          <w:lang w:val="en-US"/>
        </w:rPr>
        <w:t xml:space="preserve"> * DR</w:t>
      </w:r>
      <w:r w:rsidRPr="000B2D54">
        <w:rPr>
          <w:b/>
          <w:bCs/>
          <w:vertAlign w:val="subscript"/>
          <w:lang w:val="en-US"/>
        </w:rPr>
        <w:t>it</w:t>
      </w:r>
      <w:r w:rsidRPr="000B2D54">
        <w:rPr>
          <w:b/>
          <w:bCs/>
          <w:lang w:val="en-US"/>
        </w:rPr>
        <w:t xml:space="preserve">  </w:t>
      </w:r>
    </w:p>
    <w:p w:rsidR="00FD5242" w:rsidRPr="00B4719B" w:rsidRDefault="00FD5242" w:rsidP="006376F7">
      <w:pPr>
        <w:spacing w:line="360" w:lineRule="auto"/>
        <w:jc w:val="both"/>
        <w:rPr>
          <w:bCs/>
          <w:i/>
          <w:u w:val="single"/>
          <w:lang w:val="en-US"/>
        </w:rPr>
      </w:pPr>
      <w:r>
        <w:rPr>
          <w:bCs/>
          <w:lang w:val="en-US"/>
        </w:rPr>
        <w:t xml:space="preserve">7.1.1 </w:t>
      </w:r>
      <w:r w:rsidRPr="00B4719B">
        <w:rPr>
          <w:bCs/>
          <w:i/>
          <w:u w:val="single"/>
          <w:lang w:val="en-US"/>
        </w:rPr>
        <w:t>Descriptive statistics for Model 2</w:t>
      </w:r>
    </w:p>
    <w:p w:rsidR="00FD5242" w:rsidRPr="005B7858" w:rsidRDefault="00FD5242" w:rsidP="009A658C">
      <w:pPr>
        <w:jc w:val="both"/>
        <w:rPr>
          <w:b/>
          <w:bCs/>
          <w:lang w:val="en-US"/>
        </w:rPr>
      </w:pPr>
      <w:r w:rsidRPr="005B7858">
        <w:rPr>
          <w:b/>
          <w:bCs/>
          <w:lang w:val="en-US"/>
        </w:rPr>
        <w:t>Table 1</w:t>
      </w:r>
      <w:r>
        <w:rPr>
          <w:b/>
          <w:bCs/>
          <w:lang w:val="en-US"/>
        </w:rPr>
        <w:t>: Descriptive statistics concerning the sample of the pooled regression analyses</w:t>
      </w:r>
    </w:p>
    <w:tbl>
      <w:tblPr>
        <w:tblW w:w="8154"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968"/>
        <w:gridCol w:w="698"/>
        <w:gridCol w:w="862"/>
        <w:gridCol w:w="756"/>
        <w:gridCol w:w="611"/>
        <w:gridCol w:w="693"/>
        <w:gridCol w:w="698"/>
        <w:gridCol w:w="862"/>
        <w:gridCol w:w="756"/>
        <w:gridCol w:w="557"/>
        <w:gridCol w:w="693"/>
      </w:tblGrid>
      <w:tr w:rsidR="00FD5242" w:rsidRPr="008917E2" w:rsidTr="004F27AB">
        <w:trPr>
          <w:trHeight w:val="503"/>
        </w:trPr>
        <w:tc>
          <w:tcPr>
            <w:tcW w:w="968" w:type="dxa"/>
            <w:tcBorders>
              <w:top w:val="single" w:sz="8" w:space="0" w:color="000000"/>
              <w:left w:val="single" w:sz="18" w:space="0" w:color="000000"/>
              <w:bottom w:val="single" w:sz="18" w:space="0" w:color="000000"/>
              <w:right w:val="single" w:sz="18" w:space="0" w:color="000000"/>
            </w:tcBorders>
            <w:noWrap/>
            <w:vAlign w:val="bottom"/>
          </w:tcPr>
          <w:p w:rsidR="00FD5242" w:rsidRPr="00562284" w:rsidRDefault="00FD5242" w:rsidP="00562284">
            <w:pPr>
              <w:spacing w:after="0" w:line="240" w:lineRule="auto"/>
              <w:rPr>
                <w:i/>
                <w:color w:val="000000"/>
                <w:sz w:val="16"/>
                <w:szCs w:val="16"/>
                <w:lang w:val="en-US" w:eastAsia="el-GR"/>
              </w:rPr>
            </w:pPr>
            <w:r>
              <w:rPr>
                <w:i/>
                <w:color w:val="000000"/>
                <w:sz w:val="16"/>
                <w:szCs w:val="16"/>
                <w:lang w:val="en-US" w:eastAsia="el-GR"/>
              </w:rPr>
              <w:t>PERIODS:</w:t>
            </w:r>
          </w:p>
        </w:tc>
        <w:tc>
          <w:tcPr>
            <w:tcW w:w="3620" w:type="dxa"/>
            <w:gridSpan w:val="5"/>
            <w:tcBorders>
              <w:top w:val="single" w:sz="8" w:space="0" w:color="000000"/>
              <w:left w:val="single" w:sz="18" w:space="0" w:color="000000"/>
              <w:bottom w:val="single" w:sz="18" w:space="0" w:color="000000"/>
              <w:right w:val="single" w:sz="18" w:space="0" w:color="000000"/>
            </w:tcBorders>
            <w:noWrap/>
            <w:vAlign w:val="bottom"/>
          </w:tcPr>
          <w:p w:rsidR="00FD5242" w:rsidRPr="00562284" w:rsidRDefault="00FD5242" w:rsidP="0026032B">
            <w:pPr>
              <w:spacing w:after="0" w:line="240" w:lineRule="auto"/>
              <w:jc w:val="center"/>
              <w:rPr>
                <w:color w:val="000000"/>
                <w:sz w:val="16"/>
                <w:szCs w:val="16"/>
                <w:lang w:eastAsia="el-GR"/>
              </w:rPr>
            </w:pPr>
            <w:r w:rsidRPr="006560C1">
              <w:rPr>
                <w:b/>
                <w:bCs/>
                <w:color w:val="000000"/>
                <w:sz w:val="20"/>
                <w:szCs w:val="20"/>
                <w:lang w:eastAsia="el-GR"/>
              </w:rPr>
              <w:t>2005-2006</w:t>
            </w:r>
          </w:p>
        </w:tc>
        <w:tc>
          <w:tcPr>
            <w:tcW w:w="3566" w:type="dxa"/>
            <w:gridSpan w:val="5"/>
            <w:tcBorders>
              <w:top w:val="single" w:sz="8" w:space="0" w:color="000000"/>
              <w:left w:val="single" w:sz="18" w:space="0" w:color="000000"/>
              <w:bottom w:val="single" w:sz="18" w:space="0" w:color="000000"/>
              <w:right w:val="single" w:sz="18" w:space="0" w:color="000000"/>
            </w:tcBorders>
            <w:noWrap/>
            <w:vAlign w:val="bottom"/>
          </w:tcPr>
          <w:p w:rsidR="00FD5242" w:rsidRPr="00562284" w:rsidRDefault="00FD5242" w:rsidP="0026032B">
            <w:pPr>
              <w:spacing w:after="0" w:line="240" w:lineRule="auto"/>
              <w:jc w:val="center"/>
              <w:rPr>
                <w:color w:val="000000"/>
                <w:sz w:val="16"/>
                <w:szCs w:val="16"/>
                <w:lang w:eastAsia="el-GR"/>
              </w:rPr>
            </w:pPr>
            <w:r w:rsidRPr="006560C1">
              <w:rPr>
                <w:b/>
                <w:bCs/>
                <w:color w:val="000000"/>
                <w:sz w:val="20"/>
                <w:szCs w:val="20"/>
                <w:lang w:eastAsia="el-GR"/>
              </w:rPr>
              <w:t>2008-2009</w:t>
            </w:r>
          </w:p>
        </w:tc>
      </w:tr>
      <w:tr w:rsidR="00FD5242" w:rsidRPr="008917E2" w:rsidTr="004F27AB">
        <w:trPr>
          <w:trHeight w:val="503"/>
        </w:trPr>
        <w:tc>
          <w:tcPr>
            <w:tcW w:w="968" w:type="dxa"/>
            <w:tcBorders>
              <w:top w:val="single" w:sz="18" w:space="0" w:color="000000"/>
              <w:left w:val="single" w:sz="18" w:space="0" w:color="000000"/>
              <w:bottom w:val="single" w:sz="18" w:space="0" w:color="000000"/>
              <w:right w:val="single" w:sz="18" w:space="0" w:color="000000"/>
            </w:tcBorders>
            <w:shd w:val="clear" w:color="000000" w:fill="FFFFFF"/>
            <w:noWrap/>
            <w:vAlign w:val="bottom"/>
          </w:tcPr>
          <w:p w:rsidR="00FD5242" w:rsidRPr="00562284" w:rsidRDefault="00FD5242" w:rsidP="00562284">
            <w:pPr>
              <w:spacing w:after="0" w:line="240" w:lineRule="auto"/>
              <w:rPr>
                <w:i/>
                <w:color w:val="000000"/>
                <w:sz w:val="16"/>
                <w:szCs w:val="16"/>
                <w:lang w:eastAsia="el-GR"/>
              </w:rPr>
            </w:pPr>
            <w:r w:rsidRPr="00562284">
              <w:rPr>
                <w:i/>
                <w:color w:val="000000"/>
                <w:sz w:val="16"/>
                <w:szCs w:val="16"/>
                <w:lang w:eastAsia="el-GR"/>
              </w:rPr>
              <w:t>VARIABLES</w:t>
            </w:r>
          </w:p>
        </w:tc>
        <w:tc>
          <w:tcPr>
            <w:tcW w:w="698" w:type="dxa"/>
            <w:tcBorders>
              <w:top w:val="single" w:sz="18" w:space="0" w:color="000000"/>
              <w:left w:val="single" w:sz="18" w:space="0" w:color="000000"/>
              <w:bottom w:val="single" w:sz="18" w:space="0" w:color="000000"/>
            </w:tcBorders>
            <w:shd w:val="clear" w:color="000000" w:fill="FFFFFF"/>
            <w:noWrap/>
            <w:vAlign w:val="bottom"/>
          </w:tcPr>
          <w:p w:rsidR="00FD5242" w:rsidRPr="006560C1" w:rsidRDefault="00FD5242" w:rsidP="00562284">
            <w:pPr>
              <w:spacing w:after="0" w:line="240" w:lineRule="auto"/>
              <w:rPr>
                <w:b/>
                <w:color w:val="000000"/>
                <w:sz w:val="18"/>
                <w:szCs w:val="18"/>
                <w:lang w:eastAsia="el-GR"/>
              </w:rPr>
            </w:pPr>
            <w:r w:rsidRPr="006560C1">
              <w:rPr>
                <w:b/>
                <w:color w:val="000000"/>
                <w:sz w:val="18"/>
                <w:szCs w:val="18"/>
                <w:lang w:eastAsia="el-GR"/>
              </w:rPr>
              <w:t>MEAN</w:t>
            </w:r>
          </w:p>
        </w:tc>
        <w:tc>
          <w:tcPr>
            <w:tcW w:w="862" w:type="dxa"/>
            <w:tcBorders>
              <w:top w:val="single" w:sz="18" w:space="0" w:color="000000"/>
              <w:bottom w:val="single" w:sz="18" w:space="0" w:color="000000"/>
            </w:tcBorders>
            <w:shd w:val="clear" w:color="000000" w:fill="FFFFFF"/>
            <w:noWrap/>
            <w:vAlign w:val="bottom"/>
          </w:tcPr>
          <w:p w:rsidR="00FD5242" w:rsidRPr="006560C1" w:rsidRDefault="00FD5242" w:rsidP="00562284">
            <w:pPr>
              <w:spacing w:after="0" w:line="240" w:lineRule="auto"/>
              <w:rPr>
                <w:b/>
                <w:color w:val="000000"/>
                <w:sz w:val="18"/>
                <w:szCs w:val="18"/>
                <w:lang w:eastAsia="el-GR"/>
              </w:rPr>
            </w:pPr>
            <w:r w:rsidRPr="006560C1">
              <w:rPr>
                <w:b/>
                <w:color w:val="000000"/>
                <w:sz w:val="18"/>
                <w:szCs w:val="18"/>
                <w:lang w:eastAsia="el-GR"/>
              </w:rPr>
              <w:t>MEDIAN</w:t>
            </w:r>
          </w:p>
        </w:tc>
        <w:tc>
          <w:tcPr>
            <w:tcW w:w="756" w:type="dxa"/>
            <w:tcBorders>
              <w:top w:val="single" w:sz="18" w:space="0" w:color="000000"/>
              <w:bottom w:val="single" w:sz="18" w:space="0" w:color="000000"/>
            </w:tcBorders>
            <w:shd w:val="clear" w:color="000000" w:fill="FFFFFF"/>
            <w:noWrap/>
            <w:vAlign w:val="bottom"/>
          </w:tcPr>
          <w:p w:rsidR="00FD5242" w:rsidRPr="006560C1" w:rsidRDefault="00FD5242" w:rsidP="00562284">
            <w:pPr>
              <w:spacing w:after="0" w:line="240" w:lineRule="auto"/>
              <w:rPr>
                <w:b/>
                <w:color w:val="000000"/>
                <w:sz w:val="18"/>
                <w:szCs w:val="18"/>
                <w:lang w:eastAsia="el-GR"/>
              </w:rPr>
            </w:pPr>
            <w:r w:rsidRPr="006560C1">
              <w:rPr>
                <w:b/>
                <w:color w:val="000000"/>
                <w:sz w:val="18"/>
                <w:szCs w:val="18"/>
                <w:lang w:eastAsia="el-GR"/>
              </w:rPr>
              <w:t>ST.DEV</w:t>
            </w:r>
          </w:p>
        </w:tc>
        <w:tc>
          <w:tcPr>
            <w:tcW w:w="611" w:type="dxa"/>
            <w:tcBorders>
              <w:top w:val="single" w:sz="18" w:space="0" w:color="000000"/>
              <w:bottom w:val="single" w:sz="18" w:space="0" w:color="000000"/>
            </w:tcBorders>
            <w:shd w:val="clear" w:color="000000" w:fill="FFFFFF"/>
            <w:noWrap/>
            <w:vAlign w:val="bottom"/>
          </w:tcPr>
          <w:p w:rsidR="00FD5242" w:rsidRPr="006560C1" w:rsidRDefault="00FD5242" w:rsidP="00562284">
            <w:pPr>
              <w:spacing w:after="0" w:line="240" w:lineRule="auto"/>
              <w:rPr>
                <w:b/>
                <w:color w:val="000000"/>
                <w:sz w:val="18"/>
                <w:szCs w:val="18"/>
                <w:lang w:eastAsia="el-GR"/>
              </w:rPr>
            </w:pPr>
            <w:r w:rsidRPr="006560C1">
              <w:rPr>
                <w:b/>
                <w:color w:val="000000"/>
                <w:sz w:val="18"/>
                <w:szCs w:val="18"/>
                <w:lang w:eastAsia="el-GR"/>
              </w:rPr>
              <w:t>MIN</w:t>
            </w:r>
          </w:p>
        </w:tc>
        <w:tc>
          <w:tcPr>
            <w:tcW w:w="693" w:type="dxa"/>
            <w:tcBorders>
              <w:top w:val="single" w:sz="18" w:space="0" w:color="000000"/>
              <w:bottom w:val="single" w:sz="18" w:space="0" w:color="000000"/>
              <w:right w:val="single" w:sz="18" w:space="0" w:color="000000"/>
            </w:tcBorders>
            <w:shd w:val="clear" w:color="000000" w:fill="FFFFFF"/>
            <w:noWrap/>
            <w:vAlign w:val="bottom"/>
          </w:tcPr>
          <w:p w:rsidR="00FD5242" w:rsidRPr="006560C1" w:rsidRDefault="00FD5242" w:rsidP="00562284">
            <w:pPr>
              <w:spacing w:after="0" w:line="240" w:lineRule="auto"/>
              <w:rPr>
                <w:b/>
                <w:color w:val="000000"/>
                <w:sz w:val="18"/>
                <w:szCs w:val="18"/>
                <w:lang w:eastAsia="el-GR"/>
              </w:rPr>
            </w:pPr>
            <w:r w:rsidRPr="006560C1">
              <w:rPr>
                <w:b/>
                <w:color w:val="000000"/>
                <w:sz w:val="18"/>
                <w:szCs w:val="18"/>
                <w:lang w:eastAsia="el-GR"/>
              </w:rPr>
              <w:t>MAX</w:t>
            </w:r>
          </w:p>
        </w:tc>
        <w:tc>
          <w:tcPr>
            <w:tcW w:w="698" w:type="dxa"/>
            <w:tcBorders>
              <w:top w:val="single" w:sz="18" w:space="0" w:color="000000"/>
              <w:left w:val="single" w:sz="18" w:space="0" w:color="000000"/>
              <w:bottom w:val="single" w:sz="18" w:space="0" w:color="000000"/>
            </w:tcBorders>
            <w:shd w:val="clear" w:color="000000" w:fill="FFFFFF"/>
            <w:noWrap/>
            <w:vAlign w:val="bottom"/>
          </w:tcPr>
          <w:p w:rsidR="00FD5242" w:rsidRPr="006560C1" w:rsidRDefault="00FD5242" w:rsidP="00562284">
            <w:pPr>
              <w:spacing w:after="0" w:line="240" w:lineRule="auto"/>
              <w:rPr>
                <w:b/>
                <w:color w:val="000000"/>
                <w:sz w:val="18"/>
                <w:szCs w:val="18"/>
                <w:lang w:eastAsia="el-GR"/>
              </w:rPr>
            </w:pPr>
            <w:r w:rsidRPr="006560C1">
              <w:rPr>
                <w:b/>
                <w:color w:val="000000"/>
                <w:sz w:val="18"/>
                <w:szCs w:val="18"/>
                <w:lang w:eastAsia="el-GR"/>
              </w:rPr>
              <w:t>MEAN</w:t>
            </w:r>
          </w:p>
        </w:tc>
        <w:tc>
          <w:tcPr>
            <w:tcW w:w="862" w:type="dxa"/>
            <w:tcBorders>
              <w:top w:val="single" w:sz="18" w:space="0" w:color="000000"/>
              <w:bottom w:val="single" w:sz="18" w:space="0" w:color="000000"/>
            </w:tcBorders>
            <w:shd w:val="clear" w:color="000000" w:fill="FFFFFF"/>
            <w:noWrap/>
            <w:vAlign w:val="bottom"/>
          </w:tcPr>
          <w:p w:rsidR="00FD5242" w:rsidRPr="006560C1" w:rsidRDefault="00FD5242" w:rsidP="00562284">
            <w:pPr>
              <w:spacing w:after="0" w:line="240" w:lineRule="auto"/>
              <w:rPr>
                <w:b/>
                <w:color w:val="000000"/>
                <w:sz w:val="18"/>
                <w:szCs w:val="18"/>
                <w:lang w:eastAsia="el-GR"/>
              </w:rPr>
            </w:pPr>
            <w:r w:rsidRPr="006560C1">
              <w:rPr>
                <w:b/>
                <w:color w:val="000000"/>
                <w:sz w:val="18"/>
                <w:szCs w:val="18"/>
                <w:lang w:eastAsia="el-GR"/>
              </w:rPr>
              <w:t>MEDIAN</w:t>
            </w:r>
          </w:p>
        </w:tc>
        <w:tc>
          <w:tcPr>
            <w:tcW w:w="756" w:type="dxa"/>
            <w:tcBorders>
              <w:top w:val="single" w:sz="18" w:space="0" w:color="000000"/>
              <w:bottom w:val="single" w:sz="18" w:space="0" w:color="000000"/>
            </w:tcBorders>
            <w:shd w:val="clear" w:color="000000" w:fill="FFFFFF"/>
            <w:noWrap/>
            <w:vAlign w:val="bottom"/>
          </w:tcPr>
          <w:p w:rsidR="00FD5242" w:rsidRPr="006560C1" w:rsidRDefault="00FD5242" w:rsidP="00562284">
            <w:pPr>
              <w:spacing w:after="0" w:line="240" w:lineRule="auto"/>
              <w:rPr>
                <w:b/>
                <w:color w:val="000000"/>
                <w:sz w:val="18"/>
                <w:szCs w:val="18"/>
                <w:lang w:eastAsia="el-GR"/>
              </w:rPr>
            </w:pPr>
            <w:r w:rsidRPr="006560C1">
              <w:rPr>
                <w:b/>
                <w:color w:val="000000"/>
                <w:sz w:val="18"/>
                <w:szCs w:val="18"/>
                <w:lang w:eastAsia="el-GR"/>
              </w:rPr>
              <w:t>ST.DEV</w:t>
            </w:r>
          </w:p>
        </w:tc>
        <w:tc>
          <w:tcPr>
            <w:tcW w:w="557" w:type="dxa"/>
            <w:tcBorders>
              <w:top w:val="single" w:sz="18" w:space="0" w:color="000000"/>
              <w:bottom w:val="single" w:sz="18" w:space="0" w:color="000000"/>
            </w:tcBorders>
            <w:shd w:val="clear" w:color="000000" w:fill="FFFFFF"/>
            <w:noWrap/>
            <w:vAlign w:val="bottom"/>
          </w:tcPr>
          <w:p w:rsidR="00FD5242" w:rsidRPr="006560C1" w:rsidRDefault="00FD5242" w:rsidP="00562284">
            <w:pPr>
              <w:spacing w:after="0" w:line="240" w:lineRule="auto"/>
              <w:rPr>
                <w:b/>
                <w:color w:val="000000"/>
                <w:sz w:val="18"/>
                <w:szCs w:val="18"/>
                <w:lang w:eastAsia="el-GR"/>
              </w:rPr>
            </w:pPr>
            <w:r w:rsidRPr="006560C1">
              <w:rPr>
                <w:b/>
                <w:color w:val="000000"/>
                <w:sz w:val="18"/>
                <w:szCs w:val="18"/>
                <w:lang w:eastAsia="el-GR"/>
              </w:rPr>
              <w:t>MIN</w:t>
            </w:r>
          </w:p>
        </w:tc>
        <w:tc>
          <w:tcPr>
            <w:tcW w:w="693" w:type="dxa"/>
            <w:tcBorders>
              <w:top w:val="single" w:sz="18" w:space="0" w:color="000000"/>
              <w:bottom w:val="single" w:sz="18" w:space="0" w:color="000000"/>
              <w:right w:val="single" w:sz="18" w:space="0" w:color="000000"/>
            </w:tcBorders>
            <w:shd w:val="clear" w:color="000000" w:fill="FFFFFF"/>
            <w:noWrap/>
            <w:vAlign w:val="bottom"/>
          </w:tcPr>
          <w:p w:rsidR="00FD5242" w:rsidRPr="006560C1" w:rsidRDefault="00FD5242" w:rsidP="00562284">
            <w:pPr>
              <w:spacing w:after="0" w:line="240" w:lineRule="auto"/>
              <w:rPr>
                <w:b/>
                <w:color w:val="000000"/>
                <w:sz w:val="18"/>
                <w:szCs w:val="18"/>
                <w:lang w:eastAsia="el-GR"/>
              </w:rPr>
            </w:pPr>
            <w:r w:rsidRPr="006560C1">
              <w:rPr>
                <w:b/>
                <w:color w:val="000000"/>
                <w:sz w:val="18"/>
                <w:szCs w:val="18"/>
                <w:lang w:eastAsia="el-GR"/>
              </w:rPr>
              <w:t>MAX</w:t>
            </w:r>
          </w:p>
        </w:tc>
      </w:tr>
      <w:tr w:rsidR="00FD5242" w:rsidRPr="008917E2" w:rsidTr="004F27AB">
        <w:trPr>
          <w:trHeight w:val="503"/>
        </w:trPr>
        <w:tc>
          <w:tcPr>
            <w:tcW w:w="968" w:type="dxa"/>
            <w:tcBorders>
              <w:top w:val="single" w:sz="18" w:space="0" w:color="000000"/>
              <w:left w:val="single" w:sz="18" w:space="0" w:color="000000"/>
              <w:right w:val="single" w:sz="18" w:space="0" w:color="000000"/>
            </w:tcBorders>
            <w:shd w:val="clear" w:color="000000" w:fill="FFFFFF"/>
            <w:noWrap/>
            <w:vAlign w:val="bottom"/>
          </w:tcPr>
          <w:p w:rsidR="00FD5242" w:rsidRPr="006560C1" w:rsidRDefault="00FD5242" w:rsidP="00562284">
            <w:pPr>
              <w:spacing w:after="0" w:line="240" w:lineRule="auto"/>
              <w:rPr>
                <w:rFonts w:ascii="Arial" w:hAnsi="Arial" w:cs="Arial"/>
                <w:b/>
                <w:bCs/>
                <w:sz w:val="18"/>
                <w:szCs w:val="18"/>
                <w:lang w:eastAsia="el-GR"/>
              </w:rPr>
            </w:pPr>
            <w:r w:rsidRPr="006560C1">
              <w:rPr>
                <w:rFonts w:ascii="Arial" w:hAnsi="Arial" w:cs="Arial"/>
                <w:b/>
                <w:bCs/>
                <w:sz w:val="18"/>
                <w:szCs w:val="18"/>
                <w:lang w:eastAsia="el-GR"/>
              </w:rPr>
              <w:t>EPS</w:t>
            </w:r>
          </w:p>
        </w:tc>
        <w:tc>
          <w:tcPr>
            <w:tcW w:w="698" w:type="dxa"/>
            <w:tcBorders>
              <w:top w:val="single" w:sz="18" w:space="0" w:color="000000"/>
              <w:left w:val="single" w:sz="18" w:space="0" w:color="000000"/>
            </w:tcBorders>
            <w:shd w:val="clear" w:color="000000" w:fill="FFFFFF"/>
            <w:noWrap/>
            <w:vAlign w:val="bottom"/>
          </w:tcPr>
          <w:p w:rsidR="00FD5242" w:rsidRPr="00562284" w:rsidRDefault="00FD5242" w:rsidP="00562284">
            <w:pPr>
              <w:spacing w:after="0" w:line="240" w:lineRule="auto"/>
              <w:jc w:val="right"/>
              <w:rPr>
                <w:color w:val="000000"/>
                <w:sz w:val="16"/>
                <w:szCs w:val="16"/>
                <w:lang w:eastAsia="el-GR"/>
              </w:rPr>
            </w:pPr>
            <w:r>
              <w:rPr>
                <w:color w:val="000000"/>
                <w:sz w:val="16"/>
                <w:szCs w:val="16"/>
                <w:lang w:val="en-US" w:eastAsia="el-GR"/>
              </w:rPr>
              <w:t>*</w:t>
            </w:r>
            <w:r w:rsidRPr="00562284">
              <w:rPr>
                <w:color w:val="000000"/>
                <w:sz w:val="16"/>
                <w:szCs w:val="16"/>
                <w:lang w:eastAsia="el-GR"/>
              </w:rPr>
              <w:t>1,70</w:t>
            </w:r>
          </w:p>
        </w:tc>
        <w:tc>
          <w:tcPr>
            <w:tcW w:w="862" w:type="dxa"/>
            <w:tcBorders>
              <w:top w:val="single" w:sz="18" w:space="0" w:color="000000"/>
            </w:tcBorders>
            <w:shd w:val="clear" w:color="000000" w:fill="FFFFFF"/>
            <w:noWrap/>
            <w:vAlign w:val="bottom"/>
          </w:tcPr>
          <w:p w:rsidR="00FD5242" w:rsidRPr="00562284" w:rsidRDefault="00FD5242" w:rsidP="00562284">
            <w:pPr>
              <w:spacing w:after="0" w:line="240" w:lineRule="auto"/>
              <w:jc w:val="right"/>
              <w:rPr>
                <w:color w:val="000000"/>
                <w:sz w:val="16"/>
                <w:szCs w:val="16"/>
                <w:lang w:eastAsia="el-GR"/>
              </w:rPr>
            </w:pPr>
            <w:r w:rsidRPr="00562284">
              <w:rPr>
                <w:color w:val="000000"/>
                <w:sz w:val="16"/>
                <w:szCs w:val="16"/>
                <w:lang w:eastAsia="el-GR"/>
              </w:rPr>
              <w:t>1,13</w:t>
            </w:r>
          </w:p>
        </w:tc>
        <w:tc>
          <w:tcPr>
            <w:tcW w:w="756" w:type="dxa"/>
            <w:tcBorders>
              <w:top w:val="single" w:sz="18" w:space="0" w:color="000000"/>
            </w:tcBorders>
            <w:shd w:val="clear" w:color="000000" w:fill="FFFFFF"/>
            <w:noWrap/>
            <w:vAlign w:val="bottom"/>
          </w:tcPr>
          <w:p w:rsidR="00FD5242" w:rsidRPr="00562284" w:rsidRDefault="00FD5242" w:rsidP="00562284">
            <w:pPr>
              <w:spacing w:after="0" w:line="240" w:lineRule="auto"/>
              <w:jc w:val="right"/>
              <w:rPr>
                <w:color w:val="000000"/>
                <w:sz w:val="16"/>
                <w:szCs w:val="16"/>
                <w:lang w:eastAsia="el-GR"/>
              </w:rPr>
            </w:pPr>
            <w:r w:rsidRPr="00562284">
              <w:rPr>
                <w:color w:val="000000"/>
                <w:sz w:val="16"/>
                <w:szCs w:val="16"/>
                <w:lang w:eastAsia="el-GR"/>
              </w:rPr>
              <w:t>2,13</w:t>
            </w:r>
          </w:p>
        </w:tc>
        <w:tc>
          <w:tcPr>
            <w:tcW w:w="611" w:type="dxa"/>
            <w:tcBorders>
              <w:top w:val="single" w:sz="18" w:space="0" w:color="000000"/>
            </w:tcBorders>
            <w:shd w:val="clear" w:color="000000" w:fill="FFFFFF"/>
            <w:noWrap/>
            <w:vAlign w:val="bottom"/>
          </w:tcPr>
          <w:p w:rsidR="00FD5242" w:rsidRPr="00562284" w:rsidRDefault="00FD5242" w:rsidP="00562284">
            <w:pPr>
              <w:spacing w:after="0" w:line="240" w:lineRule="auto"/>
              <w:jc w:val="right"/>
              <w:rPr>
                <w:color w:val="000000"/>
                <w:sz w:val="16"/>
                <w:szCs w:val="16"/>
                <w:lang w:eastAsia="el-GR"/>
              </w:rPr>
            </w:pPr>
            <w:r w:rsidRPr="00562284">
              <w:rPr>
                <w:color w:val="000000"/>
                <w:sz w:val="16"/>
                <w:szCs w:val="16"/>
                <w:lang w:eastAsia="el-GR"/>
              </w:rPr>
              <w:t>-2,15</w:t>
            </w:r>
          </w:p>
        </w:tc>
        <w:tc>
          <w:tcPr>
            <w:tcW w:w="693" w:type="dxa"/>
            <w:tcBorders>
              <w:top w:val="single" w:sz="18" w:space="0" w:color="000000"/>
              <w:right w:val="single" w:sz="18" w:space="0" w:color="000000"/>
            </w:tcBorders>
            <w:shd w:val="clear" w:color="000000" w:fill="FFFFFF"/>
            <w:noWrap/>
            <w:vAlign w:val="bottom"/>
          </w:tcPr>
          <w:p w:rsidR="00FD5242" w:rsidRPr="00562284" w:rsidRDefault="00FD5242" w:rsidP="00562284">
            <w:pPr>
              <w:spacing w:after="0" w:line="240" w:lineRule="auto"/>
              <w:jc w:val="right"/>
              <w:rPr>
                <w:color w:val="000000"/>
                <w:sz w:val="16"/>
                <w:szCs w:val="16"/>
                <w:lang w:eastAsia="el-GR"/>
              </w:rPr>
            </w:pPr>
            <w:r w:rsidRPr="00562284">
              <w:rPr>
                <w:color w:val="000000"/>
                <w:sz w:val="16"/>
                <w:szCs w:val="16"/>
                <w:lang w:eastAsia="el-GR"/>
              </w:rPr>
              <w:t>10,89</w:t>
            </w:r>
          </w:p>
        </w:tc>
        <w:tc>
          <w:tcPr>
            <w:tcW w:w="698" w:type="dxa"/>
            <w:tcBorders>
              <w:top w:val="single" w:sz="18" w:space="0" w:color="000000"/>
              <w:left w:val="single" w:sz="18" w:space="0" w:color="000000"/>
            </w:tcBorders>
            <w:shd w:val="clear" w:color="000000" w:fill="FFFFFF"/>
            <w:noWrap/>
            <w:vAlign w:val="bottom"/>
          </w:tcPr>
          <w:p w:rsidR="00FD5242" w:rsidRPr="00562284" w:rsidRDefault="00FD5242" w:rsidP="00562284">
            <w:pPr>
              <w:spacing w:after="0" w:line="240" w:lineRule="auto"/>
              <w:jc w:val="right"/>
              <w:rPr>
                <w:color w:val="000000"/>
                <w:sz w:val="16"/>
                <w:szCs w:val="16"/>
                <w:lang w:eastAsia="el-GR"/>
              </w:rPr>
            </w:pPr>
            <w:r>
              <w:rPr>
                <w:color w:val="000000"/>
                <w:sz w:val="16"/>
                <w:szCs w:val="16"/>
                <w:lang w:val="en-US" w:eastAsia="el-GR"/>
              </w:rPr>
              <w:t>*</w:t>
            </w:r>
            <w:r w:rsidRPr="00562284">
              <w:rPr>
                <w:color w:val="000000"/>
                <w:sz w:val="16"/>
                <w:szCs w:val="16"/>
                <w:lang w:eastAsia="el-GR"/>
              </w:rPr>
              <w:t>0,39</w:t>
            </w:r>
          </w:p>
        </w:tc>
        <w:tc>
          <w:tcPr>
            <w:tcW w:w="862" w:type="dxa"/>
            <w:tcBorders>
              <w:top w:val="single" w:sz="18" w:space="0" w:color="000000"/>
            </w:tcBorders>
            <w:shd w:val="clear" w:color="000000" w:fill="FFFFFF"/>
            <w:noWrap/>
            <w:vAlign w:val="bottom"/>
          </w:tcPr>
          <w:p w:rsidR="00FD5242" w:rsidRPr="00562284" w:rsidRDefault="00FD5242" w:rsidP="00562284">
            <w:pPr>
              <w:spacing w:after="0" w:line="240" w:lineRule="auto"/>
              <w:jc w:val="right"/>
              <w:rPr>
                <w:color w:val="000000"/>
                <w:sz w:val="16"/>
                <w:szCs w:val="16"/>
                <w:lang w:eastAsia="el-GR"/>
              </w:rPr>
            </w:pPr>
            <w:r w:rsidRPr="00562284">
              <w:rPr>
                <w:color w:val="000000"/>
                <w:sz w:val="16"/>
                <w:szCs w:val="16"/>
                <w:lang w:eastAsia="el-GR"/>
              </w:rPr>
              <w:t>0,77</w:t>
            </w:r>
          </w:p>
        </w:tc>
        <w:tc>
          <w:tcPr>
            <w:tcW w:w="756" w:type="dxa"/>
            <w:tcBorders>
              <w:top w:val="single" w:sz="18" w:space="0" w:color="000000"/>
            </w:tcBorders>
            <w:shd w:val="clear" w:color="000000" w:fill="FFFFFF"/>
            <w:noWrap/>
            <w:vAlign w:val="bottom"/>
          </w:tcPr>
          <w:p w:rsidR="00FD5242" w:rsidRPr="00562284" w:rsidRDefault="00FD5242" w:rsidP="00562284">
            <w:pPr>
              <w:spacing w:after="0" w:line="240" w:lineRule="auto"/>
              <w:jc w:val="right"/>
              <w:rPr>
                <w:color w:val="000000"/>
                <w:sz w:val="16"/>
                <w:szCs w:val="16"/>
                <w:lang w:eastAsia="el-GR"/>
              </w:rPr>
            </w:pPr>
            <w:r w:rsidRPr="00562284">
              <w:rPr>
                <w:color w:val="000000"/>
                <w:sz w:val="16"/>
                <w:szCs w:val="16"/>
                <w:lang w:eastAsia="el-GR"/>
              </w:rPr>
              <w:t>2,21</w:t>
            </w:r>
          </w:p>
        </w:tc>
        <w:tc>
          <w:tcPr>
            <w:tcW w:w="557" w:type="dxa"/>
            <w:tcBorders>
              <w:top w:val="single" w:sz="18" w:space="0" w:color="000000"/>
            </w:tcBorders>
            <w:shd w:val="clear" w:color="000000" w:fill="FFFFFF"/>
            <w:noWrap/>
            <w:vAlign w:val="bottom"/>
          </w:tcPr>
          <w:p w:rsidR="00FD5242" w:rsidRPr="00562284" w:rsidRDefault="00FD5242" w:rsidP="00562284">
            <w:pPr>
              <w:spacing w:after="0" w:line="240" w:lineRule="auto"/>
              <w:jc w:val="right"/>
              <w:rPr>
                <w:color w:val="000000"/>
                <w:sz w:val="16"/>
                <w:szCs w:val="16"/>
                <w:lang w:eastAsia="el-GR"/>
              </w:rPr>
            </w:pPr>
            <w:r w:rsidRPr="00562284">
              <w:rPr>
                <w:color w:val="000000"/>
                <w:sz w:val="16"/>
                <w:szCs w:val="16"/>
                <w:lang w:eastAsia="el-GR"/>
              </w:rPr>
              <w:t>-9,43</w:t>
            </w:r>
          </w:p>
        </w:tc>
        <w:tc>
          <w:tcPr>
            <w:tcW w:w="693" w:type="dxa"/>
            <w:tcBorders>
              <w:top w:val="single" w:sz="18" w:space="0" w:color="000000"/>
              <w:right w:val="single" w:sz="18" w:space="0" w:color="000000"/>
            </w:tcBorders>
            <w:shd w:val="clear" w:color="000000" w:fill="FFFFFF"/>
            <w:noWrap/>
            <w:vAlign w:val="bottom"/>
          </w:tcPr>
          <w:p w:rsidR="00FD5242" w:rsidRPr="00562284" w:rsidRDefault="00FD5242" w:rsidP="00562284">
            <w:pPr>
              <w:spacing w:after="0" w:line="240" w:lineRule="auto"/>
              <w:jc w:val="right"/>
              <w:rPr>
                <w:color w:val="000000"/>
                <w:sz w:val="16"/>
                <w:szCs w:val="16"/>
                <w:lang w:eastAsia="el-GR"/>
              </w:rPr>
            </w:pPr>
            <w:r w:rsidRPr="00562284">
              <w:rPr>
                <w:color w:val="000000"/>
                <w:sz w:val="16"/>
                <w:szCs w:val="16"/>
                <w:lang w:eastAsia="el-GR"/>
              </w:rPr>
              <w:t>4,63</w:t>
            </w:r>
          </w:p>
        </w:tc>
      </w:tr>
      <w:tr w:rsidR="00FD5242" w:rsidRPr="008917E2" w:rsidTr="004F27AB">
        <w:trPr>
          <w:trHeight w:val="503"/>
        </w:trPr>
        <w:tc>
          <w:tcPr>
            <w:tcW w:w="968" w:type="dxa"/>
            <w:tcBorders>
              <w:left w:val="single" w:sz="18" w:space="0" w:color="000000"/>
              <w:right w:val="single" w:sz="18" w:space="0" w:color="000000"/>
            </w:tcBorders>
            <w:shd w:val="clear" w:color="000000" w:fill="FFFFFF"/>
            <w:noWrap/>
            <w:vAlign w:val="bottom"/>
          </w:tcPr>
          <w:p w:rsidR="00FD5242" w:rsidRPr="006560C1" w:rsidRDefault="00FD5242" w:rsidP="00562284">
            <w:pPr>
              <w:spacing w:after="0" w:line="240" w:lineRule="auto"/>
              <w:rPr>
                <w:b/>
                <w:bCs/>
                <w:color w:val="000000"/>
                <w:sz w:val="18"/>
                <w:szCs w:val="18"/>
                <w:lang w:val="en-US" w:eastAsia="el-GR"/>
              </w:rPr>
            </w:pPr>
            <w:r w:rsidRPr="006560C1">
              <w:rPr>
                <w:b/>
                <w:bCs/>
                <w:sz w:val="18"/>
                <w:szCs w:val="18"/>
                <w:lang w:val="en-US"/>
              </w:rPr>
              <w:t>X</w:t>
            </w:r>
            <w:r w:rsidRPr="006560C1">
              <w:rPr>
                <w:b/>
                <w:bCs/>
                <w:sz w:val="18"/>
                <w:szCs w:val="18"/>
                <w:vertAlign w:val="subscript"/>
                <w:lang w:val="en-US"/>
              </w:rPr>
              <w:t>it</w:t>
            </w:r>
            <w:r w:rsidRPr="006560C1">
              <w:rPr>
                <w:b/>
                <w:bCs/>
                <w:sz w:val="18"/>
                <w:szCs w:val="18"/>
                <w:lang w:val="en-US"/>
              </w:rPr>
              <w:t>/P</w:t>
            </w:r>
            <w:r w:rsidRPr="006560C1">
              <w:rPr>
                <w:b/>
                <w:bCs/>
                <w:sz w:val="18"/>
                <w:szCs w:val="18"/>
                <w:vertAlign w:val="subscript"/>
                <w:lang w:val="en-US"/>
              </w:rPr>
              <w:t>it-1</w:t>
            </w:r>
          </w:p>
        </w:tc>
        <w:tc>
          <w:tcPr>
            <w:tcW w:w="698" w:type="dxa"/>
            <w:tcBorders>
              <w:left w:val="single" w:sz="18" w:space="0" w:color="000000"/>
            </w:tcBorders>
            <w:shd w:val="clear" w:color="000000" w:fill="FFFFFF"/>
            <w:noWrap/>
            <w:vAlign w:val="bottom"/>
          </w:tcPr>
          <w:p w:rsidR="00FD5242" w:rsidRPr="00562284" w:rsidRDefault="00FD5242" w:rsidP="00562284">
            <w:pPr>
              <w:spacing w:after="0" w:line="240" w:lineRule="auto"/>
              <w:jc w:val="right"/>
              <w:rPr>
                <w:color w:val="000000"/>
                <w:sz w:val="16"/>
                <w:szCs w:val="16"/>
                <w:lang w:eastAsia="el-GR"/>
              </w:rPr>
            </w:pPr>
            <w:r w:rsidRPr="00562284">
              <w:rPr>
                <w:color w:val="000000"/>
                <w:sz w:val="16"/>
                <w:szCs w:val="16"/>
                <w:lang w:eastAsia="el-GR"/>
              </w:rPr>
              <w:t>21,97</w:t>
            </w:r>
          </w:p>
        </w:tc>
        <w:tc>
          <w:tcPr>
            <w:tcW w:w="862" w:type="dxa"/>
            <w:shd w:val="clear" w:color="000000" w:fill="FFFFFF"/>
            <w:noWrap/>
            <w:vAlign w:val="bottom"/>
          </w:tcPr>
          <w:p w:rsidR="00FD5242" w:rsidRPr="00562284" w:rsidRDefault="00FD5242" w:rsidP="00562284">
            <w:pPr>
              <w:spacing w:after="0" w:line="240" w:lineRule="auto"/>
              <w:jc w:val="right"/>
              <w:rPr>
                <w:color w:val="000000"/>
                <w:sz w:val="16"/>
                <w:szCs w:val="16"/>
                <w:lang w:eastAsia="el-GR"/>
              </w:rPr>
            </w:pPr>
            <w:r w:rsidRPr="00562284">
              <w:rPr>
                <w:color w:val="000000"/>
                <w:sz w:val="16"/>
                <w:szCs w:val="16"/>
                <w:lang w:eastAsia="el-GR"/>
              </w:rPr>
              <w:t>15,07</w:t>
            </w:r>
          </w:p>
        </w:tc>
        <w:tc>
          <w:tcPr>
            <w:tcW w:w="756" w:type="dxa"/>
            <w:shd w:val="clear" w:color="000000" w:fill="FFFFFF"/>
            <w:noWrap/>
            <w:vAlign w:val="bottom"/>
          </w:tcPr>
          <w:p w:rsidR="00FD5242" w:rsidRPr="00562284" w:rsidRDefault="00FD5242" w:rsidP="00562284">
            <w:pPr>
              <w:spacing w:after="0" w:line="240" w:lineRule="auto"/>
              <w:jc w:val="right"/>
              <w:rPr>
                <w:color w:val="000000"/>
                <w:sz w:val="16"/>
                <w:szCs w:val="16"/>
                <w:lang w:eastAsia="el-GR"/>
              </w:rPr>
            </w:pPr>
            <w:r w:rsidRPr="00562284">
              <w:rPr>
                <w:color w:val="000000"/>
                <w:sz w:val="16"/>
                <w:szCs w:val="16"/>
                <w:lang w:eastAsia="el-GR"/>
              </w:rPr>
              <w:t>31,35</w:t>
            </w:r>
          </w:p>
        </w:tc>
        <w:tc>
          <w:tcPr>
            <w:tcW w:w="611" w:type="dxa"/>
            <w:shd w:val="clear" w:color="000000" w:fill="FFFFFF"/>
            <w:noWrap/>
            <w:vAlign w:val="bottom"/>
          </w:tcPr>
          <w:p w:rsidR="00FD5242" w:rsidRPr="00562284" w:rsidRDefault="00FD5242" w:rsidP="00562284">
            <w:pPr>
              <w:spacing w:after="0" w:line="240" w:lineRule="auto"/>
              <w:jc w:val="right"/>
              <w:rPr>
                <w:color w:val="000000"/>
                <w:sz w:val="16"/>
                <w:szCs w:val="16"/>
                <w:lang w:eastAsia="el-GR"/>
              </w:rPr>
            </w:pPr>
            <w:r w:rsidRPr="00562284">
              <w:rPr>
                <w:color w:val="000000"/>
                <w:sz w:val="16"/>
                <w:szCs w:val="16"/>
                <w:lang w:eastAsia="el-GR"/>
              </w:rPr>
              <w:t>0,45</w:t>
            </w:r>
          </w:p>
        </w:tc>
        <w:tc>
          <w:tcPr>
            <w:tcW w:w="693" w:type="dxa"/>
            <w:tcBorders>
              <w:right w:val="single" w:sz="18" w:space="0" w:color="000000"/>
            </w:tcBorders>
            <w:shd w:val="clear" w:color="000000" w:fill="FFFFFF"/>
            <w:noWrap/>
            <w:vAlign w:val="bottom"/>
          </w:tcPr>
          <w:p w:rsidR="00FD5242" w:rsidRPr="00562284" w:rsidRDefault="00FD5242" w:rsidP="00562284">
            <w:pPr>
              <w:spacing w:after="0" w:line="240" w:lineRule="auto"/>
              <w:jc w:val="right"/>
              <w:rPr>
                <w:color w:val="000000"/>
                <w:sz w:val="16"/>
                <w:szCs w:val="16"/>
                <w:lang w:eastAsia="el-GR"/>
              </w:rPr>
            </w:pPr>
            <w:r w:rsidRPr="00562284">
              <w:rPr>
                <w:color w:val="000000"/>
                <w:sz w:val="16"/>
                <w:szCs w:val="16"/>
                <w:lang w:eastAsia="el-GR"/>
              </w:rPr>
              <w:t>227,39</w:t>
            </w:r>
          </w:p>
        </w:tc>
        <w:tc>
          <w:tcPr>
            <w:tcW w:w="698" w:type="dxa"/>
            <w:tcBorders>
              <w:left w:val="single" w:sz="18" w:space="0" w:color="000000"/>
            </w:tcBorders>
            <w:shd w:val="clear" w:color="000000" w:fill="FFFFFF"/>
            <w:noWrap/>
            <w:vAlign w:val="bottom"/>
          </w:tcPr>
          <w:p w:rsidR="00FD5242" w:rsidRPr="00562284" w:rsidRDefault="00FD5242" w:rsidP="00562284">
            <w:pPr>
              <w:spacing w:after="0" w:line="240" w:lineRule="auto"/>
              <w:jc w:val="right"/>
              <w:rPr>
                <w:color w:val="000000"/>
                <w:sz w:val="16"/>
                <w:szCs w:val="16"/>
                <w:lang w:eastAsia="el-GR"/>
              </w:rPr>
            </w:pPr>
            <w:r w:rsidRPr="00562284">
              <w:rPr>
                <w:color w:val="000000"/>
                <w:sz w:val="16"/>
                <w:szCs w:val="16"/>
                <w:lang w:eastAsia="el-GR"/>
              </w:rPr>
              <w:t>19,71</w:t>
            </w:r>
          </w:p>
        </w:tc>
        <w:tc>
          <w:tcPr>
            <w:tcW w:w="862" w:type="dxa"/>
            <w:shd w:val="clear" w:color="000000" w:fill="FFFFFF"/>
            <w:noWrap/>
            <w:vAlign w:val="bottom"/>
          </w:tcPr>
          <w:p w:rsidR="00FD5242" w:rsidRPr="00562284" w:rsidRDefault="00FD5242" w:rsidP="00562284">
            <w:pPr>
              <w:spacing w:after="0" w:line="240" w:lineRule="auto"/>
              <w:jc w:val="right"/>
              <w:rPr>
                <w:color w:val="000000"/>
                <w:sz w:val="16"/>
                <w:szCs w:val="16"/>
                <w:lang w:eastAsia="el-GR"/>
              </w:rPr>
            </w:pPr>
            <w:r w:rsidRPr="00562284">
              <w:rPr>
                <w:color w:val="000000"/>
                <w:sz w:val="16"/>
                <w:szCs w:val="16"/>
                <w:lang w:eastAsia="el-GR"/>
              </w:rPr>
              <w:t>14,19</w:t>
            </w:r>
          </w:p>
        </w:tc>
        <w:tc>
          <w:tcPr>
            <w:tcW w:w="756" w:type="dxa"/>
            <w:shd w:val="clear" w:color="000000" w:fill="FFFFFF"/>
            <w:noWrap/>
            <w:vAlign w:val="bottom"/>
          </w:tcPr>
          <w:p w:rsidR="00FD5242" w:rsidRPr="00562284" w:rsidRDefault="00FD5242" w:rsidP="00562284">
            <w:pPr>
              <w:spacing w:after="0" w:line="240" w:lineRule="auto"/>
              <w:jc w:val="right"/>
              <w:rPr>
                <w:color w:val="000000"/>
                <w:sz w:val="16"/>
                <w:szCs w:val="16"/>
                <w:lang w:eastAsia="el-GR"/>
              </w:rPr>
            </w:pPr>
            <w:r w:rsidRPr="00562284">
              <w:rPr>
                <w:color w:val="000000"/>
                <w:sz w:val="16"/>
                <w:szCs w:val="16"/>
                <w:lang w:eastAsia="el-GR"/>
              </w:rPr>
              <w:t>24,57</w:t>
            </w:r>
          </w:p>
        </w:tc>
        <w:tc>
          <w:tcPr>
            <w:tcW w:w="557" w:type="dxa"/>
            <w:shd w:val="clear" w:color="000000" w:fill="FFFFFF"/>
            <w:noWrap/>
            <w:vAlign w:val="bottom"/>
          </w:tcPr>
          <w:p w:rsidR="00FD5242" w:rsidRPr="00562284" w:rsidRDefault="00FD5242" w:rsidP="00562284">
            <w:pPr>
              <w:spacing w:after="0" w:line="240" w:lineRule="auto"/>
              <w:jc w:val="right"/>
              <w:rPr>
                <w:color w:val="000000"/>
                <w:sz w:val="16"/>
                <w:szCs w:val="16"/>
                <w:lang w:eastAsia="el-GR"/>
              </w:rPr>
            </w:pPr>
            <w:r w:rsidRPr="00562284">
              <w:rPr>
                <w:color w:val="000000"/>
                <w:sz w:val="16"/>
                <w:szCs w:val="16"/>
                <w:lang w:eastAsia="el-GR"/>
              </w:rPr>
              <w:t>0,64</w:t>
            </w:r>
          </w:p>
        </w:tc>
        <w:tc>
          <w:tcPr>
            <w:tcW w:w="693" w:type="dxa"/>
            <w:tcBorders>
              <w:right w:val="single" w:sz="18" w:space="0" w:color="000000"/>
            </w:tcBorders>
            <w:shd w:val="clear" w:color="000000" w:fill="FFFFFF"/>
            <w:noWrap/>
            <w:vAlign w:val="bottom"/>
          </w:tcPr>
          <w:p w:rsidR="00FD5242" w:rsidRPr="00562284" w:rsidRDefault="00FD5242" w:rsidP="00562284">
            <w:pPr>
              <w:spacing w:after="0" w:line="240" w:lineRule="auto"/>
              <w:jc w:val="right"/>
              <w:rPr>
                <w:color w:val="000000"/>
                <w:sz w:val="16"/>
                <w:szCs w:val="16"/>
                <w:lang w:eastAsia="el-GR"/>
              </w:rPr>
            </w:pPr>
            <w:r w:rsidRPr="00562284">
              <w:rPr>
                <w:color w:val="000000"/>
                <w:sz w:val="16"/>
                <w:szCs w:val="16"/>
                <w:lang w:eastAsia="el-GR"/>
              </w:rPr>
              <w:t>227,39</w:t>
            </w:r>
          </w:p>
        </w:tc>
      </w:tr>
      <w:tr w:rsidR="00FD5242" w:rsidRPr="008917E2" w:rsidTr="004F27AB">
        <w:trPr>
          <w:trHeight w:val="503"/>
        </w:trPr>
        <w:tc>
          <w:tcPr>
            <w:tcW w:w="968" w:type="dxa"/>
            <w:tcBorders>
              <w:left w:val="single" w:sz="18" w:space="0" w:color="000000"/>
              <w:right w:val="single" w:sz="18" w:space="0" w:color="000000"/>
            </w:tcBorders>
            <w:shd w:val="clear" w:color="000000" w:fill="FFFFFF"/>
            <w:noWrap/>
            <w:vAlign w:val="bottom"/>
          </w:tcPr>
          <w:p w:rsidR="00FD5242" w:rsidRPr="006560C1" w:rsidRDefault="00FD5242" w:rsidP="00562284">
            <w:pPr>
              <w:spacing w:after="0" w:line="240" w:lineRule="auto"/>
              <w:rPr>
                <w:rFonts w:ascii="Arial" w:hAnsi="Arial" w:cs="Arial"/>
                <w:b/>
                <w:bCs/>
                <w:sz w:val="18"/>
                <w:szCs w:val="18"/>
                <w:lang w:val="en-US" w:eastAsia="el-GR"/>
              </w:rPr>
            </w:pPr>
            <w:r w:rsidRPr="006560C1">
              <w:rPr>
                <w:rFonts w:ascii="Arial" w:hAnsi="Arial" w:cs="Arial"/>
                <w:b/>
                <w:bCs/>
                <w:sz w:val="18"/>
                <w:szCs w:val="18"/>
                <w:lang w:eastAsia="el-GR"/>
              </w:rPr>
              <w:t>R</w:t>
            </w:r>
            <w:r w:rsidRPr="006560C1">
              <w:rPr>
                <w:rFonts w:ascii="Arial" w:hAnsi="Arial" w:cs="Arial"/>
                <w:b/>
                <w:bCs/>
                <w:sz w:val="18"/>
                <w:szCs w:val="18"/>
                <w:lang w:val="en-US" w:eastAsia="el-GR"/>
              </w:rPr>
              <w:t>it</w:t>
            </w:r>
          </w:p>
        </w:tc>
        <w:tc>
          <w:tcPr>
            <w:tcW w:w="698" w:type="dxa"/>
            <w:tcBorders>
              <w:left w:val="single" w:sz="18" w:space="0" w:color="000000"/>
            </w:tcBorders>
            <w:shd w:val="clear" w:color="000000" w:fill="FFFFFF"/>
            <w:noWrap/>
            <w:vAlign w:val="bottom"/>
          </w:tcPr>
          <w:p w:rsidR="00FD5242" w:rsidRPr="00562284" w:rsidRDefault="00FD5242" w:rsidP="00562284">
            <w:pPr>
              <w:spacing w:after="0" w:line="240" w:lineRule="auto"/>
              <w:jc w:val="right"/>
              <w:rPr>
                <w:color w:val="000000"/>
                <w:sz w:val="16"/>
                <w:szCs w:val="16"/>
                <w:lang w:eastAsia="el-GR"/>
              </w:rPr>
            </w:pPr>
            <w:r>
              <w:rPr>
                <w:color w:val="000000"/>
                <w:sz w:val="16"/>
                <w:szCs w:val="16"/>
                <w:lang w:val="en-US" w:eastAsia="el-GR"/>
              </w:rPr>
              <w:t>*</w:t>
            </w:r>
            <w:r w:rsidRPr="00562284">
              <w:rPr>
                <w:color w:val="000000"/>
                <w:sz w:val="16"/>
                <w:szCs w:val="16"/>
                <w:lang w:eastAsia="el-GR"/>
              </w:rPr>
              <w:t>19,34</w:t>
            </w:r>
          </w:p>
        </w:tc>
        <w:tc>
          <w:tcPr>
            <w:tcW w:w="862" w:type="dxa"/>
            <w:shd w:val="clear" w:color="000000" w:fill="FFFFFF"/>
            <w:noWrap/>
            <w:vAlign w:val="bottom"/>
          </w:tcPr>
          <w:p w:rsidR="00FD5242" w:rsidRPr="00562284" w:rsidRDefault="00FD5242" w:rsidP="00562284">
            <w:pPr>
              <w:spacing w:after="0" w:line="240" w:lineRule="auto"/>
              <w:jc w:val="right"/>
              <w:rPr>
                <w:color w:val="000000"/>
                <w:sz w:val="16"/>
                <w:szCs w:val="16"/>
                <w:lang w:eastAsia="el-GR"/>
              </w:rPr>
            </w:pPr>
            <w:r w:rsidRPr="00562284">
              <w:rPr>
                <w:color w:val="000000"/>
                <w:sz w:val="16"/>
                <w:szCs w:val="16"/>
                <w:lang w:eastAsia="el-GR"/>
              </w:rPr>
              <w:t>19,17</w:t>
            </w:r>
          </w:p>
        </w:tc>
        <w:tc>
          <w:tcPr>
            <w:tcW w:w="756" w:type="dxa"/>
            <w:shd w:val="clear" w:color="000000" w:fill="FFFFFF"/>
            <w:noWrap/>
            <w:vAlign w:val="bottom"/>
          </w:tcPr>
          <w:p w:rsidR="00FD5242" w:rsidRPr="00562284" w:rsidRDefault="00FD5242" w:rsidP="00562284">
            <w:pPr>
              <w:spacing w:after="0" w:line="240" w:lineRule="auto"/>
              <w:jc w:val="right"/>
              <w:rPr>
                <w:color w:val="000000"/>
                <w:sz w:val="16"/>
                <w:szCs w:val="16"/>
                <w:lang w:eastAsia="el-GR"/>
              </w:rPr>
            </w:pPr>
            <w:r w:rsidRPr="00562284">
              <w:rPr>
                <w:color w:val="000000"/>
                <w:sz w:val="16"/>
                <w:szCs w:val="16"/>
                <w:lang w:eastAsia="el-GR"/>
              </w:rPr>
              <w:t>16,77</w:t>
            </w:r>
          </w:p>
        </w:tc>
        <w:tc>
          <w:tcPr>
            <w:tcW w:w="611" w:type="dxa"/>
            <w:shd w:val="clear" w:color="000000" w:fill="FFFFFF"/>
            <w:noWrap/>
            <w:vAlign w:val="bottom"/>
          </w:tcPr>
          <w:p w:rsidR="00FD5242" w:rsidRPr="00562284" w:rsidRDefault="00FD5242" w:rsidP="00562284">
            <w:pPr>
              <w:spacing w:after="0" w:line="240" w:lineRule="auto"/>
              <w:jc w:val="right"/>
              <w:rPr>
                <w:color w:val="000000"/>
                <w:sz w:val="16"/>
                <w:szCs w:val="16"/>
                <w:lang w:eastAsia="el-GR"/>
              </w:rPr>
            </w:pPr>
            <w:r w:rsidRPr="00562284">
              <w:rPr>
                <w:color w:val="000000"/>
                <w:sz w:val="16"/>
                <w:szCs w:val="16"/>
                <w:lang w:eastAsia="el-GR"/>
              </w:rPr>
              <w:t>-62,14</w:t>
            </w:r>
          </w:p>
        </w:tc>
        <w:tc>
          <w:tcPr>
            <w:tcW w:w="693" w:type="dxa"/>
            <w:tcBorders>
              <w:right w:val="single" w:sz="18" w:space="0" w:color="000000"/>
            </w:tcBorders>
            <w:shd w:val="clear" w:color="000000" w:fill="FFFFFF"/>
            <w:noWrap/>
            <w:vAlign w:val="bottom"/>
          </w:tcPr>
          <w:p w:rsidR="00FD5242" w:rsidRPr="00562284" w:rsidRDefault="00FD5242" w:rsidP="00562284">
            <w:pPr>
              <w:spacing w:after="0" w:line="240" w:lineRule="auto"/>
              <w:jc w:val="right"/>
              <w:rPr>
                <w:color w:val="000000"/>
                <w:sz w:val="16"/>
                <w:szCs w:val="16"/>
                <w:lang w:eastAsia="el-GR"/>
              </w:rPr>
            </w:pPr>
            <w:r w:rsidRPr="00562284">
              <w:rPr>
                <w:color w:val="000000"/>
                <w:sz w:val="16"/>
                <w:szCs w:val="16"/>
                <w:lang w:eastAsia="el-GR"/>
              </w:rPr>
              <w:t>67,60</w:t>
            </w:r>
          </w:p>
        </w:tc>
        <w:tc>
          <w:tcPr>
            <w:tcW w:w="698" w:type="dxa"/>
            <w:tcBorders>
              <w:left w:val="single" w:sz="18" w:space="0" w:color="000000"/>
            </w:tcBorders>
            <w:shd w:val="clear" w:color="000000" w:fill="FFFFFF"/>
            <w:noWrap/>
            <w:vAlign w:val="bottom"/>
          </w:tcPr>
          <w:p w:rsidR="00FD5242" w:rsidRPr="00562284" w:rsidRDefault="00FD5242" w:rsidP="00562284">
            <w:pPr>
              <w:spacing w:after="0" w:line="240" w:lineRule="auto"/>
              <w:jc w:val="right"/>
              <w:rPr>
                <w:color w:val="000000"/>
                <w:sz w:val="16"/>
                <w:szCs w:val="16"/>
                <w:lang w:eastAsia="el-GR"/>
              </w:rPr>
            </w:pPr>
            <w:r>
              <w:rPr>
                <w:color w:val="000000"/>
                <w:sz w:val="16"/>
                <w:szCs w:val="16"/>
                <w:lang w:val="en-US" w:eastAsia="el-GR"/>
              </w:rPr>
              <w:t>*</w:t>
            </w:r>
            <w:r w:rsidRPr="00562284">
              <w:rPr>
                <w:color w:val="000000"/>
                <w:sz w:val="16"/>
                <w:szCs w:val="16"/>
                <w:lang w:eastAsia="el-GR"/>
              </w:rPr>
              <w:t>0,21</w:t>
            </w:r>
          </w:p>
        </w:tc>
        <w:tc>
          <w:tcPr>
            <w:tcW w:w="862" w:type="dxa"/>
            <w:shd w:val="clear" w:color="000000" w:fill="FFFFFF"/>
            <w:noWrap/>
            <w:vAlign w:val="bottom"/>
          </w:tcPr>
          <w:p w:rsidR="00FD5242" w:rsidRPr="00562284" w:rsidRDefault="00FD5242" w:rsidP="00562284">
            <w:pPr>
              <w:spacing w:after="0" w:line="240" w:lineRule="auto"/>
              <w:jc w:val="right"/>
              <w:rPr>
                <w:color w:val="000000"/>
                <w:sz w:val="16"/>
                <w:szCs w:val="16"/>
                <w:lang w:eastAsia="el-GR"/>
              </w:rPr>
            </w:pPr>
            <w:r w:rsidRPr="00562284">
              <w:rPr>
                <w:color w:val="000000"/>
                <w:sz w:val="16"/>
                <w:szCs w:val="16"/>
                <w:lang w:eastAsia="el-GR"/>
              </w:rPr>
              <w:t>12,37</w:t>
            </w:r>
          </w:p>
        </w:tc>
        <w:tc>
          <w:tcPr>
            <w:tcW w:w="756" w:type="dxa"/>
            <w:shd w:val="clear" w:color="000000" w:fill="FFFFFF"/>
            <w:noWrap/>
            <w:vAlign w:val="bottom"/>
          </w:tcPr>
          <w:p w:rsidR="00FD5242" w:rsidRPr="00562284" w:rsidRDefault="00FD5242" w:rsidP="00562284">
            <w:pPr>
              <w:spacing w:after="0" w:line="240" w:lineRule="auto"/>
              <w:jc w:val="right"/>
              <w:rPr>
                <w:color w:val="000000"/>
                <w:sz w:val="16"/>
                <w:szCs w:val="16"/>
                <w:lang w:eastAsia="el-GR"/>
              </w:rPr>
            </w:pPr>
            <w:r w:rsidRPr="00562284">
              <w:rPr>
                <w:color w:val="000000"/>
                <w:sz w:val="16"/>
                <w:szCs w:val="16"/>
                <w:lang w:eastAsia="el-GR"/>
              </w:rPr>
              <w:t>46,91</w:t>
            </w:r>
          </w:p>
        </w:tc>
        <w:tc>
          <w:tcPr>
            <w:tcW w:w="557" w:type="dxa"/>
            <w:shd w:val="clear" w:color="000000" w:fill="FFFFFF"/>
            <w:noWrap/>
            <w:vAlign w:val="bottom"/>
          </w:tcPr>
          <w:p w:rsidR="00FD5242" w:rsidRPr="00562284" w:rsidRDefault="00FD5242" w:rsidP="00562284">
            <w:pPr>
              <w:spacing w:after="0" w:line="240" w:lineRule="auto"/>
              <w:jc w:val="center"/>
              <w:rPr>
                <w:color w:val="000000"/>
                <w:sz w:val="16"/>
                <w:szCs w:val="16"/>
                <w:lang w:val="en-US" w:eastAsia="el-GR"/>
              </w:rPr>
            </w:pPr>
            <w:r w:rsidRPr="008917E2">
              <w:rPr>
                <w:color w:val="000000"/>
                <w:sz w:val="16"/>
                <w:szCs w:val="16"/>
                <w:lang w:val="en-US" w:eastAsia="el-GR"/>
              </w:rPr>
              <w:t>-240</w:t>
            </w:r>
          </w:p>
        </w:tc>
        <w:tc>
          <w:tcPr>
            <w:tcW w:w="693" w:type="dxa"/>
            <w:tcBorders>
              <w:right w:val="single" w:sz="18" w:space="0" w:color="000000"/>
            </w:tcBorders>
            <w:shd w:val="clear" w:color="000000" w:fill="FFFFFF"/>
            <w:noWrap/>
            <w:vAlign w:val="bottom"/>
          </w:tcPr>
          <w:p w:rsidR="00FD5242" w:rsidRPr="00562284" w:rsidRDefault="00FD5242" w:rsidP="00562284">
            <w:pPr>
              <w:spacing w:after="0" w:line="240" w:lineRule="auto"/>
              <w:jc w:val="right"/>
              <w:rPr>
                <w:color w:val="000000"/>
                <w:sz w:val="16"/>
                <w:szCs w:val="16"/>
                <w:lang w:eastAsia="el-GR"/>
              </w:rPr>
            </w:pPr>
            <w:r w:rsidRPr="00562284">
              <w:rPr>
                <w:color w:val="000000"/>
                <w:sz w:val="16"/>
                <w:szCs w:val="16"/>
                <w:lang w:eastAsia="el-GR"/>
              </w:rPr>
              <w:t>59,88</w:t>
            </w:r>
          </w:p>
        </w:tc>
      </w:tr>
      <w:tr w:rsidR="00FD5242" w:rsidRPr="008917E2" w:rsidTr="004F27AB">
        <w:trPr>
          <w:trHeight w:val="503"/>
        </w:trPr>
        <w:tc>
          <w:tcPr>
            <w:tcW w:w="968" w:type="dxa"/>
            <w:tcBorders>
              <w:left w:val="single" w:sz="18" w:space="0" w:color="000000"/>
              <w:right w:val="single" w:sz="18" w:space="0" w:color="000000"/>
            </w:tcBorders>
            <w:shd w:val="clear" w:color="000000" w:fill="FFFFFF"/>
            <w:noWrap/>
            <w:vAlign w:val="bottom"/>
          </w:tcPr>
          <w:p w:rsidR="00FD5242" w:rsidRPr="006560C1" w:rsidRDefault="00FD5242" w:rsidP="00562284">
            <w:pPr>
              <w:spacing w:after="0" w:line="240" w:lineRule="auto"/>
              <w:rPr>
                <w:rFonts w:ascii="Arial" w:hAnsi="Arial" w:cs="Arial"/>
                <w:b/>
                <w:bCs/>
                <w:sz w:val="18"/>
                <w:szCs w:val="18"/>
                <w:lang w:eastAsia="el-GR"/>
              </w:rPr>
            </w:pPr>
            <w:r w:rsidRPr="006560C1">
              <w:rPr>
                <w:rFonts w:ascii="Arial" w:hAnsi="Arial" w:cs="Arial"/>
                <w:b/>
                <w:bCs/>
                <w:sz w:val="18"/>
                <w:szCs w:val="18"/>
                <w:lang w:eastAsia="el-GR"/>
              </w:rPr>
              <w:t>DRit</w:t>
            </w:r>
          </w:p>
        </w:tc>
        <w:tc>
          <w:tcPr>
            <w:tcW w:w="698" w:type="dxa"/>
            <w:tcBorders>
              <w:left w:val="single" w:sz="18" w:space="0" w:color="000000"/>
            </w:tcBorders>
            <w:shd w:val="clear" w:color="000000" w:fill="FFFFFF"/>
            <w:noWrap/>
            <w:vAlign w:val="bottom"/>
          </w:tcPr>
          <w:p w:rsidR="00FD5242" w:rsidRPr="00562284" w:rsidRDefault="00FD5242" w:rsidP="00562284">
            <w:pPr>
              <w:spacing w:after="0" w:line="240" w:lineRule="auto"/>
              <w:jc w:val="right"/>
              <w:rPr>
                <w:color w:val="000000"/>
                <w:sz w:val="16"/>
                <w:szCs w:val="16"/>
                <w:lang w:eastAsia="el-GR"/>
              </w:rPr>
            </w:pPr>
            <w:r w:rsidRPr="00562284">
              <w:rPr>
                <w:color w:val="000000"/>
                <w:sz w:val="16"/>
                <w:szCs w:val="16"/>
                <w:lang w:eastAsia="el-GR"/>
              </w:rPr>
              <w:t>0,06</w:t>
            </w:r>
          </w:p>
        </w:tc>
        <w:tc>
          <w:tcPr>
            <w:tcW w:w="862" w:type="dxa"/>
            <w:shd w:val="clear" w:color="000000" w:fill="FFFFFF"/>
            <w:noWrap/>
            <w:vAlign w:val="bottom"/>
          </w:tcPr>
          <w:p w:rsidR="00FD5242" w:rsidRPr="00562284" w:rsidRDefault="00FD5242" w:rsidP="00562284">
            <w:pPr>
              <w:spacing w:after="0" w:line="240" w:lineRule="auto"/>
              <w:jc w:val="right"/>
              <w:rPr>
                <w:color w:val="000000"/>
                <w:sz w:val="16"/>
                <w:szCs w:val="16"/>
                <w:lang w:eastAsia="el-GR"/>
              </w:rPr>
            </w:pPr>
            <w:r w:rsidRPr="00562284">
              <w:rPr>
                <w:color w:val="000000"/>
                <w:sz w:val="16"/>
                <w:szCs w:val="16"/>
                <w:lang w:eastAsia="el-GR"/>
              </w:rPr>
              <w:t>0,00</w:t>
            </w:r>
          </w:p>
        </w:tc>
        <w:tc>
          <w:tcPr>
            <w:tcW w:w="756" w:type="dxa"/>
            <w:shd w:val="clear" w:color="000000" w:fill="FFFFFF"/>
            <w:noWrap/>
            <w:vAlign w:val="bottom"/>
          </w:tcPr>
          <w:p w:rsidR="00FD5242" w:rsidRPr="00562284" w:rsidRDefault="00FD5242" w:rsidP="00562284">
            <w:pPr>
              <w:spacing w:after="0" w:line="240" w:lineRule="auto"/>
              <w:jc w:val="right"/>
              <w:rPr>
                <w:color w:val="000000"/>
                <w:sz w:val="16"/>
                <w:szCs w:val="16"/>
                <w:lang w:eastAsia="el-GR"/>
              </w:rPr>
            </w:pPr>
            <w:r w:rsidRPr="00562284">
              <w:rPr>
                <w:color w:val="000000"/>
                <w:sz w:val="16"/>
                <w:szCs w:val="16"/>
                <w:lang w:eastAsia="el-GR"/>
              </w:rPr>
              <w:t>0,24</w:t>
            </w:r>
          </w:p>
        </w:tc>
        <w:tc>
          <w:tcPr>
            <w:tcW w:w="611" w:type="dxa"/>
            <w:shd w:val="clear" w:color="000000" w:fill="FFFFFF"/>
            <w:noWrap/>
            <w:vAlign w:val="bottom"/>
          </w:tcPr>
          <w:p w:rsidR="00FD5242" w:rsidRPr="00562284" w:rsidRDefault="00FD5242" w:rsidP="00562284">
            <w:pPr>
              <w:spacing w:after="0" w:line="240" w:lineRule="auto"/>
              <w:jc w:val="right"/>
              <w:rPr>
                <w:color w:val="000000"/>
                <w:sz w:val="16"/>
                <w:szCs w:val="16"/>
                <w:lang w:eastAsia="el-GR"/>
              </w:rPr>
            </w:pPr>
            <w:r w:rsidRPr="00562284">
              <w:rPr>
                <w:color w:val="000000"/>
                <w:sz w:val="16"/>
                <w:szCs w:val="16"/>
                <w:lang w:eastAsia="el-GR"/>
              </w:rPr>
              <w:t>0,00</w:t>
            </w:r>
          </w:p>
        </w:tc>
        <w:tc>
          <w:tcPr>
            <w:tcW w:w="693" w:type="dxa"/>
            <w:tcBorders>
              <w:right w:val="single" w:sz="18" w:space="0" w:color="000000"/>
            </w:tcBorders>
            <w:shd w:val="clear" w:color="000000" w:fill="FFFFFF"/>
            <w:noWrap/>
            <w:vAlign w:val="bottom"/>
          </w:tcPr>
          <w:p w:rsidR="00FD5242" w:rsidRPr="00562284" w:rsidRDefault="00FD5242" w:rsidP="00562284">
            <w:pPr>
              <w:spacing w:after="0" w:line="240" w:lineRule="auto"/>
              <w:jc w:val="right"/>
              <w:rPr>
                <w:color w:val="000000"/>
                <w:sz w:val="16"/>
                <w:szCs w:val="16"/>
                <w:lang w:eastAsia="el-GR"/>
              </w:rPr>
            </w:pPr>
            <w:r w:rsidRPr="00562284">
              <w:rPr>
                <w:color w:val="000000"/>
                <w:sz w:val="16"/>
                <w:szCs w:val="16"/>
                <w:lang w:eastAsia="el-GR"/>
              </w:rPr>
              <w:t>1,00</w:t>
            </w:r>
          </w:p>
        </w:tc>
        <w:tc>
          <w:tcPr>
            <w:tcW w:w="698" w:type="dxa"/>
            <w:tcBorders>
              <w:left w:val="single" w:sz="18" w:space="0" w:color="000000"/>
            </w:tcBorders>
            <w:shd w:val="clear" w:color="000000" w:fill="FFFFFF"/>
            <w:noWrap/>
            <w:vAlign w:val="bottom"/>
          </w:tcPr>
          <w:p w:rsidR="00FD5242" w:rsidRPr="00562284" w:rsidRDefault="00FD5242" w:rsidP="00562284">
            <w:pPr>
              <w:spacing w:after="0" w:line="240" w:lineRule="auto"/>
              <w:jc w:val="right"/>
              <w:rPr>
                <w:color w:val="000000"/>
                <w:sz w:val="16"/>
                <w:szCs w:val="16"/>
                <w:lang w:eastAsia="el-GR"/>
              </w:rPr>
            </w:pPr>
            <w:r w:rsidRPr="00562284">
              <w:rPr>
                <w:color w:val="000000"/>
                <w:sz w:val="16"/>
                <w:szCs w:val="16"/>
                <w:lang w:eastAsia="el-GR"/>
              </w:rPr>
              <w:t>0,22</w:t>
            </w:r>
          </w:p>
        </w:tc>
        <w:tc>
          <w:tcPr>
            <w:tcW w:w="862" w:type="dxa"/>
            <w:shd w:val="clear" w:color="000000" w:fill="FFFFFF"/>
            <w:noWrap/>
            <w:vAlign w:val="bottom"/>
          </w:tcPr>
          <w:p w:rsidR="00FD5242" w:rsidRPr="00562284" w:rsidRDefault="00FD5242" w:rsidP="00562284">
            <w:pPr>
              <w:spacing w:after="0" w:line="240" w:lineRule="auto"/>
              <w:jc w:val="right"/>
              <w:rPr>
                <w:color w:val="000000"/>
                <w:sz w:val="16"/>
                <w:szCs w:val="16"/>
                <w:lang w:eastAsia="el-GR"/>
              </w:rPr>
            </w:pPr>
            <w:r w:rsidRPr="00562284">
              <w:rPr>
                <w:color w:val="000000"/>
                <w:sz w:val="16"/>
                <w:szCs w:val="16"/>
                <w:lang w:eastAsia="el-GR"/>
              </w:rPr>
              <w:t>0,00</w:t>
            </w:r>
          </w:p>
        </w:tc>
        <w:tc>
          <w:tcPr>
            <w:tcW w:w="756" w:type="dxa"/>
            <w:shd w:val="clear" w:color="000000" w:fill="FFFFFF"/>
            <w:noWrap/>
            <w:vAlign w:val="bottom"/>
          </w:tcPr>
          <w:p w:rsidR="00FD5242" w:rsidRPr="00562284" w:rsidRDefault="00FD5242" w:rsidP="00562284">
            <w:pPr>
              <w:spacing w:after="0" w:line="240" w:lineRule="auto"/>
              <w:jc w:val="right"/>
              <w:rPr>
                <w:color w:val="000000"/>
                <w:sz w:val="16"/>
                <w:szCs w:val="16"/>
                <w:lang w:eastAsia="el-GR"/>
              </w:rPr>
            </w:pPr>
            <w:r w:rsidRPr="00562284">
              <w:rPr>
                <w:color w:val="000000"/>
                <w:sz w:val="16"/>
                <w:szCs w:val="16"/>
                <w:lang w:eastAsia="el-GR"/>
              </w:rPr>
              <w:t>0,41</w:t>
            </w:r>
          </w:p>
        </w:tc>
        <w:tc>
          <w:tcPr>
            <w:tcW w:w="557" w:type="dxa"/>
            <w:shd w:val="clear" w:color="000000" w:fill="FFFFFF"/>
            <w:noWrap/>
            <w:vAlign w:val="bottom"/>
          </w:tcPr>
          <w:p w:rsidR="00FD5242" w:rsidRPr="00562284" w:rsidRDefault="00FD5242" w:rsidP="00562284">
            <w:pPr>
              <w:spacing w:after="0" w:line="240" w:lineRule="auto"/>
              <w:jc w:val="right"/>
              <w:rPr>
                <w:color w:val="000000"/>
                <w:sz w:val="16"/>
                <w:szCs w:val="16"/>
                <w:lang w:eastAsia="el-GR"/>
              </w:rPr>
            </w:pPr>
            <w:r w:rsidRPr="00562284">
              <w:rPr>
                <w:color w:val="000000"/>
                <w:sz w:val="16"/>
                <w:szCs w:val="16"/>
                <w:lang w:eastAsia="el-GR"/>
              </w:rPr>
              <w:t>0,00</w:t>
            </w:r>
          </w:p>
        </w:tc>
        <w:tc>
          <w:tcPr>
            <w:tcW w:w="693" w:type="dxa"/>
            <w:tcBorders>
              <w:right w:val="single" w:sz="18" w:space="0" w:color="000000"/>
            </w:tcBorders>
            <w:shd w:val="clear" w:color="000000" w:fill="FFFFFF"/>
            <w:noWrap/>
            <w:vAlign w:val="bottom"/>
          </w:tcPr>
          <w:p w:rsidR="00FD5242" w:rsidRPr="00562284" w:rsidRDefault="00FD5242" w:rsidP="00562284">
            <w:pPr>
              <w:spacing w:after="0" w:line="240" w:lineRule="auto"/>
              <w:jc w:val="right"/>
              <w:rPr>
                <w:color w:val="000000"/>
                <w:sz w:val="16"/>
                <w:szCs w:val="16"/>
                <w:lang w:eastAsia="el-GR"/>
              </w:rPr>
            </w:pPr>
            <w:r w:rsidRPr="00562284">
              <w:rPr>
                <w:color w:val="000000"/>
                <w:sz w:val="16"/>
                <w:szCs w:val="16"/>
                <w:lang w:eastAsia="el-GR"/>
              </w:rPr>
              <w:t>1,00</w:t>
            </w:r>
          </w:p>
        </w:tc>
      </w:tr>
    </w:tbl>
    <w:p w:rsidR="00FD5242" w:rsidRDefault="00FD5242" w:rsidP="00E87DDB">
      <w:pPr>
        <w:spacing w:after="0"/>
        <w:jc w:val="both"/>
        <w:rPr>
          <w:sz w:val="20"/>
          <w:szCs w:val="20"/>
          <w:lang w:val="en-US"/>
        </w:rPr>
      </w:pPr>
      <w:r w:rsidRPr="00694A74">
        <w:rPr>
          <w:i/>
          <w:sz w:val="20"/>
          <w:szCs w:val="20"/>
          <w:lang w:val="en-US"/>
        </w:rPr>
        <w:t>Where</w:t>
      </w:r>
      <w:r w:rsidRPr="000E4869">
        <w:rPr>
          <w:sz w:val="20"/>
          <w:szCs w:val="20"/>
          <w:lang w:val="en-US"/>
        </w:rPr>
        <w:t xml:space="preserve">: </w:t>
      </w:r>
    </w:p>
    <w:p w:rsidR="00FD5242" w:rsidRDefault="00FD5242" w:rsidP="00E87DDB">
      <w:pPr>
        <w:spacing w:after="0"/>
        <w:jc w:val="both"/>
        <w:rPr>
          <w:sz w:val="20"/>
          <w:szCs w:val="20"/>
          <w:lang w:val="en-US"/>
        </w:rPr>
      </w:pPr>
      <w:r w:rsidRPr="000E4869">
        <w:rPr>
          <w:sz w:val="20"/>
          <w:szCs w:val="20"/>
          <w:lang w:val="en-US"/>
        </w:rPr>
        <w:t xml:space="preserve">EPS= Earnings per Share </w:t>
      </w:r>
    </w:p>
    <w:p w:rsidR="00FD5242" w:rsidRDefault="00FD5242" w:rsidP="00E87DDB">
      <w:pPr>
        <w:spacing w:after="0"/>
        <w:jc w:val="both"/>
        <w:rPr>
          <w:sz w:val="20"/>
          <w:szCs w:val="20"/>
          <w:lang w:val="en-US"/>
        </w:rPr>
      </w:pPr>
      <w:r>
        <w:rPr>
          <w:sz w:val="20"/>
          <w:szCs w:val="20"/>
          <w:lang w:val="en-US"/>
        </w:rPr>
        <w:t>X</w:t>
      </w:r>
      <w:r>
        <w:rPr>
          <w:sz w:val="20"/>
          <w:szCs w:val="20"/>
          <w:vertAlign w:val="subscript"/>
          <w:lang w:val="en-US"/>
        </w:rPr>
        <w:t>it</w:t>
      </w:r>
      <w:r>
        <w:rPr>
          <w:sz w:val="20"/>
          <w:szCs w:val="20"/>
          <w:lang w:val="en-US"/>
        </w:rPr>
        <w:t>/P</w:t>
      </w:r>
      <w:r>
        <w:rPr>
          <w:sz w:val="20"/>
          <w:szCs w:val="20"/>
          <w:vertAlign w:val="subscript"/>
          <w:lang w:val="en-US"/>
        </w:rPr>
        <w:t xml:space="preserve">it </w:t>
      </w:r>
      <w:r w:rsidRPr="000E4869">
        <w:rPr>
          <w:sz w:val="20"/>
          <w:szCs w:val="20"/>
          <w:lang w:val="en-US"/>
        </w:rPr>
        <w:t>=</w:t>
      </w:r>
      <w:r>
        <w:rPr>
          <w:sz w:val="20"/>
          <w:szCs w:val="20"/>
          <w:lang w:val="en-US"/>
        </w:rPr>
        <w:t xml:space="preserve"> </w:t>
      </w:r>
      <w:r w:rsidRPr="000E4869">
        <w:rPr>
          <w:sz w:val="20"/>
          <w:szCs w:val="20"/>
          <w:lang w:val="en-US"/>
        </w:rPr>
        <w:t>Closing Price of Share for the year prior to the investigated one used for the Price of Share of the beg</w:t>
      </w:r>
      <w:r>
        <w:rPr>
          <w:sz w:val="20"/>
          <w:szCs w:val="20"/>
          <w:lang w:val="en-US"/>
        </w:rPr>
        <w:t>inning of the investigated year</w:t>
      </w:r>
    </w:p>
    <w:p w:rsidR="00FD5242" w:rsidRDefault="00FD5242" w:rsidP="00E87DDB">
      <w:pPr>
        <w:spacing w:after="0"/>
        <w:jc w:val="both"/>
        <w:rPr>
          <w:sz w:val="20"/>
          <w:szCs w:val="20"/>
          <w:lang w:val="en-US"/>
        </w:rPr>
      </w:pPr>
      <w:r w:rsidRPr="000E4869">
        <w:rPr>
          <w:sz w:val="20"/>
          <w:szCs w:val="20"/>
          <w:lang w:val="en-US"/>
        </w:rPr>
        <w:t xml:space="preserve"> ROE=Return on Equity </w:t>
      </w:r>
    </w:p>
    <w:p w:rsidR="00FD5242" w:rsidRDefault="00FD5242" w:rsidP="00E87DDB">
      <w:pPr>
        <w:spacing w:after="0"/>
        <w:jc w:val="both"/>
        <w:rPr>
          <w:sz w:val="20"/>
          <w:szCs w:val="20"/>
          <w:lang w:val="en-US"/>
        </w:rPr>
      </w:pPr>
      <w:r w:rsidRPr="000E4869">
        <w:rPr>
          <w:sz w:val="20"/>
          <w:szCs w:val="20"/>
          <w:lang w:val="en-US"/>
        </w:rPr>
        <w:t>DR</w:t>
      </w:r>
      <w:r w:rsidRPr="000E4869">
        <w:rPr>
          <w:sz w:val="20"/>
          <w:szCs w:val="20"/>
          <w:vertAlign w:val="subscript"/>
          <w:lang w:val="en-US"/>
        </w:rPr>
        <w:t>it</w:t>
      </w:r>
      <w:r w:rsidRPr="000E4869">
        <w:rPr>
          <w:sz w:val="20"/>
          <w:szCs w:val="20"/>
          <w:lang w:val="en-US"/>
        </w:rPr>
        <w:t>=Dummy variable of the Return.</w:t>
      </w:r>
    </w:p>
    <w:p w:rsidR="00FD5242" w:rsidRDefault="00FD5242" w:rsidP="00E87DDB">
      <w:pPr>
        <w:spacing w:after="0" w:line="360" w:lineRule="auto"/>
        <w:jc w:val="both"/>
        <w:rPr>
          <w:bCs/>
          <w:lang w:val="en-US"/>
        </w:rPr>
      </w:pPr>
      <w:r>
        <w:rPr>
          <w:bCs/>
          <w:lang w:val="en-US"/>
        </w:rPr>
        <w:t xml:space="preserve">   </w:t>
      </w:r>
    </w:p>
    <w:p w:rsidR="00FD5242" w:rsidRPr="006376F7" w:rsidRDefault="00FD5242" w:rsidP="001679DA">
      <w:pPr>
        <w:spacing w:line="360" w:lineRule="auto"/>
        <w:jc w:val="both"/>
        <w:rPr>
          <w:bCs/>
          <w:lang w:val="en-US"/>
        </w:rPr>
      </w:pPr>
      <w:r>
        <w:rPr>
          <w:bCs/>
          <w:lang w:val="en-US"/>
        </w:rPr>
        <w:t xml:space="preserve">     </w:t>
      </w:r>
      <w:r w:rsidRPr="00CB0441">
        <w:rPr>
          <w:bCs/>
          <w:lang w:val="en-US"/>
        </w:rPr>
        <w:t xml:space="preserve">The descriptive statistics presented involve the sample used for the analyses of </w:t>
      </w:r>
      <w:r>
        <w:rPr>
          <w:bCs/>
          <w:lang w:val="en-US"/>
        </w:rPr>
        <w:t xml:space="preserve">the pooled regressions concerning the two investigated and compared periods of 2005-2006 and 2008-2009. The sample used consisted of </w:t>
      </w:r>
      <w:r>
        <w:rPr>
          <w:lang w:val="en-US"/>
        </w:rPr>
        <w:t>51 Dutch stock exchange quoted firms (</w:t>
      </w:r>
      <w:r w:rsidRPr="00E41ABD">
        <w:rPr>
          <w:i/>
          <w:lang w:val="en-US"/>
        </w:rPr>
        <w:t>n=52</w:t>
      </w:r>
      <w:r>
        <w:rPr>
          <w:lang w:val="en-US"/>
        </w:rPr>
        <w:t>).</w:t>
      </w:r>
      <w:r>
        <w:rPr>
          <w:bCs/>
          <w:lang w:val="en-US"/>
        </w:rPr>
        <w:t xml:space="preserve"> </w:t>
      </w:r>
      <w:r>
        <w:rPr>
          <w:color w:val="000000"/>
          <w:lang w:val="en-US"/>
        </w:rPr>
        <w:t>The demonstrated features involve basic statistical terms that are explained subsequently. “Mean” pres</w:t>
      </w:r>
      <w:r w:rsidRPr="002D5651">
        <w:rPr>
          <w:color w:val="000000"/>
          <w:lang w:val="en-US"/>
        </w:rPr>
        <w:t>e</w:t>
      </w:r>
      <w:r>
        <w:rPr>
          <w:color w:val="000000"/>
          <w:lang w:val="en-US"/>
        </w:rPr>
        <w:t>nt</w:t>
      </w:r>
      <w:r w:rsidRPr="002D5651">
        <w:rPr>
          <w:color w:val="000000"/>
          <w:lang w:val="en-US"/>
        </w:rPr>
        <w:t>s the average value of the variables</w:t>
      </w:r>
      <w:r>
        <w:rPr>
          <w:color w:val="000000"/>
          <w:lang w:val="en-US"/>
        </w:rPr>
        <w:t>, while “Median” pres</w:t>
      </w:r>
      <w:r w:rsidRPr="002D5651">
        <w:rPr>
          <w:color w:val="000000"/>
          <w:lang w:val="en-US"/>
        </w:rPr>
        <w:t>e</w:t>
      </w:r>
      <w:r>
        <w:rPr>
          <w:color w:val="000000"/>
          <w:lang w:val="en-US"/>
        </w:rPr>
        <w:t>nt</w:t>
      </w:r>
      <w:r w:rsidRPr="002D5651">
        <w:rPr>
          <w:color w:val="000000"/>
          <w:lang w:val="en-US"/>
        </w:rPr>
        <w:t>s the median value of the variable</w:t>
      </w:r>
      <w:r>
        <w:rPr>
          <w:color w:val="000000"/>
          <w:lang w:val="en-US"/>
        </w:rPr>
        <w:t>s. “STDEV” presents</w:t>
      </w:r>
      <w:r w:rsidRPr="002D5651">
        <w:rPr>
          <w:color w:val="000000"/>
          <w:lang w:val="en-US"/>
        </w:rPr>
        <w:t xml:space="preserve"> the deviation from the average value of the </w:t>
      </w:r>
      <w:r>
        <w:rPr>
          <w:color w:val="000000"/>
          <w:lang w:val="en-US"/>
        </w:rPr>
        <w:t xml:space="preserve">examined </w:t>
      </w:r>
      <w:r w:rsidRPr="002D5651">
        <w:rPr>
          <w:color w:val="000000"/>
          <w:lang w:val="en-US"/>
        </w:rPr>
        <w:t>variable</w:t>
      </w:r>
      <w:r>
        <w:rPr>
          <w:color w:val="000000"/>
          <w:lang w:val="en-US"/>
        </w:rPr>
        <w:t>s, “Min” pres</w:t>
      </w:r>
      <w:r w:rsidRPr="002D5651">
        <w:rPr>
          <w:color w:val="000000"/>
          <w:lang w:val="en-US"/>
        </w:rPr>
        <w:t>e</w:t>
      </w:r>
      <w:r>
        <w:rPr>
          <w:color w:val="000000"/>
          <w:lang w:val="en-US"/>
        </w:rPr>
        <w:t>nt</w:t>
      </w:r>
      <w:r w:rsidRPr="002D5651">
        <w:rPr>
          <w:color w:val="000000"/>
          <w:lang w:val="en-US"/>
        </w:rPr>
        <w:t>s the lowest value of the variable</w:t>
      </w:r>
      <w:r>
        <w:rPr>
          <w:color w:val="000000"/>
          <w:lang w:val="en-US"/>
        </w:rPr>
        <w:t>s, and finally “Max”</w:t>
      </w:r>
      <w:r w:rsidRPr="002D5651">
        <w:rPr>
          <w:color w:val="000000"/>
          <w:lang w:val="en-US"/>
        </w:rPr>
        <w:t xml:space="preserve"> gives the maximum </w:t>
      </w:r>
      <w:r>
        <w:rPr>
          <w:color w:val="000000"/>
          <w:lang w:val="en-US"/>
        </w:rPr>
        <w:t xml:space="preserve">existing </w:t>
      </w:r>
      <w:r w:rsidRPr="002D5651">
        <w:rPr>
          <w:color w:val="000000"/>
          <w:lang w:val="en-US"/>
        </w:rPr>
        <w:t>value of the variable</w:t>
      </w:r>
      <w:r>
        <w:rPr>
          <w:color w:val="000000"/>
          <w:lang w:val="en-US"/>
        </w:rPr>
        <w:t>s.</w:t>
      </w:r>
    </w:p>
    <w:p w:rsidR="00FD5242" w:rsidRDefault="00FD5242" w:rsidP="006376F7">
      <w:pPr>
        <w:spacing w:line="360" w:lineRule="auto"/>
        <w:jc w:val="both"/>
        <w:rPr>
          <w:lang w:val="en-US"/>
        </w:rPr>
      </w:pPr>
      <w:r>
        <w:rPr>
          <w:lang w:val="en-US"/>
        </w:rPr>
        <w:t xml:space="preserve">    The 51 investigated firms were selected from the AEX, AMX, and AScX indexes after controlling for missing and omitted data. As observed in Table A, all corresponding features show dramatic decrease in the period 2008-2009 which is during the current financial crisis, than in the period of 2005-2006 which is before the current financial crisis. This is a proof regarding the severe negative effects of the crisis on the financial position of the investigated firms and the significant amount of distress they suffer. </w:t>
      </w:r>
    </w:p>
    <w:p w:rsidR="00FD5242" w:rsidRDefault="00FD5242" w:rsidP="006376F7">
      <w:pPr>
        <w:spacing w:line="360" w:lineRule="auto"/>
        <w:jc w:val="both"/>
        <w:rPr>
          <w:lang w:val="en-US"/>
        </w:rPr>
      </w:pPr>
      <w:r>
        <w:rPr>
          <w:lang w:val="en-US"/>
        </w:rPr>
        <w:t xml:space="preserve">    The most indicative features concern the mean EPS, which amounted to 1,70 in the 2005-2006 period and 0,39 in the 2008-2009 period, and the mean ROE, which was 19,34 in the 2005-2006 period and 0,21 in the 2008-2009 period. It is worth to signal that due to the limited number of firms used in the sample, no observations were excluded as outliers.</w:t>
      </w:r>
    </w:p>
    <w:p w:rsidR="00FD5242" w:rsidRDefault="00FD5242" w:rsidP="00AD5362">
      <w:pPr>
        <w:spacing w:line="360" w:lineRule="auto"/>
        <w:jc w:val="both"/>
        <w:rPr>
          <w:i/>
          <w:u w:val="single"/>
          <w:lang w:val="en-US"/>
        </w:rPr>
      </w:pPr>
      <w:r>
        <w:rPr>
          <w:lang w:val="en-US"/>
        </w:rPr>
        <w:t xml:space="preserve">7.1.2 </w:t>
      </w:r>
      <w:r w:rsidRPr="001F7A7D">
        <w:rPr>
          <w:i/>
          <w:u w:val="single"/>
          <w:lang w:val="en-US"/>
        </w:rPr>
        <w:t>Pearson’s correlation testing</w:t>
      </w:r>
    </w:p>
    <w:p w:rsidR="00FD5242" w:rsidRDefault="00FD5242" w:rsidP="00AD5362">
      <w:pPr>
        <w:spacing w:line="360" w:lineRule="auto"/>
        <w:jc w:val="both"/>
        <w:rPr>
          <w:lang w:val="en-US"/>
        </w:rPr>
      </w:pPr>
      <w:r>
        <w:rPr>
          <w:lang w:val="en-US"/>
        </w:rPr>
        <w:t xml:space="preserve">    The Model 2 is the statistical model used to investigate the relationships between both the dependent variable and the independent variables. These variables may relate with each other in a significant level, jeopardizing the validity of the results. If two or more independent for example, variables relate with each other significantly, they are measuring approximately the same thing, consequently each variable can only explain in part the relationship with the other variable. This ultimately decreases the explanatory value of each variable separately and the explanatory power of the model in total.</w:t>
      </w:r>
    </w:p>
    <w:p w:rsidR="00FD5242" w:rsidRDefault="00FD5242" w:rsidP="00AD5362">
      <w:pPr>
        <w:spacing w:line="360" w:lineRule="auto"/>
        <w:jc w:val="both"/>
        <w:rPr>
          <w:lang w:val="en-US"/>
        </w:rPr>
      </w:pPr>
      <w:r>
        <w:rPr>
          <w:lang w:val="en-US"/>
        </w:rPr>
        <w:t xml:space="preserve">    In order to examine the relationship between all the variables in Model 2, a Pearson’s correlation test was conducted. The subsequent matrix schemes demonstrate the findings of the tests concerning the two investigated periods prior to and during the financial crisis.</w:t>
      </w:r>
    </w:p>
    <w:p w:rsidR="00FD5242" w:rsidRDefault="00FD5242" w:rsidP="00AD5362">
      <w:pPr>
        <w:spacing w:line="360" w:lineRule="auto"/>
        <w:jc w:val="both"/>
        <w:rPr>
          <w:lang w:val="en-US"/>
        </w:rPr>
      </w:pPr>
      <w:r>
        <w:rPr>
          <w:lang w:val="en-US"/>
        </w:rPr>
        <w:t>First, the matrix concerning the period prior to the financial crisis is presented.</w:t>
      </w:r>
    </w:p>
    <w:p w:rsidR="00FD5242" w:rsidRPr="00385D2D" w:rsidRDefault="00FD5242" w:rsidP="00AD5362">
      <w:pPr>
        <w:spacing w:line="360" w:lineRule="auto"/>
        <w:jc w:val="both"/>
        <w:rPr>
          <w:lang w:val="en-US"/>
        </w:rPr>
      </w:pPr>
    </w:p>
    <w:tbl>
      <w:tblPr>
        <w:tblW w:w="82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2157"/>
        <w:gridCol w:w="1417"/>
        <w:gridCol w:w="1134"/>
        <w:gridCol w:w="1276"/>
        <w:gridCol w:w="1134"/>
        <w:gridCol w:w="1134"/>
      </w:tblGrid>
      <w:tr w:rsidR="00FD5242" w:rsidRPr="009E2EF6" w:rsidTr="00F87481">
        <w:trPr>
          <w:cantSplit/>
          <w:trHeight w:val="323"/>
          <w:tblHeader/>
        </w:trPr>
        <w:tc>
          <w:tcPr>
            <w:tcW w:w="8252" w:type="dxa"/>
            <w:gridSpan w:val="6"/>
            <w:tcBorders>
              <w:top w:val="nil"/>
              <w:left w:val="nil"/>
              <w:bottom w:val="nil"/>
              <w:right w:val="nil"/>
            </w:tcBorders>
            <w:shd w:val="clear" w:color="auto" w:fill="FFFFFF"/>
            <w:tcMar>
              <w:top w:w="30" w:type="dxa"/>
              <w:left w:w="30" w:type="dxa"/>
              <w:bottom w:w="30" w:type="dxa"/>
              <w:right w:w="30" w:type="dxa"/>
            </w:tcMar>
            <w:vAlign w:val="center"/>
          </w:tcPr>
          <w:p w:rsidR="00FD5242" w:rsidRPr="00102FFE" w:rsidRDefault="00FD5242" w:rsidP="00E73D19">
            <w:pPr>
              <w:autoSpaceDE w:val="0"/>
              <w:autoSpaceDN w:val="0"/>
              <w:adjustRightInd w:val="0"/>
              <w:spacing w:after="0" w:line="320" w:lineRule="atLeast"/>
              <w:jc w:val="center"/>
              <w:rPr>
                <w:rFonts w:cs="Arial"/>
                <w:color w:val="000000"/>
                <w:lang w:val="en-US"/>
              </w:rPr>
            </w:pPr>
            <w:r>
              <w:rPr>
                <w:rFonts w:cs="Arial"/>
                <w:b/>
                <w:bCs/>
                <w:color w:val="000000"/>
                <w:lang w:val="en-US"/>
              </w:rPr>
              <w:t xml:space="preserve">Table 2a: Pearson’s </w:t>
            </w:r>
            <w:r w:rsidRPr="00397C07">
              <w:rPr>
                <w:rFonts w:cs="Arial"/>
                <w:b/>
                <w:bCs/>
                <w:color w:val="000000"/>
                <w:lang w:val="en-US"/>
              </w:rPr>
              <w:t>Correlation</w:t>
            </w:r>
            <w:r w:rsidRPr="00102FFE">
              <w:rPr>
                <w:rFonts w:cs="Arial"/>
                <w:b/>
                <w:bCs/>
                <w:color w:val="000000"/>
                <w:lang w:val="en-US"/>
              </w:rPr>
              <w:t xml:space="preserve"> </w:t>
            </w:r>
            <w:r>
              <w:rPr>
                <w:rFonts w:cs="Arial"/>
                <w:b/>
                <w:bCs/>
                <w:color w:val="000000"/>
                <w:lang w:val="en-US"/>
              </w:rPr>
              <w:t>test concerning the period 20</w:t>
            </w:r>
            <w:r w:rsidRPr="00102FFE">
              <w:rPr>
                <w:rFonts w:cs="Arial"/>
                <w:b/>
                <w:bCs/>
                <w:color w:val="000000"/>
                <w:lang w:val="en-US"/>
              </w:rPr>
              <w:t>05 -</w:t>
            </w:r>
            <w:r>
              <w:rPr>
                <w:rFonts w:cs="Arial"/>
                <w:b/>
                <w:bCs/>
                <w:color w:val="000000"/>
                <w:lang w:val="en-US"/>
              </w:rPr>
              <w:t>20</w:t>
            </w:r>
            <w:r w:rsidRPr="00102FFE">
              <w:rPr>
                <w:rFonts w:cs="Arial"/>
                <w:b/>
                <w:bCs/>
                <w:color w:val="000000"/>
                <w:lang w:val="en-US"/>
              </w:rPr>
              <w:t>06</w:t>
            </w:r>
            <w:r>
              <w:rPr>
                <w:rFonts w:cs="Arial"/>
                <w:b/>
                <w:bCs/>
                <w:color w:val="000000"/>
                <w:lang w:val="en-US"/>
              </w:rPr>
              <w:t xml:space="preserve"> </w:t>
            </w:r>
          </w:p>
        </w:tc>
      </w:tr>
      <w:tr w:rsidR="00FD5242" w:rsidRPr="00385D2D" w:rsidTr="00307B0F">
        <w:trPr>
          <w:cantSplit/>
          <w:trHeight w:val="646"/>
          <w:tblHeader/>
        </w:trPr>
        <w:tc>
          <w:tcPr>
            <w:tcW w:w="2157" w:type="dxa"/>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240" w:lineRule="auto"/>
              <w:rPr>
                <w:sz w:val="20"/>
                <w:szCs w:val="20"/>
                <w:lang w:val="en-US"/>
              </w:rPr>
            </w:pPr>
          </w:p>
        </w:tc>
        <w:tc>
          <w:tcPr>
            <w:tcW w:w="1417" w:type="dxa"/>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240" w:lineRule="auto"/>
              <w:rPr>
                <w:sz w:val="20"/>
                <w:szCs w:val="20"/>
                <w:lang w:val="en-US"/>
              </w:rPr>
            </w:pPr>
          </w:p>
        </w:tc>
        <w:tc>
          <w:tcPr>
            <w:tcW w:w="1134"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FD5242" w:rsidRPr="00D44703" w:rsidRDefault="00FD5242" w:rsidP="00CD4BC7">
            <w:pPr>
              <w:autoSpaceDE w:val="0"/>
              <w:autoSpaceDN w:val="0"/>
              <w:adjustRightInd w:val="0"/>
              <w:spacing w:after="0" w:line="320" w:lineRule="atLeast"/>
              <w:jc w:val="center"/>
              <w:rPr>
                <w:rFonts w:cs="Arial"/>
                <w:color w:val="000000"/>
                <w:sz w:val="20"/>
                <w:szCs w:val="20"/>
                <w:lang w:val="en-US"/>
              </w:rPr>
            </w:pPr>
            <w:r w:rsidRPr="00D44703">
              <w:rPr>
                <w:bCs/>
                <w:sz w:val="20"/>
                <w:szCs w:val="20"/>
                <w:lang w:val="en-US"/>
              </w:rPr>
              <w:t>X</w:t>
            </w:r>
            <w:r w:rsidRPr="00D44703">
              <w:rPr>
                <w:bCs/>
                <w:sz w:val="20"/>
                <w:szCs w:val="20"/>
                <w:vertAlign w:val="subscript"/>
                <w:lang w:val="en-US"/>
              </w:rPr>
              <w:t>it</w:t>
            </w:r>
            <w:r w:rsidRPr="00D44703">
              <w:rPr>
                <w:bCs/>
                <w:sz w:val="20"/>
                <w:szCs w:val="20"/>
                <w:lang w:val="en-US"/>
              </w:rPr>
              <w:t>/P</w:t>
            </w:r>
            <w:r w:rsidRPr="00D44703">
              <w:rPr>
                <w:bCs/>
                <w:sz w:val="20"/>
                <w:szCs w:val="20"/>
                <w:vertAlign w:val="subscript"/>
                <w:lang w:val="en-US"/>
              </w:rPr>
              <w:t>it-1</w:t>
            </w:r>
          </w:p>
        </w:tc>
        <w:tc>
          <w:tcPr>
            <w:tcW w:w="1276"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FD5242" w:rsidRPr="00D44703" w:rsidRDefault="00FD5242" w:rsidP="00CD4BC7">
            <w:pPr>
              <w:autoSpaceDE w:val="0"/>
              <w:autoSpaceDN w:val="0"/>
              <w:adjustRightInd w:val="0"/>
              <w:spacing w:after="0" w:line="320" w:lineRule="atLeast"/>
              <w:jc w:val="center"/>
              <w:rPr>
                <w:rFonts w:cs="Arial"/>
                <w:color w:val="000000"/>
                <w:sz w:val="20"/>
                <w:szCs w:val="20"/>
              </w:rPr>
            </w:pPr>
            <w:r w:rsidRPr="00D44703">
              <w:rPr>
                <w:rFonts w:cs="Arial"/>
                <w:color w:val="000000"/>
                <w:sz w:val="20"/>
                <w:szCs w:val="20"/>
              </w:rPr>
              <w:t>DRit</w:t>
            </w:r>
          </w:p>
        </w:tc>
        <w:tc>
          <w:tcPr>
            <w:tcW w:w="1134"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FD5242" w:rsidRPr="00D44703" w:rsidRDefault="00FD5242" w:rsidP="00CD4BC7">
            <w:pPr>
              <w:autoSpaceDE w:val="0"/>
              <w:autoSpaceDN w:val="0"/>
              <w:adjustRightInd w:val="0"/>
              <w:spacing w:after="0" w:line="320" w:lineRule="atLeast"/>
              <w:jc w:val="center"/>
              <w:rPr>
                <w:rFonts w:cs="Arial"/>
                <w:color w:val="000000"/>
                <w:sz w:val="20"/>
                <w:szCs w:val="20"/>
                <w:lang w:val="en-US"/>
              </w:rPr>
            </w:pPr>
            <w:r w:rsidRPr="00D44703">
              <w:rPr>
                <w:rFonts w:cs="Arial"/>
                <w:color w:val="000000"/>
                <w:sz w:val="20"/>
                <w:szCs w:val="20"/>
              </w:rPr>
              <w:t>Rit</w:t>
            </w:r>
            <w:r w:rsidRPr="00D44703">
              <w:rPr>
                <w:rFonts w:cs="Arial"/>
                <w:color w:val="000000"/>
                <w:sz w:val="20"/>
                <w:szCs w:val="20"/>
                <w:lang w:val="en-US"/>
              </w:rPr>
              <w:t xml:space="preserve"> (</w:t>
            </w:r>
            <w:r w:rsidRPr="00D44703">
              <w:rPr>
                <w:rFonts w:cs="Arial"/>
                <w:color w:val="000000"/>
                <w:sz w:val="20"/>
                <w:szCs w:val="20"/>
              </w:rPr>
              <w:t>Return</w:t>
            </w:r>
            <w:r w:rsidRPr="00D44703">
              <w:rPr>
                <w:rFonts w:cs="Arial"/>
                <w:color w:val="000000"/>
                <w:sz w:val="20"/>
                <w:szCs w:val="20"/>
                <w:lang w:val="en-US"/>
              </w:rPr>
              <w:t xml:space="preserve"> </w:t>
            </w:r>
            <w:r w:rsidRPr="00D44703">
              <w:rPr>
                <w:rFonts w:cs="Arial"/>
                <w:color w:val="000000"/>
                <w:sz w:val="20"/>
                <w:szCs w:val="20"/>
              </w:rPr>
              <w:t>On</w:t>
            </w:r>
            <w:r w:rsidRPr="00D44703">
              <w:rPr>
                <w:rFonts w:cs="Arial"/>
                <w:color w:val="000000"/>
                <w:sz w:val="20"/>
                <w:szCs w:val="20"/>
                <w:lang w:val="en-US"/>
              </w:rPr>
              <w:t xml:space="preserve"> </w:t>
            </w:r>
            <w:r w:rsidRPr="00D44703">
              <w:rPr>
                <w:rFonts w:cs="Arial"/>
                <w:color w:val="000000"/>
                <w:sz w:val="20"/>
                <w:szCs w:val="20"/>
              </w:rPr>
              <w:t>Equity</w:t>
            </w:r>
            <w:r w:rsidRPr="00D44703">
              <w:rPr>
                <w:rFonts w:cs="Arial"/>
                <w:color w:val="000000"/>
                <w:sz w:val="20"/>
                <w:szCs w:val="20"/>
                <w:lang w:val="en-US"/>
              </w:rPr>
              <w:t>)</w:t>
            </w:r>
          </w:p>
        </w:tc>
        <w:tc>
          <w:tcPr>
            <w:tcW w:w="1134"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FD5242" w:rsidRPr="00D44703" w:rsidRDefault="00FD5242" w:rsidP="00385D2D">
            <w:pPr>
              <w:autoSpaceDE w:val="0"/>
              <w:autoSpaceDN w:val="0"/>
              <w:adjustRightInd w:val="0"/>
              <w:spacing w:after="0" w:line="320" w:lineRule="atLeast"/>
              <w:ind w:right="114"/>
              <w:jc w:val="center"/>
              <w:rPr>
                <w:rFonts w:cs="Arial"/>
                <w:color w:val="000000"/>
                <w:sz w:val="20"/>
                <w:szCs w:val="20"/>
              </w:rPr>
            </w:pPr>
            <w:r w:rsidRPr="00D44703">
              <w:rPr>
                <w:rFonts w:cs="Arial"/>
                <w:color w:val="000000"/>
                <w:sz w:val="20"/>
                <w:szCs w:val="20"/>
              </w:rPr>
              <w:t>Rit</w:t>
            </w:r>
            <w:r w:rsidRPr="00D44703">
              <w:rPr>
                <w:rFonts w:cs="Arial"/>
                <w:color w:val="000000"/>
                <w:sz w:val="20"/>
                <w:szCs w:val="20"/>
                <w:lang w:val="en-US"/>
              </w:rPr>
              <w:t>*</w:t>
            </w:r>
            <w:r w:rsidRPr="00D44703">
              <w:rPr>
                <w:rFonts w:cs="Arial"/>
                <w:color w:val="000000"/>
                <w:sz w:val="20"/>
                <w:szCs w:val="20"/>
              </w:rPr>
              <w:t>DRit</w:t>
            </w:r>
          </w:p>
        </w:tc>
      </w:tr>
      <w:tr w:rsidR="00FD5242" w:rsidRPr="00385D2D" w:rsidTr="00307B0F">
        <w:trPr>
          <w:cantSplit/>
          <w:trHeight w:val="354"/>
          <w:tblHeader/>
        </w:trPr>
        <w:tc>
          <w:tcPr>
            <w:tcW w:w="2157" w:type="dxa"/>
            <w:vMerge w:val="restart"/>
            <w:tcBorders>
              <w:top w:val="single" w:sz="16" w:space="0" w:color="000000"/>
              <w:left w:val="single" w:sz="16" w:space="0" w:color="000000"/>
              <w:right w:val="nil"/>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rPr>
                <w:rFonts w:cs="Arial"/>
                <w:color w:val="000000"/>
                <w:sz w:val="20"/>
                <w:szCs w:val="20"/>
                <w:lang w:val="en-US"/>
              </w:rPr>
            </w:pPr>
            <w:r w:rsidRPr="00D44703">
              <w:rPr>
                <w:bCs/>
                <w:sz w:val="20"/>
                <w:szCs w:val="20"/>
                <w:lang w:val="en-US"/>
              </w:rPr>
              <w:t>X</w:t>
            </w:r>
            <w:r w:rsidRPr="00D44703">
              <w:rPr>
                <w:bCs/>
                <w:sz w:val="20"/>
                <w:szCs w:val="20"/>
                <w:vertAlign w:val="subscript"/>
                <w:lang w:val="en-US"/>
              </w:rPr>
              <w:t>it</w:t>
            </w:r>
            <w:r w:rsidRPr="00D44703">
              <w:rPr>
                <w:bCs/>
                <w:sz w:val="20"/>
                <w:szCs w:val="20"/>
                <w:lang w:val="en-US"/>
              </w:rPr>
              <w:t>/P</w:t>
            </w:r>
            <w:r w:rsidRPr="00D44703">
              <w:rPr>
                <w:bCs/>
                <w:sz w:val="20"/>
                <w:szCs w:val="20"/>
                <w:vertAlign w:val="subscript"/>
                <w:lang w:val="en-US"/>
              </w:rPr>
              <w:t>it-1</w:t>
            </w:r>
          </w:p>
        </w:tc>
        <w:tc>
          <w:tcPr>
            <w:tcW w:w="1417"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rPr>
                <w:rFonts w:cs="Arial"/>
                <w:color w:val="000000"/>
                <w:sz w:val="20"/>
                <w:szCs w:val="20"/>
              </w:rPr>
            </w:pPr>
            <w:r w:rsidRPr="00D44703">
              <w:rPr>
                <w:rFonts w:cs="Arial"/>
                <w:color w:val="000000"/>
                <w:sz w:val="20"/>
                <w:szCs w:val="20"/>
              </w:rPr>
              <w:t>Pearson Correlation</w:t>
            </w:r>
          </w:p>
        </w:tc>
        <w:tc>
          <w:tcPr>
            <w:tcW w:w="1134"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jc w:val="right"/>
              <w:rPr>
                <w:rFonts w:cs="Arial"/>
                <w:color w:val="000000"/>
                <w:sz w:val="20"/>
                <w:szCs w:val="20"/>
              </w:rPr>
            </w:pPr>
            <w:r w:rsidRPr="00D44703">
              <w:rPr>
                <w:rFonts w:cs="Arial"/>
                <w:color w:val="000000"/>
                <w:sz w:val="20"/>
                <w:szCs w:val="20"/>
              </w:rPr>
              <w:t>1</w:t>
            </w:r>
          </w:p>
        </w:tc>
        <w:tc>
          <w:tcPr>
            <w:tcW w:w="1276" w:type="dxa"/>
            <w:tcBorders>
              <w:top w:val="single" w:sz="16" w:space="0" w:color="000000"/>
              <w:bottom w:val="nil"/>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jc w:val="right"/>
              <w:rPr>
                <w:rFonts w:cs="Arial"/>
                <w:color w:val="000000"/>
                <w:sz w:val="20"/>
                <w:szCs w:val="20"/>
              </w:rPr>
            </w:pPr>
          </w:p>
        </w:tc>
        <w:tc>
          <w:tcPr>
            <w:tcW w:w="1134" w:type="dxa"/>
            <w:tcBorders>
              <w:top w:val="single" w:sz="16" w:space="0" w:color="000000"/>
              <w:bottom w:val="nil"/>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jc w:val="right"/>
              <w:rPr>
                <w:rFonts w:cs="Arial"/>
                <w:color w:val="000000"/>
                <w:sz w:val="20"/>
                <w:szCs w:val="20"/>
              </w:rPr>
            </w:pPr>
          </w:p>
        </w:tc>
        <w:tc>
          <w:tcPr>
            <w:tcW w:w="1134"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jc w:val="right"/>
              <w:rPr>
                <w:rFonts w:cs="Arial"/>
                <w:color w:val="000000"/>
                <w:sz w:val="20"/>
                <w:szCs w:val="20"/>
              </w:rPr>
            </w:pPr>
          </w:p>
        </w:tc>
      </w:tr>
      <w:tr w:rsidR="00FD5242" w:rsidRPr="00385D2D" w:rsidTr="00307B0F">
        <w:trPr>
          <w:cantSplit/>
          <w:trHeight w:val="148"/>
          <w:tblHeader/>
        </w:trPr>
        <w:tc>
          <w:tcPr>
            <w:tcW w:w="2157"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240" w:lineRule="auto"/>
              <w:rPr>
                <w:rFonts w:cs="Arial"/>
                <w:color w:val="000000"/>
                <w:sz w:val="20"/>
                <w:szCs w:val="20"/>
              </w:rPr>
            </w:pPr>
          </w:p>
        </w:tc>
        <w:tc>
          <w:tcPr>
            <w:tcW w:w="1417" w:type="dxa"/>
            <w:tcBorders>
              <w:top w:val="nil"/>
              <w:left w:val="nil"/>
              <w:bottom w:val="nil"/>
              <w:right w:val="single" w:sz="16" w:space="0" w:color="000000"/>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rPr>
                <w:rFonts w:cs="Arial"/>
                <w:color w:val="000000"/>
                <w:sz w:val="20"/>
                <w:szCs w:val="20"/>
              </w:rPr>
            </w:pPr>
            <w:r w:rsidRPr="00D44703">
              <w:rPr>
                <w:rFonts w:cs="Arial"/>
                <w:color w:val="000000"/>
                <w:sz w:val="20"/>
                <w:szCs w:val="20"/>
              </w:rPr>
              <w:t>Sig. (2-tailed)</w:t>
            </w:r>
          </w:p>
        </w:tc>
        <w:tc>
          <w:tcPr>
            <w:tcW w:w="1134" w:type="dxa"/>
            <w:tcBorders>
              <w:top w:val="nil"/>
              <w:left w:val="single" w:sz="16" w:space="0" w:color="000000"/>
              <w:bottom w:val="nil"/>
            </w:tcBorders>
            <w:shd w:val="clear" w:color="auto" w:fill="FFFFFF"/>
            <w:tcMar>
              <w:top w:w="30" w:type="dxa"/>
              <w:left w:w="30" w:type="dxa"/>
              <w:bottom w:w="30" w:type="dxa"/>
              <w:right w:w="30" w:type="dxa"/>
            </w:tcMar>
            <w:vAlign w:val="center"/>
          </w:tcPr>
          <w:p w:rsidR="00FD5242" w:rsidRPr="00D44703" w:rsidRDefault="00FD5242" w:rsidP="00CD4BC7">
            <w:pPr>
              <w:autoSpaceDE w:val="0"/>
              <w:autoSpaceDN w:val="0"/>
              <w:adjustRightInd w:val="0"/>
              <w:spacing w:after="0" w:line="240" w:lineRule="auto"/>
              <w:jc w:val="center"/>
              <w:rPr>
                <w:sz w:val="20"/>
                <w:szCs w:val="20"/>
              </w:rPr>
            </w:pPr>
          </w:p>
        </w:tc>
        <w:tc>
          <w:tcPr>
            <w:tcW w:w="1276" w:type="dxa"/>
            <w:tcBorders>
              <w:top w:val="nil"/>
              <w:bottom w:val="nil"/>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jc w:val="right"/>
              <w:rPr>
                <w:rFonts w:cs="Arial"/>
                <w:color w:val="000000"/>
                <w:sz w:val="20"/>
                <w:szCs w:val="20"/>
              </w:rPr>
            </w:pPr>
          </w:p>
        </w:tc>
        <w:tc>
          <w:tcPr>
            <w:tcW w:w="1134" w:type="dxa"/>
            <w:tcBorders>
              <w:top w:val="nil"/>
              <w:bottom w:val="nil"/>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jc w:val="right"/>
              <w:rPr>
                <w:rFonts w:cs="Arial"/>
                <w:color w:val="000000"/>
                <w:sz w:val="20"/>
                <w:szCs w:val="20"/>
              </w:rPr>
            </w:pPr>
          </w:p>
        </w:tc>
        <w:tc>
          <w:tcPr>
            <w:tcW w:w="1134" w:type="dxa"/>
            <w:tcBorders>
              <w:top w:val="nil"/>
              <w:bottom w:val="nil"/>
              <w:right w:val="single" w:sz="16" w:space="0" w:color="000000"/>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jc w:val="right"/>
              <w:rPr>
                <w:rFonts w:cs="Arial"/>
                <w:color w:val="000000"/>
                <w:sz w:val="20"/>
                <w:szCs w:val="20"/>
              </w:rPr>
            </w:pPr>
          </w:p>
        </w:tc>
      </w:tr>
      <w:tr w:rsidR="00FD5242" w:rsidRPr="00385D2D" w:rsidTr="00307B0F">
        <w:trPr>
          <w:cantSplit/>
          <w:trHeight w:val="297"/>
          <w:tblHeader/>
        </w:trPr>
        <w:tc>
          <w:tcPr>
            <w:tcW w:w="2157"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240" w:lineRule="auto"/>
              <w:rPr>
                <w:rFonts w:cs="Arial"/>
                <w:color w:val="000000"/>
                <w:sz w:val="20"/>
                <w:szCs w:val="20"/>
              </w:rPr>
            </w:pPr>
          </w:p>
        </w:tc>
        <w:tc>
          <w:tcPr>
            <w:tcW w:w="1417" w:type="dxa"/>
            <w:tcBorders>
              <w:top w:val="nil"/>
              <w:left w:val="nil"/>
              <w:right w:val="single" w:sz="16" w:space="0" w:color="000000"/>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rPr>
                <w:rFonts w:cs="Arial"/>
                <w:color w:val="000000"/>
                <w:sz w:val="20"/>
                <w:szCs w:val="20"/>
              </w:rPr>
            </w:pPr>
            <w:r w:rsidRPr="00D44703">
              <w:rPr>
                <w:rFonts w:cs="Arial"/>
                <w:color w:val="000000"/>
                <w:sz w:val="20"/>
                <w:szCs w:val="20"/>
              </w:rPr>
              <w:t>N</w:t>
            </w:r>
          </w:p>
        </w:tc>
        <w:tc>
          <w:tcPr>
            <w:tcW w:w="1134" w:type="dxa"/>
            <w:tcBorders>
              <w:top w:val="nil"/>
              <w:left w:val="single" w:sz="16" w:space="0" w:color="000000"/>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jc w:val="right"/>
              <w:rPr>
                <w:rFonts w:cs="Arial"/>
                <w:color w:val="000000"/>
                <w:sz w:val="20"/>
                <w:szCs w:val="20"/>
              </w:rPr>
            </w:pPr>
            <w:r w:rsidRPr="00D44703">
              <w:rPr>
                <w:rFonts w:cs="Arial"/>
                <w:color w:val="000000"/>
                <w:sz w:val="20"/>
                <w:szCs w:val="20"/>
              </w:rPr>
              <w:t>51</w:t>
            </w:r>
          </w:p>
        </w:tc>
        <w:tc>
          <w:tcPr>
            <w:tcW w:w="1276" w:type="dxa"/>
            <w:tcBorders>
              <w:top w:val="nil"/>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jc w:val="right"/>
              <w:rPr>
                <w:rFonts w:cs="Arial"/>
                <w:color w:val="000000"/>
                <w:sz w:val="20"/>
                <w:szCs w:val="20"/>
              </w:rPr>
            </w:pPr>
          </w:p>
        </w:tc>
        <w:tc>
          <w:tcPr>
            <w:tcW w:w="1134" w:type="dxa"/>
            <w:tcBorders>
              <w:top w:val="nil"/>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jc w:val="right"/>
              <w:rPr>
                <w:rFonts w:cs="Arial"/>
                <w:color w:val="000000"/>
                <w:sz w:val="20"/>
                <w:szCs w:val="20"/>
              </w:rPr>
            </w:pPr>
          </w:p>
        </w:tc>
        <w:tc>
          <w:tcPr>
            <w:tcW w:w="1134" w:type="dxa"/>
            <w:tcBorders>
              <w:top w:val="nil"/>
              <w:right w:val="single" w:sz="16" w:space="0" w:color="000000"/>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jc w:val="right"/>
              <w:rPr>
                <w:rFonts w:cs="Arial"/>
                <w:color w:val="000000"/>
                <w:sz w:val="20"/>
                <w:szCs w:val="20"/>
              </w:rPr>
            </w:pPr>
          </w:p>
        </w:tc>
      </w:tr>
      <w:tr w:rsidR="00FD5242" w:rsidRPr="00385D2D" w:rsidTr="00307B0F">
        <w:trPr>
          <w:cantSplit/>
          <w:trHeight w:val="354"/>
          <w:tblHeader/>
        </w:trPr>
        <w:tc>
          <w:tcPr>
            <w:tcW w:w="2157" w:type="dxa"/>
            <w:vMerge w:val="restart"/>
            <w:tcBorders>
              <w:left w:val="single" w:sz="16" w:space="0" w:color="000000"/>
              <w:right w:val="nil"/>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rPr>
                <w:rFonts w:cs="Arial"/>
                <w:color w:val="000000"/>
                <w:sz w:val="20"/>
                <w:szCs w:val="20"/>
              </w:rPr>
            </w:pPr>
            <w:r w:rsidRPr="00D44703">
              <w:rPr>
                <w:rFonts w:cs="Arial"/>
                <w:color w:val="000000"/>
                <w:sz w:val="20"/>
                <w:szCs w:val="20"/>
              </w:rPr>
              <w:t>DRit</w:t>
            </w:r>
          </w:p>
        </w:tc>
        <w:tc>
          <w:tcPr>
            <w:tcW w:w="1417" w:type="dxa"/>
            <w:tcBorders>
              <w:left w:val="nil"/>
              <w:bottom w:val="nil"/>
              <w:right w:val="single" w:sz="16" w:space="0" w:color="000000"/>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rPr>
                <w:rFonts w:cs="Arial"/>
                <w:color w:val="000000"/>
                <w:sz w:val="20"/>
                <w:szCs w:val="20"/>
              </w:rPr>
            </w:pPr>
            <w:r w:rsidRPr="00D44703">
              <w:rPr>
                <w:rFonts w:cs="Arial"/>
                <w:color w:val="000000"/>
                <w:sz w:val="20"/>
                <w:szCs w:val="20"/>
              </w:rPr>
              <w:t>Pearson Correlation</w:t>
            </w:r>
          </w:p>
        </w:tc>
        <w:tc>
          <w:tcPr>
            <w:tcW w:w="1134" w:type="dxa"/>
            <w:tcBorders>
              <w:left w:val="single" w:sz="16" w:space="0" w:color="000000"/>
              <w:bottom w:val="nil"/>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jc w:val="right"/>
              <w:rPr>
                <w:rFonts w:cs="Arial"/>
                <w:color w:val="000000"/>
                <w:sz w:val="20"/>
                <w:szCs w:val="20"/>
              </w:rPr>
            </w:pPr>
            <w:r w:rsidRPr="00D44703">
              <w:rPr>
                <w:rFonts w:cs="Arial"/>
                <w:color w:val="000000"/>
                <w:sz w:val="20"/>
                <w:szCs w:val="20"/>
              </w:rPr>
              <w:t>-,426</w:t>
            </w:r>
            <w:r w:rsidRPr="00D44703">
              <w:rPr>
                <w:rFonts w:cs="Arial"/>
                <w:color w:val="000000"/>
                <w:sz w:val="20"/>
                <w:szCs w:val="20"/>
                <w:vertAlign w:val="superscript"/>
              </w:rPr>
              <w:t>**</w:t>
            </w:r>
          </w:p>
        </w:tc>
        <w:tc>
          <w:tcPr>
            <w:tcW w:w="1276" w:type="dxa"/>
            <w:tcBorders>
              <w:bottom w:val="nil"/>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jc w:val="right"/>
              <w:rPr>
                <w:rFonts w:cs="Arial"/>
                <w:color w:val="000000"/>
                <w:sz w:val="20"/>
                <w:szCs w:val="20"/>
              </w:rPr>
            </w:pPr>
            <w:r w:rsidRPr="00D44703">
              <w:rPr>
                <w:rFonts w:cs="Arial"/>
                <w:color w:val="000000"/>
                <w:sz w:val="20"/>
                <w:szCs w:val="20"/>
              </w:rPr>
              <w:t>1</w:t>
            </w:r>
          </w:p>
        </w:tc>
        <w:tc>
          <w:tcPr>
            <w:tcW w:w="1134" w:type="dxa"/>
            <w:tcBorders>
              <w:bottom w:val="nil"/>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jc w:val="right"/>
              <w:rPr>
                <w:rFonts w:cs="Arial"/>
                <w:color w:val="000000"/>
                <w:sz w:val="20"/>
                <w:szCs w:val="20"/>
              </w:rPr>
            </w:pPr>
          </w:p>
        </w:tc>
        <w:tc>
          <w:tcPr>
            <w:tcW w:w="1134" w:type="dxa"/>
            <w:tcBorders>
              <w:bottom w:val="nil"/>
              <w:right w:val="single" w:sz="16" w:space="0" w:color="000000"/>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jc w:val="right"/>
              <w:rPr>
                <w:rFonts w:cs="Arial"/>
                <w:color w:val="000000"/>
                <w:sz w:val="20"/>
                <w:szCs w:val="20"/>
              </w:rPr>
            </w:pPr>
          </w:p>
        </w:tc>
      </w:tr>
      <w:tr w:rsidR="00FD5242" w:rsidRPr="00385D2D" w:rsidTr="00307B0F">
        <w:trPr>
          <w:cantSplit/>
          <w:trHeight w:val="148"/>
          <w:tblHeader/>
        </w:trPr>
        <w:tc>
          <w:tcPr>
            <w:tcW w:w="2157" w:type="dxa"/>
            <w:vMerge/>
            <w:tcBorders>
              <w:left w:val="single" w:sz="16" w:space="0" w:color="000000"/>
              <w:right w:val="nil"/>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240" w:lineRule="auto"/>
              <w:rPr>
                <w:rFonts w:cs="Arial"/>
                <w:color w:val="000000"/>
                <w:sz w:val="20"/>
                <w:szCs w:val="20"/>
              </w:rPr>
            </w:pPr>
          </w:p>
        </w:tc>
        <w:tc>
          <w:tcPr>
            <w:tcW w:w="1417" w:type="dxa"/>
            <w:tcBorders>
              <w:top w:val="nil"/>
              <w:left w:val="nil"/>
              <w:bottom w:val="nil"/>
              <w:right w:val="single" w:sz="16" w:space="0" w:color="000000"/>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rPr>
                <w:rFonts w:cs="Arial"/>
                <w:color w:val="000000"/>
                <w:sz w:val="20"/>
                <w:szCs w:val="20"/>
              </w:rPr>
            </w:pPr>
            <w:r w:rsidRPr="00D44703">
              <w:rPr>
                <w:rFonts w:cs="Arial"/>
                <w:color w:val="000000"/>
                <w:sz w:val="20"/>
                <w:szCs w:val="20"/>
              </w:rPr>
              <w:t>Sig. (2-tailed)</w:t>
            </w:r>
          </w:p>
        </w:tc>
        <w:tc>
          <w:tcPr>
            <w:tcW w:w="1134" w:type="dxa"/>
            <w:tcBorders>
              <w:top w:val="nil"/>
              <w:left w:val="single" w:sz="16" w:space="0" w:color="000000"/>
              <w:bottom w:val="nil"/>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jc w:val="right"/>
              <w:rPr>
                <w:rFonts w:cs="Arial"/>
                <w:color w:val="000000"/>
                <w:sz w:val="20"/>
                <w:szCs w:val="20"/>
              </w:rPr>
            </w:pPr>
            <w:r w:rsidRPr="00D44703">
              <w:rPr>
                <w:rFonts w:cs="Arial"/>
                <w:color w:val="000000"/>
                <w:sz w:val="20"/>
                <w:szCs w:val="20"/>
              </w:rPr>
              <w:t>,002</w:t>
            </w:r>
          </w:p>
        </w:tc>
        <w:tc>
          <w:tcPr>
            <w:tcW w:w="1276" w:type="dxa"/>
            <w:tcBorders>
              <w:top w:val="nil"/>
              <w:bottom w:val="nil"/>
            </w:tcBorders>
            <w:shd w:val="clear" w:color="auto" w:fill="FFFFFF"/>
            <w:tcMar>
              <w:top w:w="30" w:type="dxa"/>
              <w:left w:w="30" w:type="dxa"/>
              <w:bottom w:w="30" w:type="dxa"/>
              <w:right w:w="30" w:type="dxa"/>
            </w:tcMar>
            <w:vAlign w:val="center"/>
          </w:tcPr>
          <w:p w:rsidR="00FD5242" w:rsidRPr="00D44703" w:rsidRDefault="00FD5242" w:rsidP="00CD4BC7">
            <w:pPr>
              <w:autoSpaceDE w:val="0"/>
              <w:autoSpaceDN w:val="0"/>
              <w:adjustRightInd w:val="0"/>
              <w:spacing w:after="0" w:line="240" w:lineRule="auto"/>
              <w:jc w:val="center"/>
              <w:rPr>
                <w:sz w:val="20"/>
                <w:szCs w:val="20"/>
              </w:rPr>
            </w:pPr>
          </w:p>
        </w:tc>
        <w:tc>
          <w:tcPr>
            <w:tcW w:w="1134" w:type="dxa"/>
            <w:tcBorders>
              <w:top w:val="nil"/>
              <w:bottom w:val="nil"/>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jc w:val="right"/>
              <w:rPr>
                <w:rFonts w:cs="Arial"/>
                <w:color w:val="000000"/>
                <w:sz w:val="20"/>
                <w:szCs w:val="20"/>
              </w:rPr>
            </w:pPr>
          </w:p>
        </w:tc>
        <w:tc>
          <w:tcPr>
            <w:tcW w:w="1134" w:type="dxa"/>
            <w:tcBorders>
              <w:top w:val="nil"/>
              <w:bottom w:val="nil"/>
              <w:right w:val="single" w:sz="16" w:space="0" w:color="000000"/>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jc w:val="right"/>
              <w:rPr>
                <w:rFonts w:cs="Arial"/>
                <w:color w:val="000000"/>
                <w:sz w:val="20"/>
                <w:szCs w:val="20"/>
              </w:rPr>
            </w:pPr>
          </w:p>
        </w:tc>
      </w:tr>
      <w:tr w:rsidR="00FD5242" w:rsidRPr="00385D2D" w:rsidTr="00307B0F">
        <w:trPr>
          <w:cantSplit/>
          <w:trHeight w:val="148"/>
          <w:tblHeader/>
        </w:trPr>
        <w:tc>
          <w:tcPr>
            <w:tcW w:w="2157" w:type="dxa"/>
            <w:vMerge/>
            <w:tcBorders>
              <w:left w:val="single" w:sz="16" w:space="0" w:color="000000"/>
              <w:right w:val="nil"/>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240" w:lineRule="auto"/>
              <w:rPr>
                <w:rFonts w:cs="Arial"/>
                <w:color w:val="000000"/>
                <w:sz w:val="20"/>
                <w:szCs w:val="20"/>
              </w:rPr>
            </w:pPr>
          </w:p>
        </w:tc>
        <w:tc>
          <w:tcPr>
            <w:tcW w:w="1417" w:type="dxa"/>
            <w:tcBorders>
              <w:top w:val="nil"/>
              <w:left w:val="nil"/>
              <w:right w:val="single" w:sz="16" w:space="0" w:color="000000"/>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rPr>
                <w:rFonts w:cs="Arial"/>
                <w:color w:val="000000"/>
                <w:sz w:val="20"/>
                <w:szCs w:val="20"/>
              </w:rPr>
            </w:pPr>
            <w:r w:rsidRPr="00D44703">
              <w:rPr>
                <w:rFonts w:cs="Arial"/>
                <w:color w:val="000000"/>
                <w:sz w:val="20"/>
                <w:szCs w:val="20"/>
              </w:rPr>
              <w:t>N</w:t>
            </w:r>
          </w:p>
        </w:tc>
        <w:tc>
          <w:tcPr>
            <w:tcW w:w="1134" w:type="dxa"/>
            <w:tcBorders>
              <w:top w:val="nil"/>
              <w:left w:val="single" w:sz="16" w:space="0" w:color="000000"/>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jc w:val="right"/>
              <w:rPr>
                <w:rFonts w:cs="Arial"/>
                <w:color w:val="000000"/>
                <w:sz w:val="20"/>
                <w:szCs w:val="20"/>
              </w:rPr>
            </w:pPr>
            <w:r w:rsidRPr="00D44703">
              <w:rPr>
                <w:rFonts w:cs="Arial"/>
                <w:color w:val="000000"/>
                <w:sz w:val="20"/>
                <w:szCs w:val="20"/>
              </w:rPr>
              <w:t>51</w:t>
            </w:r>
          </w:p>
        </w:tc>
        <w:tc>
          <w:tcPr>
            <w:tcW w:w="1276" w:type="dxa"/>
            <w:tcBorders>
              <w:top w:val="nil"/>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jc w:val="right"/>
              <w:rPr>
                <w:rFonts w:cs="Arial"/>
                <w:color w:val="000000"/>
                <w:sz w:val="20"/>
                <w:szCs w:val="20"/>
              </w:rPr>
            </w:pPr>
            <w:r w:rsidRPr="00D44703">
              <w:rPr>
                <w:rFonts w:cs="Arial"/>
                <w:color w:val="000000"/>
                <w:sz w:val="20"/>
                <w:szCs w:val="20"/>
              </w:rPr>
              <w:t>103</w:t>
            </w:r>
          </w:p>
        </w:tc>
        <w:tc>
          <w:tcPr>
            <w:tcW w:w="1134" w:type="dxa"/>
            <w:tcBorders>
              <w:top w:val="nil"/>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jc w:val="right"/>
              <w:rPr>
                <w:rFonts w:cs="Arial"/>
                <w:color w:val="000000"/>
                <w:sz w:val="20"/>
                <w:szCs w:val="20"/>
              </w:rPr>
            </w:pPr>
          </w:p>
        </w:tc>
        <w:tc>
          <w:tcPr>
            <w:tcW w:w="1134" w:type="dxa"/>
            <w:tcBorders>
              <w:top w:val="nil"/>
              <w:right w:val="single" w:sz="16" w:space="0" w:color="000000"/>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jc w:val="right"/>
              <w:rPr>
                <w:rFonts w:cs="Arial"/>
                <w:color w:val="000000"/>
                <w:sz w:val="20"/>
                <w:szCs w:val="20"/>
              </w:rPr>
            </w:pPr>
          </w:p>
        </w:tc>
      </w:tr>
      <w:tr w:rsidR="00FD5242" w:rsidRPr="00385D2D" w:rsidTr="00307B0F">
        <w:trPr>
          <w:cantSplit/>
          <w:trHeight w:val="354"/>
          <w:tblHeader/>
        </w:trPr>
        <w:tc>
          <w:tcPr>
            <w:tcW w:w="2157" w:type="dxa"/>
            <w:vMerge w:val="restart"/>
            <w:tcBorders>
              <w:left w:val="single" w:sz="16" w:space="0" w:color="000000"/>
              <w:right w:val="nil"/>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rPr>
                <w:rFonts w:cs="Arial"/>
                <w:color w:val="000000"/>
                <w:sz w:val="20"/>
                <w:szCs w:val="20"/>
                <w:lang w:val="en-US"/>
              </w:rPr>
            </w:pPr>
            <w:r w:rsidRPr="00D44703">
              <w:rPr>
                <w:rFonts w:cs="Arial"/>
                <w:color w:val="000000"/>
                <w:sz w:val="20"/>
                <w:szCs w:val="20"/>
              </w:rPr>
              <w:t>Rit</w:t>
            </w:r>
          </w:p>
          <w:p w:rsidR="00FD5242" w:rsidRPr="00D44703" w:rsidRDefault="00FD5242" w:rsidP="00CD4BC7">
            <w:pPr>
              <w:autoSpaceDE w:val="0"/>
              <w:autoSpaceDN w:val="0"/>
              <w:adjustRightInd w:val="0"/>
              <w:spacing w:after="0" w:line="320" w:lineRule="atLeast"/>
              <w:rPr>
                <w:rFonts w:cs="Arial"/>
                <w:color w:val="000000"/>
                <w:sz w:val="20"/>
                <w:szCs w:val="20"/>
                <w:lang w:val="en-US"/>
              </w:rPr>
            </w:pPr>
            <w:r w:rsidRPr="00D44703">
              <w:rPr>
                <w:rFonts w:cs="Arial"/>
                <w:color w:val="000000"/>
                <w:sz w:val="20"/>
                <w:szCs w:val="20"/>
                <w:lang w:val="en-US"/>
              </w:rPr>
              <w:t>(</w:t>
            </w:r>
            <w:r w:rsidRPr="00D44703">
              <w:rPr>
                <w:rFonts w:cs="Arial"/>
                <w:color w:val="000000"/>
                <w:sz w:val="20"/>
                <w:szCs w:val="20"/>
              </w:rPr>
              <w:t>Return</w:t>
            </w:r>
            <w:r w:rsidRPr="00D44703">
              <w:rPr>
                <w:rFonts w:cs="Arial"/>
                <w:color w:val="000000"/>
                <w:sz w:val="20"/>
                <w:szCs w:val="20"/>
                <w:lang w:val="en-US"/>
              </w:rPr>
              <w:t xml:space="preserve"> </w:t>
            </w:r>
            <w:r w:rsidRPr="00D44703">
              <w:rPr>
                <w:rFonts w:cs="Arial"/>
                <w:color w:val="000000"/>
                <w:sz w:val="20"/>
                <w:szCs w:val="20"/>
              </w:rPr>
              <w:t>On</w:t>
            </w:r>
            <w:r w:rsidRPr="00D44703">
              <w:rPr>
                <w:rFonts w:cs="Arial"/>
                <w:color w:val="000000"/>
                <w:sz w:val="20"/>
                <w:szCs w:val="20"/>
                <w:lang w:val="en-US"/>
              </w:rPr>
              <w:t xml:space="preserve"> </w:t>
            </w:r>
            <w:r w:rsidRPr="00D44703">
              <w:rPr>
                <w:rFonts w:cs="Arial"/>
                <w:color w:val="000000"/>
                <w:sz w:val="20"/>
                <w:szCs w:val="20"/>
              </w:rPr>
              <w:t>Equity</w:t>
            </w:r>
            <w:r w:rsidRPr="00D44703">
              <w:rPr>
                <w:rFonts w:cs="Arial"/>
                <w:color w:val="000000"/>
                <w:sz w:val="20"/>
                <w:szCs w:val="20"/>
                <w:lang w:val="en-US"/>
              </w:rPr>
              <w:t>)</w:t>
            </w:r>
          </w:p>
        </w:tc>
        <w:tc>
          <w:tcPr>
            <w:tcW w:w="1417" w:type="dxa"/>
            <w:tcBorders>
              <w:left w:val="nil"/>
              <w:bottom w:val="nil"/>
              <w:right w:val="single" w:sz="16" w:space="0" w:color="000000"/>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rPr>
                <w:rFonts w:cs="Arial"/>
                <w:color w:val="000000"/>
                <w:sz w:val="20"/>
                <w:szCs w:val="20"/>
              </w:rPr>
            </w:pPr>
            <w:r w:rsidRPr="00D44703">
              <w:rPr>
                <w:rFonts w:cs="Arial"/>
                <w:color w:val="000000"/>
                <w:sz w:val="20"/>
                <w:szCs w:val="20"/>
              </w:rPr>
              <w:t>Pearson Correlation</w:t>
            </w:r>
          </w:p>
        </w:tc>
        <w:tc>
          <w:tcPr>
            <w:tcW w:w="1134" w:type="dxa"/>
            <w:tcBorders>
              <w:left w:val="single" w:sz="16" w:space="0" w:color="000000"/>
              <w:bottom w:val="nil"/>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jc w:val="right"/>
              <w:rPr>
                <w:rFonts w:cs="Arial"/>
                <w:color w:val="000000"/>
                <w:sz w:val="20"/>
                <w:szCs w:val="20"/>
              </w:rPr>
            </w:pPr>
            <w:r w:rsidRPr="00D44703">
              <w:rPr>
                <w:rFonts w:cs="Arial"/>
                <w:color w:val="000000"/>
                <w:sz w:val="20"/>
                <w:szCs w:val="20"/>
              </w:rPr>
              <w:t>,476</w:t>
            </w:r>
            <w:r w:rsidRPr="00D44703">
              <w:rPr>
                <w:rFonts w:cs="Arial"/>
                <w:color w:val="000000"/>
                <w:sz w:val="20"/>
                <w:szCs w:val="20"/>
                <w:vertAlign w:val="superscript"/>
              </w:rPr>
              <w:t>**</w:t>
            </w:r>
          </w:p>
        </w:tc>
        <w:tc>
          <w:tcPr>
            <w:tcW w:w="1276" w:type="dxa"/>
            <w:tcBorders>
              <w:bottom w:val="nil"/>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jc w:val="right"/>
              <w:rPr>
                <w:rFonts w:cs="Arial"/>
                <w:color w:val="000000"/>
                <w:sz w:val="20"/>
                <w:szCs w:val="20"/>
              </w:rPr>
            </w:pPr>
            <w:r w:rsidRPr="00D44703">
              <w:rPr>
                <w:rFonts w:cs="Arial"/>
                <w:color w:val="000000"/>
                <w:sz w:val="20"/>
                <w:szCs w:val="20"/>
              </w:rPr>
              <w:t>-,679</w:t>
            </w:r>
            <w:r w:rsidRPr="00D44703">
              <w:rPr>
                <w:rFonts w:cs="Arial"/>
                <w:color w:val="000000"/>
                <w:sz w:val="20"/>
                <w:szCs w:val="20"/>
                <w:vertAlign w:val="superscript"/>
              </w:rPr>
              <w:t>**</w:t>
            </w:r>
          </w:p>
        </w:tc>
        <w:tc>
          <w:tcPr>
            <w:tcW w:w="1134" w:type="dxa"/>
            <w:tcBorders>
              <w:bottom w:val="nil"/>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jc w:val="right"/>
              <w:rPr>
                <w:rFonts w:cs="Arial"/>
                <w:color w:val="000000"/>
                <w:sz w:val="20"/>
                <w:szCs w:val="20"/>
              </w:rPr>
            </w:pPr>
            <w:r w:rsidRPr="00D44703">
              <w:rPr>
                <w:rFonts w:cs="Arial"/>
                <w:color w:val="000000"/>
                <w:sz w:val="20"/>
                <w:szCs w:val="20"/>
              </w:rPr>
              <w:t>1</w:t>
            </w:r>
          </w:p>
        </w:tc>
        <w:tc>
          <w:tcPr>
            <w:tcW w:w="1134" w:type="dxa"/>
            <w:tcBorders>
              <w:bottom w:val="nil"/>
              <w:right w:val="single" w:sz="16" w:space="0" w:color="000000"/>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jc w:val="right"/>
              <w:rPr>
                <w:rFonts w:cs="Arial"/>
                <w:color w:val="000000"/>
                <w:sz w:val="20"/>
                <w:szCs w:val="20"/>
              </w:rPr>
            </w:pPr>
          </w:p>
        </w:tc>
      </w:tr>
      <w:tr w:rsidR="00FD5242" w:rsidRPr="00385D2D" w:rsidTr="00307B0F">
        <w:trPr>
          <w:cantSplit/>
          <w:trHeight w:val="148"/>
          <w:tblHeader/>
        </w:trPr>
        <w:tc>
          <w:tcPr>
            <w:tcW w:w="2157" w:type="dxa"/>
            <w:vMerge/>
            <w:tcBorders>
              <w:left w:val="single" w:sz="16" w:space="0" w:color="000000"/>
              <w:right w:val="nil"/>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240" w:lineRule="auto"/>
              <w:rPr>
                <w:rFonts w:cs="Arial"/>
                <w:color w:val="000000"/>
                <w:sz w:val="20"/>
                <w:szCs w:val="20"/>
              </w:rPr>
            </w:pPr>
          </w:p>
        </w:tc>
        <w:tc>
          <w:tcPr>
            <w:tcW w:w="1417" w:type="dxa"/>
            <w:tcBorders>
              <w:top w:val="nil"/>
              <w:left w:val="nil"/>
              <w:bottom w:val="nil"/>
              <w:right w:val="single" w:sz="16" w:space="0" w:color="000000"/>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rPr>
                <w:rFonts w:cs="Arial"/>
                <w:color w:val="000000"/>
                <w:sz w:val="20"/>
                <w:szCs w:val="20"/>
              </w:rPr>
            </w:pPr>
            <w:r w:rsidRPr="00D44703">
              <w:rPr>
                <w:rFonts w:cs="Arial"/>
                <w:color w:val="000000"/>
                <w:sz w:val="20"/>
                <w:szCs w:val="20"/>
              </w:rPr>
              <w:t>Sig. (2-tailed)</w:t>
            </w:r>
          </w:p>
        </w:tc>
        <w:tc>
          <w:tcPr>
            <w:tcW w:w="1134" w:type="dxa"/>
            <w:tcBorders>
              <w:top w:val="nil"/>
              <w:left w:val="single" w:sz="16" w:space="0" w:color="000000"/>
              <w:bottom w:val="nil"/>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jc w:val="right"/>
              <w:rPr>
                <w:rFonts w:cs="Arial"/>
                <w:color w:val="000000"/>
                <w:sz w:val="20"/>
                <w:szCs w:val="20"/>
              </w:rPr>
            </w:pPr>
            <w:r w:rsidRPr="00D44703">
              <w:rPr>
                <w:rFonts w:cs="Arial"/>
                <w:color w:val="000000"/>
                <w:sz w:val="20"/>
                <w:szCs w:val="20"/>
              </w:rPr>
              <w:t>,000</w:t>
            </w:r>
          </w:p>
        </w:tc>
        <w:tc>
          <w:tcPr>
            <w:tcW w:w="1276" w:type="dxa"/>
            <w:tcBorders>
              <w:top w:val="nil"/>
              <w:bottom w:val="nil"/>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jc w:val="right"/>
              <w:rPr>
                <w:rFonts w:cs="Arial"/>
                <w:color w:val="000000"/>
                <w:sz w:val="20"/>
                <w:szCs w:val="20"/>
              </w:rPr>
            </w:pPr>
            <w:r w:rsidRPr="00D44703">
              <w:rPr>
                <w:rFonts w:cs="Arial"/>
                <w:color w:val="000000"/>
                <w:sz w:val="20"/>
                <w:szCs w:val="20"/>
              </w:rPr>
              <w:t>,000</w:t>
            </w:r>
          </w:p>
        </w:tc>
        <w:tc>
          <w:tcPr>
            <w:tcW w:w="1134" w:type="dxa"/>
            <w:tcBorders>
              <w:top w:val="nil"/>
              <w:bottom w:val="nil"/>
            </w:tcBorders>
            <w:shd w:val="clear" w:color="auto" w:fill="FFFFFF"/>
            <w:tcMar>
              <w:top w:w="30" w:type="dxa"/>
              <w:left w:w="30" w:type="dxa"/>
              <w:bottom w:w="30" w:type="dxa"/>
              <w:right w:w="30" w:type="dxa"/>
            </w:tcMar>
            <w:vAlign w:val="center"/>
          </w:tcPr>
          <w:p w:rsidR="00FD5242" w:rsidRPr="00D44703" w:rsidRDefault="00FD5242" w:rsidP="00CD4BC7">
            <w:pPr>
              <w:autoSpaceDE w:val="0"/>
              <w:autoSpaceDN w:val="0"/>
              <w:adjustRightInd w:val="0"/>
              <w:spacing w:after="0" w:line="240" w:lineRule="auto"/>
              <w:jc w:val="center"/>
              <w:rPr>
                <w:sz w:val="20"/>
                <w:szCs w:val="20"/>
              </w:rPr>
            </w:pPr>
          </w:p>
        </w:tc>
        <w:tc>
          <w:tcPr>
            <w:tcW w:w="1134" w:type="dxa"/>
            <w:tcBorders>
              <w:top w:val="nil"/>
              <w:bottom w:val="nil"/>
              <w:right w:val="single" w:sz="16" w:space="0" w:color="000000"/>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jc w:val="right"/>
              <w:rPr>
                <w:rFonts w:cs="Arial"/>
                <w:color w:val="000000"/>
                <w:sz w:val="20"/>
                <w:szCs w:val="20"/>
              </w:rPr>
            </w:pPr>
          </w:p>
        </w:tc>
      </w:tr>
      <w:tr w:rsidR="00FD5242" w:rsidRPr="00385D2D" w:rsidTr="00307B0F">
        <w:trPr>
          <w:cantSplit/>
          <w:trHeight w:val="148"/>
          <w:tblHeader/>
        </w:trPr>
        <w:tc>
          <w:tcPr>
            <w:tcW w:w="2157" w:type="dxa"/>
            <w:vMerge/>
            <w:tcBorders>
              <w:left w:val="single" w:sz="16" w:space="0" w:color="000000"/>
              <w:right w:val="nil"/>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240" w:lineRule="auto"/>
              <w:rPr>
                <w:rFonts w:cs="Arial"/>
                <w:color w:val="000000"/>
                <w:sz w:val="20"/>
                <w:szCs w:val="20"/>
              </w:rPr>
            </w:pPr>
          </w:p>
        </w:tc>
        <w:tc>
          <w:tcPr>
            <w:tcW w:w="1417" w:type="dxa"/>
            <w:tcBorders>
              <w:top w:val="nil"/>
              <w:left w:val="nil"/>
              <w:right w:val="single" w:sz="16" w:space="0" w:color="000000"/>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rPr>
                <w:rFonts w:cs="Arial"/>
                <w:color w:val="000000"/>
                <w:sz w:val="20"/>
                <w:szCs w:val="20"/>
              </w:rPr>
            </w:pPr>
            <w:r w:rsidRPr="00D44703">
              <w:rPr>
                <w:rFonts w:cs="Arial"/>
                <w:color w:val="000000"/>
                <w:sz w:val="20"/>
                <w:szCs w:val="20"/>
              </w:rPr>
              <w:t>N</w:t>
            </w:r>
          </w:p>
        </w:tc>
        <w:tc>
          <w:tcPr>
            <w:tcW w:w="1134" w:type="dxa"/>
            <w:tcBorders>
              <w:top w:val="nil"/>
              <w:left w:val="single" w:sz="16" w:space="0" w:color="000000"/>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jc w:val="right"/>
              <w:rPr>
                <w:rFonts w:cs="Arial"/>
                <w:color w:val="000000"/>
                <w:sz w:val="20"/>
                <w:szCs w:val="20"/>
                <w:lang w:val="en-US"/>
              </w:rPr>
            </w:pPr>
            <w:r w:rsidRPr="00D44703">
              <w:rPr>
                <w:rFonts w:cs="Arial"/>
                <w:color w:val="000000"/>
                <w:sz w:val="20"/>
                <w:szCs w:val="20"/>
              </w:rPr>
              <w:t>5</w:t>
            </w:r>
            <w:r w:rsidRPr="00D44703">
              <w:rPr>
                <w:rFonts w:cs="Arial"/>
                <w:color w:val="000000"/>
                <w:sz w:val="20"/>
                <w:szCs w:val="20"/>
                <w:lang w:val="en-US"/>
              </w:rPr>
              <w:t>1</w:t>
            </w:r>
          </w:p>
        </w:tc>
        <w:tc>
          <w:tcPr>
            <w:tcW w:w="1276" w:type="dxa"/>
            <w:tcBorders>
              <w:top w:val="nil"/>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jc w:val="right"/>
              <w:rPr>
                <w:rFonts w:cs="Arial"/>
                <w:color w:val="000000"/>
                <w:sz w:val="20"/>
                <w:szCs w:val="20"/>
              </w:rPr>
            </w:pPr>
            <w:r w:rsidRPr="00D44703">
              <w:rPr>
                <w:rFonts w:cs="Arial"/>
                <w:color w:val="000000"/>
                <w:sz w:val="20"/>
                <w:szCs w:val="20"/>
              </w:rPr>
              <w:t>102</w:t>
            </w:r>
          </w:p>
        </w:tc>
        <w:tc>
          <w:tcPr>
            <w:tcW w:w="1134" w:type="dxa"/>
            <w:tcBorders>
              <w:top w:val="nil"/>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jc w:val="right"/>
              <w:rPr>
                <w:rFonts w:cs="Arial"/>
                <w:color w:val="000000"/>
                <w:sz w:val="20"/>
                <w:szCs w:val="20"/>
              </w:rPr>
            </w:pPr>
            <w:r w:rsidRPr="00D44703">
              <w:rPr>
                <w:rFonts w:cs="Arial"/>
                <w:color w:val="000000"/>
                <w:sz w:val="20"/>
                <w:szCs w:val="20"/>
              </w:rPr>
              <w:t>102</w:t>
            </w:r>
          </w:p>
        </w:tc>
        <w:tc>
          <w:tcPr>
            <w:tcW w:w="1134" w:type="dxa"/>
            <w:tcBorders>
              <w:top w:val="nil"/>
              <w:right w:val="single" w:sz="16" w:space="0" w:color="000000"/>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jc w:val="right"/>
              <w:rPr>
                <w:rFonts w:cs="Arial"/>
                <w:color w:val="000000"/>
                <w:sz w:val="20"/>
                <w:szCs w:val="20"/>
              </w:rPr>
            </w:pPr>
          </w:p>
        </w:tc>
      </w:tr>
      <w:tr w:rsidR="00FD5242" w:rsidRPr="00385D2D" w:rsidTr="00307B0F">
        <w:trPr>
          <w:cantSplit/>
          <w:trHeight w:val="369"/>
          <w:tblHeader/>
        </w:trPr>
        <w:tc>
          <w:tcPr>
            <w:tcW w:w="2157" w:type="dxa"/>
            <w:vMerge w:val="restart"/>
            <w:tcBorders>
              <w:left w:val="single" w:sz="16" w:space="0" w:color="000000"/>
              <w:bottom w:val="single" w:sz="16" w:space="0" w:color="000000"/>
              <w:right w:val="nil"/>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rPr>
                <w:rFonts w:cs="Arial"/>
                <w:color w:val="000000"/>
                <w:sz w:val="20"/>
                <w:szCs w:val="20"/>
              </w:rPr>
            </w:pPr>
            <w:r w:rsidRPr="00D44703">
              <w:rPr>
                <w:rFonts w:cs="Arial"/>
                <w:color w:val="000000"/>
                <w:sz w:val="20"/>
                <w:szCs w:val="20"/>
              </w:rPr>
              <w:t>Rit</w:t>
            </w:r>
            <w:r w:rsidRPr="00D44703">
              <w:rPr>
                <w:rFonts w:cs="Arial"/>
                <w:color w:val="000000"/>
                <w:sz w:val="20"/>
                <w:szCs w:val="20"/>
                <w:lang w:val="en-US"/>
              </w:rPr>
              <w:t>*</w:t>
            </w:r>
            <w:r w:rsidRPr="00D44703">
              <w:rPr>
                <w:rFonts w:cs="Arial"/>
                <w:color w:val="000000"/>
                <w:sz w:val="20"/>
                <w:szCs w:val="20"/>
              </w:rPr>
              <w:t>DRit</w:t>
            </w:r>
          </w:p>
        </w:tc>
        <w:tc>
          <w:tcPr>
            <w:tcW w:w="1417" w:type="dxa"/>
            <w:tcBorders>
              <w:left w:val="nil"/>
              <w:bottom w:val="nil"/>
              <w:right w:val="single" w:sz="16" w:space="0" w:color="000000"/>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rPr>
                <w:rFonts w:cs="Arial"/>
                <w:color w:val="000000"/>
                <w:sz w:val="20"/>
                <w:szCs w:val="20"/>
              </w:rPr>
            </w:pPr>
            <w:r w:rsidRPr="00D44703">
              <w:rPr>
                <w:rFonts w:cs="Arial"/>
                <w:color w:val="000000"/>
                <w:sz w:val="20"/>
                <w:szCs w:val="20"/>
              </w:rPr>
              <w:t>Pearson Correlation</w:t>
            </w:r>
          </w:p>
        </w:tc>
        <w:tc>
          <w:tcPr>
            <w:tcW w:w="1134" w:type="dxa"/>
            <w:tcBorders>
              <w:left w:val="single" w:sz="16" w:space="0" w:color="000000"/>
              <w:bottom w:val="nil"/>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jc w:val="right"/>
              <w:rPr>
                <w:rFonts w:cs="Arial"/>
                <w:color w:val="000000"/>
                <w:sz w:val="20"/>
                <w:szCs w:val="20"/>
              </w:rPr>
            </w:pPr>
            <w:r w:rsidRPr="00D44703">
              <w:rPr>
                <w:rFonts w:cs="Arial"/>
                <w:color w:val="000000"/>
                <w:sz w:val="20"/>
                <w:szCs w:val="20"/>
              </w:rPr>
              <w:t>,449</w:t>
            </w:r>
            <w:r w:rsidRPr="00D44703">
              <w:rPr>
                <w:rFonts w:cs="Arial"/>
                <w:color w:val="000000"/>
                <w:sz w:val="20"/>
                <w:szCs w:val="20"/>
                <w:vertAlign w:val="superscript"/>
              </w:rPr>
              <w:t>**</w:t>
            </w:r>
          </w:p>
        </w:tc>
        <w:tc>
          <w:tcPr>
            <w:tcW w:w="1276" w:type="dxa"/>
            <w:tcBorders>
              <w:bottom w:val="nil"/>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jc w:val="right"/>
              <w:rPr>
                <w:rFonts w:cs="Arial"/>
                <w:color w:val="000000"/>
                <w:sz w:val="20"/>
                <w:szCs w:val="20"/>
              </w:rPr>
            </w:pPr>
            <w:r w:rsidRPr="00D44703">
              <w:rPr>
                <w:rFonts w:cs="Arial"/>
                <w:color w:val="000000"/>
                <w:sz w:val="20"/>
                <w:szCs w:val="20"/>
              </w:rPr>
              <w:t>-,803</w:t>
            </w:r>
            <w:r w:rsidRPr="00D44703">
              <w:rPr>
                <w:rFonts w:cs="Arial"/>
                <w:color w:val="000000"/>
                <w:sz w:val="20"/>
                <w:szCs w:val="20"/>
                <w:vertAlign w:val="superscript"/>
              </w:rPr>
              <w:t>**</w:t>
            </w:r>
          </w:p>
        </w:tc>
        <w:tc>
          <w:tcPr>
            <w:tcW w:w="1134" w:type="dxa"/>
            <w:tcBorders>
              <w:bottom w:val="nil"/>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jc w:val="right"/>
              <w:rPr>
                <w:rFonts w:cs="Arial"/>
                <w:color w:val="000000"/>
                <w:sz w:val="20"/>
                <w:szCs w:val="20"/>
              </w:rPr>
            </w:pPr>
            <w:r w:rsidRPr="00D44703">
              <w:rPr>
                <w:rFonts w:cs="Arial"/>
                <w:color w:val="000000"/>
                <w:sz w:val="20"/>
                <w:szCs w:val="20"/>
              </w:rPr>
              <w:t>,707</w:t>
            </w:r>
            <w:r w:rsidRPr="00D44703">
              <w:rPr>
                <w:rFonts w:cs="Arial"/>
                <w:color w:val="000000"/>
                <w:sz w:val="20"/>
                <w:szCs w:val="20"/>
                <w:vertAlign w:val="superscript"/>
              </w:rPr>
              <w:t>**</w:t>
            </w:r>
          </w:p>
        </w:tc>
        <w:tc>
          <w:tcPr>
            <w:tcW w:w="1134" w:type="dxa"/>
            <w:tcBorders>
              <w:bottom w:val="nil"/>
              <w:right w:val="single" w:sz="16" w:space="0" w:color="000000"/>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jc w:val="right"/>
              <w:rPr>
                <w:rFonts w:cs="Arial"/>
                <w:color w:val="000000"/>
                <w:sz w:val="20"/>
                <w:szCs w:val="20"/>
              </w:rPr>
            </w:pPr>
            <w:r w:rsidRPr="00D44703">
              <w:rPr>
                <w:rFonts w:cs="Arial"/>
                <w:color w:val="000000"/>
                <w:sz w:val="20"/>
                <w:szCs w:val="20"/>
              </w:rPr>
              <w:t>1</w:t>
            </w:r>
          </w:p>
        </w:tc>
      </w:tr>
      <w:tr w:rsidR="00FD5242" w:rsidRPr="00385D2D" w:rsidTr="00307B0F">
        <w:trPr>
          <w:cantSplit/>
          <w:trHeight w:val="148"/>
          <w:tblHeader/>
        </w:trPr>
        <w:tc>
          <w:tcPr>
            <w:tcW w:w="2157" w:type="dxa"/>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240" w:lineRule="auto"/>
              <w:rPr>
                <w:rFonts w:cs="Arial"/>
                <w:color w:val="000000"/>
                <w:sz w:val="20"/>
                <w:szCs w:val="20"/>
              </w:rPr>
            </w:pPr>
          </w:p>
        </w:tc>
        <w:tc>
          <w:tcPr>
            <w:tcW w:w="1417" w:type="dxa"/>
            <w:tcBorders>
              <w:top w:val="nil"/>
              <w:left w:val="nil"/>
              <w:bottom w:val="nil"/>
              <w:right w:val="single" w:sz="16" w:space="0" w:color="000000"/>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rPr>
                <w:rFonts w:cs="Arial"/>
                <w:color w:val="000000"/>
                <w:sz w:val="20"/>
                <w:szCs w:val="20"/>
              </w:rPr>
            </w:pPr>
            <w:r w:rsidRPr="00D44703">
              <w:rPr>
                <w:rFonts w:cs="Arial"/>
                <w:color w:val="000000"/>
                <w:sz w:val="20"/>
                <w:szCs w:val="20"/>
              </w:rPr>
              <w:t>Sig. (2-tailed)</w:t>
            </w:r>
          </w:p>
        </w:tc>
        <w:tc>
          <w:tcPr>
            <w:tcW w:w="1134" w:type="dxa"/>
            <w:tcBorders>
              <w:top w:val="nil"/>
              <w:left w:val="single" w:sz="16" w:space="0" w:color="000000"/>
              <w:bottom w:val="nil"/>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jc w:val="right"/>
              <w:rPr>
                <w:rFonts w:cs="Arial"/>
                <w:color w:val="000000"/>
                <w:sz w:val="20"/>
                <w:szCs w:val="20"/>
              </w:rPr>
            </w:pPr>
            <w:r w:rsidRPr="00D44703">
              <w:rPr>
                <w:rFonts w:cs="Arial"/>
                <w:color w:val="000000"/>
                <w:sz w:val="20"/>
                <w:szCs w:val="20"/>
              </w:rPr>
              <w:t>,001</w:t>
            </w:r>
          </w:p>
        </w:tc>
        <w:tc>
          <w:tcPr>
            <w:tcW w:w="1276" w:type="dxa"/>
            <w:tcBorders>
              <w:top w:val="nil"/>
              <w:bottom w:val="nil"/>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jc w:val="right"/>
              <w:rPr>
                <w:rFonts w:cs="Arial"/>
                <w:color w:val="000000"/>
                <w:sz w:val="20"/>
                <w:szCs w:val="20"/>
              </w:rPr>
            </w:pPr>
            <w:r w:rsidRPr="00D44703">
              <w:rPr>
                <w:rFonts w:cs="Arial"/>
                <w:color w:val="000000"/>
                <w:sz w:val="20"/>
                <w:szCs w:val="20"/>
              </w:rPr>
              <w:t>,000</w:t>
            </w:r>
          </w:p>
        </w:tc>
        <w:tc>
          <w:tcPr>
            <w:tcW w:w="1134" w:type="dxa"/>
            <w:tcBorders>
              <w:top w:val="nil"/>
              <w:bottom w:val="nil"/>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jc w:val="right"/>
              <w:rPr>
                <w:rFonts w:cs="Arial"/>
                <w:color w:val="000000"/>
                <w:sz w:val="20"/>
                <w:szCs w:val="20"/>
              </w:rPr>
            </w:pPr>
            <w:r w:rsidRPr="00D44703">
              <w:rPr>
                <w:rFonts w:cs="Arial"/>
                <w:color w:val="000000"/>
                <w:sz w:val="20"/>
                <w:szCs w:val="20"/>
              </w:rPr>
              <w:t>,000</w:t>
            </w:r>
          </w:p>
        </w:tc>
        <w:tc>
          <w:tcPr>
            <w:tcW w:w="1134" w:type="dxa"/>
            <w:tcBorders>
              <w:top w:val="nil"/>
              <w:bottom w:val="nil"/>
              <w:right w:val="single" w:sz="16" w:space="0" w:color="000000"/>
            </w:tcBorders>
            <w:shd w:val="clear" w:color="auto" w:fill="FFFFFF"/>
            <w:tcMar>
              <w:top w:w="30" w:type="dxa"/>
              <w:left w:w="30" w:type="dxa"/>
              <w:bottom w:w="30" w:type="dxa"/>
              <w:right w:w="30" w:type="dxa"/>
            </w:tcMar>
            <w:vAlign w:val="center"/>
          </w:tcPr>
          <w:p w:rsidR="00FD5242" w:rsidRPr="00D44703" w:rsidRDefault="00FD5242" w:rsidP="00CD4BC7">
            <w:pPr>
              <w:autoSpaceDE w:val="0"/>
              <w:autoSpaceDN w:val="0"/>
              <w:adjustRightInd w:val="0"/>
              <w:spacing w:after="0" w:line="240" w:lineRule="auto"/>
              <w:jc w:val="center"/>
              <w:rPr>
                <w:sz w:val="20"/>
                <w:szCs w:val="20"/>
              </w:rPr>
            </w:pPr>
          </w:p>
        </w:tc>
      </w:tr>
      <w:tr w:rsidR="00FD5242" w:rsidRPr="00385D2D" w:rsidTr="00307B0F">
        <w:trPr>
          <w:cantSplit/>
          <w:trHeight w:val="141"/>
          <w:tblHeader/>
        </w:trPr>
        <w:tc>
          <w:tcPr>
            <w:tcW w:w="2157" w:type="dxa"/>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240" w:lineRule="auto"/>
              <w:rPr>
                <w:sz w:val="20"/>
                <w:szCs w:val="20"/>
              </w:rPr>
            </w:pPr>
          </w:p>
        </w:tc>
        <w:tc>
          <w:tcPr>
            <w:tcW w:w="1417"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rPr>
                <w:rFonts w:cs="Arial"/>
                <w:color w:val="000000"/>
                <w:sz w:val="20"/>
                <w:szCs w:val="20"/>
              </w:rPr>
            </w:pPr>
            <w:r w:rsidRPr="00D44703">
              <w:rPr>
                <w:rFonts w:cs="Arial"/>
                <w:color w:val="000000"/>
                <w:sz w:val="20"/>
                <w:szCs w:val="20"/>
              </w:rPr>
              <w:t>N</w:t>
            </w:r>
          </w:p>
        </w:tc>
        <w:tc>
          <w:tcPr>
            <w:tcW w:w="1134"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jc w:val="right"/>
              <w:rPr>
                <w:rFonts w:cs="Arial"/>
                <w:color w:val="000000"/>
                <w:sz w:val="20"/>
                <w:szCs w:val="20"/>
              </w:rPr>
            </w:pPr>
            <w:r w:rsidRPr="00D44703">
              <w:rPr>
                <w:rFonts w:cs="Arial"/>
                <w:color w:val="000000"/>
                <w:sz w:val="20"/>
                <w:szCs w:val="20"/>
              </w:rPr>
              <w:t>51</w:t>
            </w:r>
          </w:p>
        </w:tc>
        <w:tc>
          <w:tcPr>
            <w:tcW w:w="1276" w:type="dxa"/>
            <w:tcBorders>
              <w:top w:val="nil"/>
              <w:bottom w:val="single" w:sz="16" w:space="0" w:color="000000"/>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jc w:val="right"/>
              <w:rPr>
                <w:rFonts w:cs="Arial"/>
                <w:color w:val="000000"/>
                <w:sz w:val="20"/>
                <w:szCs w:val="20"/>
              </w:rPr>
            </w:pPr>
            <w:r w:rsidRPr="00D44703">
              <w:rPr>
                <w:rFonts w:cs="Arial"/>
                <w:color w:val="000000"/>
                <w:sz w:val="20"/>
                <w:szCs w:val="20"/>
              </w:rPr>
              <w:t>103</w:t>
            </w:r>
          </w:p>
        </w:tc>
        <w:tc>
          <w:tcPr>
            <w:tcW w:w="1134" w:type="dxa"/>
            <w:tcBorders>
              <w:top w:val="nil"/>
              <w:bottom w:val="single" w:sz="16" w:space="0" w:color="000000"/>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jc w:val="right"/>
              <w:rPr>
                <w:rFonts w:cs="Arial"/>
                <w:color w:val="000000"/>
                <w:sz w:val="20"/>
                <w:szCs w:val="20"/>
              </w:rPr>
            </w:pPr>
            <w:r w:rsidRPr="00D44703">
              <w:rPr>
                <w:rFonts w:cs="Arial"/>
                <w:color w:val="000000"/>
                <w:sz w:val="20"/>
                <w:szCs w:val="20"/>
              </w:rPr>
              <w:t>102</w:t>
            </w:r>
          </w:p>
        </w:tc>
        <w:tc>
          <w:tcPr>
            <w:tcW w:w="1134"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jc w:val="right"/>
              <w:rPr>
                <w:rFonts w:cs="Arial"/>
                <w:color w:val="000000"/>
                <w:sz w:val="20"/>
                <w:szCs w:val="20"/>
              </w:rPr>
            </w:pPr>
            <w:r w:rsidRPr="00D44703">
              <w:rPr>
                <w:rFonts w:cs="Arial"/>
                <w:color w:val="000000"/>
                <w:sz w:val="20"/>
                <w:szCs w:val="20"/>
              </w:rPr>
              <w:t>103</w:t>
            </w:r>
          </w:p>
        </w:tc>
      </w:tr>
      <w:tr w:rsidR="00FD5242" w:rsidRPr="009E2EF6" w:rsidTr="00F87481">
        <w:trPr>
          <w:cantSplit/>
          <w:trHeight w:val="323"/>
        </w:trPr>
        <w:tc>
          <w:tcPr>
            <w:tcW w:w="8252" w:type="dxa"/>
            <w:gridSpan w:val="6"/>
            <w:tcBorders>
              <w:top w:val="nil"/>
              <w:left w:val="nil"/>
              <w:bottom w:val="nil"/>
              <w:right w:val="nil"/>
            </w:tcBorders>
            <w:shd w:val="clear" w:color="auto" w:fill="FFFFFF"/>
            <w:tcMar>
              <w:top w:w="30" w:type="dxa"/>
              <w:left w:w="30" w:type="dxa"/>
              <w:bottom w:w="30" w:type="dxa"/>
              <w:right w:w="30" w:type="dxa"/>
            </w:tcMar>
          </w:tcPr>
          <w:p w:rsidR="00FD5242" w:rsidRPr="00D44703" w:rsidRDefault="00FD5242" w:rsidP="00CD4BC7">
            <w:pPr>
              <w:autoSpaceDE w:val="0"/>
              <w:autoSpaceDN w:val="0"/>
              <w:adjustRightInd w:val="0"/>
              <w:spacing w:after="0" w:line="320" w:lineRule="atLeast"/>
              <w:rPr>
                <w:rFonts w:cs="Arial"/>
                <w:color w:val="000000"/>
                <w:sz w:val="20"/>
                <w:szCs w:val="20"/>
                <w:lang w:val="en-US"/>
              </w:rPr>
            </w:pPr>
            <w:r w:rsidRPr="00D44703">
              <w:rPr>
                <w:rFonts w:cs="Arial"/>
                <w:color w:val="000000"/>
                <w:sz w:val="20"/>
                <w:szCs w:val="20"/>
                <w:lang w:val="en-US"/>
              </w:rPr>
              <w:t>**. Correlation is significant at the 0.01 level (2-tailed).</w:t>
            </w:r>
          </w:p>
        </w:tc>
      </w:tr>
    </w:tbl>
    <w:p w:rsidR="00FD5242" w:rsidRPr="00D44703" w:rsidRDefault="00FD5242" w:rsidP="00234F59">
      <w:pPr>
        <w:spacing w:line="360" w:lineRule="auto"/>
        <w:jc w:val="both"/>
        <w:rPr>
          <w:sz w:val="20"/>
          <w:szCs w:val="20"/>
          <w:lang w:val="en-US"/>
        </w:rPr>
      </w:pPr>
    </w:p>
    <w:p w:rsidR="00FD5242" w:rsidRDefault="00FD5242" w:rsidP="00234F59">
      <w:pPr>
        <w:spacing w:line="360" w:lineRule="auto"/>
        <w:jc w:val="both"/>
        <w:rPr>
          <w:lang w:val="en-US"/>
        </w:rPr>
      </w:pPr>
      <w:r>
        <w:rPr>
          <w:lang w:val="en-US"/>
        </w:rPr>
        <w:t xml:space="preserve">    The Pearson’s correlation matrix over this period shows that a significant negative relationship exists between the return variable R</w:t>
      </w:r>
      <w:r>
        <w:rPr>
          <w:vertAlign w:val="subscript"/>
          <w:lang w:val="en-US"/>
        </w:rPr>
        <w:t xml:space="preserve">it </w:t>
      </w:r>
      <w:r>
        <w:rPr>
          <w:lang w:val="en-US"/>
        </w:rPr>
        <w:t>and the dummy return variable DR</w:t>
      </w:r>
      <w:r>
        <w:rPr>
          <w:vertAlign w:val="subscript"/>
          <w:lang w:val="en-US"/>
        </w:rPr>
        <w:t xml:space="preserve">it </w:t>
      </w:r>
      <w:r>
        <w:rPr>
          <w:lang w:val="en-US"/>
        </w:rPr>
        <w:t xml:space="preserve">amounted to -0,697. </w:t>
      </w:r>
      <w:r w:rsidRPr="007D3C55">
        <w:rPr>
          <w:lang w:val="en-US"/>
        </w:rPr>
        <w:t>The correlation coefficient may range from –1 to 1, where –1 or 1 indicates a “perfect” relationship</w:t>
      </w:r>
      <w:r>
        <w:rPr>
          <w:lang w:val="en-US"/>
        </w:rPr>
        <w:t xml:space="preserve"> between the variables, as can be observed by the table in the cells showing the relationship between the exact same variables. </w:t>
      </w:r>
      <w:r w:rsidRPr="007D3C55">
        <w:rPr>
          <w:lang w:val="en-US"/>
        </w:rPr>
        <w:t>The further the coefficient is from 0, regardless of whether it is positive or negative, the stronger the relationship between the two variables.</w:t>
      </w:r>
      <w:r>
        <w:rPr>
          <w:lang w:val="en-US"/>
        </w:rPr>
        <w:t xml:space="preserve"> </w:t>
      </w:r>
      <w:r w:rsidRPr="007B0D8B">
        <w:rPr>
          <w:lang w:val="en-US"/>
        </w:rPr>
        <w:t xml:space="preserve">Negative coefficients tell </w:t>
      </w:r>
      <w:r>
        <w:rPr>
          <w:lang w:val="en-US"/>
        </w:rPr>
        <w:t>us that</w:t>
      </w:r>
      <w:r w:rsidRPr="007B0D8B">
        <w:rPr>
          <w:lang w:val="en-US"/>
        </w:rPr>
        <w:t xml:space="preserve"> an inverse relationship</w:t>
      </w:r>
      <w:r>
        <w:rPr>
          <w:lang w:val="en-US"/>
        </w:rPr>
        <w:t xml:space="preserve"> exists</w:t>
      </w:r>
      <w:r w:rsidRPr="007B0D8B">
        <w:rPr>
          <w:lang w:val="en-US"/>
        </w:rPr>
        <w:t>: when one variable increases, the other one decreases</w:t>
      </w:r>
      <w:r>
        <w:rPr>
          <w:lang w:val="en-US"/>
        </w:rPr>
        <w:t xml:space="preserve">. In addition, a significant correlation between the </w:t>
      </w:r>
      <w:r w:rsidRPr="006F7C88">
        <w:rPr>
          <w:bCs/>
          <w:lang w:val="en-US"/>
        </w:rPr>
        <w:t>X</w:t>
      </w:r>
      <w:r w:rsidRPr="006F7C88">
        <w:rPr>
          <w:bCs/>
          <w:vertAlign w:val="subscript"/>
          <w:lang w:val="en-US"/>
        </w:rPr>
        <w:t>it</w:t>
      </w:r>
      <w:r w:rsidRPr="006F7C88">
        <w:rPr>
          <w:bCs/>
          <w:lang w:val="en-US"/>
        </w:rPr>
        <w:t>/P</w:t>
      </w:r>
      <w:r w:rsidRPr="006F7C88">
        <w:rPr>
          <w:bCs/>
          <w:vertAlign w:val="subscript"/>
          <w:lang w:val="en-US"/>
        </w:rPr>
        <w:t>it-1</w:t>
      </w:r>
      <w:r>
        <w:rPr>
          <w:bCs/>
          <w:vertAlign w:val="subscript"/>
          <w:lang w:val="en-US"/>
        </w:rPr>
        <w:t xml:space="preserve"> </w:t>
      </w:r>
      <w:r>
        <w:rPr>
          <w:bCs/>
          <w:lang w:val="en-US"/>
        </w:rPr>
        <w:t>and the R</w:t>
      </w:r>
      <w:r>
        <w:rPr>
          <w:bCs/>
          <w:vertAlign w:val="subscript"/>
          <w:lang w:val="en-US"/>
        </w:rPr>
        <w:t xml:space="preserve">it </w:t>
      </w:r>
      <w:r>
        <w:rPr>
          <w:bCs/>
          <w:lang w:val="en-US"/>
        </w:rPr>
        <w:t xml:space="preserve">variables amounted to +0,476 and between the </w:t>
      </w:r>
      <w:r w:rsidRPr="006F7C88">
        <w:rPr>
          <w:bCs/>
          <w:lang w:val="en-US"/>
        </w:rPr>
        <w:t>X</w:t>
      </w:r>
      <w:r w:rsidRPr="006F7C88">
        <w:rPr>
          <w:bCs/>
          <w:vertAlign w:val="subscript"/>
          <w:lang w:val="en-US"/>
        </w:rPr>
        <w:t>it</w:t>
      </w:r>
      <w:r w:rsidRPr="006F7C88">
        <w:rPr>
          <w:bCs/>
          <w:lang w:val="en-US"/>
        </w:rPr>
        <w:t>/P</w:t>
      </w:r>
      <w:r w:rsidRPr="006F7C88">
        <w:rPr>
          <w:bCs/>
          <w:vertAlign w:val="subscript"/>
          <w:lang w:val="en-US"/>
        </w:rPr>
        <w:t>it-1</w:t>
      </w:r>
      <w:r>
        <w:rPr>
          <w:bCs/>
          <w:vertAlign w:val="subscript"/>
          <w:lang w:val="en-US"/>
        </w:rPr>
        <w:t xml:space="preserve"> </w:t>
      </w:r>
      <w:r>
        <w:rPr>
          <w:bCs/>
          <w:lang w:val="en-US"/>
        </w:rPr>
        <w:t>and the R</w:t>
      </w:r>
      <w:r>
        <w:rPr>
          <w:bCs/>
          <w:vertAlign w:val="subscript"/>
          <w:lang w:val="en-US"/>
        </w:rPr>
        <w:t>it</w:t>
      </w:r>
      <w:r w:rsidRPr="006F7C88">
        <w:rPr>
          <w:bCs/>
          <w:lang w:val="en-US"/>
        </w:rPr>
        <w:t>*</w:t>
      </w:r>
      <w:r>
        <w:rPr>
          <w:bCs/>
          <w:lang w:val="en-US"/>
        </w:rPr>
        <w:t>DR</w:t>
      </w:r>
      <w:r>
        <w:rPr>
          <w:bCs/>
          <w:vertAlign w:val="subscript"/>
          <w:lang w:val="en-US"/>
        </w:rPr>
        <w:t>it</w:t>
      </w:r>
      <w:r>
        <w:rPr>
          <w:bCs/>
          <w:lang w:val="en-US"/>
        </w:rPr>
        <w:t xml:space="preserve"> variables amounted to +0,449, which is significant only on the 0.01 level (2-tailed).</w:t>
      </w:r>
      <w:r w:rsidRPr="006F7C88">
        <w:rPr>
          <w:bCs/>
          <w:lang w:val="en-US"/>
        </w:rPr>
        <w:t xml:space="preserve"> </w:t>
      </w:r>
      <w:r>
        <w:rPr>
          <w:bCs/>
          <w:lang w:val="en-US"/>
        </w:rPr>
        <w:t xml:space="preserve">All the variables are found to be statistically significant at the 0.01 confidence level. </w:t>
      </w:r>
      <w:r w:rsidRPr="006F7C88">
        <w:rPr>
          <w:lang w:val="en-US"/>
        </w:rPr>
        <w:t>Consequently</w:t>
      </w:r>
      <w:r>
        <w:rPr>
          <w:lang w:val="en-US"/>
        </w:rPr>
        <w:t>, all the presented variables will be used.</w:t>
      </w:r>
    </w:p>
    <w:p w:rsidR="00FD5242" w:rsidRDefault="00FD5242" w:rsidP="00E73D19">
      <w:pPr>
        <w:spacing w:line="360" w:lineRule="auto"/>
        <w:jc w:val="both"/>
        <w:rPr>
          <w:lang w:val="en-US"/>
        </w:rPr>
      </w:pPr>
      <w:r>
        <w:rPr>
          <w:lang w:val="en-US"/>
        </w:rPr>
        <w:t xml:space="preserve">    The next table presents the relevant information for the period 2008-2009, during the current financial crisis.</w:t>
      </w:r>
    </w:p>
    <w:p w:rsidR="00FD5242" w:rsidRDefault="00FD5242" w:rsidP="00E73D19">
      <w:pPr>
        <w:spacing w:line="360" w:lineRule="auto"/>
        <w:jc w:val="both"/>
        <w:rPr>
          <w:lang w:val="en-US"/>
        </w:rPr>
      </w:pPr>
    </w:p>
    <w:tbl>
      <w:tblPr>
        <w:tblW w:w="8505"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2417"/>
        <w:gridCol w:w="1694"/>
        <w:gridCol w:w="1134"/>
        <w:gridCol w:w="1134"/>
        <w:gridCol w:w="1134"/>
        <w:gridCol w:w="992"/>
      </w:tblGrid>
      <w:tr w:rsidR="00FD5242" w:rsidRPr="009E2EF6" w:rsidTr="008D78D0">
        <w:trPr>
          <w:cantSplit/>
          <w:tblHeader/>
        </w:trPr>
        <w:tc>
          <w:tcPr>
            <w:tcW w:w="8505" w:type="dxa"/>
            <w:gridSpan w:val="6"/>
            <w:tcBorders>
              <w:top w:val="nil"/>
              <w:left w:val="nil"/>
              <w:bottom w:val="nil"/>
              <w:right w:val="nil"/>
            </w:tcBorders>
            <w:shd w:val="clear" w:color="auto" w:fill="FFFFFF"/>
            <w:tcMar>
              <w:top w:w="30" w:type="dxa"/>
              <w:left w:w="30" w:type="dxa"/>
              <w:bottom w:w="30" w:type="dxa"/>
              <w:right w:w="30" w:type="dxa"/>
            </w:tcMar>
            <w:vAlign w:val="center"/>
          </w:tcPr>
          <w:p w:rsidR="00FD5242" w:rsidRPr="001D16F0" w:rsidRDefault="00FD5242" w:rsidP="000662D5">
            <w:pPr>
              <w:autoSpaceDE w:val="0"/>
              <w:autoSpaceDN w:val="0"/>
              <w:adjustRightInd w:val="0"/>
              <w:spacing w:after="0" w:line="320" w:lineRule="atLeast"/>
              <w:jc w:val="center"/>
              <w:rPr>
                <w:rFonts w:ascii="Arial" w:hAnsi="Arial" w:cs="Arial"/>
                <w:color w:val="000000"/>
                <w:sz w:val="18"/>
                <w:szCs w:val="18"/>
                <w:lang w:val="en-US"/>
              </w:rPr>
            </w:pPr>
            <w:r>
              <w:rPr>
                <w:rFonts w:cs="Arial"/>
                <w:b/>
                <w:bCs/>
                <w:color w:val="000000"/>
                <w:lang w:val="en-US"/>
              </w:rPr>
              <w:t xml:space="preserve">Table 2b: Pearson’s </w:t>
            </w:r>
            <w:r w:rsidRPr="00397C07">
              <w:rPr>
                <w:rFonts w:cs="Arial"/>
                <w:b/>
                <w:bCs/>
                <w:color w:val="000000"/>
                <w:lang w:val="en-US"/>
              </w:rPr>
              <w:t>Correlation</w:t>
            </w:r>
            <w:r w:rsidRPr="00102FFE">
              <w:rPr>
                <w:rFonts w:cs="Arial"/>
                <w:b/>
                <w:bCs/>
                <w:color w:val="000000"/>
                <w:lang w:val="en-US"/>
              </w:rPr>
              <w:t xml:space="preserve"> </w:t>
            </w:r>
            <w:r>
              <w:rPr>
                <w:rFonts w:cs="Arial"/>
                <w:b/>
                <w:bCs/>
                <w:color w:val="000000"/>
                <w:lang w:val="en-US"/>
              </w:rPr>
              <w:t>test concerning the period 2008</w:t>
            </w:r>
            <w:r w:rsidRPr="00102FFE">
              <w:rPr>
                <w:rFonts w:cs="Arial"/>
                <w:b/>
                <w:bCs/>
                <w:color w:val="000000"/>
                <w:lang w:val="en-US"/>
              </w:rPr>
              <w:t xml:space="preserve"> -</w:t>
            </w:r>
            <w:r>
              <w:rPr>
                <w:rFonts w:cs="Arial"/>
                <w:b/>
                <w:bCs/>
                <w:color w:val="000000"/>
                <w:lang w:val="en-US"/>
              </w:rPr>
              <w:t xml:space="preserve">2009 </w:t>
            </w:r>
          </w:p>
        </w:tc>
      </w:tr>
      <w:tr w:rsidR="00FD5242" w:rsidRPr="00D44703" w:rsidTr="00D44703">
        <w:trPr>
          <w:cantSplit/>
          <w:trHeight w:val="687"/>
          <w:tblHeader/>
        </w:trPr>
        <w:tc>
          <w:tcPr>
            <w:tcW w:w="2417" w:type="dxa"/>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240" w:lineRule="auto"/>
              <w:rPr>
                <w:sz w:val="20"/>
                <w:szCs w:val="20"/>
                <w:lang w:val="en-US"/>
              </w:rPr>
            </w:pPr>
          </w:p>
        </w:tc>
        <w:tc>
          <w:tcPr>
            <w:tcW w:w="1694" w:type="dxa"/>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240" w:lineRule="auto"/>
              <w:rPr>
                <w:sz w:val="20"/>
                <w:szCs w:val="20"/>
                <w:lang w:val="en-US"/>
              </w:rPr>
            </w:pPr>
          </w:p>
        </w:tc>
        <w:tc>
          <w:tcPr>
            <w:tcW w:w="1134"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FD5242" w:rsidRPr="00D44703" w:rsidRDefault="00FD5242" w:rsidP="000662D5">
            <w:pPr>
              <w:autoSpaceDE w:val="0"/>
              <w:autoSpaceDN w:val="0"/>
              <w:adjustRightInd w:val="0"/>
              <w:spacing w:after="0" w:line="320" w:lineRule="atLeast"/>
              <w:jc w:val="center"/>
              <w:rPr>
                <w:rFonts w:cs="Arial"/>
                <w:color w:val="000000"/>
                <w:sz w:val="20"/>
                <w:szCs w:val="20"/>
              </w:rPr>
            </w:pPr>
            <w:r w:rsidRPr="00D44703">
              <w:rPr>
                <w:rFonts w:cs="Arial"/>
                <w:color w:val="000000"/>
                <w:sz w:val="20"/>
                <w:szCs w:val="20"/>
              </w:rPr>
              <w:t>XPricePrev</w:t>
            </w:r>
          </w:p>
        </w:tc>
        <w:tc>
          <w:tcPr>
            <w:tcW w:w="1134"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FD5242" w:rsidRPr="00D44703" w:rsidRDefault="00FD5242" w:rsidP="000662D5">
            <w:pPr>
              <w:autoSpaceDE w:val="0"/>
              <w:autoSpaceDN w:val="0"/>
              <w:adjustRightInd w:val="0"/>
              <w:spacing w:after="0" w:line="320" w:lineRule="atLeast"/>
              <w:jc w:val="center"/>
              <w:rPr>
                <w:rFonts w:cs="Arial"/>
                <w:color w:val="000000"/>
                <w:sz w:val="20"/>
                <w:szCs w:val="20"/>
              </w:rPr>
            </w:pPr>
            <w:r w:rsidRPr="00D44703">
              <w:rPr>
                <w:rFonts w:cs="Arial"/>
                <w:color w:val="000000"/>
                <w:sz w:val="20"/>
                <w:szCs w:val="20"/>
              </w:rPr>
              <w:t>DRit</w:t>
            </w:r>
          </w:p>
        </w:tc>
        <w:tc>
          <w:tcPr>
            <w:tcW w:w="1134"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FD5242" w:rsidRPr="00D44703" w:rsidRDefault="00FD5242" w:rsidP="00F87481">
            <w:pPr>
              <w:autoSpaceDE w:val="0"/>
              <w:autoSpaceDN w:val="0"/>
              <w:adjustRightInd w:val="0"/>
              <w:spacing w:after="0" w:line="320" w:lineRule="atLeast"/>
              <w:rPr>
                <w:rFonts w:cs="Arial"/>
                <w:color w:val="000000"/>
                <w:sz w:val="20"/>
                <w:szCs w:val="20"/>
                <w:lang w:val="en-US"/>
              </w:rPr>
            </w:pPr>
            <w:r w:rsidRPr="00D44703">
              <w:rPr>
                <w:rFonts w:cs="Arial"/>
                <w:color w:val="000000"/>
                <w:sz w:val="20"/>
                <w:szCs w:val="20"/>
              </w:rPr>
              <w:t>Rit</w:t>
            </w:r>
            <w:r w:rsidRPr="00D44703">
              <w:rPr>
                <w:rFonts w:cs="Arial"/>
                <w:color w:val="000000"/>
                <w:sz w:val="20"/>
                <w:szCs w:val="20"/>
                <w:lang w:val="en-US"/>
              </w:rPr>
              <w:t xml:space="preserve"> (</w:t>
            </w:r>
            <w:r w:rsidRPr="00D44703">
              <w:rPr>
                <w:rFonts w:cs="Arial"/>
                <w:color w:val="000000"/>
                <w:sz w:val="20"/>
                <w:szCs w:val="20"/>
              </w:rPr>
              <w:t>Return</w:t>
            </w:r>
            <w:r w:rsidRPr="00D44703">
              <w:rPr>
                <w:rFonts w:cs="Arial"/>
                <w:color w:val="000000"/>
                <w:sz w:val="20"/>
                <w:szCs w:val="20"/>
                <w:lang w:val="en-US"/>
              </w:rPr>
              <w:t xml:space="preserve"> </w:t>
            </w:r>
            <w:r w:rsidRPr="00D44703">
              <w:rPr>
                <w:rFonts w:cs="Arial"/>
                <w:color w:val="000000"/>
                <w:sz w:val="20"/>
                <w:szCs w:val="20"/>
              </w:rPr>
              <w:t>On</w:t>
            </w:r>
            <w:r w:rsidRPr="00D44703">
              <w:rPr>
                <w:rFonts w:cs="Arial"/>
                <w:color w:val="000000"/>
                <w:sz w:val="20"/>
                <w:szCs w:val="20"/>
                <w:lang w:val="en-US"/>
              </w:rPr>
              <w:t xml:space="preserve"> </w:t>
            </w:r>
            <w:r w:rsidRPr="00D44703">
              <w:rPr>
                <w:rFonts w:cs="Arial"/>
                <w:color w:val="000000"/>
                <w:sz w:val="20"/>
                <w:szCs w:val="20"/>
              </w:rPr>
              <w:t>Equity</w:t>
            </w:r>
            <w:r w:rsidRPr="00D44703">
              <w:rPr>
                <w:rFonts w:cs="Arial"/>
                <w:color w:val="000000"/>
                <w:sz w:val="20"/>
                <w:szCs w:val="20"/>
                <w:lang w:val="en-US"/>
              </w:rPr>
              <w:t xml:space="preserve">) </w:t>
            </w:r>
          </w:p>
        </w:tc>
        <w:tc>
          <w:tcPr>
            <w:tcW w:w="992"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FD5242" w:rsidRPr="00D44703" w:rsidRDefault="00FD5242" w:rsidP="000662D5">
            <w:pPr>
              <w:autoSpaceDE w:val="0"/>
              <w:autoSpaceDN w:val="0"/>
              <w:adjustRightInd w:val="0"/>
              <w:spacing w:after="0" w:line="320" w:lineRule="atLeast"/>
              <w:jc w:val="center"/>
              <w:rPr>
                <w:rFonts w:cs="Arial"/>
                <w:color w:val="000000"/>
                <w:sz w:val="20"/>
                <w:szCs w:val="20"/>
              </w:rPr>
            </w:pPr>
            <w:r w:rsidRPr="00D44703">
              <w:rPr>
                <w:rFonts w:cs="Arial"/>
                <w:color w:val="000000"/>
                <w:sz w:val="20"/>
                <w:szCs w:val="20"/>
              </w:rPr>
              <w:t>RitDRit</w:t>
            </w:r>
          </w:p>
        </w:tc>
      </w:tr>
      <w:tr w:rsidR="00FD5242" w:rsidRPr="00D44703" w:rsidTr="008D78D0">
        <w:trPr>
          <w:cantSplit/>
          <w:tblHeader/>
        </w:trPr>
        <w:tc>
          <w:tcPr>
            <w:tcW w:w="2417" w:type="dxa"/>
            <w:vMerge w:val="restart"/>
            <w:tcBorders>
              <w:top w:val="single" w:sz="16" w:space="0" w:color="000000"/>
              <w:left w:val="single" w:sz="16" w:space="0" w:color="000000"/>
              <w:right w:val="nil"/>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rPr>
                <w:rFonts w:cs="Arial"/>
                <w:color w:val="000000"/>
                <w:sz w:val="20"/>
                <w:szCs w:val="20"/>
              </w:rPr>
            </w:pPr>
            <w:r w:rsidRPr="00D44703">
              <w:rPr>
                <w:rFonts w:cs="Arial"/>
                <w:color w:val="000000"/>
                <w:sz w:val="20"/>
                <w:szCs w:val="20"/>
              </w:rPr>
              <w:t>XPricePrev</w:t>
            </w:r>
          </w:p>
        </w:tc>
        <w:tc>
          <w:tcPr>
            <w:tcW w:w="1694"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rPr>
                <w:rFonts w:cs="Arial"/>
                <w:color w:val="000000"/>
                <w:sz w:val="20"/>
                <w:szCs w:val="20"/>
              </w:rPr>
            </w:pPr>
            <w:r w:rsidRPr="00D44703">
              <w:rPr>
                <w:rFonts w:cs="Arial"/>
                <w:color w:val="000000"/>
                <w:sz w:val="20"/>
                <w:szCs w:val="20"/>
              </w:rPr>
              <w:t>Pearson Correlation</w:t>
            </w:r>
          </w:p>
        </w:tc>
        <w:tc>
          <w:tcPr>
            <w:tcW w:w="1134"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jc w:val="right"/>
              <w:rPr>
                <w:rFonts w:cs="Arial"/>
                <w:color w:val="000000"/>
                <w:sz w:val="20"/>
                <w:szCs w:val="20"/>
              </w:rPr>
            </w:pPr>
            <w:r w:rsidRPr="00D44703">
              <w:rPr>
                <w:rFonts w:cs="Arial"/>
                <w:color w:val="000000"/>
                <w:sz w:val="20"/>
                <w:szCs w:val="20"/>
              </w:rPr>
              <w:t>1</w:t>
            </w:r>
          </w:p>
        </w:tc>
        <w:tc>
          <w:tcPr>
            <w:tcW w:w="1134" w:type="dxa"/>
            <w:tcBorders>
              <w:top w:val="single" w:sz="16" w:space="0" w:color="000000"/>
              <w:bottom w:val="nil"/>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jc w:val="right"/>
              <w:rPr>
                <w:rFonts w:cs="Arial"/>
                <w:color w:val="000000"/>
                <w:sz w:val="20"/>
                <w:szCs w:val="20"/>
              </w:rPr>
            </w:pPr>
          </w:p>
        </w:tc>
        <w:tc>
          <w:tcPr>
            <w:tcW w:w="1134" w:type="dxa"/>
            <w:tcBorders>
              <w:top w:val="single" w:sz="16" w:space="0" w:color="000000"/>
              <w:bottom w:val="nil"/>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jc w:val="right"/>
              <w:rPr>
                <w:rFonts w:cs="Arial"/>
                <w:color w:val="000000"/>
                <w:sz w:val="20"/>
                <w:szCs w:val="20"/>
              </w:rPr>
            </w:pPr>
          </w:p>
        </w:tc>
        <w:tc>
          <w:tcPr>
            <w:tcW w:w="992"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jc w:val="right"/>
              <w:rPr>
                <w:rFonts w:cs="Arial"/>
                <w:color w:val="000000"/>
                <w:sz w:val="20"/>
                <w:szCs w:val="20"/>
              </w:rPr>
            </w:pPr>
          </w:p>
        </w:tc>
      </w:tr>
      <w:tr w:rsidR="00FD5242" w:rsidRPr="00D44703" w:rsidTr="008D78D0">
        <w:trPr>
          <w:cantSplit/>
          <w:tblHeader/>
        </w:trPr>
        <w:tc>
          <w:tcPr>
            <w:tcW w:w="2417"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240" w:lineRule="auto"/>
              <w:rPr>
                <w:rFonts w:cs="Arial"/>
                <w:color w:val="000000"/>
                <w:sz w:val="20"/>
                <w:szCs w:val="20"/>
              </w:rPr>
            </w:pPr>
          </w:p>
        </w:tc>
        <w:tc>
          <w:tcPr>
            <w:tcW w:w="1694" w:type="dxa"/>
            <w:tcBorders>
              <w:top w:val="nil"/>
              <w:left w:val="nil"/>
              <w:bottom w:val="nil"/>
              <w:right w:val="single" w:sz="16" w:space="0" w:color="000000"/>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rPr>
                <w:rFonts w:cs="Arial"/>
                <w:color w:val="000000"/>
                <w:sz w:val="20"/>
                <w:szCs w:val="20"/>
              </w:rPr>
            </w:pPr>
            <w:r w:rsidRPr="00D44703">
              <w:rPr>
                <w:rFonts w:cs="Arial"/>
                <w:color w:val="000000"/>
                <w:sz w:val="20"/>
                <w:szCs w:val="20"/>
              </w:rPr>
              <w:t>Sig. (2-tailed)</w:t>
            </w:r>
          </w:p>
        </w:tc>
        <w:tc>
          <w:tcPr>
            <w:tcW w:w="1134" w:type="dxa"/>
            <w:tcBorders>
              <w:top w:val="nil"/>
              <w:left w:val="single" w:sz="16" w:space="0" w:color="000000"/>
              <w:bottom w:val="nil"/>
            </w:tcBorders>
            <w:shd w:val="clear" w:color="auto" w:fill="FFFFFF"/>
            <w:tcMar>
              <w:top w:w="30" w:type="dxa"/>
              <w:left w:w="30" w:type="dxa"/>
              <w:bottom w:w="30" w:type="dxa"/>
              <w:right w:w="30" w:type="dxa"/>
            </w:tcMar>
            <w:vAlign w:val="center"/>
          </w:tcPr>
          <w:p w:rsidR="00FD5242" w:rsidRPr="00D44703" w:rsidRDefault="00FD5242" w:rsidP="000662D5">
            <w:pPr>
              <w:autoSpaceDE w:val="0"/>
              <w:autoSpaceDN w:val="0"/>
              <w:adjustRightInd w:val="0"/>
              <w:spacing w:after="0" w:line="240" w:lineRule="auto"/>
              <w:jc w:val="center"/>
              <w:rPr>
                <w:sz w:val="20"/>
                <w:szCs w:val="20"/>
              </w:rPr>
            </w:pPr>
          </w:p>
        </w:tc>
        <w:tc>
          <w:tcPr>
            <w:tcW w:w="1134" w:type="dxa"/>
            <w:tcBorders>
              <w:top w:val="nil"/>
              <w:bottom w:val="nil"/>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jc w:val="right"/>
              <w:rPr>
                <w:rFonts w:cs="Arial"/>
                <w:color w:val="000000"/>
                <w:sz w:val="20"/>
                <w:szCs w:val="20"/>
              </w:rPr>
            </w:pPr>
          </w:p>
        </w:tc>
        <w:tc>
          <w:tcPr>
            <w:tcW w:w="1134" w:type="dxa"/>
            <w:tcBorders>
              <w:top w:val="nil"/>
              <w:bottom w:val="nil"/>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jc w:val="right"/>
              <w:rPr>
                <w:rFonts w:cs="Arial"/>
                <w:color w:val="000000"/>
                <w:sz w:val="20"/>
                <w:szCs w:val="20"/>
              </w:rPr>
            </w:pPr>
          </w:p>
        </w:tc>
        <w:tc>
          <w:tcPr>
            <w:tcW w:w="992" w:type="dxa"/>
            <w:tcBorders>
              <w:top w:val="nil"/>
              <w:bottom w:val="nil"/>
              <w:right w:val="single" w:sz="16" w:space="0" w:color="000000"/>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jc w:val="right"/>
              <w:rPr>
                <w:rFonts w:cs="Arial"/>
                <w:color w:val="000000"/>
                <w:sz w:val="20"/>
                <w:szCs w:val="20"/>
              </w:rPr>
            </w:pPr>
          </w:p>
        </w:tc>
      </w:tr>
      <w:tr w:rsidR="00FD5242" w:rsidRPr="00D44703" w:rsidTr="00D44703">
        <w:trPr>
          <w:cantSplit/>
          <w:trHeight w:val="752"/>
          <w:tblHeader/>
        </w:trPr>
        <w:tc>
          <w:tcPr>
            <w:tcW w:w="2417"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240" w:lineRule="auto"/>
              <w:rPr>
                <w:rFonts w:cs="Arial"/>
                <w:color w:val="000000"/>
                <w:sz w:val="20"/>
                <w:szCs w:val="20"/>
              </w:rPr>
            </w:pPr>
          </w:p>
        </w:tc>
        <w:tc>
          <w:tcPr>
            <w:tcW w:w="1694" w:type="dxa"/>
            <w:tcBorders>
              <w:top w:val="nil"/>
              <w:left w:val="nil"/>
              <w:right w:val="single" w:sz="16" w:space="0" w:color="000000"/>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rPr>
                <w:rFonts w:cs="Arial"/>
                <w:color w:val="000000"/>
                <w:sz w:val="20"/>
                <w:szCs w:val="20"/>
              </w:rPr>
            </w:pPr>
            <w:r w:rsidRPr="00D44703">
              <w:rPr>
                <w:rFonts w:cs="Arial"/>
                <w:color w:val="000000"/>
                <w:sz w:val="20"/>
                <w:szCs w:val="20"/>
              </w:rPr>
              <w:t>N</w:t>
            </w:r>
          </w:p>
        </w:tc>
        <w:tc>
          <w:tcPr>
            <w:tcW w:w="1134" w:type="dxa"/>
            <w:tcBorders>
              <w:top w:val="nil"/>
              <w:left w:val="single" w:sz="16" w:space="0" w:color="000000"/>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jc w:val="right"/>
              <w:rPr>
                <w:rFonts w:cs="Arial"/>
                <w:color w:val="000000"/>
                <w:sz w:val="20"/>
                <w:szCs w:val="20"/>
              </w:rPr>
            </w:pPr>
            <w:r w:rsidRPr="00D44703">
              <w:rPr>
                <w:rFonts w:cs="Arial"/>
                <w:color w:val="000000"/>
                <w:sz w:val="20"/>
                <w:szCs w:val="20"/>
              </w:rPr>
              <w:t>102</w:t>
            </w:r>
          </w:p>
        </w:tc>
        <w:tc>
          <w:tcPr>
            <w:tcW w:w="1134" w:type="dxa"/>
            <w:tcBorders>
              <w:top w:val="nil"/>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jc w:val="right"/>
              <w:rPr>
                <w:rFonts w:cs="Arial"/>
                <w:color w:val="000000"/>
                <w:sz w:val="20"/>
                <w:szCs w:val="20"/>
              </w:rPr>
            </w:pPr>
          </w:p>
        </w:tc>
        <w:tc>
          <w:tcPr>
            <w:tcW w:w="1134" w:type="dxa"/>
            <w:tcBorders>
              <w:top w:val="nil"/>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jc w:val="right"/>
              <w:rPr>
                <w:rFonts w:cs="Arial"/>
                <w:color w:val="000000"/>
                <w:sz w:val="20"/>
                <w:szCs w:val="20"/>
              </w:rPr>
            </w:pPr>
          </w:p>
        </w:tc>
        <w:tc>
          <w:tcPr>
            <w:tcW w:w="992" w:type="dxa"/>
            <w:tcBorders>
              <w:top w:val="nil"/>
              <w:right w:val="single" w:sz="16" w:space="0" w:color="000000"/>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jc w:val="right"/>
              <w:rPr>
                <w:rFonts w:cs="Arial"/>
                <w:color w:val="000000"/>
                <w:sz w:val="20"/>
                <w:szCs w:val="20"/>
              </w:rPr>
            </w:pPr>
          </w:p>
        </w:tc>
      </w:tr>
      <w:tr w:rsidR="00FD5242" w:rsidRPr="00D44703" w:rsidTr="008D78D0">
        <w:trPr>
          <w:cantSplit/>
          <w:tblHeader/>
        </w:trPr>
        <w:tc>
          <w:tcPr>
            <w:tcW w:w="2417" w:type="dxa"/>
            <w:vMerge w:val="restart"/>
            <w:tcBorders>
              <w:left w:val="single" w:sz="16" w:space="0" w:color="000000"/>
              <w:right w:val="nil"/>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rPr>
                <w:rFonts w:cs="Arial"/>
                <w:color w:val="000000"/>
                <w:sz w:val="20"/>
                <w:szCs w:val="20"/>
              </w:rPr>
            </w:pPr>
            <w:r w:rsidRPr="00D44703">
              <w:rPr>
                <w:rFonts w:cs="Arial"/>
                <w:color w:val="000000"/>
                <w:sz w:val="20"/>
                <w:szCs w:val="20"/>
              </w:rPr>
              <w:t>DRit</w:t>
            </w:r>
          </w:p>
        </w:tc>
        <w:tc>
          <w:tcPr>
            <w:tcW w:w="1694" w:type="dxa"/>
            <w:tcBorders>
              <w:left w:val="nil"/>
              <w:bottom w:val="nil"/>
              <w:right w:val="single" w:sz="16" w:space="0" w:color="000000"/>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rPr>
                <w:rFonts w:cs="Arial"/>
                <w:color w:val="000000"/>
                <w:sz w:val="20"/>
                <w:szCs w:val="20"/>
              </w:rPr>
            </w:pPr>
            <w:r w:rsidRPr="00D44703">
              <w:rPr>
                <w:rFonts w:cs="Arial"/>
                <w:color w:val="000000"/>
                <w:sz w:val="20"/>
                <w:szCs w:val="20"/>
              </w:rPr>
              <w:t>Pearson Correlation</w:t>
            </w:r>
          </w:p>
        </w:tc>
        <w:tc>
          <w:tcPr>
            <w:tcW w:w="1134" w:type="dxa"/>
            <w:tcBorders>
              <w:left w:val="single" w:sz="16" w:space="0" w:color="000000"/>
              <w:bottom w:val="nil"/>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jc w:val="right"/>
              <w:rPr>
                <w:rFonts w:cs="Arial"/>
                <w:color w:val="000000"/>
                <w:sz w:val="20"/>
                <w:szCs w:val="20"/>
              </w:rPr>
            </w:pPr>
            <w:r w:rsidRPr="00D44703">
              <w:rPr>
                <w:rFonts w:cs="Arial"/>
                <w:color w:val="000000"/>
                <w:sz w:val="20"/>
                <w:szCs w:val="20"/>
              </w:rPr>
              <w:t>-,456</w:t>
            </w:r>
            <w:r w:rsidRPr="00D44703">
              <w:rPr>
                <w:rFonts w:cs="Arial"/>
                <w:color w:val="000000"/>
                <w:sz w:val="20"/>
                <w:szCs w:val="20"/>
                <w:vertAlign w:val="superscript"/>
              </w:rPr>
              <w:t>**</w:t>
            </w:r>
          </w:p>
        </w:tc>
        <w:tc>
          <w:tcPr>
            <w:tcW w:w="1134" w:type="dxa"/>
            <w:tcBorders>
              <w:bottom w:val="nil"/>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jc w:val="right"/>
              <w:rPr>
                <w:rFonts w:cs="Arial"/>
                <w:color w:val="000000"/>
                <w:sz w:val="20"/>
                <w:szCs w:val="20"/>
              </w:rPr>
            </w:pPr>
            <w:r w:rsidRPr="00D44703">
              <w:rPr>
                <w:rFonts w:cs="Arial"/>
                <w:color w:val="000000"/>
                <w:sz w:val="20"/>
                <w:szCs w:val="20"/>
              </w:rPr>
              <w:t>1</w:t>
            </w:r>
          </w:p>
        </w:tc>
        <w:tc>
          <w:tcPr>
            <w:tcW w:w="1134" w:type="dxa"/>
            <w:tcBorders>
              <w:bottom w:val="nil"/>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jc w:val="right"/>
              <w:rPr>
                <w:rFonts w:cs="Arial"/>
                <w:color w:val="000000"/>
                <w:sz w:val="20"/>
                <w:szCs w:val="20"/>
              </w:rPr>
            </w:pPr>
          </w:p>
        </w:tc>
        <w:tc>
          <w:tcPr>
            <w:tcW w:w="992" w:type="dxa"/>
            <w:tcBorders>
              <w:bottom w:val="nil"/>
              <w:right w:val="single" w:sz="16" w:space="0" w:color="000000"/>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jc w:val="right"/>
              <w:rPr>
                <w:rFonts w:cs="Arial"/>
                <w:color w:val="000000"/>
                <w:sz w:val="20"/>
                <w:szCs w:val="20"/>
              </w:rPr>
            </w:pPr>
          </w:p>
        </w:tc>
      </w:tr>
      <w:tr w:rsidR="00FD5242" w:rsidRPr="00D44703" w:rsidTr="008D78D0">
        <w:trPr>
          <w:cantSplit/>
          <w:tblHeader/>
        </w:trPr>
        <w:tc>
          <w:tcPr>
            <w:tcW w:w="2417" w:type="dxa"/>
            <w:vMerge/>
            <w:tcBorders>
              <w:left w:val="single" w:sz="16" w:space="0" w:color="000000"/>
              <w:right w:val="nil"/>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240" w:lineRule="auto"/>
              <w:rPr>
                <w:rFonts w:cs="Arial"/>
                <w:color w:val="000000"/>
                <w:sz w:val="20"/>
                <w:szCs w:val="20"/>
              </w:rPr>
            </w:pPr>
          </w:p>
        </w:tc>
        <w:tc>
          <w:tcPr>
            <w:tcW w:w="1694" w:type="dxa"/>
            <w:tcBorders>
              <w:top w:val="nil"/>
              <w:left w:val="nil"/>
              <w:bottom w:val="nil"/>
              <w:right w:val="single" w:sz="16" w:space="0" w:color="000000"/>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rPr>
                <w:rFonts w:cs="Arial"/>
                <w:color w:val="000000"/>
                <w:sz w:val="20"/>
                <w:szCs w:val="20"/>
              </w:rPr>
            </w:pPr>
            <w:r w:rsidRPr="00D44703">
              <w:rPr>
                <w:rFonts w:cs="Arial"/>
                <w:color w:val="000000"/>
                <w:sz w:val="20"/>
                <w:szCs w:val="20"/>
              </w:rPr>
              <w:t>Sig. (2-tailed)</w:t>
            </w:r>
          </w:p>
        </w:tc>
        <w:tc>
          <w:tcPr>
            <w:tcW w:w="1134" w:type="dxa"/>
            <w:tcBorders>
              <w:top w:val="nil"/>
              <w:left w:val="single" w:sz="16" w:space="0" w:color="000000"/>
              <w:bottom w:val="nil"/>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jc w:val="right"/>
              <w:rPr>
                <w:rFonts w:cs="Arial"/>
                <w:color w:val="000000"/>
                <w:sz w:val="20"/>
                <w:szCs w:val="20"/>
              </w:rPr>
            </w:pPr>
            <w:r w:rsidRPr="00D44703">
              <w:rPr>
                <w:rFonts w:cs="Arial"/>
                <w:color w:val="000000"/>
                <w:sz w:val="20"/>
                <w:szCs w:val="20"/>
              </w:rPr>
              <w:t>,000</w:t>
            </w:r>
          </w:p>
        </w:tc>
        <w:tc>
          <w:tcPr>
            <w:tcW w:w="1134" w:type="dxa"/>
            <w:tcBorders>
              <w:top w:val="nil"/>
              <w:bottom w:val="nil"/>
            </w:tcBorders>
            <w:shd w:val="clear" w:color="auto" w:fill="FFFFFF"/>
            <w:tcMar>
              <w:top w:w="30" w:type="dxa"/>
              <w:left w:w="30" w:type="dxa"/>
              <w:bottom w:w="30" w:type="dxa"/>
              <w:right w:w="30" w:type="dxa"/>
            </w:tcMar>
            <w:vAlign w:val="center"/>
          </w:tcPr>
          <w:p w:rsidR="00FD5242" w:rsidRPr="00D44703" w:rsidRDefault="00FD5242" w:rsidP="000662D5">
            <w:pPr>
              <w:autoSpaceDE w:val="0"/>
              <w:autoSpaceDN w:val="0"/>
              <w:adjustRightInd w:val="0"/>
              <w:spacing w:after="0" w:line="240" w:lineRule="auto"/>
              <w:jc w:val="center"/>
              <w:rPr>
                <w:sz w:val="20"/>
                <w:szCs w:val="20"/>
              </w:rPr>
            </w:pPr>
          </w:p>
        </w:tc>
        <w:tc>
          <w:tcPr>
            <w:tcW w:w="1134" w:type="dxa"/>
            <w:tcBorders>
              <w:top w:val="nil"/>
              <w:bottom w:val="nil"/>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jc w:val="right"/>
              <w:rPr>
                <w:rFonts w:cs="Arial"/>
                <w:color w:val="000000"/>
                <w:sz w:val="20"/>
                <w:szCs w:val="20"/>
              </w:rPr>
            </w:pPr>
          </w:p>
        </w:tc>
        <w:tc>
          <w:tcPr>
            <w:tcW w:w="992" w:type="dxa"/>
            <w:tcBorders>
              <w:top w:val="nil"/>
              <w:bottom w:val="nil"/>
              <w:right w:val="single" w:sz="16" w:space="0" w:color="000000"/>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jc w:val="right"/>
              <w:rPr>
                <w:rFonts w:cs="Arial"/>
                <w:color w:val="000000"/>
                <w:sz w:val="20"/>
                <w:szCs w:val="20"/>
              </w:rPr>
            </w:pPr>
          </w:p>
        </w:tc>
      </w:tr>
      <w:tr w:rsidR="00FD5242" w:rsidRPr="00D44703" w:rsidTr="00D44703">
        <w:trPr>
          <w:cantSplit/>
          <w:trHeight w:val="732"/>
          <w:tblHeader/>
        </w:trPr>
        <w:tc>
          <w:tcPr>
            <w:tcW w:w="2417" w:type="dxa"/>
            <w:vMerge/>
            <w:tcBorders>
              <w:left w:val="single" w:sz="16" w:space="0" w:color="000000"/>
              <w:right w:val="nil"/>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240" w:lineRule="auto"/>
              <w:rPr>
                <w:rFonts w:cs="Arial"/>
                <w:color w:val="000000"/>
                <w:sz w:val="20"/>
                <w:szCs w:val="20"/>
              </w:rPr>
            </w:pPr>
          </w:p>
        </w:tc>
        <w:tc>
          <w:tcPr>
            <w:tcW w:w="1694" w:type="dxa"/>
            <w:tcBorders>
              <w:top w:val="nil"/>
              <w:left w:val="nil"/>
              <w:right w:val="single" w:sz="16" w:space="0" w:color="000000"/>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rPr>
                <w:rFonts w:cs="Arial"/>
                <w:color w:val="000000"/>
                <w:sz w:val="20"/>
                <w:szCs w:val="20"/>
              </w:rPr>
            </w:pPr>
            <w:r w:rsidRPr="00D44703">
              <w:rPr>
                <w:rFonts w:cs="Arial"/>
                <w:color w:val="000000"/>
                <w:sz w:val="20"/>
                <w:szCs w:val="20"/>
              </w:rPr>
              <w:t>N</w:t>
            </w:r>
          </w:p>
        </w:tc>
        <w:tc>
          <w:tcPr>
            <w:tcW w:w="1134" w:type="dxa"/>
            <w:tcBorders>
              <w:top w:val="nil"/>
              <w:left w:val="single" w:sz="16" w:space="0" w:color="000000"/>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jc w:val="right"/>
              <w:rPr>
                <w:rFonts w:cs="Arial"/>
                <w:color w:val="000000"/>
                <w:sz w:val="20"/>
                <w:szCs w:val="20"/>
              </w:rPr>
            </w:pPr>
            <w:r w:rsidRPr="00D44703">
              <w:rPr>
                <w:rFonts w:cs="Arial"/>
                <w:color w:val="000000"/>
                <w:sz w:val="20"/>
                <w:szCs w:val="20"/>
              </w:rPr>
              <w:t>102</w:t>
            </w:r>
          </w:p>
        </w:tc>
        <w:tc>
          <w:tcPr>
            <w:tcW w:w="1134" w:type="dxa"/>
            <w:tcBorders>
              <w:top w:val="nil"/>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jc w:val="right"/>
              <w:rPr>
                <w:rFonts w:cs="Arial"/>
                <w:color w:val="000000"/>
                <w:sz w:val="20"/>
                <w:szCs w:val="20"/>
              </w:rPr>
            </w:pPr>
            <w:r w:rsidRPr="00D44703">
              <w:rPr>
                <w:rFonts w:cs="Arial"/>
                <w:color w:val="000000"/>
                <w:sz w:val="20"/>
                <w:szCs w:val="20"/>
              </w:rPr>
              <w:t>102</w:t>
            </w:r>
          </w:p>
        </w:tc>
        <w:tc>
          <w:tcPr>
            <w:tcW w:w="1134" w:type="dxa"/>
            <w:tcBorders>
              <w:top w:val="nil"/>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jc w:val="right"/>
              <w:rPr>
                <w:rFonts w:cs="Arial"/>
                <w:color w:val="000000"/>
                <w:sz w:val="20"/>
                <w:szCs w:val="20"/>
              </w:rPr>
            </w:pPr>
          </w:p>
        </w:tc>
        <w:tc>
          <w:tcPr>
            <w:tcW w:w="992" w:type="dxa"/>
            <w:tcBorders>
              <w:top w:val="nil"/>
              <w:right w:val="single" w:sz="16" w:space="0" w:color="000000"/>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jc w:val="right"/>
              <w:rPr>
                <w:rFonts w:cs="Arial"/>
                <w:color w:val="000000"/>
                <w:sz w:val="20"/>
                <w:szCs w:val="20"/>
              </w:rPr>
            </w:pPr>
          </w:p>
        </w:tc>
      </w:tr>
      <w:tr w:rsidR="00FD5242" w:rsidRPr="00D44703" w:rsidTr="008D78D0">
        <w:trPr>
          <w:cantSplit/>
          <w:tblHeader/>
        </w:trPr>
        <w:tc>
          <w:tcPr>
            <w:tcW w:w="2417" w:type="dxa"/>
            <w:vMerge w:val="restart"/>
            <w:tcBorders>
              <w:left w:val="single" w:sz="16" w:space="0" w:color="000000"/>
              <w:right w:val="nil"/>
            </w:tcBorders>
            <w:shd w:val="clear" w:color="auto" w:fill="FFFFFF"/>
            <w:tcMar>
              <w:top w:w="30" w:type="dxa"/>
              <w:left w:w="30" w:type="dxa"/>
              <w:bottom w:w="30" w:type="dxa"/>
              <w:right w:w="30" w:type="dxa"/>
            </w:tcMar>
          </w:tcPr>
          <w:p w:rsidR="00FD5242" w:rsidRPr="00D44703" w:rsidRDefault="00FD5242" w:rsidP="008D78D0">
            <w:pPr>
              <w:autoSpaceDE w:val="0"/>
              <w:autoSpaceDN w:val="0"/>
              <w:adjustRightInd w:val="0"/>
              <w:spacing w:after="0" w:line="320" w:lineRule="atLeast"/>
              <w:ind w:right="119"/>
              <w:rPr>
                <w:rFonts w:cs="Arial"/>
                <w:color w:val="000000"/>
                <w:sz w:val="20"/>
                <w:szCs w:val="20"/>
                <w:lang w:val="en-US"/>
              </w:rPr>
            </w:pPr>
            <w:r w:rsidRPr="00D44703">
              <w:rPr>
                <w:rFonts w:cs="Arial"/>
                <w:color w:val="000000"/>
                <w:sz w:val="20"/>
                <w:szCs w:val="20"/>
                <w:lang w:val="en-US"/>
              </w:rPr>
              <w:t>Rit (</w:t>
            </w:r>
            <w:r w:rsidRPr="00D44703">
              <w:rPr>
                <w:rFonts w:cs="Arial"/>
                <w:color w:val="000000"/>
                <w:sz w:val="20"/>
                <w:szCs w:val="20"/>
              </w:rPr>
              <w:t>Return</w:t>
            </w:r>
            <w:r w:rsidRPr="00D44703">
              <w:rPr>
                <w:rFonts w:cs="Arial"/>
                <w:color w:val="000000"/>
                <w:sz w:val="20"/>
                <w:szCs w:val="20"/>
                <w:lang w:val="en-US"/>
              </w:rPr>
              <w:t xml:space="preserve"> </w:t>
            </w:r>
            <w:r w:rsidRPr="00D44703">
              <w:rPr>
                <w:rFonts w:cs="Arial"/>
                <w:color w:val="000000"/>
                <w:sz w:val="20"/>
                <w:szCs w:val="20"/>
              </w:rPr>
              <w:t>On</w:t>
            </w:r>
            <w:r w:rsidRPr="00D44703">
              <w:rPr>
                <w:rFonts w:cs="Arial"/>
                <w:color w:val="000000"/>
                <w:sz w:val="20"/>
                <w:szCs w:val="20"/>
                <w:lang w:val="en-US"/>
              </w:rPr>
              <w:t xml:space="preserve"> </w:t>
            </w:r>
            <w:r w:rsidRPr="00D44703">
              <w:rPr>
                <w:rFonts w:cs="Arial"/>
                <w:color w:val="000000"/>
                <w:sz w:val="20"/>
                <w:szCs w:val="20"/>
              </w:rPr>
              <w:t>Equity</w:t>
            </w:r>
            <w:r w:rsidRPr="00D44703">
              <w:rPr>
                <w:rFonts w:cs="Arial"/>
                <w:color w:val="000000"/>
                <w:sz w:val="20"/>
                <w:szCs w:val="20"/>
                <w:lang w:val="en-US"/>
              </w:rPr>
              <w:t>)</w:t>
            </w:r>
          </w:p>
        </w:tc>
        <w:tc>
          <w:tcPr>
            <w:tcW w:w="1694" w:type="dxa"/>
            <w:tcBorders>
              <w:left w:val="nil"/>
              <w:bottom w:val="nil"/>
              <w:right w:val="single" w:sz="16" w:space="0" w:color="000000"/>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rPr>
                <w:rFonts w:cs="Arial"/>
                <w:color w:val="000000"/>
                <w:sz w:val="20"/>
                <w:szCs w:val="20"/>
              </w:rPr>
            </w:pPr>
            <w:r w:rsidRPr="00D44703">
              <w:rPr>
                <w:rFonts w:cs="Arial"/>
                <w:color w:val="000000"/>
                <w:sz w:val="20"/>
                <w:szCs w:val="20"/>
              </w:rPr>
              <w:t>Pearson Correlation</w:t>
            </w:r>
          </w:p>
        </w:tc>
        <w:tc>
          <w:tcPr>
            <w:tcW w:w="1134" w:type="dxa"/>
            <w:tcBorders>
              <w:left w:val="single" w:sz="16" w:space="0" w:color="000000"/>
              <w:bottom w:val="nil"/>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jc w:val="right"/>
              <w:rPr>
                <w:rFonts w:cs="Arial"/>
                <w:color w:val="000000"/>
                <w:sz w:val="20"/>
                <w:szCs w:val="20"/>
              </w:rPr>
            </w:pPr>
            <w:r w:rsidRPr="00D44703">
              <w:rPr>
                <w:rFonts w:cs="Arial"/>
                <w:color w:val="000000"/>
                <w:sz w:val="20"/>
                <w:szCs w:val="20"/>
              </w:rPr>
              <w:t>,501</w:t>
            </w:r>
            <w:r w:rsidRPr="00D44703">
              <w:rPr>
                <w:rFonts w:cs="Arial"/>
                <w:color w:val="000000"/>
                <w:sz w:val="20"/>
                <w:szCs w:val="20"/>
                <w:vertAlign w:val="superscript"/>
              </w:rPr>
              <w:t>**</w:t>
            </w:r>
          </w:p>
        </w:tc>
        <w:tc>
          <w:tcPr>
            <w:tcW w:w="1134" w:type="dxa"/>
            <w:tcBorders>
              <w:bottom w:val="nil"/>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jc w:val="right"/>
              <w:rPr>
                <w:rFonts w:cs="Arial"/>
                <w:color w:val="000000"/>
                <w:sz w:val="20"/>
                <w:szCs w:val="20"/>
              </w:rPr>
            </w:pPr>
            <w:r w:rsidRPr="00D44703">
              <w:rPr>
                <w:rFonts w:cs="Arial"/>
                <w:color w:val="000000"/>
                <w:sz w:val="20"/>
                <w:szCs w:val="20"/>
              </w:rPr>
              <w:t>-,510</w:t>
            </w:r>
            <w:r w:rsidRPr="00D44703">
              <w:rPr>
                <w:rFonts w:cs="Arial"/>
                <w:color w:val="000000"/>
                <w:sz w:val="20"/>
                <w:szCs w:val="20"/>
                <w:vertAlign w:val="superscript"/>
              </w:rPr>
              <w:t>**</w:t>
            </w:r>
          </w:p>
        </w:tc>
        <w:tc>
          <w:tcPr>
            <w:tcW w:w="1134" w:type="dxa"/>
            <w:tcBorders>
              <w:bottom w:val="nil"/>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jc w:val="right"/>
              <w:rPr>
                <w:rFonts w:cs="Arial"/>
                <w:color w:val="000000"/>
                <w:sz w:val="20"/>
                <w:szCs w:val="20"/>
              </w:rPr>
            </w:pPr>
            <w:r w:rsidRPr="00D44703">
              <w:rPr>
                <w:rFonts w:cs="Arial"/>
                <w:color w:val="000000"/>
                <w:sz w:val="20"/>
                <w:szCs w:val="20"/>
              </w:rPr>
              <w:t>1</w:t>
            </w:r>
          </w:p>
        </w:tc>
        <w:tc>
          <w:tcPr>
            <w:tcW w:w="992" w:type="dxa"/>
            <w:tcBorders>
              <w:bottom w:val="nil"/>
              <w:right w:val="single" w:sz="16" w:space="0" w:color="000000"/>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jc w:val="right"/>
              <w:rPr>
                <w:rFonts w:cs="Arial"/>
                <w:color w:val="000000"/>
                <w:sz w:val="20"/>
                <w:szCs w:val="20"/>
              </w:rPr>
            </w:pPr>
          </w:p>
        </w:tc>
      </w:tr>
      <w:tr w:rsidR="00FD5242" w:rsidRPr="00D44703" w:rsidTr="008D78D0">
        <w:trPr>
          <w:cantSplit/>
          <w:tblHeader/>
        </w:trPr>
        <w:tc>
          <w:tcPr>
            <w:tcW w:w="2417" w:type="dxa"/>
            <w:vMerge/>
            <w:tcBorders>
              <w:left w:val="single" w:sz="16" w:space="0" w:color="000000"/>
              <w:right w:val="nil"/>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240" w:lineRule="auto"/>
              <w:rPr>
                <w:rFonts w:cs="Arial"/>
                <w:color w:val="000000"/>
                <w:sz w:val="20"/>
                <w:szCs w:val="20"/>
              </w:rPr>
            </w:pPr>
          </w:p>
        </w:tc>
        <w:tc>
          <w:tcPr>
            <w:tcW w:w="1694" w:type="dxa"/>
            <w:tcBorders>
              <w:top w:val="nil"/>
              <w:left w:val="nil"/>
              <w:bottom w:val="nil"/>
              <w:right w:val="single" w:sz="16" w:space="0" w:color="000000"/>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rPr>
                <w:rFonts w:cs="Arial"/>
                <w:color w:val="000000"/>
                <w:sz w:val="20"/>
                <w:szCs w:val="20"/>
              </w:rPr>
            </w:pPr>
            <w:r w:rsidRPr="00D44703">
              <w:rPr>
                <w:rFonts w:cs="Arial"/>
                <w:color w:val="000000"/>
                <w:sz w:val="20"/>
                <w:szCs w:val="20"/>
              </w:rPr>
              <w:t>Sig. (2-tailed)</w:t>
            </w:r>
          </w:p>
        </w:tc>
        <w:tc>
          <w:tcPr>
            <w:tcW w:w="1134" w:type="dxa"/>
            <w:tcBorders>
              <w:top w:val="nil"/>
              <w:left w:val="single" w:sz="16" w:space="0" w:color="000000"/>
              <w:bottom w:val="nil"/>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jc w:val="right"/>
              <w:rPr>
                <w:rFonts w:cs="Arial"/>
                <w:color w:val="000000"/>
                <w:sz w:val="20"/>
                <w:szCs w:val="20"/>
              </w:rPr>
            </w:pPr>
            <w:r w:rsidRPr="00D44703">
              <w:rPr>
                <w:rFonts w:cs="Arial"/>
                <w:color w:val="000000"/>
                <w:sz w:val="20"/>
                <w:szCs w:val="20"/>
              </w:rPr>
              <w:t>,000</w:t>
            </w:r>
          </w:p>
        </w:tc>
        <w:tc>
          <w:tcPr>
            <w:tcW w:w="1134" w:type="dxa"/>
            <w:tcBorders>
              <w:top w:val="nil"/>
              <w:bottom w:val="nil"/>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jc w:val="right"/>
              <w:rPr>
                <w:rFonts w:cs="Arial"/>
                <w:color w:val="000000"/>
                <w:sz w:val="20"/>
                <w:szCs w:val="20"/>
              </w:rPr>
            </w:pPr>
            <w:r w:rsidRPr="00D44703">
              <w:rPr>
                <w:rFonts w:cs="Arial"/>
                <w:color w:val="000000"/>
                <w:sz w:val="20"/>
                <w:szCs w:val="20"/>
              </w:rPr>
              <w:t>,000</w:t>
            </w:r>
          </w:p>
        </w:tc>
        <w:tc>
          <w:tcPr>
            <w:tcW w:w="1134" w:type="dxa"/>
            <w:tcBorders>
              <w:top w:val="nil"/>
              <w:bottom w:val="nil"/>
            </w:tcBorders>
            <w:shd w:val="clear" w:color="auto" w:fill="FFFFFF"/>
            <w:tcMar>
              <w:top w:w="30" w:type="dxa"/>
              <w:left w:w="30" w:type="dxa"/>
              <w:bottom w:w="30" w:type="dxa"/>
              <w:right w:w="30" w:type="dxa"/>
            </w:tcMar>
            <w:vAlign w:val="center"/>
          </w:tcPr>
          <w:p w:rsidR="00FD5242" w:rsidRPr="00D44703" w:rsidRDefault="00FD5242" w:rsidP="000662D5">
            <w:pPr>
              <w:autoSpaceDE w:val="0"/>
              <w:autoSpaceDN w:val="0"/>
              <w:adjustRightInd w:val="0"/>
              <w:spacing w:after="0" w:line="240" w:lineRule="auto"/>
              <w:jc w:val="center"/>
              <w:rPr>
                <w:sz w:val="20"/>
                <w:szCs w:val="20"/>
              </w:rPr>
            </w:pPr>
          </w:p>
        </w:tc>
        <w:tc>
          <w:tcPr>
            <w:tcW w:w="992" w:type="dxa"/>
            <w:tcBorders>
              <w:top w:val="nil"/>
              <w:bottom w:val="nil"/>
              <w:right w:val="single" w:sz="16" w:space="0" w:color="000000"/>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jc w:val="right"/>
              <w:rPr>
                <w:rFonts w:cs="Arial"/>
                <w:color w:val="000000"/>
                <w:sz w:val="20"/>
                <w:szCs w:val="20"/>
              </w:rPr>
            </w:pPr>
          </w:p>
        </w:tc>
      </w:tr>
      <w:tr w:rsidR="00FD5242" w:rsidRPr="00D44703" w:rsidTr="00D44703">
        <w:trPr>
          <w:cantSplit/>
          <w:trHeight w:val="825"/>
          <w:tblHeader/>
        </w:trPr>
        <w:tc>
          <w:tcPr>
            <w:tcW w:w="2417" w:type="dxa"/>
            <w:vMerge/>
            <w:tcBorders>
              <w:left w:val="single" w:sz="16" w:space="0" w:color="000000"/>
              <w:right w:val="nil"/>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240" w:lineRule="auto"/>
              <w:rPr>
                <w:rFonts w:cs="Arial"/>
                <w:color w:val="000000"/>
                <w:sz w:val="20"/>
                <w:szCs w:val="20"/>
              </w:rPr>
            </w:pPr>
          </w:p>
        </w:tc>
        <w:tc>
          <w:tcPr>
            <w:tcW w:w="1694" w:type="dxa"/>
            <w:tcBorders>
              <w:top w:val="nil"/>
              <w:left w:val="nil"/>
              <w:right w:val="single" w:sz="16" w:space="0" w:color="000000"/>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rPr>
                <w:rFonts w:cs="Arial"/>
                <w:color w:val="000000"/>
                <w:sz w:val="20"/>
                <w:szCs w:val="20"/>
              </w:rPr>
            </w:pPr>
            <w:r w:rsidRPr="00D44703">
              <w:rPr>
                <w:rFonts w:cs="Arial"/>
                <w:color w:val="000000"/>
                <w:sz w:val="20"/>
                <w:szCs w:val="20"/>
              </w:rPr>
              <w:t>N</w:t>
            </w:r>
          </w:p>
        </w:tc>
        <w:tc>
          <w:tcPr>
            <w:tcW w:w="1134" w:type="dxa"/>
            <w:tcBorders>
              <w:top w:val="nil"/>
              <w:left w:val="single" w:sz="16" w:space="0" w:color="000000"/>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jc w:val="right"/>
              <w:rPr>
                <w:rFonts w:cs="Arial"/>
                <w:color w:val="000000"/>
                <w:sz w:val="20"/>
                <w:szCs w:val="20"/>
              </w:rPr>
            </w:pPr>
            <w:r w:rsidRPr="00D44703">
              <w:rPr>
                <w:rFonts w:cs="Arial"/>
                <w:color w:val="000000"/>
                <w:sz w:val="20"/>
                <w:szCs w:val="20"/>
              </w:rPr>
              <w:t>101</w:t>
            </w:r>
          </w:p>
        </w:tc>
        <w:tc>
          <w:tcPr>
            <w:tcW w:w="1134" w:type="dxa"/>
            <w:tcBorders>
              <w:top w:val="nil"/>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jc w:val="right"/>
              <w:rPr>
                <w:rFonts w:cs="Arial"/>
                <w:color w:val="000000"/>
                <w:sz w:val="20"/>
                <w:szCs w:val="20"/>
              </w:rPr>
            </w:pPr>
            <w:r w:rsidRPr="00D44703">
              <w:rPr>
                <w:rFonts w:cs="Arial"/>
                <w:color w:val="000000"/>
                <w:sz w:val="20"/>
                <w:szCs w:val="20"/>
              </w:rPr>
              <w:t>101</w:t>
            </w:r>
          </w:p>
        </w:tc>
        <w:tc>
          <w:tcPr>
            <w:tcW w:w="1134" w:type="dxa"/>
            <w:tcBorders>
              <w:top w:val="nil"/>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jc w:val="right"/>
              <w:rPr>
                <w:rFonts w:cs="Arial"/>
                <w:color w:val="000000"/>
                <w:sz w:val="20"/>
                <w:szCs w:val="20"/>
              </w:rPr>
            </w:pPr>
            <w:r w:rsidRPr="00D44703">
              <w:rPr>
                <w:rFonts w:cs="Arial"/>
                <w:color w:val="000000"/>
                <w:sz w:val="20"/>
                <w:szCs w:val="20"/>
              </w:rPr>
              <w:t>101</w:t>
            </w:r>
          </w:p>
        </w:tc>
        <w:tc>
          <w:tcPr>
            <w:tcW w:w="992" w:type="dxa"/>
            <w:tcBorders>
              <w:top w:val="nil"/>
              <w:right w:val="single" w:sz="16" w:space="0" w:color="000000"/>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jc w:val="right"/>
              <w:rPr>
                <w:rFonts w:cs="Arial"/>
                <w:color w:val="000000"/>
                <w:sz w:val="20"/>
                <w:szCs w:val="20"/>
              </w:rPr>
            </w:pPr>
          </w:p>
        </w:tc>
      </w:tr>
      <w:tr w:rsidR="00FD5242" w:rsidRPr="00D44703" w:rsidTr="008D78D0">
        <w:trPr>
          <w:cantSplit/>
          <w:tblHeader/>
        </w:trPr>
        <w:tc>
          <w:tcPr>
            <w:tcW w:w="2417" w:type="dxa"/>
            <w:vMerge w:val="restart"/>
            <w:tcBorders>
              <w:left w:val="single" w:sz="16" w:space="0" w:color="000000"/>
              <w:bottom w:val="single" w:sz="16" w:space="0" w:color="000000"/>
              <w:right w:val="nil"/>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rPr>
                <w:rFonts w:cs="Arial"/>
                <w:color w:val="000000"/>
                <w:sz w:val="20"/>
                <w:szCs w:val="20"/>
              </w:rPr>
            </w:pPr>
            <w:r w:rsidRPr="00D44703">
              <w:rPr>
                <w:rFonts w:cs="Arial"/>
                <w:color w:val="000000"/>
                <w:sz w:val="20"/>
                <w:szCs w:val="20"/>
              </w:rPr>
              <w:t>Rit</w:t>
            </w:r>
            <w:r w:rsidRPr="00D44703">
              <w:rPr>
                <w:rFonts w:cs="Arial"/>
                <w:color w:val="000000"/>
                <w:sz w:val="20"/>
                <w:szCs w:val="20"/>
                <w:lang w:val="en-US"/>
              </w:rPr>
              <w:t>*</w:t>
            </w:r>
            <w:r w:rsidRPr="00D44703">
              <w:rPr>
                <w:rFonts w:cs="Arial"/>
                <w:color w:val="000000"/>
                <w:sz w:val="20"/>
                <w:szCs w:val="20"/>
              </w:rPr>
              <w:t>DRit</w:t>
            </w:r>
          </w:p>
        </w:tc>
        <w:tc>
          <w:tcPr>
            <w:tcW w:w="1694" w:type="dxa"/>
            <w:tcBorders>
              <w:left w:val="nil"/>
              <w:bottom w:val="nil"/>
              <w:right w:val="single" w:sz="16" w:space="0" w:color="000000"/>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rPr>
                <w:rFonts w:cs="Arial"/>
                <w:color w:val="000000"/>
                <w:sz w:val="20"/>
                <w:szCs w:val="20"/>
              </w:rPr>
            </w:pPr>
            <w:r w:rsidRPr="00D44703">
              <w:rPr>
                <w:rFonts w:cs="Arial"/>
                <w:color w:val="000000"/>
                <w:sz w:val="20"/>
                <w:szCs w:val="20"/>
              </w:rPr>
              <w:t>Pearson Correlation</w:t>
            </w:r>
          </w:p>
        </w:tc>
        <w:tc>
          <w:tcPr>
            <w:tcW w:w="1134" w:type="dxa"/>
            <w:tcBorders>
              <w:left w:val="single" w:sz="16" w:space="0" w:color="000000"/>
              <w:bottom w:val="nil"/>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jc w:val="right"/>
              <w:rPr>
                <w:rFonts w:cs="Arial"/>
                <w:color w:val="000000"/>
                <w:sz w:val="20"/>
                <w:szCs w:val="20"/>
              </w:rPr>
            </w:pPr>
            <w:r w:rsidRPr="00D44703">
              <w:rPr>
                <w:rFonts w:cs="Arial"/>
                <w:color w:val="000000"/>
                <w:sz w:val="20"/>
                <w:szCs w:val="20"/>
              </w:rPr>
              <w:t>,468</w:t>
            </w:r>
            <w:r w:rsidRPr="00D44703">
              <w:rPr>
                <w:rFonts w:cs="Arial"/>
                <w:color w:val="000000"/>
                <w:sz w:val="20"/>
                <w:szCs w:val="20"/>
                <w:vertAlign w:val="superscript"/>
              </w:rPr>
              <w:t>**</w:t>
            </w:r>
          </w:p>
        </w:tc>
        <w:tc>
          <w:tcPr>
            <w:tcW w:w="1134" w:type="dxa"/>
            <w:tcBorders>
              <w:bottom w:val="nil"/>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jc w:val="right"/>
              <w:rPr>
                <w:rFonts w:cs="Arial"/>
                <w:color w:val="000000"/>
                <w:sz w:val="20"/>
                <w:szCs w:val="20"/>
              </w:rPr>
            </w:pPr>
            <w:r w:rsidRPr="00D44703">
              <w:rPr>
                <w:rFonts w:cs="Arial"/>
                <w:color w:val="000000"/>
                <w:sz w:val="20"/>
                <w:szCs w:val="20"/>
              </w:rPr>
              <w:t>-,501</w:t>
            </w:r>
            <w:r w:rsidRPr="00D44703">
              <w:rPr>
                <w:rFonts w:cs="Arial"/>
                <w:color w:val="000000"/>
                <w:sz w:val="20"/>
                <w:szCs w:val="20"/>
                <w:vertAlign w:val="superscript"/>
              </w:rPr>
              <w:t>**</w:t>
            </w:r>
          </w:p>
        </w:tc>
        <w:tc>
          <w:tcPr>
            <w:tcW w:w="1134" w:type="dxa"/>
            <w:tcBorders>
              <w:bottom w:val="nil"/>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jc w:val="right"/>
              <w:rPr>
                <w:rFonts w:cs="Arial"/>
                <w:color w:val="000000"/>
                <w:sz w:val="20"/>
                <w:szCs w:val="20"/>
              </w:rPr>
            </w:pPr>
            <w:r w:rsidRPr="00D44703">
              <w:rPr>
                <w:rFonts w:cs="Arial"/>
                <w:color w:val="000000"/>
                <w:sz w:val="20"/>
                <w:szCs w:val="20"/>
              </w:rPr>
              <w:t>,850</w:t>
            </w:r>
            <w:r w:rsidRPr="00D44703">
              <w:rPr>
                <w:rFonts w:cs="Arial"/>
                <w:color w:val="000000"/>
                <w:sz w:val="20"/>
                <w:szCs w:val="20"/>
                <w:vertAlign w:val="superscript"/>
              </w:rPr>
              <w:t>**</w:t>
            </w:r>
          </w:p>
        </w:tc>
        <w:tc>
          <w:tcPr>
            <w:tcW w:w="992" w:type="dxa"/>
            <w:tcBorders>
              <w:bottom w:val="nil"/>
              <w:right w:val="single" w:sz="16" w:space="0" w:color="000000"/>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jc w:val="right"/>
              <w:rPr>
                <w:rFonts w:cs="Arial"/>
                <w:color w:val="000000"/>
                <w:sz w:val="20"/>
                <w:szCs w:val="20"/>
              </w:rPr>
            </w:pPr>
            <w:r w:rsidRPr="00D44703">
              <w:rPr>
                <w:rFonts w:cs="Arial"/>
                <w:color w:val="000000"/>
                <w:sz w:val="20"/>
                <w:szCs w:val="20"/>
              </w:rPr>
              <w:t>1</w:t>
            </w:r>
          </w:p>
        </w:tc>
      </w:tr>
      <w:tr w:rsidR="00FD5242" w:rsidRPr="00D44703" w:rsidTr="008D78D0">
        <w:trPr>
          <w:cantSplit/>
          <w:tblHeader/>
        </w:trPr>
        <w:tc>
          <w:tcPr>
            <w:tcW w:w="2417" w:type="dxa"/>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240" w:lineRule="auto"/>
              <w:rPr>
                <w:rFonts w:cs="Arial"/>
                <w:color w:val="000000"/>
                <w:sz w:val="20"/>
                <w:szCs w:val="20"/>
              </w:rPr>
            </w:pPr>
          </w:p>
        </w:tc>
        <w:tc>
          <w:tcPr>
            <w:tcW w:w="1694" w:type="dxa"/>
            <w:tcBorders>
              <w:top w:val="nil"/>
              <w:left w:val="nil"/>
              <w:bottom w:val="nil"/>
              <w:right w:val="single" w:sz="16" w:space="0" w:color="000000"/>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rPr>
                <w:rFonts w:cs="Arial"/>
                <w:color w:val="000000"/>
                <w:sz w:val="20"/>
                <w:szCs w:val="20"/>
              </w:rPr>
            </w:pPr>
            <w:r w:rsidRPr="00D44703">
              <w:rPr>
                <w:rFonts w:cs="Arial"/>
                <w:color w:val="000000"/>
                <w:sz w:val="20"/>
                <w:szCs w:val="20"/>
              </w:rPr>
              <w:t>Sig. (2-tailed)</w:t>
            </w:r>
          </w:p>
        </w:tc>
        <w:tc>
          <w:tcPr>
            <w:tcW w:w="1134" w:type="dxa"/>
            <w:tcBorders>
              <w:top w:val="nil"/>
              <w:left w:val="single" w:sz="16" w:space="0" w:color="000000"/>
              <w:bottom w:val="nil"/>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jc w:val="right"/>
              <w:rPr>
                <w:rFonts w:cs="Arial"/>
                <w:color w:val="000000"/>
                <w:sz w:val="20"/>
                <w:szCs w:val="20"/>
              </w:rPr>
            </w:pPr>
            <w:r w:rsidRPr="00D44703">
              <w:rPr>
                <w:rFonts w:cs="Arial"/>
                <w:color w:val="000000"/>
                <w:sz w:val="20"/>
                <w:szCs w:val="20"/>
              </w:rPr>
              <w:t>,000</w:t>
            </w:r>
          </w:p>
        </w:tc>
        <w:tc>
          <w:tcPr>
            <w:tcW w:w="1134" w:type="dxa"/>
            <w:tcBorders>
              <w:top w:val="nil"/>
              <w:bottom w:val="nil"/>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jc w:val="right"/>
              <w:rPr>
                <w:rFonts w:cs="Arial"/>
                <w:color w:val="000000"/>
                <w:sz w:val="20"/>
                <w:szCs w:val="20"/>
              </w:rPr>
            </w:pPr>
            <w:r w:rsidRPr="00D44703">
              <w:rPr>
                <w:rFonts w:cs="Arial"/>
                <w:color w:val="000000"/>
                <w:sz w:val="20"/>
                <w:szCs w:val="20"/>
              </w:rPr>
              <w:t>,000</w:t>
            </w:r>
          </w:p>
        </w:tc>
        <w:tc>
          <w:tcPr>
            <w:tcW w:w="1134" w:type="dxa"/>
            <w:tcBorders>
              <w:top w:val="nil"/>
              <w:bottom w:val="nil"/>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jc w:val="right"/>
              <w:rPr>
                <w:rFonts w:cs="Arial"/>
                <w:color w:val="000000"/>
                <w:sz w:val="20"/>
                <w:szCs w:val="20"/>
              </w:rPr>
            </w:pPr>
            <w:r w:rsidRPr="00D44703">
              <w:rPr>
                <w:rFonts w:cs="Arial"/>
                <w:color w:val="000000"/>
                <w:sz w:val="20"/>
                <w:szCs w:val="20"/>
              </w:rPr>
              <w:t>,000</w:t>
            </w:r>
          </w:p>
        </w:tc>
        <w:tc>
          <w:tcPr>
            <w:tcW w:w="992" w:type="dxa"/>
            <w:tcBorders>
              <w:top w:val="nil"/>
              <w:bottom w:val="nil"/>
              <w:right w:val="single" w:sz="16" w:space="0" w:color="000000"/>
            </w:tcBorders>
            <w:shd w:val="clear" w:color="auto" w:fill="FFFFFF"/>
            <w:tcMar>
              <w:top w:w="30" w:type="dxa"/>
              <w:left w:w="30" w:type="dxa"/>
              <w:bottom w:w="30" w:type="dxa"/>
              <w:right w:w="30" w:type="dxa"/>
            </w:tcMar>
            <w:vAlign w:val="center"/>
          </w:tcPr>
          <w:p w:rsidR="00FD5242" w:rsidRPr="00D44703" w:rsidRDefault="00FD5242" w:rsidP="000662D5">
            <w:pPr>
              <w:autoSpaceDE w:val="0"/>
              <w:autoSpaceDN w:val="0"/>
              <w:adjustRightInd w:val="0"/>
              <w:spacing w:after="0" w:line="240" w:lineRule="auto"/>
              <w:jc w:val="center"/>
              <w:rPr>
                <w:sz w:val="20"/>
                <w:szCs w:val="20"/>
              </w:rPr>
            </w:pPr>
          </w:p>
        </w:tc>
      </w:tr>
      <w:tr w:rsidR="00FD5242" w:rsidRPr="00D44703" w:rsidTr="008D78D0">
        <w:trPr>
          <w:cantSplit/>
          <w:trHeight w:val="597"/>
          <w:tblHeader/>
        </w:trPr>
        <w:tc>
          <w:tcPr>
            <w:tcW w:w="2417" w:type="dxa"/>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240" w:lineRule="auto"/>
              <w:rPr>
                <w:sz w:val="20"/>
                <w:szCs w:val="20"/>
              </w:rPr>
            </w:pPr>
          </w:p>
        </w:tc>
        <w:tc>
          <w:tcPr>
            <w:tcW w:w="1694"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rPr>
                <w:rFonts w:cs="Arial"/>
                <w:color w:val="000000"/>
                <w:sz w:val="20"/>
                <w:szCs w:val="20"/>
              </w:rPr>
            </w:pPr>
            <w:r w:rsidRPr="00D44703">
              <w:rPr>
                <w:rFonts w:cs="Arial"/>
                <w:color w:val="000000"/>
                <w:sz w:val="20"/>
                <w:szCs w:val="20"/>
              </w:rPr>
              <w:t>N</w:t>
            </w:r>
          </w:p>
        </w:tc>
        <w:tc>
          <w:tcPr>
            <w:tcW w:w="1134"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jc w:val="right"/>
              <w:rPr>
                <w:rFonts w:cs="Arial"/>
                <w:color w:val="000000"/>
                <w:sz w:val="20"/>
                <w:szCs w:val="20"/>
              </w:rPr>
            </w:pPr>
            <w:r w:rsidRPr="00D44703">
              <w:rPr>
                <w:rFonts w:cs="Arial"/>
                <w:color w:val="000000"/>
                <w:sz w:val="20"/>
                <w:szCs w:val="20"/>
              </w:rPr>
              <w:t>102</w:t>
            </w:r>
          </w:p>
        </w:tc>
        <w:tc>
          <w:tcPr>
            <w:tcW w:w="1134" w:type="dxa"/>
            <w:tcBorders>
              <w:top w:val="nil"/>
              <w:bottom w:val="single" w:sz="16" w:space="0" w:color="000000"/>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jc w:val="right"/>
              <w:rPr>
                <w:rFonts w:cs="Arial"/>
                <w:color w:val="000000"/>
                <w:sz w:val="20"/>
                <w:szCs w:val="20"/>
              </w:rPr>
            </w:pPr>
            <w:r w:rsidRPr="00D44703">
              <w:rPr>
                <w:rFonts w:cs="Arial"/>
                <w:color w:val="000000"/>
                <w:sz w:val="20"/>
                <w:szCs w:val="20"/>
              </w:rPr>
              <w:t>102</w:t>
            </w:r>
          </w:p>
        </w:tc>
        <w:tc>
          <w:tcPr>
            <w:tcW w:w="1134" w:type="dxa"/>
            <w:tcBorders>
              <w:top w:val="nil"/>
              <w:bottom w:val="single" w:sz="16" w:space="0" w:color="000000"/>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jc w:val="right"/>
              <w:rPr>
                <w:rFonts w:cs="Arial"/>
                <w:color w:val="000000"/>
                <w:sz w:val="20"/>
                <w:szCs w:val="20"/>
              </w:rPr>
            </w:pPr>
            <w:r w:rsidRPr="00D44703">
              <w:rPr>
                <w:rFonts w:cs="Arial"/>
                <w:color w:val="000000"/>
                <w:sz w:val="20"/>
                <w:szCs w:val="20"/>
              </w:rPr>
              <w:t>101</w:t>
            </w:r>
          </w:p>
        </w:tc>
        <w:tc>
          <w:tcPr>
            <w:tcW w:w="992"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jc w:val="right"/>
              <w:rPr>
                <w:rFonts w:cs="Arial"/>
                <w:color w:val="000000"/>
                <w:sz w:val="20"/>
                <w:szCs w:val="20"/>
              </w:rPr>
            </w:pPr>
            <w:r w:rsidRPr="00D44703">
              <w:rPr>
                <w:rFonts w:cs="Arial"/>
                <w:color w:val="000000"/>
                <w:sz w:val="20"/>
                <w:szCs w:val="20"/>
              </w:rPr>
              <w:t>102</w:t>
            </w:r>
          </w:p>
        </w:tc>
      </w:tr>
      <w:tr w:rsidR="00FD5242" w:rsidRPr="009E2EF6" w:rsidTr="008D78D0">
        <w:trPr>
          <w:cantSplit/>
        </w:trPr>
        <w:tc>
          <w:tcPr>
            <w:tcW w:w="8505" w:type="dxa"/>
            <w:gridSpan w:val="6"/>
            <w:tcBorders>
              <w:top w:val="nil"/>
              <w:left w:val="nil"/>
              <w:bottom w:val="nil"/>
              <w:right w:val="nil"/>
            </w:tcBorders>
            <w:shd w:val="clear" w:color="auto" w:fill="FFFFFF"/>
            <w:tcMar>
              <w:top w:w="30" w:type="dxa"/>
              <w:left w:w="30" w:type="dxa"/>
              <w:bottom w:w="30" w:type="dxa"/>
              <w:right w:w="30" w:type="dxa"/>
            </w:tcMar>
          </w:tcPr>
          <w:p w:rsidR="00FD5242" w:rsidRPr="00D44703" w:rsidRDefault="00FD5242" w:rsidP="000662D5">
            <w:pPr>
              <w:autoSpaceDE w:val="0"/>
              <w:autoSpaceDN w:val="0"/>
              <w:adjustRightInd w:val="0"/>
              <w:spacing w:after="0" w:line="320" w:lineRule="atLeast"/>
              <w:rPr>
                <w:rFonts w:cs="Arial"/>
                <w:color w:val="000000"/>
                <w:sz w:val="20"/>
                <w:szCs w:val="20"/>
                <w:lang w:val="en-US"/>
              </w:rPr>
            </w:pPr>
            <w:r w:rsidRPr="00D44703">
              <w:rPr>
                <w:rFonts w:cs="Arial"/>
                <w:color w:val="000000"/>
                <w:sz w:val="20"/>
                <w:szCs w:val="20"/>
                <w:lang w:val="en-US"/>
              </w:rPr>
              <w:t>**. Correlation is significant at the 0.01 level (2-tailed).</w:t>
            </w:r>
          </w:p>
        </w:tc>
      </w:tr>
    </w:tbl>
    <w:p w:rsidR="00FD5242" w:rsidRDefault="00FD5242" w:rsidP="00661900">
      <w:pPr>
        <w:jc w:val="both"/>
        <w:rPr>
          <w:lang w:val="en-US"/>
        </w:rPr>
      </w:pPr>
    </w:p>
    <w:p w:rsidR="00FD5242" w:rsidRPr="000F1F82" w:rsidRDefault="00FD5242" w:rsidP="00234F59">
      <w:pPr>
        <w:spacing w:line="360" w:lineRule="auto"/>
        <w:jc w:val="both"/>
        <w:rPr>
          <w:bCs/>
          <w:lang w:val="en-US"/>
        </w:rPr>
      </w:pPr>
      <w:r>
        <w:rPr>
          <w:lang w:val="en-US"/>
        </w:rPr>
        <w:t xml:space="preserve">    The Pearson’s correlation matrix concerning this period shows again that a significant negative relationship exists between the return variable R</w:t>
      </w:r>
      <w:r>
        <w:rPr>
          <w:vertAlign w:val="subscript"/>
          <w:lang w:val="en-US"/>
        </w:rPr>
        <w:t xml:space="preserve">it </w:t>
      </w:r>
      <w:r>
        <w:rPr>
          <w:lang w:val="en-US"/>
        </w:rPr>
        <w:t>and the dummy return variable DR</w:t>
      </w:r>
      <w:r>
        <w:rPr>
          <w:vertAlign w:val="subscript"/>
          <w:lang w:val="en-US"/>
        </w:rPr>
        <w:t xml:space="preserve">it </w:t>
      </w:r>
      <w:r>
        <w:rPr>
          <w:lang w:val="en-US"/>
        </w:rPr>
        <w:t xml:space="preserve">amounted to -0,510. A significant correlation is shown between the dependent </w:t>
      </w:r>
      <w:r w:rsidRPr="006F7C88">
        <w:rPr>
          <w:bCs/>
          <w:lang w:val="en-US"/>
        </w:rPr>
        <w:t>X</w:t>
      </w:r>
      <w:r w:rsidRPr="006F7C88">
        <w:rPr>
          <w:bCs/>
          <w:vertAlign w:val="subscript"/>
          <w:lang w:val="en-US"/>
        </w:rPr>
        <w:t>it</w:t>
      </w:r>
      <w:r w:rsidRPr="006F7C88">
        <w:rPr>
          <w:bCs/>
          <w:lang w:val="en-US"/>
        </w:rPr>
        <w:t>/P</w:t>
      </w:r>
      <w:r w:rsidRPr="006F7C88">
        <w:rPr>
          <w:bCs/>
          <w:vertAlign w:val="subscript"/>
          <w:lang w:val="en-US"/>
        </w:rPr>
        <w:t>it-1</w:t>
      </w:r>
      <w:r>
        <w:rPr>
          <w:bCs/>
          <w:vertAlign w:val="subscript"/>
          <w:lang w:val="en-US"/>
        </w:rPr>
        <w:t xml:space="preserve"> </w:t>
      </w:r>
      <w:r>
        <w:rPr>
          <w:bCs/>
          <w:lang w:val="en-US"/>
        </w:rPr>
        <w:t>and the R</w:t>
      </w:r>
      <w:r>
        <w:rPr>
          <w:bCs/>
          <w:vertAlign w:val="subscript"/>
          <w:lang w:val="en-US"/>
        </w:rPr>
        <w:t xml:space="preserve">it </w:t>
      </w:r>
      <w:r>
        <w:rPr>
          <w:bCs/>
          <w:lang w:val="en-US"/>
        </w:rPr>
        <w:t xml:space="preserve">variables amounted to +0,501 and between the </w:t>
      </w:r>
      <w:r w:rsidRPr="006F7C88">
        <w:rPr>
          <w:bCs/>
          <w:lang w:val="en-US"/>
        </w:rPr>
        <w:t>X</w:t>
      </w:r>
      <w:r w:rsidRPr="006F7C88">
        <w:rPr>
          <w:bCs/>
          <w:vertAlign w:val="subscript"/>
          <w:lang w:val="en-US"/>
        </w:rPr>
        <w:t>it</w:t>
      </w:r>
      <w:r w:rsidRPr="006F7C88">
        <w:rPr>
          <w:bCs/>
          <w:lang w:val="en-US"/>
        </w:rPr>
        <w:t>/P</w:t>
      </w:r>
      <w:r w:rsidRPr="006F7C88">
        <w:rPr>
          <w:bCs/>
          <w:vertAlign w:val="subscript"/>
          <w:lang w:val="en-US"/>
        </w:rPr>
        <w:t>it-1</w:t>
      </w:r>
      <w:r>
        <w:rPr>
          <w:bCs/>
          <w:vertAlign w:val="subscript"/>
          <w:lang w:val="en-US"/>
        </w:rPr>
        <w:t xml:space="preserve"> </w:t>
      </w:r>
      <w:r>
        <w:rPr>
          <w:bCs/>
          <w:lang w:val="en-US"/>
        </w:rPr>
        <w:t>and the R</w:t>
      </w:r>
      <w:r>
        <w:rPr>
          <w:bCs/>
          <w:vertAlign w:val="subscript"/>
          <w:lang w:val="en-US"/>
        </w:rPr>
        <w:t>it</w:t>
      </w:r>
      <w:r w:rsidRPr="006F7C88">
        <w:rPr>
          <w:bCs/>
          <w:lang w:val="en-US"/>
        </w:rPr>
        <w:t>*</w:t>
      </w:r>
      <w:r>
        <w:rPr>
          <w:bCs/>
          <w:lang w:val="en-US"/>
        </w:rPr>
        <w:t>DR</w:t>
      </w:r>
      <w:r>
        <w:rPr>
          <w:bCs/>
          <w:vertAlign w:val="subscript"/>
          <w:lang w:val="en-US"/>
        </w:rPr>
        <w:t>it</w:t>
      </w:r>
      <w:r>
        <w:rPr>
          <w:bCs/>
          <w:lang w:val="en-US"/>
        </w:rPr>
        <w:t xml:space="preserve"> variables amounted to +0,468, which is significant in the 0.01 level (2-tailed). Again, all the variables are found to be statistically significant at the 0.01 confidence level. </w:t>
      </w:r>
      <w:r>
        <w:rPr>
          <w:lang w:val="en-US"/>
        </w:rPr>
        <w:t>Consequently, all the presented variables will be used as well.</w:t>
      </w:r>
    </w:p>
    <w:p w:rsidR="00FD5242" w:rsidRDefault="00FD5242" w:rsidP="00234F59">
      <w:pPr>
        <w:spacing w:line="360" w:lineRule="auto"/>
        <w:jc w:val="both"/>
        <w:rPr>
          <w:bCs/>
          <w:lang w:val="en-US"/>
        </w:rPr>
      </w:pPr>
      <w:r>
        <w:rPr>
          <w:lang w:val="en-US"/>
        </w:rPr>
        <w:t xml:space="preserve"> </w:t>
      </w:r>
      <w:r>
        <w:rPr>
          <w:bCs/>
          <w:lang w:val="en-US"/>
        </w:rPr>
        <w:t xml:space="preserve">7.1.3 </w:t>
      </w:r>
      <w:r w:rsidRPr="00850D21">
        <w:rPr>
          <w:bCs/>
          <w:i/>
          <w:u w:val="single"/>
          <w:lang w:val="en-US"/>
        </w:rPr>
        <w:t>Coefficients’ analysis</w:t>
      </w:r>
      <w:r>
        <w:rPr>
          <w:bCs/>
          <w:i/>
          <w:u w:val="single"/>
          <w:lang w:val="en-US"/>
        </w:rPr>
        <w:t xml:space="preserve"> - Results investigation</w:t>
      </w:r>
    </w:p>
    <w:p w:rsidR="00FD5242" w:rsidRDefault="00FD5242" w:rsidP="00234F59">
      <w:pPr>
        <w:autoSpaceDE w:val="0"/>
        <w:autoSpaceDN w:val="0"/>
        <w:adjustRightInd w:val="0"/>
        <w:spacing w:after="0" w:line="360" w:lineRule="auto"/>
        <w:jc w:val="both"/>
        <w:rPr>
          <w:bCs/>
          <w:lang w:val="en-US"/>
        </w:rPr>
      </w:pPr>
      <w:r>
        <w:rPr>
          <w:bCs/>
          <w:lang w:val="en-US"/>
        </w:rPr>
        <w:t xml:space="preserve">    The subsequent tables demonstrate the results regarding the coefficients of the variables concerning the pooled regressions conducted in order to examine the effects of the current global financial crisis on auditors’ conservatism, as generated by the E-views computer program. Because of the extended options on the pooled regression method of analysis that is used in this study, combining data of more than one year in each examined period, concerning this empirical analysis the E-views program was selected instead of the more common SPSS program. I</w:t>
      </w:r>
      <w:r w:rsidRPr="00E4453F">
        <w:rPr>
          <w:bCs/>
          <w:lang w:val="en-US"/>
        </w:rPr>
        <w:t>n order to determine</w:t>
      </w:r>
      <w:r>
        <w:rPr>
          <w:bCs/>
          <w:lang w:val="en-US"/>
        </w:rPr>
        <w:t xml:space="preserve"> </w:t>
      </w:r>
      <w:r w:rsidRPr="00E4453F">
        <w:rPr>
          <w:bCs/>
          <w:lang w:val="en-US"/>
        </w:rPr>
        <w:t>whether omitting a variable is likely to result in specification bias or whether the variable</w:t>
      </w:r>
      <w:r>
        <w:rPr>
          <w:bCs/>
          <w:lang w:val="en-US"/>
        </w:rPr>
        <w:t xml:space="preserve"> </w:t>
      </w:r>
      <w:r w:rsidRPr="00E4453F">
        <w:rPr>
          <w:bCs/>
          <w:lang w:val="en-US"/>
        </w:rPr>
        <w:t>is irrelevant</w:t>
      </w:r>
      <w:r>
        <w:rPr>
          <w:bCs/>
          <w:lang w:val="en-US"/>
        </w:rPr>
        <w:t xml:space="preserve">, it is easier using the E-views software program </w:t>
      </w:r>
      <w:r w:rsidRPr="00E4453F">
        <w:rPr>
          <w:bCs/>
          <w:lang w:val="en-US"/>
        </w:rPr>
        <w:t>to try alternative versions of an OLS model.</w:t>
      </w:r>
      <w:r>
        <w:rPr>
          <w:bCs/>
          <w:lang w:val="en-US"/>
        </w:rPr>
        <w:t xml:space="preserve"> </w:t>
      </w:r>
    </w:p>
    <w:p w:rsidR="00FD5242" w:rsidRDefault="00FD5242" w:rsidP="00214FDC">
      <w:pPr>
        <w:autoSpaceDE w:val="0"/>
        <w:autoSpaceDN w:val="0"/>
        <w:adjustRightInd w:val="0"/>
        <w:spacing w:after="0" w:line="360" w:lineRule="auto"/>
        <w:jc w:val="both"/>
        <w:rPr>
          <w:bCs/>
          <w:lang w:val="en-US"/>
        </w:rPr>
      </w:pPr>
      <w:r>
        <w:rPr>
          <w:bCs/>
          <w:lang w:val="en-US"/>
        </w:rPr>
        <w:t xml:space="preserve">    The tables presented subsequently, concern the pooled regression analyses conducted for the two investigated periods prior to and during the financial crisis respectively. </w:t>
      </w:r>
    </w:p>
    <w:p w:rsidR="00FD5242" w:rsidRDefault="00FD5242" w:rsidP="00214FDC">
      <w:pPr>
        <w:autoSpaceDE w:val="0"/>
        <w:autoSpaceDN w:val="0"/>
        <w:adjustRightInd w:val="0"/>
        <w:spacing w:after="0" w:line="360" w:lineRule="auto"/>
        <w:jc w:val="both"/>
        <w:rPr>
          <w:bCs/>
          <w:lang w:val="en-US"/>
        </w:rPr>
      </w:pPr>
    </w:p>
    <w:p w:rsidR="00FD5242" w:rsidRPr="00214FDC" w:rsidRDefault="00FD5242" w:rsidP="00214FDC">
      <w:pPr>
        <w:autoSpaceDE w:val="0"/>
        <w:autoSpaceDN w:val="0"/>
        <w:adjustRightInd w:val="0"/>
        <w:spacing w:after="0" w:line="360" w:lineRule="auto"/>
        <w:jc w:val="both"/>
        <w:rPr>
          <w:bCs/>
          <w:lang w:val="en-US"/>
        </w:rPr>
      </w:pPr>
      <w:r>
        <w:rPr>
          <w:rFonts w:cs="Arial"/>
          <w:b/>
          <w:lang w:val="en-US"/>
        </w:rPr>
        <w:t>Table 5: Results of the pooled regression analysis for the 20</w:t>
      </w:r>
      <w:r w:rsidRPr="003D13CF">
        <w:rPr>
          <w:rFonts w:cs="Arial"/>
          <w:b/>
          <w:lang w:val="en-US"/>
        </w:rPr>
        <w:t>05-</w:t>
      </w:r>
      <w:r>
        <w:rPr>
          <w:rFonts w:cs="Arial"/>
          <w:b/>
          <w:lang w:val="en-US"/>
        </w:rPr>
        <w:t>20</w:t>
      </w:r>
      <w:r w:rsidRPr="003D13CF">
        <w:rPr>
          <w:rFonts w:cs="Arial"/>
          <w:b/>
          <w:lang w:val="en-US"/>
        </w:rPr>
        <w:t>06</w:t>
      </w:r>
      <w:r>
        <w:rPr>
          <w:rFonts w:cs="Arial"/>
          <w:b/>
          <w:lang w:val="en-US"/>
        </w:rPr>
        <w:t xml:space="preserve"> period</w:t>
      </w:r>
    </w:p>
    <w:tbl>
      <w:tblPr>
        <w:tblW w:w="8095" w:type="dxa"/>
        <w:tblLayout w:type="fixed"/>
        <w:tblCellMar>
          <w:left w:w="0" w:type="dxa"/>
          <w:right w:w="0" w:type="dxa"/>
        </w:tblCellMar>
        <w:tblLook w:val="0000"/>
      </w:tblPr>
      <w:tblGrid>
        <w:gridCol w:w="3559"/>
        <w:gridCol w:w="1276"/>
        <w:gridCol w:w="1307"/>
        <w:gridCol w:w="1103"/>
        <w:gridCol w:w="850"/>
      </w:tblGrid>
      <w:tr w:rsidR="00FD5242" w:rsidRPr="009E2EF6" w:rsidTr="00BE1A97">
        <w:trPr>
          <w:trHeight w:val="225"/>
        </w:trPr>
        <w:tc>
          <w:tcPr>
            <w:tcW w:w="7245" w:type="dxa"/>
            <w:gridSpan w:val="4"/>
            <w:tcBorders>
              <w:top w:val="double" w:sz="4" w:space="0" w:color="auto"/>
              <w:left w:val="double" w:sz="4" w:space="0" w:color="auto"/>
              <w:bottom w:val="nil"/>
              <w:right w:val="nil"/>
            </w:tcBorders>
            <w:vAlign w:val="bottom"/>
          </w:tcPr>
          <w:p w:rsidR="00FD5242" w:rsidRPr="00B40B56" w:rsidRDefault="00FD5242" w:rsidP="00172F45">
            <w:pPr>
              <w:tabs>
                <w:tab w:val="left" w:pos="2895"/>
              </w:tabs>
              <w:autoSpaceDE w:val="0"/>
              <w:autoSpaceDN w:val="0"/>
              <w:adjustRightInd w:val="0"/>
              <w:spacing w:after="0" w:line="240" w:lineRule="auto"/>
              <w:rPr>
                <w:rFonts w:cs="Arial"/>
                <w:i/>
                <w:color w:val="000000"/>
                <w:lang w:val="en-US"/>
              </w:rPr>
            </w:pPr>
            <w:r w:rsidRPr="00B40B56">
              <w:rPr>
                <w:rFonts w:cs="Arial"/>
                <w:color w:val="000000"/>
                <w:lang w:val="en-US"/>
              </w:rPr>
              <w:t>Dependent Variable: X</w:t>
            </w:r>
            <w:r w:rsidRPr="00B40B56">
              <w:rPr>
                <w:rFonts w:cs="Arial"/>
                <w:color w:val="000000"/>
                <w:vertAlign w:val="subscript"/>
                <w:lang w:val="en-US"/>
              </w:rPr>
              <w:t>it</w:t>
            </w:r>
            <w:r w:rsidRPr="00B40B56">
              <w:rPr>
                <w:rFonts w:cs="Arial"/>
                <w:color w:val="000000"/>
                <w:lang w:val="en-US"/>
              </w:rPr>
              <w:t>/P</w:t>
            </w:r>
            <w:r w:rsidRPr="00B40B56">
              <w:rPr>
                <w:rFonts w:cs="Arial"/>
                <w:color w:val="000000"/>
                <w:vertAlign w:val="subscript"/>
                <w:lang w:val="en-US"/>
              </w:rPr>
              <w:t>it-1</w:t>
            </w:r>
            <w:r w:rsidRPr="00B40B56">
              <w:rPr>
                <w:rFonts w:cs="Arial"/>
                <w:color w:val="000000"/>
                <w:lang w:val="en-US"/>
              </w:rPr>
              <w:t xml:space="preserve">  (</w:t>
            </w:r>
            <w:r>
              <w:rPr>
                <w:rFonts w:cs="Arial"/>
                <w:color w:val="000000"/>
                <w:lang w:val="en-US"/>
              </w:rPr>
              <w:t>Conservatism</w:t>
            </w:r>
            <w:r w:rsidRPr="00B40B56">
              <w:rPr>
                <w:rFonts w:cs="Arial"/>
                <w:color w:val="000000"/>
                <w:lang w:val="en-US"/>
              </w:rPr>
              <w:t>)</w:t>
            </w:r>
          </w:p>
        </w:tc>
        <w:tc>
          <w:tcPr>
            <w:tcW w:w="850" w:type="dxa"/>
            <w:tcBorders>
              <w:top w:val="double" w:sz="4" w:space="0" w:color="auto"/>
              <w:left w:val="nil"/>
              <w:bottom w:val="nil"/>
              <w:right w:val="double" w:sz="4" w:space="0" w:color="auto"/>
            </w:tcBorders>
            <w:vAlign w:val="bottom"/>
          </w:tcPr>
          <w:p w:rsidR="00FD5242" w:rsidRPr="00B40B56" w:rsidRDefault="00FD5242" w:rsidP="00CD4BC7">
            <w:pPr>
              <w:autoSpaceDE w:val="0"/>
              <w:autoSpaceDN w:val="0"/>
              <w:adjustRightInd w:val="0"/>
              <w:spacing w:after="0" w:line="240" w:lineRule="auto"/>
              <w:jc w:val="center"/>
              <w:rPr>
                <w:rFonts w:cs="Arial"/>
                <w:color w:val="000000"/>
                <w:lang w:val="en-US"/>
              </w:rPr>
            </w:pPr>
          </w:p>
        </w:tc>
      </w:tr>
      <w:tr w:rsidR="00FD5242" w:rsidRPr="00B40B56" w:rsidTr="00BE1A97">
        <w:trPr>
          <w:trHeight w:val="225"/>
        </w:trPr>
        <w:tc>
          <w:tcPr>
            <w:tcW w:w="6142" w:type="dxa"/>
            <w:gridSpan w:val="3"/>
            <w:tcBorders>
              <w:top w:val="nil"/>
              <w:left w:val="double" w:sz="4" w:space="0" w:color="auto"/>
              <w:bottom w:val="nil"/>
              <w:right w:val="nil"/>
            </w:tcBorders>
            <w:vAlign w:val="bottom"/>
          </w:tcPr>
          <w:p w:rsidR="00FD5242" w:rsidRPr="0030712E" w:rsidRDefault="00FD5242" w:rsidP="00CD4BC7">
            <w:pPr>
              <w:autoSpaceDE w:val="0"/>
              <w:autoSpaceDN w:val="0"/>
              <w:adjustRightInd w:val="0"/>
              <w:spacing w:after="0" w:line="240" w:lineRule="auto"/>
              <w:rPr>
                <w:rFonts w:cs="Arial"/>
                <w:color w:val="000000"/>
                <w:lang w:val="en-US"/>
              </w:rPr>
            </w:pPr>
            <w:r w:rsidRPr="00B40B56">
              <w:rPr>
                <w:rFonts w:cs="Arial"/>
                <w:color w:val="000000"/>
              </w:rPr>
              <w:t>Method: Panel Least Squares</w:t>
            </w:r>
            <w:r>
              <w:rPr>
                <w:rFonts w:cs="Arial"/>
                <w:color w:val="000000"/>
                <w:lang w:val="en-US"/>
              </w:rPr>
              <w:t xml:space="preserve"> </w:t>
            </w:r>
          </w:p>
        </w:tc>
        <w:tc>
          <w:tcPr>
            <w:tcW w:w="1103" w:type="dxa"/>
            <w:tcBorders>
              <w:top w:val="nil"/>
              <w:left w:val="nil"/>
              <w:bottom w:val="nil"/>
              <w:right w:val="nil"/>
            </w:tcBorders>
            <w:vAlign w:val="bottom"/>
          </w:tcPr>
          <w:p w:rsidR="00FD5242" w:rsidRPr="00B40B56" w:rsidRDefault="00FD5242" w:rsidP="00CD4BC7">
            <w:pPr>
              <w:autoSpaceDE w:val="0"/>
              <w:autoSpaceDN w:val="0"/>
              <w:adjustRightInd w:val="0"/>
              <w:spacing w:after="0" w:line="240" w:lineRule="auto"/>
              <w:jc w:val="center"/>
              <w:rPr>
                <w:rFonts w:cs="Arial"/>
                <w:color w:val="000000"/>
              </w:rPr>
            </w:pPr>
          </w:p>
        </w:tc>
        <w:tc>
          <w:tcPr>
            <w:tcW w:w="850" w:type="dxa"/>
            <w:tcBorders>
              <w:top w:val="nil"/>
              <w:left w:val="nil"/>
              <w:bottom w:val="nil"/>
              <w:right w:val="double" w:sz="4" w:space="0" w:color="auto"/>
            </w:tcBorders>
            <w:vAlign w:val="bottom"/>
          </w:tcPr>
          <w:p w:rsidR="00FD5242" w:rsidRPr="00B40B56" w:rsidRDefault="00FD5242" w:rsidP="00CD4BC7">
            <w:pPr>
              <w:autoSpaceDE w:val="0"/>
              <w:autoSpaceDN w:val="0"/>
              <w:adjustRightInd w:val="0"/>
              <w:spacing w:after="0" w:line="240" w:lineRule="auto"/>
              <w:jc w:val="center"/>
              <w:rPr>
                <w:rFonts w:cs="Arial"/>
                <w:color w:val="000000"/>
              </w:rPr>
            </w:pPr>
          </w:p>
        </w:tc>
      </w:tr>
      <w:tr w:rsidR="00FD5242" w:rsidRPr="00B40B56" w:rsidTr="00BE1A97">
        <w:trPr>
          <w:trHeight w:val="225"/>
        </w:trPr>
        <w:tc>
          <w:tcPr>
            <w:tcW w:w="6142" w:type="dxa"/>
            <w:gridSpan w:val="3"/>
            <w:tcBorders>
              <w:top w:val="nil"/>
              <w:left w:val="double" w:sz="4" w:space="0" w:color="auto"/>
              <w:bottom w:val="nil"/>
              <w:right w:val="nil"/>
            </w:tcBorders>
            <w:vAlign w:val="bottom"/>
          </w:tcPr>
          <w:p w:rsidR="00FD5242" w:rsidRPr="00B40B56" w:rsidRDefault="00FD5242" w:rsidP="00CD4BC7">
            <w:pPr>
              <w:autoSpaceDE w:val="0"/>
              <w:autoSpaceDN w:val="0"/>
              <w:adjustRightInd w:val="0"/>
              <w:spacing w:after="0" w:line="240" w:lineRule="auto"/>
              <w:rPr>
                <w:rFonts w:cs="Arial"/>
                <w:color w:val="000000"/>
              </w:rPr>
            </w:pPr>
            <w:r w:rsidRPr="00B40B56">
              <w:rPr>
                <w:rFonts w:cs="Arial"/>
                <w:color w:val="000000"/>
              </w:rPr>
              <w:t>Periods included: 2</w:t>
            </w:r>
          </w:p>
        </w:tc>
        <w:tc>
          <w:tcPr>
            <w:tcW w:w="1103" w:type="dxa"/>
            <w:tcBorders>
              <w:top w:val="nil"/>
              <w:left w:val="nil"/>
              <w:bottom w:val="nil"/>
              <w:right w:val="nil"/>
            </w:tcBorders>
            <w:vAlign w:val="bottom"/>
          </w:tcPr>
          <w:p w:rsidR="00FD5242" w:rsidRPr="00B40B56" w:rsidRDefault="00FD5242" w:rsidP="00CD4BC7">
            <w:pPr>
              <w:autoSpaceDE w:val="0"/>
              <w:autoSpaceDN w:val="0"/>
              <w:adjustRightInd w:val="0"/>
              <w:spacing w:after="0" w:line="240" w:lineRule="auto"/>
              <w:jc w:val="center"/>
              <w:rPr>
                <w:rFonts w:cs="Arial"/>
                <w:color w:val="000000"/>
              </w:rPr>
            </w:pPr>
          </w:p>
        </w:tc>
        <w:tc>
          <w:tcPr>
            <w:tcW w:w="850" w:type="dxa"/>
            <w:tcBorders>
              <w:top w:val="nil"/>
              <w:left w:val="nil"/>
              <w:bottom w:val="nil"/>
              <w:right w:val="double" w:sz="4" w:space="0" w:color="auto"/>
            </w:tcBorders>
            <w:vAlign w:val="bottom"/>
          </w:tcPr>
          <w:p w:rsidR="00FD5242" w:rsidRPr="00B40B56" w:rsidRDefault="00FD5242" w:rsidP="00CD4BC7">
            <w:pPr>
              <w:autoSpaceDE w:val="0"/>
              <w:autoSpaceDN w:val="0"/>
              <w:adjustRightInd w:val="0"/>
              <w:spacing w:after="0" w:line="240" w:lineRule="auto"/>
              <w:jc w:val="center"/>
              <w:rPr>
                <w:rFonts w:cs="Arial"/>
                <w:color w:val="000000"/>
              </w:rPr>
            </w:pPr>
          </w:p>
        </w:tc>
      </w:tr>
      <w:tr w:rsidR="00FD5242" w:rsidRPr="009E2EF6" w:rsidTr="00BE1A97">
        <w:trPr>
          <w:trHeight w:val="225"/>
        </w:trPr>
        <w:tc>
          <w:tcPr>
            <w:tcW w:w="6142" w:type="dxa"/>
            <w:gridSpan w:val="3"/>
            <w:tcBorders>
              <w:top w:val="nil"/>
              <w:left w:val="double" w:sz="4" w:space="0" w:color="auto"/>
              <w:bottom w:val="nil"/>
              <w:right w:val="nil"/>
            </w:tcBorders>
            <w:vAlign w:val="bottom"/>
          </w:tcPr>
          <w:p w:rsidR="00FD5242" w:rsidRPr="00B40B56" w:rsidRDefault="00FD5242" w:rsidP="00CD4BC7">
            <w:pPr>
              <w:autoSpaceDE w:val="0"/>
              <w:autoSpaceDN w:val="0"/>
              <w:adjustRightInd w:val="0"/>
              <w:spacing w:after="0" w:line="240" w:lineRule="auto"/>
              <w:rPr>
                <w:rFonts w:cs="Arial"/>
                <w:color w:val="000000"/>
                <w:lang w:val="en-US"/>
              </w:rPr>
            </w:pPr>
            <w:r w:rsidRPr="00B40B56">
              <w:rPr>
                <w:rFonts w:cs="Arial"/>
                <w:color w:val="000000"/>
                <w:lang w:val="en-US"/>
              </w:rPr>
              <w:t>Cross-sections included: 51</w:t>
            </w:r>
          </w:p>
          <w:p w:rsidR="00FD5242" w:rsidRPr="00B40B56" w:rsidRDefault="00FD5242" w:rsidP="00BE1A97">
            <w:pPr>
              <w:tabs>
                <w:tab w:val="left" w:pos="4693"/>
              </w:tabs>
              <w:autoSpaceDE w:val="0"/>
              <w:autoSpaceDN w:val="0"/>
              <w:adjustRightInd w:val="0"/>
              <w:spacing w:after="0" w:line="240" w:lineRule="auto"/>
              <w:rPr>
                <w:rFonts w:cs="Arial"/>
                <w:color w:val="000000"/>
                <w:lang w:val="en-US"/>
              </w:rPr>
            </w:pPr>
            <w:r w:rsidRPr="00B40B56">
              <w:rPr>
                <w:rFonts w:cs="Arial"/>
                <w:color w:val="000000"/>
                <w:lang w:val="en-US"/>
              </w:rPr>
              <w:t>X</w:t>
            </w:r>
            <w:r w:rsidRPr="00B40B56">
              <w:rPr>
                <w:rFonts w:cs="Arial"/>
                <w:i/>
                <w:color w:val="000000"/>
                <w:vertAlign w:val="subscript"/>
                <w:lang w:val="en-US"/>
              </w:rPr>
              <w:t>it</w:t>
            </w:r>
            <w:r w:rsidRPr="00B40B56">
              <w:rPr>
                <w:rFonts w:cs="Arial"/>
                <w:color w:val="000000"/>
                <w:lang w:val="en-US"/>
              </w:rPr>
              <w:t>/P</w:t>
            </w:r>
            <w:r w:rsidRPr="00B40B56">
              <w:rPr>
                <w:rFonts w:cs="Arial"/>
                <w:color w:val="000000"/>
                <w:vertAlign w:val="subscript"/>
                <w:lang w:val="en-US"/>
              </w:rPr>
              <w:t>it-1</w:t>
            </w:r>
            <w:r w:rsidRPr="00B40B56">
              <w:rPr>
                <w:rFonts w:cs="Arial"/>
                <w:color w:val="000000"/>
                <w:lang w:val="en-US"/>
              </w:rPr>
              <w:t>=b</w:t>
            </w:r>
            <w:r w:rsidRPr="00B40B56">
              <w:rPr>
                <w:rFonts w:cs="Arial"/>
                <w:color w:val="000000"/>
                <w:vertAlign w:val="subscript"/>
                <w:lang w:val="en-US"/>
              </w:rPr>
              <w:t>0</w:t>
            </w:r>
            <w:r w:rsidRPr="00B40B56">
              <w:rPr>
                <w:rFonts w:cs="Arial"/>
                <w:color w:val="000000"/>
                <w:lang w:val="en-US"/>
              </w:rPr>
              <w:t>+b</w:t>
            </w:r>
            <w:r w:rsidRPr="00B40B56">
              <w:rPr>
                <w:rFonts w:cs="Arial"/>
                <w:color w:val="000000"/>
                <w:vertAlign w:val="subscript"/>
                <w:lang w:val="en-US"/>
              </w:rPr>
              <w:t>1</w:t>
            </w:r>
            <w:r w:rsidRPr="00B40B56">
              <w:rPr>
                <w:rFonts w:cs="Arial"/>
                <w:color w:val="000000"/>
                <w:lang w:val="en-US"/>
              </w:rPr>
              <w:t>*DR</w:t>
            </w:r>
            <w:r w:rsidRPr="00B40B56">
              <w:rPr>
                <w:rFonts w:cs="Arial"/>
                <w:i/>
                <w:color w:val="000000"/>
                <w:vertAlign w:val="subscript"/>
                <w:lang w:val="en-US"/>
              </w:rPr>
              <w:t>it</w:t>
            </w:r>
            <w:r w:rsidRPr="00B40B56">
              <w:rPr>
                <w:rFonts w:cs="Arial"/>
                <w:color w:val="000000"/>
                <w:lang w:val="en-US"/>
              </w:rPr>
              <w:t>+b</w:t>
            </w:r>
            <w:r w:rsidRPr="00B40B56">
              <w:rPr>
                <w:rFonts w:cs="Arial"/>
                <w:color w:val="000000"/>
                <w:vertAlign w:val="subscript"/>
                <w:lang w:val="en-US"/>
              </w:rPr>
              <w:t>2</w:t>
            </w:r>
            <w:r w:rsidRPr="00B40B56">
              <w:rPr>
                <w:rFonts w:cs="Arial"/>
                <w:color w:val="000000"/>
                <w:lang w:val="en-US"/>
              </w:rPr>
              <w:t>*R</w:t>
            </w:r>
            <w:r w:rsidRPr="00B40B56">
              <w:rPr>
                <w:rFonts w:cs="Arial"/>
                <w:color w:val="000000"/>
                <w:vertAlign w:val="subscript"/>
                <w:lang w:val="en-US"/>
              </w:rPr>
              <w:t>it</w:t>
            </w:r>
            <w:r w:rsidRPr="00B40B56">
              <w:rPr>
                <w:rFonts w:cs="Arial"/>
                <w:color w:val="000000"/>
                <w:lang w:val="en-US"/>
              </w:rPr>
              <w:t>+b</w:t>
            </w:r>
            <w:r w:rsidRPr="00B40B56">
              <w:rPr>
                <w:rFonts w:cs="Arial"/>
                <w:color w:val="000000"/>
                <w:vertAlign w:val="subscript"/>
                <w:lang w:val="en-US"/>
              </w:rPr>
              <w:t>3</w:t>
            </w:r>
            <w:r w:rsidRPr="00B40B56">
              <w:rPr>
                <w:rFonts w:cs="Arial"/>
                <w:color w:val="000000"/>
                <w:lang w:val="en-US"/>
              </w:rPr>
              <w:t>*R</w:t>
            </w:r>
            <w:r w:rsidRPr="00B40B56">
              <w:rPr>
                <w:rFonts w:cs="Arial"/>
                <w:i/>
                <w:color w:val="000000"/>
                <w:vertAlign w:val="subscript"/>
                <w:lang w:val="en-US"/>
              </w:rPr>
              <w:t>it</w:t>
            </w:r>
            <w:r w:rsidRPr="00B40B56">
              <w:rPr>
                <w:rFonts w:cs="Arial"/>
                <w:color w:val="000000"/>
                <w:lang w:val="en-US"/>
              </w:rPr>
              <w:t>*DR</w:t>
            </w:r>
            <w:r w:rsidRPr="00B40B56">
              <w:rPr>
                <w:rFonts w:cs="Arial"/>
                <w:i/>
                <w:color w:val="000000"/>
                <w:vertAlign w:val="subscript"/>
                <w:lang w:val="en-US"/>
              </w:rPr>
              <w:t>it</w:t>
            </w:r>
          </w:p>
        </w:tc>
        <w:tc>
          <w:tcPr>
            <w:tcW w:w="1103" w:type="dxa"/>
            <w:tcBorders>
              <w:top w:val="nil"/>
              <w:left w:val="nil"/>
              <w:bottom w:val="nil"/>
              <w:right w:val="nil"/>
            </w:tcBorders>
            <w:vAlign w:val="bottom"/>
          </w:tcPr>
          <w:p w:rsidR="00FD5242" w:rsidRPr="00B40B56" w:rsidRDefault="00FD5242" w:rsidP="00CD4BC7">
            <w:pPr>
              <w:autoSpaceDE w:val="0"/>
              <w:autoSpaceDN w:val="0"/>
              <w:adjustRightInd w:val="0"/>
              <w:spacing w:after="0" w:line="240" w:lineRule="auto"/>
              <w:jc w:val="center"/>
              <w:rPr>
                <w:rFonts w:cs="Arial"/>
                <w:color w:val="000000"/>
                <w:lang w:val="en-US"/>
              </w:rPr>
            </w:pPr>
          </w:p>
        </w:tc>
        <w:tc>
          <w:tcPr>
            <w:tcW w:w="850" w:type="dxa"/>
            <w:tcBorders>
              <w:top w:val="nil"/>
              <w:left w:val="nil"/>
              <w:bottom w:val="nil"/>
              <w:right w:val="double" w:sz="4" w:space="0" w:color="auto"/>
            </w:tcBorders>
            <w:vAlign w:val="bottom"/>
          </w:tcPr>
          <w:p w:rsidR="00FD5242" w:rsidRPr="00B40B56" w:rsidRDefault="00FD5242" w:rsidP="00CD4BC7">
            <w:pPr>
              <w:autoSpaceDE w:val="0"/>
              <w:autoSpaceDN w:val="0"/>
              <w:adjustRightInd w:val="0"/>
              <w:spacing w:after="0" w:line="240" w:lineRule="auto"/>
              <w:jc w:val="center"/>
              <w:rPr>
                <w:rFonts w:cs="Arial"/>
                <w:color w:val="000000"/>
                <w:lang w:val="en-US"/>
              </w:rPr>
            </w:pPr>
          </w:p>
        </w:tc>
      </w:tr>
      <w:tr w:rsidR="00FD5242" w:rsidRPr="009E2EF6" w:rsidTr="00BE1A97">
        <w:trPr>
          <w:trHeight w:hRule="exact" w:val="90"/>
        </w:trPr>
        <w:tc>
          <w:tcPr>
            <w:tcW w:w="3559" w:type="dxa"/>
            <w:tcBorders>
              <w:top w:val="nil"/>
              <w:left w:val="double" w:sz="4" w:space="0" w:color="auto"/>
              <w:bottom w:val="double" w:sz="6" w:space="2" w:color="auto"/>
              <w:right w:val="nil"/>
            </w:tcBorders>
            <w:vAlign w:val="bottom"/>
          </w:tcPr>
          <w:p w:rsidR="00FD5242" w:rsidRPr="00B40B56" w:rsidRDefault="00FD5242" w:rsidP="00CD4BC7">
            <w:pPr>
              <w:autoSpaceDE w:val="0"/>
              <w:autoSpaceDN w:val="0"/>
              <w:adjustRightInd w:val="0"/>
              <w:spacing w:after="0" w:line="240" w:lineRule="auto"/>
              <w:jc w:val="center"/>
              <w:rPr>
                <w:rFonts w:cs="Arial"/>
                <w:color w:val="000000"/>
                <w:lang w:val="en-US"/>
              </w:rPr>
            </w:pPr>
          </w:p>
        </w:tc>
        <w:tc>
          <w:tcPr>
            <w:tcW w:w="1276" w:type="dxa"/>
            <w:tcBorders>
              <w:top w:val="nil"/>
              <w:left w:val="nil"/>
              <w:bottom w:val="double" w:sz="6" w:space="2" w:color="auto"/>
              <w:right w:val="nil"/>
            </w:tcBorders>
            <w:vAlign w:val="bottom"/>
          </w:tcPr>
          <w:p w:rsidR="00FD5242" w:rsidRPr="00B40B56" w:rsidRDefault="00FD5242" w:rsidP="00CD4BC7">
            <w:pPr>
              <w:autoSpaceDE w:val="0"/>
              <w:autoSpaceDN w:val="0"/>
              <w:adjustRightInd w:val="0"/>
              <w:spacing w:after="0" w:line="240" w:lineRule="auto"/>
              <w:jc w:val="center"/>
              <w:rPr>
                <w:rFonts w:cs="Arial"/>
                <w:color w:val="000000"/>
                <w:lang w:val="en-US"/>
              </w:rPr>
            </w:pPr>
          </w:p>
        </w:tc>
        <w:tc>
          <w:tcPr>
            <w:tcW w:w="1307" w:type="dxa"/>
            <w:tcBorders>
              <w:top w:val="nil"/>
              <w:left w:val="nil"/>
              <w:bottom w:val="double" w:sz="6" w:space="2" w:color="auto"/>
              <w:right w:val="nil"/>
            </w:tcBorders>
            <w:vAlign w:val="bottom"/>
          </w:tcPr>
          <w:p w:rsidR="00FD5242" w:rsidRPr="00B40B56" w:rsidRDefault="00FD5242" w:rsidP="00CD4BC7">
            <w:pPr>
              <w:autoSpaceDE w:val="0"/>
              <w:autoSpaceDN w:val="0"/>
              <w:adjustRightInd w:val="0"/>
              <w:spacing w:after="0" w:line="240" w:lineRule="auto"/>
              <w:jc w:val="center"/>
              <w:rPr>
                <w:rFonts w:cs="Arial"/>
                <w:color w:val="000000"/>
                <w:lang w:val="en-US"/>
              </w:rPr>
            </w:pPr>
          </w:p>
        </w:tc>
        <w:tc>
          <w:tcPr>
            <w:tcW w:w="1103" w:type="dxa"/>
            <w:tcBorders>
              <w:top w:val="nil"/>
              <w:left w:val="nil"/>
              <w:bottom w:val="double" w:sz="6" w:space="2" w:color="auto"/>
              <w:right w:val="nil"/>
            </w:tcBorders>
            <w:vAlign w:val="bottom"/>
          </w:tcPr>
          <w:p w:rsidR="00FD5242" w:rsidRPr="00B40B56" w:rsidRDefault="00FD5242" w:rsidP="00CD4BC7">
            <w:pPr>
              <w:autoSpaceDE w:val="0"/>
              <w:autoSpaceDN w:val="0"/>
              <w:adjustRightInd w:val="0"/>
              <w:spacing w:after="0" w:line="240" w:lineRule="auto"/>
              <w:jc w:val="center"/>
              <w:rPr>
                <w:rFonts w:cs="Arial"/>
                <w:color w:val="000000"/>
                <w:lang w:val="en-US"/>
              </w:rPr>
            </w:pPr>
          </w:p>
        </w:tc>
        <w:tc>
          <w:tcPr>
            <w:tcW w:w="850" w:type="dxa"/>
            <w:tcBorders>
              <w:top w:val="nil"/>
              <w:left w:val="nil"/>
              <w:bottom w:val="double" w:sz="6" w:space="2" w:color="auto"/>
              <w:right w:val="double" w:sz="4" w:space="0" w:color="auto"/>
            </w:tcBorders>
            <w:vAlign w:val="bottom"/>
          </w:tcPr>
          <w:p w:rsidR="00FD5242" w:rsidRPr="00B40B56" w:rsidRDefault="00FD5242" w:rsidP="00CD4BC7">
            <w:pPr>
              <w:autoSpaceDE w:val="0"/>
              <w:autoSpaceDN w:val="0"/>
              <w:adjustRightInd w:val="0"/>
              <w:spacing w:after="0" w:line="240" w:lineRule="auto"/>
              <w:jc w:val="center"/>
              <w:rPr>
                <w:rFonts w:cs="Arial"/>
                <w:color w:val="000000"/>
                <w:lang w:val="en-US"/>
              </w:rPr>
            </w:pPr>
          </w:p>
        </w:tc>
      </w:tr>
      <w:tr w:rsidR="00FD5242" w:rsidRPr="009E2EF6" w:rsidTr="00BE1A97">
        <w:trPr>
          <w:trHeight w:hRule="exact" w:val="135"/>
        </w:trPr>
        <w:tc>
          <w:tcPr>
            <w:tcW w:w="3559" w:type="dxa"/>
            <w:tcBorders>
              <w:top w:val="nil"/>
              <w:left w:val="double" w:sz="4" w:space="0" w:color="auto"/>
              <w:bottom w:val="nil"/>
              <w:right w:val="nil"/>
            </w:tcBorders>
            <w:vAlign w:val="bottom"/>
          </w:tcPr>
          <w:p w:rsidR="00FD5242" w:rsidRPr="00B40B56" w:rsidRDefault="00FD5242" w:rsidP="00CD4BC7">
            <w:pPr>
              <w:autoSpaceDE w:val="0"/>
              <w:autoSpaceDN w:val="0"/>
              <w:adjustRightInd w:val="0"/>
              <w:spacing w:after="0" w:line="240" w:lineRule="auto"/>
              <w:jc w:val="center"/>
              <w:rPr>
                <w:rFonts w:cs="Arial"/>
                <w:color w:val="000000"/>
                <w:lang w:val="en-US"/>
              </w:rPr>
            </w:pPr>
          </w:p>
        </w:tc>
        <w:tc>
          <w:tcPr>
            <w:tcW w:w="1276" w:type="dxa"/>
            <w:tcBorders>
              <w:top w:val="nil"/>
              <w:left w:val="nil"/>
              <w:bottom w:val="nil"/>
              <w:right w:val="nil"/>
            </w:tcBorders>
            <w:vAlign w:val="bottom"/>
          </w:tcPr>
          <w:p w:rsidR="00FD5242" w:rsidRPr="00B40B56" w:rsidRDefault="00FD5242" w:rsidP="00CD4BC7">
            <w:pPr>
              <w:autoSpaceDE w:val="0"/>
              <w:autoSpaceDN w:val="0"/>
              <w:adjustRightInd w:val="0"/>
              <w:spacing w:after="0" w:line="240" w:lineRule="auto"/>
              <w:jc w:val="center"/>
              <w:rPr>
                <w:rFonts w:cs="Arial"/>
                <w:color w:val="000000"/>
                <w:lang w:val="en-US"/>
              </w:rPr>
            </w:pPr>
          </w:p>
        </w:tc>
        <w:tc>
          <w:tcPr>
            <w:tcW w:w="1307" w:type="dxa"/>
            <w:tcBorders>
              <w:top w:val="nil"/>
              <w:left w:val="nil"/>
              <w:bottom w:val="nil"/>
              <w:right w:val="nil"/>
            </w:tcBorders>
            <w:vAlign w:val="bottom"/>
          </w:tcPr>
          <w:p w:rsidR="00FD5242" w:rsidRPr="00B40B56" w:rsidRDefault="00FD5242" w:rsidP="00CD4BC7">
            <w:pPr>
              <w:autoSpaceDE w:val="0"/>
              <w:autoSpaceDN w:val="0"/>
              <w:adjustRightInd w:val="0"/>
              <w:spacing w:after="0" w:line="240" w:lineRule="auto"/>
              <w:jc w:val="center"/>
              <w:rPr>
                <w:rFonts w:cs="Arial"/>
                <w:color w:val="000000"/>
                <w:lang w:val="en-US"/>
              </w:rPr>
            </w:pPr>
          </w:p>
        </w:tc>
        <w:tc>
          <w:tcPr>
            <w:tcW w:w="1103" w:type="dxa"/>
            <w:tcBorders>
              <w:top w:val="nil"/>
              <w:left w:val="nil"/>
              <w:bottom w:val="nil"/>
              <w:right w:val="nil"/>
            </w:tcBorders>
            <w:vAlign w:val="bottom"/>
          </w:tcPr>
          <w:p w:rsidR="00FD5242" w:rsidRPr="00B40B56" w:rsidRDefault="00FD5242" w:rsidP="00CD4BC7">
            <w:pPr>
              <w:autoSpaceDE w:val="0"/>
              <w:autoSpaceDN w:val="0"/>
              <w:adjustRightInd w:val="0"/>
              <w:spacing w:after="0" w:line="240" w:lineRule="auto"/>
              <w:jc w:val="center"/>
              <w:rPr>
                <w:rFonts w:cs="Arial"/>
                <w:color w:val="000000"/>
                <w:lang w:val="en-US"/>
              </w:rPr>
            </w:pPr>
          </w:p>
        </w:tc>
        <w:tc>
          <w:tcPr>
            <w:tcW w:w="850" w:type="dxa"/>
            <w:tcBorders>
              <w:top w:val="nil"/>
              <w:left w:val="nil"/>
              <w:bottom w:val="nil"/>
              <w:right w:val="double" w:sz="4" w:space="0" w:color="auto"/>
            </w:tcBorders>
            <w:vAlign w:val="bottom"/>
          </w:tcPr>
          <w:p w:rsidR="00FD5242" w:rsidRPr="00B40B56" w:rsidRDefault="00FD5242" w:rsidP="00CD4BC7">
            <w:pPr>
              <w:autoSpaceDE w:val="0"/>
              <w:autoSpaceDN w:val="0"/>
              <w:adjustRightInd w:val="0"/>
              <w:spacing w:after="0" w:line="240" w:lineRule="auto"/>
              <w:jc w:val="center"/>
              <w:rPr>
                <w:rFonts w:cs="Arial"/>
                <w:color w:val="000000"/>
                <w:lang w:val="en-US"/>
              </w:rPr>
            </w:pPr>
          </w:p>
        </w:tc>
      </w:tr>
      <w:tr w:rsidR="00FD5242" w:rsidRPr="00B40B56" w:rsidTr="00BE1A97">
        <w:trPr>
          <w:trHeight w:val="225"/>
        </w:trPr>
        <w:tc>
          <w:tcPr>
            <w:tcW w:w="3559" w:type="dxa"/>
            <w:tcBorders>
              <w:top w:val="nil"/>
              <w:left w:val="double" w:sz="4" w:space="0" w:color="auto"/>
              <w:bottom w:val="nil"/>
              <w:right w:val="nil"/>
            </w:tcBorders>
            <w:vAlign w:val="bottom"/>
          </w:tcPr>
          <w:p w:rsidR="00FD5242" w:rsidRPr="00B40B56" w:rsidRDefault="00FD5242" w:rsidP="00CD4BC7">
            <w:pPr>
              <w:autoSpaceDE w:val="0"/>
              <w:autoSpaceDN w:val="0"/>
              <w:adjustRightInd w:val="0"/>
              <w:spacing w:after="0" w:line="240" w:lineRule="auto"/>
              <w:jc w:val="center"/>
              <w:rPr>
                <w:rFonts w:cs="Arial"/>
                <w:color w:val="000000"/>
                <w:lang w:val="en-US"/>
              </w:rPr>
            </w:pPr>
          </w:p>
        </w:tc>
        <w:tc>
          <w:tcPr>
            <w:tcW w:w="1276" w:type="dxa"/>
            <w:tcBorders>
              <w:top w:val="nil"/>
              <w:left w:val="nil"/>
              <w:bottom w:val="nil"/>
              <w:right w:val="nil"/>
            </w:tcBorders>
            <w:vAlign w:val="bottom"/>
          </w:tcPr>
          <w:p w:rsidR="00FD5242" w:rsidRPr="00B40B56" w:rsidRDefault="00FD5242" w:rsidP="00CD4BC7">
            <w:pPr>
              <w:autoSpaceDE w:val="0"/>
              <w:autoSpaceDN w:val="0"/>
              <w:adjustRightInd w:val="0"/>
              <w:spacing w:after="0" w:line="240" w:lineRule="auto"/>
              <w:ind w:right="10"/>
              <w:jc w:val="both"/>
              <w:rPr>
                <w:rFonts w:cs="Arial"/>
                <w:color w:val="000000"/>
              </w:rPr>
            </w:pPr>
            <w:r w:rsidRPr="00B40B56">
              <w:rPr>
                <w:rFonts w:cs="Arial"/>
                <w:color w:val="000000"/>
              </w:rPr>
              <w:t>Coefficient</w:t>
            </w:r>
          </w:p>
        </w:tc>
        <w:tc>
          <w:tcPr>
            <w:tcW w:w="1307" w:type="dxa"/>
            <w:tcBorders>
              <w:top w:val="nil"/>
              <w:left w:val="nil"/>
              <w:bottom w:val="nil"/>
              <w:right w:val="nil"/>
            </w:tcBorders>
            <w:vAlign w:val="bottom"/>
          </w:tcPr>
          <w:p w:rsidR="00FD5242" w:rsidRPr="00B40B56" w:rsidRDefault="00FD5242" w:rsidP="00CD4BC7">
            <w:pPr>
              <w:autoSpaceDE w:val="0"/>
              <w:autoSpaceDN w:val="0"/>
              <w:adjustRightInd w:val="0"/>
              <w:spacing w:after="0" w:line="240" w:lineRule="auto"/>
              <w:ind w:right="10"/>
              <w:jc w:val="both"/>
              <w:rPr>
                <w:rFonts w:cs="Arial"/>
                <w:color w:val="000000"/>
              </w:rPr>
            </w:pPr>
            <w:r w:rsidRPr="00B40B56">
              <w:rPr>
                <w:rFonts w:cs="Arial"/>
                <w:color w:val="000000"/>
              </w:rPr>
              <w:t>Std. Error</w:t>
            </w:r>
          </w:p>
        </w:tc>
        <w:tc>
          <w:tcPr>
            <w:tcW w:w="1103" w:type="dxa"/>
            <w:tcBorders>
              <w:top w:val="nil"/>
              <w:left w:val="nil"/>
              <w:bottom w:val="nil"/>
              <w:right w:val="nil"/>
            </w:tcBorders>
            <w:vAlign w:val="bottom"/>
          </w:tcPr>
          <w:p w:rsidR="00FD5242" w:rsidRPr="00B40B56" w:rsidRDefault="00FD5242" w:rsidP="00CD4BC7">
            <w:pPr>
              <w:autoSpaceDE w:val="0"/>
              <w:autoSpaceDN w:val="0"/>
              <w:adjustRightInd w:val="0"/>
              <w:spacing w:after="0" w:line="240" w:lineRule="auto"/>
              <w:ind w:right="10"/>
              <w:jc w:val="both"/>
              <w:rPr>
                <w:rFonts w:cs="Arial"/>
                <w:color w:val="000000"/>
              </w:rPr>
            </w:pPr>
            <w:r w:rsidRPr="00B40B56">
              <w:rPr>
                <w:rFonts w:cs="Arial"/>
                <w:color w:val="000000"/>
              </w:rPr>
              <w:t>t-Statistic</w:t>
            </w:r>
          </w:p>
        </w:tc>
        <w:tc>
          <w:tcPr>
            <w:tcW w:w="850" w:type="dxa"/>
            <w:tcBorders>
              <w:top w:val="nil"/>
              <w:left w:val="nil"/>
              <w:bottom w:val="nil"/>
              <w:right w:val="double" w:sz="4" w:space="0" w:color="auto"/>
            </w:tcBorders>
            <w:vAlign w:val="bottom"/>
          </w:tcPr>
          <w:p w:rsidR="00FD5242" w:rsidRPr="00B40B56" w:rsidRDefault="00FD5242" w:rsidP="00CD4BC7">
            <w:pPr>
              <w:autoSpaceDE w:val="0"/>
              <w:autoSpaceDN w:val="0"/>
              <w:adjustRightInd w:val="0"/>
              <w:spacing w:after="0" w:line="240" w:lineRule="auto"/>
              <w:ind w:right="10"/>
              <w:jc w:val="both"/>
              <w:rPr>
                <w:rFonts w:cs="Arial"/>
                <w:color w:val="000000"/>
              </w:rPr>
            </w:pPr>
            <w:r w:rsidRPr="00B40B56">
              <w:rPr>
                <w:rFonts w:cs="Arial"/>
                <w:color w:val="000000"/>
              </w:rPr>
              <w:t>Prob.  </w:t>
            </w:r>
          </w:p>
        </w:tc>
      </w:tr>
      <w:tr w:rsidR="00FD5242" w:rsidRPr="00B40B56" w:rsidTr="00BE1A97">
        <w:trPr>
          <w:trHeight w:hRule="exact" w:val="90"/>
        </w:trPr>
        <w:tc>
          <w:tcPr>
            <w:tcW w:w="3559" w:type="dxa"/>
            <w:tcBorders>
              <w:top w:val="nil"/>
              <w:left w:val="double" w:sz="4" w:space="0" w:color="auto"/>
              <w:bottom w:val="double" w:sz="6" w:space="2" w:color="auto"/>
              <w:right w:val="nil"/>
            </w:tcBorders>
            <w:vAlign w:val="bottom"/>
          </w:tcPr>
          <w:p w:rsidR="00FD5242" w:rsidRPr="00B40B56" w:rsidRDefault="00FD5242" w:rsidP="00CD4BC7">
            <w:pPr>
              <w:autoSpaceDE w:val="0"/>
              <w:autoSpaceDN w:val="0"/>
              <w:adjustRightInd w:val="0"/>
              <w:spacing w:after="0" w:line="240" w:lineRule="auto"/>
              <w:jc w:val="center"/>
              <w:rPr>
                <w:rFonts w:cs="Arial"/>
                <w:color w:val="000000"/>
              </w:rPr>
            </w:pPr>
          </w:p>
        </w:tc>
        <w:tc>
          <w:tcPr>
            <w:tcW w:w="1276" w:type="dxa"/>
            <w:tcBorders>
              <w:top w:val="nil"/>
              <w:left w:val="nil"/>
              <w:bottom w:val="double" w:sz="6" w:space="2" w:color="auto"/>
              <w:right w:val="nil"/>
            </w:tcBorders>
            <w:vAlign w:val="bottom"/>
          </w:tcPr>
          <w:p w:rsidR="00FD5242" w:rsidRPr="00B40B56" w:rsidRDefault="00FD5242" w:rsidP="00CD4BC7">
            <w:pPr>
              <w:autoSpaceDE w:val="0"/>
              <w:autoSpaceDN w:val="0"/>
              <w:adjustRightInd w:val="0"/>
              <w:spacing w:after="0" w:line="240" w:lineRule="auto"/>
              <w:jc w:val="both"/>
              <w:rPr>
                <w:rFonts w:cs="Arial"/>
                <w:color w:val="000000"/>
              </w:rPr>
            </w:pPr>
          </w:p>
        </w:tc>
        <w:tc>
          <w:tcPr>
            <w:tcW w:w="1307" w:type="dxa"/>
            <w:tcBorders>
              <w:top w:val="nil"/>
              <w:left w:val="nil"/>
              <w:bottom w:val="double" w:sz="6" w:space="2" w:color="auto"/>
              <w:right w:val="nil"/>
            </w:tcBorders>
            <w:vAlign w:val="bottom"/>
          </w:tcPr>
          <w:p w:rsidR="00FD5242" w:rsidRPr="00B40B56" w:rsidRDefault="00FD5242" w:rsidP="00CD4BC7">
            <w:pPr>
              <w:autoSpaceDE w:val="0"/>
              <w:autoSpaceDN w:val="0"/>
              <w:adjustRightInd w:val="0"/>
              <w:spacing w:after="0" w:line="240" w:lineRule="auto"/>
              <w:jc w:val="both"/>
              <w:rPr>
                <w:rFonts w:cs="Arial"/>
                <w:color w:val="000000"/>
              </w:rPr>
            </w:pPr>
          </w:p>
        </w:tc>
        <w:tc>
          <w:tcPr>
            <w:tcW w:w="1103" w:type="dxa"/>
            <w:tcBorders>
              <w:top w:val="nil"/>
              <w:left w:val="nil"/>
              <w:bottom w:val="double" w:sz="6" w:space="2" w:color="auto"/>
              <w:right w:val="nil"/>
            </w:tcBorders>
            <w:vAlign w:val="bottom"/>
          </w:tcPr>
          <w:p w:rsidR="00FD5242" w:rsidRPr="00B40B56" w:rsidRDefault="00FD5242" w:rsidP="00CD4BC7">
            <w:pPr>
              <w:autoSpaceDE w:val="0"/>
              <w:autoSpaceDN w:val="0"/>
              <w:adjustRightInd w:val="0"/>
              <w:spacing w:after="0" w:line="240" w:lineRule="auto"/>
              <w:jc w:val="both"/>
              <w:rPr>
                <w:rFonts w:cs="Arial"/>
                <w:color w:val="000000"/>
              </w:rPr>
            </w:pPr>
          </w:p>
        </w:tc>
        <w:tc>
          <w:tcPr>
            <w:tcW w:w="850" w:type="dxa"/>
            <w:tcBorders>
              <w:top w:val="nil"/>
              <w:left w:val="nil"/>
              <w:bottom w:val="double" w:sz="6" w:space="2" w:color="auto"/>
              <w:right w:val="double" w:sz="4" w:space="0" w:color="auto"/>
            </w:tcBorders>
            <w:vAlign w:val="bottom"/>
          </w:tcPr>
          <w:p w:rsidR="00FD5242" w:rsidRPr="00B40B56" w:rsidRDefault="00FD5242" w:rsidP="00CD4BC7">
            <w:pPr>
              <w:autoSpaceDE w:val="0"/>
              <w:autoSpaceDN w:val="0"/>
              <w:adjustRightInd w:val="0"/>
              <w:spacing w:after="0" w:line="240" w:lineRule="auto"/>
              <w:jc w:val="both"/>
              <w:rPr>
                <w:rFonts w:cs="Arial"/>
                <w:color w:val="000000"/>
              </w:rPr>
            </w:pPr>
          </w:p>
        </w:tc>
      </w:tr>
      <w:tr w:rsidR="00FD5242" w:rsidRPr="00B40B56" w:rsidTr="00BE1A97">
        <w:trPr>
          <w:trHeight w:hRule="exact" w:val="135"/>
        </w:trPr>
        <w:tc>
          <w:tcPr>
            <w:tcW w:w="3559" w:type="dxa"/>
            <w:tcBorders>
              <w:top w:val="nil"/>
              <w:left w:val="double" w:sz="4" w:space="0" w:color="auto"/>
              <w:bottom w:val="nil"/>
              <w:right w:val="nil"/>
            </w:tcBorders>
            <w:vAlign w:val="bottom"/>
          </w:tcPr>
          <w:p w:rsidR="00FD5242" w:rsidRPr="00B40B56" w:rsidRDefault="00FD5242" w:rsidP="00CD4BC7">
            <w:pPr>
              <w:autoSpaceDE w:val="0"/>
              <w:autoSpaceDN w:val="0"/>
              <w:adjustRightInd w:val="0"/>
              <w:spacing w:after="0" w:line="240" w:lineRule="auto"/>
              <w:jc w:val="center"/>
              <w:rPr>
                <w:rFonts w:cs="Arial"/>
                <w:color w:val="000000"/>
              </w:rPr>
            </w:pPr>
          </w:p>
        </w:tc>
        <w:tc>
          <w:tcPr>
            <w:tcW w:w="1276" w:type="dxa"/>
            <w:tcBorders>
              <w:top w:val="nil"/>
              <w:left w:val="nil"/>
              <w:bottom w:val="nil"/>
              <w:right w:val="nil"/>
            </w:tcBorders>
            <w:vAlign w:val="bottom"/>
          </w:tcPr>
          <w:p w:rsidR="00FD5242" w:rsidRPr="00B40B56" w:rsidRDefault="00FD5242" w:rsidP="00CD4BC7">
            <w:pPr>
              <w:autoSpaceDE w:val="0"/>
              <w:autoSpaceDN w:val="0"/>
              <w:adjustRightInd w:val="0"/>
              <w:spacing w:after="0" w:line="240" w:lineRule="auto"/>
              <w:jc w:val="both"/>
              <w:rPr>
                <w:rFonts w:cs="Arial"/>
                <w:color w:val="000000"/>
              </w:rPr>
            </w:pPr>
          </w:p>
        </w:tc>
        <w:tc>
          <w:tcPr>
            <w:tcW w:w="1307" w:type="dxa"/>
            <w:tcBorders>
              <w:top w:val="nil"/>
              <w:left w:val="nil"/>
              <w:bottom w:val="nil"/>
              <w:right w:val="nil"/>
            </w:tcBorders>
            <w:vAlign w:val="bottom"/>
          </w:tcPr>
          <w:p w:rsidR="00FD5242" w:rsidRPr="00B40B56" w:rsidRDefault="00FD5242" w:rsidP="00CD4BC7">
            <w:pPr>
              <w:autoSpaceDE w:val="0"/>
              <w:autoSpaceDN w:val="0"/>
              <w:adjustRightInd w:val="0"/>
              <w:spacing w:after="0" w:line="240" w:lineRule="auto"/>
              <w:jc w:val="both"/>
              <w:rPr>
                <w:rFonts w:cs="Arial"/>
                <w:color w:val="000000"/>
              </w:rPr>
            </w:pPr>
          </w:p>
        </w:tc>
        <w:tc>
          <w:tcPr>
            <w:tcW w:w="1103" w:type="dxa"/>
            <w:tcBorders>
              <w:top w:val="nil"/>
              <w:left w:val="nil"/>
              <w:bottom w:val="nil"/>
              <w:right w:val="nil"/>
            </w:tcBorders>
            <w:vAlign w:val="bottom"/>
          </w:tcPr>
          <w:p w:rsidR="00FD5242" w:rsidRPr="00B40B56" w:rsidRDefault="00FD5242" w:rsidP="00CD4BC7">
            <w:pPr>
              <w:autoSpaceDE w:val="0"/>
              <w:autoSpaceDN w:val="0"/>
              <w:adjustRightInd w:val="0"/>
              <w:spacing w:after="0" w:line="240" w:lineRule="auto"/>
              <w:jc w:val="both"/>
              <w:rPr>
                <w:rFonts w:cs="Arial"/>
                <w:color w:val="000000"/>
              </w:rPr>
            </w:pPr>
          </w:p>
        </w:tc>
        <w:tc>
          <w:tcPr>
            <w:tcW w:w="850" w:type="dxa"/>
            <w:tcBorders>
              <w:top w:val="nil"/>
              <w:left w:val="nil"/>
              <w:bottom w:val="nil"/>
              <w:right w:val="double" w:sz="4" w:space="0" w:color="auto"/>
            </w:tcBorders>
            <w:vAlign w:val="bottom"/>
          </w:tcPr>
          <w:p w:rsidR="00FD5242" w:rsidRPr="00B40B56" w:rsidRDefault="00FD5242" w:rsidP="00CD4BC7">
            <w:pPr>
              <w:autoSpaceDE w:val="0"/>
              <w:autoSpaceDN w:val="0"/>
              <w:adjustRightInd w:val="0"/>
              <w:spacing w:after="0" w:line="240" w:lineRule="auto"/>
              <w:jc w:val="both"/>
              <w:rPr>
                <w:rFonts w:cs="Arial"/>
                <w:color w:val="000000"/>
              </w:rPr>
            </w:pPr>
          </w:p>
        </w:tc>
      </w:tr>
      <w:tr w:rsidR="00FD5242" w:rsidRPr="00B40B56" w:rsidTr="00BE1A97">
        <w:trPr>
          <w:trHeight w:val="225"/>
        </w:trPr>
        <w:tc>
          <w:tcPr>
            <w:tcW w:w="3559" w:type="dxa"/>
            <w:tcBorders>
              <w:top w:val="nil"/>
              <w:left w:val="double" w:sz="4" w:space="0" w:color="auto"/>
              <w:bottom w:val="nil"/>
              <w:right w:val="nil"/>
            </w:tcBorders>
            <w:vAlign w:val="bottom"/>
          </w:tcPr>
          <w:p w:rsidR="00FD5242" w:rsidRPr="00B40B56" w:rsidRDefault="00FD5242" w:rsidP="00CD4BC7">
            <w:pPr>
              <w:autoSpaceDE w:val="0"/>
              <w:autoSpaceDN w:val="0"/>
              <w:adjustRightInd w:val="0"/>
              <w:spacing w:after="0" w:line="240" w:lineRule="auto"/>
              <w:jc w:val="both"/>
              <w:rPr>
                <w:rFonts w:cs="Arial"/>
                <w:color w:val="000000"/>
              </w:rPr>
            </w:pPr>
            <w:r w:rsidRPr="00B40B56">
              <w:rPr>
                <w:rFonts w:cs="Arial"/>
                <w:b/>
                <w:color w:val="000000"/>
              </w:rPr>
              <w:t>b</w:t>
            </w:r>
            <w:r w:rsidRPr="00B40B56">
              <w:rPr>
                <w:rFonts w:cs="Arial"/>
                <w:b/>
                <w:color w:val="000000"/>
                <w:vertAlign w:val="subscript"/>
              </w:rPr>
              <w:t>0</w:t>
            </w:r>
            <w:r w:rsidRPr="00B40B56">
              <w:rPr>
                <w:rFonts w:cs="Arial"/>
                <w:color w:val="000000"/>
              </w:rPr>
              <w:t xml:space="preserve">  (constant)</w:t>
            </w:r>
          </w:p>
        </w:tc>
        <w:tc>
          <w:tcPr>
            <w:tcW w:w="1276" w:type="dxa"/>
            <w:tcBorders>
              <w:top w:val="nil"/>
              <w:left w:val="nil"/>
              <w:bottom w:val="nil"/>
              <w:right w:val="nil"/>
            </w:tcBorders>
            <w:vAlign w:val="bottom"/>
          </w:tcPr>
          <w:p w:rsidR="00FD5242" w:rsidRPr="00B40B56" w:rsidRDefault="00FD5242" w:rsidP="00CD4BC7">
            <w:pPr>
              <w:autoSpaceDE w:val="0"/>
              <w:autoSpaceDN w:val="0"/>
              <w:adjustRightInd w:val="0"/>
              <w:spacing w:after="0" w:line="240" w:lineRule="auto"/>
              <w:ind w:right="10"/>
              <w:jc w:val="both"/>
              <w:rPr>
                <w:rFonts w:cs="Arial"/>
                <w:color w:val="000000"/>
              </w:rPr>
            </w:pPr>
            <w:r w:rsidRPr="00B40B56">
              <w:rPr>
                <w:rFonts w:cs="Arial"/>
                <w:color w:val="000000"/>
              </w:rPr>
              <w:t>0.119369</w:t>
            </w:r>
          </w:p>
        </w:tc>
        <w:tc>
          <w:tcPr>
            <w:tcW w:w="1307" w:type="dxa"/>
            <w:tcBorders>
              <w:top w:val="nil"/>
              <w:left w:val="nil"/>
              <w:bottom w:val="nil"/>
              <w:right w:val="nil"/>
            </w:tcBorders>
            <w:vAlign w:val="bottom"/>
          </w:tcPr>
          <w:p w:rsidR="00FD5242" w:rsidRPr="00B40B56" w:rsidRDefault="00FD5242" w:rsidP="00CD4BC7">
            <w:pPr>
              <w:autoSpaceDE w:val="0"/>
              <w:autoSpaceDN w:val="0"/>
              <w:adjustRightInd w:val="0"/>
              <w:spacing w:after="0" w:line="240" w:lineRule="auto"/>
              <w:ind w:right="10"/>
              <w:jc w:val="both"/>
              <w:rPr>
                <w:rFonts w:cs="Arial"/>
                <w:color w:val="000000"/>
              </w:rPr>
            </w:pPr>
            <w:r w:rsidRPr="00B40B56">
              <w:rPr>
                <w:rFonts w:cs="Arial"/>
                <w:color w:val="000000"/>
              </w:rPr>
              <w:t>0.057147</w:t>
            </w:r>
          </w:p>
        </w:tc>
        <w:tc>
          <w:tcPr>
            <w:tcW w:w="1103" w:type="dxa"/>
            <w:tcBorders>
              <w:top w:val="nil"/>
              <w:left w:val="nil"/>
              <w:bottom w:val="nil"/>
              <w:right w:val="nil"/>
            </w:tcBorders>
            <w:vAlign w:val="bottom"/>
          </w:tcPr>
          <w:p w:rsidR="00FD5242" w:rsidRPr="00B40B56" w:rsidRDefault="00FD5242" w:rsidP="00CD4BC7">
            <w:pPr>
              <w:autoSpaceDE w:val="0"/>
              <w:autoSpaceDN w:val="0"/>
              <w:adjustRightInd w:val="0"/>
              <w:spacing w:after="0" w:line="240" w:lineRule="auto"/>
              <w:ind w:right="10"/>
              <w:jc w:val="both"/>
              <w:rPr>
                <w:rFonts w:cs="Arial"/>
                <w:color w:val="000000"/>
              </w:rPr>
            </w:pPr>
            <w:r w:rsidRPr="00B40B56">
              <w:rPr>
                <w:rFonts w:cs="Arial"/>
                <w:color w:val="000000"/>
              </w:rPr>
              <w:t>2.088794</w:t>
            </w:r>
          </w:p>
        </w:tc>
        <w:tc>
          <w:tcPr>
            <w:tcW w:w="850" w:type="dxa"/>
            <w:tcBorders>
              <w:top w:val="nil"/>
              <w:left w:val="nil"/>
              <w:bottom w:val="nil"/>
              <w:right w:val="double" w:sz="4" w:space="0" w:color="auto"/>
            </w:tcBorders>
            <w:vAlign w:val="bottom"/>
          </w:tcPr>
          <w:p w:rsidR="00FD5242" w:rsidRPr="00B40B56" w:rsidRDefault="00FD5242" w:rsidP="00CD4BC7">
            <w:pPr>
              <w:autoSpaceDE w:val="0"/>
              <w:autoSpaceDN w:val="0"/>
              <w:adjustRightInd w:val="0"/>
              <w:spacing w:after="0" w:line="240" w:lineRule="auto"/>
              <w:ind w:right="10"/>
              <w:jc w:val="both"/>
              <w:rPr>
                <w:rFonts w:cs="Arial"/>
                <w:color w:val="000000"/>
              </w:rPr>
            </w:pPr>
            <w:r w:rsidRPr="00B40B56">
              <w:rPr>
                <w:rFonts w:cs="Arial"/>
                <w:color w:val="000000"/>
              </w:rPr>
              <w:t>0.0423</w:t>
            </w:r>
          </w:p>
        </w:tc>
      </w:tr>
      <w:tr w:rsidR="00FD5242" w:rsidRPr="00B40B56" w:rsidTr="00BE1A97">
        <w:trPr>
          <w:trHeight w:val="225"/>
        </w:trPr>
        <w:tc>
          <w:tcPr>
            <w:tcW w:w="3559" w:type="dxa"/>
            <w:tcBorders>
              <w:top w:val="nil"/>
              <w:left w:val="double" w:sz="4" w:space="0" w:color="auto"/>
              <w:bottom w:val="nil"/>
              <w:right w:val="nil"/>
            </w:tcBorders>
            <w:vAlign w:val="bottom"/>
          </w:tcPr>
          <w:p w:rsidR="00FD5242" w:rsidRPr="00B40B56" w:rsidRDefault="00FD5242" w:rsidP="00CD4BC7">
            <w:pPr>
              <w:autoSpaceDE w:val="0"/>
              <w:autoSpaceDN w:val="0"/>
              <w:adjustRightInd w:val="0"/>
              <w:spacing w:after="0" w:line="240" w:lineRule="auto"/>
              <w:jc w:val="both"/>
              <w:rPr>
                <w:rFonts w:cs="Arial"/>
                <w:color w:val="000000"/>
                <w:lang w:val="en-US"/>
              </w:rPr>
            </w:pPr>
            <w:r w:rsidRPr="00B40B56">
              <w:rPr>
                <w:rFonts w:cs="Arial"/>
                <w:b/>
                <w:color w:val="000000"/>
                <w:lang w:val="en-US"/>
              </w:rPr>
              <w:t>b</w:t>
            </w:r>
            <w:r w:rsidRPr="00B40B56">
              <w:rPr>
                <w:rFonts w:cs="Arial"/>
                <w:b/>
                <w:color w:val="000000"/>
                <w:vertAlign w:val="subscript"/>
                <w:lang w:val="en-US"/>
              </w:rPr>
              <w:t>1</w:t>
            </w:r>
            <w:r w:rsidRPr="00B40B56">
              <w:rPr>
                <w:rFonts w:cs="Arial"/>
                <w:color w:val="000000"/>
                <w:vertAlign w:val="subscript"/>
                <w:lang w:val="en-US"/>
              </w:rPr>
              <w:t xml:space="preserve">   </w:t>
            </w:r>
            <w:r w:rsidRPr="00B40B56">
              <w:rPr>
                <w:rFonts w:cs="Arial"/>
                <w:color w:val="000000"/>
                <w:lang w:val="en-US"/>
              </w:rPr>
              <w:t>(dummy Return on Equity- DR</w:t>
            </w:r>
            <w:r w:rsidRPr="00B40B56">
              <w:rPr>
                <w:rFonts w:cs="Arial"/>
                <w:i/>
                <w:color w:val="000000"/>
                <w:vertAlign w:val="subscript"/>
                <w:lang w:val="en-US"/>
              </w:rPr>
              <w:t>it</w:t>
            </w:r>
            <w:r w:rsidRPr="00B40B56">
              <w:rPr>
                <w:rFonts w:cs="Arial"/>
                <w:color w:val="000000"/>
                <w:lang w:val="en-US"/>
              </w:rPr>
              <w:t>)</w:t>
            </w:r>
          </w:p>
        </w:tc>
        <w:tc>
          <w:tcPr>
            <w:tcW w:w="1276" w:type="dxa"/>
            <w:tcBorders>
              <w:top w:val="nil"/>
              <w:left w:val="nil"/>
              <w:bottom w:val="nil"/>
              <w:right w:val="nil"/>
            </w:tcBorders>
            <w:vAlign w:val="bottom"/>
          </w:tcPr>
          <w:p w:rsidR="00FD5242" w:rsidRPr="00B40B56" w:rsidRDefault="00FD5242" w:rsidP="00CD4BC7">
            <w:pPr>
              <w:autoSpaceDE w:val="0"/>
              <w:autoSpaceDN w:val="0"/>
              <w:adjustRightInd w:val="0"/>
              <w:spacing w:after="0" w:line="240" w:lineRule="auto"/>
              <w:ind w:right="10"/>
              <w:jc w:val="both"/>
              <w:rPr>
                <w:rFonts w:cs="Arial"/>
                <w:color w:val="000000"/>
              </w:rPr>
            </w:pPr>
            <w:r w:rsidRPr="00B40B56">
              <w:rPr>
                <w:rFonts w:cs="Arial"/>
                <w:color w:val="000000"/>
              </w:rPr>
              <w:t>0.032213</w:t>
            </w:r>
          </w:p>
        </w:tc>
        <w:tc>
          <w:tcPr>
            <w:tcW w:w="1307" w:type="dxa"/>
            <w:tcBorders>
              <w:top w:val="nil"/>
              <w:left w:val="nil"/>
              <w:bottom w:val="nil"/>
              <w:right w:val="nil"/>
            </w:tcBorders>
            <w:vAlign w:val="bottom"/>
          </w:tcPr>
          <w:p w:rsidR="00FD5242" w:rsidRPr="00B40B56" w:rsidRDefault="00FD5242" w:rsidP="00CD4BC7">
            <w:pPr>
              <w:autoSpaceDE w:val="0"/>
              <w:autoSpaceDN w:val="0"/>
              <w:adjustRightInd w:val="0"/>
              <w:spacing w:after="0" w:line="240" w:lineRule="auto"/>
              <w:ind w:right="10"/>
              <w:jc w:val="both"/>
              <w:rPr>
                <w:rFonts w:cs="Arial"/>
                <w:color w:val="000000"/>
              </w:rPr>
            </w:pPr>
            <w:r w:rsidRPr="00B40B56">
              <w:rPr>
                <w:rFonts w:cs="Arial"/>
                <w:color w:val="000000"/>
              </w:rPr>
              <w:t>0.170847</w:t>
            </w:r>
          </w:p>
        </w:tc>
        <w:tc>
          <w:tcPr>
            <w:tcW w:w="1103" w:type="dxa"/>
            <w:tcBorders>
              <w:top w:val="nil"/>
              <w:left w:val="nil"/>
              <w:bottom w:val="nil"/>
              <w:right w:val="nil"/>
            </w:tcBorders>
            <w:vAlign w:val="bottom"/>
          </w:tcPr>
          <w:p w:rsidR="00FD5242" w:rsidRPr="00B40B56" w:rsidRDefault="00FD5242" w:rsidP="00CD4BC7">
            <w:pPr>
              <w:autoSpaceDE w:val="0"/>
              <w:autoSpaceDN w:val="0"/>
              <w:adjustRightInd w:val="0"/>
              <w:spacing w:after="0" w:line="240" w:lineRule="auto"/>
              <w:ind w:right="10"/>
              <w:jc w:val="both"/>
              <w:rPr>
                <w:rFonts w:cs="Arial"/>
                <w:color w:val="000000"/>
              </w:rPr>
            </w:pPr>
            <w:r w:rsidRPr="00B40B56">
              <w:rPr>
                <w:rFonts w:cs="Arial"/>
                <w:color w:val="000000"/>
              </w:rPr>
              <w:t>0.188548</w:t>
            </w:r>
          </w:p>
        </w:tc>
        <w:tc>
          <w:tcPr>
            <w:tcW w:w="850" w:type="dxa"/>
            <w:tcBorders>
              <w:top w:val="nil"/>
              <w:left w:val="nil"/>
              <w:bottom w:val="nil"/>
              <w:right w:val="double" w:sz="4" w:space="0" w:color="auto"/>
            </w:tcBorders>
            <w:vAlign w:val="bottom"/>
          </w:tcPr>
          <w:p w:rsidR="00FD5242" w:rsidRPr="00B40B56" w:rsidRDefault="00FD5242" w:rsidP="00CD4BC7">
            <w:pPr>
              <w:autoSpaceDE w:val="0"/>
              <w:autoSpaceDN w:val="0"/>
              <w:adjustRightInd w:val="0"/>
              <w:spacing w:after="0" w:line="240" w:lineRule="auto"/>
              <w:ind w:right="10"/>
              <w:jc w:val="both"/>
              <w:rPr>
                <w:rFonts w:cs="Arial"/>
                <w:color w:val="000000"/>
              </w:rPr>
            </w:pPr>
            <w:r w:rsidRPr="00B40B56">
              <w:rPr>
                <w:rFonts w:cs="Arial"/>
                <w:color w:val="000000"/>
              </w:rPr>
              <w:t>0.8513</w:t>
            </w:r>
          </w:p>
        </w:tc>
      </w:tr>
      <w:tr w:rsidR="00FD5242" w:rsidRPr="00B40B56" w:rsidTr="00BE1A97">
        <w:trPr>
          <w:trHeight w:val="225"/>
        </w:trPr>
        <w:tc>
          <w:tcPr>
            <w:tcW w:w="3559" w:type="dxa"/>
            <w:tcBorders>
              <w:top w:val="nil"/>
              <w:left w:val="double" w:sz="4" w:space="0" w:color="auto"/>
              <w:bottom w:val="nil"/>
              <w:right w:val="nil"/>
            </w:tcBorders>
            <w:vAlign w:val="bottom"/>
          </w:tcPr>
          <w:p w:rsidR="00FD5242" w:rsidRPr="00B40B56" w:rsidRDefault="00FD5242" w:rsidP="00CD4BC7">
            <w:pPr>
              <w:autoSpaceDE w:val="0"/>
              <w:autoSpaceDN w:val="0"/>
              <w:adjustRightInd w:val="0"/>
              <w:spacing w:after="0" w:line="240" w:lineRule="auto"/>
              <w:jc w:val="both"/>
              <w:rPr>
                <w:rFonts w:cs="Arial"/>
                <w:color w:val="000000"/>
                <w:lang w:val="en-US"/>
              </w:rPr>
            </w:pPr>
            <w:r w:rsidRPr="00B40B56">
              <w:rPr>
                <w:rFonts w:cs="Arial"/>
                <w:b/>
                <w:color w:val="000000"/>
                <w:lang w:val="en-US"/>
              </w:rPr>
              <w:t>b</w:t>
            </w:r>
            <w:r w:rsidRPr="00B40B56">
              <w:rPr>
                <w:rFonts w:cs="Arial"/>
                <w:b/>
                <w:color w:val="000000"/>
                <w:vertAlign w:val="subscript"/>
                <w:lang w:val="en-US"/>
              </w:rPr>
              <w:t>2</w:t>
            </w:r>
            <w:r w:rsidRPr="00B40B56">
              <w:rPr>
                <w:rFonts w:cs="Arial"/>
                <w:color w:val="000000"/>
                <w:vertAlign w:val="subscript"/>
                <w:lang w:val="en-US"/>
              </w:rPr>
              <w:t xml:space="preserve">   </w:t>
            </w:r>
            <w:r w:rsidRPr="00B40B56">
              <w:rPr>
                <w:rFonts w:cs="Arial"/>
                <w:color w:val="000000"/>
                <w:lang w:val="en-US"/>
              </w:rPr>
              <w:t>(Return on Equity- R</w:t>
            </w:r>
            <w:r w:rsidRPr="00B40B56">
              <w:rPr>
                <w:rFonts w:cs="Arial"/>
                <w:color w:val="000000"/>
                <w:vertAlign w:val="subscript"/>
                <w:lang w:val="en-US"/>
              </w:rPr>
              <w:t>it</w:t>
            </w:r>
            <w:r w:rsidRPr="00B40B56">
              <w:rPr>
                <w:rFonts w:cs="Arial"/>
                <w:color w:val="000000"/>
                <w:lang w:val="en-US"/>
              </w:rPr>
              <w:t>)</w:t>
            </w:r>
          </w:p>
        </w:tc>
        <w:tc>
          <w:tcPr>
            <w:tcW w:w="1276" w:type="dxa"/>
            <w:tcBorders>
              <w:top w:val="nil"/>
              <w:left w:val="nil"/>
              <w:bottom w:val="nil"/>
              <w:right w:val="nil"/>
            </w:tcBorders>
            <w:vAlign w:val="bottom"/>
          </w:tcPr>
          <w:p w:rsidR="00FD5242" w:rsidRPr="00B40B56" w:rsidRDefault="00FD5242" w:rsidP="00CD4BC7">
            <w:pPr>
              <w:autoSpaceDE w:val="0"/>
              <w:autoSpaceDN w:val="0"/>
              <w:adjustRightInd w:val="0"/>
              <w:spacing w:after="0" w:line="240" w:lineRule="auto"/>
              <w:ind w:right="10"/>
              <w:jc w:val="both"/>
              <w:rPr>
                <w:rFonts w:cs="Arial"/>
                <w:color w:val="000000"/>
              </w:rPr>
            </w:pPr>
            <w:r w:rsidRPr="00B40B56">
              <w:rPr>
                <w:rFonts w:cs="Arial"/>
                <w:color w:val="000000"/>
              </w:rPr>
              <w:t>0.002381</w:t>
            </w:r>
          </w:p>
        </w:tc>
        <w:tc>
          <w:tcPr>
            <w:tcW w:w="1307" w:type="dxa"/>
            <w:tcBorders>
              <w:top w:val="nil"/>
              <w:left w:val="nil"/>
              <w:bottom w:val="nil"/>
              <w:right w:val="nil"/>
            </w:tcBorders>
            <w:vAlign w:val="bottom"/>
          </w:tcPr>
          <w:p w:rsidR="00FD5242" w:rsidRPr="00B40B56" w:rsidRDefault="00FD5242" w:rsidP="00CD4BC7">
            <w:pPr>
              <w:autoSpaceDE w:val="0"/>
              <w:autoSpaceDN w:val="0"/>
              <w:adjustRightInd w:val="0"/>
              <w:spacing w:after="0" w:line="240" w:lineRule="auto"/>
              <w:ind w:right="10"/>
              <w:jc w:val="both"/>
              <w:rPr>
                <w:rFonts w:cs="Arial"/>
                <w:color w:val="000000"/>
              </w:rPr>
            </w:pPr>
            <w:r w:rsidRPr="00B40B56">
              <w:rPr>
                <w:rFonts w:cs="Arial"/>
                <w:color w:val="000000"/>
              </w:rPr>
              <w:t>0.002550</w:t>
            </w:r>
          </w:p>
        </w:tc>
        <w:tc>
          <w:tcPr>
            <w:tcW w:w="1103" w:type="dxa"/>
            <w:tcBorders>
              <w:top w:val="nil"/>
              <w:left w:val="nil"/>
              <w:bottom w:val="nil"/>
              <w:right w:val="nil"/>
            </w:tcBorders>
            <w:vAlign w:val="bottom"/>
          </w:tcPr>
          <w:p w:rsidR="00FD5242" w:rsidRPr="00B40B56" w:rsidRDefault="00FD5242" w:rsidP="00CD4BC7">
            <w:pPr>
              <w:autoSpaceDE w:val="0"/>
              <w:autoSpaceDN w:val="0"/>
              <w:adjustRightInd w:val="0"/>
              <w:spacing w:after="0" w:line="240" w:lineRule="auto"/>
              <w:ind w:right="10"/>
              <w:jc w:val="both"/>
              <w:rPr>
                <w:rFonts w:cs="Arial"/>
                <w:color w:val="000000"/>
              </w:rPr>
            </w:pPr>
            <w:r w:rsidRPr="00B40B56">
              <w:rPr>
                <w:rFonts w:cs="Arial"/>
                <w:color w:val="000000"/>
              </w:rPr>
              <w:t>0.933679</w:t>
            </w:r>
          </w:p>
        </w:tc>
        <w:tc>
          <w:tcPr>
            <w:tcW w:w="850" w:type="dxa"/>
            <w:tcBorders>
              <w:top w:val="nil"/>
              <w:left w:val="nil"/>
              <w:bottom w:val="nil"/>
              <w:right w:val="double" w:sz="4" w:space="0" w:color="auto"/>
            </w:tcBorders>
            <w:vAlign w:val="bottom"/>
          </w:tcPr>
          <w:p w:rsidR="00FD5242" w:rsidRPr="00B40B56" w:rsidRDefault="00FD5242" w:rsidP="00CD4BC7">
            <w:pPr>
              <w:autoSpaceDE w:val="0"/>
              <w:autoSpaceDN w:val="0"/>
              <w:adjustRightInd w:val="0"/>
              <w:spacing w:after="0" w:line="240" w:lineRule="auto"/>
              <w:ind w:right="10"/>
              <w:jc w:val="both"/>
              <w:rPr>
                <w:rFonts w:cs="Arial"/>
                <w:color w:val="000000"/>
              </w:rPr>
            </w:pPr>
            <w:r w:rsidRPr="00B40B56">
              <w:rPr>
                <w:rFonts w:cs="Arial"/>
                <w:color w:val="000000"/>
              </w:rPr>
              <w:t>0.3553</w:t>
            </w:r>
          </w:p>
        </w:tc>
      </w:tr>
      <w:tr w:rsidR="00FD5242" w:rsidRPr="00B40B56" w:rsidTr="00BE1A97">
        <w:trPr>
          <w:trHeight w:val="225"/>
        </w:trPr>
        <w:tc>
          <w:tcPr>
            <w:tcW w:w="3559" w:type="dxa"/>
            <w:tcBorders>
              <w:top w:val="nil"/>
              <w:left w:val="double" w:sz="4" w:space="0" w:color="auto"/>
              <w:bottom w:val="nil"/>
              <w:right w:val="nil"/>
            </w:tcBorders>
            <w:vAlign w:val="bottom"/>
          </w:tcPr>
          <w:p w:rsidR="00FD5242" w:rsidRPr="00B40B56" w:rsidRDefault="00FD5242" w:rsidP="00643E08">
            <w:pPr>
              <w:autoSpaceDE w:val="0"/>
              <w:autoSpaceDN w:val="0"/>
              <w:adjustRightInd w:val="0"/>
              <w:spacing w:after="0" w:line="240" w:lineRule="auto"/>
              <w:jc w:val="both"/>
              <w:rPr>
                <w:rFonts w:cs="Arial"/>
                <w:color w:val="000000"/>
                <w:lang w:val="en-US"/>
              </w:rPr>
            </w:pPr>
            <w:r w:rsidRPr="00B40B56">
              <w:rPr>
                <w:rFonts w:cs="Arial"/>
                <w:b/>
                <w:color w:val="000000"/>
                <w:lang w:val="en-US"/>
              </w:rPr>
              <w:t>b</w:t>
            </w:r>
            <w:r w:rsidRPr="00B40B56">
              <w:rPr>
                <w:rFonts w:cs="Arial"/>
                <w:b/>
                <w:color w:val="000000"/>
                <w:vertAlign w:val="subscript"/>
                <w:lang w:val="en-US"/>
              </w:rPr>
              <w:t>3</w:t>
            </w:r>
            <w:r w:rsidRPr="00B40B56">
              <w:rPr>
                <w:rFonts w:cs="Arial"/>
                <w:color w:val="000000"/>
                <w:vertAlign w:val="subscript"/>
                <w:lang w:val="en-US"/>
              </w:rPr>
              <w:t xml:space="preserve"> </w:t>
            </w:r>
            <w:r w:rsidRPr="00B40B56">
              <w:rPr>
                <w:rFonts w:cs="Arial"/>
                <w:color w:val="000000"/>
                <w:lang w:val="en-US"/>
              </w:rPr>
              <w:t xml:space="preserve">(sensitivity of earnings to negative            </w:t>
            </w:r>
            <w:r>
              <w:rPr>
                <w:rFonts w:cs="Arial"/>
                <w:color w:val="000000"/>
                <w:lang w:val="en-US"/>
              </w:rPr>
              <w:t xml:space="preserve">and </w:t>
            </w:r>
            <w:r w:rsidRPr="00B40B56">
              <w:rPr>
                <w:rFonts w:cs="Arial"/>
                <w:color w:val="000000"/>
                <w:lang w:val="en-US"/>
              </w:rPr>
              <w:t>positive returns- R</w:t>
            </w:r>
            <w:r w:rsidRPr="00B40B56">
              <w:rPr>
                <w:rFonts w:cs="Arial"/>
                <w:i/>
                <w:color w:val="000000"/>
                <w:vertAlign w:val="subscript"/>
                <w:lang w:val="en-US"/>
              </w:rPr>
              <w:t>it</w:t>
            </w:r>
            <w:r w:rsidRPr="00B40B56">
              <w:rPr>
                <w:rFonts w:cs="Arial"/>
                <w:color w:val="000000"/>
                <w:lang w:val="en-US"/>
              </w:rPr>
              <w:t>*DR</w:t>
            </w:r>
            <w:r w:rsidRPr="00B40B56">
              <w:rPr>
                <w:rFonts w:cs="Arial"/>
                <w:i/>
                <w:color w:val="000000"/>
                <w:vertAlign w:val="subscript"/>
                <w:lang w:val="en-US"/>
              </w:rPr>
              <w:t>it</w:t>
            </w:r>
            <w:r w:rsidRPr="00B40B56">
              <w:rPr>
                <w:rFonts w:cs="Arial"/>
                <w:color w:val="000000"/>
                <w:lang w:val="en-US"/>
              </w:rPr>
              <w:t>)</w:t>
            </w:r>
          </w:p>
        </w:tc>
        <w:tc>
          <w:tcPr>
            <w:tcW w:w="1276" w:type="dxa"/>
            <w:tcBorders>
              <w:top w:val="nil"/>
              <w:left w:val="nil"/>
              <w:bottom w:val="nil"/>
              <w:right w:val="nil"/>
            </w:tcBorders>
            <w:vAlign w:val="bottom"/>
          </w:tcPr>
          <w:p w:rsidR="00FD5242" w:rsidRPr="00B40B56" w:rsidRDefault="00FD5242" w:rsidP="00CD4BC7">
            <w:pPr>
              <w:autoSpaceDE w:val="0"/>
              <w:autoSpaceDN w:val="0"/>
              <w:adjustRightInd w:val="0"/>
              <w:spacing w:after="0" w:line="240" w:lineRule="auto"/>
              <w:ind w:right="10"/>
              <w:jc w:val="both"/>
              <w:rPr>
                <w:rFonts w:cs="Arial"/>
                <w:color w:val="000000"/>
              </w:rPr>
            </w:pPr>
            <w:r w:rsidRPr="00B40B56">
              <w:rPr>
                <w:rFonts w:cs="Arial"/>
                <w:color w:val="000000"/>
              </w:rPr>
              <w:t>0.013453***</w:t>
            </w:r>
          </w:p>
        </w:tc>
        <w:tc>
          <w:tcPr>
            <w:tcW w:w="1307" w:type="dxa"/>
            <w:tcBorders>
              <w:top w:val="nil"/>
              <w:left w:val="nil"/>
              <w:bottom w:val="nil"/>
              <w:right w:val="nil"/>
            </w:tcBorders>
            <w:vAlign w:val="bottom"/>
          </w:tcPr>
          <w:p w:rsidR="00FD5242" w:rsidRPr="00B40B56" w:rsidRDefault="00FD5242" w:rsidP="00CD4BC7">
            <w:pPr>
              <w:autoSpaceDE w:val="0"/>
              <w:autoSpaceDN w:val="0"/>
              <w:adjustRightInd w:val="0"/>
              <w:spacing w:after="0" w:line="240" w:lineRule="auto"/>
              <w:ind w:right="10"/>
              <w:jc w:val="both"/>
              <w:rPr>
                <w:rFonts w:cs="Arial"/>
                <w:color w:val="000000"/>
              </w:rPr>
            </w:pPr>
            <w:r w:rsidRPr="00B40B56">
              <w:rPr>
                <w:rFonts w:cs="Arial"/>
                <w:color w:val="000000"/>
              </w:rPr>
              <w:t>0.007752</w:t>
            </w:r>
          </w:p>
        </w:tc>
        <w:tc>
          <w:tcPr>
            <w:tcW w:w="1103" w:type="dxa"/>
            <w:tcBorders>
              <w:top w:val="nil"/>
              <w:left w:val="nil"/>
              <w:bottom w:val="nil"/>
              <w:right w:val="nil"/>
            </w:tcBorders>
            <w:vAlign w:val="bottom"/>
          </w:tcPr>
          <w:p w:rsidR="00FD5242" w:rsidRPr="00B40B56" w:rsidRDefault="00FD5242" w:rsidP="00CD4BC7">
            <w:pPr>
              <w:autoSpaceDE w:val="0"/>
              <w:autoSpaceDN w:val="0"/>
              <w:adjustRightInd w:val="0"/>
              <w:spacing w:after="0" w:line="240" w:lineRule="auto"/>
              <w:ind w:right="10"/>
              <w:jc w:val="both"/>
              <w:rPr>
                <w:rFonts w:cs="Arial"/>
                <w:color w:val="000000"/>
              </w:rPr>
            </w:pPr>
            <w:r w:rsidRPr="00B40B56">
              <w:rPr>
                <w:rFonts w:cs="Arial"/>
                <w:color w:val="000000"/>
              </w:rPr>
              <w:t>1.735462</w:t>
            </w:r>
          </w:p>
        </w:tc>
        <w:tc>
          <w:tcPr>
            <w:tcW w:w="850" w:type="dxa"/>
            <w:tcBorders>
              <w:top w:val="nil"/>
              <w:left w:val="nil"/>
              <w:bottom w:val="nil"/>
              <w:right w:val="double" w:sz="4" w:space="0" w:color="auto"/>
            </w:tcBorders>
            <w:vAlign w:val="bottom"/>
          </w:tcPr>
          <w:p w:rsidR="00FD5242" w:rsidRPr="00B40B56" w:rsidRDefault="00FD5242" w:rsidP="00CD4BC7">
            <w:pPr>
              <w:autoSpaceDE w:val="0"/>
              <w:autoSpaceDN w:val="0"/>
              <w:adjustRightInd w:val="0"/>
              <w:spacing w:after="0" w:line="240" w:lineRule="auto"/>
              <w:ind w:right="10"/>
              <w:jc w:val="both"/>
              <w:rPr>
                <w:rFonts w:cs="Arial"/>
                <w:color w:val="000000"/>
              </w:rPr>
            </w:pPr>
            <w:r w:rsidRPr="00B40B56">
              <w:rPr>
                <w:rFonts w:cs="Arial"/>
                <w:color w:val="000000"/>
              </w:rPr>
              <w:t>0.0894</w:t>
            </w:r>
          </w:p>
        </w:tc>
      </w:tr>
      <w:tr w:rsidR="00FD5242" w:rsidRPr="00B40B56" w:rsidTr="00BE1A97">
        <w:trPr>
          <w:trHeight w:hRule="exact" w:val="90"/>
        </w:trPr>
        <w:tc>
          <w:tcPr>
            <w:tcW w:w="3559" w:type="dxa"/>
            <w:tcBorders>
              <w:top w:val="nil"/>
              <w:left w:val="double" w:sz="4" w:space="0" w:color="auto"/>
              <w:bottom w:val="double" w:sz="6" w:space="2" w:color="auto"/>
              <w:right w:val="nil"/>
            </w:tcBorders>
            <w:vAlign w:val="bottom"/>
          </w:tcPr>
          <w:p w:rsidR="00FD5242" w:rsidRPr="00B40B56" w:rsidRDefault="00FD5242" w:rsidP="00CD4BC7">
            <w:pPr>
              <w:autoSpaceDE w:val="0"/>
              <w:autoSpaceDN w:val="0"/>
              <w:adjustRightInd w:val="0"/>
              <w:spacing w:after="0" w:line="240" w:lineRule="auto"/>
              <w:jc w:val="center"/>
              <w:rPr>
                <w:rFonts w:cs="Arial"/>
                <w:color w:val="000000"/>
              </w:rPr>
            </w:pPr>
          </w:p>
        </w:tc>
        <w:tc>
          <w:tcPr>
            <w:tcW w:w="1276" w:type="dxa"/>
            <w:tcBorders>
              <w:top w:val="nil"/>
              <w:left w:val="nil"/>
              <w:bottom w:val="double" w:sz="6" w:space="2" w:color="auto"/>
              <w:right w:val="nil"/>
            </w:tcBorders>
            <w:vAlign w:val="bottom"/>
          </w:tcPr>
          <w:p w:rsidR="00FD5242" w:rsidRPr="00B40B56" w:rsidRDefault="00FD5242" w:rsidP="00CD4BC7">
            <w:pPr>
              <w:autoSpaceDE w:val="0"/>
              <w:autoSpaceDN w:val="0"/>
              <w:adjustRightInd w:val="0"/>
              <w:spacing w:after="0" w:line="240" w:lineRule="auto"/>
              <w:jc w:val="center"/>
              <w:rPr>
                <w:rFonts w:cs="Arial"/>
                <w:color w:val="000000"/>
              </w:rPr>
            </w:pPr>
          </w:p>
        </w:tc>
        <w:tc>
          <w:tcPr>
            <w:tcW w:w="1307" w:type="dxa"/>
            <w:tcBorders>
              <w:top w:val="nil"/>
              <w:left w:val="nil"/>
              <w:bottom w:val="double" w:sz="6" w:space="2" w:color="auto"/>
              <w:right w:val="nil"/>
            </w:tcBorders>
            <w:vAlign w:val="bottom"/>
          </w:tcPr>
          <w:p w:rsidR="00FD5242" w:rsidRPr="00B40B56" w:rsidRDefault="00FD5242" w:rsidP="00CD4BC7">
            <w:pPr>
              <w:autoSpaceDE w:val="0"/>
              <w:autoSpaceDN w:val="0"/>
              <w:adjustRightInd w:val="0"/>
              <w:spacing w:after="0" w:line="240" w:lineRule="auto"/>
              <w:jc w:val="center"/>
              <w:rPr>
                <w:rFonts w:cs="Arial"/>
                <w:color w:val="000000"/>
              </w:rPr>
            </w:pPr>
          </w:p>
        </w:tc>
        <w:tc>
          <w:tcPr>
            <w:tcW w:w="1103" w:type="dxa"/>
            <w:tcBorders>
              <w:top w:val="nil"/>
              <w:left w:val="nil"/>
              <w:bottom w:val="double" w:sz="6" w:space="2" w:color="auto"/>
              <w:right w:val="nil"/>
            </w:tcBorders>
            <w:vAlign w:val="bottom"/>
          </w:tcPr>
          <w:p w:rsidR="00FD5242" w:rsidRPr="00B40B56" w:rsidRDefault="00FD5242" w:rsidP="00CD4BC7">
            <w:pPr>
              <w:autoSpaceDE w:val="0"/>
              <w:autoSpaceDN w:val="0"/>
              <w:adjustRightInd w:val="0"/>
              <w:spacing w:after="0" w:line="240" w:lineRule="auto"/>
              <w:jc w:val="center"/>
              <w:rPr>
                <w:rFonts w:cs="Arial"/>
                <w:color w:val="000000"/>
              </w:rPr>
            </w:pPr>
          </w:p>
        </w:tc>
        <w:tc>
          <w:tcPr>
            <w:tcW w:w="850" w:type="dxa"/>
            <w:tcBorders>
              <w:top w:val="nil"/>
              <w:left w:val="nil"/>
              <w:bottom w:val="double" w:sz="6" w:space="2" w:color="auto"/>
              <w:right w:val="double" w:sz="4" w:space="0" w:color="auto"/>
            </w:tcBorders>
            <w:vAlign w:val="bottom"/>
          </w:tcPr>
          <w:p w:rsidR="00FD5242" w:rsidRPr="00B40B56" w:rsidRDefault="00FD5242" w:rsidP="00CD4BC7">
            <w:pPr>
              <w:autoSpaceDE w:val="0"/>
              <w:autoSpaceDN w:val="0"/>
              <w:adjustRightInd w:val="0"/>
              <w:spacing w:after="0" w:line="240" w:lineRule="auto"/>
              <w:jc w:val="center"/>
              <w:rPr>
                <w:rFonts w:cs="Arial"/>
                <w:color w:val="000000"/>
              </w:rPr>
            </w:pPr>
          </w:p>
        </w:tc>
      </w:tr>
      <w:tr w:rsidR="00FD5242" w:rsidRPr="00B40B56" w:rsidTr="00BE1A97">
        <w:trPr>
          <w:trHeight w:hRule="exact" w:val="135"/>
        </w:trPr>
        <w:tc>
          <w:tcPr>
            <w:tcW w:w="3559" w:type="dxa"/>
            <w:tcBorders>
              <w:top w:val="nil"/>
              <w:left w:val="double" w:sz="4" w:space="0" w:color="auto"/>
              <w:bottom w:val="nil"/>
              <w:right w:val="nil"/>
            </w:tcBorders>
            <w:vAlign w:val="bottom"/>
          </w:tcPr>
          <w:p w:rsidR="00FD5242" w:rsidRPr="00B40B56" w:rsidRDefault="00FD5242" w:rsidP="00CD4BC7">
            <w:pPr>
              <w:autoSpaceDE w:val="0"/>
              <w:autoSpaceDN w:val="0"/>
              <w:adjustRightInd w:val="0"/>
              <w:spacing w:after="0" w:line="240" w:lineRule="auto"/>
              <w:jc w:val="center"/>
              <w:rPr>
                <w:rFonts w:cs="Arial"/>
                <w:color w:val="000000"/>
              </w:rPr>
            </w:pPr>
          </w:p>
        </w:tc>
        <w:tc>
          <w:tcPr>
            <w:tcW w:w="1276" w:type="dxa"/>
            <w:tcBorders>
              <w:top w:val="nil"/>
              <w:left w:val="nil"/>
              <w:bottom w:val="nil"/>
              <w:right w:val="nil"/>
            </w:tcBorders>
            <w:vAlign w:val="bottom"/>
          </w:tcPr>
          <w:p w:rsidR="00FD5242" w:rsidRPr="00B40B56" w:rsidRDefault="00FD5242" w:rsidP="00CD4BC7">
            <w:pPr>
              <w:autoSpaceDE w:val="0"/>
              <w:autoSpaceDN w:val="0"/>
              <w:adjustRightInd w:val="0"/>
              <w:spacing w:after="0" w:line="240" w:lineRule="auto"/>
              <w:jc w:val="center"/>
              <w:rPr>
                <w:rFonts w:cs="Arial"/>
                <w:color w:val="000000"/>
              </w:rPr>
            </w:pPr>
          </w:p>
        </w:tc>
        <w:tc>
          <w:tcPr>
            <w:tcW w:w="1307" w:type="dxa"/>
            <w:tcBorders>
              <w:top w:val="nil"/>
              <w:left w:val="nil"/>
              <w:bottom w:val="nil"/>
              <w:right w:val="nil"/>
            </w:tcBorders>
            <w:vAlign w:val="bottom"/>
          </w:tcPr>
          <w:p w:rsidR="00FD5242" w:rsidRPr="00B40B56" w:rsidRDefault="00FD5242" w:rsidP="00CD4BC7">
            <w:pPr>
              <w:autoSpaceDE w:val="0"/>
              <w:autoSpaceDN w:val="0"/>
              <w:adjustRightInd w:val="0"/>
              <w:spacing w:after="0" w:line="240" w:lineRule="auto"/>
              <w:jc w:val="center"/>
              <w:rPr>
                <w:rFonts w:cs="Arial"/>
                <w:color w:val="000000"/>
              </w:rPr>
            </w:pPr>
          </w:p>
        </w:tc>
        <w:tc>
          <w:tcPr>
            <w:tcW w:w="1103" w:type="dxa"/>
            <w:tcBorders>
              <w:top w:val="nil"/>
              <w:left w:val="nil"/>
              <w:bottom w:val="nil"/>
              <w:right w:val="nil"/>
            </w:tcBorders>
            <w:vAlign w:val="bottom"/>
          </w:tcPr>
          <w:p w:rsidR="00FD5242" w:rsidRPr="00B40B56" w:rsidRDefault="00FD5242" w:rsidP="00CD4BC7">
            <w:pPr>
              <w:autoSpaceDE w:val="0"/>
              <w:autoSpaceDN w:val="0"/>
              <w:adjustRightInd w:val="0"/>
              <w:spacing w:after="0" w:line="240" w:lineRule="auto"/>
              <w:jc w:val="center"/>
              <w:rPr>
                <w:rFonts w:cs="Arial"/>
                <w:color w:val="000000"/>
              </w:rPr>
            </w:pPr>
          </w:p>
        </w:tc>
        <w:tc>
          <w:tcPr>
            <w:tcW w:w="850" w:type="dxa"/>
            <w:tcBorders>
              <w:top w:val="nil"/>
              <w:left w:val="nil"/>
              <w:bottom w:val="nil"/>
              <w:right w:val="double" w:sz="4" w:space="0" w:color="auto"/>
            </w:tcBorders>
            <w:vAlign w:val="bottom"/>
          </w:tcPr>
          <w:p w:rsidR="00FD5242" w:rsidRPr="00B40B56" w:rsidRDefault="00FD5242" w:rsidP="00CD4BC7">
            <w:pPr>
              <w:autoSpaceDE w:val="0"/>
              <w:autoSpaceDN w:val="0"/>
              <w:adjustRightInd w:val="0"/>
              <w:spacing w:after="0" w:line="240" w:lineRule="auto"/>
              <w:jc w:val="center"/>
              <w:rPr>
                <w:rFonts w:cs="Arial"/>
                <w:color w:val="000000"/>
              </w:rPr>
            </w:pPr>
          </w:p>
        </w:tc>
      </w:tr>
      <w:tr w:rsidR="00FD5242" w:rsidRPr="00B40B56" w:rsidTr="00BE1A97">
        <w:trPr>
          <w:trHeight w:val="225"/>
        </w:trPr>
        <w:tc>
          <w:tcPr>
            <w:tcW w:w="3559" w:type="dxa"/>
            <w:tcBorders>
              <w:top w:val="nil"/>
              <w:left w:val="double" w:sz="4" w:space="0" w:color="auto"/>
              <w:bottom w:val="nil"/>
              <w:right w:val="nil"/>
            </w:tcBorders>
            <w:vAlign w:val="bottom"/>
          </w:tcPr>
          <w:p w:rsidR="00FD5242" w:rsidRPr="00B40B56" w:rsidRDefault="00FD5242" w:rsidP="00CD4BC7">
            <w:pPr>
              <w:autoSpaceDE w:val="0"/>
              <w:autoSpaceDN w:val="0"/>
              <w:adjustRightInd w:val="0"/>
              <w:spacing w:after="0" w:line="240" w:lineRule="auto"/>
              <w:rPr>
                <w:rFonts w:cs="Arial"/>
                <w:b/>
                <w:color w:val="000000"/>
              </w:rPr>
            </w:pPr>
            <w:r w:rsidRPr="00B40B56">
              <w:rPr>
                <w:rFonts w:cs="Arial"/>
                <w:b/>
                <w:color w:val="000000"/>
              </w:rPr>
              <w:t>Model Summary</w:t>
            </w:r>
          </w:p>
          <w:p w:rsidR="00FD5242" w:rsidRPr="00B40B56" w:rsidRDefault="00FD5242" w:rsidP="00CD4BC7">
            <w:pPr>
              <w:autoSpaceDE w:val="0"/>
              <w:autoSpaceDN w:val="0"/>
              <w:adjustRightInd w:val="0"/>
              <w:spacing w:after="0" w:line="240" w:lineRule="auto"/>
              <w:rPr>
                <w:rFonts w:cs="Arial"/>
                <w:color w:val="000000"/>
              </w:rPr>
            </w:pPr>
            <w:r w:rsidRPr="00B40B56">
              <w:rPr>
                <w:rFonts w:cs="Arial"/>
                <w:color w:val="000000"/>
              </w:rPr>
              <w:t>R-squared</w:t>
            </w:r>
          </w:p>
        </w:tc>
        <w:tc>
          <w:tcPr>
            <w:tcW w:w="1276" w:type="dxa"/>
            <w:tcBorders>
              <w:top w:val="nil"/>
              <w:left w:val="nil"/>
              <w:bottom w:val="nil"/>
              <w:right w:val="nil"/>
            </w:tcBorders>
            <w:vAlign w:val="bottom"/>
          </w:tcPr>
          <w:p w:rsidR="00FD5242" w:rsidRPr="00B40B56" w:rsidRDefault="00FD5242" w:rsidP="00CD4BC7">
            <w:pPr>
              <w:autoSpaceDE w:val="0"/>
              <w:autoSpaceDN w:val="0"/>
              <w:adjustRightInd w:val="0"/>
              <w:spacing w:after="0" w:line="240" w:lineRule="auto"/>
              <w:ind w:right="10"/>
              <w:jc w:val="both"/>
              <w:rPr>
                <w:rFonts w:cs="Arial"/>
                <w:color w:val="000000"/>
              </w:rPr>
            </w:pPr>
            <w:r w:rsidRPr="00B40B56">
              <w:rPr>
                <w:rFonts w:cs="Arial"/>
                <w:color w:val="000000"/>
              </w:rPr>
              <w:t>0.774969</w:t>
            </w:r>
          </w:p>
        </w:tc>
        <w:tc>
          <w:tcPr>
            <w:tcW w:w="2410" w:type="dxa"/>
            <w:gridSpan w:val="2"/>
            <w:tcBorders>
              <w:top w:val="nil"/>
              <w:left w:val="nil"/>
              <w:bottom w:val="nil"/>
              <w:right w:val="nil"/>
            </w:tcBorders>
            <w:vAlign w:val="bottom"/>
          </w:tcPr>
          <w:p w:rsidR="00FD5242" w:rsidRPr="00B40B56" w:rsidRDefault="00FD5242" w:rsidP="00CD4BC7">
            <w:pPr>
              <w:autoSpaceDE w:val="0"/>
              <w:autoSpaceDN w:val="0"/>
              <w:adjustRightInd w:val="0"/>
              <w:spacing w:after="0" w:line="240" w:lineRule="auto"/>
              <w:ind w:right="10"/>
              <w:jc w:val="both"/>
              <w:rPr>
                <w:rFonts w:cs="Arial"/>
                <w:color w:val="000000"/>
              </w:rPr>
            </w:pPr>
          </w:p>
        </w:tc>
        <w:tc>
          <w:tcPr>
            <w:tcW w:w="850" w:type="dxa"/>
            <w:tcBorders>
              <w:top w:val="nil"/>
              <w:left w:val="nil"/>
              <w:bottom w:val="nil"/>
              <w:right w:val="double" w:sz="4" w:space="0" w:color="auto"/>
            </w:tcBorders>
            <w:vAlign w:val="bottom"/>
          </w:tcPr>
          <w:p w:rsidR="00FD5242" w:rsidRPr="00B40B56" w:rsidRDefault="00FD5242" w:rsidP="00CD4BC7">
            <w:pPr>
              <w:autoSpaceDE w:val="0"/>
              <w:autoSpaceDN w:val="0"/>
              <w:adjustRightInd w:val="0"/>
              <w:spacing w:after="0" w:line="240" w:lineRule="auto"/>
              <w:ind w:right="10"/>
              <w:jc w:val="right"/>
              <w:rPr>
                <w:rFonts w:cs="Arial"/>
                <w:color w:val="000000"/>
              </w:rPr>
            </w:pPr>
          </w:p>
        </w:tc>
      </w:tr>
      <w:tr w:rsidR="00FD5242" w:rsidRPr="00B40B56" w:rsidTr="00BE1A97">
        <w:trPr>
          <w:trHeight w:val="225"/>
        </w:trPr>
        <w:tc>
          <w:tcPr>
            <w:tcW w:w="3559" w:type="dxa"/>
            <w:tcBorders>
              <w:top w:val="nil"/>
              <w:left w:val="double" w:sz="4" w:space="0" w:color="auto"/>
              <w:bottom w:val="nil"/>
              <w:right w:val="nil"/>
            </w:tcBorders>
            <w:vAlign w:val="bottom"/>
          </w:tcPr>
          <w:p w:rsidR="00FD5242" w:rsidRPr="00B40B56" w:rsidRDefault="00FD5242" w:rsidP="00CD4BC7">
            <w:pPr>
              <w:autoSpaceDE w:val="0"/>
              <w:autoSpaceDN w:val="0"/>
              <w:adjustRightInd w:val="0"/>
              <w:spacing w:after="0" w:line="240" w:lineRule="auto"/>
              <w:rPr>
                <w:rFonts w:cs="Arial"/>
                <w:color w:val="000000"/>
              </w:rPr>
            </w:pPr>
            <w:r w:rsidRPr="00B40B56">
              <w:rPr>
                <w:rFonts w:cs="Arial"/>
                <w:color w:val="000000"/>
              </w:rPr>
              <w:t>Adjusted R-squared</w:t>
            </w:r>
          </w:p>
        </w:tc>
        <w:tc>
          <w:tcPr>
            <w:tcW w:w="1276" w:type="dxa"/>
            <w:tcBorders>
              <w:top w:val="nil"/>
              <w:left w:val="nil"/>
              <w:bottom w:val="nil"/>
              <w:right w:val="nil"/>
            </w:tcBorders>
            <w:vAlign w:val="bottom"/>
          </w:tcPr>
          <w:p w:rsidR="00FD5242" w:rsidRPr="00B40B56" w:rsidRDefault="00FD5242" w:rsidP="00CD4BC7">
            <w:pPr>
              <w:autoSpaceDE w:val="0"/>
              <w:autoSpaceDN w:val="0"/>
              <w:adjustRightInd w:val="0"/>
              <w:spacing w:after="0" w:line="240" w:lineRule="auto"/>
              <w:ind w:right="10"/>
              <w:jc w:val="both"/>
              <w:rPr>
                <w:rFonts w:cs="Arial"/>
                <w:color w:val="000000"/>
              </w:rPr>
            </w:pPr>
            <w:r w:rsidRPr="00B40B56">
              <w:rPr>
                <w:rFonts w:cs="Arial"/>
                <w:color w:val="000000"/>
              </w:rPr>
              <w:t>0.515694</w:t>
            </w:r>
          </w:p>
        </w:tc>
        <w:tc>
          <w:tcPr>
            <w:tcW w:w="2410" w:type="dxa"/>
            <w:gridSpan w:val="2"/>
            <w:tcBorders>
              <w:top w:val="nil"/>
              <w:left w:val="nil"/>
              <w:bottom w:val="nil"/>
              <w:right w:val="nil"/>
            </w:tcBorders>
            <w:vAlign w:val="bottom"/>
          </w:tcPr>
          <w:p w:rsidR="00FD5242" w:rsidRPr="00B40B56" w:rsidRDefault="00FD5242" w:rsidP="00CD4BC7">
            <w:pPr>
              <w:autoSpaceDE w:val="0"/>
              <w:autoSpaceDN w:val="0"/>
              <w:adjustRightInd w:val="0"/>
              <w:spacing w:after="0" w:line="240" w:lineRule="auto"/>
              <w:ind w:right="10"/>
              <w:jc w:val="both"/>
              <w:rPr>
                <w:rFonts w:cs="Arial"/>
                <w:color w:val="000000"/>
              </w:rPr>
            </w:pPr>
          </w:p>
        </w:tc>
        <w:tc>
          <w:tcPr>
            <w:tcW w:w="850" w:type="dxa"/>
            <w:tcBorders>
              <w:top w:val="nil"/>
              <w:left w:val="nil"/>
              <w:bottom w:val="nil"/>
              <w:right w:val="double" w:sz="4" w:space="0" w:color="auto"/>
            </w:tcBorders>
            <w:vAlign w:val="bottom"/>
          </w:tcPr>
          <w:p w:rsidR="00FD5242" w:rsidRPr="00B40B56" w:rsidRDefault="00FD5242" w:rsidP="00CD4BC7">
            <w:pPr>
              <w:autoSpaceDE w:val="0"/>
              <w:autoSpaceDN w:val="0"/>
              <w:adjustRightInd w:val="0"/>
              <w:spacing w:after="0" w:line="240" w:lineRule="auto"/>
              <w:ind w:right="10"/>
              <w:jc w:val="right"/>
              <w:rPr>
                <w:rFonts w:cs="Arial"/>
                <w:color w:val="000000"/>
              </w:rPr>
            </w:pPr>
          </w:p>
        </w:tc>
      </w:tr>
      <w:tr w:rsidR="00FD5242" w:rsidRPr="00B40B56" w:rsidTr="00BE1A97">
        <w:trPr>
          <w:trHeight w:val="225"/>
        </w:trPr>
        <w:tc>
          <w:tcPr>
            <w:tcW w:w="3559" w:type="dxa"/>
            <w:tcBorders>
              <w:top w:val="nil"/>
              <w:left w:val="double" w:sz="4" w:space="0" w:color="auto"/>
              <w:bottom w:val="nil"/>
              <w:right w:val="nil"/>
            </w:tcBorders>
            <w:vAlign w:val="bottom"/>
          </w:tcPr>
          <w:p w:rsidR="00FD5242" w:rsidRPr="00B40B56" w:rsidRDefault="00FD5242" w:rsidP="00CD4BC7">
            <w:pPr>
              <w:autoSpaceDE w:val="0"/>
              <w:autoSpaceDN w:val="0"/>
              <w:adjustRightInd w:val="0"/>
              <w:spacing w:after="0" w:line="240" w:lineRule="auto"/>
              <w:rPr>
                <w:rFonts w:cs="Arial"/>
                <w:color w:val="000000"/>
              </w:rPr>
            </w:pPr>
            <w:r w:rsidRPr="00B40B56">
              <w:rPr>
                <w:rFonts w:cs="Arial"/>
                <w:color w:val="000000"/>
              </w:rPr>
              <w:t>S.E. of regression</w:t>
            </w:r>
          </w:p>
        </w:tc>
        <w:tc>
          <w:tcPr>
            <w:tcW w:w="1276" w:type="dxa"/>
            <w:tcBorders>
              <w:top w:val="nil"/>
              <w:left w:val="nil"/>
              <w:bottom w:val="nil"/>
              <w:right w:val="nil"/>
            </w:tcBorders>
            <w:vAlign w:val="bottom"/>
          </w:tcPr>
          <w:p w:rsidR="00FD5242" w:rsidRPr="00B40B56" w:rsidRDefault="00FD5242" w:rsidP="00CD4BC7">
            <w:pPr>
              <w:autoSpaceDE w:val="0"/>
              <w:autoSpaceDN w:val="0"/>
              <w:adjustRightInd w:val="0"/>
              <w:spacing w:after="0" w:line="240" w:lineRule="auto"/>
              <w:ind w:right="10"/>
              <w:jc w:val="both"/>
              <w:rPr>
                <w:rFonts w:cs="Arial"/>
                <w:color w:val="000000"/>
              </w:rPr>
            </w:pPr>
            <w:r w:rsidRPr="00B40B56">
              <w:rPr>
                <w:rFonts w:cs="Arial"/>
                <w:color w:val="000000"/>
              </w:rPr>
              <w:t>0.136417</w:t>
            </w:r>
          </w:p>
        </w:tc>
        <w:tc>
          <w:tcPr>
            <w:tcW w:w="2410" w:type="dxa"/>
            <w:gridSpan w:val="2"/>
            <w:tcBorders>
              <w:top w:val="nil"/>
              <w:left w:val="nil"/>
              <w:bottom w:val="nil"/>
              <w:right w:val="nil"/>
            </w:tcBorders>
            <w:vAlign w:val="bottom"/>
          </w:tcPr>
          <w:p w:rsidR="00FD5242" w:rsidRPr="00B40B56" w:rsidRDefault="00FD5242" w:rsidP="00CD4BC7">
            <w:pPr>
              <w:autoSpaceDE w:val="0"/>
              <w:autoSpaceDN w:val="0"/>
              <w:adjustRightInd w:val="0"/>
              <w:spacing w:after="0" w:line="240" w:lineRule="auto"/>
              <w:ind w:right="10"/>
              <w:jc w:val="both"/>
              <w:rPr>
                <w:rFonts w:cs="Arial"/>
                <w:color w:val="000000"/>
              </w:rPr>
            </w:pPr>
          </w:p>
        </w:tc>
        <w:tc>
          <w:tcPr>
            <w:tcW w:w="850" w:type="dxa"/>
            <w:tcBorders>
              <w:top w:val="nil"/>
              <w:left w:val="nil"/>
              <w:bottom w:val="nil"/>
              <w:right w:val="double" w:sz="4" w:space="0" w:color="auto"/>
            </w:tcBorders>
            <w:vAlign w:val="bottom"/>
          </w:tcPr>
          <w:p w:rsidR="00FD5242" w:rsidRPr="00B40B56" w:rsidRDefault="00FD5242" w:rsidP="00CD4BC7">
            <w:pPr>
              <w:autoSpaceDE w:val="0"/>
              <w:autoSpaceDN w:val="0"/>
              <w:adjustRightInd w:val="0"/>
              <w:spacing w:after="0" w:line="240" w:lineRule="auto"/>
              <w:ind w:right="10"/>
              <w:jc w:val="right"/>
              <w:rPr>
                <w:rFonts w:cs="Arial"/>
                <w:color w:val="000000"/>
              </w:rPr>
            </w:pPr>
          </w:p>
        </w:tc>
      </w:tr>
      <w:tr w:rsidR="00FD5242" w:rsidRPr="00B40B56" w:rsidTr="00BE1A97">
        <w:trPr>
          <w:trHeight w:hRule="exact" w:val="365"/>
        </w:trPr>
        <w:tc>
          <w:tcPr>
            <w:tcW w:w="3559" w:type="dxa"/>
            <w:tcBorders>
              <w:top w:val="nil"/>
              <w:left w:val="double" w:sz="4" w:space="0" w:color="auto"/>
              <w:bottom w:val="double" w:sz="6" w:space="0" w:color="auto"/>
              <w:right w:val="nil"/>
            </w:tcBorders>
            <w:vAlign w:val="bottom"/>
          </w:tcPr>
          <w:p w:rsidR="00FD5242" w:rsidRPr="00B40B56" w:rsidRDefault="00FD5242" w:rsidP="00CD4BC7">
            <w:pPr>
              <w:autoSpaceDE w:val="0"/>
              <w:autoSpaceDN w:val="0"/>
              <w:adjustRightInd w:val="0"/>
              <w:spacing w:after="0" w:line="240" w:lineRule="auto"/>
              <w:jc w:val="center"/>
              <w:rPr>
                <w:rFonts w:cs="Arial"/>
                <w:color w:val="000000"/>
              </w:rPr>
            </w:pPr>
          </w:p>
        </w:tc>
        <w:tc>
          <w:tcPr>
            <w:tcW w:w="1276" w:type="dxa"/>
            <w:tcBorders>
              <w:top w:val="nil"/>
              <w:left w:val="nil"/>
              <w:bottom w:val="double" w:sz="6" w:space="0" w:color="auto"/>
              <w:right w:val="nil"/>
            </w:tcBorders>
            <w:vAlign w:val="bottom"/>
          </w:tcPr>
          <w:p w:rsidR="00FD5242" w:rsidRPr="00B40B56" w:rsidRDefault="00FD5242" w:rsidP="00CD4BC7">
            <w:pPr>
              <w:autoSpaceDE w:val="0"/>
              <w:autoSpaceDN w:val="0"/>
              <w:adjustRightInd w:val="0"/>
              <w:spacing w:after="0" w:line="240" w:lineRule="auto"/>
              <w:jc w:val="center"/>
              <w:rPr>
                <w:rFonts w:cs="Arial"/>
                <w:color w:val="000000"/>
              </w:rPr>
            </w:pPr>
          </w:p>
        </w:tc>
        <w:tc>
          <w:tcPr>
            <w:tcW w:w="1307" w:type="dxa"/>
            <w:tcBorders>
              <w:top w:val="nil"/>
              <w:left w:val="nil"/>
              <w:bottom w:val="double" w:sz="6" w:space="0" w:color="auto"/>
              <w:right w:val="nil"/>
            </w:tcBorders>
            <w:vAlign w:val="bottom"/>
          </w:tcPr>
          <w:p w:rsidR="00FD5242" w:rsidRPr="00B40B56" w:rsidRDefault="00FD5242" w:rsidP="00CD4BC7">
            <w:pPr>
              <w:autoSpaceDE w:val="0"/>
              <w:autoSpaceDN w:val="0"/>
              <w:adjustRightInd w:val="0"/>
              <w:spacing w:after="0" w:line="240" w:lineRule="auto"/>
              <w:jc w:val="center"/>
              <w:rPr>
                <w:rFonts w:cs="Arial"/>
                <w:color w:val="000000"/>
              </w:rPr>
            </w:pPr>
          </w:p>
        </w:tc>
        <w:tc>
          <w:tcPr>
            <w:tcW w:w="1103" w:type="dxa"/>
            <w:tcBorders>
              <w:top w:val="nil"/>
              <w:left w:val="nil"/>
              <w:bottom w:val="double" w:sz="6" w:space="0" w:color="auto"/>
              <w:right w:val="nil"/>
            </w:tcBorders>
            <w:vAlign w:val="bottom"/>
          </w:tcPr>
          <w:p w:rsidR="00FD5242" w:rsidRPr="00B40B56" w:rsidRDefault="00FD5242" w:rsidP="00CD4BC7">
            <w:pPr>
              <w:autoSpaceDE w:val="0"/>
              <w:autoSpaceDN w:val="0"/>
              <w:adjustRightInd w:val="0"/>
              <w:spacing w:after="0" w:line="240" w:lineRule="auto"/>
              <w:jc w:val="center"/>
              <w:rPr>
                <w:rFonts w:cs="Arial"/>
                <w:color w:val="000000"/>
              </w:rPr>
            </w:pPr>
          </w:p>
        </w:tc>
        <w:tc>
          <w:tcPr>
            <w:tcW w:w="850" w:type="dxa"/>
            <w:tcBorders>
              <w:top w:val="nil"/>
              <w:left w:val="nil"/>
              <w:bottom w:val="double" w:sz="6" w:space="0" w:color="auto"/>
              <w:right w:val="double" w:sz="4" w:space="0" w:color="auto"/>
            </w:tcBorders>
            <w:vAlign w:val="bottom"/>
          </w:tcPr>
          <w:p w:rsidR="00FD5242" w:rsidRPr="00B40B56" w:rsidRDefault="00FD5242" w:rsidP="00CD4BC7">
            <w:pPr>
              <w:autoSpaceDE w:val="0"/>
              <w:autoSpaceDN w:val="0"/>
              <w:adjustRightInd w:val="0"/>
              <w:spacing w:after="0" w:line="240" w:lineRule="auto"/>
              <w:jc w:val="center"/>
              <w:rPr>
                <w:rFonts w:cs="Arial"/>
                <w:color w:val="000000"/>
              </w:rPr>
            </w:pPr>
          </w:p>
        </w:tc>
      </w:tr>
      <w:tr w:rsidR="00FD5242" w:rsidRPr="00B40B56" w:rsidTr="00BE1A97">
        <w:trPr>
          <w:trHeight w:hRule="exact" w:val="135"/>
        </w:trPr>
        <w:tc>
          <w:tcPr>
            <w:tcW w:w="3559" w:type="dxa"/>
            <w:tcBorders>
              <w:top w:val="nil"/>
              <w:left w:val="double" w:sz="4" w:space="0" w:color="auto"/>
              <w:bottom w:val="double" w:sz="4" w:space="0" w:color="auto"/>
              <w:right w:val="nil"/>
            </w:tcBorders>
            <w:vAlign w:val="bottom"/>
          </w:tcPr>
          <w:p w:rsidR="00FD5242" w:rsidRPr="00B40B56" w:rsidRDefault="00FD5242" w:rsidP="00CD4BC7">
            <w:pPr>
              <w:autoSpaceDE w:val="0"/>
              <w:autoSpaceDN w:val="0"/>
              <w:adjustRightInd w:val="0"/>
              <w:spacing w:after="0" w:line="240" w:lineRule="auto"/>
              <w:jc w:val="center"/>
              <w:rPr>
                <w:rFonts w:cs="Arial"/>
                <w:color w:val="000000"/>
              </w:rPr>
            </w:pPr>
          </w:p>
        </w:tc>
        <w:tc>
          <w:tcPr>
            <w:tcW w:w="1276" w:type="dxa"/>
            <w:tcBorders>
              <w:top w:val="nil"/>
              <w:left w:val="nil"/>
              <w:bottom w:val="double" w:sz="4" w:space="0" w:color="auto"/>
              <w:right w:val="nil"/>
            </w:tcBorders>
            <w:vAlign w:val="bottom"/>
          </w:tcPr>
          <w:p w:rsidR="00FD5242" w:rsidRPr="00B40B56" w:rsidRDefault="00FD5242" w:rsidP="00CD4BC7">
            <w:pPr>
              <w:autoSpaceDE w:val="0"/>
              <w:autoSpaceDN w:val="0"/>
              <w:adjustRightInd w:val="0"/>
              <w:spacing w:after="0" w:line="240" w:lineRule="auto"/>
              <w:jc w:val="center"/>
              <w:rPr>
                <w:rFonts w:cs="Arial"/>
                <w:color w:val="000000"/>
              </w:rPr>
            </w:pPr>
          </w:p>
        </w:tc>
        <w:tc>
          <w:tcPr>
            <w:tcW w:w="1307" w:type="dxa"/>
            <w:tcBorders>
              <w:top w:val="nil"/>
              <w:left w:val="nil"/>
              <w:bottom w:val="double" w:sz="4" w:space="0" w:color="auto"/>
              <w:right w:val="nil"/>
            </w:tcBorders>
            <w:vAlign w:val="bottom"/>
          </w:tcPr>
          <w:p w:rsidR="00FD5242" w:rsidRPr="00B40B56" w:rsidRDefault="00FD5242" w:rsidP="00CD4BC7">
            <w:pPr>
              <w:autoSpaceDE w:val="0"/>
              <w:autoSpaceDN w:val="0"/>
              <w:adjustRightInd w:val="0"/>
              <w:spacing w:after="0" w:line="240" w:lineRule="auto"/>
              <w:jc w:val="center"/>
              <w:rPr>
                <w:rFonts w:cs="Arial"/>
                <w:color w:val="000000"/>
              </w:rPr>
            </w:pPr>
          </w:p>
        </w:tc>
        <w:tc>
          <w:tcPr>
            <w:tcW w:w="1103" w:type="dxa"/>
            <w:tcBorders>
              <w:top w:val="nil"/>
              <w:left w:val="nil"/>
              <w:bottom w:val="double" w:sz="4" w:space="0" w:color="auto"/>
              <w:right w:val="nil"/>
            </w:tcBorders>
            <w:vAlign w:val="bottom"/>
          </w:tcPr>
          <w:p w:rsidR="00FD5242" w:rsidRPr="00B40B56" w:rsidRDefault="00FD5242" w:rsidP="00CD4BC7">
            <w:pPr>
              <w:autoSpaceDE w:val="0"/>
              <w:autoSpaceDN w:val="0"/>
              <w:adjustRightInd w:val="0"/>
              <w:spacing w:after="0" w:line="240" w:lineRule="auto"/>
              <w:jc w:val="center"/>
              <w:rPr>
                <w:rFonts w:cs="Arial"/>
                <w:color w:val="000000"/>
              </w:rPr>
            </w:pPr>
          </w:p>
        </w:tc>
        <w:tc>
          <w:tcPr>
            <w:tcW w:w="850" w:type="dxa"/>
            <w:tcBorders>
              <w:top w:val="nil"/>
              <w:left w:val="nil"/>
              <w:bottom w:val="double" w:sz="4" w:space="0" w:color="auto"/>
              <w:right w:val="double" w:sz="4" w:space="0" w:color="auto"/>
            </w:tcBorders>
            <w:vAlign w:val="bottom"/>
          </w:tcPr>
          <w:p w:rsidR="00FD5242" w:rsidRPr="00B40B56" w:rsidRDefault="00FD5242" w:rsidP="00CD4BC7">
            <w:pPr>
              <w:autoSpaceDE w:val="0"/>
              <w:autoSpaceDN w:val="0"/>
              <w:adjustRightInd w:val="0"/>
              <w:spacing w:after="0" w:line="240" w:lineRule="auto"/>
              <w:jc w:val="center"/>
              <w:rPr>
                <w:rFonts w:cs="Arial"/>
                <w:color w:val="000000"/>
              </w:rPr>
            </w:pPr>
          </w:p>
        </w:tc>
      </w:tr>
    </w:tbl>
    <w:p w:rsidR="00FD5242" w:rsidRDefault="00FD5242" w:rsidP="00643E08">
      <w:pPr>
        <w:rPr>
          <w:rFonts w:cs="Arial"/>
          <w:lang w:val="en-US"/>
        </w:rPr>
      </w:pPr>
      <w:r w:rsidRPr="00B40B56">
        <w:rPr>
          <w:rFonts w:cs="Arial"/>
        </w:rPr>
        <w:t>*,**,*** indicate  significance at 0.01, 0.05, 0.10 significance level</w:t>
      </w:r>
    </w:p>
    <w:p w:rsidR="00FD5242" w:rsidRPr="00172F45" w:rsidRDefault="00FD5242" w:rsidP="00643E08">
      <w:pPr>
        <w:rPr>
          <w:rFonts w:cs="Arial"/>
          <w:lang w:val="en-US"/>
        </w:rPr>
      </w:pPr>
    </w:p>
    <w:p w:rsidR="00FD5242" w:rsidRDefault="00FD5242" w:rsidP="00172F45">
      <w:pPr>
        <w:autoSpaceDE w:val="0"/>
        <w:autoSpaceDN w:val="0"/>
        <w:adjustRightInd w:val="0"/>
        <w:spacing w:after="0" w:line="360" w:lineRule="auto"/>
        <w:jc w:val="both"/>
        <w:rPr>
          <w:bCs/>
          <w:lang w:val="en-US"/>
        </w:rPr>
      </w:pPr>
      <w:r>
        <w:rPr>
          <w:rFonts w:cs="Arial"/>
          <w:color w:val="000000"/>
          <w:lang w:val="en-US"/>
        </w:rPr>
        <w:t xml:space="preserve">    An important element of this and the subsequent table is the R squared. It indicates that only the 77,5% of the dependent </w:t>
      </w:r>
      <w:r w:rsidRPr="000D155F">
        <w:rPr>
          <w:bCs/>
          <w:lang w:val="en-US"/>
        </w:rPr>
        <w:t>X</w:t>
      </w:r>
      <w:r w:rsidRPr="000D155F">
        <w:rPr>
          <w:bCs/>
          <w:vertAlign w:val="subscript"/>
          <w:lang w:val="en-US"/>
        </w:rPr>
        <w:t>it</w:t>
      </w:r>
      <w:r w:rsidRPr="000D155F">
        <w:rPr>
          <w:bCs/>
          <w:lang w:val="en-US"/>
        </w:rPr>
        <w:t>/P</w:t>
      </w:r>
      <w:r w:rsidRPr="000D155F">
        <w:rPr>
          <w:bCs/>
          <w:vertAlign w:val="subscript"/>
          <w:lang w:val="en-US"/>
        </w:rPr>
        <w:t>it-1</w:t>
      </w:r>
      <w:r>
        <w:rPr>
          <w:bCs/>
          <w:lang w:val="en-US"/>
        </w:rPr>
        <w:t xml:space="preserve"> variable is explained by the included independent variables, by reflecting the correlation coefficient of the model. </w:t>
      </w:r>
    </w:p>
    <w:p w:rsidR="00FD5242" w:rsidRDefault="00FD5242" w:rsidP="00172F45">
      <w:pPr>
        <w:autoSpaceDE w:val="0"/>
        <w:autoSpaceDN w:val="0"/>
        <w:adjustRightInd w:val="0"/>
        <w:spacing w:after="0" w:line="360" w:lineRule="auto"/>
        <w:jc w:val="both"/>
        <w:rPr>
          <w:bCs/>
          <w:lang w:val="en-US"/>
        </w:rPr>
      </w:pPr>
      <w:r>
        <w:rPr>
          <w:bCs/>
          <w:lang w:val="en-US"/>
        </w:rPr>
        <w:t xml:space="preserve">    </w:t>
      </w:r>
      <w:r w:rsidRPr="00E4453F">
        <w:rPr>
          <w:bCs/>
          <w:lang w:val="en-US"/>
        </w:rPr>
        <w:t>The coeffic</w:t>
      </w:r>
      <w:r>
        <w:rPr>
          <w:bCs/>
          <w:lang w:val="en-US"/>
        </w:rPr>
        <w:t>ient of determination (R-squared)</w:t>
      </w:r>
      <w:r w:rsidRPr="00E4453F">
        <w:rPr>
          <w:bCs/>
          <w:lang w:val="en-US"/>
        </w:rPr>
        <w:t xml:space="preserve"> measures how good the regression line</w:t>
      </w:r>
      <w:r>
        <w:rPr>
          <w:bCs/>
          <w:lang w:val="en-US"/>
        </w:rPr>
        <w:t xml:space="preserve"> of the sample fits in the data. I</w:t>
      </w:r>
      <w:r w:rsidRPr="007C66D1">
        <w:rPr>
          <w:bCs/>
          <w:lang w:val="en-US"/>
        </w:rPr>
        <w:t>t can take values from</w:t>
      </w:r>
      <w:r>
        <w:rPr>
          <w:bCs/>
          <w:lang w:val="en-US"/>
        </w:rPr>
        <w:t xml:space="preserve"> </w:t>
      </w:r>
      <w:r w:rsidRPr="007C66D1">
        <w:rPr>
          <w:bCs/>
          <w:lang w:val="en-US"/>
        </w:rPr>
        <w:t>0 to 1</w:t>
      </w:r>
      <w:r>
        <w:rPr>
          <w:bCs/>
          <w:lang w:val="en-US"/>
        </w:rPr>
        <w:t xml:space="preserve">, while </w:t>
      </w:r>
      <w:r w:rsidRPr="007C66D1">
        <w:rPr>
          <w:bCs/>
          <w:lang w:val="en-US"/>
        </w:rPr>
        <w:t>the larger the value, the better the goodness of the fit</w:t>
      </w:r>
      <w:r>
        <w:rPr>
          <w:bCs/>
          <w:lang w:val="en-US"/>
        </w:rPr>
        <w:t xml:space="preserve"> is. R squared</w:t>
      </w:r>
      <w:r w:rsidRPr="007C66D1">
        <w:rPr>
          <w:bCs/>
          <w:lang w:val="en-US"/>
        </w:rPr>
        <w:t xml:space="preserve"> increases with the addition of extra variable</w:t>
      </w:r>
      <w:r>
        <w:rPr>
          <w:bCs/>
          <w:lang w:val="en-US"/>
        </w:rPr>
        <w:t>s in the regression. A bigger R squared</w:t>
      </w:r>
      <w:r w:rsidRPr="007C66D1">
        <w:rPr>
          <w:bCs/>
          <w:lang w:val="en-US"/>
        </w:rPr>
        <w:t xml:space="preserve"> </w:t>
      </w:r>
      <w:r>
        <w:rPr>
          <w:bCs/>
          <w:lang w:val="en-US"/>
        </w:rPr>
        <w:t xml:space="preserve">though, </w:t>
      </w:r>
      <w:r w:rsidRPr="007C66D1">
        <w:rPr>
          <w:bCs/>
          <w:lang w:val="en-US"/>
        </w:rPr>
        <w:t>does</w:t>
      </w:r>
      <w:r>
        <w:rPr>
          <w:bCs/>
          <w:lang w:val="en-US"/>
        </w:rPr>
        <w:t xml:space="preserve"> </w:t>
      </w:r>
      <w:r w:rsidRPr="007C66D1">
        <w:rPr>
          <w:bCs/>
          <w:lang w:val="en-US"/>
        </w:rPr>
        <w:t>n</w:t>
      </w:r>
      <w:r>
        <w:rPr>
          <w:bCs/>
          <w:lang w:val="en-US"/>
        </w:rPr>
        <w:t>o</w:t>
      </w:r>
      <w:r w:rsidRPr="007C66D1">
        <w:rPr>
          <w:bCs/>
          <w:lang w:val="en-US"/>
        </w:rPr>
        <w:t xml:space="preserve">t mean a </w:t>
      </w:r>
      <w:r>
        <w:rPr>
          <w:bCs/>
          <w:lang w:val="en-US"/>
        </w:rPr>
        <w:t xml:space="preserve">more scientific </w:t>
      </w:r>
      <w:r w:rsidRPr="007C66D1">
        <w:rPr>
          <w:bCs/>
          <w:lang w:val="en-US"/>
        </w:rPr>
        <w:t xml:space="preserve">model. The addition of extra variables may be completely irrelevant. The choice of the variables should be guided </w:t>
      </w:r>
      <w:r>
        <w:rPr>
          <w:bCs/>
          <w:lang w:val="en-US"/>
        </w:rPr>
        <w:t xml:space="preserve">strictly </w:t>
      </w:r>
      <w:r w:rsidRPr="007C66D1">
        <w:rPr>
          <w:bCs/>
          <w:lang w:val="en-US"/>
        </w:rPr>
        <w:t xml:space="preserve">by theory and specific hypotheses. </w:t>
      </w:r>
      <w:r>
        <w:rPr>
          <w:bCs/>
          <w:lang w:val="en-US"/>
        </w:rPr>
        <w:t xml:space="preserve">Furthermore, in cases with </w:t>
      </w:r>
      <w:r w:rsidRPr="008516D6">
        <w:rPr>
          <w:bCs/>
          <w:lang w:val="en-US"/>
        </w:rPr>
        <w:t>many variables in the regress</w:t>
      </w:r>
      <w:r>
        <w:rPr>
          <w:bCs/>
          <w:lang w:val="en-US"/>
        </w:rPr>
        <w:t xml:space="preserve">ion it is better to use the Adjusted R-squared, but this does fact does not affect this regression analysis’ conduction. </w:t>
      </w:r>
    </w:p>
    <w:p w:rsidR="00FD5242" w:rsidRDefault="00FD5242" w:rsidP="00172F45">
      <w:pPr>
        <w:autoSpaceDE w:val="0"/>
        <w:autoSpaceDN w:val="0"/>
        <w:adjustRightInd w:val="0"/>
        <w:spacing w:after="0" w:line="360" w:lineRule="auto"/>
        <w:jc w:val="both"/>
        <w:rPr>
          <w:bCs/>
          <w:lang w:val="en-US"/>
        </w:rPr>
      </w:pPr>
    </w:p>
    <w:p w:rsidR="00FD5242" w:rsidRPr="0030712E" w:rsidRDefault="00FD5242" w:rsidP="0030712E">
      <w:pPr>
        <w:rPr>
          <w:rFonts w:cs="Arial"/>
          <w:b/>
          <w:lang w:val="en-US"/>
        </w:rPr>
      </w:pPr>
      <w:r>
        <w:rPr>
          <w:rFonts w:cs="Arial"/>
          <w:b/>
          <w:lang w:val="en-US"/>
        </w:rPr>
        <w:t>Table 6: Results of the pooled regression analysis for the 2008</w:t>
      </w:r>
      <w:r w:rsidRPr="003D13CF">
        <w:rPr>
          <w:rFonts w:cs="Arial"/>
          <w:b/>
          <w:lang w:val="en-US"/>
        </w:rPr>
        <w:t>-</w:t>
      </w:r>
      <w:r>
        <w:rPr>
          <w:rFonts w:cs="Arial"/>
          <w:b/>
          <w:lang w:val="en-US"/>
        </w:rPr>
        <w:t>2009 period</w:t>
      </w:r>
    </w:p>
    <w:tbl>
      <w:tblPr>
        <w:tblW w:w="8065" w:type="dxa"/>
        <w:tblInd w:w="30" w:type="dxa"/>
        <w:tblLayout w:type="fixed"/>
        <w:tblCellMar>
          <w:left w:w="0" w:type="dxa"/>
          <w:right w:w="0" w:type="dxa"/>
        </w:tblCellMar>
        <w:tblLook w:val="0000"/>
      </w:tblPr>
      <w:tblGrid>
        <w:gridCol w:w="3503"/>
        <w:gridCol w:w="1103"/>
        <w:gridCol w:w="1191"/>
        <w:gridCol w:w="1391"/>
        <w:gridCol w:w="877"/>
      </w:tblGrid>
      <w:tr w:rsidR="00FD5242" w:rsidRPr="009E2EF6" w:rsidTr="00B40B56">
        <w:trPr>
          <w:trHeight w:val="225"/>
        </w:trPr>
        <w:tc>
          <w:tcPr>
            <w:tcW w:w="7188" w:type="dxa"/>
            <w:gridSpan w:val="4"/>
            <w:tcBorders>
              <w:top w:val="double" w:sz="4" w:space="0" w:color="auto"/>
              <w:left w:val="double" w:sz="4" w:space="0" w:color="auto"/>
              <w:bottom w:val="nil"/>
            </w:tcBorders>
            <w:vAlign w:val="bottom"/>
          </w:tcPr>
          <w:p w:rsidR="00FD5242" w:rsidRPr="00B40B56" w:rsidRDefault="00FD5242" w:rsidP="00CD4BC7">
            <w:pPr>
              <w:autoSpaceDE w:val="0"/>
              <w:autoSpaceDN w:val="0"/>
              <w:adjustRightInd w:val="0"/>
              <w:spacing w:after="0" w:line="240" w:lineRule="auto"/>
              <w:rPr>
                <w:rFonts w:cs="Arial"/>
                <w:color w:val="000000"/>
                <w:lang w:val="en-US"/>
              </w:rPr>
            </w:pPr>
            <w:r w:rsidRPr="00B40B56">
              <w:rPr>
                <w:rFonts w:cs="Arial"/>
                <w:color w:val="000000"/>
                <w:lang w:val="en-US"/>
              </w:rPr>
              <w:t>Dependent Variable: X</w:t>
            </w:r>
            <w:r w:rsidRPr="00B40B56">
              <w:rPr>
                <w:rFonts w:cs="Arial"/>
                <w:color w:val="000000"/>
                <w:vertAlign w:val="subscript"/>
                <w:lang w:val="en-US"/>
              </w:rPr>
              <w:t>it</w:t>
            </w:r>
            <w:r w:rsidRPr="00B40B56">
              <w:rPr>
                <w:rFonts w:cs="Arial"/>
                <w:color w:val="000000"/>
                <w:lang w:val="en-US"/>
              </w:rPr>
              <w:t>/P</w:t>
            </w:r>
            <w:r w:rsidRPr="00B40B56">
              <w:rPr>
                <w:rFonts w:cs="Arial"/>
                <w:color w:val="000000"/>
                <w:vertAlign w:val="subscript"/>
                <w:lang w:val="en-US"/>
              </w:rPr>
              <w:t>it-1</w:t>
            </w:r>
            <w:r>
              <w:rPr>
                <w:rFonts w:cs="Arial"/>
                <w:color w:val="000000"/>
                <w:lang w:val="en-US"/>
              </w:rPr>
              <w:t xml:space="preserve">  (Conservatism</w:t>
            </w:r>
            <w:r w:rsidRPr="00B40B56">
              <w:rPr>
                <w:rFonts w:cs="Arial"/>
                <w:color w:val="000000"/>
                <w:lang w:val="en-US"/>
              </w:rPr>
              <w:t>)</w:t>
            </w:r>
          </w:p>
        </w:tc>
        <w:tc>
          <w:tcPr>
            <w:tcW w:w="877" w:type="dxa"/>
            <w:tcBorders>
              <w:top w:val="double" w:sz="4" w:space="0" w:color="auto"/>
              <w:bottom w:val="nil"/>
              <w:right w:val="double" w:sz="4" w:space="0" w:color="auto"/>
            </w:tcBorders>
            <w:vAlign w:val="bottom"/>
          </w:tcPr>
          <w:p w:rsidR="00FD5242" w:rsidRPr="00B40B56" w:rsidRDefault="00FD5242" w:rsidP="00CD4BC7">
            <w:pPr>
              <w:autoSpaceDE w:val="0"/>
              <w:autoSpaceDN w:val="0"/>
              <w:adjustRightInd w:val="0"/>
              <w:spacing w:after="0" w:line="240" w:lineRule="auto"/>
              <w:jc w:val="center"/>
              <w:rPr>
                <w:rFonts w:cs="Arial"/>
                <w:color w:val="000000"/>
                <w:lang w:val="en-US"/>
              </w:rPr>
            </w:pPr>
          </w:p>
        </w:tc>
      </w:tr>
      <w:tr w:rsidR="00FD5242" w:rsidRPr="009E2EF6" w:rsidTr="00B40B56">
        <w:trPr>
          <w:trHeight w:val="225"/>
        </w:trPr>
        <w:tc>
          <w:tcPr>
            <w:tcW w:w="5797" w:type="dxa"/>
            <w:gridSpan w:val="3"/>
            <w:tcBorders>
              <w:top w:val="nil"/>
              <w:left w:val="double" w:sz="4" w:space="0" w:color="auto"/>
              <w:bottom w:val="nil"/>
              <w:right w:val="nil"/>
            </w:tcBorders>
            <w:vAlign w:val="bottom"/>
          </w:tcPr>
          <w:p w:rsidR="00FD5242" w:rsidRPr="00B40B56" w:rsidRDefault="00FD5242" w:rsidP="00CD4BC7">
            <w:pPr>
              <w:autoSpaceDE w:val="0"/>
              <w:autoSpaceDN w:val="0"/>
              <w:adjustRightInd w:val="0"/>
              <w:spacing w:after="0" w:line="240" w:lineRule="auto"/>
              <w:rPr>
                <w:rFonts w:cs="Arial"/>
                <w:color w:val="000000"/>
                <w:lang w:val="en-US"/>
              </w:rPr>
            </w:pPr>
            <w:r w:rsidRPr="00B40B56">
              <w:rPr>
                <w:rFonts w:cs="Arial"/>
                <w:color w:val="000000"/>
                <w:lang w:val="en-US"/>
              </w:rPr>
              <w:t>Method: Panel Least Squares</w:t>
            </w:r>
          </w:p>
          <w:p w:rsidR="00FD5242" w:rsidRPr="00B40B56" w:rsidRDefault="00FD5242" w:rsidP="00CD4BC7">
            <w:pPr>
              <w:tabs>
                <w:tab w:val="left" w:pos="2948"/>
                <w:tab w:val="left" w:pos="3246"/>
              </w:tabs>
              <w:autoSpaceDE w:val="0"/>
              <w:autoSpaceDN w:val="0"/>
              <w:adjustRightInd w:val="0"/>
              <w:spacing w:after="0" w:line="240" w:lineRule="auto"/>
              <w:rPr>
                <w:rFonts w:cs="Arial"/>
                <w:color w:val="000000"/>
                <w:lang w:val="en-US"/>
              </w:rPr>
            </w:pPr>
            <w:r w:rsidRPr="00B40B56">
              <w:rPr>
                <w:rFonts w:cs="Arial"/>
                <w:color w:val="000000"/>
                <w:lang w:val="en-US"/>
              </w:rPr>
              <w:t>Sample 2008-2009</w:t>
            </w:r>
          </w:p>
        </w:tc>
        <w:tc>
          <w:tcPr>
            <w:tcW w:w="1391" w:type="dxa"/>
            <w:tcBorders>
              <w:top w:val="nil"/>
              <w:left w:val="nil"/>
              <w:bottom w:val="nil"/>
              <w:right w:val="nil"/>
            </w:tcBorders>
            <w:vAlign w:val="bottom"/>
          </w:tcPr>
          <w:p w:rsidR="00FD5242" w:rsidRPr="00B40B56" w:rsidRDefault="00FD5242" w:rsidP="00CD4BC7">
            <w:pPr>
              <w:autoSpaceDE w:val="0"/>
              <w:autoSpaceDN w:val="0"/>
              <w:adjustRightInd w:val="0"/>
              <w:spacing w:after="0" w:line="240" w:lineRule="auto"/>
              <w:jc w:val="center"/>
              <w:rPr>
                <w:rFonts w:cs="Arial"/>
                <w:color w:val="000000"/>
                <w:lang w:val="en-US"/>
              </w:rPr>
            </w:pPr>
          </w:p>
        </w:tc>
        <w:tc>
          <w:tcPr>
            <w:tcW w:w="877" w:type="dxa"/>
            <w:tcBorders>
              <w:top w:val="nil"/>
              <w:left w:val="nil"/>
              <w:bottom w:val="nil"/>
              <w:right w:val="double" w:sz="4" w:space="0" w:color="auto"/>
            </w:tcBorders>
            <w:vAlign w:val="bottom"/>
          </w:tcPr>
          <w:p w:rsidR="00FD5242" w:rsidRPr="00B40B56" w:rsidRDefault="00FD5242" w:rsidP="00CD4BC7">
            <w:pPr>
              <w:autoSpaceDE w:val="0"/>
              <w:autoSpaceDN w:val="0"/>
              <w:adjustRightInd w:val="0"/>
              <w:spacing w:after="0" w:line="240" w:lineRule="auto"/>
              <w:jc w:val="center"/>
              <w:rPr>
                <w:rFonts w:cs="Arial"/>
                <w:color w:val="000000"/>
                <w:lang w:val="en-US"/>
              </w:rPr>
            </w:pPr>
          </w:p>
        </w:tc>
      </w:tr>
      <w:tr w:rsidR="00FD5242" w:rsidRPr="000718A7" w:rsidTr="00B40B56">
        <w:trPr>
          <w:trHeight w:val="225"/>
        </w:trPr>
        <w:tc>
          <w:tcPr>
            <w:tcW w:w="5797" w:type="dxa"/>
            <w:gridSpan w:val="3"/>
            <w:tcBorders>
              <w:top w:val="nil"/>
              <w:left w:val="double" w:sz="4" w:space="0" w:color="auto"/>
              <w:bottom w:val="nil"/>
              <w:right w:val="nil"/>
            </w:tcBorders>
            <w:vAlign w:val="bottom"/>
          </w:tcPr>
          <w:p w:rsidR="00FD5242" w:rsidRPr="000718A7" w:rsidRDefault="00FD5242" w:rsidP="00CD4BC7">
            <w:pPr>
              <w:autoSpaceDE w:val="0"/>
              <w:autoSpaceDN w:val="0"/>
              <w:adjustRightInd w:val="0"/>
              <w:spacing w:after="0" w:line="240" w:lineRule="auto"/>
              <w:rPr>
                <w:rFonts w:cs="Arial"/>
                <w:color w:val="000000"/>
              </w:rPr>
            </w:pPr>
            <w:r w:rsidRPr="000718A7">
              <w:rPr>
                <w:rFonts w:cs="Arial"/>
                <w:color w:val="000000"/>
              </w:rPr>
              <w:t>Periods included: 2</w:t>
            </w:r>
          </w:p>
        </w:tc>
        <w:tc>
          <w:tcPr>
            <w:tcW w:w="1391" w:type="dxa"/>
            <w:tcBorders>
              <w:top w:val="nil"/>
              <w:left w:val="nil"/>
              <w:bottom w:val="nil"/>
              <w:right w:val="nil"/>
            </w:tcBorders>
            <w:vAlign w:val="bottom"/>
          </w:tcPr>
          <w:p w:rsidR="00FD5242" w:rsidRPr="000718A7" w:rsidRDefault="00FD5242" w:rsidP="00CD4BC7">
            <w:pPr>
              <w:autoSpaceDE w:val="0"/>
              <w:autoSpaceDN w:val="0"/>
              <w:adjustRightInd w:val="0"/>
              <w:spacing w:after="0" w:line="240" w:lineRule="auto"/>
              <w:jc w:val="center"/>
              <w:rPr>
                <w:rFonts w:cs="Arial"/>
                <w:color w:val="000000"/>
              </w:rPr>
            </w:pPr>
          </w:p>
        </w:tc>
        <w:tc>
          <w:tcPr>
            <w:tcW w:w="877" w:type="dxa"/>
            <w:tcBorders>
              <w:top w:val="nil"/>
              <w:left w:val="nil"/>
              <w:bottom w:val="nil"/>
              <w:right w:val="double" w:sz="4" w:space="0" w:color="auto"/>
            </w:tcBorders>
            <w:vAlign w:val="bottom"/>
          </w:tcPr>
          <w:p w:rsidR="00FD5242" w:rsidRPr="000718A7" w:rsidRDefault="00FD5242" w:rsidP="00B40B56">
            <w:pPr>
              <w:autoSpaceDE w:val="0"/>
              <w:autoSpaceDN w:val="0"/>
              <w:adjustRightInd w:val="0"/>
              <w:spacing w:after="0" w:line="240" w:lineRule="auto"/>
              <w:ind w:right="1064"/>
              <w:jc w:val="center"/>
              <w:rPr>
                <w:rFonts w:cs="Arial"/>
                <w:color w:val="000000"/>
              </w:rPr>
            </w:pPr>
          </w:p>
        </w:tc>
      </w:tr>
      <w:tr w:rsidR="00FD5242" w:rsidRPr="009E2EF6" w:rsidTr="00B40B56">
        <w:trPr>
          <w:trHeight w:val="225"/>
        </w:trPr>
        <w:tc>
          <w:tcPr>
            <w:tcW w:w="5797" w:type="dxa"/>
            <w:gridSpan w:val="3"/>
            <w:tcBorders>
              <w:top w:val="nil"/>
              <w:left w:val="double" w:sz="4" w:space="0" w:color="auto"/>
              <w:bottom w:val="nil"/>
              <w:right w:val="nil"/>
            </w:tcBorders>
            <w:vAlign w:val="bottom"/>
          </w:tcPr>
          <w:p w:rsidR="00FD5242" w:rsidRPr="00B40B56" w:rsidRDefault="00FD5242" w:rsidP="00CD4BC7">
            <w:pPr>
              <w:autoSpaceDE w:val="0"/>
              <w:autoSpaceDN w:val="0"/>
              <w:adjustRightInd w:val="0"/>
              <w:spacing w:after="0" w:line="240" w:lineRule="auto"/>
              <w:rPr>
                <w:rFonts w:cs="Arial"/>
                <w:color w:val="000000"/>
                <w:lang w:val="en-US"/>
              </w:rPr>
            </w:pPr>
            <w:r w:rsidRPr="00B40B56">
              <w:rPr>
                <w:rFonts w:cs="Arial"/>
                <w:color w:val="000000"/>
                <w:lang w:val="en-US"/>
              </w:rPr>
              <w:t>Cross-sections included: 51</w:t>
            </w:r>
          </w:p>
          <w:p w:rsidR="00FD5242" w:rsidRPr="00B40B56" w:rsidRDefault="00FD5242" w:rsidP="00CD4BC7">
            <w:pPr>
              <w:autoSpaceDE w:val="0"/>
              <w:autoSpaceDN w:val="0"/>
              <w:adjustRightInd w:val="0"/>
              <w:spacing w:after="0" w:line="240" w:lineRule="auto"/>
              <w:rPr>
                <w:rFonts w:cs="Arial"/>
                <w:color w:val="000000"/>
                <w:lang w:val="en-US"/>
              </w:rPr>
            </w:pPr>
            <w:r w:rsidRPr="00B40B56">
              <w:rPr>
                <w:rFonts w:cs="Arial"/>
                <w:color w:val="000000"/>
                <w:lang w:val="en-US"/>
              </w:rPr>
              <w:t>X</w:t>
            </w:r>
            <w:r w:rsidRPr="00B40B56">
              <w:rPr>
                <w:rFonts w:cs="Arial"/>
                <w:i/>
                <w:color w:val="000000"/>
                <w:vertAlign w:val="subscript"/>
                <w:lang w:val="en-US"/>
              </w:rPr>
              <w:t>it</w:t>
            </w:r>
            <w:r w:rsidRPr="00B40B56">
              <w:rPr>
                <w:rFonts w:cs="Arial"/>
                <w:color w:val="000000"/>
                <w:lang w:val="en-US"/>
              </w:rPr>
              <w:t>/P</w:t>
            </w:r>
            <w:r w:rsidRPr="00B40B56">
              <w:rPr>
                <w:rFonts w:cs="Arial"/>
                <w:color w:val="000000"/>
                <w:vertAlign w:val="subscript"/>
                <w:lang w:val="en-US"/>
              </w:rPr>
              <w:t>it-1</w:t>
            </w:r>
            <w:r w:rsidRPr="00B40B56">
              <w:rPr>
                <w:rFonts w:cs="Arial"/>
                <w:color w:val="000000"/>
                <w:lang w:val="en-US"/>
              </w:rPr>
              <w:t>=b</w:t>
            </w:r>
            <w:r w:rsidRPr="00B40B56">
              <w:rPr>
                <w:rFonts w:cs="Arial"/>
                <w:color w:val="000000"/>
                <w:vertAlign w:val="subscript"/>
                <w:lang w:val="en-US"/>
              </w:rPr>
              <w:t>0</w:t>
            </w:r>
            <w:r w:rsidRPr="00B40B56">
              <w:rPr>
                <w:rFonts w:cs="Arial"/>
                <w:color w:val="000000"/>
                <w:lang w:val="en-US"/>
              </w:rPr>
              <w:t>+b</w:t>
            </w:r>
            <w:r w:rsidRPr="00B40B56">
              <w:rPr>
                <w:rFonts w:cs="Arial"/>
                <w:color w:val="000000"/>
                <w:vertAlign w:val="subscript"/>
                <w:lang w:val="en-US"/>
              </w:rPr>
              <w:t>1</w:t>
            </w:r>
            <w:r w:rsidRPr="00B40B56">
              <w:rPr>
                <w:rFonts w:cs="Arial"/>
                <w:color w:val="000000"/>
                <w:lang w:val="en-US"/>
              </w:rPr>
              <w:t>*DR</w:t>
            </w:r>
            <w:r w:rsidRPr="00B40B56">
              <w:rPr>
                <w:rFonts w:cs="Arial"/>
                <w:i/>
                <w:color w:val="000000"/>
                <w:vertAlign w:val="subscript"/>
                <w:lang w:val="en-US"/>
              </w:rPr>
              <w:t>it</w:t>
            </w:r>
            <w:r w:rsidRPr="00B40B56">
              <w:rPr>
                <w:rFonts w:cs="Arial"/>
                <w:color w:val="000000"/>
                <w:lang w:val="en-US"/>
              </w:rPr>
              <w:t>+b</w:t>
            </w:r>
            <w:r w:rsidRPr="00B40B56">
              <w:rPr>
                <w:rFonts w:cs="Arial"/>
                <w:color w:val="000000"/>
                <w:vertAlign w:val="subscript"/>
                <w:lang w:val="en-US"/>
              </w:rPr>
              <w:t>2</w:t>
            </w:r>
            <w:r w:rsidRPr="00B40B56">
              <w:rPr>
                <w:rFonts w:cs="Arial"/>
                <w:color w:val="000000"/>
                <w:lang w:val="en-US"/>
              </w:rPr>
              <w:t>*R</w:t>
            </w:r>
            <w:r w:rsidRPr="00B40B56">
              <w:rPr>
                <w:rFonts w:cs="Arial"/>
                <w:color w:val="000000"/>
                <w:vertAlign w:val="subscript"/>
                <w:lang w:val="en-US"/>
              </w:rPr>
              <w:t>it</w:t>
            </w:r>
            <w:r w:rsidRPr="00B40B56">
              <w:rPr>
                <w:rFonts w:cs="Arial"/>
                <w:color w:val="000000"/>
                <w:lang w:val="en-US"/>
              </w:rPr>
              <w:t>+b</w:t>
            </w:r>
            <w:r w:rsidRPr="00B40B56">
              <w:rPr>
                <w:rFonts w:cs="Arial"/>
                <w:color w:val="000000"/>
                <w:vertAlign w:val="subscript"/>
                <w:lang w:val="en-US"/>
              </w:rPr>
              <w:t>3</w:t>
            </w:r>
            <w:r w:rsidRPr="00B40B56">
              <w:rPr>
                <w:rFonts w:cs="Arial"/>
                <w:color w:val="000000"/>
                <w:lang w:val="en-US"/>
              </w:rPr>
              <w:t>*R</w:t>
            </w:r>
            <w:r w:rsidRPr="00B40B56">
              <w:rPr>
                <w:rFonts w:cs="Arial"/>
                <w:i/>
                <w:color w:val="000000"/>
                <w:vertAlign w:val="subscript"/>
                <w:lang w:val="en-US"/>
              </w:rPr>
              <w:t>it</w:t>
            </w:r>
            <w:r w:rsidRPr="00B40B56">
              <w:rPr>
                <w:rFonts w:cs="Arial"/>
                <w:color w:val="000000"/>
                <w:lang w:val="en-US"/>
              </w:rPr>
              <w:t>*DR</w:t>
            </w:r>
            <w:r w:rsidRPr="00B40B56">
              <w:rPr>
                <w:rFonts w:cs="Arial"/>
                <w:i/>
                <w:color w:val="000000"/>
                <w:vertAlign w:val="subscript"/>
                <w:lang w:val="en-US"/>
              </w:rPr>
              <w:t>it</w:t>
            </w:r>
          </w:p>
        </w:tc>
        <w:tc>
          <w:tcPr>
            <w:tcW w:w="1391" w:type="dxa"/>
            <w:tcBorders>
              <w:top w:val="nil"/>
              <w:left w:val="nil"/>
              <w:bottom w:val="nil"/>
              <w:right w:val="nil"/>
            </w:tcBorders>
            <w:vAlign w:val="bottom"/>
          </w:tcPr>
          <w:p w:rsidR="00FD5242" w:rsidRPr="00B40B56" w:rsidRDefault="00FD5242" w:rsidP="00CD4BC7">
            <w:pPr>
              <w:autoSpaceDE w:val="0"/>
              <w:autoSpaceDN w:val="0"/>
              <w:adjustRightInd w:val="0"/>
              <w:spacing w:after="0" w:line="240" w:lineRule="auto"/>
              <w:jc w:val="center"/>
              <w:rPr>
                <w:rFonts w:cs="Arial"/>
                <w:color w:val="000000"/>
                <w:lang w:val="en-US"/>
              </w:rPr>
            </w:pPr>
          </w:p>
        </w:tc>
        <w:tc>
          <w:tcPr>
            <w:tcW w:w="877" w:type="dxa"/>
            <w:tcBorders>
              <w:top w:val="nil"/>
              <w:left w:val="nil"/>
              <w:bottom w:val="nil"/>
              <w:right w:val="double" w:sz="4" w:space="0" w:color="auto"/>
            </w:tcBorders>
            <w:vAlign w:val="bottom"/>
          </w:tcPr>
          <w:p w:rsidR="00FD5242" w:rsidRPr="00B40B56" w:rsidRDefault="00FD5242" w:rsidP="00CD4BC7">
            <w:pPr>
              <w:autoSpaceDE w:val="0"/>
              <w:autoSpaceDN w:val="0"/>
              <w:adjustRightInd w:val="0"/>
              <w:spacing w:after="0" w:line="240" w:lineRule="auto"/>
              <w:jc w:val="center"/>
              <w:rPr>
                <w:rFonts w:cs="Arial"/>
                <w:color w:val="000000"/>
                <w:lang w:val="en-US"/>
              </w:rPr>
            </w:pPr>
          </w:p>
        </w:tc>
      </w:tr>
      <w:tr w:rsidR="00FD5242" w:rsidRPr="009E2EF6" w:rsidTr="00B40B56">
        <w:trPr>
          <w:trHeight w:hRule="exact" w:val="90"/>
        </w:trPr>
        <w:tc>
          <w:tcPr>
            <w:tcW w:w="3503" w:type="dxa"/>
            <w:tcBorders>
              <w:top w:val="nil"/>
              <w:left w:val="double" w:sz="4" w:space="0" w:color="auto"/>
              <w:bottom w:val="double" w:sz="6" w:space="2" w:color="auto"/>
              <w:right w:val="nil"/>
            </w:tcBorders>
            <w:vAlign w:val="bottom"/>
          </w:tcPr>
          <w:p w:rsidR="00FD5242" w:rsidRPr="00B40B56" w:rsidRDefault="00FD5242" w:rsidP="00CD4BC7">
            <w:pPr>
              <w:autoSpaceDE w:val="0"/>
              <w:autoSpaceDN w:val="0"/>
              <w:adjustRightInd w:val="0"/>
              <w:spacing w:after="0" w:line="240" w:lineRule="auto"/>
              <w:jc w:val="center"/>
              <w:rPr>
                <w:rFonts w:cs="Arial"/>
                <w:color w:val="000000"/>
                <w:lang w:val="en-US"/>
              </w:rPr>
            </w:pPr>
          </w:p>
        </w:tc>
        <w:tc>
          <w:tcPr>
            <w:tcW w:w="1103" w:type="dxa"/>
            <w:tcBorders>
              <w:top w:val="nil"/>
              <w:left w:val="nil"/>
              <w:bottom w:val="double" w:sz="6" w:space="2" w:color="auto"/>
              <w:right w:val="nil"/>
            </w:tcBorders>
            <w:vAlign w:val="bottom"/>
          </w:tcPr>
          <w:p w:rsidR="00FD5242" w:rsidRPr="00B40B56" w:rsidRDefault="00FD5242" w:rsidP="00CD4BC7">
            <w:pPr>
              <w:autoSpaceDE w:val="0"/>
              <w:autoSpaceDN w:val="0"/>
              <w:adjustRightInd w:val="0"/>
              <w:spacing w:after="0" w:line="240" w:lineRule="auto"/>
              <w:jc w:val="center"/>
              <w:rPr>
                <w:rFonts w:cs="Arial"/>
                <w:color w:val="000000"/>
                <w:lang w:val="en-US"/>
              </w:rPr>
            </w:pPr>
          </w:p>
        </w:tc>
        <w:tc>
          <w:tcPr>
            <w:tcW w:w="1191" w:type="dxa"/>
            <w:tcBorders>
              <w:top w:val="nil"/>
              <w:left w:val="nil"/>
              <w:bottom w:val="double" w:sz="6" w:space="2" w:color="auto"/>
              <w:right w:val="nil"/>
            </w:tcBorders>
            <w:vAlign w:val="bottom"/>
          </w:tcPr>
          <w:p w:rsidR="00FD5242" w:rsidRPr="00B40B56" w:rsidRDefault="00FD5242" w:rsidP="00CD4BC7">
            <w:pPr>
              <w:autoSpaceDE w:val="0"/>
              <w:autoSpaceDN w:val="0"/>
              <w:adjustRightInd w:val="0"/>
              <w:spacing w:after="0" w:line="240" w:lineRule="auto"/>
              <w:jc w:val="center"/>
              <w:rPr>
                <w:rFonts w:cs="Arial"/>
                <w:color w:val="000000"/>
                <w:lang w:val="en-US"/>
              </w:rPr>
            </w:pPr>
          </w:p>
        </w:tc>
        <w:tc>
          <w:tcPr>
            <w:tcW w:w="1391" w:type="dxa"/>
            <w:tcBorders>
              <w:top w:val="nil"/>
              <w:left w:val="nil"/>
              <w:bottom w:val="double" w:sz="6" w:space="2" w:color="auto"/>
              <w:right w:val="nil"/>
            </w:tcBorders>
            <w:vAlign w:val="bottom"/>
          </w:tcPr>
          <w:p w:rsidR="00FD5242" w:rsidRPr="00B40B56" w:rsidRDefault="00FD5242" w:rsidP="00CD4BC7">
            <w:pPr>
              <w:autoSpaceDE w:val="0"/>
              <w:autoSpaceDN w:val="0"/>
              <w:adjustRightInd w:val="0"/>
              <w:spacing w:after="0" w:line="240" w:lineRule="auto"/>
              <w:jc w:val="center"/>
              <w:rPr>
                <w:rFonts w:cs="Arial"/>
                <w:color w:val="000000"/>
                <w:lang w:val="en-US"/>
              </w:rPr>
            </w:pPr>
          </w:p>
        </w:tc>
        <w:tc>
          <w:tcPr>
            <w:tcW w:w="877" w:type="dxa"/>
            <w:tcBorders>
              <w:top w:val="nil"/>
              <w:left w:val="nil"/>
              <w:bottom w:val="double" w:sz="6" w:space="2" w:color="auto"/>
              <w:right w:val="double" w:sz="4" w:space="0" w:color="auto"/>
            </w:tcBorders>
            <w:vAlign w:val="bottom"/>
          </w:tcPr>
          <w:p w:rsidR="00FD5242" w:rsidRPr="00B40B56" w:rsidRDefault="00FD5242" w:rsidP="00CD4BC7">
            <w:pPr>
              <w:autoSpaceDE w:val="0"/>
              <w:autoSpaceDN w:val="0"/>
              <w:adjustRightInd w:val="0"/>
              <w:spacing w:after="0" w:line="240" w:lineRule="auto"/>
              <w:jc w:val="center"/>
              <w:rPr>
                <w:rFonts w:cs="Arial"/>
                <w:color w:val="000000"/>
                <w:lang w:val="en-US"/>
              </w:rPr>
            </w:pPr>
          </w:p>
        </w:tc>
      </w:tr>
      <w:tr w:rsidR="00FD5242" w:rsidRPr="009E2EF6" w:rsidTr="00B40B56">
        <w:trPr>
          <w:trHeight w:hRule="exact" w:val="135"/>
        </w:trPr>
        <w:tc>
          <w:tcPr>
            <w:tcW w:w="3503" w:type="dxa"/>
            <w:tcBorders>
              <w:top w:val="nil"/>
              <w:left w:val="double" w:sz="4" w:space="0" w:color="auto"/>
              <w:bottom w:val="nil"/>
              <w:right w:val="nil"/>
            </w:tcBorders>
            <w:vAlign w:val="bottom"/>
          </w:tcPr>
          <w:p w:rsidR="00FD5242" w:rsidRPr="00B40B56" w:rsidRDefault="00FD5242" w:rsidP="00CD4BC7">
            <w:pPr>
              <w:autoSpaceDE w:val="0"/>
              <w:autoSpaceDN w:val="0"/>
              <w:adjustRightInd w:val="0"/>
              <w:spacing w:after="0" w:line="240" w:lineRule="auto"/>
              <w:jc w:val="center"/>
              <w:rPr>
                <w:rFonts w:cs="Arial"/>
                <w:color w:val="000000"/>
                <w:lang w:val="en-US"/>
              </w:rPr>
            </w:pPr>
          </w:p>
        </w:tc>
        <w:tc>
          <w:tcPr>
            <w:tcW w:w="1103" w:type="dxa"/>
            <w:tcBorders>
              <w:top w:val="nil"/>
              <w:left w:val="nil"/>
              <w:bottom w:val="nil"/>
              <w:right w:val="nil"/>
            </w:tcBorders>
            <w:vAlign w:val="bottom"/>
          </w:tcPr>
          <w:p w:rsidR="00FD5242" w:rsidRPr="00B40B56" w:rsidRDefault="00FD5242" w:rsidP="00CD4BC7">
            <w:pPr>
              <w:autoSpaceDE w:val="0"/>
              <w:autoSpaceDN w:val="0"/>
              <w:adjustRightInd w:val="0"/>
              <w:spacing w:after="0" w:line="240" w:lineRule="auto"/>
              <w:jc w:val="center"/>
              <w:rPr>
                <w:rFonts w:cs="Arial"/>
                <w:color w:val="000000"/>
                <w:lang w:val="en-US"/>
              </w:rPr>
            </w:pPr>
          </w:p>
        </w:tc>
        <w:tc>
          <w:tcPr>
            <w:tcW w:w="1191" w:type="dxa"/>
            <w:tcBorders>
              <w:top w:val="nil"/>
              <w:left w:val="nil"/>
              <w:bottom w:val="nil"/>
              <w:right w:val="nil"/>
            </w:tcBorders>
            <w:vAlign w:val="bottom"/>
          </w:tcPr>
          <w:p w:rsidR="00FD5242" w:rsidRPr="00B40B56" w:rsidRDefault="00FD5242" w:rsidP="00CD4BC7">
            <w:pPr>
              <w:autoSpaceDE w:val="0"/>
              <w:autoSpaceDN w:val="0"/>
              <w:adjustRightInd w:val="0"/>
              <w:spacing w:after="0" w:line="240" w:lineRule="auto"/>
              <w:jc w:val="center"/>
              <w:rPr>
                <w:rFonts w:cs="Arial"/>
                <w:color w:val="000000"/>
                <w:lang w:val="en-US"/>
              </w:rPr>
            </w:pPr>
          </w:p>
        </w:tc>
        <w:tc>
          <w:tcPr>
            <w:tcW w:w="1391" w:type="dxa"/>
            <w:tcBorders>
              <w:top w:val="nil"/>
              <w:left w:val="nil"/>
              <w:bottom w:val="nil"/>
              <w:right w:val="nil"/>
            </w:tcBorders>
            <w:vAlign w:val="bottom"/>
          </w:tcPr>
          <w:p w:rsidR="00FD5242" w:rsidRPr="00B40B56" w:rsidRDefault="00FD5242" w:rsidP="00CD4BC7">
            <w:pPr>
              <w:autoSpaceDE w:val="0"/>
              <w:autoSpaceDN w:val="0"/>
              <w:adjustRightInd w:val="0"/>
              <w:spacing w:after="0" w:line="240" w:lineRule="auto"/>
              <w:jc w:val="center"/>
              <w:rPr>
                <w:rFonts w:cs="Arial"/>
                <w:color w:val="000000"/>
                <w:lang w:val="en-US"/>
              </w:rPr>
            </w:pPr>
          </w:p>
        </w:tc>
        <w:tc>
          <w:tcPr>
            <w:tcW w:w="877" w:type="dxa"/>
            <w:tcBorders>
              <w:top w:val="nil"/>
              <w:left w:val="nil"/>
              <w:bottom w:val="nil"/>
              <w:right w:val="double" w:sz="4" w:space="0" w:color="auto"/>
            </w:tcBorders>
            <w:vAlign w:val="bottom"/>
          </w:tcPr>
          <w:p w:rsidR="00FD5242" w:rsidRPr="00B40B56" w:rsidRDefault="00FD5242" w:rsidP="00CD4BC7">
            <w:pPr>
              <w:autoSpaceDE w:val="0"/>
              <w:autoSpaceDN w:val="0"/>
              <w:adjustRightInd w:val="0"/>
              <w:spacing w:after="0" w:line="240" w:lineRule="auto"/>
              <w:jc w:val="center"/>
              <w:rPr>
                <w:rFonts w:cs="Arial"/>
                <w:color w:val="000000"/>
                <w:lang w:val="en-US"/>
              </w:rPr>
            </w:pPr>
          </w:p>
        </w:tc>
      </w:tr>
      <w:tr w:rsidR="00FD5242" w:rsidRPr="000718A7" w:rsidTr="00B40B56">
        <w:trPr>
          <w:trHeight w:val="225"/>
        </w:trPr>
        <w:tc>
          <w:tcPr>
            <w:tcW w:w="3503" w:type="dxa"/>
            <w:tcBorders>
              <w:top w:val="nil"/>
              <w:left w:val="double" w:sz="4" w:space="0" w:color="auto"/>
              <w:bottom w:val="nil"/>
              <w:right w:val="nil"/>
            </w:tcBorders>
            <w:vAlign w:val="bottom"/>
          </w:tcPr>
          <w:p w:rsidR="00FD5242" w:rsidRPr="00B40B56" w:rsidRDefault="00FD5242" w:rsidP="00CD4BC7">
            <w:pPr>
              <w:autoSpaceDE w:val="0"/>
              <w:autoSpaceDN w:val="0"/>
              <w:adjustRightInd w:val="0"/>
              <w:spacing w:after="0" w:line="240" w:lineRule="auto"/>
              <w:jc w:val="center"/>
              <w:rPr>
                <w:rFonts w:cs="Arial"/>
                <w:color w:val="000000"/>
                <w:lang w:val="en-US"/>
              </w:rPr>
            </w:pPr>
          </w:p>
        </w:tc>
        <w:tc>
          <w:tcPr>
            <w:tcW w:w="1103" w:type="dxa"/>
            <w:tcBorders>
              <w:top w:val="nil"/>
              <w:left w:val="nil"/>
              <w:bottom w:val="nil"/>
              <w:right w:val="nil"/>
            </w:tcBorders>
            <w:vAlign w:val="bottom"/>
          </w:tcPr>
          <w:p w:rsidR="00FD5242" w:rsidRPr="000718A7" w:rsidRDefault="00FD5242" w:rsidP="00CD4BC7">
            <w:pPr>
              <w:autoSpaceDE w:val="0"/>
              <w:autoSpaceDN w:val="0"/>
              <w:adjustRightInd w:val="0"/>
              <w:spacing w:after="0" w:line="240" w:lineRule="auto"/>
              <w:ind w:right="10"/>
              <w:jc w:val="both"/>
              <w:rPr>
                <w:rFonts w:cs="Arial"/>
                <w:color w:val="000000"/>
              </w:rPr>
            </w:pPr>
            <w:r w:rsidRPr="000718A7">
              <w:rPr>
                <w:rFonts w:cs="Arial"/>
                <w:color w:val="000000"/>
              </w:rPr>
              <w:t>Coefficient</w:t>
            </w:r>
          </w:p>
        </w:tc>
        <w:tc>
          <w:tcPr>
            <w:tcW w:w="1191" w:type="dxa"/>
            <w:tcBorders>
              <w:top w:val="nil"/>
              <w:left w:val="nil"/>
              <w:bottom w:val="nil"/>
              <w:right w:val="nil"/>
            </w:tcBorders>
            <w:vAlign w:val="bottom"/>
          </w:tcPr>
          <w:p w:rsidR="00FD5242" w:rsidRPr="000718A7" w:rsidRDefault="00FD5242" w:rsidP="00CD4BC7">
            <w:pPr>
              <w:autoSpaceDE w:val="0"/>
              <w:autoSpaceDN w:val="0"/>
              <w:adjustRightInd w:val="0"/>
              <w:spacing w:after="0" w:line="240" w:lineRule="auto"/>
              <w:ind w:right="10"/>
              <w:jc w:val="both"/>
              <w:rPr>
                <w:rFonts w:cs="Arial"/>
                <w:color w:val="000000"/>
              </w:rPr>
            </w:pPr>
            <w:r w:rsidRPr="000718A7">
              <w:rPr>
                <w:rFonts w:cs="Arial"/>
                <w:color w:val="000000"/>
              </w:rPr>
              <w:t>Std. Error</w:t>
            </w:r>
          </w:p>
        </w:tc>
        <w:tc>
          <w:tcPr>
            <w:tcW w:w="1391" w:type="dxa"/>
            <w:tcBorders>
              <w:top w:val="nil"/>
              <w:left w:val="nil"/>
              <w:bottom w:val="nil"/>
              <w:right w:val="nil"/>
            </w:tcBorders>
            <w:vAlign w:val="bottom"/>
          </w:tcPr>
          <w:p w:rsidR="00FD5242" w:rsidRPr="000718A7" w:rsidRDefault="00FD5242" w:rsidP="00CD4BC7">
            <w:pPr>
              <w:autoSpaceDE w:val="0"/>
              <w:autoSpaceDN w:val="0"/>
              <w:adjustRightInd w:val="0"/>
              <w:spacing w:after="0" w:line="240" w:lineRule="auto"/>
              <w:ind w:right="10"/>
              <w:jc w:val="both"/>
              <w:rPr>
                <w:rFonts w:cs="Arial"/>
                <w:color w:val="000000"/>
              </w:rPr>
            </w:pPr>
            <w:r w:rsidRPr="000718A7">
              <w:rPr>
                <w:rFonts w:cs="Arial"/>
                <w:color w:val="000000"/>
              </w:rPr>
              <w:t>t-Statistic</w:t>
            </w:r>
          </w:p>
        </w:tc>
        <w:tc>
          <w:tcPr>
            <w:tcW w:w="877" w:type="dxa"/>
            <w:tcBorders>
              <w:top w:val="nil"/>
              <w:left w:val="nil"/>
              <w:bottom w:val="nil"/>
              <w:right w:val="double" w:sz="4" w:space="0" w:color="auto"/>
            </w:tcBorders>
            <w:vAlign w:val="bottom"/>
          </w:tcPr>
          <w:p w:rsidR="00FD5242" w:rsidRPr="000718A7" w:rsidRDefault="00FD5242" w:rsidP="00CD4BC7">
            <w:pPr>
              <w:autoSpaceDE w:val="0"/>
              <w:autoSpaceDN w:val="0"/>
              <w:adjustRightInd w:val="0"/>
              <w:spacing w:after="0" w:line="240" w:lineRule="auto"/>
              <w:ind w:right="10"/>
              <w:jc w:val="both"/>
              <w:rPr>
                <w:rFonts w:cs="Arial"/>
                <w:color w:val="000000"/>
              </w:rPr>
            </w:pPr>
            <w:r w:rsidRPr="000718A7">
              <w:rPr>
                <w:rFonts w:cs="Arial"/>
                <w:color w:val="000000"/>
              </w:rPr>
              <w:t>Prob.  </w:t>
            </w:r>
          </w:p>
        </w:tc>
      </w:tr>
      <w:tr w:rsidR="00FD5242" w:rsidRPr="000718A7" w:rsidTr="00B40B56">
        <w:trPr>
          <w:trHeight w:hRule="exact" w:val="90"/>
        </w:trPr>
        <w:tc>
          <w:tcPr>
            <w:tcW w:w="3503" w:type="dxa"/>
            <w:tcBorders>
              <w:top w:val="nil"/>
              <w:left w:val="double" w:sz="4" w:space="0" w:color="auto"/>
              <w:bottom w:val="double" w:sz="6" w:space="2" w:color="auto"/>
              <w:right w:val="nil"/>
            </w:tcBorders>
            <w:vAlign w:val="bottom"/>
          </w:tcPr>
          <w:p w:rsidR="00FD5242" w:rsidRPr="000718A7" w:rsidRDefault="00FD5242" w:rsidP="00CD4BC7">
            <w:pPr>
              <w:autoSpaceDE w:val="0"/>
              <w:autoSpaceDN w:val="0"/>
              <w:adjustRightInd w:val="0"/>
              <w:spacing w:after="0" w:line="240" w:lineRule="auto"/>
              <w:jc w:val="center"/>
              <w:rPr>
                <w:rFonts w:cs="Arial"/>
                <w:color w:val="000000"/>
              </w:rPr>
            </w:pPr>
          </w:p>
        </w:tc>
        <w:tc>
          <w:tcPr>
            <w:tcW w:w="1103" w:type="dxa"/>
            <w:tcBorders>
              <w:top w:val="nil"/>
              <w:left w:val="nil"/>
              <w:bottom w:val="double" w:sz="6" w:space="2" w:color="auto"/>
              <w:right w:val="nil"/>
            </w:tcBorders>
            <w:vAlign w:val="bottom"/>
          </w:tcPr>
          <w:p w:rsidR="00FD5242" w:rsidRPr="000718A7" w:rsidRDefault="00FD5242" w:rsidP="00CD4BC7">
            <w:pPr>
              <w:autoSpaceDE w:val="0"/>
              <w:autoSpaceDN w:val="0"/>
              <w:adjustRightInd w:val="0"/>
              <w:spacing w:after="0" w:line="240" w:lineRule="auto"/>
              <w:jc w:val="both"/>
              <w:rPr>
                <w:rFonts w:cs="Arial"/>
                <w:color w:val="000000"/>
              </w:rPr>
            </w:pPr>
          </w:p>
        </w:tc>
        <w:tc>
          <w:tcPr>
            <w:tcW w:w="1191" w:type="dxa"/>
            <w:tcBorders>
              <w:top w:val="nil"/>
              <w:left w:val="nil"/>
              <w:bottom w:val="double" w:sz="6" w:space="2" w:color="auto"/>
              <w:right w:val="nil"/>
            </w:tcBorders>
            <w:vAlign w:val="bottom"/>
          </w:tcPr>
          <w:p w:rsidR="00FD5242" w:rsidRPr="000718A7" w:rsidRDefault="00FD5242" w:rsidP="00CD4BC7">
            <w:pPr>
              <w:autoSpaceDE w:val="0"/>
              <w:autoSpaceDN w:val="0"/>
              <w:adjustRightInd w:val="0"/>
              <w:spacing w:after="0" w:line="240" w:lineRule="auto"/>
              <w:jc w:val="both"/>
              <w:rPr>
                <w:rFonts w:cs="Arial"/>
                <w:color w:val="000000"/>
              </w:rPr>
            </w:pPr>
          </w:p>
        </w:tc>
        <w:tc>
          <w:tcPr>
            <w:tcW w:w="1391" w:type="dxa"/>
            <w:tcBorders>
              <w:top w:val="nil"/>
              <w:left w:val="nil"/>
              <w:bottom w:val="double" w:sz="6" w:space="2" w:color="auto"/>
              <w:right w:val="nil"/>
            </w:tcBorders>
            <w:vAlign w:val="bottom"/>
          </w:tcPr>
          <w:p w:rsidR="00FD5242" w:rsidRPr="000718A7" w:rsidRDefault="00FD5242" w:rsidP="00CD4BC7">
            <w:pPr>
              <w:autoSpaceDE w:val="0"/>
              <w:autoSpaceDN w:val="0"/>
              <w:adjustRightInd w:val="0"/>
              <w:spacing w:after="0" w:line="240" w:lineRule="auto"/>
              <w:jc w:val="both"/>
              <w:rPr>
                <w:rFonts w:cs="Arial"/>
                <w:color w:val="000000"/>
              </w:rPr>
            </w:pPr>
          </w:p>
        </w:tc>
        <w:tc>
          <w:tcPr>
            <w:tcW w:w="877" w:type="dxa"/>
            <w:tcBorders>
              <w:top w:val="nil"/>
              <w:left w:val="nil"/>
              <w:bottom w:val="double" w:sz="6" w:space="2" w:color="auto"/>
              <w:right w:val="double" w:sz="4" w:space="0" w:color="auto"/>
            </w:tcBorders>
            <w:vAlign w:val="bottom"/>
          </w:tcPr>
          <w:p w:rsidR="00FD5242" w:rsidRPr="000718A7" w:rsidRDefault="00FD5242" w:rsidP="00CD4BC7">
            <w:pPr>
              <w:autoSpaceDE w:val="0"/>
              <w:autoSpaceDN w:val="0"/>
              <w:adjustRightInd w:val="0"/>
              <w:spacing w:after="0" w:line="240" w:lineRule="auto"/>
              <w:jc w:val="both"/>
              <w:rPr>
                <w:rFonts w:cs="Arial"/>
                <w:color w:val="000000"/>
              </w:rPr>
            </w:pPr>
          </w:p>
        </w:tc>
      </w:tr>
      <w:tr w:rsidR="00FD5242" w:rsidRPr="000718A7" w:rsidTr="00B40B56">
        <w:trPr>
          <w:trHeight w:hRule="exact" w:val="135"/>
        </w:trPr>
        <w:tc>
          <w:tcPr>
            <w:tcW w:w="3503" w:type="dxa"/>
            <w:tcBorders>
              <w:top w:val="nil"/>
              <w:left w:val="double" w:sz="4" w:space="0" w:color="auto"/>
              <w:bottom w:val="nil"/>
              <w:right w:val="nil"/>
            </w:tcBorders>
            <w:vAlign w:val="bottom"/>
          </w:tcPr>
          <w:p w:rsidR="00FD5242" w:rsidRPr="000718A7" w:rsidRDefault="00FD5242" w:rsidP="00CD4BC7">
            <w:pPr>
              <w:autoSpaceDE w:val="0"/>
              <w:autoSpaceDN w:val="0"/>
              <w:adjustRightInd w:val="0"/>
              <w:spacing w:after="0" w:line="240" w:lineRule="auto"/>
              <w:jc w:val="center"/>
              <w:rPr>
                <w:rFonts w:cs="Arial"/>
                <w:color w:val="000000"/>
              </w:rPr>
            </w:pPr>
          </w:p>
        </w:tc>
        <w:tc>
          <w:tcPr>
            <w:tcW w:w="1103" w:type="dxa"/>
            <w:tcBorders>
              <w:top w:val="nil"/>
              <w:left w:val="nil"/>
              <w:bottom w:val="nil"/>
              <w:right w:val="nil"/>
            </w:tcBorders>
            <w:vAlign w:val="bottom"/>
          </w:tcPr>
          <w:p w:rsidR="00FD5242" w:rsidRPr="000718A7" w:rsidRDefault="00FD5242" w:rsidP="00CD4BC7">
            <w:pPr>
              <w:autoSpaceDE w:val="0"/>
              <w:autoSpaceDN w:val="0"/>
              <w:adjustRightInd w:val="0"/>
              <w:spacing w:after="0" w:line="240" w:lineRule="auto"/>
              <w:jc w:val="both"/>
              <w:rPr>
                <w:rFonts w:cs="Arial"/>
                <w:color w:val="000000"/>
              </w:rPr>
            </w:pPr>
          </w:p>
        </w:tc>
        <w:tc>
          <w:tcPr>
            <w:tcW w:w="1191" w:type="dxa"/>
            <w:tcBorders>
              <w:top w:val="nil"/>
              <w:left w:val="nil"/>
              <w:bottom w:val="nil"/>
              <w:right w:val="nil"/>
            </w:tcBorders>
            <w:vAlign w:val="bottom"/>
          </w:tcPr>
          <w:p w:rsidR="00FD5242" w:rsidRPr="000718A7" w:rsidRDefault="00FD5242" w:rsidP="00CD4BC7">
            <w:pPr>
              <w:autoSpaceDE w:val="0"/>
              <w:autoSpaceDN w:val="0"/>
              <w:adjustRightInd w:val="0"/>
              <w:spacing w:after="0" w:line="240" w:lineRule="auto"/>
              <w:jc w:val="both"/>
              <w:rPr>
                <w:rFonts w:cs="Arial"/>
                <w:color w:val="000000"/>
              </w:rPr>
            </w:pPr>
          </w:p>
        </w:tc>
        <w:tc>
          <w:tcPr>
            <w:tcW w:w="1391" w:type="dxa"/>
            <w:tcBorders>
              <w:top w:val="nil"/>
              <w:left w:val="nil"/>
              <w:bottom w:val="nil"/>
              <w:right w:val="nil"/>
            </w:tcBorders>
            <w:vAlign w:val="bottom"/>
          </w:tcPr>
          <w:p w:rsidR="00FD5242" w:rsidRPr="000718A7" w:rsidRDefault="00FD5242" w:rsidP="00CD4BC7">
            <w:pPr>
              <w:autoSpaceDE w:val="0"/>
              <w:autoSpaceDN w:val="0"/>
              <w:adjustRightInd w:val="0"/>
              <w:spacing w:after="0" w:line="240" w:lineRule="auto"/>
              <w:jc w:val="both"/>
              <w:rPr>
                <w:rFonts w:cs="Arial"/>
                <w:color w:val="000000"/>
              </w:rPr>
            </w:pPr>
          </w:p>
        </w:tc>
        <w:tc>
          <w:tcPr>
            <w:tcW w:w="877" w:type="dxa"/>
            <w:tcBorders>
              <w:top w:val="nil"/>
              <w:left w:val="nil"/>
              <w:bottom w:val="nil"/>
              <w:right w:val="double" w:sz="4" w:space="0" w:color="auto"/>
            </w:tcBorders>
            <w:vAlign w:val="bottom"/>
          </w:tcPr>
          <w:p w:rsidR="00FD5242" w:rsidRPr="000718A7" w:rsidRDefault="00FD5242" w:rsidP="00CD4BC7">
            <w:pPr>
              <w:autoSpaceDE w:val="0"/>
              <w:autoSpaceDN w:val="0"/>
              <w:adjustRightInd w:val="0"/>
              <w:spacing w:after="0" w:line="240" w:lineRule="auto"/>
              <w:jc w:val="both"/>
              <w:rPr>
                <w:rFonts w:cs="Arial"/>
                <w:color w:val="000000"/>
              </w:rPr>
            </w:pPr>
          </w:p>
        </w:tc>
      </w:tr>
      <w:tr w:rsidR="00FD5242" w:rsidRPr="000718A7" w:rsidTr="00B40B56">
        <w:trPr>
          <w:trHeight w:val="225"/>
        </w:trPr>
        <w:tc>
          <w:tcPr>
            <w:tcW w:w="3503" w:type="dxa"/>
            <w:tcBorders>
              <w:top w:val="nil"/>
              <w:left w:val="double" w:sz="4" w:space="0" w:color="auto"/>
              <w:bottom w:val="nil"/>
              <w:right w:val="nil"/>
            </w:tcBorders>
            <w:vAlign w:val="bottom"/>
          </w:tcPr>
          <w:p w:rsidR="00FD5242" w:rsidRPr="000718A7" w:rsidRDefault="00FD5242" w:rsidP="00CD4BC7">
            <w:pPr>
              <w:autoSpaceDE w:val="0"/>
              <w:autoSpaceDN w:val="0"/>
              <w:adjustRightInd w:val="0"/>
              <w:spacing w:after="0" w:line="240" w:lineRule="auto"/>
              <w:jc w:val="both"/>
              <w:rPr>
                <w:rFonts w:cs="Arial"/>
                <w:color w:val="000000"/>
              </w:rPr>
            </w:pPr>
            <w:r w:rsidRPr="000718A7">
              <w:rPr>
                <w:rFonts w:cs="Arial"/>
                <w:b/>
                <w:color w:val="000000"/>
              </w:rPr>
              <w:t>b</w:t>
            </w:r>
            <w:r w:rsidRPr="000718A7">
              <w:rPr>
                <w:rFonts w:cs="Arial"/>
                <w:b/>
                <w:color w:val="000000"/>
                <w:vertAlign w:val="subscript"/>
              </w:rPr>
              <w:t>0</w:t>
            </w:r>
            <w:r w:rsidRPr="000718A7">
              <w:rPr>
                <w:rFonts w:cs="Arial"/>
                <w:color w:val="000000"/>
              </w:rPr>
              <w:t xml:space="preserve">  (constant)</w:t>
            </w:r>
          </w:p>
        </w:tc>
        <w:tc>
          <w:tcPr>
            <w:tcW w:w="1103" w:type="dxa"/>
            <w:tcBorders>
              <w:top w:val="nil"/>
              <w:left w:val="nil"/>
              <w:bottom w:val="nil"/>
              <w:right w:val="nil"/>
            </w:tcBorders>
            <w:vAlign w:val="bottom"/>
          </w:tcPr>
          <w:p w:rsidR="00FD5242" w:rsidRPr="000718A7" w:rsidRDefault="00FD5242" w:rsidP="00CD4BC7">
            <w:pPr>
              <w:autoSpaceDE w:val="0"/>
              <w:autoSpaceDN w:val="0"/>
              <w:adjustRightInd w:val="0"/>
              <w:spacing w:after="0" w:line="240" w:lineRule="auto"/>
              <w:ind w:right="10"/>
              <w:jc w:val="both"/>
              <w:rPr>
                <w:rFonts w:cs="Arial"/>
                <w:color w:val="000000"/>
              </w:rPr>
            </w:pPr>
            <w:r w:rsidRPr="000718A7">
              <w:rPr>
                <w:rFonts w:cs="Arial"/>
                <w:color w:val="000000"/>
              </w:rPr>
              <w:t>0.046549</w:t>
            </w:r>
          </w:p>
        </w:tc>
        <w:tc>
          <w:tcPr>
            <w:tcW w:w="1191" w:type="dxa"/>
            <w:tcBorders>
              <w:top w:val="nil"/>
              <w:left w:val="nil"/>
              <w:bottom w:val="nil"/>
              <w:right w:val="nil"/>
            </w:tcBorders>
            <w:vAlign w:val="bottom"/>
          </w:tcPr>
          <w:p w:rsidR="00FD5242" w:rsidRPr="000718A7" w:rsidRDefault="00FD5242" w:rsidP="00CD4BC7">
            <w:pPr>
              <w:autoSpaceDE w:val="0"/>
              <w:autoSpaceDN w:val="0"/>
              <w:adjustRightInd w:val="0"/>
              <w:spacing w:after="0" w:line="240" w:lineRule="auto"/>
              <w:ind w:right="10"/>
              <w:jc w:val="both"/>
              <w:rPr>
                <w:rFonts w:cs="Arial"/>
                <w:color w:val="000000"/>
              </w:rPr>
            </w:pPr>
            <w:r w:rsidRPr="000718A7">
              <w:rPr>
                <w:rFonts w:cs="Arial"/>
                <w:color w:val="000000"/>
              </w:rPr>
              <w:t>0.049482</w:t>
            </w:r>
          </w:p>
        </w:tc>
        <w:tc>
          <w:tcPr>
            <w:tcW w:w="1391" w:type="dxa"/>
            <w:tcBorders>
              <w:top w:val="nil"/>
              <w:left w:val="nil"/>
              <w:bottom w:val="nil"/>
              <w:right w:val="nil"/>
            </w:tcBorders>
            <w:vAlign w:val="bottom"/>
          </w:tcPr>
          <w:p w:rsidR="00FD5242" w:rsidRPr="000718A7" w:rsidRDefault="00FD5242" w:rsidP="00CD4BC7">
            <w:pPr>
              <w:autoSpaceDE w:val="0"/>
              <w:autoSpaceDN w:val="0"/>
              <w:adjustRightInd w:val="0"/>
              <w:spacing w:after="0" w:line="240" w:lineRule="auto"/>
              <w:ind w:right="10"/>
              <w:jc w:val="both"/>
              <w:rPr>
                <w:rFonts w:cs="Arial"/>
                <w:color w:val="000000"/>
              </w:rPr>
            </w:pPr>
            <w:r w:rsidRPr="000718A7">
              <w:rPr>
                <w:rFonts w:cs="Arial"/>
                <w:color w:val="000000"/>
              </w:rPr>
              <w:t>0.940729</w:t>
            </w:r>
          </w:p>
        </w:tc>
        <w:tc>
          <w:tcPr>
            <w:tcW w:w="877" w:type="dxa"/>
            <w:tcBorders>
              <w:top w:val="nil"/>
              <w:left w:val="nil"/>
              <w:bottom w:val="nil"/>
              <w:right w:val="double" w:sz="4" w:space="0" w:color="auto"/>
            </w:tcBorders>
            <w:vAlign w:val="bottom"/>
          </w:tcPr>
          <w:p w:rsidR="00FD5242" w:rsidRPr="000718A7" w:rsidRDefault="00FD5242" w:rsidP="00CD4BC7">
            <w:pPr>
              <w:autoSpaceDE w:val="0"/>
              <w:autoSpaceDN w:val="0"/>
              <w:adjustRightInd w:val="0"/>
              <w:spacing w:after="0" w:line="240" w:lineRule="auto"/>
              <w:ind w:right="10"/>
              <w:jc w:val="both"/>
              <w:rPr>
                <w:rFonts w:cs="Arial"/>
                <w:color w:val="000000"/>
              </w:rPr>
            </w:pPr>
            <w:r w:rsidRPr="000718A7">
              <w:rPr>
                <w:rFonts w:cs="Arial"/>
                <w:color w:val="000000"/>
              </w:rPr>
              <w:t>0.3517</w:t>
            </w:r>
          </w:p>
        </w:tc>
      </w:tr>
      <w:tr w:rsidR="00FD5242" w:rsidRPr="000718A7" w:rsidTr="00B40B56">
        <w:trPr>
          <w:trHeight w:val="225"/>
        </w:trPr>
        <w:tc>
          <w:tcPr>
            <w:tcW w:w="3503" w:type="dxa"/>
            <w:tcBorders>
              <w:top w:val="nil"/>
              <w:left w:val="double" w:sz="4" w:space="0" w:color="auto"/>
              <w:bottom w:val="nil"/>
              <w:right w:val="nil"/>
            </w:tcBorders>
            <w:vAlign w:val="bottom"/>
          </w:tcPr>
          <w:p w:rsidR="00FD5242" w:rsidRPr="00B40B56" w:rsidRDefault="00FD5242" w:rsidP="00CD4BC7">
            <w:pPr>
              <w:autoSpaceDE w:val="0"/>
              <w:autoSpaceDN w:val="0"/>
              <w:adjustRightInd w:val="0"/>
              <w:spacing w:after="0" w:line="240" w:lineRule="auto"/>
              <w:jc w:val="both"/>
              <w:rPr>
                <w:rFonts w:cs="Arial"/>
                <w:color w:val="000000"/>
                <w:lang w:val="en-US"/>
              </w:rPr>
            </w:pPr>
            <w:r w:rsidRPr="00B40B56">
              <w:rPr>
                <w:rFonts w:cs="Arial"/>
                <w:b/>
                <w:color w:val="000000"/>
                <w:lang w:val="en-US"/>
              </w:rPr>
              <w:t>b</w:t>
            </w:r>
            <w:r w:rsidRPr="00B40B56">
              <w:rPr>
                <w:rFonts w:cs="Arial"/>
                <w:b/>
                <w:color w:val="000000"/>
                <w:vertAlign w:val="subscript"/>
                <w:lang w:val="en-US"/>
              </w:rPr>
              <w:t>1</w:t>
            </w:r>
            <w:r w:rsidRPr="00B40B56">
              <w:rPr>
                <w:rFonts w:cs="Arial"/>
                <w:color w:val="000000"/>
                <w:vertAlign w:val="subscript"/>
                <w:lang w:val="en-US"/>
              </w:rPr>
              <w:t xml:space="preserve">   </w:t>
            </w:r>
            <w:r w:rsidRPr="00B40B56">
              <w:rPr>
                <w:rFonts w:cs="Arial"/>
                <w:color w:val="000000"/>
                <w:lang w:val="en-US"/>
              </w:rPr>
              <w:t>(dummy Return on Equity- DR</w:t>
            </w:r>
            <w:r w:rsidRPr="00B40B56">
              <w:rPr>
                <w:rFonts w:cs="Arial"/>
                <w:i/>
                <w:color w:val="000000"/>
                <w:vertAlign w:val="subscript"/>
                <w:lang w:val="en-US"/>
              </w:rPr>
              <w:t>it</w:t>
            </w:r>
            <w:r w:rsidRPr="00B40B56">
              <w:rPr>
                <w:rFonts w:cs="Arial"/>
                <w:color w:val="000000"/>
                <w:lang w:val="en-US"/>
              </w:rPr>
              <w:t>)</w:t>
            </w:r>
          </w:p>
        </w:tc>
        <w:tc>
          <w:tcPr>
            <w:tcW w:w="1103" w:type="dxa"/>
            <w:tcBorders>
              <w:top w:val="nil"/>
              <w:left w:val="nil"/>
              <w:bottom w:val="nil"/>
              <w:right w:val="nil"/>
            </w:tcBorders>
            <w:vAlign w:val="bottom"/>
          </w:tcPr>
          <w:p w:rsidR="00FD5242" w:rsidRPr="000718A7" w:rsidRDefault="00FD5242" w:rsidP="00CD4BC7">
            <w:pPr>
              <w:autoSpaceDE w:val="0"/>
              <w:autoSpaceDN w:val="0"/>
              <w:adjustRightInd w:val="0"/>
              <w:spacing w:after="0" w:line="240" w:lineRule="auto"/>
              <w:ind w:right="10"/>
              <w:jc w:val="both"/>
              <w:rPr>
                <w:rFonts w:cs="Arial"/>
                <w:color w:val="000000"/>
              </w:rPr>
            </w:pPr>
            <w:r w:rsidRPr="000718A7">
              <w:rPr>
                <w:rFonts w:cs="Arial"/>
                <w:color w:val="000000"/>
              </w:rPr>
              <w:t>0.066475</w:t>
            </w:r>
          </w:p>
        </w:tc>
        <w:tc>
          <w:tcPr>
            <w:tcW w:w="1191" w:type="dxa"/>
            <w:tcBorders>
              <w:top w:val="nil"/>
              <w:left w:val="nil"/>
              <w:bottom w:val="nil"/>
              <w:right w:val="nil"/>
            </w:tcBorders>
            <w:vAlign w:val="bottom"/>
          </w:tcPr>
          <w:p w:rsidR="00FD5242" w:rsidRPr="000718A7" w:rsidRDefault="00FD5242" w:rsidP="00CD4BC7">
            <w:pPr>
              <w:autoSpaceDE w:val="0"/>
              <w:autoSpaceDN w:val="0"/>
              <w:adjustRightInd w:val="0"/>
              <w:spacing w:after="0" w:line="240" w:lineRule="auto"/>
              <w:ind w:right="10"/>
              <w:jc w:val="both"/>
              <w:rPr>
                <w:rFonts w:cs="Arial"/>
                <w:color w:val="000000"/>
              </w:rPr>
            </w:pPr>
            <w:r w:rsidRPr="000718A7">
              <w:rPr>
                <w:rFonts w:cs="Arial"/>
                <w:color w:val="000000"/>
              </w:rPr>
              <w:t>0.179170</w:t>
            </w:r>
          </w:p>
        </w:tc>
        <w:tc>
          <w:tcPr>
            <w:tcW w:w="1391" w:type="dxa"/>
            <w:tcBorders>
              <w:top w:val="nil"/>
              <w:left w:val="nil"/>
              <w:bottom w:val="nil"/>
              <w:right w:val="nil"/>
            </w:tcBorders>
            <w:vAlign w:val="bottom"/>
          </w:tcPr>
          <w:p w:rsidR="00FD5242" w:rsidRPr="000718A7" w:rsidRDefault="00FD5242" w:rsidP="00CD4BC7">
            <w:pPr>
              <w:autoSpaceDE w:val="0"/>
              <w:autoSpaceDN w:val="0"/>
              <w:adjustRightInd w:val="0"/>
              <w:spacing w:after="0" w:line="240" w:lineRule="auto"/>
              <w:ind w:right="10"/>
              <w:jc w:val="both"/>
              <w:rPr>
                <w:rFonts w:cs="Arial"/>
                <w:color w:val="000000"/>
              </w:rPr>
            </w:pPr>
            <w:r w:rsidRPr="000718A7">
              <w:rPr>
                <w:rFonts w:cs="Arial"/>
                <w:color w:val="000000"/>
              </w:rPr>
              <w:t>0.371014</w:t>
            </w:r>
          </w:p>
        </w:tc>
        <w:tc>
          <w:tcPr>
            <w:tcW w:w="877" w:type="dxa"/>
            <w:tcBorders>
              <w:top w:val="nil"/>
              <w:left w:val="nil"/>
              <w:bottom w:val="nil"/>
              <w:right w:val="double" w:sz="4" w:space="0" w:color="auto"/>
            </w:tcBorders>
            <w:vAlign w:val="bottom"/>
          </w:tcPr>
          <w:p w:rsidR="00FD5242" w:rsidRPr="000718A7" w:rsidRDefault="00FD5242" w:rsidP="00CD4BC7">
            <w:pPr>
              <w:autoSpaceDE w:val="0"/>
              <w:autoSpaceDN w:val="0"/>
              <w:adjustRightInd w:val="0"/>
              <w:spacing w:after="0" w:line="240" w:lineRule="auto"/>
              <w:ind w:right="10"/>
              <w:jc w:val="both"/>
              <w:rPr>
                <w:rFonts w:cs="Arial"/>
                <w:color w:val="000000"/>
              </w:rPr>
            </w:pPr>
            <w:r w:rsidRPr="000718A7">
              <w:rPr>
                <w:rFonts w:cs="Arial"/>
                <w:color w:val="000000"/>
              </w:rPr>
              <w:t>0.7123</w:t>
            </w:r>
          </w:p>
        </w:tc>
      </w:tr>
      <w:tr w:rsidR="00FD5242" w:rsidRPr="000718A7" w:rsidTr="00B40B56">
        <w:trPr>
          <w:trHeight w:val="225"/>
        </w:trPr>
        <w:tc>
          <w:tcPr>
            <w:tcW w:w="3503" w:type="dxa"/>
            <w:tcBorders>
              <w:top w:val="nil"/>
              <w:left w:val="double" w:sz="4" w:space="0" w:color="auto"/>
              <w:bottom w:val="nil"/>
              <w:right w:val="nil"/>
            </w:tcBorders>
            <w:vAlign w:val="bottom"/>
          </w:tcPr>
          <w:p w:rsidR="00FD5242" w:rsidRPr="00B40B56" w:rsidRDefault="00FD5242" w:rsidP="00CD4BC7">
            <w:pPr>
              <w:autoSpaceDE w:val="0"/>
              <w:autoSpaceDN w:val="0"/>
              <w:adjustRightInd w:val="0"/>
              <w:spacing w:after="0" w:line="240" w:lineRule="auto"/>
              <w:jc w:val="both"/>
              <w:rPr>
                <w:rFonts w:cs="Arial"/>
                <w:color w:val="000000"/>
                <w:lang w:val="en-US"/>
              </w:rPr>
            </w:pPr>
            <w:r w:rsidRPr="00B40B56">
              <w:rPr>
                <w:rFonts w:cs="Arial"/>
                <w:b/>
                <w:color w:val="000000"/>
                <w:lang w:val="en-US"/>
              </w:rPr>
              <w:t>b</w:t>
            </w:r>
            <w:r w:rsidRPr="00B40B56">
              <w:rPr>
                <w:rFonts w:cs="Arial"/>
                <w:b/>
                <w:color w:val="000000"/>
                <w:vertAlign w:val="subscript"/>
                <w:lang w:val="en-US"/>
              </w:rPr>
              <w:t>2</w:t>
            </w:r>
            <w:r w:rsidRPr="00B40B56">
              <w:rPr>
                <w:rFonts w:cs="Arial"/>
                <w:color w:val="000000"/>
                <w:vertAlign w:val="subscript"/>
                <w:lang w:val="en-US"/>
              </w:rPr>
              <w:t xml:space="preserve">   </w:t>
            </w:r>
            <w:r w:rsidRPr="00B40B56">
              <w:rPr>
                <w:rFonts w:cs="Arial"/>
                <w:color w:val="000000"/>
                <w:lang w:val="en-US"/>
              </w:rPr>
              <w:t>(Return on Equity- R</w:t>
            </w:r>
            <w:r w:rsidRPr="00B40B56">
              <w:rPr>
                <w:rFonts w:cs="Arial"/>
                <w:color w:val="000000"/>
                <w:vertAlign w:val="subscript"/>
                <w:lang w:val="en-US"/>
              </w:rPr>
              <w:t>it</w:t>
            </w:r>
            <w:r w:rsidRPr="00B40B56">
              <w:rPr>
                <w:rFonts w:cs="Arial"/>
                <w:color w:val="000000"/>
                <w:lang w:val="en-US"/>
              </w:rPr>
              <w:t>)</w:t>
            </w:r>
          </w:p>
        </w:tc>
        <w:tc>
          <w:tcPr>
            <w:tcW w:w="1103" w:type="dxa"/>
            <w:tcBorders>
              <w:top w:val="nil"/>
              <w:left w:val="nil"/>
              <w:bottom w:val="nil"/>
              <w:right w:val="nil"/>
            </w:tcBorders>
            <w:vAlign w:val="bottom"/>
          </w:tcPr>
          <w:p w:rsidR="00FD5242" w:rsidRPr="000718A7" w:rsidRDefault="00FD5242" w:rsidP="00CD4BC7">
            <w:pPr>
              <w:autoSpaceDE w:val="0"/>
              <w:autoSpaceDN w:val="0"/>
              <w:adjustRightInd w:val="0"/>
              <w:spacing w:after="0" w:line="240" w:lineRule="auto"/>
              <w:ind w:right="10"/>
              <w:jc w:val="both"/>
              <w:rPr>
                <w:rFonts w:cs="Arial"/>
                <w:color w:val="000000"/>
              </w:rPr>
            </w:pPr>
            <w:r w:rsidRPr="000718A7">
              <w:rPr>
                <w:rFonts w:cs="Arial"/>
                <w:color w:val="000000"/>
              </w:rPr>
              <w:t>0.002481</w:t>
            </w:r>
          </w:p>
        </w:tc>
        <w:tc>
          <w:tcPr>
            <w:tcW w:w="1191" w:type="dxa"/>
            <w:tcBorders>
              <w:top w:val="nil"/>
              <w:left w:val="nil"/>
              <w:bottom w:val="nil"/>
              <w:right w:val="nil"/>
            </w:tcBorders>
            <w:vAlign w:val="bottom"/>
          </w:tcPr>
          <w:p w:rsidR="00FD5242" w:rsidRPr="000718A7" w:rsidRDefault="00FD5242" w:rsidP="00CD4BC7">
            <w:pPr>
              <w:autoSpaceDE w:val="0"/>
              <w:autoSpaceDN w:val="0"/>
              <w:adjustRightInd w:val="0"/>
              <w:spacing w:after="0" w:line="240" w:lineRule="auto"/>
              <w:ind w:right="10"/>
              <w:jc w:val="both"/>
              <w:rPr>
                <w:rFonts w:cs="Arial"/>
                <w:color w:val="000000"/>
              </w:rPr>
            </w:pPr>
            <w:r w:rsidRPr="000718A7">
              <w:rPr>
                <w:rFonts w:cs="Arial"/>
                <w:color w:val="000000"/>
              </w:rPr>
              <w:t>0.001582</w:t>
            </w:r>
          </w:p>
        </w:tc>
        <w:tc>
          <w:tcPr>
            <w:tcW w:w="1391" w:type="dxa"/>
            <w:tcBorders>
              <w:top w:val="nil"/>
              <w:left w:val="nil"/>
              <w:bottom w:val="nil"/>
              <w:right w:val="nil"/>
            </w:tcBorders>
            <w:vAlign w:val="bottom"/>
          </w:tcPr>
          <w:p w:rsidR="00FD5242" w:rsidRPr="000718A7" w:rsidRDefault="00FD5242" w:rsidP="00CD4BC7">
            <w:pPr>
              <w:autoSpaceDE w:val="0"/>
              <w:autoSpaceDN w:val="0"/>
              <w:adjustRightInd w:val="0"/>
              <w:spacing w:after="0" w:line="240" w:lineRule="auto"/>
              <w:ind w:right="10"/>
              <w:jc w:val="both"/>
              <w:rPr>
                <w:rFonts w:cs="Arial"/>
                <w:color w:val="000000"/>
              </w:rPr>
            </w:pPr>
            <w:r w:rsidRPr="000718A7">
              <w:rPr>
                <w:rFonts w:cs="Arial"/>
                <w:color w:val="000000"/>
              </w:rPr>
              <w:t>1.568573</w:t>
            </w:r>
          </w:p>
        </w:tc>
        <w:tc>
          <w:tcPr>
            <w:tcW w:w="877" w:type="dxa"/>
            <w:tcBorders>
              <w:top w:val="nil"/>
              <w:left w:val="nil"/>
              <w:bottom w:val="nil"/>
              <w:right w:val="double" w:sz="4" w:space="0" w:color="auto"/>
            </w:tcBorders>
            <w:vAlign w:val="bottom"/>
          </w:tcPr>
          <w:p w:rsidR="00FD5242" w:rsidRPr="000718A7" w:rsidRDefault="00FD5242" w:rsidP="00CD4BC7">
            <w:pPr>
              <w:autoSpaceDE w:val="0"/>
              <w:autoSpaceDN w:val="0"/>
              <w:adjustRightInd w:val="0"/>
              <w:spacing w:after="0" w:line="240" w:lineRule="auto"/>
              <w:ind w:right="10"/>
              <w:jc w:val="both"/>
              <w:rPr>
                <w:rFonts w:cs="Arial"/>
                <w:color w:val="000000"/>
              </w:rPr>
            </w:pPr>
            <w:r w:rsidRPr="000718A7">
              <w:rPr>
                <w:rFonts w:cs="Arial"/>
                <w:color w:val="000000"/>
              </w:rPr>
              <w:t>0.1235</w:t>
            </w:r>
          </w:p>
        </w:tc>
      </w:tr>
      <w:tr w:rsidR="00FD5242" w:rsidRPr="000718A7" w:rsidTr="00B40B56">
        <w:trPr>
          <w:trHeight w:val="225"/>
        </w:trPr>
        <w:tc>
          <w:tcPr>
            <w:tcW w:w="3503" w:type="dxa"/>
            <w:tcBorders>
              <w:top w:val="nil"/>
              <w:left w:val="double" w:sz="4" w:space="0" w:color="auto"/>
              <w:bottom w:val="nil"/>
              <w:right w:val="nil"/>
            </w:tcBorders>
            <w:vAlign w:val="bottom"/>
          </w:tcPr>
          <w:p w:rsidR="00FD5242" w:rsidRPr="00B40B56" w:rsidRDefault="00FD5242" w:rsidP="00CD4BC7">
            <w:pPr>
              <w:autoSpaceDE w:val="0"/>
              <w:autoSpaceDN w:val="0"/>
              <w:adjustRightInd w:val="0"/>
              <w:spacing w:after="0" w:line="240" w:lineRule="auto"/>
              <w:jc w:val="both"/>
              <w:rPr>
                <w:rFonts w:cs="Arial"/>
                <w:color w:val="000000"/>
                <w:lang w:val="en-US"/>
              </w:rPr>
            </w:pPr>
            <w:r w:rsidRPr="00B40B56">
              <w:rPr>
                <w:rFonts w:cs="Arial"/>
                <w:b/>
                <w:color w:val="000000"/>
                <w:lang w:val="en-US"/>
              </w:rPr>
              <w:t>b</w:t>
            </w:r>
            <w:r w:rsidRPr="00B40B56">
              <w:rPr>
                <w:rFonts w:cs="Arial"/>
                <w:b/>
                <w:color w:val="000000"/>
                <w:vertAlign w:val="subscript"/>
                <w:lang w:val="en-US"/>
              </w:rPr>
              <w:t>3</w:t>
            </w:r>
            <w:r w:rsidRPr="00B40B56">
              <w:rPr>
                <w:rFonts w:cs="Arial"/>
                <w:color w:val="000000"/>
                <w:vertAlign w:val="subscript"/>
                <w:lang w:val="en-US"/>
              </w:rPr>
              <w:t xml:space="preserve"> </w:t>
            </w:r>
            <w:r w:rsidRPr="00B40B56">
              <w:rPr>
                <w:rFonts w:cs="Arial"/>
                <w:color w:val="000000"/>
                <w:lang w:val="en-US"/>
              </w:rPr>
              <w:t>(sensitivity of earnings to negative and positive returns</w:t>
            </w:r>
            <w:r>
              <w:rPr>
                <w:rFonts w:cs="Arial"/>
                <w:color w:val="000000"/>
                <w:lang w:val="en-US"/>
              </w:rPr>
              <w:t>-</w:t>
            </w:r>
            <w:r w:rsidRPr="00B40B56">
              <w:rPr>
                <w:rFonts w:cs="Arial"/>
                <w:color w:val="000000"/>
                <w:lang w:val="en-US"/>
              </w:rPr>
              <w:t xml:space="preserve"> R</w:t>
            </w:r>
            <w:r w:rsidRPr="00B40B56">
              <w:rPr>
                <w:rFonts w:cs="Arial"/>
                <w:i/>
                <w:color w:val="000000"/>
                <w:vertAlign w:val="subscript"/>
                <w:lang w:val="en-US"/>
              </w:rPr>
              <w:t>it</w:t>
            </w:r>
            <w:r w:rsidRPr="00B40B56">
              <w:rPr>
                <w:rFonts w:cs="Arial"/>
                <w:color w:val="000000"/>
                <w:lang w:val="en-US"/>
              </w:rPr>
              <w:t>*DR</w:t>
            </w:r>
            <w:r w:rsidRPr="00B40B56">
              <w:rPr>
                <w:rFonts w:cs="Arial"/>
                <w:i/>
                <w:color w:val="000000"/>
                <w:vertAlign w:val="subscript"/>
                <w:lang w:val="en-US"/>
              </w:rPr>
              <w:t>it</w:t>
            </w:r>
            <w:r w:rsidRPr="00B40B56">
              <w:rPr>
                <w:rFonts w:cs="Arial"/>
                <w:color w:val="000000"/>
                <w:lang w:val="en-US"/>
              </w:rPr>
              <w:t>)</w:t>
            </w:r>
          </w:p>
        </w:tc>
        <w:tc>
          <w:tcPr>
            <w:tcW w:w="1103" w:type="dxa"/>
            <w:tcBorders>
              <w:top w:val="nil"/>
              <w:left w:val="nil"/>
              <w:bottom w:val="nil"/>
              <w:right w:val="nil"/>
            </w:tcBorders>
            <w:vAlign w:val="bottom"/>
          </w:tcPr>
          <w:p w:rsidR="00FD5242" w:rsidRPr="000718A7" w:rsidRDefault="00FD5242" w:rsidP="00CD4BC7">
            <w:pPr>
              <w:autoSpaceDE w:val="0"/>
              <w:autoSpaceDN w:val="0"/>
              <w:adjustRightInd w:val="0"/>
              <w:spacing w:after="0" w:line="240" w:lineRule="auto"/>
              <w:ind w:right="10"/>
              <w:jc w:val="both"/>
              <w:rPr>
                <w:rFonts w:cs="Arial"/>
                <w:color w:val="000000"/>
              </w:rPr>
            </w:pPr>
            <w:r w:rsidRPr="000718A7">
              <w:rPr>
                <w:rFonts w:cs="Arial"/>
                <w:color w:val="000000"/>
              </w:rPr>
              <w:t>0.006355*</w:t>
            </w:r>
          </w:p>
        </w:tc>
        <w:tc>
          <w:tcPr>
            <w:tcW w:w="1191" w:type="dxa"/>
            <w:tcBorders>
              <w:top w:val="nil"/>
              <w:left w:val="nil"/>
              <w:bottom w:val="nil"/>
              <w:right w:val="nil"/>
            </w:tcBorders>
            <w:vAlign w:val="bottom"/>
          </w:tcPr>
          <w:p w:rsidR="00FD5242" w:rsidRPr="000718A7" w:rsidRDefault="00FD5242" w:rsidP="00CD4BC7">
            <w:pPr>
              <w:autoSpaceDE w:val="0"/>
              <w:autoSpaceDN w:val="0"/>
              <w:adjustRightInd w:val="0"/>
              <w:spacing w:after="0" w:line="240" w:lineRule="auto"/>
              <w:ind w:right="10"/>
              <w:jc w:val="both"/>
              <w:rPr>
                <w:rFonts w:cs="Arial"/>
                <w:color w:val="000000"/>
              </w:rPr>
            </w:pPr>
            <w:r w:rsidRPr="000718A7">
              <w:rPr>
                <w:rFonts w:cs="Arial"/>
                <w:color w:val="000000"/>
              </w:rPr>
              <w:t>0.002361</w:t>
            </w:r>
          </w:p>
        </w:tc>
        <w:tc>
          <w:tcPr>
            <w:tcW w:w="1391" w:type="dxa"/>
            <w:tcBorders>
              <w:top w:val="nil"/>
              <w:left w:val="nil"/>
              <w:bottom w:val="nil"/>
              <w:right w:val="nil"/>
            </w:tcBorders>
            <w:vAlign w:val="bottom"/>
          </w:tcPr>
          <w:p w:rsidR="00FD5242" w:rsidRPr="000718A7" w:rsidRDefault="00FD5242" w:rsidP="00CD4BC7">
            <w:pPr>
              <w:autoSpaceDE w:val="0"/>
              <w:autoSpaceDN w:val="0"/>
              <w:adjustRightInd w:val="0"/>
              <w:spacing w:after="0" w:line="240" w:lineRule="auto"/>
              <w:ind w:right="10"/>
              <w:jc w:val="both"/>
              <w:rPr>
                <w:rFonts w:cs="Arial"/>
                <w:color w:val="000000"/>
              </w:rPr>
            </w:pPr>
            <w:r w:rsidRPr="000718A7">
              <w:rPr>
                <w:rFonts w:cs="Arial"/>
                <w:color w:val="000000"/>
              </w:rPr>
              <w:t>2.692002</w:t>
            </w:r>
          </w:p>
        </w:tc>
        <w:tc>
          <w:tcPr>
            <w:tcW w:w="877" w:type="dxa"/>
            <w:tcBorders>
              <w:top w:val="nil"/>
              <w:left w:val="nil"/>
              <w:bottom w:val="nil"/>
              <w:right w:val="double" w:sz="4" w:space="0" w:color="auto"/>
            </w:tcBorders>
            <w:vAlign w:val="bottom"/>
          </w:tcPr>
          <w:p w:rsidR="00FD5242" w:rsidRPr="000718A7" w:rsidRDefault="00FD5242" w:rsidP="00CD4BC7">
            <w:pPr>
              <w:autoSpaceDE w:val="0"/>
              <w:autoSpaceDN w:val="0"/>
              <w:adjustRightInd w:val="0"/>
              <w:spacing w:after="0" w:line="240" w:lineRule="auto"/>
              <w:ind w:right="10"/>
              <w:jc w:val="both"/>
              <w:rPr>
                <w:rFonts w:cs="Arial"/>
                <w:color w:val="000000"/>
              </w:rPr>
            </w:pPr>
            <w:r w:rsidRPr="000718A7">
              <w:rPr>
                <w:rFonts w:cs="Arial"/>
                <w:color w:val="000000"/>
              </w:rPr>
              <w:t>0.0098</w:t>
            </w:r>
          </w:p>
        </w:tc>
      </w:tr>
      <w:tr w:rsidR="00FD5242" w:rsidRPr="000718A7" w:rsidTr="00B40B56">
        <w:trPr>
          <w:trHeight w:hRule="exact" w:val="121"/>
        </w:trPr>
        <w:tc>
          <w:tcPr>
            <w:tcW w:w="3503" w:type="dxa"/>
            <w:tcBorders>
              <w:top w:val="nil"/>
              <w:left w:val="double" w:sz="4" w:space="0" w:color="auto"/>
              <w:bottom w:val="double" w:sz="6" w:space="2" w:color="auto"/>
              <w:right w:val="nil"/>
            </w:tcBorders>
            <w:vAlign w:val="bottom"/>
          </w:tcPr>
          <w:p w:rsidR="00FD5242" w:rsidRPr="000718A7" w:rsidRDefault="00FD5242" w:rsidP="00CD4BC7">
            <w:pPr>
              <w:autoSpaceDE w:val="0"/>
              <w:autoSpaceDN w:val="0"/>
              <w:adjustRightInd w:val="0"/>
              <w:spacing w:after="0" w:line="240" w:lineRule="auto"/>
              <w:jc w:val="center"/>
              <w:rPr>
                <w:rFonts w:cs="Arial"/>
                <w:color w:val="000000"/>
              </w:rPr>
            </w:pPr>
          </w:p>
        </w:tc>
        <w:tc>
          <w:tcPr>
            <w:tcW w:w="1103" w:type="dxa"/>
            <w:tcBorders>
              <w:top w:val="nil"/>
              <w:left w:val="nil"/>
              <w:bottom w:val="double" w:sz="6" w:space="2" w:color="auto"/>
              <w:right w:val="nil"/>
            </w:tcBorders>
            <w:vAlign w:val="bottom"/>
          </w:tcPr>
          <w:p w:rsidR="00FD5242" w:rsidRPr="000718A7" w:rsidRDefault="00FD5242" w:rsidP="00CD4BC7">
            <w:pPr>
              <w:autoSpaceDE w:val="0"/>
              <w:autoSpaceDN w:val="0"/>
              <w:adjustRightInd w:val="0"/>
              <w:spacing w:after="0" w:line="240" w:lineRule="auto"/>
              <w:jc w:val="center"/>
              <w:rPr>
                <w:rFonts w:cs="Arial"/>
                <w:color w:val="000000"/>
              </w:rPr>
            </w:pPr>
          </w:p>
        </w:tc>
        <w:tc>
          <w:tcPr>
            <w:tcW w:w="1191" w:type="dxa"/>
            <w:tcBorders>
              <w:top w:val="nil"/>
              <w:left w:val="nil"/>
              <w:bottom w:val="double" w:sz="6" w:space="2" w:color="auto"/>
              <w:right w:val="nil"/>
            </w:tcBorders>
            <w:vAlign w:val="bottom"/>
          </w:tcPr>
          <w:p w:rsidR="00FD5242" w:rsidRPr="000718A7" w:rsidRDefault="00FD5242" w:rsidP="00CD4BC7">
            <w:pPr>
              <w:autoSpaceDE w:val="0"/>
              <w:autoSpaceDN w:val="0"/>
              <w:adjustRightInd w:val="0"/>
              <w:spacing w:after="0" w:line="240" w:lineRule="auto"/>
              <w:jc w:val="center"/>
              <w:rPr>
                <w:rFonts w:cs="Arial"/>
                <w:color w:val="000000"/>
              </w:rPr>
            </w:pPr>
          </w:p>
        </w:tc>
        <w:tc>
          <w:tcPr>
            <w:tcW w:w="1391" w:type="dxa"/>
            <w:tcBorders>
              <w:top w:val="nil"/>
              <w:left w:val="nil"/>
              <w:bottom w:val="double" w:sz="6" w:space="2" w:color="auto"/>
              <w:right w:val="nil"/>
            </w:tcBorders>
            <w:vAlign w:val="bottom"/>
          </w:tcPr>
          <w:p w:rsidR="00FD5242" w:rsidRPr="000718A7" w:rsidRDefault="00FD5242" w:rsidP="00CD4BC7">
            <w:pPr>
              <w:autoSpaceDE w:val="0"/>
              <w:autoSpaceDN w:val="0"/>
              <w:adjustRightInd w:val="0"/>
              <w:spacing w:after="0" w:line="240" w:lineRule="auto"/>
              <w:jc w:val="center"/>
              <w:rPr>
                <w:rFonts w:cs="Arial"/>
                <w:color w:val="000000"/>
              </w:rPr>
            </w:pPr>
          </w:p>
        </w:tc>
        <w:tc>
          <w:tcPr>
            <w:tcW w:w="877" w:type="dxa"/>
            <w:tcBorders>
              <w:top w:val="nil"/>
              <w:left w:val="nil"/>
              <w:bottom w:val="double" w:sz="6" w:space="2" w:color="auto"/>
              <w:right w:val="double" w:sz="4" w:space="0" w:color="auto"/>
            </w:tcBorders>
            <w:vAlign w:val="bottom"/>
          </w:tcPr>
          <w:p w:rsidR="00FD5242" w:rsidRPr="000718A7" w:rsidRDefault="00FD5242" w:rsidP="00CD4BC7">
            <w:pPr>
              <w:autoSpaceDE w:val="0"/>
              <w:autoSpaceDN w:val="0"/>
              <w:adjustRightInd w:val="0"/>
              <w:spacing w:after="0" w:line="240" w:lineRule="auto"/>
              <w:jc w:val="center"/>
              <w:rPr>
                <w:rFonts w:cs="Arial"/>
                <w:color w:val="000000"/>
              </w:rPr>
            </w:pPr>
          </w:p>
        </w:tc>
      </w:tr>
      <w:tr w:rsidR="00FD5242" w:rsidRPr="000718A7" w:rsidTr="00B40B56">
        <w:trPr>
          <w:trHeight w:hRule="exact" w:val="135"/>
        </w:trPr>
        <w:tc>
          <w:tcPr>
            <w:tcW w:w="3503" w:type="dxa"/>
            <w:tcBorders>
              <w:top w:val="nil"/>
              <w:left w:val="double" w:sz="4" w:space="0" w:color="auto"/>
              <w:bottom w:val="nil"/>
              <w:right w:val="nil"/>
            </w:tcBorders>
            <w:vAlign w:val="bottom"/>
          </w:tcPr>
          <w:p w:rsidR="00FD5242" w:rsidRPr="000718A7" w:rsidRDefault="00FD5242" w:rsidP="00CD4BC7">
            <w:pPr>
              <w:autoSpaceDE w:val="0"/>
              <w:autoSpaceDN w:val="0"/>
              <w:adjustRightInd w:val="0"/>
              <w:spacing w:after="0" w:line="240" w:lineRule="auto"/>
              <w:jc w:val="center"/>
              <w:rPr>
                <w:rFonts w:cs="Arial"/>
                <w:color w:val="000000"/>
              </w:rPr>
            </w:pPr>
          </w:p>
        </w:tc>
        <w:tc>
          <w:tcPr>
            <w:tcW w:w="1103" w:type="dxa"/>
            <w:tcBorders>
              <w:top w:val="nil"/>
              <w:left w:val="nil"/>
              <w:bottom w:val="nil"/>
              <w:right w:val="nil"/>
            </w:tcBorders>
            <w:vAlign w:val="bottom"/>
          </w:tcPr>
          <w:p w:rsidR="00FD5242" w:rsidRPr="000718A7" w:rsidRDefault="00FD5242" w:rsidP="00CD4BC7">
            <w:pPr>
              <w:autoSpaceDE w:val="0"/>
              <w:autoSpaceDN w:val="0"/>
              <w:adjustRightInd w:val="0"/>
              <w:spacing w:after="0" w:line="240" w:lineRule="auto"/>
              <w:jc w:val="center"/>
              <w:rPr>
                <w:rFonts w:cs="Arial"/>
                <w:color w:val="000000"/>
              </w:rPr>
            </w:pPr>
          </w:p>
        </w:tc>
        <w:tc>
          <w:tcPr>
            <w:tcW w:w="1191" w:type="dxa"/>
            <w:tcBorders>
              <w:top w:val="nil"/>
              <w:left w:val="nil"/>
              <w:bottom w:val="nil"/>
              <w:right w:val="nil"/>
            </w:tcBorders>
            <w:vAlign w:val="bottom"/>
          </w:tcPr>
          <w:p w:rsidR="00FD5242" w:rsidRPr="000718A7" w:rsidRDefault="00FD5242" w:rsidP="00CD4BC7">
            <w:pPr>
              <w:autoSpaceDE w:val="0"/>
              <w:autoSpaceDN w:val="0"/>
              <w:adjustRightInd w:val="0"/>
              <w:spacing w:after="0" w:line="240" w:lineRule="auto"/>
              <w:jc w:val="center"/>
              <w:rPr>
                <w:rFonts w:cs="Arial"/>
                <w:color w:val="000000"/>
              </w:rPr>
            </w:pPr>
          </w:p>
        </w:tc>
        <w:tc>
          <w:tcPr>
            <w:tcW w:w="1391" w:type="dxa"/>
            <w:tcBorders>
              <w:top w:val="nil"/>
              <w:left w:val="nil"/>
              <w:bottom w:val="nil"/>
              <w:right w:val="nil"/>
            </w:tcBorders>
            <w:vAlign w:val="bottom"/>
          </w:tcPr>
          <w:p w:rsidR="00FD5242" w:rsidRPr="000718A7" w:rsidRDefault="00FD5242" w:rsidP="00CD4BC7">
            <w:pPr>
              <w:autoSpaceDE w:val="0"/>
              <w:autoSpaceDN w:val="0"/>
              <w:adjustRightInd w:val="0"/>
              <w:spacing w:after="0" w:line="240" w:lineRule="auto"/>
              <w:jc w:val="center"/>
              <w:rPr>
                <w:rFonts w:cs="Arial"/>
                <w:color w:val="000000"/>
              </w:rPr>
            </w:pPr>
          </w:p>
        </w:tc>
        <w:tc>
          <w:tcPr>
            <w:tcW w:w="877" w:type="dxa"/>
            <w:tcBorders>
              <w:top w:val="nil"/>
              <w:left w:val="nil"/>
              <w:bottom w:val="nil"/>
              <w:right w:val="double" w:sz="4" w:space="0" w:color="auto"/>
            </w:tcBorders>
            <w:vAlign w:val="bottom"/>
          </w:tcPr>
          <w:p w:rsidR="00FD5242" w:rsidRPr="000718A7" w:rsidRDefault="00FD5242" w:rsidP="00CD4BC7">
            <w:pPr>
              <w:autoSpaceDE w:val="0"/>
              <w:autoSpaceDN w:val="0"/>
              <w:adjustRightInd w:val="0"/>
              <w:spacing w:after="0" w:line="240" w:lineRule="auto"/>
              <w:jc w:val="center"/>
              <w:rPr>
                <w:rFonts w:cs="Arial"/>
                <w:color w:val="000000"/>
              </w:rPr>
            </w:pPr>
          </w:p>
        </w:tc>
      </w:tr>
      <w:tr w:rsidR="00FD5242" w:rsidRPr="000718A7" w:rsidTr="00B40B56">
        <w:trPr>
          <w:trHeight w:val="225"/>
        </w:trPr>
        <w:tc>
          <w:tcPr>
            <w:tcW w:w="3503" w:type="dxa"/>
            <w:tcBorders>
              <w:top w:val="nil"/>
              <w:left w:val="double" w:sz="4" w:space="0" w:color="auto"/>
              <w:bottom w:val="nil"/>
              <w:right w:val="nil"/>
            </w:tcBorders>
            <w:vAlign w:val="bottom"/>
          </w:tcPr>
          <w:p w:rsidR="00FD5242" w:rsidRPr="000718A7" w:rsidRDefault="00FD5242" w:rsidP="00CD4BC7">
            <w:pPr>
              <w:autoSpaceDE w:val="0"/>
              <w:autoSpaceDN w:val="0"/>
              <w:adjustRightInd w:val="0"/>
              <w:spacing w:after="0" w:line="240" w:lineRule="auto"/>
              <w:rPr>
                <w:rFonts w:cs="Arial"/>
                <w:b/>
                <w:color w:val="000000"/>
              </w:rPr>
            </w:pPr>
            <w:r w:rsidRPr="000718A7">
              <w:rPr>
                <w:rFonts w:cs="Arial"/>
                <w:b/>
                <w:color w:val="000000"/>
              </w:rPr>
              <w:t>Model Summary</w:t>
            </w:r>
          </w:p>
          <w:p w:rsidR="00FD5242" w:rsidRPr="000718A7" w:rsidRDefault="00FD5242" w:rsidP="00CD4BC7">
            <w:pPr>
              <w:autoSpaceDE w:val="0"/>
              <w:autoSpaceDN w:val="0"/>
              <w:adjustRightInd w:val="0"/>
              <w:spacing w:after="0" w:line="240" w:lineRule="auto"/>
              <w:rPr>
                <w:rFonts w:cs="Arial"/>
                <w:color w:val="000000"/>
              </w:rPr>
            </w:pPr>
            <w:r w:rsidRPr="000718A7">
              <w:rPr>
                <w:rFonts w:cs="Arial"/>
                <w:color w:val="000000"/>
              </w:rPr>
              <w:t>R-squared</w:t>
            </w:r>
          </w:p>
        </w:tc>
        <w:tc>
          <w:tcPr>
            <w:tcW w:w="1103" w:type="dxa"/>
            <w:tcBorders>
              <w:top w:val="nil"/>
              <w:left w:val="nil"/>
              <w:bottom w:val="nil"/>
              <w:right w:val="nil"/>
            </w:tcBorders>
            <w:vAlign w:val="bottom"/>
          </w:tcPr>
          <w:p w:rsidR="00FD5242" w:rsidRPr="000718A7" w:rsidRDefault="00FD5242" w:rsidP="00CD4BC7">
            <w:pPr>
              <w:autoSpaceDE w:val="0"/>
              <w:autoSpaceDN w:val="0"/>
              <w:adjustRightInd w:val="0"/>
              <w:spacing w:after="0" w:line="240" w:lineRule="auto"/>
              <w:ind w:right="10"/>
              <w:jc w:val="both"/>
              <w:rPr>
                <w:rFonts w:cs="Arial"/>
                <w:color w:val="000000"/>
              </w:rPr>
            </w:pPr>
            <w:r w:rsidRPr="000718A7">
              <w:rPr>
                <w:rFonts w:cs="Arial"/>
                <w:color w:val="000000"/>
              </w:rPr>
              <w:t>0.734228</w:t>
            </w:r>
          </w:p>
        </w:tc>
        <w:tc>
          <w:tcPr>
            <w:tcW w:w="2582" w:type="dxa"/>
            <w:gridSpan w:val="2"/>
            <w:tcBorders>
              <w:top w:val="nil"/>
              <w:left w:val="nil"/>
              <w:bottom w:val="nil"/>
              <w:right w:val="nil"/>
            </w:tcBorders>
            <w:vAlign w:val="bottom"/>
          </w:tcPr>
          <w:p w:rsidR="00FD5242" w:rsidRPr="000718A7" w:rsidRDefault="00FD5242" w:rsidP="00CD4BC7">
            <w:pPr>
              <w:autoSpaceDE w:val="0"/>
              <w:autoSpaceDN w:val="0"/>
              <w:adjustRightInd w:val="0"/>
              <w:spacing w:after="0" w:line="240" w:lineRule="auto"/>
              <w:ind w:right="10"/>
              <w:rPr>
                <w:rFonts w:cs="Arial"/>
                <w:color w:val="000000"/>
              </w:rPr>
            </w:pPr>
          </w:p>
        </w:tc>
        <w:tc>
          <w:tcPr>
            <w:tcW w:w="877" w:type="dxa"/>
            <w:tcBorders>
              <w:top w:val="nil"/>
              <w:left w:val="nil"/>
              <w:bottom w:val="nil"/>
              <w:right w:val="double" w:sz="4" w:space="0" w:color="auto"/>
            </w:tcBorders>
            <w:vAlign w:val="bottom"/>
          </w:tcPr>
          <w:p w:rsidR="00FD5242" w:rsidRPr="000718A7" w:rsidRDefault="00FD5242" w:rsidP="00CD4BC7">
            <w:pPr>
              <w:autoSpaceDE w:val="0"/>
              <w:autoSpaceDN w:val="0"/>
              <w:adjustRightInd w:val="0"/>
              <w:spacing w:after="0" w:line="240" w:lineRule="auto"/>
              <w:ind w:right="10"/>
              <w:jc w:val="right"/>
              <w:rPr>
                <w:rFonts w:cs="Arial"/>
                <w:color w:val="000000"/>
              </w:rPr>
            </w:pPr>
          </w:p>
        </w:tc>
      </w:tr>
      <w:tr w:rsidR="00FD5242" w:rsidRPr="000718A7" w:rsidTr="00B40B56">
        <w:trPr>
          <w:trHeight w:val="225"/>
        </w:trPr>
        <w:tc>
          <w:tcPr>
            <w:tcW w:w="3503" w:type="dxa"/>
            <w:tcBorders>
              <w:top w:val="nil"/>
              <w:left w:val="double" w:sz="4" w:space="0" w:color="auto"/>
              <w:bottom w:val="nil"/>
              <w:right w:val="nil"/>
            </w:tcBorders>
            <w:vAlign w:val="bottom"/>
          </w:tcPr>
          <w:p w:rsidR="00FD5242" w:rsidRPr="000718A7" w:rsidRDefault="00FD5242" w:rsidP="00CD4BC7">
            <w:pPr>
              <w:autoSpaceDE w:val="0"/>
              <w:autoSpaceDN w:val="0"/>
              <w:adjustRightInd w:val="0"/>
              <w:spacing w:after="0" w:line="240" w:lineRule="auto"/>
              <w:rPr>
                <w:rFonts w:cs="Arial"/>
                <w:color w:val="000000"/>
              </w:rPr>
            </w:pPr>
            <w:r w:rsidRPr="000718A7">
              <w:rPr>
                <w:rFonts w:cs="Arial"/>
                <w:color w:val="000000"/>
              </w:rPr>
              <w:t>Adjusted R-squared</w:t>
            </w:r>
          </w:p>
        </w:tc>
        <w:tc>
          <w:tcPr>
            <w:tcW w:w="1103" w:type="dxa"/>
            <w:tcBorders>
              <w:top w:val="nil"/>
              <w:left w:val="nil"/>
              <w:bottom w:val="nil"/>
              <w:right w:val="nil"/>
            </w:tcBorders>
            <w:vAlign w:val="bottom"/>
          </w:tcPr>
          <w:p w:rsidR="00FD5242" w:rsidRPr="000718A7" w:rsidRDefault="00FD5242" w:rsidP="00CD4BC7">
            <w:pPr>
              <w:autoSpaceDE w:val="0"/>
              <w:autoSpaceDN w:val="0"/>
              <w:adjustRightInd w:val="0"/>
              <w:spacing w:after="0" w:line="240" w:lineRule="auto"/>
              <w:ind w:right="10"/>
              <w:jc w:val="both"/>
              <w:rPr>
                <w:rFonts w:cs="Arial"/>
                <w:color w:val="000000"/>
              </w:rPr>
            </w:pPr>
            <w:r w:rsidRPr="000718A7">
              <w:rPr>
                <w:rFonts w:cs="Arial"/>
                <w:color w:val="000000"/>
              </w:rPr>
              <w:t>0.434527</w:t>
            </w:r>
          </w:p>
        </w:tc>
        <w:tc>
          <w:tcPr>
            <w:tcW w:w="2582" w:type="dxa"/>
            <w:gridSpan w:val="2"/>
            <w:tcBorders>
              <w:top w:val="nil"/>
              <w:left w:val="nil"/>
              <w:bottom w:val="nil"/>
              <w:right w:val="nil"/>
            </w:tcBorders>
            <w:vAlign w:val="bottom"/>
          </w:tcPr>
          <w:p w:rsidR="00FD5242" w:rsidRPr="000718A7" w:rsidRDefault="00FD5242" w:rsidP="00CD4BC7">
            <w:pPr>
              <w:autoSpaceDE w:val="0"/>
              <w:autoSpaceDN w:val="0"/>
              <w:adjustRightInd w:val="0"/>
              <w:spacing w:after="0" w:line="240" w:lineRule="auto"/>
              <w:ind w:right="10"/>
              <w:rPr>
                <w:rFonts w:cs="Arial"/>
                <w:color w:val="000000"/>
              </w:rPr>
            </w:pPr>
          </w:p>
        </w:tc>
        <w:tc>
          <w:tcPr>
            <w:tcW w:w="877" w:type="dxa"/>
            <w:tcBorders>
              <w:top w:val="nil"/>
              <w:left w:val="nil"/>
              <w:bottom w:val="nil"/>
              <w:right w:val="double" w:sz="4" w:space="0" w:color="auto"/>
            </w:tcBorders>
            <w:vAlign w:val="bottom"/>
          </w:tcPr>
          <w:p w:rsidR="00FD5242" w:rsidRPr="000718A7" w:rsidRDefault="00FD5242" w:rsidP="00CD4BC7">
            <w:pPr>
              <w:autoSpaceDE w:val="0"/>
              <w:autoSpaceDN w:val="0"/>
              <w:adjustRightInd w:val="0"/>
              <w:spacing w:after="0" w:line="240" w:lineRule="auto"/>
              <w:ind w:right="10"/>
              <w:jc w:val="right"/>
              <w:rPr>
                <w:rFonts w:cs="Arial"/>
                <w:color w:val="000000"/>
              </w:rPr>
            </w:pPr>
          </w:p>
        </w:tc>
      </w:tr>
      <w:tr w:rsidR="00FD5242" w:rsidRPr="000718A7" w:rsidTr="00B40B56">
        <w:trPr>
          <w:trHeight w:val="225"/>
        </w:trPr>
        <w:tc>
          <w:tcPr>
            <w:tcW w:w="3503" w:type="dxa"/>
            <w:tcBorders>
              <w:top w:val="nil"/>
              <w:left w:val="double" w:sz="4" w:space="0" w:color="auto"/>
              <w:bottom w:val="nil"/>
              <w:right w:val="nil"/>
            </w:tcBorders>
            <w:vAlign w:val="bottom"/>
          </w:tcPr>
          <w:p w:rsidR="00FD5242" w:rsidRPr="000718A7" w:rsidRDefault="00FD5242" w:rsidP="00CD4BC7">
            <w:pPr>
              <w:autoSpaceDE w:val="0"/>
              <w:autoSpaceDN w:val="0"/>
              <w:adjustRightInd w:val="0"/>
              <w:spacing w:after="0" w:line="240" w:lineRule="auto"/>
              <w:rPr>
                <w:rFonts w:cs="Arial"/>
                <w:color w:val="000000"/>
              </w:rPr>
            </w:pPr>
            <w:r w:rsidRPr="000718A7">
              <w:rPr>
                <w:rFonts w:cs="Arial"/>
                <w:color w:val="000000"/>
              </w:rPr>
              <w:t>S.E. of regression</w:t>
            </w:r>
          </w:p>
        </w:tc>
        <w:tc>
          <w:tcPr>
            <w:tcW w:w="1103" w:type="dxa"/>
            <w:tcBorders>
              <w:top w:val="nil"/>
              <w:left w:val="nil"/>
              <w:bottom w:val="nil"/>
              <w:right w:val="nil"/>
            </w:tcBorders>
            <w:vAlign w:val="bottom"/>
          </w:tcPr>
          <w:p w:rsidR="00FD5242" w:rsidRPr="000718A7" w:rsidRDefault="00FD5242" w:rsidP="00CD4BC7">
            <w:pPr>
              <w:autoSpaceDE w:val="0"/>
              <w:autoSpaceDN w:val="0"/>
              <w:adjustRightInd w:val="0"/>
              <w:spacing w:after="0" w:line="240" w:lineRule="auto"/>
              <w:ind w:right="10"/>
              <w:jc w:val="both"/>
              <w:rPr>
                <w:rFonts w:cs="Arial"/>
                <w:color w:val="000000"/>
              </w:rPr>
            </w:pPr>
            <w:r w:rsidRPr="000718A7">
              <w:rPr>
                <w:rFonts w:cs="Arial"/>
                <w:color w:val="000000"/>
              </w:rPr>
              <w:t>0.245812</w:t>
            </w:r>
          </w:p>
        </w:tc>
        <w:tc>
          <w:tcPr>
            <w:tcW w:w="2582" w:type="dxa"/>
            <w:gridSpan w:val="2"/>
            <w:tcBorders>
              <w:top w:val="nil"/>
              <w:left w:val="nil"/>
              <w:bottom w:val="nil"/>
              <w:right w:val="nil"/>
            </w:tcBorders>
            <w:vAlign w:val="bottom"/>
          </w:tcPr>
          <w:p w:rsidR="00FD5242" w:rsidRPr="000718A7" w:rsidRDefault="00FD5242" w:rsidP="00CD4BC7">
            <w:pPr>
              <w:autoSpaceDE w:val="0"/>
              <w:autoSpaceDN w:val="0"/>
              <w:adjustRightInd w:val="0"/>
              <w:spacing w:after="0" w:line="240" w:lineRule="auto"/>
              <w:ind w:right="10"/>
              <w:rPr>
                <w:rFonts w:cs="Arial"/>
                <w:color w:val="000000"/>
              </w:rPr>
            </w:pPr>
          </w:p>
        </w:tc>
        <w:tc>
          <w:tcPr>
            <w:tcW w:w="877" w:type="dxa"/>
            <w:tcBorders>
              <w:top w:val="nil"/>
              <w:left w:val="nil"/>
              <w:bottom w:val="nil"/>
              <w:right w:val="double" w:sz="4" w:space="0" w:color="auto"/>
            </w:tcBorders>
            <w:vAlign w:val="bottom"/>
          </w:tcPr>
          <w:p w:rsidR="00FD5242" w:rsidRPr="000718A7" w:rsidRDefault="00FD5242" w:rsidP="00CD4BC7">
            <w:pPr>
              <w:autoSpaceDE w:val="0"/>
              <w:autoSpaceDN w:val="0"/>
              <w:adjustRightInd w:val="0"/>
              <w:spacing w:after="0" w:line="240" w:lineRule="auto"/>
              <w:ind w:right="10"/>
              <w:jc w:val="right"/>
              <w:rPr>
                <w:rFonts w:cs="Arial"/>
                <w:color w:val="000000"/>
              </w:rPr>
            </w:pPr>
          </w:p>
        </w:tc>
      </w:tr>
      <w:tr w:rsidR="00FD5242" w:rsidRPr="000718A7" w:rsidTr="00B40B56">
        <w:trPr>
          <w:trHeight w:hRule="exact" w:val="89"/>
        </w:trPr>
        <w:tc>
          <w:tcPr>
            <w:tcW w:w="3503" w:type="dxa"/>
            <w:tcBorders>
              <w:top w:val="nil"/>
              <w:left w:val="double" w:sz="4" w:space="0" w:color="auto"/>
              <w:bottom w:val="double" w:sz="6" w:space="0" w:color="auto"/>
              <w:right w:val="nil"/>
            </w:tcBorders>
            <w:vAlign w:val="bottom"/>
          </w:tcPr>
          <w:p w:rsidR="00FD5242" w:rsidRPr="000718A7" w:rsidRDefault="00FD5242" w:rsidP="00CD4BC7">
            <w:pPr>
              <w:autoSpaceDE w:val="0"/>
              <w:autoSpaceDN w:val="0"/>
              <w:adjustRightInd w:val="0"/>
              <w:spacing w:after="0" w:line="240" w:lineRule="auto"/>
              <w:jc w:val="center"/>
              <w:rPr>
                <w:rFonts w:cs="Arial"/>
                <w:color w:val="000000"/>
              </w:rPr>
            </w:pPr>
          </w:p>
        </w:tc>
        <w:tc>
          <w:tcPr>
            <w:tcW w:w="1103" w:type="dxa"/>
            <w:tcBorders>
              <w:top w:val="nil"/>
              <w:left w:val="nil"/>
              <w:bottom w:val="double" w:sz="6" w:space="0" w:color="auto"/>
              <w:right w:val="nil"/>
            </w:tcBorders>
            <w:vAlign w:val="bottom"/>
          </w:tcPr>
          <w:p w:rsidR="00FD5242" w:rsidRPr="000718A7" w:rsidRDefault="00FD5242" w:rsidP="00CD4BC7">
            <w:pPr>
              <w:autoSpaceDE w:val="0"/>
              <w:autoSpaceDN w:val="0"/>
              <w:adjustRightInd w:val="0"/>
              <w:spacing w:after="0" w:line="240" w:lineRule="auto"/>
              <w:jc w:val="center"/>
              <w:rPr>
                <w:rFonts w:cs="Arial"/>
                <w:color w:val="000000"/>
              </w:rPr>
            </w:pPr>
          </w:p>
        </w:tc>
        <w:tc>
          <w:tcPr>
            <w:tcW w:w="1191" w:type="dxa"/>
            <w:tcBorders>
              <w:top w:val="nil"/>
              <w:left w:val="nil"/>
              <w:bottom w:val="double" w:sz="6" w:space="0" w:color="auto"/>
              <w:right w:val="nil"/>
            </w:tcBorders>
            <w:vAlign w:val="bottom"/>
          </w:tcPr>
          <w:p w:rsidR="00FD5242" w:rsidRPr="000718A7" w:rsidRDefault="00FD5242" w:rsidP="00CD4BC7">
            <w:pPr>
              <w:autoSpaceDE w:val="0"/>
              <w:autoSpaceDN w:val="0"/>
              <w:adjustRightInd w:val="0"/>
              <w:spacing w:after="0" w:line="240" w:lineRule="auto"/>
              <w:jc w:val="center"/>
              <w:rPr>
                <w:rFonts w:cs="Arial"/>
                <w:color w:val="000000"/>
              </w:rPr>
            </w:pPr>
          </w:p>
        </w:tc>
        <w:tc>
          <w:tcPr>
            <w:tcW w:w="1391" w:type="dxa"/>
            <w:tcBorders>
              <w:top w:val="nil"/>
              <w:left w:val="nil"/>
              <w:bottom w:val="double" w:sz="6" w:space="0" w:color="auto"/>
              <w:right w:val="nil"/>
            </w:tcBorders>
            <w:vAlign w:val="bottom"/>
          </w:tcPr>
          <w:p w:rsidR="00FD5242" w:rsidRPr="000718A7" w:rsidRDefault="00FD5242" w:rsidP="00CD4BC7">
            <w:pPr>
              <w:autoSpaceDE w:val="0"/>
              <w:autoSpaceDN w:val="0"/>
              <w:adjustRightInd w:val="0"/>
              <w:spacing w:after="0" w:line="240" w:lineRule="auto"/>
              <w:jc w:val="center"/>
              <w:rPr>
                <w:rFonts w:cs="Arial"/>
                <w:color w:val="000000"/>
              </w:rPr>
            </w:pPr>
          </w:p>
        </w:tc>
        <w:tc>
          <w:tcPr>
            <w:tcW w:w="877" w:type="dxa"/>
            <w:tcBorders>
              <w:top w:val="nil"/>
              <w:left w:val="nil"/>
              <w:bottom w:val="double" w:sz="6" w:space="0" w:color="auto"/>
              <w:right w:val="double" w:sz="4" w:space="0" w:color="auto"/>
            </w:tcBorders>
            <w:vAlign w:val="bottom"/>
          </w:tcPr>
          <w:p w:rsidR="00FD5242" w:rsidRPr="000718A7" w:rsidRDefault="00FD5242" w:rsidP="00CD4BC7">
            <w:pPr>
              <w:autoSpaceDE w:val="0"/>
              <w:autoSpaceDN w:val="0"/>
              <w:adjustRightInd w:val="0"/>
              <w:spacing w:after="0" w:line="240" w:lineRule="auto"/>
              <w:jc w:val="center"/>
              <w:rPr>
                <w:rFonts w:cs="Arial"/>
                <w:color w:val="000000"/>
              </w:rPr>
            </w:pPr>
          </w:p>
        </w:tc>
      </w:tr>
      <w:tr w:rsidR="00FD5242" w:rsidRPr="000718A7" w:rsidTr="00B40B56">
        <w:trPr>
          <w:trHeight w:hRule="exact" w:val="135"/>
        </w:trPr>
        <w:tc>
          <w:tcPr>
            <w:tcW w:w="3503" w:type="dxa"/>
            <w:tcBorders>
              <w:top w:val="nil"/>
              <w:left w:val="double" w:sz="4" w:space="0" w:color="auto"/>
              <w:bottom w:val="double" w:sz="4" w:space="0" w:color="auto"/>
              <w:right w:val="nil"/>
            </w:tcBorders>
            <w:vAlign w:val="bottom"/>
          </w:tcPr>
          <w:p w:rsidR="00FD5242" w:rsidRPr="000718A7" w:rsidRDefault="00FD5242" w:rsidP="00CD4BC7">
            <w:pPr>
              <w:autoSpaceDE w:val="0"/>
              <w:autoSpaceDN w:val="0"/>
              <w:adjustRightInd w:val="0"/>
              <w:spacing w:after="0" w:line="240" w:lineRule="auto"/>
              <w:jc w:val="center"/>
              <w:rPr>
                <w:rFonts w:cs="Arial"/>
                <w:color w:val="000000"/>
              </w:rPr>
            </w:pPr>
          </w:p>
        </w:tc>
        <w:tc>
          <w:tcPr>
            <w:tcW w:w="1103" w:type="dxa"/>
            <w:tcBorders>
              <w:top w:val="nil"/>
              <w:left w:val="nil"/>
              <w:bottom w:val="double" w:sz="4" w:space="0" w:color="auto"/>
              <w:right w:val="nil"/>
            </w:tcBorders>
            <w:vAlign w:val="bottom"/>
          </w:tcPr>
          <w:p w:rsidR="00FD5242" w:rsidRPr="000718A7" w:rsidRDefault="00FD5242" w:rsidP="00CD4BC7">
            <w:pPr>
              <w:autoSpaceDE w:val="0"/>
              <w:autoSpaceDN w:val="0"/>
              <w:adjustRightInd w:val="0"/>
              <w:spacing w:after="0" w:line="240" w:lineRule="auto"/>
              <w:jc w:val="center"/>
              <w:rPr>
                <w:rFonts w:cs="Arial"/>
                <w:color w:val="000000"/>
              </w:rPr>
            </w:pPr>
          </w:p>
        </w:tc>
        <w:tc>
          <w:tcPr>
            <w:tcW w:w="1191" w:type="dxa"/>
            <w:tcBorders>
              <w:top w:val="nil"/>
              <w:left w:val="nil"/>
              <w:bottom w:val="double" w:sz="4" w:space="0" w:color="auto"/>
              <w:right w:val="nil"/>
            </w:tcBorders>
            <w:vAlign w:val="bottom"/>
          </w:tcPr>
          <w:p w:rsidR="00FD5242" w:rsidRPr="000718A7" w:rsidRDefault="00FD5242" w:rsidP="00CD4BC7">
            <w:pPr>
              <w:autoSpaceDE w:val="0"/>
              <w:autoSpaceDN w:val="0"/>
              <w:adjustRightInd w:val="0"/>
              <w:spacing w:after="0" w:line="240" w:lineRule="auto"/>
              <w:jc w:val="center"/>
              <w:rPr>
                <w:rFonts w:cs="Arial"/>
                <w:color w:val="000000"/>
              </w:rPr>
            </w:pPr>
          </w:p>
        </w:tc>
        <w:tc>
          <w:tcPr>
            <w:tcW w:w="1391" w:type="dxa"/>
            <w:tcBorders>
              <w:top w:val="nil"/>
              <w:left w:val="nil"/>
              <w:bottom w:val="double" w:sz="4" w:space="0" w:color="auto"/>
              <w:right w:val="nil"/>
            </w:tcBorders>
            <w:vAlign w:val="bottom"/>
          </w:tcPr>
          <w:p w:rsidR="00FD5242" w:rsidRPr="000718A7" w:rsidRDefault="00FD5242" w:rsidP="00CD4BC7">
            <w:pPr>
              <w:autoSpaceDE w:val="0"/>
              <w:autoSpaceDN w:val="0"/>
              <w:adjustRightInd w:val="0"/>
              <w:spacing w:after="0" w:line="240" w:lineRule="auto"/>
              <w:jc w:val="center"/>
              <w:rPr>
                <w:rFonts w:cs="Arial"/>
                <w:color w:val="000000"/>
              </w:rPr>
            </w:pPr>
          </w:p>
        </w:tc>
        <w:tc>
          <w:tcPr>
            <w:tcW w:w="877" w:type="dxa"/>
            <w:tcBorders>
              <w:top w:val="nil"/>
              <w:left w:val="nil"/>
              <w:bottom w:val="double" w:sz="4" w:space="0" w:color="auto"/>
              <w:right w:val="double" w:sz="4" w:space="0" w:color="auto"/>
            </w:tcBorders>
            <w:vAlign w:val="bottom"/>
          </w:tcPr>
          <w:p w:rsidR="00FD5242" w:rsidRPr="000718A7" w:rsidRDefault="00FD5242" w:rsidP="00CD4BC7">
            <w:pPr>
              <w:autoSpaceDE w:val="0"/>
              <w:autoSpaceDN w:val="0"/>
              <w:adjustRightInd w:val="0"/>
              <w:spacing w:after="0" w:line="240" w:lineRule="auto"/>
              <w:jc w:val="center"/>
              <w:rPr>
                <w:rFonts w:cs="Arial"/>
                <w:color w:val="000000"/>
              </w:rPr>
            </w:pPr>
          </w:p>
        </w:tc>
      </w:tr>
    </w:tbl>
    <w:p w:rsidR="00FD5242" w:rsidRPr="000718A7" w:rsidRDefault="00FD5242" w:rsidP="00B40B56">
      <w:pPr>
        <w:rPr>
          <w:rFonts w:cs="Arial"/>
        </w:rPr>
      </w:pPr>
      <w:r w:rsidRPr="000718A7">
        <w:rPr>
          <w:rFonts w:cs="Arial"/>
        </w:rPr>
        <w:t>*,**,*** indicate  significance at 0.01, 0.05, 0.10 significance level</w:t>
      </w:r>
    </w:p>
    <w:p w:rsidR="00FD5242" w:rsidRPr="005B7858" w:rsidRDefault="00FD5242" w:rsidP="005B7858">
      <w:pPr>
        <w:autoSpaceDE w:val="0"/>
        <w:autoSpaceDN w:val="0"/>
        <w:adjustRightInd w:val="0"/>
        <w:spacing w:after="0" w:line="400" w:lineRule="atLeast"/>
        <w:rPr>
          <w:lang w:val="en-US"/>
        </w:rPr>
      </w:pPr>
    </w:p>
    <w:p w:rsidR="00FD5242" w:rsidRDefault="00FD5242" w:rsidP="00BA3B10">
      <w:pPr>
        <w:autoSpaceDE w:val="0"/>
        <w:autoSpaceDN w:val="0"/>
        <w:adjustRightInd w:val="0"/>
        <w:spacing w:after="0" w:line="360" w:lineRule="auto"/>
        <w:jc w:val="both"/>
        <w:rPr>
          <w:lang w:val="en-US"/>
        </w:rPr>
      </w:pPr>
      <w:r>
        <w:rPr>
          <w:lang w:val="en-US"/>
        </w:rPr>
        <w:t xml:space="preserve">    The E-views program used for the empirical research of this study generates in general</w:t>
      </w:r>
      <w:r w:rsidRPr="00CD4BC7">
        <w:rPr>
          <w:lang w:val="en-US"/>
        </w:rPr>
        <w:t xml:space="preserve"> </w:t>
      </w:r>
      <w:r>
        <w:rPr>
          <w:lang w:val="en-US"/>
        </w:rPr>
        <w:t>the standardized coefficient, which is preferred compared to the simple coefficient one. Consequently, by analyzing the outcome information of the pooled regression analysis, Model 2 is formulated as:</w:t>
      </w:r>
    </w:p>
    <w:p w:rsidR="00FD5242" w:rsidRDefault="00FD5242" w:rsidP="00BA3B10">
      <w:pPr>
        <w:autoSpaceDE w:val="0"/>
        <w:autoSpaceDN w:val="0"/>
        <w:adjustRightInd w:val="0"/>
        <w:spacing w:after="0" w:line="360" w:lineRule="auto"/>
        <w:jc w:val="both"/>
        <w:rPr>
          <w:lang w:val="en-US"/>
        </w:rPr>
      </w:pPr>
    </w:p>
    <w:p w:rsidR="00FD5242" w:rsidRPr="001425CF" w:rsidRDefault="00FD5242" w:rsidP="00BA3B10">
      <w:pPr>
        <w:numPr>
          <w:ilvl w:val="0"/>
          <w:numId w:val="13"/>
        </w:numPr>
        <w:autoSpaceDE w:val="0"/>
        <w:autoSpaceDN w:val="0"/>
        <w:adjustRightInd w:val="0"/>
        <w:spacing w:after="0" w:line="360" w:lineRule="auto"/>
        <w:rPr>
          <w:lang w:val="en-US"/>
        </w:rPr>
      </w:pPr>
      <w:r w:rsidRPr="001425CF">
        <w:rPr>
          <w:rFonts w:cs="Arial"/>
          <w:b/>
          <w:color w:val="000000"/>
          <w:lang w:val="en-US"/>
        </w:rPr>
        <w:t>X</w:t>
      </w:r>
      <w:r w:rsidRPr="001425CF">
        <w:rPr>
          <w:rFonts w:cs="Arial"/>
          <w:b/>
          <w:i/>
          <w:color w:val="000000"/>
          <w:vertAlign w:val="subscript"/>
          <w:lang w:val="en-US"/>
        </w:rPr>
        <w:t>it</w:t>
      </w:r>
      <w:r w:rsidRPr="001425CF">
        <w:rPr>
          <w:rFonts w:cs="Arial"/>
          <w:b/>
          <w:color w:val="000000"/>
          <w:lang w:val="en-US"/>
        </w:rPr>
        <w:t>/P</w:t>
      </w:r>
      <w:r w:rsidRPr="001425CF">
        <w:rPr>
          <w:rFonts w:cs="Arial"/>
          <w:b/>
          <w:color w:val="000000"/>
          <w:vertAlign w:val="subscript"/>
          <w:lang w:val="en-US"/>
        </w:rPr>
        <w:t>it-1</w:t>
      </w:r>
      <w:r w:rsidRPr="001425CF">
        <w:rPr>
          <w:rFonts w:cs="Arial"/>
          <w:b/>
          <w:color w:val="000000"/>
          <w:lang w:val="en-US"/>
        </w:rPr>
        <w:t>= 0,112 + 0,032*DR</w:t>
      </w:r>
      <w:r w:rsidRPr="001425CF">
        <w:rPr>
          <w:rFonts w:cs="Arial"/>
          <w:b/>
          <w:i/>
          <w:color w:val="000000"/>
          <w:vertAlign w:val="subscript"/>
          <w:lang w:val="en-US"/>
        </w:rPr>
        <w:t>it</w:t>
      </w:r>
      <w:r w:rsidRPr="001425CF">
        <w:rPr>
          <w:rFonts w:cs="Arial"/>
          <w:b/>
          <w:color w:val="000000"/>
          <w:lang w:val="en-US"/>
        </w:rPr>
        <w:t>+ 0,002*R</w:t>
      </w:r>
      <w:r w:rsidRPr="001425CF">
        <w:rPr>
          <w:rFonts w:cs="Arial"/>
          <w:b/>
          <w:color w:val="000000"/>
          <w:vertAlign w:val="subscript"/>
          <w:lang w:val="en-US"/>
        </w:rPr>
        <w:t>it</w:t>
      </w:r>
      <w:r w:rsidRPr="001425CF">
        <w:rPr>
          <w:rFonts w:cs="Arial"/>
          <w:b/>
          <w:color w:val="000000"/>
          <w:lang w:val="en-US"/>
        </w:rPr>
        <w:t>+ 0,013*R</w:t>
      </w:r>
      <w:r w:rsidRPr="001425CF">
        <w:rPr>
          <w:rFonts w:cs="Arial"/>
          <w:b/>
          <w:i/>
          <w:color w:val="000000"/>
          <w:vertAlign w:val="subscript"/>
          <w:lang w:val="en-US"/>
        </w:rPr>
        <w:t>it</w:t>
      </w:r>
      <w:r w:rsidRPr="001425CF">
        <w:rPr>
          <w:rFonts w:cs="Arial"/>
          <w:b/>
          <w:color w:val="000000"/>
          <w:lang w:val="en-US"/>
        </w:rPr>
        <w:t>*DR</w:t>
      </w:r>
      <w:r w:rsidRPr="001425CF">
        <w:rPr>
          <w:rFonts w:cs="Arial"/>
          <w:b/>
          <w:i/>
          <w:color w:val="000000"/>
          <w:vertAlign w:val="subscript"/>
          <w:lang w:val="en-US"/>
        </w:rPr>
        <w:t>it</w:t>
      </w:r>
      <w:r w:rsidRPr="009F4A52">
        <w:rPr>
          <w:rFonts w:cs="Arial"/>
          <w:i/>
          <w:color w:val="000000"/>
          <w:vertAlign w:val="subscript"/>
          <w:lang w:val="en-US"/>
        </w:rPr>
        <w:t xml:space="preserve"> </w:t>
      </w:r>
      <w:r w:rsidRPr="009F4A52">
        <w:rPr>
          <w:rFonts w:cs="Arial"/>
          <w:color w:val="000000"/>
          <w:lang w:val="en-US"/>
        </w:rPr>
        <w:t xml:space="preserve">, </w:t>
      </w:r>
    </w:p>
    <w:p w:rsidR="00FD5242" w:rsidRDefault="00FD5242" w:rsidP="00BA3B10">
      <w:pPr>
        <w:autoSpaceDE w:val="0"/>
        <w:autoSpaceDN w:val="0"/>
        <w:adjustRightInd w:val="0"/>
        <w:spacing w:after="0" w:line="360" w:lineRule="auto"/>
        <w:ind w:left="720"/>
        <w:rPr>
          <w:rFonts w:cs="Arial"/>
          <w:color w:val="000000"/>
          <w:lang w:val="en-US"/>
        </w:rPr>
      </w:pPr>
      <w:r w:rsidRPr="009F4A52">
        <w:rPr>
          <w:rFonts w:cs="Arial"/>
          <w:color w:val="000000"/>
          <w:lang w:val="en-US"/>
        </w:rPr>
        <w:t xml:space="preserve">concerning </w:t>
      </w:r>
      <w:r>
        <w:rPr>
          <w:rFonts w:cs="Arial"/>
          <w:color w:val="000000"/>
          <w:lang w:val="en-US"/>
        </w:rPr>
        <w:t xml:space="preserve">the period 2005-2006 </w:t>
      </w:r>
    </w:p>
    <w:p w:rsidR="00FD5242" w:rsidRPr="009F4A52" w:rsidRDefault="00FD5242" w:rsidP="00BA3B10">
      <w:pPr>
        <w:autoSpaceDE w:val="0"/>
        <w:autoSpaceDN w:val="0"/>
        <w:adjustRightInd w:val="0"/>
        <w:spacing w:after="0" w:line="360" w:lineRule="auto"/>
        <w:ind w:left="720"/>
        <w:rPr>
          <w:lang w:val="en-US"/>
        </w:rPr>
      </w:pPr>
    </w:p>
    <w:p w:rsidR="00FD5242" w:rsidRPr="00895783" w:rsidRDefault="00FD5242" w:rsidP="00BA3B10">
      <w:pPr>
        <w:numPr>
          <w:ilvl w:val="0"/>
          <w:numId w:val="13"/>
        </w:numPr>
        <w:autoSpaceDE w:val="0"/>
        <w:autoSpaceDN w:val="0"/>
        <w:adjustRightInd w:val="0"/>
        <w:spacing w:after="0" w:line="360" w:lineRule="auto"/>
        <w:rPr>
          <w:lang w:val="en-US"/>
        </w:rPr>
      </w:pPr>
      <w:r w:rsidRPr="00895783">
        <w:rPr>
          <w:rFonts w:cs="Arial"/>
          <w:b/>
          <w:color w:val="000000"/>
          <w:lang w:val="en-US"/>
        </w:rPr>
        <w:t>X</w:t>
      </w:r>
      <w:r w:rsidRPr="00895783">
        <w:rPr>
          <w:rFonts w:cs="Arial"/>
          <w:b/>
          <w:i/>
          <w:color w:val="000000"/>
          <w:vertAlign w:val="subscript"/>
          <w:lang w:val="en-US"/>
        </w:rPr>
        <w:t>it</w:t>
      </w:r>
      <w:r w:rsidRPr="00895783">
        <w:rPr>
          <w:rFonts w:cs="Arial"/>
          <w:b/>
          <w:color w:val="000000"/>
          <w:lang w:val="en-US"/>
        </w:rPr>
        <w:t>/P</w:t>
      </w:r>
      <w:r w:rsidRPr="00895783">
        <w:rPr>
          <w:rFonts w:cs="Arial"/>
          <w:b/>
          <w:color w:val="000000"/>
          <w:vertAlign w:val="subscript"/>
          <w:lang w:val="en-US"/>
        </w:rPr>
        <w:t>it-1</w:t>
      </w:r>
      <w:r w:rsidRPr="00895783">
        <w:rPr>
          <w:rFonts w:cs="Arial"/>
          <w:b/>
          <w:color w:val="000000"/>
          <w:lang w:val="en-US"/>
        </w:rPr>
        <w:t>= 0,046 + 0,066*DR</w:t>
      </w:r>
      <w:r w:rsidRPr="00895783">
        <w:rPr>
          <w:rFonts w:cs="Arial"/>
          <w:b/>
          <w:i/>
          <w:color w:val="000000"/>
          <w:vertAlign w:val="subscript"/>
          <w:lang w:val="en-US"/>
        </w:rPr>
        <w:t>it</w:t>
      </w:r>
      <w:r w:rsidRPr="00895783">
        <w:rPr>
          <w:rFonts w:cs="Arial"/>
          <w:b/>
          <w:color w:val="000000"/>
          <w:lang w:val="en-US"/>
        </w:rPr>
        <w:t>+ 0,002*R</w:t>
      </w:r>
      <w:r w:rsidRPr="00895783">
        <w:rPr>
          <w:rFonts w:cs="Arial"/>
          <w:b/>
          <w:color w:val="000000"/>
          <w:vertAlign w:val="subscript"/>
          <w:lang w:val="en-US"/>
        </w:rPr>
        <w:t>it</w:t>
      </w:r>
      <w:r w:rsidRPr="00895783">
        <w:rPr>
          <w:rFonts w:cs="Arial"/>
          <w:b/>
          <w:color w:val="000000"/>
          <w:lang w:val="en-US"/>
        </w:rPr>
        <w:t>+ 0,006*R</w:t>
      </w:r>
      <w:r w:rsidRPr="00895783">
        <w:rPr>
          <w:rFonts w:cs="Arial"/>
          <w:b/>
          <w:i/>
          <w:color w:val="000000"/>
          <w:vertAlign w:val="subscript"/>
          <w:lang w:val="en-US"/>
        </w:rPr>
        <w:t>it</w:t>
      </w:r>
      <w:r w:rsidRPr="00895783">
        <w:rPr>
          <w:rFonts w:cs="Arial"/>
          <w:b/>
          <w:color w:val="000000"/>
          <w:lang w:val="en-US"/>
        </w:rPr>
        <w:t>*DR</w:t>
      </w:r>
      <w:r w:rsidRPr="00895783">
        <w:rPr>
          <w:rFonts w:cs="Arial"/>
          <w:b/>
          <w:i/>
          <w:color w:val="000000"/>
          <w:vertAlign w:val="subscript"/>
          <w:lang w:val="en-US"/>
        </w:rPr>
        <w:t>it</w:t>
      </w:r>
      <w:r w:rsidRPr="00895783">
        <w:rPr>
          <w:rFonts w:cs="Arial"/>
          <w:color w:val="000000"/>
          <w:lang w:val="en-US"/>
        </w:rPr>
        <w:t xml:space="preserve"> , </w:t>
      </w:r>
    </w:p>
    <w:p w:rsidR="00FD5242" w:rsidRPr="00895783" w:rsidRDefault="00FD5242" w:rsidP="00BA3B10">
      <w:pPr>
        <w:autoSpaceDE w:val="0"/>
        <w:autoSpaceDN w:val="0"/>
        <w:adjustRightInd w:val="0"/>
        <w:spacing w:after="0" w:line="360" w:lineRule="auto"/>
        <w:ind w:left="720"/>
        <w:rPr>
          <w:lang w:val="en-US"/>
        </w:rPr>
      </w:pPr>
      <w:r w:rsidRPr="00895783">
        <w:rPr>
          <w:rFonts w:cs="Arial"/>
          <w:color w:val="000000"/>
          <w:lang w:val="en-US"/>
        </w:rPr>
        <w:t xml:space="preserve">concerning the period 2008-2009 </w:t>
      </w:r>
    </w:p>
    <w:p w:rsidR="00FD5242" w:rsidRDefault="00FD5242" w:rsidP="00BA3B10">
      <w:pPr>
        <w:autoSpaceDE w:val="0"/>
        <w:autoSpaceDN w:val="0"/>
        <w:adjustRightInd w:val="0"/>
        <w:spacing w:after="0" w:line="360" w:lineRule="auto"/>
        <w:ind w:left="720"/>
        <w:rPr>
          <w:rFonts w:cs="Arial"/>
          <w:color w:val="000000"/>
          <w:lang w:val="en-US"/>
        </w:rPr>
      </w:pPr>
    </w:p>
    <w:p w:rsidR="00FD5242" w:rsidRPr="004B0D1F" w:rsidRDefault="00FD5242" w:rsidP="0035205C">
      <w:pPr>
        <w:autoSpaceDE w:val="0"/>
        <w:autoSpaceDN w:val="0"/>
        <w:adjustRightInd w:val="0"/>
        <w:spacing w:after="0" w:line="360" w:lineRule="auto"/>
        <w:jc w:val="both"/>
        <w:rPr>
          <w:rFonts w:cs="Arial"/>
          <w:color w:val="000000"/>
          <w:lang w:val="en-US"/>
        </w:rPr>
      </w:pPr>
      <w:r>
        <w:rPr>
          <w:rFonts w:cs="Arial"/>
          <w:color w:val="000000"/>
          <w:lang w:val="en-US"/>
        </w:rPr>
        <w:t xml:space="preserve">    According to the presented results, the b</w:t>
      </w:r>
      <w:r>
        <w:rPr>
          <w:rFonts w:cs="Arial"/>
          <w:color w:val="000000"/>
          <w:vertAlign w:val="subscript"/>
          <w:lang w:val="en-US"/>
        </w:rPr>
        <w:t>3</w:t>
      </w:r>
      <w:r>
        <w:rPr>
          <w:rFonts w:cs="Arial"/>
          <w:color w:val="000000"/>
          <w:lang w:val="en-US"/>
        </w:rPr>
        <w:t xml:space="preserve"> coefficient is the most significant variable, indicating the financial crisis’ effects on auditors’ conservatism. Precisely, for the period 2005-2006, b</w:t>
      </w:r>
      <w:r>
        <w:rPr>
          <w:rFonts w:cs="Arial"/>
          <w:color w:val="000000"/>
          <w:vertAlign w:val="subscript"/>
          <w:lang w:val="en-US"/>
        </w:rPr>
        <w:t xml:space="preserve">3 </w:t>
      </w:r>
      <w:r>
        <w:rPr>
          <w:rFonts w:cs="Arial"/>
          <w:color w:val="000000"/>
          <w:lang w:val="en-US"/>
        </w:rPr>
        <w:t xml:space="preserve">= 0,013. This value is significant at the 0,10 significance level and as predicted, it is positively related with the </w:t>
      </w:r>
      <w:r w:rsidRPr="001E0B9C">
        <w:rPr>
          <w:rFonts w:cs="Arial"/>
          <w:color w:val="000000"/>
          <w:lang w:val="en-US"/>
        </w:rPr>
        <w:t>X</w:t>
      </w:r>
      <w:r w:rsidRPr="001E0B9C">
        <w:rPr>
          <w:rFonts w:cs="Arial"/>
          <w:i/>
          <w:color w:val="000000"/>
          <w:vertAlign w:val="subscript"/>
          <w:lang w:val="en-US"/>
        </w:rPr>
        <w:t>it</w:t>
      </w:r>
      <w:r w:rsidRPr="001E0B9C">
        <w:rPr>
          <w:rFonts w:cs="Arial"/>
          <w:color w:val="000000"/>
          <w:lang w:val="en-US"/>
        </w:rPr>
        <w:t>/P</w:t>
      </w:r>
      <w:r w:rsidRPr="001E0B9C">
        <w:rPr>
          <w:rFonts w:cs="Arial"/>
          <w:color w:val="000000"/>
          <w:vertAlign w:val="subscript"/>
          <w:lang w:val="en-US"/>
        </w:rPr>
        <w:t>it-1</w:t>
      </w:r>
      <w:r>
        <w:rPr>
          <w:rFonts w:cs="Arial"/>
          <w:color w:val="000000"/>
          <w:lang w:val="en-US"/>
        </w:rPr>
        <w:t xml:space="preserve"> variable, measuring auditors’ conservatism. Regarding the 2008-2009 period, b</w:t>
      </w:r>
      <w:r>
        <w:rPr>
          <w:rFonts w:cs="Arial"/>
          <w:color w:val="000000"/>
          <w:vertAlign w:val="subscript"/>
          <w:lang w:val="en-US"/>
        </w:rPr>
        <w:t xml:space="preserve">3 </w:t>
      </w:r>
      <w:r>
        <w:rPr>
          <w:rFonts w:cs="Arial"/>
          <w:color w:val="000000"/>
          <w:lang w:val="en-US"/>
        </w:rPr>
        <w:t>= 0,006 and that is a significant value in the 0,01 significance level. The relation between the sensitivity of earnings to positive or negative returns that proxies auditors’ conservatism and the ratio of earnings per share (EPS) to the price of the share at the beginning of the year, is also positive but in a decreased level, contradicting Hypothesis 1. According to this Hypothesis, the b</w:t>
      </w:r>
      <w:r>
        <w:rPr>
          <w:rFonts w:cs="Arial"/>
          <w:color w:val="000000"/>
          <w:vertAlign w:val="subscript"/>
          <w:lang w:val="en-US"/>
        </w:rPr>
        <w:t xml:space="preserve">3 </w:t>
      </w:r>
      <w:r>
        <w:rPr>
          <w:rFonts w:cs="Arial"/>
          <w:color w:val="000000"/>
          <w:lang w:val="en-US"/>
        </w:rPr>
        <w:t>of the 2005 and 2006 years should be lower in value than the b</w:t>
      </w:r>
      <w:r>
        <w:rPr>
          <w:rFonts w:cs="Arial"/>
          <w:color w:val="000000"/>
          <w:vertAlign w:val="subscript"/>
          <w:lang w:val="en-US"/>
        </w:rPr>
        <w:t xml:space="preserve">3 </w:t>
      </w:r>
      <w:r>
        <w:rPr>
          <w:rFonts w:cs="Arial"/>
          <w:color w:val="000000"/>
          <w:lang w:val="en-US"/>
        </w:rPr>
        <w:t xml:space="preserve">of the 2008 and 2009 years. However, 0,013 &gt; 0,006, which is not consistent with the stated predictions. Overall, the pooled regression analysis shows that auditors’ conservatism was in fact higher in the years before the financial crisis, than in the years during the financial crisis. This is opposite to the prediction of higher conservatism levels in the years during the financial crisis compared to the years before the financial crisis. </w:t>
      </w:r>
    </w:p>
    <w:p w:rsidR="00FD5242" w:rsidRDefault="00FD5242" w:rsidP="0035205C">
      <w:pPr>
        <w:autoSpaceDE w:val="0"/>
        <w:autoSpaceDN w:val="0"/>
        <w:adjustRightInd w:val="0"/>
        <w:spacing w:after="0" w:line="360" w:lineRule="auto"/>
        <w:jc w:val="both"/>
        <w:rPr>
          <w:rFonts w:cs="Arial"/>
          <w:color w:val="000000"/>
          <w:lang w:val="en-US"/>
        </w:rPr>
      </w:pPr>
      <w:r>
        <w:rPr>
          <w:rFonts w:cs="Arial"/>
          <w:color w:val="000000"/>
          <w:lang w:val="en-US"/>
        </w:rPr>
        <w:t xml:space="preserve">    Similar evidence was found in the study of Herrmann et al. (2008) though, which showed increased levels concerning auditors’ conservatism in the subsequent of the crisis years compared to the years during the financial crisis. In periods of crisis, auditors are according to this evidence found more confused in comparison with the years before or after a financial crisis, regarding to their use of conservatism.</w:t>
      </w:r>
    </w:p>
    <w:p w:rsidR="00FD5242" w:rsidRDefault="00FD5242" w:rsidP="0035205C">
      <w:pPr>
        <w:autoSpaceDE w:val="0"/>
        <w:autoSpaceDN w:val="0"/>
        <w:adjustRightInd w:val="0"/>
        <w:spacing w:after="0" w:line="360" w:lineRule="auto"/>
        <w:jc w:val="both"/>
        <w:rPr>
          <w:rFonts w:cs="Arial"/>
          <w:color w:val="000000"/>
          <w:lang w:val="en-US"/>
        </w:rPr>
      </w:pPr>
      <w:r>
        <w:rPr>
          <w:rFonts w:cs="Arial"/>
          <w:color w:val="000000"/>
          <w:lang w:val="en-US"/>
        </w:rPr>
        <w:t xml:space="preserve">    The results of the statistical model show relatively lower audit conservatism during the years of the financial crisis compared to the years before the emergence of the crisis. It can be argued that these findings are partly associated with the Dutch accounting regulations’ system. The Netherlands is a code law country; all laws and consequently accounting regulations are strictly prescribed and defined in detail. Consequently, less professional judgment is required. Auditors are likely to rely in the prescribed standards and practices seeking for the assurance of their professional due care, instead of exercising high professional judgment and make efforts in order to adjust to the increased levels of audit skepticism that is required in turbulent times. </w:t>
      </w:r>
    </w:p>
    <w:p w:rsidR="00FD5242" w:rsidRDefault="00FD5242" w:rsidP="0035205C">
      <w:pPr>
        <w:autoSpaceDE w:val="0"/>
        <w:autoSpaceDN w:val="0"/>
        <w:adjustRightInd w:val="0"/>
        <w:spacing w:after="0" w:line="360" w:lineRule="auto"/>
        <w:jc w:val="both"/>
        <w:rPr>
          <w:rFonts w:cs="Arial"/>
          <w:color w:val="000000"/>
          <w:lang w:val="en-US"/>
        </w:rPr>
      </w:pPr>
      <w:r>
        <w:rPr>
          <w:rFonts w:cs="Arial"/>
          <w:color w:val="000000"/>
          <w:lang w:val="en-US"/>
        </w:rPr>
        <w:t xml:space="preserve">    Recent developments in the Dutch auditing profession though are in a higher degree associated with the particular results. Specifically, the recent research conducted by the Netherlands Authority for Financial Markets (2010) found that Big Four auditors were performing lower quality statutory audits during 2008, which was the first year of the crisis. The quality of the audits are in a significant degree related with the levels of professional conservatism, in that high quality audits are conducted with the use of higher conservatism levels. </w:t>
      </w:r>
    </w:p>
    <w:p w:rsidR="00FD5242" w:rsidRDefault="00FD5242" w:rsidP="0035205C">
      <w:pPr>
        <w:autoSpaceDE w:val="0"/>
        <w:autoSpaceDN w:val="0"/>
        <w:adjustRightInd w:val="0"/>
        <w:spacing w:after="0" w:line="360" w:lineRule="auto"/>
        <w:jc w:val="both"/>
        <w:rPr>
          <w:rFonts w:cs="Arial"/>
          <w:color w:val="000000"/>
          <w:lang w:val="en-US"/>
        </w:rPr>
      </w:pPr>
      <w:r>
        <w:rPr>
          <w:rFonts w:cs="Arial"/>
          <w:color w:val="000000"/>
          <w:lang w:val="en-US"/>
        </w:rPr>
        <w:t>So far, these two studies are the only ones investigating auditors’ behavior in the last 2 years (2008 and 2009) and they have both found evidence of limited loyalty in the high professional standards regarding financial statement audits.</w:t>
      </w:r>
    </w:p>
    <w:p w:rsidR="00FD5242" w:rsidRDefault="00FD5242" w:rsidP="0035205C">
      <w:pPr>
        <w:autoSpaceDE w:val="0"/>
        <w:autoSpaceDN w:val="0"/>
        <w:adjustRightInd w:val="0"/>
        <w:spacing w:after="0" w:line="360" w:lineRule="auto"/>
        <w:jc w:val="both"/>
        <w:rPr>
          <w:rFonts w:cs="Arial"/>
          <w:color w:val="000000"/>
          <w:lang w:val="en-US"/>
        </w:rPr>
      </w:pPr>
      <w:r>
        <w:rPr>
          <w:rFonts w:cs="Arial"/>
          <w:color w:val="000000"/>
          <w:lang w:val="en-US"/>
        </w:rPr>
        <w:t xml:space="preserve">    Complementary evidence is presented, concerning the results generated by the linear regression analysis conducted for each investigated year.  </w:t>
      </w:r>
    </w:p>
    <w:p w:rsidR="00FD5242" w:rsidRDefault="00FD5242" w:rsidP="0035205C">
      <w:pPr>
        <w:autoSpaceDE w:val="0"/>
        <w:autoSpaceDN w:val="0"/>
        <w:adjustRightInd w:val="0"/>
        <w:spacing w:after="0" w:line="360" w:lineRule="auto"/>
        <w:jc w:val="both"/>
        <w:rPr>
          <w:rFonts w:cs="Arial"/>
          <w:color w:val="000000"/>
          <w:lang w:val="en-US"/>
        </w:rPr>
      </w:pPr>
    </w:p>
    <w:p w:rsidR="00FD5242" w:rsidRDefault="00FD5242" w:rsidP="0035205C">
      <w:pPr>
        <w:autoSpaceDE w:val="0"/>
        <w:autoSpaceDN w:val="0"/>
        <w:adjustRightInd w:val="0"/>
        <w:spacing w:after="0" w:line="360" w:lineRule="auto"/>
        <w:jc w:val="both"/>
        <w:rPr>
          <w:rFonts w:cs="Arial"/>
          <w:color w:val="000000"/>
          <w:lang w:val="en-US"/>
        </w:rPr>
      </w:pPr>
      <w:r>
        <w:rPr>
          <w:rFonts w:cs="Arial"/>
          <w:color w:val="000000"/>
          <w:lang w:val="en-US"/>
        </w:rPr>
        <w:t xml:space="preserve">7.1.4. </w:t>
      </w:r>
      <w:r w:rsidRPr="00B05C65">
        <w:rPr>
          <w:rFonts w:cs="Arial"/>
          <w:i/>
          <w:color w:val="000000"/>
          <w:u w:val="single"/>
          <w:lang w:val="en-US"/>
        </w:rPr>
        <w:t xml:space="preserve">Complementary evidence concerning data for the years 2005, 2006, 2008 and 2009 </w:t>
      </w:r>
      <w:r>
        <w:rPr>
          <w:rFonts w:cs="Arial"/>
          <w:color w:val="000000"/>
          <w:lang w:val="en-US"/>
        </w:rPr>
        <w:t xml:space="preserve">  </w:t>
      </w:r>
    </w:p>
    <w:p w:rsidR="00FD5242" w:rsidRDefault="00FD5242" w:rsidP="0035205C">
      <w:pPr>
        <w:autoSpaceDE w:val="0"/>
        <w:autoSpaceDN w:val="0"/>
        <w:adjustRightInd w:val="0"/>
        <w:spacing w:after="0" w:line="360" w:lineRule="auto"/>
        <w:jc w:val="both"/>
        <w:rPr>
          <w:rFonts w:cs="Arial"/>
          <w:color w:val="000000"/>
          <w:lang w:val="en-US"/>
        </w:rPr>
      </w:pPr>
    </w:p>
    <w:p w:rsidR="00FD5242" w:rsidRDefault="00FD5242" w:rsidP="0035205C">
      <w:pPr>
        <w:autoSpaceDE w:val="0"/>
        <w:autoSpaceDN w:val="0"/>
        <w:adjustRightInd w:val="0"/>
        <w:spacing w:after="0" w:line="360" w:lineRule="auto"/>
        <w:jc w:val="both"/>
        <w:rPr>
          <w:rFonts w:cs="Arial"/>
          <w:color w:val="000000"/>
          <w:lang w:val="en-US"/>
        </w:rPr>
      </w:pPr>
      <w:r>
        <w:rPr>
          <w:rFonts w:cs="Arial"/>
          <w:color w:val="000000"/>
          <w:lang w:val="en-US"/>
        </w:rPr>
        <w:t xml:space="preserve">    The subsequently presented tables contain information about the coefficient results after running a simple linear regression analysis using Model 2 for each year separately. This statistical investigation was conducted in order to provide additional support to the primary pooled regression analyses of the investigated periods. However, evidence turn out to be mixed and consequently do not fulfill their goal, in that these results cannot be considered as scientifically robust.</w:t>
      </w:r>
    </w:p>
    <w:p w:rsidR="00FD5242" w:rsidRDefault="00FD5242" w:rsidP="0035205C">
      <w:pPr>
        <w:autoSpaceDE w:val="0"/>
        <w:autoSpaceDN w:val="0"/>
        <w:adjustRightInd w:val="0"/>
        <w:spacing w:after="0" w:line="360" w:lineRule="auto"/>
        <w:jc w:val="both"/>
        <w:rPr>
          <w:rFonts w:cs="Arial"/>
          <w:color w:val="000000"/>
          <w:lang w:val="en-US"/>
        </w:rPr>
      </w:pPr>
      <w:r>
        <w:rPr>
          <w:rFonts w:cs="Arial"/>
          <w:color w:val="000000"/>
          <w:lang w:val="en-US"/>
        </w:rPr>
        <w:t>The lower validity level of the linear regression analyses is also shown by the lower value of the R, and Adjusted R squared.</w:t>
      </w:r>
    </w:p>
    <w:p w:rsidR="00FD5242" w:rsidRDefault="00FD5242" w:rsidP="0035205C">
      <w:pPr>
        <w:autoSpaceDE w:val="0"/>
        <w:autoSpaceDN w:val="0"/>
        <w:adjustRightInd w:val="0"/>
        <w:spacing w:after="0" w:line="360" w:lineRule="auto"/>
        <w:jc w:val="both"/>
        <w:rPr>
          <w:rFonts w:cs="Arial"/>
          <w:color w:val="000000"/>
          <w:lang w:val="en-US"/>
        </w:rPr>
      </w:pPr>
    </w:p>
    <w:p w:rsidR="00FD5242" w:rsidRDefault="00FD5242" w:rsidP="0035205C">
      <w:pPr>
        <w:autoSpaceDE w:val="0"/>
        <w:autoSpaceDN w:val="0"/>
        <w:adjustRightInd w:val="0"/>
        <w:spacing w:after="0" w:line="360" w:lineRule="auto"/>
        <w:jc w:val="both"/>
        <w:rPr>
          <w:rFonts w:cs="Arial"/>
          <w:color w:val="000000"/>
          <w:lang w:val="en-US"/>
        </w:rPr>
      </w:pPr>
    </w:p>
    <w:p w:rsidR="00FD5242" w:rsidRDefault="00FD5242" w:rsidP="0035205C">
      <w:pPr>
        <w:autoSpaceDE w:val="0"/>
        <w:autoSpaceDN w:val="0"/>
        <w:adjustRightInd w:val="0"/>
        <w:spacing w:after="0" w:line="360" w:lineRule="auto"/>
        <w:jc w:val="both"/>
        <w:rPr>
          <w:rFonts w:cs="Arial"/>
          <w:color w:val="000000"/>
          <w:lang w:val="en-US"/>
        </w:rPr>
      </w:pPr>
    </w:p>
    <w:p w:rsidR="00FD5242" w:rsidRDefault="00FD5242" w:rsidP="0035205C">
      <w:pPr>
        <w:autoSpaceDE w:val="0"/>
        <w:autoSpaceDN w:val="0"/>
        <w:adjustRightInd w:val="0"/>
        <w:spacing w:after="0" w:line="360" w:lineRule="auto"/>
        <w:jc w:val="both"/>
        <w:rPr>
          <w:rFonts w:cs="Arial"/>
          <w:color w:val="000000"/>
          <w:lang w:val="en-US"/>
        </w:rPr>
      </w:pPr>
    </w:p>
    <w:p w:rsidR="00FD5242" w:rsidRDefault="00FD5242" w:rsidP="0035205C">
      <w:pPr>
        <w:autoSpaceDE w:val="0"/>
        <w:autoSpaceDN w:val="0"/>
        <w:adjustRightInd w:val="0"/>
        <w:spacing w:after="0" w:line="360" w:lineRule="auto"/>
        <w:jc w:val="both"/>
        <w:rPr>
          <w:rFonts w:cs="Arial"/>
          <w:color w:val="000000"/>
          <w:lang w:val="en-US"/>
        </w:rPr>
      </w:pPr>
    </w:p>
    <w:p w:rsidR="00FD5242" w:rsidRPr="00CC1B80" w:rsidRDefault="00FD5242" w:rsidP="00BE1A97">
      <w:pPr>
        <w:autoSpaceDE w:val="0"/>
        <w:autoSpaceDN w:val="0"/>
        <w:adjustRightInd w:val="0"/>
        <w:spacing w:after="0" w:line="400" w:lineRule="atLeast"/>
        <w:jc w:val="both"/>
        <w:rPr>
          <w:rFonts w:cs="Arial"/>
          <w:b/>
          <w:color w:val="000000"/>
          <w:lang w:val="en-US"/>
        </w:rPr>
      </w:pPr>
      <w:r w:rsidRPr="00CC1B80">
        <w:rPr>
          <w:rFonts w:cs="Arial"/>
          <w:b/>
          <w:color w:val="000000"/>
          <w:lang w:val="en-US"/>
        </w:rPr>
        <w:t>Table 7a: Linear regression analysis for the year 2005</w:t>
      </w:r>
    </w:p>
    <w:p w:rsidR="00FD5242" w:rsidRPr="00BD0E25" w:rsidRDefault="00FD5242" w:rsidP="00BD2C46">
      <w:pPr>
        <w:autoSpaceDE w:val="0"/>
        <w:autoSpaceDN w:val="0"/>
        <w:adjustRightInd w:val="0"/>
        <w:spacing w:after="0" w:line="240" w:lineRule="auto"/>
        <w:rPr>
          <w:rFonts w:cs="Arial"/>
          <w:sz w:val="18"/>
          <w:szCs w:val="18"/>
          <w:lang w:val="en-US"/>
        </w:rPr>
      </w:pPr>
    </w:p>
    <w:tbl>
      <w:tblPr>
        <w:tblW w:w="8183" w:type="dxa"/>
        <w:tblInd w:w="30" w:type="dxa"/>
        <w:tblLayout w:type="fixed"/>
        <w:tblCellMar>
          <w:left w:w="0" w:type="dxa"/>
          <w:right w:w="0" w:type="dxa"/>
        </w:tblCellMar>
        <w:tblLook w:val="0000"/>
      </w:tblPr>
      <w:tblGrid>
        <w:gridCol w:w="3387"/>
        <w:gridCol w:w="1011"/>
        <w:gridCol w:w="1300"/>
        <w:gridCol w:w="1299"/>
        <w:gridCol w:w="1186"/>
      </w:tblGrid>
      <w:tr w:rsidR="00FD5242" w:rsidRPr="009E2EF6" w:rsidTr="00C00977">
        <w:trPr>
          <w:trHeight w:val="254"/>
        </w:trPr>
        <w:tc>
          <w:tcPr>
            <w:tcW w:w="6997" w:type="dxa"/>
            <w:gridSpan w:val="4"/>
            <w:tcBorders>
              <w:top w:val="double" w:sz="4" w:space="0" w:color="auto"/>
              <w:left w:val="double" w:sz="4" w:space="0" w:color="auto"/>
              <w:bottom w:val="nil"/>
              <w:right w:val="nil"/>
            </w:tcBorders>
            <w:vAlign w:val="bottom"/>
          </w:tcPr>
          <w:p w:rsidR="00FD5242" w:rsidRPr="0035205C" w:rsidRDefault="00FD5242" w:rsidP="0024791A">
            <w:pPr>
              <w:autoSpaceDE w:val="0"/>
              <w:autoSpaceDN w:val="0"/>
              <w:adjustRightInd w:val="0"/>
              <w:spacing w:after="0" w:line="240" w:lineRule="auto"/>
              <w:rPr>
                <w:rFonts w:cs="Arial"/>
                <w:color w:val="000000"/>
                <w:lang w:val="en-US"/>
              </w:rPr>
            </w:pPr>
            <w:r w:rsidRPr="0035205C">
              <w:rPr>
                <w:rFonts w:cs="Arial"/>
                <w:color w:val="000000"/>
                <w:lang w:val="en-US"/>
              </w:rPr>
              <w:t>Dependent Variable: X</w:t>
            </w:r>
            <w:r w:rsidRPr="0035205C">
              <w:rPr>
                <w:rFonts w:cs="Arial"/>
                <w:color w:val="000000"/>
                <w:vertAlign w:val="subscript"/>
                <w:lang w:val="en-US"/>
              </w:rPr>
              <w:t>it</w:t>
            </w:r>
            <w:r w:rsidRPr="0035205C">
              <w:rPr>
                <w:rFonts w:cs="Arial"/>
                <w:color w:val="000000"/>
                <w:lang w:val="en-US"/>
              </w:rPr>
              <w:t>/P</w:t>
            </w:r>
            <w:r w:rsidRPr="0035205C">
              <w:rPr>
                <w:rFonts w:cs="Arial"/>
                <w:color w:val="000000"/>
                <w:vertAlign w:val="subscript"/>
                <w:lang w:val="en-US"/>
              </w:rPr>
              <w:t>it-1</w:t>
            </w:r>
            <w:r>
              <w:rPr>
                <w:rFonts w:cs="Arial"/>
                <w:color w:val="000000"/>
                <w:lang w:val="en-US"/>
              </w:rPr>
              <w:t xml:space="preserve">  (Conservatism</w:t>
            </w:r>
            <w:r w:rsidRPr="0035205C">
              <w:rPr>
                <w:rFonts w:cs="Arial"/>
                <w:color w:val="000000"/>
                <w:lang w:val="en-US"/>
              </w:rPr>
              <w:t>)</w:t>
            </w:r>
          </w:p>
        </w:tc>
        <w:tc>
          <w:tcPr>
            <w:tcW w:w="1186" w:type="dxa"/>
            <w:tcBorders>
              <w:top w:val="double" w:sz="4" w:space="0" w:color="auto"/>
              <w:left w:val="nil"/>
              <w:bottom w:val="nil"/>
              <w:right w:val="double" w:sz="4" w:space="0" w:color="auto"/>
            </w:tcBorders>
            <w:vAlign w:val="bottom"/>
          </w:tcPr>
          <w:p w:rsidR="00FD5242" w:rsidRPr="0035205C" w:rsidRDefault="00FD5242" w:rsidP="0024791A">
            <w:pPr>
              <w:autoSpaceDE w:val="0"/>
              <w:autoSpaceDN w:val="0"/>
              <w:adjustRightInd w:val="0"/>
              <w:spacing w:after="0" w:line="240" w:lineRule="auto"/>
              <w:jc w:val="center"/>
              <w:rPr>
                <w:rFonts w:cs="Arial"/>
                <w:color w:val="000000"/>
                <w:lang w:val="en-US"/>
              </w:rPr>
            </w:pPr>
          </w:p>
        </w:tc>
      </w:tr>
      <w:tr w:rsidR="00FD5242" w:rsidRPr="0035205C" w:rsidTr="00C00977">
        <w:trPr>
          <w:trHeight w:val="254"/>
        </w:trPr>
        <w:tc>
          <w:tcPr>
            <w:tcW w:w="5698" w:type="dxa"/>
            <w:gridSpan w:val="3"/>
            <w:tcBorders>
              <w:top w:val="nil"/>
              <w:left w:val="double" w:sz="4" w:space="0" w:color="auto"/>
              <w:bottom w:val="nil"/>
              <w:right w:val="nil"/>
            </w:tcBorders>
            <w:vAlign w:val="bottom"/>
          </w:tcPr>
          <w:p w:rsidR="00FD5242" w:rsidRPr="0035205C" w:rsidRDefault="00FD5242" w:rsidP="0024791A">
            <w:pPr>
              <w:autoSpaceDE w:val="0"/>
              <w:autoSpaceDN w:val="0"/>
              <w:adjustRightInd w:val="0"/>
              <w:spacing w:after="0" w:line="240" w:lineRule="auto"/>
              <w:rPr>
                <w:rFonts w:cs="Arial"/>
                <w:color w:val="000000"/>
              </w:rPr>
            </w:pPr>
            <w:r w:rsidRPr="0035205C">
              <w:rPr>
                <w:rFonts w:cs="Arial"/>
                <w:color w:val="000000"/>
              </w:rPr>
              <w:t>Method: Least Squares</w:t>
            </w:r>
          </w:p>
        </w:tc>
        <w:tc>
          <w:tcPr>
            <w:tcW w:w="1299"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c>
          <w:tcPr>
            <w:tcW w:w="1186" w:type="dxa"/>
            <w:tcBorders>
              <w:top w:val="nil"/>
              <w:left w:val="nil"/>
              <w:bottom w:val="nil"/>
              <w:right w:val="double" w:sz="4" w:space="0" w:color="auto"/>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r>
      <w:tr w:rsidR="00FD5242" w:rsidRPr="009E2EF6" w:rsidTr="00C00977">
        <w:trPr>
          <w:trHeight w:val="254"/>
        </w:trPr>
        <w:tc>
          <w:tcPr>
            <w:tcW w:w="5698" w:type="dxa"/>
            <w:gridSpan w:val="3"/>
            <w:tcBorders>
              <w:top w:val="nil"/>
              <w:left w:val="double" w:sz="4" w:space="0" w:color="auto"/>
              <w:bottom w:val="nil"/>
              <w:right w:val="nil"/>
            </w:tcBorders>
            <w:vAlign w:val="bottom"/>
          </w:tcPr>
          <w:p w:rsidR="00FD5242" w:rsidRPr="0035205C" w:rsidRDefault="00FD5242" w:rsidP="0024791A">
            <w:pPr>
              <w:autoSpaceDE w:val="0"/>
              <w:autoSpaceDN w:val="0"/>
              <w:adjustRightInd w:val="0"/>
              <w:spacing w:after="0" w:line="240" w:lineRule="auto"/>
              <w:rPr>
                <w:rFonts w:cs="Arial"/>
                <w:color w:val="000000"/>
                <w:lang w:val="en-US"/>
              </w:rPr>
            </w:pPr>
            <w:r w:rsidRPr="0035205C">
              <w:rPr>
                <w:rFonts w:cs="Arial"/>
                <w:color w:val="000000"/>
                <w:lang w:val="en-US"/>
              </w:rPr>
              <w:t>Sample (adjusted): 1 51</w:t>
            </w:r>
          </w:p>
          <w:p w:rsidR="00FD5242" w:rsidRPr="0035205C" w:rsidRDefault="00FD5242" w:rsidP="0024791A">
            <w:pPr>
              <w:autoSpaceDE w:val="0"/>
              <w:autoSpaceDN w:val="0"/>
              <w:adjustRightInd w:val="0"/>
              <w:spacing w:after="0" w:line="240" w:lineRule="auto"/>
              <w:rPr>
                <w:rFonts w:cs="Arial"/>
                <w:color w:val="000000"/>
                <w:lang w:val="en-US"/>
              </w:rPr>
            </w:pPr>
            <w:r w:rsidRPr="0035205C">
              <w:rPr>
                <w:rFonts w:cs="Arial"/>
                <w:color w:val="000000"/>
                <w:lang w:val="en-US"/>
              </w:rPr>
              <w:t>X</w:t>
            </w:r>
            <w:r w:rsidRPr="0035205C">
              <w:rPr>
                <w:rFonts w:cs="Arial"/>
                <w:i/>
                <w:color w:val="000000"/>
                <w:vertAlign w:val="subscript"/>
                <w:lang w:val="en-US"/>
              </w:rPr>
              <w:t>it</w:t>
            </w:r>
            <w:r w:rsidRPr="0035205C">
              <w:rPr>
                <w:rFonts w:cs="Arial"/>
                <w:color w:val="000000"/>
                <w:lang w:val="en-US"/>
              </w:rPr>
              <w:t>/P</w:t>
            </w:r>
            <w:r w:rsidRPr="0035205C">
              <w:rPr>
                <w:rFonts w:cs="Arial"/>
                <w:color w:val="000000"/>
                <w:vertAlign w:val="subscript"/>
                <w:lang w:val="en-US"/>
              </w:rPr>
              <w:t>it-1</w:t>
            </w:r>
            <w:r w:rsidRPr="0035205C">
              <w:rPr>
                <w:rFonts w:cs="Arial"/>
                <w:color w:val="000000"/>
                <w:lang w:val="en-US"/>
              </w:rPr>
              <w:t>=b</w:t>
            </w:r>
            <w:r w:rsidRPr="0035205C">
              <w:rPr>
                <w:rFonts w:cs="Arial"/>
                <w:color w:val="000000"/>
                <w:vertAlign w:val="subscript"/>
                <w:lang w:val="en-US"/>
              </w:rPr>
              <w:t>0</w:t>
            </w:r>
            <w:r w:rsidRPr="0035205C">
              <w:rPr>
                <w:rFonts w:cs="Arial"/>
                <w:color w:val="000000"/>
                <w:lang w:val="en-US"/>
              </w:rPr>
              <w:t>+b</w:t>
            </w:r>
            <w:r w:rsidRPr="0035205C">
              <w:rPr>
                <w:rFonts w:cs="Arial"/>
                <w:color w:val="000000"/>
                <w:vertAlign w:val="subscript"/>
                <w:lang w:val="en-US"/>
              </w:rPr>
              <w:t>1</w:t>
            </w:r>
            <w:r w:rsidRPr="0035205C">
              <w:rPr>
                <w:rFonts w:cs="Arial"/>
                <w:color w:val="000000"/>
                <w:lang w:val="en-US"/>
              </w:rPr>
              <w:t>*DR</w:t>
            </w:r>
            <w:r w:rsidRPr="0035205C">
              <w:rPr>
                <w:rFonts w:cs="Arial"/>
                <w:i/>
                <w:color w:val="000000"/>
                <w:vertAlign w:val="subscript"/>
                <w:lang w:val="en-US"/>
              </w:rPr>
              <w:t>it</w:t>
            </w:r>
            <w:r w:rsidRPr="0035205C">
              <w:rPr>
                <w:rFonts w:cs="Arial"/>
                <w:color w:val="000000"/>
                <w:lang w:val="en-US"/>
              </w:rPr>
              <w:t>+b</w:t>
            </w:r>
            <w:r w:rsidRPr="0035205C">
              <w:rPr>
                <w:rFonts w:cs="Arial"/>
                <w:color w:val="000000"/>
                <w:vertAlign w:val="subscript"/>
                <w:lang w:val="en-US"/>
              </w:rPr>
              <w:t>2</w:t>
            </w:r>
            <w:r w:rsidRPr="0035205C">
              <w:rPr>
                <w:rFonts w:cs="Arial"/>
                <w:color w:val="000000"/>
                <w:lang w:val="en-US"/>
              </w:rPr>
              <w:t>*R</w:t>
            </w:r>
            <w:r w:rsidRPr="0035205C">
              <w:rPr>
                <w:rFonts w:cs="Arial"/>
                <w:color w:val="000000"/>
                <w:vertAlign w:val="subscript"/>
                <w:lang w:val="en-US"/>
              </w:rPr>
              <w:t>it</w:t>
            </w:r>
            <w:r w:rsidRPr="0035205C">
              <w:rPr>
                <w:rFonts w:cs="Arial"/>
                <w:color w:val="000000"/>
                <w:lang w:val="en-US"/>
              </w:rPr>
              <w:t>+b</w:t>
            </w:r>
            <w:r w:rsidRPr="0035205C">
              <w:rPr>
                <w:rFonts w:cs="Arial"/>
                <w:color w:val="000000"/>
                <w:vertAlign w:val="subscript"/>
                <w:lang w:val="en-US"/>
              </w:rPr>
              <w:t>3</w:t>
            </w:r>
            <w:r w:rsidRPr="0035205C">
              <w:rPr>
                <w:rFonts w:cs="Arial"/>
                <w:color w:val="000000"/>
                <w:lang w:val="en-US"/>
              </w:rPr>
              <w:t>*R</w:t>
            </w:r>
            <w:r w:rsidRPr="0035205C">
              <w:rPr>
                <w:rFonts w:cs="Arial"/>
                <w:i/>
                <w:color w:val="000000"/>
                <w:vertAlign w:val="subscript"/>
                <w:lang w:val="en-US"/>
              </w:rPr>
              <w:t>it</w:t>
            </w:r>
            <w:r w:rsidRPr="0035205C">
              <w:rPr>
                <w:rFonts w:cs="Arial"/>
                <w:color w:val="000000"/>
                <w:lang w:val="en-US"/>
              </w:rPr>
              <w:t>*DR</w:t>
            </w:r>
            <w:r w:rsidRPr="0035205C">
              <w:rPr>
                <w:rFonts w:cs="Arial"/>
                <w:i/>
                <w:color w:val="000000"/>
                <w:vertAlign w:val="subscript"/>
                <w:lang w:val="en-US"/>
              </w:rPr>
              <w:t>it</w:t>
            </w:r>
          </w:p>
        </w:tc>
        <w:tc>
          <w:tcPr>
            <w:tcW w:w="1299"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lang w:val="en-US"/>
              </w:rPr>
            </w:pPr>
          </w:p>
        </w:tc>
        <w:tc>
          <w:tcPr>
            <w:tcW w:w="1186" w:type="dxa"/>
            <w:tcBorders>
              <w:top w:val="nil"/>
              <w:left w:val="nil"/>
              <w:bottom w:val="nil"/>
              <w:right w:val="double" w:sz="4" w:space="0" w:color="auto"/>
            </w:tcBorders>
            <w:vAlign w:val="bottom"/>
          </w:tcPr>
          <w:p w:rsidR="00FD5242" w:rsidRPr="0035205C" w:rsidRDefault="00FD5242" w:rsidP="0035205C">
            <w:pPr>
              <w:autoSpaceDE w:val="0"/>
              <w:autoSpaceDN w:val="0"/>
              <w:adjustRightInd w:val="0"/>
              <w:spacing w:after="0" w:line="240" w:lineRule="auto"/>
              <w:ind w:hanging="306"/>
              <w:jc w:val="center"/>
              <w:rPr>
                <w:rFonts w:cs="Arial"/>
                <w:color w:val="000000"/>
                <w:lang w:val="en-US"/>
              </w:rPr>
            </w:pPr>
          </w:p>
        </w:tc>
      </w:tr>
      <w:tr w:rsidR="00FD5242" w:rsidRPr="009E2EF6" w:rsidTr="00C00977">
        <w:trPr>
          <w:trHeight w:hRule="exact" w:val="102"/>
        </w:trPr>
        <w:tc>
          <w:tcPr>
            <w:tcW w:w="3387" w:type="dxa"/>
            <w:tcBorders>
              <w:top w:val="nil"/>
              <w:left w:val="double" w:sz="4" w:space="0" w:color="auto"/>
              <w:bottom w:val="double" w:sz="6" w:space="2" w:color="auto"/>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lang w:val="en-US"/>
              </w:rPr>
            </w:pPr>
          </w:p>
        </w:tc>
        <w:tc>
          <w:tcPr>
            <w:tcW w:w="1011" w:type="dxa"/>
            <w:tcBorders>
              <w:top w:val="nil"/>
              <w:left w:val="nil"/>
              <w:bottom w:val="double" w:sz="6" w:space="2" w:color="auto"/>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lang w:val="en-US"/>
              </w:rPr>
            </w:pPr>
          </w:p>
        </w:tc>
        <w:tc>
          <w:tcPr>
            <w:tcW w:w="1300" w:type="dxa"/>
            <w:tcBorders>
              <w:top w:val="nil"/>
              <w:left w:val="nil"/>
              <w:bottom w:val="double" w:sz="6" w:space="2" w:color="auto"/>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lang w:val="en-US"/>
              </w:rPr>
            </w:pPr>
          </w:p>
        </w:tc>
        <w:tc>
          <w:tcPr>
            <w:tcW w:w="1299" w:type="dxa"/>
            <w:tcBorders>
              <w:top w:val="nil"/>
              <w:left w:val="nil"/>
              <w:bottom w:val="double" w:sz="6" w:space="2" w:color="auto"/>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lang w:val="en-US"/>
              </w:rPr>
            </w:pPr>
          </w:p>
        </w:tc>
        <w:tc>
          <w:tcPr>
            <w:tcW w:w="1186" w:type="dxa"/>
            <w:tcBorders>
              <w:top w:val="nil"/>
              <w:left w:val="nil"/>
              <w:bottom w:val="double" w:sz="6" w:space="2" w:color="auto"/>
              <w:right w:val="double" w:sz="4" w:space="0" w:color="auto"/>
            </w:tcBorders>
            <w:vAlign w:val="bottom"/>
          </w:tcPr>
          <w:p w:rsidR="00FD5242" w:rsidRPr="0035205C" w:rsidRDefault="00FD5242" w:rsidP="0024791A">
            <w:pPr>
              <w:autoSpaceDE w:val="0"/>
              <w:autoSpaceDN w:val="0"/>
              <w:adjustRightInd w:val="0"/>
              <w:spacing w:after="0" w:line="240" w:lineRule="auto"/>
              <w:jc w:val="center"/>
              <w:rPr>
                <w:rFonts w:cs="Arial"/>
                <w:color w:val="000000"/>
                <w:lang w:val="en-US"/>
              </w:rPr>
            </w:pPr>
          </w:p>
        </w:tc>
      </w:tr>
      <w:tr w:rsidR="00FD5242" w:rsidRPr="009E2EF6" w:rsidTr="00C00977">
        <w:trPr>
          <w:trHeight w:hRule="exact" w:val="153"/>
        </w:trPr>
        <w:tc>
          <w:tcPr>
            <w:tcW w:w="3387" w:type="dxa"/>
            <w:tcBorders>
              <w:top w:val="nil"/>
              <w:left w:val="double" w:sz="4" w:space="0" w:color="auto"/>
              <w:bottom w:val="nil"/>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lang w:val="en-US"/>
              </w:rPr>
            </w:pPr>
          </w:p>
        </w:tc>
        <w:tc>
          <w:tcPr>
            <w:tcW w:w="1011" w:type="dxa"/>
            <w:tcBorders>
              <w:top w:val="nil"/>
              <w:left w:val="nil"/>
              <w:bottom w:val="nil"/>
              <w:right w:val="nil"/>
            </w:tcBorders>
            <w:vAlign w:val="bottom"/>
          </w:tcPr>
          <w:p w:rsidR="00FD5242" w:rsidRPr="0035205C" w:rsidRDefault="00FD5242" w:rsidP="00C00977">
            <w:pPr>
              <w:autoSpaceDE w:val="0"/>
              <w:autoSpaceDN w:val="0"/>
              <w:adjustRightInd w:val="0"/>
              <w:spacing w:after="0" w:line="240" w:lineRule="auto"/>
              <w:jc w:val="center"/>
              <w:rPr>
                <w:rFonts w:cs="Arial"/>
                <w:color w:val="000000"/>
                <w:lang w:val="en-US"/>
              </w:rPr>
            </w:pPr>
          </w:p>
        </w:tc>
        <w:tc>
          <w:tcPr>
            <w:tcW w:w="1300" w:type="dxa"/>
            <w:tcBorders>
              <w:top w:val="nil"/>
              <w:left w:val="nil"/>
              <w:bottom w:val="nil"/>
              <w:right w:val="nil"/>
            </w:tcBorders>
            <w:vAlign w:val="bottom"/>
          </w:tcPr>
          <w:p w:rsidR="00FD5242" w:rsidRPr="0035205C" w:rsidRDefault="00FD5242" w:rsidP="00C00977">
            <w:pPr>
              <w:autoSpaceDE w:val="0"/>
              <w:autoSpaceDN w:val="0"/>
              <w:adjustRightInd w:val="0"/>
              <w:spacing w:after="0" w:line="240" w:lineRule="auto"/>
              <w:jc w:val="center"/>
              <w:rPr>
                <w:rFonts w:cs="Arial"/>
                <w:color w:val="000000"/>
                <w:lang w:val="en-US"/>
              </w:rPr>
            </w:pPr>
          </w:p>
        </w:tc>
        <w:tc>
          <w:tcPr>
            <w:tcW w:w="1299" w:type="dxa"/>
            <w:tcBorders>
              <w:top w:val="nil"/>
              <w:left w:val="nil"/>
              <w:bottom w:val="nil"/>
              <w:right w:val="nil"/>
            </w:tcBorders>
            <w:vAlign w:val="bottom"/>
          </w:tcPr>
          <w:p w:rsidR="00FD5242" w:rsidRPr="0035205C" w:rsidRDefault="00FD5242" w:rsidP="00C00977">
            <w:pPr>
              <w:autoSpaceDE w:val="0"/>
              <w:autoSpaceDN w:val="0"/>
              <w:adjustRightInd w:val="0"/>
              <w:spacing w:after="0" w:line="240" w:lineRule="auto"/>
              <w:jc w:val="center"/>
              <w:rPr>
                <w:rFonts w:cs="Arial"/>
                <w:color w:val="000000"/>
                <w:lang w:val="en-US"/>
              </w:rPr>
            </w:pPr>
          </w:p>
        </w:tc>
        <w:tc>
          <w:tcPr>
            <w:tcW w:w="1186" w:type="dxa"/>
            <w:tcBorders>
              <w:top w:val="nil"/>
              <w:left w:val="nil"/>
              <w:bottom w:val="nil"/>
              <w:right w:val="double" w:sz="4" w:space="0" w:color="auto"/>
            </w:tcBorders>
            <w:vAlign w:val="bottom"/>
          </w:tcPr>
          <w:p w:rsidR="00FD5242" w:rsidRPr="0035205C" w:rsidRDefault="00FD5242" w:rsidP="00C00977">
            <w:pPr>
              <w:autoSpaceDE w:val="0"/>
              <w:autoSpaceDN w:val="0"/>
              <w:adjustRightInd w:val="0"/>
              <w:spacing w:after="0" w:line="240" w:lineRule="auto"/>
              <w:jc w:val="center"/>
              <w:rPr>
                <w:rFonts w:cs="Arial"/>
                <w:color w:val="000000"/>
                <w:lang w:val="en-US"/>
              </w:rPr>
            </w:pPr>
          </w:p>
        </w:tc>
      </w:tr>
      <w:tr w:rsidR="00FD5242" w:rsidRPr="0035205C" w:rsidTr="00C00977">
        <w:trPr>
          <w:trHeight w:val="254"/>
        </w:trPr>
        <w:tc>
          <w:tcPr>
            <w:tcW w:w="3387" w:type="dxa"/>
            <w:tcBorders>
              <w:top w:val="nil"/>
              <w:left w:val="double" w:sz="4" w:space="0" w:color="auto"/>
              <w:bottom w:val="nil"/>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lang w:val="en-US"/>
              </w:rPr>
            </w:pPr>
          </w:p>
        </w:tc>
        <w:tc>
          <w:tcPr>
            <w:tcW w:w="1011" w:type="dxa"/>
            <w:tcBorders>
              <w:top w:val="nil"/>
              <w:left w:val="nil"/>
              <w:bottom w:val="nil"/>
              <w:right w:val="nil"/>
            </w:tcBorders>
            <w:vAlign w:val="bottom"/>
          </w:tcPr>
          <w:p w:rsidR="00FD5242" w:rsidRPr="0035205C" w:rsidRDefault="00FD5242" w:rsidP="00C00977">
            <w:pPr>
              <w:autoSpaceDE w:val="0"/>
              <w:autoSpaceDN w:val="0"/>
              <w:adjustRightInd w:val="0"/>
              <w:spacing w:after="0" w:line="240" w:lineRule="auto"/>
              <w:ind w:right="10"/>
              <w:jc w:val="center"/>
              <w:rPr>
                <w:rFonts w:cs="Arial"/>
                <w:color w:val="000000"/>
              </w:rPr>
            </w:pPr>
            <w:r w:rsidRPr="0035205C">
              <w:rPr>
                <w:rFonts w:cs="Arial"/>
                <w:color w:val="000000"/>
              </w:rPr>
              <w:t>Coefficient</w:t>
            </w:r>
          </w:p>
        </w:tc>
        <w:tc>
          <w:tcPr>
            <w:tcW w:w="1300" w:type="dxa"/>
            <w:tcBorders>
              <w:top w:val="nil"/>
              <w:left w:val="nil"/>
              <w:bottom w:val="nil"/>
              <w:right w:val="nil"/>
            </w:tcBorders>
            <w:vAlign w:val="bottom"/>
          </w:tcPr>
          <w:p w:rsidR="00FD5242" w:rsidRPr="0035205C" w:rsidRDefault="00FD5242" w:rsidP="00C00977">
            <w:pPr>
              <w:autoSpaceDE w:val="0"/>
              <w:autoSpaceDN w:val="0"/>
              <w:adjustRightInd w:val="0"/>
              <w:spacing w:after="0" w:line="240" w:lineRule="auto"/>
              <w:ind w:right="10"/>
              <w:jc w:val="center"/>
              <w:rPr>
                <w:rFonts w:cs="Arial"/>
                <w:color w:val="000000"/>
              </w:rPr>
            </w:pPr>
            <w:r w:rsidRPr="0035205C">
              <w:rPr>
                <w:rFonts w:cs="Arial"/>
                <w:color w:val="000000"/>
              </w:rPr>
              <w:t>Std. Error</w:t>
            </w:r>
          </w:p>
        </w:tc>
        <w:tc>
          <w:tcPr>
            <w:tcW w:w="1299" w:type="dxa"/>
            <w:tcBorders>
              <w:top w:val="nil"/>
              <w:left w:val="nil"/>
              <w:bottom w:val="nil"/>
              <w:right w:val="nil"/>
            </w:tcBorders>
            <w:vAlign w:val="bottom"/>
          </w:tcPr>
          <w:p w:rsidR="00FD5242" w:rsidRPr="0035205C" w:rsidRDefault="00FD5242" w:rsidP="00C00977">
            <w:pPr>
              <w:autoSpaceDE w:val="0"/>
              <w:autoSpaceDN w:val="0"/>
              <w:adjustRightInd w:val="0"/>
              <w:spacing w:after="0" w:line="240" w:lineRule="auto"/>
              <w:ind w:right="10"/>
              <w:jc w:val="center"/>
              <w:rPr>
                <w:rFonts w:cs="Arial"/>
                <w:color w:val="000000"/>
              </w:rPr>
            </w:pPr>
            <w:r w:rsidRPr="0035205C">
              <w:rPr>
                <w:rFonts w:cs="Arial"/>
                <w:color w:val="000000"/>
              </w:rPr>
              <w:t>t-Statistic</w:t>
            </w:r>
          </w:p>
        </w:tc>
        <w:tc>
          <w:tcPr>
            <w:tcW w:w="1186" w:type="dxa"/>
            <w:tcBorders>
              <w:top w:val="nil"/>
              <w:left w:val="nil"/>
              <w:bottom w:val="nil"/>
              <w:right w:val="double" w:sz="4" w:space="0" w:color="auto"/>
            </w:tcBorders>
            <w:vAlign w:val="bottom"/>
          </w:tcPr>
          <w:p w:rsidR="00FD5242" w:rsidRPr="0035205C" w:rsidRDefault="00FD5242" w:rsidP="00C00977">
            <w:pPr>
              <w:autoSpaceDE w:val="0"/>
              <w:autoSpaceDN w:val="0"/>
              <w:adjustRightInd w:val="0"/>
              <w:spacing w:after="0" w:line="240" w:lineRule="auto"/>
              <w:ind w:right="10"/>
              <w:jc w:val="center"/>
              <w:rPr>
                <w:rFonts w:cs="Arial"/>
                <w:color w:val="000000"/>
              </w:rPr>
            </w:pPr>
            <w:r w:rsidRPr="0035205C">
              <w:rPr>
                <w:rFonts w:cs="Arial"/>
                <w:color w:val="000000"/>
              </w:rPr>
              <w:t>Prob.</w:t>
            </w:r>
          </w:p>
        </w:tc>
      </w:tr>
      <w:tr w:rsidR="00FD5242" w:rsidRPr="0035205C" w:rsidTr="00C00977">
        <w:trPr>
          <w:trHeight w:hRule="exact" w:val="102"/>
        </w:trPr>
        <w:tc>
          <w:tcPr>
            <w:tcW w:w="3387" w:type="dxa"/>
            <w:tcBorders>
              <w:top w:val="nil"/>
              <w:left w:val="double" w:sz="4" w:space="0" w:color="auto"/>
              <w:bottom w:val="double" w:sz="6" w:space="2" w:color="auto"/>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c>
          <w:tcPr>
            <w:tcW w:w="1011" w:type="dxa"/>
            <w:tcBorders>
              <w:top w:val="nil"/>
              <w:left w:val="nil"/>
              <w:bottom w:val="double" w:sz="6" w:space="2" w:color="auto"/>
              <w:right w:val="nil"/>
            </w:tcBorders>
            <w:vAlign w:val="bottom"/>
          </w:tcPr>
          <w:p w:rsidR="00FD5242" w:rsidRPr="0035205C" w:rsidRDefault="00FD5242" w:rsidP="00C00977">
            <w:pPr>
              <w:autoSpaceDE w:val="0"/>
              <w:autoSpaceDN w:val="0"/>
              <w:adjustRightInd w:val="0"/>
              <w:spacing w:after="0" w:line="240" w:lineRule="auto"/>
              <w:rPr>
                <w:rFonts w:cs="Arial"/>
                <w:color w:val="000000"/>
              </w:rPr>
            </w:pPr>
          </w:p>
        </w:tc>
        <w:tc>
          <w:tcPr>
            <w:tcW w:w="1300" w:type="dxa"/>
            <w:tcBorders>
              <w:top w:val="nil"/>
              <w:left w:val="nil"/>
              <w:bottom w:val="double" w:sz="6" w:space="2" w:color="auto"/>
              <w:right w:val="nil"/>
            </w:tcBorders>
            <w:vAlign w:val="bottom"/>
          </w:tcPr>
          <w:p w:rsidR="00FD5242" w:rsidRPr="0035205C" w:rsidRDefault="00FD5242" w:rsidP="00C00977">
            <w:pPr>
              <w:autoSpaceDE w:val="0"/>
              <w:autoSpaceDN w:val="0"/>
              <w:adjustRightInd w:val="0"/>
              <w:spacing w:after="0" w:line="240" w:lineRule="auto"/>
              <w:jc w:val="both"/>
              <w:rPr>
                <w:rFonts w:cs="Arial"/>
                <w:color w:val="000000"/>
              </w:rPr>
            </w:pPr>
          </w:p>
        </w:tc>
        <w:tc>
          <w:tcPr>
            <w:tcW w:w="1299" w:type="dxa"/>
            <w:tcBorders>
              <w:top w:val="nil"/>
              <w:left w:val="nil"/>
              <w:bottom w:val="double" w:sz="6" w:space="2" w:color="auto"/>
              <w:right w:val="nil"/>
            </w:tcBorders>
            <w:vAlign w:val="bottom"/>
          </w:tcPr>
          <w:p w:rsidR="00FD5242" w:rsidRPr="0035205C" w:rsidRDefault="00FD5242" w:rsidP="00C00977">
            <w:pPr>
              <w:autoSpaceDE w:val="0"/>
              <w:autoSpaceDN w:val="0"/>
              <w:adjustRightInd w:val="0"/>
              <w:spacing w:after="0" w:line="240" w:lineRule="auto"/>
              <w:jc w:val="both"/>
              <w:rPr>
                <w:rFonts w:cs="Arial"/>
                <w:color w:val="000000"/>
              </w:rPr>
            </w:pPr>
          </w:p>
        </w:tc>
        <w:tc>
          <w:tcPr>
            <w:tcW w:w="1186" w:type="dxa"/>
            <w:tcBorders>
              <w:top w:val="nil"/>
              <w:left w:val="nil"/>
              <w:bottom w:val="double" w:sz="6" w:space="2" w:color="auto"/>
              <w:right w:val="double" w:sz="4" w:space="0" w:color="auto"/>
            </w:tcBorders>
            <w:vAlign w:val="bottom"/>
          </w:tcPr>
          <w:p w:rsidR="00FD5242" w:rsidRPr="0035205C" w:rsidRDefault="00FD5242" w:rsidP="00C00977">
            <w:pPr>
              <w:autoSpaceDE w:val="0"/>
              <w:autoSpaceDN w:val="0"/>
              <w:adjustRightInd w:val="0"/>
              <w:spacing w:after="0" w:line="240" w:lineRule="auto"/>
              <w:jc w:val="both"/>
              <w:rPr>
                <w:rFonts w:cs="Arial"/>
                <w:color w:val="000000"/>
              </w:rPr>
            </w:pPr>
          </w:p>
        </w:tc>
      </w:tr>
      <w:tr w:rsidR="00FD5242" w:rsidRPr="0035205C" w:rsidTr="00C00977">
        <w:trPr>
          <w:trHeight w:hRule="exact" w:val="153"/>
        </w:trPr>
        <w:tc>
          <w:tcPr>
            <w:tcW w:w="3387" w:type="dxa"/>
            <w:tcBorders>
              <w:top w:val="nil"/>
              <w:left w:val="double" w:sz="4" w:space="0" w:color="auto"/>
              <w:bottom w:val="nil"/>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c>
          <w:tcPr>
            <w:tcW w:w="1011" w:type="dxa"/>
            <w:tcBorders>
              <w:top w:val="nil"/>
              <w:left w:val="nil"/>
              <w:bottom w:val="nil"/>
              <w:right w:val="nil"/>
            </w:tcBorders>
            <w:vAlign w:val="bottom"/>
          </w:tcPr>
          <w:p w:rsidR="00FD5242" w:rsidRPr="0035205C" w:rsidRDefault="00FD5242" w:rsidP="00C00977">
            <w:pPr>
              <w:autoSpaceDE w:val="0"/>
              <w:autoSpaceDN w:val="0"/>
              <w:adjustRightInd w:val="0"/>
              <w:spacing w:after="0" w:line="240" w:lineRule="auto"/>
              <w:rPr>
                <w:rFonts w:cs="Arial"/>
                <w:color w:val="000000"/>
              </w:rPr>
            </w:pPr>
          </w:p>
        </w:tc>
        <w:tc>
          <w:tcPr>
            <w:tcW w:w="1300" w:type="dxa"/>
            <w:tcBorders>
              <w:top w:val="nil"/>
              <w:left w:val="nil"/>
              <w:bottom w:val="nil"/>
              <w:right w:val="nil"/>
            </w:tcBorders>
            <w:vAlign w:val="bottom"/>
          </w:tcPr>
          <w:p w:rsidR="00FD5242" w:rsidRPr="0035205C" w:rsidRDefault="00FD5242" w:rsidP="00C00977">
            <w:pPr>
              <w:autoSpaceDE w:val="0"/>
              <w:autoSpaceDN w:val="0"/>
              <w:adjustRightInd w:val="0"/>
              <w:spacing w:after="0" w:line="240" w:lineRule="auto"/>
              <w:jc w:val="both"/>
              <w:rPr>
                <w:rFonts w:cs="Arial"/>
                <w:color w:val="000000"/>
              </w:rPr>
            </w:pPr>
          </w:p>
        </w:tc>
        <w:tc>
          <w:tcPr>
            <w:tcW w:w="1299" w:type="dxa"/>
            <w:tcBorders>
              <w:top w:val="nil"/>
              <w:left w:val="nil"/>
              <w:bottom w:val="nil"/>
              <w:right w:val="nil"/>
            </w:tcBorders>
            <w:vAlign w:val="bottom"/>
          </w:tcPr>
          <w:p w:rsidR="00FD5242" w:rsidRPr="0035205C" w:rsidRDefault="00FD5242" w:rsidP="00C00977">
            <w:pPr>
              <w:autoSpaceDE w:val="0"/>
              <w:autoSpaceDN w:val="0"/>
              <w:adjustRightInd w:val="0"/>
              <w:spacing w:after="0" w:line="240" w:lineRule="auto"/>
              <w:jc w:val="both"/>
              <w:rPr>
                <w:rFonts w:cs="Arial"/>
                <w:color w:val="000000"/>
              </w:rPr>
            </w:pPr>
          </w:p>
        </w:tc>
        <w:tc>
          <w:tcPr>
            <w:tcW w:w="1186" w:type="dxa"/>
            <w:tcBorders>
              <w:top w:val="nil"/>
              <w:left w:val="nil"/>
              <w:bottom w:val="nil"/>
              <w:right w:val="double" w:sz="4" w:space="0" w:color="auto"/>
            </w:tcBorders>
            <w:vAlign w:val="bottom"/>
          </w:tcPr>
          <w:p w:rsidR="00FD5242" w:rsidRPr="0035205C" w:rsidRDefault="00FD5242" w:rsidP="00C00977">
            <w:pPr>
              <w:autoSpaceDE w:val="0"/>
              <w:autoSpaceDN w:val="0"/>
              <w:adjustRightInd w:val="0"/>
              <w:spacing w:after="0" w:line="240" w:lineRule="auto"/>
              <w:jc w:val="both"/>
              <w:rPr>
                <w:rFonts w:cs="Arial"/>
                <w:color w:val="000000"/>
              </w:rPr>
            </w:pPr>
          </w:p>
        </w:tc>
      </w:tr>
      <w:tr w:rsidR="00FD5242" w:rsidRPr="0035205C" w:rsidTr="00C00977">
        <w:trPr>
          <w:trHeight w:val="254"/>
        </w:trPr>
        <w:tc>
          <w:tcPr>
            <w:tcW w:w="3387" w:type="dxa"/>
            <w:tcBorders>
              <w:top w:val="nil"/>
              <w:left w:val="double" w:sz="4" w:space="0" w:color="auto"/>
              <w:bottom w:val="nil"/>
              <w:right w:val="nil"/>
            </w:tcBorders>
            <w:vAlign w:val="bottom"/>
          </w:tcPr>
          <w:p w:rsidR="00FD5242" w:rsidRPr="0035205C" w:rsidRDefault="00FD5242" w:rsidP="0024791A">
            <w:pPr>
              <w:autoSpaceDE w:val="0"/>
              <w:autoSpaceDN w:val="0"/>
              <w:adjustRightInd w:val="0"/>
              <w:spacing w:after="0" w:line="240" w:lineRule="auto"/>
              <w:jc w:val="both"/>
              <w:rPr>
                <w:rFonts w:cs="Arial"/>
                <w:color w:val="000000"/>
              </w:rPr>
            </w:pPr>
            <w:r w:rsidRPr="0035205C">
              <w:rPr>
                <w:rFonts w:cs="Arial"/>
                <w:b/>
                <w:color w:val="000000"/>
              </w:rPr>
              <w:t>b</w:t>
            </w:r>
            <w:r w:rsidRPr="0035205C">
              <w:rPr>
                <w:rFonts w:cs="Arial"/>
                <w:b/>
                <w:color w:val="000000"/>
                <w:vertAlign w:val="subscript"/>
              </w:rPr>
              <w:t>0</w:t>
            </w:r>
            <w:r w:rsidRPr="0035205C">
              <w:rPr>
                <w:rFonts w:cs="Arial"/>
                <w:color w:val="000000"/>
              </w:rPr>
              <w:t xml:space="preserve">  (constant)</w:t>
            </w:r>
          </w:p>
        </w:tc>
        <w:tc>
          <w:tcPr>
            <w:tcW w:w="1011" w:type="dxa"/>
            <w:tcBorders>
              <w:top w:val="nil"/>
              <w:left w:val="nil"/>
              <w:bottom w:val="nil"/>
              <w:right w:val="nil"/>
            </w:tcBorders>
            <w:vAlign w:val="bottom"/>
          </w:tcPr>
          <w:p w:rsidR="00FD5242" w:rsidRPr="0035205C" w:rsidRDefault="00FD5242" w:rsidP="00C00977">
            <w:pPr>
              <w:autoSpaceDE w:val="0"/>
              <w:autoSpaceDN w:val="0"/>
              <w:adjustRightInd w:val="0"/>
              <w:spacing w:after="0" w:line="240" w:lineRule="auto"/>
              <w:ind w:right="10"/>
              <w:jc w:val="center"/>
              <w:rPr>
                <w:rFonts w:cs="Arial"/>
                <w:color w:val="000000"/>
              </w:rPr>
            </w:pPr>
            <w:r w:rsidRPr="0035205C">
              <w:rPr>
                <w:rFonts w:cs="Arial"/>
                <w:color w:val="000000"/>
              </w:rPr>
              <w:t>0.102877</w:t>
            </w:r>
          </w:p>
        </w:tc>
        <w:tc>
          <w:tcPr>
            <w:tcW w:w="1300" w:type="dxa"/>
            <w:tcBorders>
              <w:top w:val="nil"/>
              <w:left w:val="nil"/>
              <w:bottom w:val="nil"/>
              <w:right w:val="nil"/>
            </w:tcBorders>
            <w:vAlign w:val="bottom"/>
          </w:tcPr>
          <w:p w:rsidR="00FD5242" w:rsidRPr="0035205C" w:rsidRDefault="00FD5242" w:rsidP="00C00977">
            <w:pPr>
              <w:autoSpaceDE w:val="0"/>
              <w:autoSpaceDN w:val="0"/>
              <w:adjustRightInd w:val="0"/>
              <w:spacing w:after="0" w:line="240" w:lineRule="auto"/>
              <w:ind w:right="10"/>
              <w:jc w:val="center"/>
              <w:rPr>
                <w:rFonts w:cs="Arial"/>
                <w:color w:val="000000"/>
              </w:rPr>
            </w:pPr>
            <w:r w:rsidRPr="0035205C">
              <w:rPr>
                <w:rFonts w:cs="Arial"/>
                <w:color w:val="000000"/>
              </w:rPr>
              <w:t>0.072819</w:t>
            </w:r>
          </w:p>
        </w:tc>
        <w:tc>
          <w:tcPr>
            <w:tcW w:w="1299" w:type="dxa"/>
            <w:tcBorders>
              <w:top w:val="nil"/>
              <w:left w:val="nil"/>
              <w:bottom w:val="nil"/>
              <w:right w:val="nil"/>
            </w:tcBorders>
            <w:vAlign w:val="bottom"/>
          </w:tcPr>
          <w:p w:rsidR="00FD5242" w:rsidRPr="0035205C" w:rsidRDefault="00FD5242" w:rsidP="00C00977">
            <w:pPr>
              <w:autoSpaceDE w:val="0"/>
              <w:autoSpaceDN w:val="0"/>
              <w:adjustRightInd w:val="0"/>
              <w:spacing w:after="0" w:line="240" w:lineRule="auto"/>
              <w:ind w:right="10"/>
              <w:jc w:val="center"/>
              <w:rPr>
                <w:rFonts w:cs="Arial"/>
                <w:color w:val="000000"/>
              </w:rPr>
            </w:pPr>
            <w:r w:rsidRPr="0035205C">
              <w:rPr>
                <w:rFonts w:cs="Arial"/>
                <w:color w:val="000000"/>
              </w:rPr>
              <w:t>1.412773</w:t>
            </w:r>
          </w:p>
        </w:tc>
        <w:tc>
          <w:tcPr>
            <w:tcW w:w="1186" w:type="dxa"/>
            <w:tcBorders>
              <w:top w:val="nil"/>
              <w:left w:val="nil"/>
              <w:bottom w:val="nil"/>
              <w:right w:val="double" w:sz="4" w:space="0" w:color="auto"/>
            </w:tcBorders>
            <w:vAlign w:val="bottom"/>
          </w:tcPr>
          <w:p w:rsidR="00FD5242" w:rsidRPr="0035205C" w:rsidRDefault="00FD5242" w:rsidP="00C00977">
            <w:pPr>
              <w:tabs>
                <w:tab w:val="left" w:pos="714"/>
              </w:tabs>
              <w:autoSpaceDE w:val="0"/>
              <w:autoSpaceDN w:val="0"/>
              <w:adjustRightInd w:val="0"/>
              <w:spacing w:after="0" w:line="240" w:lineRule="auto"/>
              <w:ind w:right="10"/>
              <w:jc w:val="center"/>
              <w:rPr>
                <w:rFonts w:cs="Arial"/>
                <w:color w:val="000000"/>
              </w:rPr>
            </w:pPr>
            <w:r w:rsidRPr="0035205C">
              <w:rPr>
                <w:rFonts w:cs="Arial"/>
                <w:color w:val="000000"/>
              </w:rPr>
              <w:t>0.1646</w:t>
            </w:r>
          </w:p>
        </w:tc>
      </w:tr>
      <w:tr w:rsidR="00FD5242" w:rsidRPr="0035205C" w:rsidTr="00C00977">
        <w:trPr>
          <w:trHeight w:val="254"/>
        </w:trPr>
        <w:tc>
          <w:tcPr>
            <w:tcW w:w="3387" w:type="dxa"/>
            <w:tcBorders>
              <w:top w:val="nil"/>
              <w:left w:val="double" w:sz="4" w:space="0" w:color="auto"/>
              <w:bottom w:val="nil"/>
              <w:right w:val="nil"/>
            </w:tcBorders>
            <w:vAlign w:val="bottom"/>
          </w:tcPr>
          <w:p w:rsidR="00FD5242" w:rsidRPr="0035205C" w:rsidRDefault="00FD5242" w:rsidP="0024791A">
            <w:pPr>
              <w:autoSpaceDE w:val="0"/>
              <w:autoSpaceDN w:val="0"/>
              <w:adjustRightInd w:val="0"/>
              <w:spacing w:after="0" w:line="240" w:lineRule="auto"/>
              <w:jc w:val="both"/>
              <w:rPr>
                <w:rFonts w:cs="Arial"/>
                <w:color w:val="000000"/>
                <w:lang w:val="en-US"/>
              </w:rPr>
            </w:pPr>
            <w:r w:rsidRPr="0035205C">
              <w:rPr>
                <w:rFonts w:cs="Arial"/>
                <w:b/>
                <w:color w:val="000000"/>
                <w:lang w:val="en-US"/>
              </w:rPr>
              <w:t>b</w:t>
            </w:r>
            <w:r w:rsidRPr="0035205C">
              <w:rPr>
                <w:rFonts w:cs="Arial"/>
                <w:b/>
                <w:color w:val="000000"/>
                <w:vertAlign w:val="subscript"/>
                <w:lang w:val="en-US"/>
              </w:rPr>
              <w:t>1</w:t>
            </w:r>
            <w:r w:rsidRPr="0035205C">
              <w:rPr>
                <w:rFonts w:cs="Arial"/>
                <w:color w:val="000000"/>
                <w:vertAlign w:val="subscript"/>
                <w:lang w:val="en-US"/>
              </w:rPr>
              <w:t xml:space="preserve">  </w:t>
            </w:r>
            <w:r w:rsidRPr="0035205C">
              <w:rPr>
                <w:rFonts w:cs="Arial"/>
                <w:color w:val="000000"/>
                <w:lang w:val="en-US"/>
              </w:rPr>
              <w:t>(dummy return on equity- DR</w:t>
            </w:r>
            <w:r w:rsidRPr="0035205C">
              <w:rPr>
                <w:rFonts w:cs="Arial"/>
                <w:i/>
                <w:color w:val="000000"/>
                <w:vertAlign w:val="subscript"/>
                <w:lang w:val="en-US"/>
              </w:rPr>
              <w:t>it</w:t>
            </w:r>
            <w:r w:rsidRPr="0035205C">
              <w:rPr>
                <w:rFonts w:cs="Arial"/>
                <w:color w:val="000000"/>
                <w:lang w:val="en-US"/>
              </w:rPr>
              <w:t>)</w:t>
            </w:r>
          </w:p>
        </w:tc>
        <w:tc>
          <w:tcPr>
            <w:tcW w:w="1011" w:type="dxa"/>
            <w:tcBorders>
              <w:top w:val="nil"/>
              <w:left w:val="nil"/>
              <w:bottom w:val="nil"/>
              <w:right w:val="nil"/>
            </w:tcBorders>
            <w:vAlign w:val="bottom"/>
          </w:tcPr>
          <w:p w:rsidR="00FD5242" w:rsidRPr="0035205C" w:rsidRDefault="00FD5242" w:rsidP="00C00977">
            <w:pPr>
              <w:autoSpaceDE w:val="0"/>
              <w:autoSpaceDN w:val="0"/>
              <w:adjustRightInd w:val="0"/>
              <w:spacing w:after="0" w:line="240" w:lineRule="auto"/>
              <w:ind w:right="10"/>
              <w:jc w:val="center"/>
              <w:rPr>
                <w:rFonts w:cs="Arial"/>
                <w:color w:val="000000"/>
              </w:rPr>
            </w:pPr>
            <w:r w:rsidRPr="0035205C">
              <w:rPr>
                <w:rFonts w:cs="Arial"/>
                <w:color w:val="000000"/>
              </w:rPr>
              <w:t>-0.109904</w:t>
            </w:r>
          </w:p>
        </w:tc>
        <w:tc>
          <w:tcPr>
            <w:tcW w:w="1300" w:type="dxa"/>
            <w:tcBorders>
              <w:top w:val="nil"/>
              <w:left w:val="nil"/>
              <w:bottom w:val="nil"/>
              <w:right w:val="nil"/>
            </w:tcBorders>
            <w:vAlign w:val="bottom"/>
          </w:tcPr>
          <w:p w:rsidR="00FD5242" w:rsidRPr="0035205C" w:rsidRDefault="00FD5242" w:rsidP="00C00977">
            <w:pPr>
              <w:autoSpaceDE w:val="0"/>
              <w:autoSpaceDN w:val="0"/>
              <w:adjustRightInd w:val="0"/>
              <w:spacing w:after="0" w:line="240" w:lineRule="auto"/>
              <w:ind w:right="10"/>
              <w:jc w:val="center"/>
              <w:rPr>
                <w:rFonts w:cs="Arial"/>
                <w:color w:val="000000"/>
              </w:rPr>
            </w:pPr>
            <w:r w:rsidRPr="0035205C">
              <w:rPr>
                <w:rFonts w:cs="Arial"/>
                <w:color w:val="000000"/>
              </w:rPr>
              <w:t>0.184970</w:t>
            </w:r>
          </w:p>
        </w:tc>
        <w:tc>
          <w:tcPr>
            <w:tcW w:w="1299" w:type="dxa"/>
            <w:tcBorders>
              <w:top w:val="nil"/>
              <w:left w:val="nil"/>
              <w:bottom w:val="nil"/>
              <w:right w:val="nil"/>
            </w:tcBorders>
            <w:vAlign w:val="bottom"/>
          </w:tcPr>
          <w:p w:rsidR="00FD5242" w:rsidRPr="0035205C" w:rsidRDefault="00FD5242" w:rsidP="00C00977">
            <w:pPr>
              <w:autoSpaceDE w:val="0"/>
              <w:autoSpaceDN w:val="0"/>
              <w:adjustRightInd w:val="0"/>
              <w:spacing w:after="0" w:line="240" w:lineRule="auto"/>
              <w:ind w:right="10"/>
              <w:jc w:val="center"/>
              <w:rPr>
                <w:rFonts w:cs="Arial"/>
                <w:color w:val="000000"/>
              </w:rPr>
            </w:pPr>
            <w:r w:rsidRPr="0035205C">
              <w:rPr>
                <w:rFonts w:cs="Arial"/>
                <w:color w:val="000000"/>
              </w:rPr>
              <w:t>-0.594172</w:t>
            </w:r>
          </w:p>
        </w:tc>
        <w:tc>
          <w:tcPr>
            <w:tcW w:w="1186" w:type="dxa"/>
            <w:tcBorders>
              <w:top w:val="nil"/>
              <w:left w:val="nil"/>
              <w:bottom w:val="nil"/>
              <w:right w:val="double" w:sz="4" w:space="0" w:color="auto"/>
            </w:tcBorders>
            <w:vAlign w:val="bottom"/>
          </w:tcPr>
          <w:p w:rsidR="00FD5242" w:rsidRPr="0035205C" w:rsidRDefault="00FD5242" w:rsidP="00C00977">
            <w:pPr>
              <w:autoSpaceDE w:val="0"/>
              <w:autoSpaceDN w:val="0"/>
              <w:adjustRightInd w:val="0"/>
              <w:spacing w:after="0" w:line="240" w:lineRule="auto"/>
              <w:ind w:right="10"/>
              <w:jc w:val="center"/>
              <w:rPr>
                <w:rFonts w:cs="Arial"/>
                <w:color w:val="000000"/>
              </w:rPr>
            </w:pPr>
            <w:r w:rsidRPr="0035205C">
              <w:rPr>
                <w:rFonts w:cs="Arial"/>
                <w:color w:val="000000"/>
              </w:rPr>
              <w:t>0.5554</w:t>
            </w:r>
          </w:p>
        </w:tc>
      </w:tr>
      <w:tr w:rsidR="00FD5242" w:rsidRPr="0035205C" w:rsidTr="00C00977">
        <w:trPr>
          <w:trHeight w:val="254"/>
        </w:trPr>
        <w:tc>
          <w:tcPr>
            <w:tcW w:w="3387" w:type="dxa"/>
            <w:tcBorders>
              <w:top w:val="nil"/>
              <w:left w:val="double" w:sz="4" w:space="0" w:color="auto"/>
              <w:bottom w:val="nil"/>
              <w:right w:val="nil"/>
            </w:tcBorders>
            <w:vAlign w:val="bottom"/>
          </w:tcPr>
          <w:p w:rsidR="00FD5242" w:rsidRPr="0035205C" w:rsidRDefault="00FD5242" w:rsidP="0024791A">
            <w:pPr>
              <w:autoSpaceDE w:val="0"/>
              <w:autoSpaceDN w:val="0"/>
              <w:adjustRightInd w:val="0"/>
              <w:spacing w:after="0" w:line="240" w:lineRule="auto"/>
              <w:jc w:val="both"/>
              <w:rPr>
                <w:rFonts w:cs="Arial"/>
                <w:color w:val="000000"/>
                <w:lang w:val="en-US"/>
              </w:rPr>
            </w:pPr>
            <w:r w:rsidRPr="0035205C">
              <w:rPr>
                <w:rFonts w:cs="Arial"/>
                <w:b/>
                <w:color w:val="000000"/>
                <w:lang w:val="en-US"/>
              </w:rPr>
              <w:t>b</w:t>
            </w:r>
            <w:r w:rsidRPr="0035205C">
              <w:rPr>
                <w:rFonts w:cs="Arial"/>
                <w:b/>
                <w:color w:val="000000"/>
                <w:vertAlign w:val="subscript"/>
                <w:lang w:val="en-US"/>
              </w:rPr>
              <w:t>2</w:t>
            </w:r>
            <w:r w:rsidRPr="0035205C">
              <w:rPr>
                <w:rFonts w:cs="Arial"/>
                <w:color w:val="000000"/>
                <w:vertAlign w:val="subscript"/>
                <w:lang w:val="en-US"/>
              </w:rPr>
              <w:t xml:space="preserve">   </w:t>
            </w:r>
            <w:r w:rsidRPr="0035205C">
              <w:rPr>
                <w:rFonts w:cs="Arial"/>
                <w:color w:val="000000"/>
                <w:lang w:val="en-US"/>
              </w:rPr>
              <w:t>(return on equity- R</w:t>
            </w:r>
            <w:r w:rsidRPr="0035205C">
              <w:rPr>
                <w:rFonts w:cs="Arial"/>
                <w:color w:val="000000"/>
                <w:vertAlign w:val="subscript"/>
                <w:lang w:val="en-US"/>
              </w:rPr>
              <w:t>it</w:t>
            </w:r>
            <w:r w:rsidRPr="0035205C">
              <w:rPr>
                <w:rFonts w:cs="Arial"/>
                <w:color w:val="000000"/>
                <w:lang w:val="en-US"/>
              </w:rPr>
              <w:t>)</w:t>
            </w:r>
          </w:p>
        </w:tc>
        <w:tc>
          <w:tcPr>
            <w:tcW w:w="1011" w:type="dxa"/>
            <w:tcBorders>
              <w:top w:val="nil"/>
              <w:left w:val="nil"/>
              <w:bottom w:val="nil"/>
              <w:right w:val="nil"/>
            </w:tcBorders>
            <w:vAlign w:val="bottom"/>
          </w:tcPr>
          <w:p w:rsidR="00FD5242" w:rsidRPr="0035205C" w:rsidRDefault="00FD5242" w:rsidP="00C00977">
            <w:pPr>
              <w:autoSpaceDE w:val="0"/>
              <w:autoSpaceDN w:val="0"/>
              <w:adjustRightInd w:val="0"/>
              <w:spacing w:after="0" w:line="240" w:lineRule="auto"/>
              <w:ind w:right="10"/>
              <w:jc w:val="center"/>
              <w:rPr>
                <w:rFonts w:cs="Arial"/>
                <w:color w:val="000000"/>
              </w:rPr>
            </w:pPr>
            <w:r w:rsidRPr="0035205C">
              <w:rPr>
                <w:rFonts w:cs="Arial"/>
                <w:color w:val="000000"/>
              </w:rPr>
              <w:t>0.003878</w:t>
            </w:r>
          </w:p>
        </w:tc>
        <w:tc>
          <w:tcPr>
            <w:tcW w:w="1300" w:type="dxa"/>
            <w:tcBorders>
              <w:top w:val="nil"/>
              <w:left w:val="nil"/>
              <w:bottom w:val="nil"/>
              <w:right w:val="nil"/>
            </w:tcBorders>
            <w:vAlign w:val="bottom"/>
          </w:tcPr>
          <w:p w:rsidR="00FD5242" w:rsidRPr="0035205C" w:rsidRDefault="00FD5242" w:rsidP="00C00977">
            <w:pPr>
              <w:autoSpaceDE w:val="0"/>
              <w:autoSpaceDN w:val="0"/>
              <w:adjustRightInd w:val="0"/>
              <w:spacing w:after="0" w:line="240" w:lineRule="auto"/>
              <w:ind w:right="10"/>
              <w:jc w:val="center"/>
              <w:rPr>
                <w:rFonts w:cs="Arial"/>
                <w:color w:val="000000"/>
              </w:rPr>
            </w:pPr>
            <w:r w:rsidRPr="0035205C">
              <w:rPr>
                <w:rFonts w:cs="Arial"/>
                <w:color w:val="000000"/>
              </w:rPr>
              <w:t>0.003136</w:t>
            </w:r>
          </w:p>
        </w:tc>
        <w:tc>
          <w:tcPr>
            <w:tcW w:w="1299" w:type="dxa"/>
            <w:tcBorders>
              <w:top w:val="nil"/>
              <w:left w:val="nil"/>
              <w:bottom w:val="nil"/>
              <w:right w:val="nil"/>
            </w:tcBorders>
            <w:vAlign w:val="bottom"/>
          </w:tcPr>
          <w:p w:rsidR="00FD5242" w:rsidRPr="0035205C" w:rsidRDefault="00FD5242" w:rsidP="00C00977">
            <w:pPr>
              <w:autoSpaceDE w:val="0"/>
              <w:autoSpaceDN w:val="0"/>
              <w:adjustRightInd w:val="0"/>
              <w:spacing w:after="0" w:line="240" w:lineRule="auto"/>
              <w:ind w:right="10"/>
              <w:jc w:val="center"/>
              <w:rPr>
                <w:rFonts w:cs="Arial"/>
                <w:color w:val="000000"/>
              </w:rPr>
            </w:pPr>
            <w:r w:rsidRPr="0035205C">
              <w:rPr>
                <w:rFonts w:cs="Arial"/>
                <w:color w:val="000000"/>
              </w:rPr>
              <w:t>1.236567</w:t>
            </w:r>
          </w:p>
        </w:tc>
        <w:tc>
          <w:tcPr>
            <w:tcW w:w="1186" w:type="dxa"/>
            <w:tcBorders>
              <w:top w:val="nil"/>
              <w:left w:val="nil"/>
              <w:bottom w:val="nil"/>
              <w:right w:val="double" w:sz="4" w:space="0" w:color="auto"/>
            </w:tcBorders>
            <w:vAlign w:val="bottom"/>
          </w:tcPr>
          <w:p w:rsidR="00FD5242" w:rsidRPr="0035205C" w:rsidRDefault="00FD5242" w:rsidP="00C00977">
            <w:pPr>
              <w:autoSpaceDE w:val="0"/>
              <w:autoSpaceDN w:val="0"/>
              <w:adjustRightInd w:val="0"/>
              <w:spacing w:after="0" w:line="240" w:lineRule="auto"/>
              <w:ind w:right="10"/>
              <w:jc w:val="center"/>
              <w:rPr>
                <w:rFonts w:cs="Arial"/>
                <w:color w:val="000000"/>
              </w:rPr>
            </w:pPr>
            <w:r w:rsidRPr="0035205C">
              <w:rPr>
                <w:rFonts w:cs="Arial"/>
                <w:color w:val="000000"/>
              </w:rPr>
              <w:t>0.2227</w:t>
            </w:r>
          </w:p>
        </w:tc>
      </w:tr>
      <w:tr w:rsidR="00FD5242" w:rsidRPr="0035205C" w:rsidTr="00C00977">
        <w:trPr>
          <w:trHeight w:val="254"/>
        </w:trPr>
        <w:tc>
          <w:tcPr>
            <w:tcW w:w="3387" w:type="dxa"/>
            <w:tcBorders>
              <w:top w:val="nil"/>
              <w:left w:val="double" w:sz="4" w:space="0" w:color="auto"/>
              <w:bottom w:val="nil"/>
              <w:right w:val="nil"/>
            </w:tcBorders>
            <w:vAlign w:val="bottom"/>
          </w:tcPr>
          <w:p w:rsidR="00FD5242" w:rsidRPr="0035205C" w:rsidRDefault="00FD5242" w:rsidP="0024791A">
            <w:pPr>
              <w:autoSpaceDE w:val="0"/>
              <w:autoSpaceDN w:val="0"/>
              <w:adjustRightInd w:val="0"/>
              <w:spacing w:after="0" w:line="240" w:lineRule="auto"/>
              <w:jc w:val="both"/>
              <w:rPr>
                <w:rFonts w:cs="Arial"/>
                <w:color w:val="000000"/>
                <w:lang w:val="en-US"/>
              </w:rPr>
            </w:pPr>
            <w:r w:rsidRPr="0035205C">
              <w:rPr>
                <w:rFonts w:cs="Arial"/>
                <w:b/>
                <w:color w:val="000000"/>
                <w:lang w:val="en-US"/>
              </w:rPr>
              <w:t>b</w:t>
            </w:r>
            <w:r w:rsidRPr="0035205C">
              <w:rPr>
                <w:rFonts w:cs="Arial"/>
                <w:b/>
                <w:color w:val="000000"/>
                <w:vertAlign w:val="subscript"/>
                <w:lang w:val="en-US"/>
              </w:rPr>
              <w:t>3</w:t>
            </w:r>
            <w:r w:rsidRPr="0035205C">
              <w:rPr>
                <w:rFonts w:cs="Arial"/>
                <w:color w:val="000000"/>
                <w:vertAlign w:val="subscript"/>
                <w:lang w:val="en-US"/>
              </w:rPr>
              <w:t xml:space="preserve"> </w:t>
            </w:r>
            <w:r w:rsidRPr="0035205C">
              <w:rPr>
                <w:rFonts w:cs="Arial"/>
                <w:color w:val="000000"/>
                <w:lang w:val="en-US"/>
              </w:rPr>
              <w:t>(sensitivity of earnings to negative and positive returns- R</w:t>
            </w:r>
            <w:r w:rsidRPr="0035205C">
              <w:rPr>
                <w:rFonts w:cs="Arial"/>
                <w:i/>
                <w:color w:val="000000"/>
                <w:vertAlign w:val="subscript"/>
                <w:lang w:val="en-US"/>
              </w:rPr>
              <w:t>it</w:t>
            </w:r>
            <w:r w:rsidRPr="0035205C">
              <w:rPr>
                <w:rFonts w:cs="Arial"/>
                <w:color w:val="000000"/>
                <w:lang w:val="en-US"/>
              </w:rPr>
              <w:t>*DR</w:t>
            </w:r>
            <w:r w:rsidRPr="0035205C">
              <w:rPr>
                <w:rFonts w:cs="Arial"/>
                <w:i/>
                <w:color w:val="000000"/>
                <w:vertAlign w:val="subscript"/>
                <w:lang w:val="en-US"/>
              </w:rPr>
              <w:t>it</w:t>
            </w:r>
            <w:r w:rsidRPr="0035205C">
              <w:rPr>
                <w:rFonts w:cs="Arial"/>
                <w:color w:val="000000"/>
                <w:lang w:val="en-US"/>
              </w:rPr>
              <w:t>)</w:t>
            </w:r>
          </w:p>
        </w:tc>
        <w:tc>
          <w:tcPr>
            <w:tcW w:w="1011" w:type="dxa"/>
            <w:tcBorders>
              <w:top w:val="nil"/>
              <w:left w:val="nil"/>
              <w:bottom w:val="nil"/>
              <w:right w:val="nil"/>
            </w:tcBorders>
            <w:vAlign w:val="bottom"/>
          </w:tcPr>
          <w:p w:rsidR="00FD5242" w:rsidRPr="0035205C" w:rsidRDefault="00FD5242" w:rsidP="00C00977">
            <w:pPr>
              <w:autoSpaceDE w:val="0"/>
              <w:autoSpaceDN w:val="0"/>
              <w:adjustRightInd w:val="0"/>
              <w:spacing w:after="0" w:line="240" w:lineRule="auto"/>
              <w:ind w:right="10"/>
              <w:jc w:val="center"/>
              <w:rPr>
                <w:rFonts w:cs="Arial"/>
                <w:color w:val="000000"/>
              </w:rPr>
            </w:pPr>
            <w:r w:rsidRPr="0035205C">
              <w:rPr>
                <w:rFonts w:cs="Arial"/>
                <w:color w:val="000000"/>
              </w:rPr>
              <w:t>0.004028</w:t>
            </w:r>
          </w:p>
        </w:tc>
        <w:tc>
          <w:tcPr>
            <w:tcW w:w="1300" w:type="dxa"/>
            <w:tcBorders>
              <w:top w:val="nil"/>
              <w:left w:val="nil"/>
              <w:bottom w:val="nil"/>
              <w:right w:val="nil"/>
            </w:tcBorders>
            <w:vAlign w:val="bottom"/>
          </w:tcPr>
          <w:p w:rsidR="00FD5242" w:rsidRPr="0035205C" w:rsidRDefault="00FD5242" w:rsidP="00C00977">
            <w:pPr>
              <w:autoSpaceDE w:val="0"/>
              <w:autoSpaceDN w:val="0"/>
              <w:adjustRightInd w:val="0"/>
              <w:spacing w:after="0" w:line="240" w:lineRule="auto"/>
              <w:ind w:right="10"/>
              <w:jc w:val="center"/>
              <w:rPr>
                <w:rFonts w:cs="Arial"/>
                <w:color w:val="000000"/>
              </w:rPr>
            </w:pPr>
            <w:r w:rsidRPr="0035205C">
              <w:rPr>
                <w:rFonts w:cs="Arial"/>
                <w:color w:val="000000"/>
              </w:rPr>
              <w:t>0.006027</w:t>
            </w:r>
          </w:p>
        </w:tc>
        <w:tc>
          <w:tcPr>
            <w:tcW w:w="1299" w:type="dxa"/>
            <w:tcBorders>
              <w:top w:val="nil"/>
              <w:left w:val="nil"/>
              <w:bottom w:val="nil"/>
              <w:right w:val="nil"/>
            </w:tcBorders>
            <w:vAlign w:val="bottom"/>
          </w:tcPr>
          <w:p w:rsidR="00FD5242" w:rsidRPr="0035205C" w:rsidRDefault="00FD5242" w:rsidP="00C00977">
            <w:pPr>
              <w:autoSpaceDE w:val="0"/>
              <w:autoSpaceDN w:val="0"/>
              <w:adjustRightInd w:val="0"/>
              <w:spacing w:after="0" w:line="240" w:lineRule="auto"/>
              <w:ind w:right="10"/>
              <w:jc w:val="center"/>
              <w:rPr>
                <w:rFonts w:cs="Arial"/>
                <w:color w:val="000000"/>
              </w:rPr>
            </w:pPr>
            <w:r w:rsidRPr="0035205C">
              <w:rPr>
                <w:rFonts w:cs="Arial"/>
                <w:color w:val="000000"/>
              </w:rPr>
              <w:t>0.668284</w:t>
            </w:r>
          </w:p>
        </w:tc>
        <w:tc>
          <w:tcPr>
            <w:tcW w:w="1186" w:type="dxa"/>
            <w:tcBorders>
              <w:top w:val="nil"/>
              <w:left w:val="nil"/>
              <w:bottom w:val="nil"/>
              <w:right w:val="double" w:sz="4" w:space="0" w:color="auto"/>
            </w:tcBorders>
            <w:vAlign w:val="bottom"/>
          </w:tcPr>
          <w:p w:rsidR="00FD5242" w:rsidRPr="0035205C" w:rsidRDefault="00FD5242" w:rsidP="00C00977">
            <w:pPr>
              <w:autoSpaceDE w:val="0"/>
              <w:autoSpaceDN w:val="0"/>
              <w:adjustRightInd w:val="0"/>
              <w:spacing w:after="0" w:line="240" w:lineRule="auto"/>
              <w:ind w:right="10"/>
              <w:jc w:val="center"/>
              <w:rPr>
                <w:rFonts w:cs="Arial"/>
                <w:color w:val="000000"/>
              </w:rPr>
            </w:pPr>
            <w:r w:rsidRPr="0035205C">
              <w:rPr>
                <w:rFonts w:cs="Arial"/>
                <w:color w:val="000000"/>
              </w:rPr>
              <w:t>0.5074</w:t>
            </w:r>
          </w:p>
        </w:tc>
      </w:tr>
      <w:tr w:rsidR="00FD5242" w:rsidRPr="0035205C" w:rsidTr="00C00977">
        <w:trPr>
          <w:trHeight w:hRule="exact" w:val="102"/>
        </w:trPr>
        <w:tc>
          <w:tcPr>
            <w:tcW w:w="3387" w:type="dxa"/>
            <w:tcBorders>
              <w:top w:val="nil"/>
              <w:left w:val="double" w:sz="4" w:space="0" w:color="auto"/>
              <w:bottom w:val="double" w:sz="6" w:space="2" w:color="auto"/>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c>
          <w:tcPr>
            <w:tcW w:w="1011" w:type="dxa"/>
            <w:tcBorders>
              <w:top w:val="nil"/>
              <w:left w:val="nil"/>
              <w:bottom w:val="double" w:sz="6" w:space="2" w:color="auto"/>
              <w:right w:val="nil"/>
            </w:tcBorders>
            <w:vAlign w:val="bottom"/>
          </w:tcPr>
          <w:p w:rsidR="00FD5242" w:rsidRPr="0035205C" w:rsidRDefault="00FD5242" w:rsidP="00C00977">
            <w:pPr>
              <w:autoSpaceDE w:val="0"/>
              <w:autoSpaceDN w:val="0"/>
              <w:adjustRightInd w:val="0"/>
              <w:spacing w:after="0" w:line="240" w:lineRule="auto"/>
              <w:jc w:val="both"/>
              <w:rPr>
                <w:rFonts w:cs="Arial"/>
                <w:color w:val="000000"/>
              </w:rPr>
            </w:pPr>
          </w:p>
        </w:tc>
        <w:tc>
          <w:tcPr>
            <w:tcW w:w="1300" w:type="dxa"/>
            <w:tcBorders>
              <w:top w:val="nil"/>
              <w:left w:val="nil"/>
              <w:bottom w:val="double" w:sz="6" w:space="2" w:color="auto"/>
              <w:right w:val="nil"/>
            </w:tcBorders>
            <w:vAlign w:val="bottom"/>
          </w:tcPr>
          <w:p w:rsidR="00FD5242" w:rsidRPr="0035205C" w:rsidRDefault="00FD5242" w:rsidP="00C00977">
            <w:pPr>
              <w:autoSpaceDE w:val="0"/>
              <w:autoSpaceDN w:val="0"/>
              <w:adjustRightInd w:val="0"/>
              <w:spacing w:after="0" w:line="240" w:lineRule="auto"/>
              <w:jc w:val="both"/>
              <w:rPr>
                <w:rFonts w:cs="Arial"/>
                <w:color w:val="000000"/>
              </w:rPr>
            </w:pPr>
          </w:p>
        </w:tc>
        <w:tc>
          <w:tcPr>
            <w:tcW w:w="1299" w:type="dxa"/>
            <w:tcBorders>
              <w:top w:val="nil"/>
              <w:left w:val="nil"/>
              <w:bottom w:val="double" w:sz="6" w:space="2" w:color="auto"/>
              <w:right w:val="nil"/>
            </w:tcBorders>
            <w:vAlign w:val="bottom"/>
          </w:tcPr>
          <w:p w:rsidR="00FD5242" w:rsidRPr="0035205C" w:rsidRDefault="00FD5242" w:rsidP="00C00977">
            <w:pPr>
              <w:autoSpaceDE w:val="0"/>
              <w:autoSpaceDN w:val="0"/>
              <w:adjustRightInd w:val="0"/>
              <w:spacing w:after="0" w:line="240" w:lineRule="auto"/>
              <w:jc w:val="both"/>
              <w:rPr>
                <w:rFonts w:cs="Arial"/>
                <w:color w:val="000000"/>
              </w:rPr>
            </w:pPr>
          </w:p>
        </w:tc>
        <w:tc>
          <w:tcPr>
            <w:tcW w:w="1186" w:type="dxa"/>
            <w:tcBorders>
              <w:top w:val="nil"/>
              <w:left w:val="nil"/>
              <w:bottom w:val="double" w:sz="6" w:space="2" w:color="auto"/>
              <w:right w:val="double" w:sz="4" w:space="0" w:color="auto"/>
            </w:tcBorders>
            <w:vAlign w:val="bottom"/>
          </w:tcPr>
          <w:p w:rsidR="00FD5242" w:rsidRPr="0035205C" w:rsidRDefault="00FD5242" w:rsidP="00C00977">
            <w:pPr>
              <w:autoSpaceDE w:val="0"/>
              <w:autoSpaceDN w:val="0"/>
              <w:adjustRightInd w:val="0"/>
              <w:spacing w:after="0" w:line="240" w:lineRule="auto"/>
              <w:jc w:val="both"/>
              <w:rPr>
                <w:rFonts w:cs="Arial"/>
                <w:color w:val="000000"/>
              </w:rPr>
            </w:pPr>
          </w:p>
        </w:tc>
      </w:tr>
      <w:tr w:rsidR="00FD5242" w:rsidRPr="0035205C" w:rsidTr="00C00977">
        <w:trPr>
          <w:trHeight w:hRule="exact" w:val="153"/>
        </w:trPr>
        <w:tc>
          <w:tcPr>
            <w:tcW w:w="3387" w:type="dxa"/>
            <w:tcBorders>
              <w:top w:val="nil"/>
              <w:left w:val="double" w:sz="4" w:space="0" w:color="auto"/>
              <w:bottom w:val="nil"/>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c>
          <w:tcPr>
            <w:tcW w:w="1011" w:type="dxa"/>
            <w:tcBorders>
              <w:top w:val="nil"/>
              <w:left w:val="nil"/>
              <w:bottom w:val="nil"/>
              <w:right w:val="nil"/>
            </w:tcBorders>
            <w:vAlign w:val="bottom"/>
          </w:tcPr>
          <w:p w:rsidR="00FD5242" w:rsidRPr="0035205C" w:rsidRDefault="00FD5242" w:rsidP="00C00977">
            <w:pPr>
              <w:autoSpaceDE w:val="0"/>
              <w:autoSpaceDN w:val="0"/>
              <w:adjustRightInd w:val="0"/>
              <w:spacing w:after="0" w:line="240" w:lineRule="auto"/>
              <w:jc w:val="both"/>
              <w:rPr>
                <w:rFonts w:cs="Arial"/>
                <w:color w:val="000000"/>
              </w:rPr>
            </w:pPr>
          </w:p>
        </w:tc>
        <w:tc>
          <w:tcPr>
            <w:tcW w:w="1300" w:type="dxa"/>
            <w:tcBorders>
              <w:top w:val="nil"/>
              <w:left w:val="nil"/>
              <w:bottom w:val="nil"/>
              <w:right w:val="nil"/>
            </w:tcBorders>
            <w:vAlign w:val="bottom"/>
          </w:tcPr>
          <w:p w:rsidR="00FD5242" w:rsidRPr="0035205C" w:rsidRDefault="00FD5242" w:rsidP="00C00977">
            <w:pPr>
              <w:autoSpaceDE w:val="0"/>
              <w:autoSpaceDN w:val="0"/>
              <w:adjustRightInd w:val="0"/>
              <w:spacing w:after="0" w:line="240" w:lineRule="auto"/>
              <w:jc w:val="both"/>
              <w:rPr>
                <w:rFonts w:cs="Arial"/>
                <w:color w:val="000000"/>
              </w:rPr>
            </w:pPr>
          </w:p>
        </w:tc>
        <w:tc>
          <w:tcPr>
            <w:tcW w:w="1299" w:type="dxa"/>
            <w:tcBorders>
              <w:top w:val="nil"/>
              <w:left w:val="nil"/>
              <w:bottom w:val="nil"/>
              <w:right w:val="nil"/>
            </w:tcBorders>
            <w:vAlign w:val="bottom"/>
          </w:tcPr>
          <w:p w:rsidR="00FD5242" w:rsidRPr="0035205C" w:rsidRDefault="00FD5242" w:rsidP="00C00977">
            <w:pPr>
              <w:autoSpaceDE w:val="0"/>
              <w:autoSpaceDN w:val="0"/>
              <w:adjustRightInd w:val="0"/>
              <w:spacing w:after="0" w:line="240" w:lineRule="auto"/>
              <w:jc w:val="both"/>
              <w:rPr>
                <w:rFonts w:cs="Arial"/>
                <w:color w:val="000000"/>
              </w:rPr>
            </w:pPr>
          </w:p>
        </w:tc>
        <w:tc>
          <w:tcPr>
            <w:tcW w:w="1186" w:type="dxa"/>
            <w:tcBorders>
              <w:top w:val="nil"/>
              <w:left w:val="nil"/>
              <w:bottom w:val="nil"/>
              <w:right w:val="double" w:sz="4" w:space="0" w:color="auto"/>
            </w:tcBorders>
            <w:vAlign w:val="bottom"/>
          </w:tcPr>
          <w:p w:rsidR="00FD5242" w:rsidRPr="0035205C" w:rsidRDefault="00FD5242" w:rsidP="00C00977">
            <w:pPr>
              <w:autoSpaceDE w:val="0"/>
              <w:autoSpaceDN w:val="0"/>
              <w:adjustRightInd w:val="0"/>
              <w:spacing w:after="0" w:line="240" w:lineRule="auto"/>
              <w:jc w:val="both"/>
              <w:rPr>
                <w:rFonts w:cs="Arial"/>
                <w:color w:val="000000"/>
              </w:rPr>
            </w:pPr>
          </w:p>
        </w:tc>
      </w:tr>
      <w:tr w:rsidR="00FD5242" w:rsidRPr="0035205C" w:rsidTr="00C00977">
        <w:trPr>
          <w:trHeight w:val="254"/>
        </w:trPr>
        <w:tc>
          <w:tcPr>
            <w:tcW w:w="3387" w:type="dxa"/>
            <w:tcBorders>
              <w:top w:val="nil"/>
              <w:left w:val="double" w:sz="4" w:space="0" w:color="auto"/>
              <w:bottom w:val="nil"/>
              <w:right w:val="nil"/>
            </w:tcBorders>
            <w:vAlign w:val="bottom"/>
          </w:tcPr>
          <w:p w:rsidR="00FD5242" w:rsidRPr="0035205C" w:rsidRDefault="00FD5242" w:rsidP="0024791A">
            <w:pPr>
              <w:autoSpaceDE w:val="0"/>
              <w:autoSpaceDN w:val="0"/>
              <w:adjustRightInd w:val="0"/>
              <w:spacing w:after="0" w:line="240" w:lineRule="auto"/>
              <w:rPr>
                <w:rFonts w:cs="Arial"/>
                <w:b/>
                <w:color w:val="000000"/>
              </w:rPr>
            </w:pPr>
            <w:r w:rsidRPr="0035205C">
              <w:rPr>
                <w:rFonts w:cs="Arial"/>
                <w:b/>
                <w:color w:val="000000"/>
              </w:rPr>
              <w:t>Model Summary</w:t>
            </w:r>
          </w:p>
          <w:p w:rsidR="00FD5242" w:rsidRPr="0035205C" w:rsidRDefault="00FD5242" w:rsidP="0024791A">
            <w:pPr>
              <w:autoSpaceDE w:val="0"/>
              <w:autoSpaceDN w:val="0"/>
              <w:adjustRightInd w:val="0"/>
              <w:spacing w:after="0" w:line="240" w:lineRule="auto"/>
              <w:rPr>
                <w:rFonts w:cs="Arial"/>
                <w:color w:val="000000"/>
              </w:rPr>
            </w:pPr>
            <w:r w:rsidRPr="0035205C">
              <w:rPr>
                <w:rFonts w:cs="Arial"/>
                <w:color w:val="000000"/>
              </w:rPr>
              <w:t>R-squared</w:t>
            </w:r>
          </w:p>
        </w:tc>
        <w:tc>
          <w:tcPr>
            <w:tcW w:w="1011" w:type="dxa"/>
            <w:tcBorders>
              <w:top w:val="nil"/>
              <w:left w:val="nil"/>
              <w:bottom w:val="nil"/>
              <w:right w:val="nil"/>
            </w:tcBorders>
            <w:vAlign w:val="bottom"/>
          </w:tcPr>
          <w:p w:rsidR="00FD5242" w:rsidRPr="0035205C" w:rsidRDefault="00FD5242" w:rsidP="00C00977">
            <w:pPr>
              <w:autoSpaceDE w:val="0"/>
              <w:autoSpaceDN w:val="0"/>
              <w:adjustRightInd w:val="0"/>
              <w:spacing w:after="0" w:line="240" w:lineRule="auto"/>
              <w:ind w:right="10"/>
              <w:rPr>
                <w:rFonts w:cs="Arial"/>
                <w:color w:val="000000"/>
              </w:rPr>
            </w:pPr>
            <w:r w:rsidRPr="0035205C">
              <w:rPr>
                <w:rFonts w:cs="Arial"/>
                <w:color w:val="000000"/>
              </w:rPr>
              <w:t>0.249980</w:t>
            </w:r>
          </w:p>
        </w:tc>
        <w:tc>
          <w:tcPr>
            <w:tcW w:w="2599" w:type="dxa"/>
            <w:gridSpan w:val="2"/>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ind w:right="10"/>
              <w:rPr>
                <w:rFonts w:cs="Arial"/>
                <w:color w:val="000000"/>
              </w:rPr>
            </w:pPr>
          </w:p>
        </w:tc>
        <w:tc>
          <w:tcPr>
            <w:tcW w:w="1186" w:type="dxa"/>
            <w:tcBorders>
              <w:top w:val="nil"/>
              <w:left w:val="nil"/>
              <w:bottom w:val="nil"/>
              <w:right w:val="double" w:sz="4" w:space="0" w:color="auto"/>
            </w:tcBorders>
            <w:vAlign w:val="bottom"/>
          </w:tcPr>
          <w:p w:rsidR="00FD5242" w:rsidRPr="0035205C" w:rsidRDefault="00FD5242" w:rsidP="0024791A">
            <w:pPr>
              <w:autoSpaceDE w:val="0"/>
              <w:autoSpaceDN w:val="0"/>
              <w:adjustRightInd w:val="0"/>
              <w:spacing w:after="0" w:line="240" w:lineRule="auto"/>
              <w:ind w:right="10"/>
              <w:jc w:val="right"/>
              <w:rPr>
                <w:rFonts w:cs="Arial"/>
                <w:color w:val="000000"/>
              </w:rPr>
            </w:pPr>
          </w:p>
        </w:tc>
      </w:tr>
      <w:tr w:rsidR="00FD5242" w:rsidRPr="0035205C" w:rsidTr="00C00977">
        <w:trPr>
          <w:trHeight w:val="254"/>
        </w:trPr>
        <w:tc>
          <w:tcPr>
            <w:tcW w:w="3387" w:type="dxa"/>
            <w:tcBorders>
              <w:top w:val="nil"/>
              <w:left w:val="double" w:sz="4" w:space="0" w:color="auto"/>
              <w:bottom w:val="nil"/>
              <w:right w:val="nil"/>
            </w:tcBorders>
            <w:vAlign w:val="bottom"/>
          </w:tcPr>
          <w:p w:rsidR="00FD5242" w:rsidRPr="0035205C" w:rsidRDefault="00FD5242" w:rsidP="0024791A">
            <w:pPr>
              <w:autoSpaceDE w:val="0"/>
              <w:autoSpaceDN w:val="0"/>
              <w:adjustRightInd w:val="0"/>
              <w:spacing w:after="0" w:line="240" w:lineRule="auto"/>
              <w:rPr>
                <w:rFonts w:cs="Arial"/>
                <w:color w:val="000000"/>
              </w:rPr>
            </w:pPr>
            <w:r w:rsidRPr="0035205C">
              <w:rPr>
                <w:rFonts w:cs="Arial"/>
                <w:color w:val="000000"/>
              </w:rPr>
              <w:t>Adjusted R-squared</w:t>
            </w:r>
          </w:p>
        </w:tc>
        <w:tc>
          <w:tcPr>
            <w:tcW w:w="1011" w:type="dxa"/>
            <w:tcBorders>
              <w:top w:val="nil"/>
              <w:left w:val="nil"/>
              <w:bottom w:val="nil"/>
              <w:right w:val="nil"/>
            </w:tcBorders>
            <w:vAlign w:val="bottom"/>
          </w:tcPr>
          <w:p w:rsidR="00FD5242" w:rsidRPr="0035205C" w:rsidRDefault="00FD5242" w:rsidP="00C00977">
            <w:pPr>
              <w:autoSpaceDE w:val="0"/>
              <w:autoSpaceDN w:val="0"/>
              <w:adjustRightInd w:val="0"/>
              <w:spacing w:after="0" w:line="240" w:lineRule="auto"/>
              <w:ind w:right="10"/>
              <w:rPr>
                <w:rFonts w:cs="Arial"/>
                <w:color w:val="000000"/>
              </w:rPr>
            </w:pPr>
            <w:r w:rsidRPr="0035205C">
              <w:rPr>
                <w:rFonts w:cs="Arial"/>
                <w:color w:val="000000"/>
              </w:rPr>
              <w:t>0.199979</w:t>
            </w:r>
          </w:p>
        </w:tc>
        <w:tc>
          <w:tcPr>
            <w:tcW w:w="2599" w:type="dxa"/>
            <w:gridSpan w:val="2"/>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ind w:right="10"/>
              <w:rPr>
                <w:rFonts w:cs="Arial"/>
                <w:color w:val="000000"/>
              </w:rPr>
            </w:pPr>
          </w:p>
        </w:tc>
        <w:tc>
          <w:tcPr>
            <w:tcW w:w="1186" w:type="dxa"/>
            <w:tcBorders>
              <w:top w:val="nil"/>
              <w:left w:val="nil"/>
              <w:bottom w:val="nil"/>
              <w:right w:val="double" w:sz="4" w:space="0" w:color="auto"/>
            </w:tcBorders>
            <w:vAlign w:val="bottom"/>
          </w:tcPr>
          <w:p w:rsidR="00FD5242" w:rsidRPr="0035205C" w:rsidRDefault="00FD5242" w:rsidP="0024791A">
            <w:pPr>
              <w:autoSpaceDE w:val="0"/>
              <w:autoSpaceDN w:val="0"/>
              <w:adjustRightInd w:val="0"/>
              <w:spacing w:after="0" w:line="240" w:lineRule="auto"/>
              <w:ind w:right="10"/>
              <w:jc w:val="right"/>
              <w:rPr>
                <w:rFonts w:cs="Arial"/>
                <w:color w:val="000000"/>
              </w:rPr>
            </w:pPr>
          </w:p>
        </w:tc>
      </w:tr>
      <w:tr w:rsidR="00FD5242" w:rsidRPr="0035205C" w:rsidTr="00C00977">
        <w:trPr>
          <w:trHeight w:val="254"/>
        </w:trPr>
        <w:tc>
          <w:tcPr>
            <w:tcW w:w="3387" w:type="dxa"/>
            <w:tcBorders>
              <w:top w:val="nil"/>
              <w:left w:val="double" w:sz="4" w:space="0" w:color="auto"/>
              <w:bottom w:val="nil"/>
              <w:right w:val="nil"/>
            </w:tcBorders>
            <w:vAlign w:val="bottom"/>
          </w:tcPr>
          <w:p w:rsidR="00FD5242" w:rsidRPr="0035205C" w:rsidRDefault="00FD5242" w:rsidP="0024791A">
            <w:pPr>
              <w:autoSpaceDE w:val="0"/>
              <w:autoSpaceDN w:val="0"/>
              <w:adjustRightInd w:val="0"/>
              <w:spacing w:after="0" w:line="240" w:lineRule="auto"/>
              <w:rPr>
                <w:rFonts w:cs="Arial"/>
                <w:color w:val="000000"/>
              </w:rPr>
            </w:pPr>
            <w:r w:rsidRPr="0035205C">
              <w:rPr>
                <w:rFonts w:cs="Arial"/>
                <w:color w:val="000000"/>
              </w:rPr>
              <w:t>S.E. of regression</w:t>
            </w:r>
          </w:p>
        </w:tc>
        <w:tc>
          <w:tcPr>
            <w:tcW w:w="1011" w:type="dxa"/>
            <w:tcBorders>
              <w:top w:val="nil"/>
              <w:left w:val="nil"/>
              <w:bottom w:val="nil"/>
              <w:right w:val="nil"/>
            </w:tcBorders>
            <w:vAlign w:val="bottom"/>
          </w:tcPr>
          <w:p w:rsidR="00FD5242" w:rsidRPr="0035205C" w:rsidRDefault="00FD5242" w:rsidP="00C00977">
            <w:pPr>
              <w:autoSpaceDE w:val="0"/>
              <w:autoSpaceDN w:val="0"/>
              <w:adjustRightInd w:val="0"/>
              <w:spacing w:after="0" w:line="240" w:lineRule="auto"/>
              <w:ind w:right="10"/>
              <w:rPr>
                <w:rFonts w:cs="Arial"/>
                <w:color w:val="000000"/>
              </w:rPr>
            </w:pPr>
            <w:r w:rsidRPr="0035205C">
              <w:rPr>
                <w:rFonts w:cs="Arial"/>
                <w:color w:val="000000"/>
              </w:rPr>
              <w:t>0.222742</w:t>
            </w:r>
          </w:p>
        </w:tc>
        <w:tc>
          <w:tcPr>
            <w:tcW w:w="2599" w:type="dxa"/>
            <w:gridSpan w:val="2"/>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ind w:right="10"/>
              <w:rPr>
                <w:rFonts w:cs="Arial"/>
                <w:color w:val="000000"/>
              </w:rPr>
            </w:pPr>
          </w:p>
        </w:tc>
        <w:tc>
          <w:tcPr>
            <w:tcW w:w="1186" w:type="dxa"/>
            <w:tcBorders>
              <w:top w:val="nil"/>
              <w:left w:val="nil"/>
              <w:bottom w:val="nil"/>
              <w:right w:val="double" w:sz="4" w:space="0" w:color="auto"/>
            </w:tcBorders>
            <w:vAlign w:val="bottom"/>
          </w:tcPr>
          <w:p w:rsidR="00FD5242" w:rsidRPr="0035205C" w:rsidRDefault="00FD5242" w:rsidP="0024791A">
            <w:pPr>
              <w:autoSpaceDE w:val="0"/>
              <w:autoSpaceDN w:val="0"/>
              <w:adjustRightInd w:val="0"/>
              <w:spacing w:after="0" w:line="240" w:lineRule="auto"/>
              <w:ind w:right="10"/>
              <w:jc w:val="right"/>
              <w:rPr>
                <w:rFonts w:cs="Arial"/>
                <w:color w:val="000000"/>
              </w:rPr>
            </w:pPr>
          </w:p>
        </w:tc>
      </w:tr>
      <w:tr w:rsidR="00FD5242" w:rsidRPr="0035205C" w:rsidTr="00C00977">
        <w:trPr>
          <w:trHeight w:hRule="exact" w:val="102"/>
        </w:trPr>
        <w:tc>
          <w:tcPr>
            <w:tcW w:w="3387" w:type="dxa"/>
            <w:tcBorders>
              <w:top w:val="nil"/>
              <w:left w:val="double" w:sz="4" w:space="0" w:color="auto"/>
              <w:bottom w:val="double" w:sz="6" w:space="0" w:color="auto"/>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c>
          <w:tcPr>
            <w:tcW w:w="1011" w:type="dxa"/>
            <w:tcBorders>
              <w:top w:val="nil"/>
              <w:left w:val="nil"/>
              <w:bottom w:val="double" w:sz="6" w:space="0" w:color="auto"/>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c>
          <w:tcPr>
            <w:tcW w:w="1300" w:type="dxa"/>
            <w:tcBorders>
              <w:top w:val="nil"/>
              <w:left w:val="nil"/>
              <w:bottom w:val="double" w:sz="6" w:space="0" w:color="auto"/>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c>
          <w:tcPr>
            <w:tcW w:w="1299" w:type="dxa"/>
            <w:tcBorders>
              <w:top w:val="nil"/>
              <w:left w:val="nil"/>
              <w:bottom w:val="double" w:sz="6" w:space="0" w:color="auto"/>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c>
          <w:tcPr>
            <w:tcW w:w="1186" w:type="dxa"/>
            <w:tcBorders>
              <w:top w:val="nil"/>
              <w:left w:val="nil"/>
              <w:bottom w:val="double" w:sz="6" w:space="0" w:color="auto"/>
              <w:right w:val="double" w:sz="4" w:space="0" w:color="auto"/>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r>
      <w:tr w:rsidR="00FD5242" w:rsidRPr="0035205C" w:rsidTr="00C00977">
        <w:trPr>
          <w:trHeight w:hRule="exact" w:val="153"/>
        </w:trPr>
        <w:tc>
          <w:tcPr>
            <w:tcW w:w="3387" w:type="dxa"/>
            <w:tcBorders>
              <w:top w:val="nil"/>
              <w:left w:val="double" w:sz="4" w:space="0" w:color="auto"/>
              <w:bottom w:val="double" w:sz="4" w:space="0" w:color="auto"/>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c>
          <w:tcPr>
            <w:tcW w:w="1011" w:type="dxa"/>
            <w:tcBorders>
              <w:top w:val="nil"/>
              <w:left w:val="nil"/>
              <w:bottom w:val="double" w:sz="4" w:space="0" w:color="auto"/>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c>
          <w:tcPr>
            <w:tcW w:w="1300" w:type="dxa"/>
            <w:tcBorders>
              <w:top w:val="nil"/>
              <w:left w:val="nil"/>
              <w:bottom w:val="double" w:sz="4" w:space="0" w:color="auto"/>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c>
          <w:tcPr>
            <w:tcW w:w="1299" w:type="dxa"/>
            <w:tcBorders>
              <w:top w:val="nil"/>
              <w:left w:val="nil"/>
              <w:bottom w:val="double" w:sz="4" w:space="0" w:color="auto"/>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c>
          <w:tcPr>
            <w:tcW w:w="1186" w:type="dxa"/>
            <w:tcBorders>
              <w:top w:val="nil"/>
              <w:left w:val="nil"/>
              <w:bottom w:val="double" w:sz="4" w:space="0" w:color="auto"/>
              <w:right w:val="double" w:sz="4" w:space="0" w:color="auto"/>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r>
    </w:tbl>
    <w:p w:rsidR="00FD5242" w:rsidRPr="0035205C" w:rsidRDefault="00FD5242" w:rsidP="009761C5">
      <w:pPr>
        <w:rPr>
          <w:rFonts w:cs="Arial"/>
          <w:lang w:val="en-US"/>
        </w:rPr>
      </w:pPr>
      <w:r w:rsidRPr="0035205C">
        <w:rPr>
          <w:rFonts w:cs="Arial"/>
          <w:lang w:val="en-US"/>
        </w:rPr>
        <w:t>*,**,*** indicate  significance at 0.01, 0.05, 0.10 significance level</w:t>
      </w:r>
    </w:p>
    <w:p w:rsidR="00FD5242" w:rsidRPr="0035205C" w:rsidRDefault="00FD5242" w:rsidP="009761C5">
      <w:pPr>
        <w:rPr>
          <w:rFonts w:cs="Arial"/>
          <w:lang w:val="en-US"/>
        </w:rPr>
      </w:pPr>
    </w:p>
    <w:p w:rsidR="00FD5242" w:rsidRDefault="00FD5242" w:rsidP="008D3405">
      <w:pPr>
        <w:autoSpaceDE w:val="0"/>
        <w:autoSpaceDN w:val="0"/>
        <w:adjustRightInd w:val="0"/>
        <w:spacing w:after="0" w:line="400" w:lineRule="atLeast"/>
        <w:jc w:val="both"/>
        <w:rPr>
          <w:rFonts w:cs="Arial"/>
          <w:b/>
          <w:color w:val="000000"/>
          <w:lang w:val="en-US"/>
        </w:rPr>
      </w:pPr>
    </w:p>
    <w:p w:rsidR="00FD5242" w:rsidRPr="0035205C" w:rsidRDefault="00FD5242" w:rsidP="008D3405">
      <w:pPr>
        <w:autoSpaceDE w:val="0"/>
        <w:autoSpaceDN w:val="0"/>
        <w:adjustRightInd w:val="0"/>
        <w:spacing w:after="0" w:line="400" w:lineRule="atLeast"/>
        <w:jc w:val="both"/>
        <w:rPr>
          <w:rFonts w:cs="Arial"/>
          <w:b/>
          <w:color w:val="000000"/>
          <w:lang w:val="en-US"/>
        </w:rPr>
      </w:pPr>
      <w:r w:rsidRPr="0035205C">
        <w:rPr>
          <w:rFonts w:cs="Arial"/>
          <w:b/>
          <w:color w:val="000000"/>
          <w:lang w:val="en-US"/>
        </w:rPr>
        <w:t>Table 7b: Linear regression analysis for the year 2006</w:t>
      </w:r>
    </w:p>
    <w:p w:rsidR="00FD5242" w:rsidRPr="0035205C" w:rsidRDefault="00FD5242" w:rsidP="008D3405">
      <w:pPr>
        <w:autoSpaceDE w:val="0"/>
        <w:autoSpaceDN w:val="0"/>
        <w:adjustRightInd w:val="0"/>
        <w:spacing w:after="0" w:line="240" w:lineRule="auto"/>
        <w:rPr>
          <w:rFonts w:cs="Arial"/>
          <w:lang w:val="en-US"/>
        </w:rPr>
      </w:pPr>
    </w:p>
    <w:tbl>
      <w:tblPr>
        <w:tblW w:w="0" w:type="auto"/>
        <w:tblInd w:w="30" w:type="dxa"/>
        <w:tblLayout w:type="fixed"/>
        <w:tblCellMar>
          <w:left w:w="0" w:type="dxa"/>
          <w:right w:w="0" w:type="dxa"/>
        </w:tblCellMar>
        <w:tblLook w:val="0000"/>
      </w:tblPr>
      <w:tblGrid>
        <w:gridCol w:w="2962"/>
        <w:gridCol w:w="1103"/>
        <w:gridCol w:w="1307"/>
        <w:gridCol w:w="1208"/>
        <w:gridCol w:w="1343"/>
      </w:tblGrid>
      <w:tr w:rsidR="00FD5242" w:rsidRPr="009E2EF6" w:rsidTr="00C00977">
        <w:trPr>
          <w:trHeight w:val="225"/>
        </w:trPr>
        <w:tc>
          <w:tcPr>
            <w:tcW w:w="6580" w:type="dxa"/>
            <w:gridSpan w:val="4"/>
            <w:tcBorders>
              <w:top w:val="double" w:sz="4" w:space="0" w:color="auto"/>
              <w:left w:val="double" w:sz="4" w:space="0" w:color="auto"/>
              <w:bottom w:val="nil"/>
            </w:tcBorders>
            <w:vAlign w:val="bottom"/>
          </w:tcPr>
          <w:p w:rsidR="00FD5242" w:rsidRPr="0035205C" w:rsidRDefault="00FD5242" w:rsidP="0024791A">
            <w:pPr>
              <w:autoSpaceDE w:val="0"/>
              <w:autoSpaceDN w:val="0"/>
              <w:adjustRightInd w:val="0"/>
              <w:spacing w:after="0" w:line="240" w:lineRule="auto"/>
              <w:rPr>
                <w:rFonts w:cs="Arial"/>
                <w:i/>
                <w:color w:val="000000"/>
                <w:lang w:val="en-US"/>
              </w:rPr>
            </w:pPr>
            <w:r w:rsidRPr="0035205C">
              <w:rPr>
                <w:rFonts w:cs="Arial"/>
                <w:color w:val="000000"/>
                <w:lang w:val="en-US"/>
              </w:rPr>
              <w:t>Dependent Variable: X</w:t>
            </w:r>
            <w:r w:rsidRPr="0035205C">
              <w:rPr>
                <w:rFonts w:cs="Arial"/>
                <w:color w:val="000000"/>
                <w:vertAlign w:val="subscript"/>
                <w:lang w:val="en-US"/>
              </w:rPr>
              <w:t>it</w:t>
            </w:r>
            <w:r w:rsidRPr="0035205C">
              <w:rPr>
                <w:rFonts w:cs="Arial"/>
                <w:color w:val="000000"/>
                <w:lang w:val="en-US"/>
              </w:rPr>
              <w:t>/P</w:t>
            </w:r>
            <w:r w:rsidRPr="0035205C">
              <w:rPr>
                <w:rFonts w:cs="Arial"/>
                <w:color w:val="000000"/>
                <w:vertAlign w:val="subscript"/>
                <w:lang w:val="en-US"/>
              </w:rPr>
              <w:t>it-1</w:t>
            </w:r>
            <w:r>
              <w:rPr>
                <w:rFonts w:cs="Arial"/>
                <w:color w:val="000000"/>
                <w:lang w:val="en-US"/>
              </w:rPr>
              <w:t xml:space="preserve">  (Conservatism</w:t>
            </w:r>
            <w:r w:rsidRPr="0035205C">
              <w:rPr>
                <w:rFonts w:cs="Arial"/>
                <w:color w:val="000000"/>
                <w:lang w:val="en-US"/>
              </w:rPr>
              <w:t>)</w:t>
            </w:r>
          </w:p>
        </w:tc>
        <w:tc>
          <w:tcPr>
            <w:tcW w:w="1343" w:type="dxa"/>
            <w:tcBorders>
              <w:top w:val="double" w:sz="4" w:space="0" w:color="auto"/>
              <w:bottom w:val="nil"/>
              <w:right w:val="double" w:sz="4" w:space="0" w:color="auto"/>
            </w:tcBorders>
            <w:vAlign w:val="bottom"/>
          </w:tcPr>
          <w:p w:rsidR="00FD5242" w:rsidRPr="0035205C" w:rsidRDefault="00FD5242" w:rsidP="0024791A">
            <w:pPr>
              <w:autoSpaceDE w:val="0"/>
              <w:autoSpaceDN w:val="0"/>
              <w:adjustRightInd w:val="0"/>
              <w:spacing w:after="0" w:line="240" w:lineRule="auto"/>
              <w:jc w:val="center"/>
              <w:rPr>
                <w:rFonts w:cs="Arial"/>
                <w:color w:val="000000"/>
                <w:lang w:val="en-US"/>
              </w:rPr>
            </w:pPr>
          </w:p>
        </w:tc>
      </w:tr>
      <w:tr w:rsidR="00FD5242" w:rsidRPr="0035205C" w:rsidTr="00C00977">
        <w:trPr>
          <w:trHeight w:val="225"/>
        </w:trPr>
        <w:tc>
          <w:tcPr>
            <w:tcW w:w="5372" w:type="dxa"/>
            <w:gridSpan w:val="3"/>
            <w:tcBorders>
              <w:top w:val="nil"/>
              <w:left w:val="double" w:sz="4" w:space="0" w:color="auto"/>
              <w:bottom w:val="nil"/>
              <w:right w:val="nil"/>
            </w:tcBorders>
            <w:vAlign w:val="bottom"/>
          </w:tcPr>
          <w:p w:rsidR="00FD5242" w:rsidRPr="0035205C" w:rsidRDefault="00FD5242" w:rsidP="0024791A">
            <w:pPr>
              <w:autoSpaceDE w:val="0"/>
              <w:autoSpaceDN w:val="0"/>
              <w:adjustRightInd w:val="0"/>
              <w:spacing w:after="0" w:line="240" w:lineRule="auto"/>
              <w:rPr>
                <w:rFonts w:cs="Arial"/>
                <w:color w:val="000000"/>
              </w:rPr>
            </w:pPr>
            <w:r w:rsidRPr="0035205C">
              <w:rPr>
                <w:rFonts w:cs="Arial"/>
                <w:color w:val="000000"/>
              </w:rPr>
              <w:t>Method: Least Squares</w:t>
            </w:r>
          </w:p>
        </w:tc>
        <w:tc>
          <w:tcPr>
            <w:tcW w:w="1208"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c>
          <w:tcPr>
            <w:tcW w:w="1343" w:type="dxa"/>
            <w:tcBorders>
              <w:top w:val="nil"/>
              <w:left w:val="nil"/>
              <w:bottom w:val="nil"/>
              <w:right w:val="double" w:sz="4" w:space="0" w:color="auto"/>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r>
      <w:tr w:rsidR="00FD5242" w:rsidRPr="009E2EF6" w:rsidTr="00C00977">
        <w:trPr>
          <w:trHeight w:val="225"/>
        </w:trPr>
        <w:tc>
          <w:tcPr>
            <w:tcW w:w="5372" w:type="dxa"/>
            <w:gridSpan w:val="3"/>
            <w:tcBorders>
              <w:top w:val="nil"/>
              <w:left w:val="double" w:sz="4" w:space="0" w:color="auto"/>
              <w:bottom w:val="nil"/>
              <w:right w:val="nil"/>
            </w:tcBorders>
            <w:vAlign w:val="bottom"/>
          </w:tcPr>
          <w:p w:rsidR="00FD5242" w:rsidRPr="0035205C" w:rsidRDefault="00FD5242" w:rsidP="0024791A">
            <w:pPr>
              <w:autoSpaceDE w:val="0"/>
              <w:autoSpaceDN w:val="0"/>
              <w:adjustRightInd w:val="0"/>
              <w:spacing w:after="0" w:line="240" w:lineRule="auto"/>
              <w:rPr>
                <w:rFonts w:cs="Arial"/>
                <w:color w:val="000000"/>
                <w:lang w:val="en-US"/>
              </w:rPr>
            </w:pPr>
            <w:r w:rsidRPr="0035205C">
              <w:rPr>
                <w:rFonts w:cs="Arial"/>
                <w:color w:val="000000"/>
                <w:lang w:val="en-US"/>
              </w:rPr>
              <w:t>Sample (adjusted): 1 51</w:t>
            </w:r>
          </w:p>
          <w:p w:rsidR="00FD5242" w:rsidRPr="0035205C" w:rsidRDefault="00FD5242" w:rsidP="0024791A">
            <w:pPr>
              <w:autoSpaceDE w:val="0"/>
              <w:autoSpaceDN w:val="0"/>
              <w:adjustRightInd w:val="0"/>
              <w:spacing w:after="0" w:line="240" w:lineRule="auto"/>
              <w:rPr>
                <w:rFonts w:cs="Arial"/>
                <w:color w:val="000000"/>
                <w:lang w:val="en-US"/>
              </w:rPr>
            </w:pPr>
            <w:r w:rsidRPr="0035205C">
              <w:rPr>
                <w:rFonts w:cs="Arial"/>
                <w:color w:val="000000"/>
                <w:lang w:val="en-US"/>
              </w:rPr>
              <w:t>X</w:t>
            </w:r>
            <w:r w:rsidRPr="0035205C">
              <w:rPr>
                <w:rFonts w:cs="Arial"/>
                <w:i/>
                <w:color w:val="000000"/>
                <w:vertAlign w:val="subscript"/>
                <w:lang w:val="en-US"/>
              </w:rPr>
              <w:t>it</w:t>
            </w:r>
            <w:r w:rsidRPr="0035205C">
              <w:rPr>
                <w:rFonts w:cs="Arial"/>
                <w:color w:val="000000"/>
                <w:lang w:val="en-US"/>
              </w:rPr>
              <w:t>/P</w:t>
            </w:r>
            <w:r w:rsidRPr="0035205C">
              <w:rPr>
                <w:rFonts w:cs="Arial"/>
                <w:color w:val="000000"/>
                <w:vertAlign w:val="subscript"/>
                <w:lang w:val="en-US"/>
              </w:rPr>
              <w:t>it-1</w:t>
            </w:r>
            <w:r w:rsidRPr="0035205C">
              <w:rPr>
                <w:rFonts w:cs="Arial"/>
                <w:color w:val="000000"/>
                <w:lang w:val="en-US"/>
              </w:rPr>
              <w:t>=b</w:t>
            </w:r>
            <w:r w:rsidRPr="0035205C">
              <w:rPr>
                <w:rFonts w:cs="Arial"/>
                <w:color w:val="000000"/>
                <w:vertAlign w:val="subscript"/>
                <w:lang w:val="en-US"/>
              </w:rPr>
              <w:t>0</w:t>
            </w:r>
            <w:r w:rsidRPr="0035205C">
              <w:rPr>
                <w:rFonts w:cs="Arial"/>
                <w:color w:val="000000"/>
                <w:lang w:val="en-US"/>
              </w:rPr>
              <w:t>+b</w:t>
            </w:r>
            <w:r w:rsidRPr="0035205C">
              <w:rPr>
                <w:rFonts w:cs="Arial"/>
                <w:color w:val="000000"/>
                <w:vertAlign w:val="subscript"/>
                <w:lang w:val="en-US"/>
              </w:rPr>
              <w:t>1</w:t>
            </w:r>
            <w:r w:rsidRPr="0035205C">
              <w:rPr>
                <w:rFonts w:cs="Arial"/>
                <w:color w:val="000000"/>
                <w:lang w:val="en-US"/>
              </w:rPr>
              <w:t>*DR</w:t>
            </w:r>
            <w:r w:rsidRPr="0035205C">
              <w:rPr>
                <w:rFonts w:cs="Arial"/>
                <w:i/>
                <w:color w:val="000000"/>
                <w:vertAlign w:val="subscript"/>
                <w:lang w:val="en-US"/>
              </w:rPr>
              <w:t>it</w:t>
            </w:r>
            <w:r w:rsidRPr="0035205C">
              <w:rPr>
                <w:rFonts w:cs="Arial"/>
                <w:color w:val="000000"/>
                <w:lang w:val="en-US"/>
              </w:rPr>
              <w:t>+b</w:t>
            </w:r>
            <w:r w:rsidRPr="0035205C">
              <w:rPr>
                <w:rFonts w:cs="Arial"/>
                <w:color w:val="000000"/>
                <w:vertAlign w:val="subscript"/>
                <w:lang w:val="en-US"/>
              </w:rPr>
              <w:t>2</w:t>
            </w:r>
            <w:r w:rsidRPr="0035205C">
              <w:rPr>
                <w:rFonts w:cs="Arial"/>
                <w:color w:val="000000"/>
                <w:lang w:val="en-US"/>
              </w:rPr>
              <w:t>*R</w:t>
            </w:r>
            <w:r w:rsidRPr="0035205C">
              <w:rPr>
                <w:rFonts w:cs="Arial"/>
                <w:color w:val="000000"/>
                <w:vertAlign w:val="subscript"/>
                <w:lang w:val="en-US"/>
              </w:rPr>
              <w:t>it</w:t>
            </w:r>
            <w:r w:rsidRPr="0035205C">
              <w:rPr>
                <w:rFonts w:cs="Arial"/>
                <w:color w:val="000000"/>
                <w:lang w:val="en-US"/>
              </w:rPr>
              <w:t>+b</w:t>
            </w:r>
            <w:r w:rsidRPr="0035205C">
              <w:rPr>
                <w:rFonts w:cs="Arial"/>
                <w:color w:val="000000"/>
                <w:vertAlign w:val="subscript"/>
                <w:lang w:val="en-US"/>
              </w:rPr>
              <w:t>3</w:t>
            </w:r>
            <w:r w:rsidRPr="0035205C">
              <w:rPr>
                <w:rFonts w:cs="Arial"/>
                <w:color w:val="000000"/>
                <w:lang w:val="en-US"/>
              </w:rPr>
              <w:t>*R</w:t>
            </w:r>
            <w:r w:rsidRPr="0035205C">
              <w:rPr>
                <w:rFonts w:cs="Arial"/>
                <w:i/>
                <w:color w:val="000000"/>
                <w:vertAlign w:val="subscript"/>
                <w:lang w:val="en-US"/>
              </w:rPr>
              <w:t>it</w:t>
            </w:r>
            <w:r w:rsidRPr="0035205C">
              <w:rPr>
                <w:rFonts w:cs="Arial"/>
                <w:color w:val="000000"/>
                <w:lang w:val="en-US"/>
              </w:rPr>
              <w:t>*DR</w:t>
            </w:r>
            <w:r w:rsidRPr="0035205C">
              <w:rPr>
                <w:rFonts w:cs="Arial"/>
                <w:i/>
                <w:color w:val="000000"/>
                <w:vertAlign w:val="subscript"/>
                <w:lang w:val="en-US"/>
              </w:rPr>
              <w:t>it</w:t>
            </w:r>
          </w:p>
        </w:tc>
        <w:tc>
          <w:tcPr>
            <w:tcW w:w="1208"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lang w:val="en-US"/>
              </w:rPr>
            </w:pPr>
          </w:p>
        </w:tc>
        <w:tc>
          <w:tcPr>
            <w:tcW w:w="1343" w:type="dxa"/>
            <w:tcBorders>
              <w:top w:val="nil"/>
              <w:left w:val="nil"/>
              <w:bottom w:val="nil"/>
              <w:right w:val="double" w:sz="4" w:space="0" w:color="auto"/>
            </w:tcBorders>
            <w:vAlign w:val="bottom"/>
          </w:tcPr>
          <w:p w:rsidR="00FD5242" w:rsidRPr="0035205C" w:rsidRDefault="00FD5242" w:rsidP="0024791A">
            <w:pPr>
              <w:autoSpaceDE w:val="0"/>
              <w:autoSpaceDN w:val="0"/>
              <w:adjustRightInd w:val="0"/>
              <w:spacing w:after="0" w:line="240" w:lineRule="auto"/>
              <w:jc w:val="center"/>
              <w:rPr>
                <w:rFonts w:cs="Arial"/>
                <w:color w:val="000000"/>
                <w:lang w:val="en-US"/>
              </w:rPr>
            </w:pPr>
          </w:p>
        </w:tc>
      </w:tr>
      <w:tr w:rsidR="00FD5242" w:rsidRPr="009E2EF6" w:rsidTr="00C00977">
        <w:trPr>
          <w:trHeight w:hRule="exact" w:val="90"/>
        </w:trPr>
        <w:tc>
          <w:tcPr>
            <w:tcW w:w="2962" w:type="dxa"/>
            <w:tcBorders>
              <w:top w:val="nil"/>
              <w:left w:val="double" w:sz="4" w:space="0" w:color="auto"/>
              <w:bottom w:val="double" w:sz="6" w:space="2" w:color="auto"/>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lang w:val="en-US"/>
              </w:rPr>
            </w:pPr>
          </w:p>
        </w:tc>
        <w:tc>
          <w:tcPr>
            <w:tcW w:w="1103" w:type="dxa"/>
            <w:tcBorders>
              <w:top w:val="nil"/>
              <w:left w:val="nil"/>
              <w:bottom w:val="double" w:sz="6" w:space="2" w:color="auto"/>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lang w:val="en-US"/>
              </w:rPr>
            </w:pPr>
          </w:p>
        </w:tc>
        <w:tc>
          <w:tcPr>
            <w:tcW w:w="1307" w:type="dxa"/>
            <w:tcBorders>
              <w:top w:val="nil"/>
              <w:left w:val="nil"/>
              <w:bottom w:val="double" w:sz="6" w:space="2" w:color="auto"/>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lang w:val="en-US"/>
              </w:rPr>
            </w:pPr>
          </w:p>
        </w:tc>
        <w:tc>
          <w:tcPr>
            <w:tcW w:w="1208" w:type="dxa"/>
            <w:tcBorders>
              <w:top w:val="nil"/>
              <w:left w:val="nil"/>
              <w:bottom w:val="double" w:sz="6" w:space="2" w:color="auto"/>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lang w:val="en-US"/>
              </w:rPr>
            </w:pPr>
          </w:p>
        </w:tc>
        <w:tc>
          <w:tcPr>
            <w:tcW w:w="1343" w:type="dxa"/>
            <w:tcBorders>
              <w:top w:val="nil"/>
              <w:left w:val="nil"/>
              <w:bottom w:val="double" w:sz="6" w:space="2" w:color="auto"/>
              <w:right w:val="double" w:sz="4" w:space="0" w:color="auto"/>
            </w:tcBorders>
            <w:vAlign w:val="bottom"/>
          </w:tcPr>
          <w:p w:rsidR="00FD5242" w:rsidRPr="0035205C" w:rsidRDefault="00FD5242" w:rsidP="0024791A">
            <w:pPr>
              <w:autoSpaceDE w:val="0"/>
              <w:autoSpaceDN w:val="0"/>
              <w:adjustRightInd w:val="0"/>
              <w:spacing w:after="0" w:line="240" w:lineRule="auto"/>
              <w:jc w:val="center"/>
              <w:rPr>
                <w:rFonts w:cs="Arial"/>
                <w:color w:val="000000"/>
                <w:lang w:val="en-US"/>
              </w:rPr>
            </w:pPr>
          </w:p>
        </w:tc>
      </w:tr>
      <w:tr w:rsidR="00FD5242" w:rsidRPr="009E2EF6" w:rsidTr="00C00977">
        <w:trPr>
          <w:trHeight w:hRule="exact" w:val="135"/>
        </w:trPr>
        <w:tc>
          <w:tcPr>
            <w:tcW w:w="2962" w:type="dxa"/>
            <w:tcBorders>
              <w:top w:val="nil"/>
              <w:left w:val="double" w:sz="4" w:space="0" w:color="auto"/>
              <w:bottom w:val="nil"/>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lang w:val="en-US"/>
              </w:rPr>
            </w:pPr>
          </w:p>
        </w:tc>
        <w:tc>
          <w:tcPr>
            <w:tcW w:w="1103"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lang w:val="en-US"/>
              </w:rPr>
            </w:pPr>
          </w:p>
        </w:tc>
        <w:tc>
          <w:tcPr>
            <w:tcW w:w="1307"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lang w:val="en-US"/>
              </w:rPr>
            </w:pPr>
          </w:p>
        </w:tc>
        <w:tc>
          <w:tcPr>
            <w:tcW w:w="1208"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lang w:val="en-US"/>
              </w:rPr>
            </w:pPr>
          </w:p>
        </w:tc>
        <w:tc>
          <w:tcPr>
            <w:tcW w:w="1343" w:type="dxa"/>
            <w:tcBorders>
              <w:top w:val="nil"/>
              <w:left w:val="nil"/>
              <w:bottom w:val="nil"/>
              <w:right w:val="double" w:sz="4" w:space="0" w:color="auto"/>
            </w:tcBorders>
            <w:vAlign w:val="bottom"/>
          </w:tcPr>
          <w:p w:rsidR="00FD5242" w:rsidRPr="0035205C" w:rsidRDefault="00FD5242" w:rsidP="0024791A">
            <w:pPr>
              <w:autoSpaceDE w:val="0"/>
              <w:autoSpaceDN w:val="0"/>
              <w:adjustRightInd w:val="0"/>
              <w:spacing w:after="0" w:line="240" w:lineRule="auto"/>
              <w:jc w:val="center"/>
              <w:rPr>
                <w:rFonts w:cs="Arial"/>
                <w:color w:val="000000"/>
                <w:lang w:val="en-US"/>
              </w:rPr>
            </w:pPr>
          </w:p>
        </w:tc>
      </w:tr>
      <w:tr w:rsidR="00FD5242" w:rsidRPr="0035205C" w:rsidTr="00C00977">
        <w:trPr>
          <w:trHeight w:val="225"/>
        </w:trPr>
        <w:tc>
          <w:tcPr>
            <w:tcW w:w="2962" w:type="dxa"/>
            <w:tcBorders>
              <w:top w:val="nil"/>
              <w:left w:val="double" w:sz="4" w:space="0" w:color="auto"/>
              <w:bottom w:val="nil"/>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lang w:val="en-US"/>
              </w:rPr>
            </w:pPr>
          </w:p>
        </w:tc>
        <w:tc>
          <w:tcPr>
            <w:tcW w:w="1103"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ind w:right="10"/>
              <w:jc w:val="both"/>
              <w:rPr>
                <w:rFonts w:cs="Arial"/>
                <w:color w:val="000000"/>
              </w:rPr>
            </w:pPr>
            <w:r w:rsidRPr="0035205C">
              <w:rPr>
                <w:rFonts w:cs="Arial"/>
                <w:color w:val="000000"/>
              </w:rPr>
              <w:t>Coefficient</w:t>
            </w:r>
          </w:p>
        </w:tc>
        <w:tc>
          <w:tcPr>
            <w:tcW w:w="1307"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ind w:right="10"/>
              <w:jc w:val="both"/>
              <w:rPr>
                <w:rFonts w:cs="Arial"/>
                <w:color w:val="000000"/>
              </w:rPr>
            </w:pPr>
            <w:r w:rsidRPr="0035205C">
              <w:rPr>
                <w:rFonts w:cs="Arial"/>
                <w:color w:val="000000"/>
              </w:rPr>
              <w:t>Std. Error</w:t>
            </w:r>
          </w:p>
        </w:tc>
        <w:tc>
          <w:tcPr>
            <w:tcW w:w="1208"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ind w:right="10"/>
              <w:jc w:val="both"/>
              <w:rPr>
                <w:rFonts w:cs="Arial"/>
                <w:color w:val="000000"/>
              </w:rPr>
            </w:pPr>
            <w:r w:rsidRPr="0035205C">
              <w:rPr>
                <w:rFonts w:cs="Arial"/>
                <w:color w:val="000000"/>
              </w:rPr>
              <w:t>t-Statistic</w:t>
            </w:r>
          </w:p>
        </w:tc>
        <w:tc>
          <w:tcPr>
            <w:tcW w:w="1343" w:type="dxa"/>
            <w:tcBorders>
              <w:top w:val="nil"/>
              <w:left w:val="nil"/>
              <w:bottom w:val="nil"/>
              <w:right w:val="double" w:sz="4" w:space="0" w:color="auto"/>
            </w:tcBorders>
            <w:vAlign w:val="bottom"/>
          </w:tcPr>
          <w:p w:rsidR="00FD5242" w:rsidRPr="0035205C" w:rsidRDefault="00FD5242" w:rsidP="0024791A">
            <w:pPr>
              <w:autoSpaceDE w:val="0"/>
              <w:autoSpaceDN w:val="0"/>
              <w:adjustRightInd w:val="0"/>
              <w:spacing w:after="0" w:line="240" w:lineRule="auto"/>
              <w:ind w:right="10"/>
              <w:jc w:val="both"/>
              <w:rPr>
                <w:rFonts w:cs="Arial"/>
                <w:color w:val="000000"/>
              </w:rPr>
            </w:pPr>
            <w:r w:rsidRPr="0035205C">
              <w:rPr>
                <w:rFonts w:cs="Arial"/>
                <w:color w:val="000000"/>
              </w:rPr>
              <w:t>Prob.  </w:t>
            </w:r>
          </w:p>
        </w:tc>
      </w:tr>
      <w:tr w:rsidR="00FD5242" w:rsidRPr="0035205C" w:rsidTr="00C00977">
        <w:trPr>
          <w:trHeight w:hRule="exact" w:val="90"/>
        </w:trPr>
        <w:tc>
          <w:tcPr>
            <w:tcW w:w="2962" w:type="dxa"/>
            <w:tcBorders>
              <w:top w:val="nil"/>
              <w:left w:val="double" w:sz="4" w:space="0" w:color="auto"/>
              <w:bottom w:val="double" w:sz="6" w:space="2" w:color="auto"/>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c>
          <w:tcPr>
            <w:tcW w:w="1103" w:type="dxa"/>
            <w:tcBorders>
              <w:top w:val="nil"/>
              <w:left w:val="nil"/>
              <w:bottom w:val="double" w:sz="6" w:space="2" w:color="auto"/>
              <w:right w:val="nil"/>
            </w:tcBorders>
            <w:vAlign w:val="bottom"/>
          </w:tcPr>
          <w:p w:rsidR="00FD5242" w:rsidRPr="0035205C" w:rsidRDefault="00FD5242" w:rsidP="0024791A">
            <w:pPr>
              <w:autoSpaceDE w:val="0"/>
              <w:autoSpaceDN w:val="0"/>
              <w:adjustRightInd w:val="0"/>
              <w:spacing w:after="0" w:line="240" w:lineRule="auto"/>
              <w:jc w:val="both"/>
              <w:rPr>
                <w:rFonts w:cs="Arial"/>
                <w:color w:val="000000"/>
              </w:rPr>
            </w:pPr>
          </w:p>
        </w:tc>
        <w:tc>
          <w:tcPr>
            <w:tcW w:w="1307" w:type="dxa"/>
            <w:tcBorders>
              <w:top w:val="nil"/>
              <w:left w:val="nil"/>
              <w:bottom w:val="double" w:sz="6" w:space="2" w:color="auto"/>
              <w:right w:val="nil"/>
            </w:tcBorders>
            <w:vAlign w:val="bottom"/>
          </w:tcPr>
          <w:p w:rsidR="00FD5242" w:rsidRPr="0035205C" w:rsidRDefault="00FD5242" w:rsidP="0024791A">
            <w:pPr>
              <w:autoSpaceDE w:val="0"/>
              <w:autoSpaceDN w:val="0"/>
              <w:adjustRightInd w:val="0"/>
              <w:spacing w:after="0" w:line="240" w:lineRule="auto"/>
              <w:jc w:val="both"/>
              <w:rPr>
                <w:rFonts w:cs="Arial"/>
                <w:color w:val="000000"/>
              </w:rPr>
            </w:pPr>
          </w:p>
        </w:tc>
        <w:tc>
          <w:tcPr>
            <w:tcW w:w="1208" w:type="dxa"/>
            <w:tcBorders>
              <w:top w:val="nil"/>
              <w:left w:val="nil"/>
              <w:bottom w:val="double" w:sz="6" w:space="2" w:color="auto"/>
              <w:right w:val="nil"/>
            </w:tcBorders>
            <w:vAlign w:val="bottom"/>
          </w:tcPr>
          <w:p w:rsidR="00FD5242" w:rsidRPr="0035205C" w:rsidRDefault="00FD5242" w:rsidP="0024791A">
            <w:pPr>
              <w:autoSpaceDE w:val="0"/>
              <w:autoSpaceDN w:val="0"/>
              <w:adjustRightInd w:val="0"/>
              <w:spacing w:after="0" w:line="240" w:lineRule="auto"/>
              <w:jc w:val="both"/>
              <w:rPr>
                <w:rFonts w:cs="Arial"/>
                <w:color w:val="000000"/>
              </w:rPr>
            </w:pPr>
          </w:p>
        </w:tc>
        <w:tc>
          <w:tcPr>
            <w:tcW w:w="1343" w:type="dxa"/>
            <w:tcBorders>
              <w:top w:val="nil"/>
              <w:left w:val="nil"/>
              <w:bottom w:val="double" w:sz="6" w:space="2" w:color="auto"/>
              <w:right w:val="double" w:sz="4" w:space="0" w:color="auto"/>
            </w:tcBorders>
            <w:vAlign w:val="bottom"/>
          </w:tcPr>
          <w:p w:rsidR="00FD5242" w:rsidRPr="0035205C" w:rsidRDefault="00FD5242" w:rsidP="0024791A">
            <w:pPr>
              <w:autoSpaceDE w:val="0"/>
              <w:autoSpaceDN w:val="0"/>
              <w:adjustRightInd w:val="0"/>
              <w:spacing w:after="0" w:line="240" w:lineRule="auto"/>
              <w:jc w:val="both"/>
              <w:rPr>
                <w:rFonts w:cs="Arial"/>
                <w:color w:val="000000"/>
              </w:rPr>
            </w:pPr>
          </w:p>
        </w:tc>
      </w:tr>
      <w:tr w:rsidR="00FD5242" w:rsidRPr="0035205C" w:rsidTr="00C00977">
        <w:trPr>
          <w:trHeight w:hRule="exact" w:val="135"/>
        </w:trPr>
        <w:tc>
          <w:tcPr>
            <w:tcW w:w="2962" w:type="dxa"/>
            <w:tcBorders>
              <w:top w:val="nil"/>
              <w:left w:val="double" w:sz="4" w:space="0" w:color="auto"/>
              <w:bottom w:val="nil"/>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c>
          <w:tcPr>
            <w:tcW w:w="1103"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jc w:val="both"/>
              <w:rPr>
                <w:rFonts w:cs="Arial"/>
                <w:color w:val="000000"/>
              </w:rPr>
            </w:pPr>
          </w:p>
        </w:tc>
        <w:tc>
          <w:tcPr>
            <w:tcW w:w="1307"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jc w:val="both"/>
              <w:rPr>
                <w:rFonts w:cs="Arial"/>
                <w:color w:val="000000"/>
              </w:rPr>
            </w:pPr>
          </w:p>
        </w:tc>
        <w:tc>
          <w:tcPr>
            <w:tcW w:w="1208"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jc w:val="both"/>
              <w:rPr>
                <w:rFonts w:cs="Arial"/>
                <w:color w:val="000000"/>
              </w:rPr>
            </w:pPr>
          </w:p>
        </w:tc>
        <w:tc>
          <w:tcPr>
            <w:tcW w:w="1343" w:type="dxa"/>
            <w:tcBorders>
              <w:top w:val="nil"/>
              <w:left w:val="nil"/>
              <w:bottom w:val="nil"/>
              <w:right w:val="double" w:sz="4" w:space="0" w:color="auto"/>
            </w:tcBorders>
            <w:vAlign w:val="bottom"/>
          </w:tcPr>
          <w:p w:rsidR="00FD5242" w:rsidRPr="0035205C" w:rsidRDefault="00FD5242" w:rsidP="0024791A">
            <w:pPr>
              <w:autoSpaceDE w:val="0"/>
              <w:autoSpaceDN w:val="0"/>
              <w:adjustRightInd w:val="0"/>
              <w:spacing w:after="0" w:line="240" w:lineRule="auto"/>
              <w:jc w:val="both"/>
              <w:rPr>
                <w:rFonts w:cs="Arial"/>
                <w:color w:val="000000"/>
              </w:rPr>
            </w:pPr>
          </w:p>
        </w:tc>
      </w:tr>
      <w:tr w:rsidR="00FD5242" w:rsidRPr="0035205C" w:rsidTr="00C00977">
        <w:trPr>
          <w:trHeight w:val="225"/>
        </w:trPr>
        <w:tc>
          <w:tcPr>
            <w:tcW w:w="2962" w:type="dxa"/>
            <w:tcBorders>
              <w:top w:val="nil"/>
              <w:left w:val="double" w:sz="4" w:space="0" w:color="auto"/>
              <w:bottom w:val="nil"/>
              <w:right w:val="nil"/>
            </w:tcBorders>
            <w:vAlign w:val="bottom"/>
          </w:tcPr>
          <w:p w:rsidR="00FD5242" w:rsidRPr="0035205C" w:rsidRDefault="00FD5242" w:rsidP="0024791A">
            <w:pPr>
              <w:autoSpaceDE w:val="0"/>
              <w:autoSpaceDN w:val="0"/>
              <w:adjustRightInd w:val="0"/>
              <w:spacing w:after="0" w:line="240" w:lineRule="auto"/>
              <w:jc w:val="both"/>
              <w:rPr>
                <w:rFonts w:cs="Arial"/>
                <w:color w:val="000000"/>
              </w:rPr>
            </w:pPr>
            <w:r w:rsidRPr="0035205C">
              <w:rPr>
                <w:rFonts w:cs="Arial"/>
                <w:b/>
                <w:color w:val="000000"/>
              </w:rPr>
              <w:t>b</w:t>
            </w:r>
            <w:r w:rsidRPr="0035205C">
              <w:rPr>
                <w:rFonts w:cs="Arial"/>
                <w:b/>
                <w:color w:val="000000"/>
                <w:vertAlign w:val="subscript"/>
              </w:rPr>
              <w:t>0</w:t>
            </w:r>
            <w:r w:rsidRPr="0035205C">
              <w:rPr>
                <w:rFonts w:cs="Arial"/>
                <w:color w:val="000000"/>
              </w:rPr>
              <w:t xml:space="preserve">  (constant)</w:t>
            </w:r>
          </w:p>
        </w:tc>
        <w:tc>
          <w:tcPr>
            <w:tcW w:w="1103"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ind w:right="10"/>
              <w:jc w:val="both"/>
              <w:rPr>
                <w:rFonts w:cs="Arial"/>
                <w:color w:val="000000"/>
              </w:rPr>
            </w:pPr>
            <w:r w:rsidRPr="0035205C">
              <w:rPr>
                <w:rFonts w:cs="Arial"/>
                <w:color w:val="000000"/>
              </w:rPr>
              <w:t>0.135292</w:t>
            </w:r>
          </w:p>
        </w:tc>
        <w:tc>
          <w:tcPr>
            <w:tcW w:w="1307"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ind w:right="10"/>
              <w:jc w:val="both"/>
              <w:rPr>
                <w:rFonts w:cs="Arial"/>
                <w:color w:val="000000"/>
              </w:rPr>
            </w:pPr>
            <w:r w:rsidRPr="0035205C">
              <w:rPr>
                <w:rFonts w:cs="Arial"/>
                <w:color w:val="000000"/>
              </w:rPr>
              <w:t>0.038301</w:t>
            </w:r>
          </w:p>
        </w:tc>
        <w:tc>
          <w:tcPr>
            <w:tcW w:w="1208"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ind w:right="10"/>
              <w:jc w:val="both"/>
              <w:rPr>
                <w:rFonts w:cs="Arial"/>
                <w:color w:val="000000"/>
              </w:rPr>
            </w:pPr>
            <w:r w:rsidRPr="0035205C">
              <w:rPr>
                <w:rFonts w:cs="Arial"/>
                <w:color w:val="000000"/>
              </w:rPr>
              <w:t>3.532360</w:t>
            </w:r>
          </w:p>
        </w:tc>
        <w:tc>
          <w:tcPr>
            <w:tcW w:w="1343" w:type="dxa"/>
            <w:tcBorders>
              <w:top w:val="nil"/>
              <w:left w:val="nil"/>
              <w:bottom w:val="nil"/>
              <w:right w:val="double" w:sz="4" w:space="0" w:color="auto"/>
            </w:tcBorders>
            <w:vAlign w:val="bottom"/>
          </w:tcPr>
          <w:p w:rsidR="00FD5242" w:rsidRPr="0035205C" w:rsidRDefault="00FD5242" w:rsidP="0024791A">
            <w:pPr>
              <w:autoSpaceDE w:val="0"/>
              <w:autoSpaceDN w:val="0"/>
              <w:adjustRightInd w:val="0"/>
              <w:spacing w:after="0" w:line="240" w:lineRule="auto"/>
              <w:ind w:right="10"/>
              <w:jc w:val="both"/>
              <w:rPr>
                <w:rFonts w:cs="Arial"/>
                <w:color w:val="000000"/>
              </w:rPr>
            </w:pPr>
            <w:r w:rsidRPr="0035205C">
              <w:rPr>
                <w:rFonts w:cs="Arial"/>
                <w:color w:val="000000"/>
              </w:rPr>
              <w:t>0.0009</w:t>
            </w:r>
          </w:p>
        </w:tc>
      </w:tr>
      <w:tr w:rsidR="00FD5242" w:rsidRPr="0035205C" w:rsidTr="00C00977">
        <w:trPr>
          <w:trHeight w:val="225"/>
        </w:trPr>
        <w:tc>
          <w:tcPr>
            <w:tcW w:w="2962" w:type="dxa"/>
            <w:tcBorders>
              <w:top w:val="nil"/>
              <w:left w:val="double" w:sz="4" w:space="0" w:color="auto"/>
              <w:bottom w:val="nil"/>
              <w:right w:val="nil"/>
            </w:tcBorders>
            <w:vAlign w:val="bottom"/>
          </w:tcPr>
          <w:p w:rsidR="00FD5242" w:rsidRPr="0035205C" w:rsidRDefault="00FD5242" w:rsidP="0024791A">
            <w:pPr>
              <w:autoSpaceDE w:val="0"/>
              <w:autoSpaceDN w:val="0"/>
              <w:adjustRightInd w:val="0"/>
              <w:spacing w:after="0" w:line="240" w:lineRule="auto"/>
              <w:jc w:val="both"/>
              <w:rPr>
                <w:rFonts w:cs="Arial"/>
                <w:color w:val="000000"/>
                <w:lang w:val="en-US"/>
              </w:rPr>
            </w:pPr>
            <w:r w:rsidRPr="0035205C">
              <w:rPr>
                <w:rFonts w:cs="Arial"/>
                <w:b/>
                <w:color w:val="000000"/>
                <w:lang w:val="en-US"/>
              </w:rPr>
              <w:t>b</w:t>
            </w:r>
            <w:r w:rsidRPr="0035205C">
              <w:rPr>
                <w:rFonts w:cs="Arial"/>
                <w:b/>
                <w:color w:val="000000"/>
                <w:vertAlign w:val="subscript"/>
                <w:lang w:val="en-US"/>
              </w:rPr>
              <w:t>1</w:t>
            </w:r>
            <w:r w:rsidRPr="0035205C">
              <w:rPr>
                <w:rFonts w:cs="Arial"/>
                <w:color w:val="000000"/>
                <w:vertAlign w:val="subscript"/>
                <w:lang w:val="en-US"/>
              </w:rPr>
              <w:t xml:space="preserve">   </w:t>
            </w:r>
            <w:r w:rsidRPr="0035205C">
              <w:rPr>
                <w:rFonts w:cs="Arial"/>
                <w:color w:val="000000"/>
                <w:lang w:val="en-US"/>
              </w:rPr>
              <w:t>(dummy return on equity- DR</w:t>
            </w:r>
            <w:r w:rsidRPr="0035205C">
              <w:rPr>
                <w:rFonts w:cs="Arial"/>
                <w:i/>
                <w:color w:val="000000"/>
                <w:vertAlign w:val="subscript"/>
                <w:lang w:val="en-US"/>
              </w:rPr>
              <w:t>it</w:t>
            </w:r>
            <w:r w:rsidRPr="0035205C">
              <w:rPr>
                <w:rFonts w:cs="Arial"/>
                <w:color w:val="000000"/>
                <w:lang w:val="en-US"/>
              </w:rPr>
              <w:t>)</w:t>
            </w:r>
          </w:p>
        </w:tc>
        <w:tc>
          <w:tcPr>
            <w:tcW w:w="1103"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ind w:right="10"/>
              <w:jc w:val="both"/>
              <w:rPr>
                <w:rFonts w:cs="Arial"/>
                <w:color w:val="000000"/>
              </w:rPr>
            </w:pPr>
            <w:r w:rsidRPr="0035205C">
              <w:rPr>
                <w:rFonts w:cs="Arial"/>
                <w:color w:val="000000"/>
              </w:rPr>
              <w:t>-0.220671</w:t>
            </w:r>
          </w:p>
        </w:tc>
        <w:tc>
          <w:tcPr>
            <w:tcW w:w="1307"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ind w:right="10"/>
              <w:jc w:val="both"/>
              <w:rPr>
                <w:rFonts w:cs="Arial"/>
                <w:color w:val="000000"/>
              </w:rPr>
            </w:pPr>
            <w:r w:rsidRPr="0035205C">
              <w:rPr>
                <w:rFonts w:cs="Arial"/>
                <w:color w:val="000000"/>
              </w:rPr>
              <w:t>0.265775</w:t>
            </w:r>
          </w:p>
        </w:tc>
        <w:tc>
          <w:tcPr>
            <w:tcW w:w="1208"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ind w:right="10"/>
              <w:jc w:val="both"/>
              <w:rPr>
                <w:rFonts w:cs="Arial"/>
                <w:color w:val="000000"/>
              </w:rPr>
            </w:pPr>
            <w:r w:rsidRPr="0035205C">
              <w:rPr>
                <w:rFonts w:cs="Arial"/>
                <w:color w:val="000000"/>
              </w:rPr>
              <w:t>-0.830295</w:t>
            </w:r>
          </w:p>
        </w:tc>
        <w:tc>
          <w:tcPr>
            <w:tcW w:w="1343" w:type="dxa"/>
            <w:tcBorders>
              <w:top w:val="nil"/>
              <w:left w:val="nil"/>
              <w:bottom w:val="nil"/>
              <w:right w:val="double" w:sz="4" w:space="0" w:color="auto"/>
            </w:tcBorders>
            <w:vAlign w:val="bottom"/>
          </w:tcPr>
          <w:p w:rsidR="00FD5242" w:rsidRPr="0035205C" w:rsidRDefault="00FD5242" w:rsidP="0024791A">
            <w:pPr>
              <w:autoSpaceDE w:val="0"/>
              <w:autoSpaceDN w:val="0"/>
              <w:adjustRightInd w:val="0"/>
              <w:spacing w:after="0" w:line="240" w:lineRule="auto"/>
              <w:ind w:right="10"/>
              <w:jc w:val="both"/>
              <w:rPr>
                <w:rFonts w:cs="Arial"/>
                <w:color w:val="000000"/>
              </w:rPr>
            </w:pPr>
            <w:r w:rsidRPr="0035205C">
              <w:rPr>
                <w:rFonts w:cs="Arial"/>
                <w:color w:val="000000"/>
              </w:rPr>
              <w:t>0.4106</w:t>
            </w:r>
          </w:p>
        </w:tc>
      </w:tr>
      <w:tr w:rsidR="00FD5242" w:rsidRPr="0035205C" w:rsidTr="00C00977">
        <w:trPr>
          <w:trHeight w:val="225"/>
        </w:trPr>
        <w:tc>
          <w:tcPr>
            <w:tcW w:w="2962" w:type="dxa"/>
            <w:tcBorders>
              <w:top w:val="nil"/>
              <w:left w:val="double" w:sz="4" w:space="0" w:color="auto"/>
              <w:bottom w:val="nil"/>
              <w:right w:val="nil"/>
            </w:tcBorders>
            <w:vAlign w:val="bottom"/>
          </w:tcPr>
          <w:p w:rsidR="00FD5242" w:rsidRPr="0035205C" w:rsidRDefault="00FD5242" w:rsidP="0024791A">
            <w:pPr>
              <w:autoSpaceDE w:val="0"/>
              <w:autoSpaceDN w:val="0"/>
              <w:adjustRightInd w:val="0"/>
              <w:spacing w:after="0" w:line="240" w:lineRule="auto"/>
              <w:jc w:val="both"/>
              <w:rPr>
                <w:rFonts w:cs="Arial"/>
                <w:color w:val="000000"/>
                <w:lang w:val="en-US"/>
              </w:rPr>
            </w:pPr>
            <w:r w:rsidRPr="0035205C">
              <w:rPr>
                <w:rFonts w:cs="Arial"/>
                <w:b/>
                <w:color w:val="000000"/>
                <w:lang w:val="en-US"/>
              </w:rPr>
              <w:t>b</w:t>
            </w:r>
            <w:r w:rsidRPr="0035205C">
              <w:rPr>
                <w:rFonts w:cs="Arial"/>
                <w:b/>
                <w:color w:val="000000"/>
                <w:vertAlign w:val="subscript"/>
                <w:lang w:val="en-US"/>
              </w:rPr>
              <w:t>2</w:t>
            </w:r>
            <w:r w:rsidRPr="0035205C">
              <w:rPr>
                <w:rFonts w:cs="Arial"/>
                <w:color w:val="000000"/>
                <w:vertAlign w:val="subscript"/>
                <w:lang w:val="en-US"/>
              </w:rPr>
              <w:t xml:space="preserve">   </w:t>
            </w:r>
            <w:r w:rsidRPr="0035205C">
              <w:rPr>
                <w:rFonts w:cs="Arial"/>
                <w:color w:val="000000"/>
                <w:lang w:val="en-US"/>
              </w:rPr>
              <w:t>(return on equity- R</w:t>
            </w:r>
            <w:r w:rsidRPr="0035205C">
              <w:rPr>
                <w:rFonts w:cs="Arial"/>
                <w:color w:val="000000"/>
                <w:vertAlign w:val="subscript"/>
                <w:lang w:val="en-US"/>
              </w:rPr>
              <w:t>it</w:t>
            </w:r>
            <w:r w:rsidRPr="0035205C">
              <w:rPr>
                <w:rFonts w:cs="Arial"/>
                <w:color w:val="000000"/>
                <w:lang w:val="en-US"/>
              </w:rPr>
              <w:t>)</w:t>
            </w:r>
          </w:p>
        </w:tc>
        <w:tc>
          <w:tcPr>
            <w:tcW w:w="1103"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ind w:right="10"/>
              <w:jc w:val="both"/>
              <w:rPr>
                <w:rFonts w:cs="Arial"/>
                <w:color w:val="000000"/>
              </w:rPr>
            </w:pPr>
            <w:r w:rsidRPr="0035205C">
              <w:rPr>
                <w:rFonts w:cs="Arial"/>
                <w:color w:val="000000"/>
              </w:rPr>
              <w:t>0.000588</w:t>
            </w:r>
          </w:p>
        </w:tc>
        <w:tc>
          <w:tcPr>
            <w:tcW w:w="1307"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ind w:right="10"/>
              <w:jc w:val="both"/>
              <w:rPr>
                <w:rFonts w:cs="Arial"/>
                <w:color w:val="000000"/>
              </w:rPr>
            </w:pPr>
            <w:r w:rsidRPr="0035205C">
              <w:rPr>
                <w:rFonts w:cs="Arial"/>
                <w:color w:val="000000"/>
              </w:rPr>
              <w:t>0.001467</w:t>
            </w:r>
          </w:p>
        </w:tc>
        <w:tc>
          <w:tcPr>
            <w:tcW w:w="1208"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ind w:right="10"/>
              <w:jc w:val="both"/>
              <w:rPr>
                <w:rFonts w:cs="Arial"/>
                <w:color w:val="000000"/>
              </w:rPr>
            </w:pPr>
            <w:r w:rsidRPr="0035205C">
              <w:rPr>
                <w:rFonts w:cs="Arial"/>
                <w:color w:val="000000"/>
              </w:rPr>
              <w:t>0.400521</w:t>
            </w:r>
          </w:p>
        </w:tc>
        <w:tc>
          <w:tcPr>
            <w:tcW w:w="1343" w:type="dxa"/>
            <w:tcBorders>
              <w:top w:val="nil"/>
              <w:left w:val="nil"/>
              <w:bottom w:val="nil"/>
              <w:right w:val="double" w:sz="4" w:space="0" w:color="auto"/>
            </w:tcBorders>
            <w:vAlign w:val="bottom"/>
          </w:tcPr>
          <w:p w:rsidR="00FD5242" w:rsidRPr="0035205C" w:rsidRDefault="00FD5242" w:rsidP="0024791A">
            <w:pPr>
              <w:autoSpaceDE w:val="0"/>
              <w:autoSpaceDN w:val="0"/>
              <w:adjustRightInd w:val="0"/>
              <w:spacing w:after="0" w:line="240" w:lineRule="auto"/>
              <w:ind w:right="10"/>
              <w:jc w:val="both"/>
              <w:rPr>
                <w:rFonts w:cs="Arial"/>
                <w:color w:val="000000"/>
              </w:rPr>
            </w:pPr>
            <w:r w:rsidRPr="0035205C">
              <w:rPr>
                <w:rFonts w:cs="Arial"/>
                <w:color w:val="000000"/>
              </w:rPr>
              <w:t>0.6906</w:t>
            </w:r>
          </w:p>
        </w:tc>
      </w:tr>
      <w:tr w:rsidR="00FD5242" w:rsidRPr="0035205C" w:rsidTr="00C00977">
        <w:trPr>
          <w:trHeight w:val="225"/>
        </w:trPr>
        <w:tc>
          <w:tcPr>
            <w:tcW w:w="2962" w:type="dxa"/>
            <w:tcBorders>
              <w:top w:val="nil"/>
              <w:left w:val="double" w:sz="4" w:space="0" w:color="auto"/>
              <w:bottom w:val="nil"/>
              <w:right w:val="nil"/>
            </w:tcBorders>
            <w:vAlign w:val="bottom"/>
          </w:tcPr>
          <w:p w:rsidR="00FD5242" w:rsidRPr="0035205C" w:rsidRDefault="00FD5242" w:rsidP="0024791A">
            <w:pPr>
              <w:autoSpaceDE w:val="0"/>
              <w:autoSpaceDN w:val="0"/>
              <w:adjustRightInd w:val="0"/>
              <w:spacing w:after="0" w:line="240" w:lineRule="auto"/>
              <w:jc w:val="both"/>
              <w:rPr>
                <w:rFonts w:cs="Arial"/>
                <w:color w:val="000000"/>
                <w:lang w:val="en-US"/>
              </w:rPr>
            </w:pPr>
            <w:r w:rsidRPr="0035205C">
              <w:rPr>
                <w:rFonts w:cs="Arial"/>
                <w:b/>
                <w:color w:val="000000"/>
                <w:lang w:val="en-US"/>
              </w:rPr>
              <w:t>b</w:t>
            </w:r>
            <w:r w:rsidRPr="0035205C">
              <w:rPr>
                <w:rFonts w:cs="Arial"/>
                <w:b/>
                <w:color w:val="000000"/>
                <w:vertAlign w:val="subscript"/>
                <w:lang w:val="en-US"/>
              </w:rPr>
              <w:t>3</w:t>
            </w:r>
            <w:r w:rsidRPr="0035205C">
              <w:rPr>
                <w:rFonts w:cs="Arial"/>
                <w:color w:val="000000"/>
                <w:vertAlign w:val="subscript"/>
                <w:lang w:val="en-US"/>
              </w:rPr>
              <w:t xml:space="preserve"> </w:t>
            </w:r>
            <w:r w:rsidRPr="0035205C">
              <w:rPr>
                <w:rFonts w:cs="Arial"/>
                <w:color w:val="000000"/>
                <w:lang w:val="en-US"/>
              </w:rPr>
              <w:t>(sensitivity of earnings to negative and positive returns- R</w:t>
            </w:r>
            <w:r w:rsidRPr="0035205C">
              <w:rPr>
                <w:rFonts w:cs="Arial"/>
                <w:i/>
                <w:color w:val="000000"/>
                <w:vertAlign w:val="subscript"/>
                <w:lang w:val="en-US"/>
              </w:rPr>
              <w:t>it</w:t>
            </w:r>
            <w:r w:rsidRPr="0035205C">
              <w:rPr>
                <w:rFonts w:cs="Arial"/>
                <w:color w:val="000000"/>
                <w:lang w:val="en-US"/>
              </w:rPr>
              <w:t>*DR</w:t>
            </w:r>
            <w:r w:rsidRPr="0035205C">
              <w:rPr>
                <w:rFonts w:cs="Arial"/>
                <w:i/>
                <w:color w:val="000000"/>
                <w:vertAlign w:val="subscript"/>
                <w:lang w:val="en-US"/>
              </w:rPr>
              <w:t>it</w:t>
            </w:r>
            <w:r w:rsidRPr="0035205C">
              <w:rPr>
                <w:rFonts w:cs="Arial"/>
                <w:color w:val="000000"/>
                <w:lang w:val="en-US"/>
              </w:rPr>
              <w:t>)</w:t>
            </w:r>
          </w:p>
        </w:tc>
        <w:tc>
          <w:tcPr>
            <w:tcW w:w="1103"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ind w:right="10"/>
              <w:jc w:val="both"/>
              <w:rPr>
                <w:rFonts w:cs="Arial"/>
                <w:color w:val="000000"/>
              </w:rPr>
            </w:pPr>
            <w:r w:rsidRPr="0035205C">
              <w:rPr>
                <w:rFonts w:cs="Arial"/>
                <w:color w:val="000000"/>
              </w:rPr>
              <w:t>-0.001488</w:t>
            </w:r>
          </w:p>
        </w:tc>
        <w:tc>
          <w:tcPr>
            <w:tcW w:w="1307"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ind w:right="10"/>
              <w:jc w:val="both"/>
              <w:rPr>
                <w:rFonts w:cs="Arial"/>
                <w:color w:val="000000"/>
              </w:rPr>
            </w:pPr>
            <w:r w:rsidRPr="0035205C">
              <w:rPr>
                <w:rFonts w:cs="Arial"/>
                <w:color w:val="000000"/>
              </w:rPr>
              <w:t>0.009178</w:t>
            </w:r>
          </w:p>
        </w:tc>
        <w:tc>
          <w:tcPr>
            <w:tcW w:w="1208"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ind w:right="10"/>
              <w:jc w:val="both"/>
              <w:rPr>
                <w:rFonts w:cs="Arial"/>
                <w:color w:val="000000"/>
              </w:rPr>
            </w:pPr>
            <w:r w:rsidRPr="0035205C">
              <w:rPr>
                <w:rFonts w:cs="Arial"/>
                <w:color w:val="000000"/>
              </w:rPr>
              <w:t>-0.162088</w:t>
            </w:r>
          </w:p>
        </w:tc>
        <w:tc>
          <w:tcPr>
            <w:tcW w:w="1343" w:type="dxa"/>
            <w:tcBorders>
              <w:top w:val="nil"/>
              <w:left w:val="nil"/>
              <w:bottom w:val="nil"/>
              <w:right w:val="double" w:sz="4" w:space="0" w:color="auto"/>
            </w:tcBorders>
            <w:vAlign w:val="bottom"/>
          </w:tcPr>
          <w:p w:rsidR="00FD5242" w:rsidRPr="0035205C" w:rsidRDefault="00FD5242" w:rsidP="0024791A">
            <w:pPr>
              <w:autoSpaceDE w:val="0"/>
              <w:autoSpaceDN w:val="0"/>
              <w:adjustRightInd w:val="0"/>
              <w:spacing w:after="0" w:line="240" w:lineRule="auto"/>
              <w:ind w:right="10"/>
              <w:jc w:val="both"/>
              <w:rPr>
                <w:rFonts w:cs="Arial"/>
                <w:color w:val="000000"/>
              </w:rPr>
            </w:pPr>
            <w:r w:rsidRPr="0035205C">
              <w:rPr>
                <w:rFonts w:cs="Arial"/>
                <w:color w:val="000000"/>
              </w:rPr>
              <w:t>0.8719</w:t>
            </w:r>
          </w:p>
        </w:tc>
      </w:tr>
      <w:tr w:rsidR="00FD5242" w:rsidRPr="0035205C" w:rsidTr="00C00977">
        <w:trPr>
          <w:trHeight w:hRule="exact" w:val="90"/>
        </w:trPr>
        <w:tc>
          <w:tcPr>
            <w:tcW w:w="2962" w:type="dxa"/>
            <w:tcBorders>
              <w:top w:val="nil"/>
              <w:left w:val="double" w:sz="4" w:space="0" w:color="auto"/>
              <w:bottom w:val="double" w:sz="6" w:space="2" w:color="auto"/>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c>
          <w:tcPr>
            <w:tcW w:w="1103" w:type="dxa"/>
            <w:tcBorders>
              <w:top w:val="nil"/>
              <w:left w:val="nil"/>
              <w:bottom w:val="double" w:sz="6" w:space="2" w:color="auto"/>
              <w:right w:val="nil"/>
            </w:tcBorders>
            <w:vAlign w:val="bottom"/>
          </w:tcPr>
          <w:p w:rsidR="00FD5242" w:rsidRPr="0035205C" w:rsidRDefault="00FD5242" w:rsidP="0024791A">
            <w:pPr>
              <w:autoSpaceDE w:val="0"/>
              <w:autoSpaceDN w:val="0"/>
              <w:adjustRightInd w:val="0"/>
              <w:spacing w:after="0" w:line="240" w:lineRule="auto"/>
              <w:jc w:val="both"/>
              <w:rPr>
                <w:rFonts w:cs="Arial"/>
                <w:color w:val="000000"/>
              </w:rPr>
            </w:pPr>
          </w:p>
        </w:tc>
        <w:tc>
          <w:tcPr>
            <w:tcW w:w="1307" w:type="dxa"/>
            <w:tcBorders>
              <w:top w:val="nil"/>
              <w:left w:val="nil"/>
              <w:bottom w:val="double" w:sz="6" w:space="2" w:color="auto"/>
              <w:right w:val="nil"/>
            </w:tcBorders>
            <w:vAlign w:val="bottom"/>
          </w:tcPr>
          <w:p w:rsidR="00FD5242" w:rsidRPr="0035205C" w:rsidRDefault="00FD5242" w:rsidP="0024791A">
            <w:pPr>
              <w:autoSpaceDE w:val="0"/>
              <w:autoSpaceDN w:val="0"/>
              <w:adjustRightInd w:val="0"/>
              <w:spacing w:after="0" w:line="240" w:lineRule="auto"/>
              <w:jc w:val="both"/>
              <w:rPr>
                <w:rFonts w:cs="Arial"/>
                <w:color w:val="000000"/>
              </w:rPr>
            </w:pPr>
          </w:p>
        </w:tc>
        <w:tc>
          <w:tcPr>
            <w:tcW w:w="1208" w:type="dxa"/>
            <w:tcBorders>
              <w:top w:val="nil"/>
              <w:left w:val="nil"/>
              <w:bottom w:val="double" w:sz="6" w:space="2" w:color="auto"/>
              <w:right w:val="nil"/>
            </w:tcBorders>
            <w:vAlign w:val="bottom"/>
          </w:tcPr>
          <w:p w:rsidR="00FD5242" w:rsidRPr="0035205C" w:rsidRDefault="00FD5242" w:rsidP="0024791A">
            <w:pPr>
              <w:autoSpaceDE w:val="0"/>
              <w:autoSpaceDN w:val="0"/>
              <w:adjustRightInd w:val="0"/>
              <w:spacing w:after="0" w:line="240" w:lineRule="auto"/>
              <w:jc w:val="both"/>
              <w:rPr>
                <w:rFonts w:cs="Arial"/>
                <w:color w:val="000000"/>
              </w:rPr>
            </w:pPr>
          </w:p>
        </w:tc>
        <w:tc>
          <w:tcPr>
            <w:tcW w:w="1343" w:type="dxa"/>
            <w:tcBorders>
              <w:top w:val="nil"/>
              <w:left w:val="nil"/>
              <w:bottom w:val="double" w:sz="6" w:space="2" w:color="auto"/>
              <w:right w:val="double" w:sz="4" w:space="0" w:color="auto"/>
            </w:tcBorders>
            <w:vAlign w:val="bottom"/>
          </w:tcPr>
          <w:p w:rsidR="00FD5242" w:rsidRPr="0035205C" w:rsidRDefault="00FD5242" w:rsidP="0024791A">
            <w:pPr>
              <w:autoSpaceDE w:val="0"/>
              <w:autoSpaceDN w:val="0"/>
              <w:adjustRightInd w:val="0"/>
              <w:spacing w:after="0" w:line="240" w:lineRule="auto"/>
              <w:jc w:val="both"/>
              <w:rPr>
                <w:rFonts w:cs="Arial"/>
                <w:color w:val="000000"/>
              </w:rPr>
            </w:pPr>
          </w:p>
        </w:tc>
      </w:tr>
      <w:tr w:rsidR="00FD5242" w:rsidRPr="0035205C" w:rsidTr="00C00977">
        <w:trPr>
          <w:trHeight w:hRule="exact" w:val="135"/>
        </w:trPr>
        <w:tc>
          <w:tcPr>
            <w:tcW w:w="2962" w:type="dxa"/>
            <w:tcBorders>
              <w:top w:val="nil"/>
              <w:left w:val="double" w:sz="4" w:space="0" w:color="auto"/>
              <w:bottom w:val="nil"/>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c>
          <w:tcPr>
            <w:tcW w:w="1103"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jc w:val="both"/>
              <w:rPr>
                <w:rFonts w:cs="Arial"/>
                <w:color w:val="000000"/>
              </w:rPr>
            </w:pPr>
          </w:p>
        </w:tc>
        <w:tc>
          <w:tcPr>
            <w:tcW w:w="1307"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jc w:val="both"/>
              <w:rPr>
                <w:rFonts w:cs="Arial"/>
                <w:color w:val="000000"/>
              </w:rPr>
            </w:pPr>
          </w:p>
        </w:tc>
        <w:tc>
          <w:tcPr>
            <w:tcW w:w="1208"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jc w:val="both"/>
              <w:rPr>
                <w:rFonts w:cs="Arial"/>
                <w:color w:val="000000"/>
              </w:rPr>
            </w:pPr>
          </w:p>
        </w:tc>
        <w:tc>
          <w:tcPr>
            <w:tcW w:w="1343" w:type="dxa"/>
            <w:tcBorders>
              <w:top w:val="nil"/>
              <w:left w:val="nil"/>
              <w:bottom w:val="nil"/>
              <w:right w:val="double" w:sz="4" w:space="0" w:color="auto"/>
            </w:tcBorders>
            <w:vAlign w:val="bottom"/>
          </w:tcPr>
          <w:p w:rsidR="00FD5242" w:rsidRPr="0035205C" w:rsidRDefault="00FD5242" w:rsidP="0024791A">
            <w:pPr>
              <w:autoSpaceDE w:val="0"/>
              <w:autoSpaceDN w:val="0"/>
              <w:adjustRightInd w:val="0"/>
              <w:spacing w:after="0" w:line="240" w:lineRule="auto"/>
              <w:jc w:val="both"/>
              <w:rPr>
                <w:rFonts w:cs="Arial"/>
                <w:color w:val="000000"/>
              </w:rPr>
            </w:pPr>
          </w:p>
        </w:tc>
      </w:tr>
      <w:tr w:rsidR="00FD5242" w:rsidRPr="0035205C" w:rsidTr="00C00977">
        <w:trPr>
          <w:trHeight w:val="225"/>
        </w:trPr>
        <w:tc>
          <w:tcPr>
            <w:tcW w:w="2962" w:type="dxa"/>
            <w:tcBorders>
              <w:top w:val="nil"/>
              <w:left w:val="double" w:sz="4" w:space="0" w:color="auto"/>
              <w:bottom w:val="nil"/>
              <w:right w:val="nil"/>
            </w:tcBorders>
            <w:vAlign w:val="bottom"/>
          </w:tcPr>
          <w:p w:rsidR="00FD5242" w:rsidRPr="0035205C" w:rsidRDefault="00FD5242" w:rsidP="0024791A">
            <w:pPr>
              <w:autoSpaceDE w:val="0"/>
              <w:autoSpaceDN w:val="0"/>
              <w:adjustRightInd w:val="0"/>
              <w:spacing w:after="0" w:line="240" w:lineRule="auto"/>
              <w:rPr>
                <w:rFonts w:cs="Arial"/>
                <w:b/>
                <w:color w:val="000000"/>
              </w:rPr>
            </w:pPr>
            <w:r w:rsidRPr="0035205C">
              <w:rPr>
                <w:rFonts w:cs="Arial"/>
                <w:b/>
                <w:color w:val="000000"/>
              </w:rPr>
              <w:t>Model Summary</w:t>
            </w:r>
          </w:p>
          <w:p w:rsidR="00FD5242" w:rsidRPr="0035205C" w:rsidRDefault="00FD5242" w:rsidP="0024791A">
            <w:pPr>
              <w:autoSpaceDE w:val="0"/>
              <w:autoSpaceDN w:val="0"/>
              <w:adjustRightInd w:val="0"/>
              <w:spacing w:after="0" w:line="240" w:lineRule="auto"/>
              <w:rPr>
                <w:rFonts w:cs="Arial"/>
                <w:color w:val="000000"/>
              </w:rPr>
            </w:pPr>
            <w:r w:rsidRPr="0035205C">
              <w:rPr>
                <w:rFonts w:cs="Arial"/>
                <w:color w:val="000000"/>
              </w:rPr>
              <w:t>R-squared</w:t>
            </w:r>
          </w:p>
        </w:tc>
        <w:tc>
          <w:tcPr>
            <w:tcW w:w="1103"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ind w:right="10"/>
              <w:jc w:val="both"/>
              <w:rPr>
                <w:rFonts w:cs="Arial"/>
                <w:color w:val="000000"/>
              </w:rPr>
            </w:pPr>
            <w:r w:rsidRPr="0035205C">
              <w:rPr>
                <w:rFonts w:cs="Arial"/>
                <w:color w:val="000000"/>
              </w:rPr>
              <w:t>0.105665</w:t>
            </w:r>
          </w:p>
        </w:tc>
        <w:tc>
          <w:tcPr>
            <w:tcW w:w="2515" w:type="dxa"/>
            <w:gridSpan w:val="2"/>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ind w:right="10"/>
              <w:jc w:val="both"/>
              <w:rPr>
                <w:rFonts w:cs="Arial"/>
                <w:color w:val="000000"/>
              </w:rPr>
            </w:pPr>
          </w:p>
        </w:tc>
        <w:tc>
          <w:tcPr>
            <w:tcW w:w="1343" w:type="dxa"/>
            <w:tcBorders>
              <w:top w:val="nil"/>
              <w:left w:val="nil"/>
              <w:bottom w:val="nil"/>
              <w:right w:val="double" w:sz="4" w:space="0" w:color="auto"/>
            </w:tcBorders>
            <w:vAlign w:val="bottom"/>
          </w:tcPr>
          <w:p w:rsidR="00FD5242" w:rsidRPr="0035205C" w:rsidRDefault="00FD5242" w:rsidP="0024791A">
            <w:pPr>
              <w:autoSpaceDE w:val="0"/>
              <w:autoSpaceDN w:val="0"/>
              <w:adjustRightInd w:val="0"/>
              <w:spacing w:after="0" w:line="240" w:lineRule="auto"/>
              <w:ind w:right="10"/>
              <w:jc w:val="both"/>
              <w:rPr>
                <w:rFonts w:cs="Arial"/>
                <w:color w:val="000000"/>
              </w:rPr>
            </w:pPr>
          </w:p>
        </w:tc>
      </w:tr>
      <w:tr w:rsidR="00FD5242" w:rsidRPr="0035205C" w:rsidTr="00C00977">
        <w:trPr>
          <w:trHeight w:val="225"/>
        </w:trPr>
        <w:tc>
          <w:tcPr>
            <w:tcW w:w="2962" w:type="dxa"/>
            <w:tcBorders>
              <w:top w:val="nil"/>
              <w:left w:val="double" w:sz="4" w:space="0" w:color="auto"/>
              <w:bottom w:val="nil"/>
              <w:right w:val="nil"/>
            </w:tcBorders>
            <w:vAlign w:val="bottom"/>
          </w:tcPr>
          <w:p w:rsidR="00FD5242" w:rsidRPr="0035205C" w:rsidRDefault="00FD5242" w:rsidP="0024791A">
            <w:pPr>
              <w:autoSpaceDE w:val="0"/>
              <w:autoSpaceDN w:val="0"/>
              <w:adjustRightInd w:val="0"/>
              <w:spacing w:after="0" w:line="240" w:lineRule="auto"/>
              <w:rPr>
                <w:rFonts w:cs="Arial"/>
                <w:color w:val="000000"/>
              </w:rPr>
            </w:pPr>
            <w:r w:rsidRPr="0035205C">
              <w:rPr>
                <w:rFonts w:cs="Arial"/>
                <w:color w:val="000000"/>
              </w:rPr>
              <w:t>Adjusted R-squared</w:t>
            </w:r>
          </w:p>
        </w:tc>
        <w:tc>
          <w:tcPr>
            <w:tcW w:w="1103"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ind w:right="10"/>
              <w:jc w:val="both"/>
              <w:rPr>
                <w:rFonts w:cs="Arial"/>
                <w:color w:val="000000"/>
              </w:rPr>
            </w:pPr>
            <w:r w:rsidRPr="0035205C">
              <w:rPr>
                <w:rFonts w:cs="Arial"/>
                <w:color w:val="000000"/>
              </w:rPr>
              <w:t>0.048579</w:t>
            </w:r>
          </w:p>
        </w:tc>
        <w:tc>
          <w:tcPr>
            <w:tcW w:w="2515" w:type="dxa"/>
            <w:gridSpan w:val="2"/>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ind w:right="10"/>
              <w:jc w:val="both"/>
              <w:rPr>
                <w:rFonts w:cs="Arial"/>
                <w:color w:val="000000"/>
              </w:rPr>
            </w:pPr>
            <w:r w:rsidRPr="0035205C">
              <w:rPr>
                <w:rFonts w:cs="Arial"/>
                <w:color w:val="000000"/>
              </w:rPr>
              <w:t xml:space="preserve">            </w:t>
            </w:r>
          </w:p>
        </w:tc>
        <w:tc>
          <w:tcPr>
            <w:tcW w:w="1343" w:type="dxa"/>
            <w:tcBorders>
              <w:top w:val="nil"/>
              <w:left w:val="nil"/>
              <w:bottom w:val="nil"/>
              <w:right w:val="double" w:sz="4" w:space="0" w:color="auto"/>
            </w:tcBorders>
            <w:vAlign w:val="bottom"/>
          </w:tcPr>
          <w:p w:rsidR="00FD5242" w:rsidRPr="0035205C" w:rsidRDefault="00FD5242" w:rsidP="0024791A">
            <w:pPr>
              <w:autoSpaceDE w:val="0"/>
              <w:autoSpaceDN w:val="0"/>
              <w:adjustRightInd w:val="0"/>
              <w:spacing w:after="0" w:line="240" w:lineRule="auto"/>
              <w:ind w:right="10"/>
              <w:jc w:val="both"/>
              <w:rPr>
                <w:rFonts w:cs="Arial"/>
                <w:color w:val="000000"/>
              </w:rPr>
            </w:pPr>
          </w:p>
        </w:tc>
      </w:tr>
      <w:tr w:rsidR="00FD5242" w:rsidRPr="0035205C" w:rsidTr="00C00977">
        <w:trPr>
          <w:trHeight w:val="225"/>
        </w:trPr>
        <w:tc>
          <w:tcPr>
            <w:tcW w:w="2962" w:type="dxa"/>
            <w:tcBorders>
              <w:top w:val="nil"/>
              <w:left w:val="double" w:sz="4" w:space="0" w:color="auto"/>
              <w:bottom w:val="nil"/>
              <w:right w:val="nil"/>
            </w:tcBorders>
            <w:vAlign w:val="bottom"/>
          </w:tcPr>
          <w:p w:rsidR="00FD5242" w:rsidRPr="0035205C" w:rsidRDefault="00FD5242" w:rsidP="0024791A">
            <w:pPr>
              <w:autoSpaceDE w:val="0"/>
              <w:autoSpaceDN w:val="0"/>
              <w:adjustRightInd w:val="0"/>
              <w:spacing w:after="0" w:line="240" w:lineRule="auto"/>
              <w:rPr>
                <w:rFonts w:cs="Arial"/>
                <w:color w:val="000000"/>
              </w:rPr>
            </w:pPr>
            <w:r w:rsidRPr="0035205C">
              <w:rPr>
                <w:rFonts w:cs="Arial"/>
                <w:color w:val="000000"/>
              </w:rPr>
              <w:t>S.E. of regression</w:t>
            </w:r>
          </w:p>
        </w:tc>
        <w:tc>
          <w:tcPr>
            <w:tcW w:w="1103"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ind w:right="10"/>
              <w:jc w:val="both"/>
              <w:rPr>
                <w:rFonts w:cs="Arial"/>
                <w:color w:val="000000"/>
              </w:rPr>
            </w:pPr>
            <w:r w:rsidRPr="0035205C">
              <w:rPr>
                <w:rFonts w:cs="Arial"/>
                <w:color w:val="000000"/>
              </w:rPr>
              <w:t>0.125253</w:t>
            </w:r>
          </w:p>
        </w:tc>
        <w:tc>
          <w:tcPr>
            <w:tcW w:w="2515" w:type="dxa"/>
            <w:gridSpan w:val="2"/>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ind w:right="10"/>
              <w:jc w:val="both"/>
              <w:rPr>
                <w:rFonts w:cs="Arial"/>
                <w:color w:val="000000"/>
              </w:rPr>
            </w:pPr>
          </w:p>
        </w:tc>
        <w:tc>
          <w:tcPr>
            <w:tcW w:w="1343" w:type="dxa"/>
            <w:tcBorders>
              <w:top w:val="nil"/>
              <w:left w:val="nil"/>
              <w:bottom w:val="nil"/>
              <w:right w:val="double" w:sz="4" w:space="0" w:color="auto"/>
            </w:tcBorders>
            <w:vAlign w:val="bottom"/>
          </w:tcPr>
          <w:p w:rsidR="00FD5242" w:rsidRPr="0035205C" w:rsidRDefault="00FD5242" w:rsidP="0024791A">
            <w:pPr>
              <w:autoSpaceDE w:val="0"/>
              <w:autoSpaceDN w:val="0"/>
              <w:adjustRightInd w:val="0"/>
              <w:spacing w:after="0" w:line="240" w:lineRule="auto"/>
              <w:ind w:right="10"/>
              <w:jc w:val="both"/>
              <w:rPr>
                <w:rFonts w:cs="Arial"/>
                <w:color w:val="000000"/>
              </w:rPr>
            </w:pPr>
          </w:p>
        </w:tc>
      </w:tr>
      <w:tr w:rsidR="00FD5242" w:rsidRPr="0035205C" w:rsidTr="00C00977">
        <w:trPr>
          <w:trHeight w:hRule="exact" w:val="90"/>
        </w:trPr>
        <w:tc>
          <w:tcPr>
            <w:tcW w:w="2962" w:type="dxa"/>
            <w:tcBorders>
              <w:top w:val="nil"/>
              <w:left w:val="double" w:sz="4" w:space="0" w:color="auto"/>
              <w:bottom w:val="double" w:sz="6" w:space="0" w:color="auto"/>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c>
          <w:tcPr>
            <w:tcW w:w="1103" w:type="dxa"/>
            <w:tcBorders>
              <w:top w:val="nil"/>
              <w:left w:val="nil"/>
              <w:bottom w:val="double" w:sz="6" w:space="0" w:color="auto"/>
              <w:right w:val="nil"/>
            </w:tcBorders>
            <w:vAlign w:val="bottom"/>
          </w:tcPr>
          <w:p w:rsidR="00FD5242" w:rsidRPr="0035205C" w:rsidRDefault="00FD5242" w:rsidP="0024791A">
            <w:pPr>
              <w:autoSpaceDE w:val="0"/>
              <w:autoSpaceDN w:val="0"/>
              <w:adjustRightInd w:val="0"/>
              <w:spacing w:after="0" w:line="240" w:lineRule="auto"/>
              <w:jc w:val="both"/>
              <w:rPr>
                <w:rFonts w:cs="Arial"/>
                <w:color w:val="000000"/>
              </w:rPr>
            </w:pPr>
          </w:p>
        </w:tc>
        <w:tc>
          <w:tcPr>
            <w:tcW w:w="1307" w:type="dxa"/>
            <w:tcBorders>
              <w:top w:val="nil"/>
              <w:left w:val="nil"/>
              <w:bottom w:val="double" w:sz="6" w:space="0" w:color="auto"/>
              <w:right w:val="nil"/>
            </w:tcBorders>
            <w:vAlign w:val="bottom"/>
          </w:tcPr>
          <w:p w:rsidR="00FD5242" w:rsidRPr="0035205C" w:rsidRDefault="00FD5242" w:rsidP="0024791A">
            <w:pPr>
              <w:autoSpaceDE w:val="0"/>
              <w:autoSpaceDN w:val="0"/>
              <w:adjustRightInd w:val="0"/>
              <w:spacing w:after="0" w:line="240" w:lineRule="auto"/>
              <w:jc w:val="both"/>
              <w:rPr>
                <w:rFonts w:cs="Arial"/>
                <w:color w:val="000000"/>
              </w:rPr>
            </w:pPr>
          </w:p>
        </w:tc>
        <w:tc>
          <w:tcPr>
            <w:tcW w:w="1208" w:type="dxa"/>
            <w:tcBorders>
              <w:top w:val="nil"/>
              <w:left w:val="nil"/>
              <w:bottom w:val="double" w:sz="6" w:space="0" w:color="auto"/>
              <w:right w:val="nil"/>
            </w:tcBorders>
            <w:vAlign w:val="bottom"/>
          </w:tcPr>
          <w:p w:rsidR="00FD5242" w:rsidRPr="0035205C" w:rsidRDefault="00FD5242" w:rsidP="0024791A">
            <w:pPr>
              <w:autoSpaceDE w:val="0"/>
              <w:autoSpaceDN w:val="0"/>
              <w:adjustRightInd w:val="0"/>
              <w:spacing w:after="0" w:line="240" w:lineRule="auto"/>
              <w:jc w:val="both"/>
              <w:rPr>
                <w:rFonts w:cs="Arial"/>
                <w:color w:val="000000"/>
              </w:rPr>
            </w:pPr>
          </w:p>
        </w:tc>
        <w:tc>
          <w:tcPr>
            <w:tcW w:w="1343" w:type="dxa"/>
            <w:tcBorders>
              <w:top w:val="nil"/>
              <w:left w:val="nil"/>
              <w:bottom w:val="double" w:sz="6" w:space="0" w:color="auto"/>
              <w:right w:val="double" w:sz="4" w:space="0" w:color="auto"/>
            </w:tcBorders>
            <w:vAlign w:val="bottom"/>
          </w:tcPr>
          <w:p w:rsidR="00FD5242" w:rsidRPr="0035205C" w:rsidRDefault="00FD5242" w:rsidP="0024791A">
            <w:pPr>
              <w:autoSpaceDE w:val="0"/>
              <w:autoSpaceDN w:val="0"/>
              <w:adjustRightInd w:val="0"/>
              <w:spacing w:after="0" w:line="240" w:lineRule="auto"/>
              <w:jc w:val="both"/>
              <w:rPr>
                <w:rFonts w:cs="Arial"/>
                <w:color w:val="000000"/>
              </w:rPr>
            </w:pPr>
          </w:p>
        </w:tc>
      </w:tr>
      <w:tr w:rsidR="00FD5242" w:rsidRPr="0035205C" w:rsidTr="00C00977">
        <w:trPr>
          <w:trHeight w:hRule="exact" w:val="135"/>
        </w:trPr>
        <w:tc>
          <w:tcPr>
            <w:tcW w:w="2962" w:type="dxa"/>
            <w:tcBorders>
              <w:top w:val="nil"/>
              <w:left w:val="double" w:sz="4" w:space="0" w:color="auto"/>
              <w:bottom w:val="double" w:sz="4" w:space="0" w:color="auto"/>
              <w:right w:val="nil"/>
            </w:tcBorders>
            <w:vAlign w:val="bottom"/>
          </w:tcPr>
          <w:p w:rsidR="00FD5242" w:rsidRPr="0035205C" w:rsidRDefault="00FD5242" w:rsidP="0024791A">
            <w:pPr>
              <w:autoSpaceDE w:val="0"/>
              <w:autoSpaceDN w:val="0"/>
              <w:adjustRightInd w:val="0"/>
              <w:spacing w:after="0" w:line="240" w:lineRule="auto"/>
              <w:rPr>
                <w:rFonts w:cs="Arial"/>
                <w:color w:val="000000"/>
              </w:rPr>
            </w:pPr>
          </w:p>
        </w:tc>
        <w:tc>
          <w:tcPr>
            <w:tcW w:w="1103" w:type="dxa"/>
            <w:tcBorders>
              <w:top w:val="nil"/>
              <w:left w:val="nil"/>
              <w:bottom w:val="double" w:sz="4" w:space="0" w:color="auto"/>
              <w:right w:val="nil"/>
            </w:tcBorders>
            <w:vAlign w:val="bottom"/>
          </w:tcPr>
          <w:p w:rsidR="00FD5242" w:rsidRPr="0035205C" w:rsidRDefault="00FD5242" w:rsidP="0024791A">
            <w:pPr>
              <w:autoSpaceDE w:val="0"/>
              <w:autoSpaceDN w:val="0"/>
              <w:adjustRightInd w:val="0"/>
              <w:spacing w:after="0" w:line="240" w:lineRule="auto"/>
              <w:jc w:val="both"/>
              <w:rPr>
                <w:rFonts w:cs="Arial"/>
                <w:color w:val="000000"/>
              </w:rPr>
            </w:pPr>
          </w:p>
        </w:tc>
        <w:tc>
          <w:tcPr>
            <w:tcW w:w="1307" w:type="dxa"/>
            <w:tcBorders>
              <w:top w:val="nil"/>
              <w:left w:val="nil"/>
              <w:bottom w:val="double" w:sz="4" w:space="0" w:color="auto"/>
              <w:right w:val="nil"/>
            </w:tcBorders>
            <w:vAlign w:val="bottom"/>
          </w:tcPr>
          <w:p w:rsidR="00FD5242" w:rsidRPr="0035205C" w:rsidRDefault="00FD5242" w:rsidP="0024791A">
            <w:pPr>
              <w:autoSpaceDE w:val="0"/>
              <w:autoSpaceDN w:val="0"/>
              <w:adjustRightInd w:val="0"/>
              <w:spacing w:after="0" w:line="240" w:lineRule="auto"/>
              <w:jc w:val="both"/>
              <w:rPr>
                <w:rFonts w:cs="Arial"/>
                <w:color w:val="000000"/>
              </w:rPr>
            </w:pPr>
          </w:p>
        </w:tc>
        <w:tc>
          <w:tcPr>
            <w:tcW w:w="1208" w:type="dxa"/>
            <w:tcBorders>
              <w:top w:val="nil"/>
              <w:left w:val="nil"/>
              <w:bottom w:val="double" w:sz="4" w:space="0" w:color="auto"/>
              <w:right w:val="nil"/>
            </w:tcBorders>
            <w:vAlign w:val="bottom"/>
          </w:tcPr>
          <w:p w:rsidR="00FD5242" w:rsidRPr="0035205C" w:rsidRDefault="00FD5242" w:rsidP="0024791A">
            <w:pPr>
              <w:autoSpaceDE w:val="0"/>
              <w:autoSpaceDN w:val="0"/>
              <w:adjustRightInd w:val="0"/>
              <w:spacing w:after="0" w:line="240" w:lineRule="auto"/>
              <w:jc w:val="both"/>
              <w:rPr>
                <w:rFonts w:cs="Arial"/>
                <w:color w:val="000000"/>
              </w:rPr>
            </w:pPr>
          </w:p>
        </w:tc>
        <w:tc>
          <w:tcPr>
            <w:tcW w:w="1343" w:type="dxa"/>
            <w:tcBorders>
              <w:top w:val="nil"/>
              <w:left w:val="nil"/>
              <w:bottom w:val="double" w:sz="4" w:space="0" w:color="auto"/>
              <w:right w:val="double" w:sz="4" w:space="0" w:color="auto"/>
            </w:tcBorders>
            <w:vAlign w:val="bottom"/>
          </w:tcPr>
          <w:p w:rsidR="00FD5242" w:rsidRPr="0035205C" w:rsidRDefault="00FD5242" w:rsidP="0024791A">
            <w:pPr>
              <w:autoSpaceDE w:val="0"/>
              <w:autoSpaceDN w:val="0"/>
              <w:adjustRightInd w:val="0"/>
              <w:spacing w:after="0" w:line="240" w:lineRule="auto"/>
              <w:jc w:val="both"/>
              <w:rPr>
                <w:rFonts w:cs="Arial"/>
                <w:color w:val="000000"/>
              </w:rPr>
            </w:pPr>
          </w:p>
        </w:tc>
      </w:tr>
    </w:tbl>
    <w:p w:rsidR="00FD5242" w:rsidRPr="002E7EFC" w:rsidRDefault="00FD5242" w:rsidP="008D3405">
      <w:pPr>
        <w:rPr>
          <w:rFonts w:cs="Arial"/>
          <w:lang w:val="en-US"/>
        </w:rPr>
      </w:pPr>
      <w:r w:rsidRPr="0035205C">
        <w:rPr>
          <w:rFonts w:cs="Arial"/>
        </w:rPr>
        <w:t>*,**,*** indicate  significance at 0.01, 0.05, 0.10 significance level</w:t>
      </w:r>
    </w:p>
    <w:p w:rsidR="00FD5242" w:rsidRDefault="00FD5242" w:rsidP="008D3405">
      <w:pPr>
        <w:autoSpaceDE w:val="0"/>
        <w:autoSpaceDN w:val="0"/>
        <w:adjustRightInd w:val="0"/>
        <w:spacing w:after="0" w:line="400" w:lineRule="atLeast"/>
        <w:jc w:val="both"/>
        <w:rPr>
          <w:rFonts w:cs="Arial"/>
          <w:b/>
          <w:color w:val="000000"/>
          <w:lang w:val="en-US"/>
        </w:rPr>
      </w:pPr>
      <w:r>
        <w:rPr>
          <w:rFonts w:cs="Arial"/>
          <w:b/>
          <w:color w:val="000000"/>
          <w:lang w:val="en-US"/>
        </w:rPr>
        <w:t>Table 7c</w:t>
      </w:r>
      <w:r w:rsidRPr="00CC1B80">
        <w:rPr>
          <w:rFonts w:cs="Arial"/>
          <w:b/>
          <w:color w:val="000000"/>
          <w:lang w:val="en-US"/>
        </w:rPr>
        <w:t xml:space="preserve">: Linear regression analysis </w:t>
      </w:r>
      <w:r>
        <w:rPr>
          <w:rFonts w:cs="Arial"/>
          <w:b/>
          <w:color w:val="000000"/>
          <w:lang w:val="en-US"/>
        </w:rPr>
        <w:t>for the year 2008</w:t>
      </w:r>
    </w:p>
    <w:p w:rsidR="00FD5242" w:rsidRPr="00BD0E25" w:rsidRDefault="00FD5242" w:rsidP="00C0031B">
      <w:pPr>
        <w:autoSpaceDE w:val="0"/>
        <w:autoSpaceDN w:val="0"/>
        <w:adjustRightInd w:val="0"/>
        <w:spacing w:after="0" w:line="240" w:lineRule="auto"/>
        <w:rPr>
          <w:rFonts w:cs="Arial"/>
          <w:sz w:val="18"/>
          <w:szCs w:val="18"/>
          <w:lang w:val="en-US"/>
        </w:rPr>
      </w:pPr>
    </w:p>
    <w:tbl>
      <w:tblPr>
        <w:tblW w:w="8284" w:type="dxa"/>
        <w:tblInd w:w="30" w:type="dxa"/>
        <w:tblLayout w:type="fixed"/>
        <w:tblCellMar>
          <w:left w:w="0" w:type="dxa"/>
          <w:right w:w="0" w:type="dxa"/>
        </w:tblCellMar>
        <w:tblLook w:val="0000"/>
      </w:tblPr>
      <w:tblGrid>
        <w:gridCol w:w="3421"/>
        <w:gridCol w:w="1268"/>
        <w:gridCol w:w="1124"/>
        <w:gridCol w:w="1126"/>
        <w:gridCol w:w="1345"/>
      </w:tblGrid>
      <w:tr w:rsidR="00FD5242" w:rsidRPr="009E2EF6" w:rsidTr="00C00977">
        <w:trPr>
          <w:trHeight w:val="208"/>
        </w:trPr>
        <w:tc>
          <w:tcPr>
            <w:tcW w:w="6939" w:type="dxa"/>
            <w:gridSpan w:val="4"/>
            <w:tcBorders>
              <w:top w:val="double" w:sz="4" w:space="0" w:color="auto"/>
              <w:left w:val="double" w:sz="4" w:space="0" w:color="auto"/>
              <w:bottom w:val="nil"/>
              <w:right w:val="nil"/>
            </w:tcBorders>
            <w:vAlign w:val="bottom"/>
          </w:tcPr>
          <w:p w:rsidR="00FD5242" w:rsidRPr="0035205C" w:rsidRDefault="00FD5242" w:rsidP="0024791A">
            <w:pPr>
              <w:autoSpaceDE w:val="0"/>
              <w:autoSpaceDN w:val="0"/>
              <w:adjustRightInd w:val="0"/>
              <w:spacing w:after="0" w:line="240" w:lineRule="auto"/>
              <w:rPr>
                <w:rFonts w:cs="Arial"/>
                <w:i/>
                <w:color w:val="000000"/>
                <w:lang w:val="en-US"/>
              </w:rPr>
            </w:pPr>
            <w:r w:rsidRPr="0035205C">
              <w:rPr>
                <w:rFonts w:cs="Arial"/>
                <w:color w:val="000000"/>
                <w:lang w:val="en-US"/>
              </w:rPr>
              <w:t>Dependent Variable: X</w:t>
            </w:r>
            <w:r w:rsidRPr="0035205C">
              <w:rPr>
                <w:rFonts w:cs="Arial"/>
                <w:color w:val="000000"/>
                <w:vertAlign w:val="subscript"/>
                <w:lang w:val="en-US"/>
              </w:rPr>
              <w:t>it</w:t>
            </w:r>
            <w:r w:rsidRPr="0035205C">
              <w:rPr>
                <w:rFonts w:cs="Arial"/>
                <w:color w:val="000000"/>
                <w:lang w:val="en-US"/>
              </w:rPr>
              <w:t>/P</w:t>
            </w:r>
            <w:r w:rsidRPr="0035205C">
              <w:rPr>
                <w:rFonts w:cs="Arial"/>
                <w:color w:val="000000"/>
                <w:vertAlign w:val="subscript"/>
                <w:lang w:val="en-US"/>
              </w:rPr>
              <w:t xml:space="preserve">it-1 </w:t>
            </w:r>
            <w:r>
              <w:rPr>
                <w:rFonts w:cs="Arial"/>
                <w:color w:val="000000"/>
                <w:lang w:val="en-US"/>
              </w:rPr>
              <w:t xml:space="preserve"> (Conservatism</w:t>
            </w:r>
            <w:r w:rsidRPr="0035205C">
              <w:rPr>
                <w:rFonts w:cs="Arial"/>
                <w:color w:val="000000"/>
                <w:lang w:val="en-US"/>
              </w:rPr>
              <w:t>)</w:t>
            </w:r>
          </w:p>
        </w:tc>
        <w:tc>
          <w:tcPr>
            <w:tcW w:w="1345" w:type="dxa"/>
            <w:tcBorders>
              <w:top w:val="double" w:sz="4" w:space="0" w:color="auto"/>
              <w:left w:val="nil"/>
              <w:bottom w:val="nil"/>
              <w:right w:val="double" w:sz="4" w:space="0" w:color="auto"/>
            </w:tcBorders>
            <w:vAlign w:val="bottom"/>
          </w:tcPr>
          <w:p w:rsidR="00FD5242" w:rsidRPr="0035205C" w:rsidRDefault="00FD5242" w:rsidP="0024791A">
            <w:pPr>
              <w:autoSpaceDE w:val="0"/>
              <w:autoSpaceDN w:val="0"/>
              <w:adjustRightInd w:val="0"/>
              <w:spacing w:after="0" w:line="240" w:lineRule="auto"/>
              <w:jc w:val="center"/>
              <w:rPr>
                <w:rFonts w:cs="Arial"/>
                <w:color w:val="000000"/>
                <w:lang w:val="en-US"/>
              </w:rPr>
            </w:pPr>
          </w:p>
        </w:tc>
      </w:tr>
      <w:tr w:rsidR="00FD5242" w:rsidRPr="0035205C" w:rsidTr="00C00977">
        <w:trPr>
          <w:trHeight w:val="208"/>
        </w:trPr>
        <w:tc>
          <w:tcPr>
            <w:tcW w:w="5813" w:type="dxa"/>
            <w:gridSpan w:val="3"/>
            <w:tcBorders>
              <w:top w:val="nil"/>
              <w:left w:val="double" w:sz="4" w:space="0" w:color="auto"/>
              <w:bottom w:val="nil"/>
              <w:right w:val="nil"/>
            </w:tcBorders>
            <w:vAlign w:val="bottom"/>
          </w:tcPr>
          <w:p w:rsidR="00FD5242" w:rsidRPr="0035205C" w:rsidRDefault="00FD5242" w:rsidP="0024791A">
            <w:pPr>
              <w:autoSpaceDE w:val="0"/>
              <w:autoSpaceDN w:val="0"/>
              <w:adjustRightInd w:val="0"/>
              <w:spacing w:after="0" w:line="240" w:lineRule="auto"/>
              <w:rPr>
                <w:rFonts w:cs="Arial"/>
                <w:color w:val="000000"/>
              </w:rPr>
            </w:pPr>
            <w:r w:rsidRPr="0035205C">
              <w:rPr>
                <w:rFonts w:cs="Arial"/>
                <w:color w:val="000000"/>
              </w:rPr>
              <w:t>Method: Least Squares</w:t>
            </w:r>
          </w:p>
        </w:tc>
        <w:tc>
          <w:tcPr>
            <w:tcW w:w="1126"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c>
          <w:tcPr>
            <w:tcW w:w="1345" w:type="dxa"/>
            <w:tcBorders>
              <w:top w:val="nil"/>
              <w:left w:val="nil"/>
              <w:bottom w:val="nil"/>
              <w:right w:val="double" w:sz="4" w:space="0" w:color="auto"/>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r>
      <w:tr w:rsidR="00FD5242" w:rsidRPr="0035205C" w:rsidTr="00C00977">
        <w:trPr>
          <w:trHeight w:val="208"/>
        </w:trPr>
        <w:tc>
          <w:tcPr>
            <w:tcW w:w="5813" w:type="dxa"/>
            <w:gridSpan w:val="3"/>
            <w:tcBorders>
              <w:top w:val="nil"/>
              <w:left w:val="double" w:sz="4" w:space="0" w:color="auto"/>
              <w:bottom w:val="nil"/>
              <w:right w:val="nil"/>
            </w:tcBorders>
            <w:vAlign w:val="bottom"/>
          </w:tcPr>
          <w:p w:rsidR="00FD5242" w:rsidRPr="0035205C" w:rsidRDefault="00FD5242" w:rsidP="0024791A">
            <w:pPr>
              <w:autoSpaceDE w:val="0"/>
              <w:autoSpaceDN w:val="0"/>
              <w:adjustRightInd w:val="0"/>
              <w:spacing w:after="0" w:line="240" w:lineRule="auto"/>
              <w:rPr>
                <w:rFonts w:cs="Arial"/>
                <w:color w:val="000000"/>
              </w:rPr>
            </w:pPr>
            <w:r w:rsidRPr="0035205C">
              <w:rPr>
                <w:rFonts w:cs="Arial"/>
                <w:color w:val="000000"/>
              </w:rPr>
              <w:t>Sample (adjusted): 1 51</w:t>
            </w:r>
          </w:p>
        </w:tc>
        <w:tc>
          <w:tcPr>
            <w:tcW w:w="1126"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c>
          <w:tcPr>
            <w:tcW w:w="1345" w:type="dxa"/>
            <w:tcBorders>
              <w:top w:val="nil"/>
              <w:left w:val="nil"/>
              <w:bottom w:val="nil"/>
              <w:right w:val="double" w:sz="4" w:space="0" w:color="auto"/>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r>
      <w:tr w:rsidR="00FD5242" w:rsidRPr="009E2EF6" w:rsidTr="00C00977">
        <w:trPr>
          <w:trHeight w:val="74"/>
        </w:trPr>
        <w:tc>
          <w:tcPr>
            <w:tcW w:w="8284" w:type="dxa"/>
            <w:gridSpan w:val="5"/>
            <w:tcBorders>
              <w:top w:val="nil"/>
              <w:left w:val="double" w:sz="4" w:space="0" w:color="auto"/>
              <w:bottom w:val="nil"/>
              <w:right w:val="double" w:sz="4" w:space="0" w:color="auto"/>
            </w:tcBorders>
            <w:vAlign w:val="bottom"/>
          </w:tcPr>
          <w:p w:rsidR="00FD5242" w:rsidRPr="0035205C" w:rsidRDefault="00FD5242" w:rsidP="0024791A">
            <w:pPr>
              <w:autoSpaceDE w:val="0"/>
              <w:autoSpaceDN w:val="0"/>
              <w:adjustRightInd w:val="0"/>
              <w:spacing w:after="0" w:line="240" w:lineRule="auto"/>
              <w:rPr>
                <w:rFonts w:cs="Arial"/>
                <w:color w:val="000000"/>
                <w:lang w:val="sv-SE"/>
              </w:rPr>
            </w:pPr>
            <w:r w:rsidRPr="0035205C">
              <w:rPr>
                <w:rFonts w:cs="Arial"/>
                <w:color w:val="000000"/>
                <w:lang w:val="sv-SE"/>
              </w:rPr>
              <w:t>X</w:t>
            </w:r>
            <w:r w:rsidRPr="0035205C">
              <w:rPr>
                <w:rFonts w:cs="Arial"/>
                <w:i/>
                <w:color w:val="000000"/>
                <w:vertAlign w:val="subscript"/>
                <w:lang w:val="sv-SE"/>
              </w:rPr>
              <w:t>it</w:t>
            </w:r>
            <w:r w:rsidRPr="0035205C">
              <w:rPr>
                <w:rFonts w:cs="Arial"/>
                <w:color w:val="000000"/>
                <w:lang w:val="sv-SE"/>
              </w:rPr>
              <w:t>/P</w:t>
            </w:r>
            <w:r w:rsidRPr="0035205C">
              <w:rPr>
                <w:rFonts w:cs="Arial"/>
                <w:color w:val="000000"/>
                <w:vertAlign w:val="subscript"/>
                <w:lang w:val="sv-SE"/>
              </w:rPr>
              <w:t>it-1</w:t>
            </w:r>
            <w:r w:rsidRPr="0035205C">
              <w:rPr>
                <w:rFonts w:cs="Arial"/>
                <w:color w:val="000000"/>
                <w:lang w:val="sv-SE"/>
              </w:rPr>
              <w:t>=b</w:t>
            </w:r>
            <w:r w:rsidRPr="0035205C">
              <w:rPr>
                <w:rFonts w:cs="Arial"/>
                <w:color w:val="000000"/>
                <w:vertAlign w:val="subscript"/>
                <w:lang w:val="sv-SE"/>
              </w:rPr>
              <w:t>0</w:t>
            </w:r>
            <w:r w:rsidRPr="0035205C">
              <w:rPr>
                <w:rFonts w:cs="Arial"/>
                <w:color w:val="000000"/>
                <w:lang w:val="sv-SE"/>
              </w:rPr>
              <w:t>+b</w:t>
            </w:r>
            <w:r w:rsidRPr="0035205C">
              <w:rPr>
                <w:rFonts w:cs="Arial"/>
                <w:color w:val="000000"/>
                <w:vertAlign w:val="subscript"/>
                <w:lang w:val="sv-SE"/>
              </w:rPr>
              <w:t>1</w:t>
            </w:r>
            <w:r w:rsidRPr="0035205C">
              <w:rPr>
                <w:rFonts w:cs="Arial"/>
                <w:color w:val="000000"/>
                <w:lang w:val="sv-SE"/>
              </w:rPr>
              <w:t>*DR</w:t>
            </w:r>
            <w:r w:rsidRPr="0035205C">
              <w:rPr>
                <w:rFonts w:cs="Arial"/>
                <w:i/>
                <w:color w:val="000000"/>
                <w:vertAlign w:val="subscript"/>
                <w:lang w:val="sv-SE"/>
              </w:rPr>
              <w:t>it</w:t>
            </w:r>
            <w:r w:rsidRPr="0035205C">
              <w:rPr>
                <w:rFonts w:cs="Arial"/>
                <w:color w:val="000000"/>
                <w:lang w:val="sv-SE"/>
              </w:rPr>
              <w:t>+b</w:t>
            </w:r>
            <w:r w:rsidRPr="0035205C">
              <w:rPr>
                <w:rFonts w:cs="Arial"/>
                <w:color w:val="000000"/>
                <w:vertAlign w:val="subscript"/>
                <w:lang w:val="sv-SE"/>
              </w:rPr>
              <w:t>2</w:t>
            </w:r>
            <w:r w:rsidRPr="0035205C">
              <w:rPr>
                <w:rFonts w:cs="Arial"/>
                <w:color w:val="000000"/>
                <w:lang w:val="sv-SE"/>
              </w:rPr>
              <w:t>*R</w:t>
            </w:r>
            <w:r w:rsidRPr="0035205C">
              <w:rPr>
                <w:rFonts w:cs="Arial"/>
                <w:color w:val="000000"/>
                <w:vertAlign w:val="subscript"/>
                <w:lang w:val="sv-SE"/>
              </w:rPr>
              <w:t>it</w:t>
            </w:r>
            <w:r w:rsidRPr="0035205C">
              <w:rPr>
                <w:rFonts w:cs="Arial"/>
                <w:color w:val="000000"/>
                <w:lang w:val="sv-SE"/>
              </w:rPr>
              <w:t>+b</w:t>
            </w:r>
            <w:r w:rsidRPr="0035205C">
              <w:rPr>
                <w:rFonts w:cs="Arial"/>
                <w:color w:val="000000"/>
                <w:vertAlign w:val="subscript"/>
                <w:lang w:val="sv-SE"/>
              </w:rPr>
              <w:t>3</w:t>
            </w:r>
            <w:r w:rsidRPr="0035205C">
              <w:rPr>
                <w:rFonts w:cs="Arial"/>
                <w:color w:val="000000"/>
                <w:lang w:val="sv-SE"/>
              </w:rPr>
              <w:t>*R</w:t>
            </w:r>
            <w:r w:rsidRPr="0035205C">
              <w:rPr>
                <w:rFonts w:cs="Arial"/>
                <w:i/>
                <w:color w:val="000000"/>
                <w:vertAlign w:val="subscript"/>
                <w:lang w:val="sv-SE"/>
              </w:rPr>
              <w:t>it</w:t>
            </w:r>
            <w:r w:rsidRPr="0035205C">
              <w:rPr>
                <w:rFonts w:cs="Arial"/>
                <w:color w:val="000000"/>
                <w:lang w:val="sv-SE"/>
              </w:rPr>
              <w:t>*DR</w:t>
            </w:r>
            <w:r w:rsidRPr="0035205C">
              <w:rPr>
                <w:rFonts w:cs="Arial"/>
                <w:i/>
                <w:color w:val="000000"/>
                <w:vertAlign w:val="subscript"/>
                <w:lang w:val="sv-SE"/>
              </w:rPr>
              <w:t>it</w:t>
            </w:r>
          </w:p>
        </w:tc>
      </w:tr>
      <w:tr w:rsidR="00FD5242" w:rsidRPr="009E2EF6" w:rsidTr="00C00977">
        <w:trPr>
          <w:trHeight w:hRule="exact" w:val="83"/>
        </w:trPr>
        <w:tc>
          <w:tcPr>
            <w:tcW w:w="3421" w:type="dxa"/>
            <w:tcBorders>
              <w:top w:val="nil"/>
              <w:left w:val="double" w:sz="4" w:space="0" w:color="auto"/>
              <w:bottom w:val="double" w:sz="6" w:space="2" w:color="auto"/>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lang w:val="sv-SE"/>
              </w:rPr>
            </w:pPr>
          </w:p>
        </w:tc>
        <w:tc>
          <w:tcPr>
            <w:tcW w:w="1268" w:type="dxa"/>
            <w:tcBorders>
              <w:top w:val="nil"/>
              <w:left w:val="nil"/>
              <w:bottom w:val="double" w:sz="6" w:space="2" w:color="auto"/>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lang w:val="sv-SE"/>
              </w:rPr>
            </w:pPr>
          </w:p>
        </w:tc>
        <w:tc>
          <w:tcPr>
            <w:tcW w:w="1124" w:type="dxa"/>
            <w:tcBorders>
              <w:top w:val="nil"/>
              <w:left w:val="nil"/>
              <w:bottom w:val="double" w:sz="6" w:space="2" w:color="auto"/>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lang w:val="sv-SE"/>
              </w:rPr>
            </w:pPr>
          </w:p>
        </w:tc>
        <w:tc>
          <w:tcPr>
            <w:tcW w:w="1126" w:type="dxa"/>
            <w:tcBorders>
              <w:top w:val="nil"/>
              <w:left w:val="nil"/>
              <w:bottom w:val="double" w:sz="6" w:space="2" w:color="auto"/>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lang w:val="sv-SE"/>
              </w:rPr>
            </w:pPr>
          </w:p>
        </w:tc>
        <w:tc>
          <w:tcPr>
            <w:tcW w:w="1345" w:type="dxa"/>
            <w:tcBorders>
              <w:top w:val="nil"/>
              <w:left w:val="nil"/>
              <w:bottom w:val="double" w:sz="6" w:space="2" w:color="auto"/>
              <w:right w:val="double" w:sz="4" w:space="0" w:color="auto"/>
            </w:tcBorders>
            <w:vAlign w:val="bottom"/>
          </w:tcPr>
          <w:p w:rsidR="00FD5242" w:rsidRPr="0035205C" w:rsidRDefault="00FD5242" w:rsidP="0024791A">
            <w:pPr>
              <w:autoSpaceDE w:val="0"/>
              <w:autoSpaceDN w:val="0"/>
              <w:adjustRightInd w:val="0"/>
              <w:spacing w:after="0" w:line="240" w:lineRule="auto"/>
              <w:jc w:val="center"/>
              <w:rPr>
                <w:rFonts w:cs="Arial"/>
                <w:color w:val="000000"/>
                <w:lang w:val="sv-SE"/>
              </w:rPr>
            </w:pPr>
          </w:p>
        </w:tc>
      </w:tr>
      <w:tr w:rsidR="00FD5242" w:rsidRPr="009E2EF6" w:rsidTr="00C00977">
        <w:trPr>
          <w:trHeight w:hRule="exact" w:val="125"/>
        </w:trPr>
        <w:tc>
          <w:tcPr>
            <w:tcW w:w="3421" w:type="dxa"/>
            <w:tcBorders>
              <w:top w:val="nil"/>
              <w:left w:val="double" w:sz="4" w:space="0" w:color="auto"/>
              <w:bottom w:val="nil"/>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lang w:val="sv-SE"/>
              </w:rPr>
            </w:pPr>
          </w:p>
        </w:tc>
        <w:tc>
          <w:tcPr>
            <w:tcW w:w="1268"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lang w:val="sv-SE"/>
              </w:rPr>
            </w:pPr>
          </w:p>
        </w:tc>
        <w:tc>
          <w:tcPr>
            <w:tcW w:w="1124"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lang w:val="sv-SE"/>
              </w:rPr>
            </w:pPr>
          </w:p>
        </w:tc>
        <w:tc>
          <w:tcPr>
            <w:tcW w:w="1126"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lang w:val="sv-SE"/>
              </w:rPr>
            </w:pPr>
          </w:p>
        </w:tc>
        <w:tc>
          <w:tcPr>
            <w:tcW w:w="1345" w:type="dxa"/>
            <w:tcBorders>
              <w:top w:val="nil"/>
              <w:left w:val="nil"/>
              <w:bottom w:val="nil"/>
              <w:right w:val="double" w:sz="4" w:space="0" w:color="auto"/>
            </w:tcBorders>
            <w:vAlign w:val="bottom"/>
          </w:tcPr>
          <w:p w:rsidR="00FD5242" w:rsidRPr="0035205C" w:rsidRDefault="00FD5242" w:rsidP="0024791A">
            <w:pPr>
              <w:autoSpaceDE w:val="0"/>
              <w:autoSpaceDN w:val="0"/>
              <w:adjustRightInd w:val="0"/>
              <w:spacing w:after="0" w:line="240" w:lineRule="auto"/>
              <w:jc w:val="center"/>
              <w:rPr>
                <w:rFonts w:cs="Arial"/>
                <w:color w:val="000000"/>
                <w:lang w:val="sv-SE"/>
              </w:rPr>
            </w:pPr>
          </w:p>
        </w:tc>
      </w:tr>
      <w:tr w:rsidR="00FD5242" w:rsidRPr="0035205C" w:rsidTr="00C00977">
        <w:trPr>
          <w:trHeight w:val="208"/>
        </w:trPr>
        <w:tc>
          <w:tcPr>
            <w:tcW w:w="3421" w:type="dxa"/>
            <w:tcBorders>
              <w:top w:val="nil"/>
              <w:left w:val="double" w:sz="4" w:space="0" w:color="auto"/>
              <w:bottom w:val="nil"/>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lang w:val="sv-SE"/>
              </w:rPr>
            </w:pPr>
          </w:p>
        </w:tc>
        <w:tc>
          <w:tcPr>
            <w:tcW w:w="1268"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ind w:right="10"/>
              <w:jc w:val="both"/>
              <w:rPr>
                <w:rFonts w:cs="Arial"/>
                <w:color w:val="000000"/>
              </w:rPr>
            </w:pPr>
            <w:r w:rsidRPr="0035205C">
              <w:rPr>
                <w:rFonts w:cs="Arial"/>
                <w:color w:val="000000"/>
              </w:rPr>
              <w:t>Coefficient</w:t>
            </w:r>
          </w:p>
        </w:tc>
        <w:tc>
          <w:tcPr>
            <w:tcW w:w="1124"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ind w:right="10"/>
              <w:jc w:val="both"/>
              <w:rPr>
                <w:rFonts w:cs="Arial"/>
                <w:color w:val="000000"/>
              </w:rPr>
            </w:pPr>
            <w:r w:rsidRPr="0035205C">
              <w:rPr>
                <w:rFonts w:cs="Arial"/>
                <w:color w:val="000000"/>
              </w:rPr>
              <w:t>Std. Error</w:t>
            </w:r>
          </w:p>
        </w:tc>
        <w:tc>
          <w:tcPr>
            <w:tcW w:w="1126"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ind w:right="10"/>
              <w:jc w:val="both"/>
              <w:rPr>
                <w:rFonts w:cs="Arial"/>
                <w:color w:val="000000"/>
              </w:rPr>
            </w:pPr>
            <w:r w:rsidRPr="0035205C">
              <w:rPr>
                <w:rFonts w:cs="Arial"/>
                <w:color w:val="000000"/>
              </w:rPr>
              <w:t>t-Statistic</w:t>
            </w:r>
          </w:p>
        </w:tc>
        <w:tc>
          <w:tcPr>
            <w:tcW w:w="1345" w:type="dxa"/>
            <w:tcBorders>
              <w:top w:val="nil"/>
              <w:left w:val="nil"/>
              <w:bottom w:val="nil"/>
              <w:right w:val="double" w:sz="4" w:space="0" w:color="auto"/>
            </w:tcBorders>
            <w:vAlign w:val="bottom"/>
          </w:tcPr>
          <w:p w:rsidR="00FD5242" w:rsidRPr="0035205C" w:rsidRDefault="00FD5242" w:rsidP="0024791A">
            <w:pPr>
              <w:autoSpaceDE w:val="0"/>
              <w:autoSpaceDN w:val="0"/>
              <w:adjustRightInd w:val="0"/>
              <w:spacing w:after="0" w:line="240" w:lineRule="auto"/>
              <w:ind w:right="10"/>
              <w:jc w:val="both"/>
              <w:rPr>
                <w:rFonts w:cs="Arial"/>
                <w:color w:val="000000"/>
              </w:rPr>
            </w:pPr>
            <w:r w:rsidRPr="0035205C">
              <w:rPr>
                <w:rFonts w:cs="Arial"/>
                <w:color w:val="000000"/>
              </w:rPr>
              <w:t>Prob.  </w:t>
            </w:r>
          </w:p>
        </w:tc>
      </w:tr>
      <w:tr w:rsidR="00FD5242" w:rsidRPr="0035205C" w:rsidTr="00C00977">
        <w:trPr>
          <w:trHeight w:hRule="exact" w:val="83"/>
        </w:trPr>
        <w:tc>
          <w:tcPr>
            <w:tcW w:w="3421" w:type="dxa"/>
            <w:tcBorders>
              <w:top w:val="nil"/>
              <w:left w:val="double" w:sz="4" w:space="0" w:color="auto"/>
              <w:bottom w:val="double" w:sz="6" w:space="2" w:color="auto"/>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c>
          <w:tcPr>
            <w:tcW w:w="1268" w:type="dxa"/>
            <w:tcBorders>
              <w:top w:val="nil"/>
              <w:left w:val="nil"/>
              <w:bottom w:val="double" w:sz="6" w:space="2" w:color="auto"/>
              <w:right w:val="nil"/>
            </w:tcBorders>
            <w:vAlign w:val="bottom"/>
          </w:tcPr>
          <w:p w:rsidR="00FD5242" w:rsidRPr="0035205C" w:rsidRDefault="00FD5242" w:rsidP="0024791A">
            <w:pPr>
              <w:autoSpaceDE w:val="0"/>
              <w:autoSpaceDN w:val="0"/>
              <w:adjustRightInd w:val="0"/>
              <w:spacing w:after="0" w:line="240" w:lineRule="auto"/>
              <w:jc w:val="both"/>
              <w:rPr>
                <w:rFonts w:cs="Arial"/>
                <w:color w:val="000000"/>
              </w:rPr>
            </w:pPr>
          </w:p>
        </w:tc>
        <w:tc>
          <w:tcPr>
            <w:tcW w:w="1124" w:type="dxa"/>
            <w:tcBorders>
              <w:top w:val="nil"/>
              <w:left w:val="nil"/>
              <w:bottom w:val="double" w:sz="6" w:space="2" w:color="auto"/>
              <w:right w:val="nil"/>
            </w:tcBorders>
            <w:vAlign w:val="bottom"/>
          </w:tcPr>
          <w:p w:rsidR="00FD5242" w:rsidRPr="0035205C" w:rsidRDefault="00FD5242" w:rsidP="0024791A">
            <w:pPr>
              <w:autoSpaceDE w:val="0"/>
              <w:autoSpaceDN w:val="0"/>
              <w:adjustRightInd w:val="0"/>
              <w:spacing w:after="0" w:line="240" w:lineRule="auto"/>
              <w:jc w:val="both"/>
              <w:rPr>
                <w:rFonts w:cs="Arial"/>
                <w:color w:val="000000"/>
              </w:rPr>
            </w:pPr>
          </w:p>
        </w:tc>
        <w:tc>
          <w:tcPr>
            <w:tcW w:w="1126" w:type="dxa"/>
            <w:tcBorders>
              <w:top w:val="nil"/>
              <w:left w:val="nil"/>
              <w:bottom w:val="double" w:sz="6" w:space="2" w:color="auto"/>
              <w:right w:val="nil"/>
            </w:tcBorders>
            <w:vAlign w:val="bottom"/>
          </w:tcPr>
          <w:p w:rsidR="00FD5242" w:rsidRPr="0035205C" w:rsidRDefault="00FD5242" w:rsidP="0024791A">
            <w:pPr>
              <w:autoSpaceDE w:val="0"/>
              <w:autoSpaceDN w:val="0"/>
              <w:adjustRightInd w:val="0"/>
              <w:spacing w:after="0" w:line="240" w:lineRule="auto"/>
              <w:jc w:val="both"/>
              <w:rPr>
                <w:rFonts w:cs="Arial"/>
                <w:color w:val="000000"/>
              </w:rPr>
            </w:pPr>
          </w:p>
        </w:tc>
        <w:tc>
          <w:tcPr>
            <w:tcW w:w="1345" w:type="dxa"/>
            <w:tcBorders>
              <w:top w:val="nil"/>
              <w:left w:val="nil"/>
              <w:bottom w:val="double" w:sz="6" w:space="2" w:color="auto"/>
              <w:right w:val="double" w:sz="4" w:space="0" w:color="auto"/>
            </w:tcBorders>
            <w:vAlign w:val="bottom"/>
          </w:tcPr>
          <w:p w:rsidR="00FD5242" w:rsidRPr="0035205C" w:rsidRDefault="00FD5242" w:rsidP="0024791A">
            <w:pPr>
              <w:autoSpaceDE w:val="0"/>
              <w:autoSpaceDN w:val="0"/>
              <w:adjustRightInd w:val="0"/>
              <w:spacing w:after="0" w:line="240" w:lineRule="auto"/>
              <w:jc w:val="both"/>
              <w:rPr>
                <w:rFonts w:cs="Arial"/>
                <w:color w:val="000000"/>
              </w:rPr>
            </w:pPr>
          </w:p>
        </w:tc>
      </w:tr>
      <w:tr w:rsidR="00FD5242" w:rsidRPr="0035205C" w:rsidTr="00C00977">
        <w:trPr>
          <w:trHeight w:hRule="exact" w:val="125"/>
        </w:trPr>
        <w:tc>
          <w:tcPr>
            <w:tcW w:w="3421" w:type="dxa"/>
            <w:tcBorders>
              <w:top w:val="nil"/>
              <w:left w:val="double" w:sz="4" w:space="0" w:color="auto"/>
              <w:bottom w:val="nil"/>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c>
          <w:tcPr>
            <w:tcW w:w="1268"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jc w:val="both"/>
              <w:rPr>
                <w:rFonts w:cs="Arial"/>
                <w:color w:val="000000"/>
              </w:rPr>
            </w:pPr>
          </w:p>
        </w:tc>
        <w:tc>
          <w:tcPr>
            <w:tcW w:w="1124"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jc w:val="both"/>
              <w:rPr>
                <w:rFonts w:cs="Arial"/>
                <w:color w:val="000000"/>
              </w:rPr>
            </w:pPr>
          </w:p>
        </w:tc>
        <w:tc>
          <w:tcPr>
            <w:tcW w:w="1126"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jc w:val="both"/>
              <w:rPr>
                <w:rFonts w:cs="Arial"/>
                <w:color w:val="000000"/>
              </w:rPr>
            </w:pPr>
          </w:p>
        </w:tc>
        <w:tc>
          <w:tcPr>
            <w:tcW w:w="1345" w:type="dxa"/>
            <w:tcBorders>
              <w:top w:val="nil"/>
              <w:left w:val="nil"/>
              <w:bottom w:val="nil"/>
              <w:right w:val="double" w:sz="4" w:space="0" w:color="auto"/>
            </w:tcBorders>
            <w:vAlign w:val="bottom"/>
          </w:tcPr>
          <w:p w:rsidR="00FD5242" w:rsidRPr="0035205C" w:rsidRDefault="00FD5242" w:rsidP="0024791A">
            <w:pPr>
              <w:autoSpaceDE w:val="0"/>
              <w:autoSpaceDN w:val="0"/>
              <w:adjustRightInd w:val="0"/>
              <w:spacing w:after="0" w:line="240" w:lineRule="auto"/>
              <w:jc w:val="both"/>
              <w:rPr>
                <w:rFonts w:cs="Arial"/>
                <w:color w:val="000000"/>
              </w:rPr>
            </w:pPr>
          </w:p>
        </w:tc>
      </w:tr>
      <w:tr w:rsidR="00FD5242" w:rsidRPr="0035205C" w:rsidTr="00C00977">
        <w:trPr>
          <w:trHeight w:val="555"/>
        </w:trPr>
        <w:tc>
          <w:tcPr>
            <w:tcW w:w="3421" w:type="dxa"/>
            <w:tcBorders>
              <w:top w:val="nil"/>
              <w:left w:val="double" w:sz="4" w:space="0" w:color="auto"/>
              <w:bottom w:val="nil"/>
              <w:right w:val="nil"/>
            </w:tcBorders>
            <w:vAlign w:val="bottom"/>
          </w:tcPr>
          <w:p w:rsidR="00FD5242" w:rsidRPr="0035205C" w:rsidRDefault="00FD5242" w:rsidP="0024791A">
            <w:pPr>
              <w:autoSpaceDE w:val="0"/>
              <w:autoSpaceDN w:val="0"/>
              <w:adjustRightInd w:val="0"/>
              <w:spacing w:after="0" w:line="240" w:lineRule="auto"/>
              <w:jc w:val="both"/>
              <w:rPr>
                <w:rFonts w:cs="Arial"/>
                <w:color w:val="000000"/>
              </w:rPr>
            </w:pPr>
            <w:r w:rsidRPr="0035205C">
              <w:rPr>
                <w:rFonts w:cs="Arial"/>
                <w:b/>
                <w:color w:val="000000"/>
              </w:rPr>
              <w:t>b</w:t>
            </w:r>
            <w:r w:rsidRPr="0035205C">
              <w:rPr>
                <w:rFonts w:cs="Arial"/>
                <w:b/>
                <w:color w:val="000000"/>
                <w:vertAlign w:val="subscript"/>
              </w:rPr>
              <w:t>0</w:t>
            </w:r>
            <w:r w:rsidRPr="0035205C">
              <w:rPr>
                <w:rFonts w:cs="Arial"/>
                <w:color w:val="000000"/>
              </w:rPr>
              <w:t xml:space="preserve">  (constant)</w:t>
            </w:r>
          </w:p>
        </w:tc>
        <w:tc>
          <w:tcPr>
            <w:tcW w:w="1268" w:type="dxa"/>
            <w:tcBorders>
              <w:top w:val="nil"/>
              <w:left w:val="nil"/>
              <w:bottom w:val="nil"/>
              <w:right w:val="nil"/>
            </w:tcBorders>
            <w:vAlign w:val="bottom"/>
          </w:tcPr>
          <w:p w:rsidR="00FD5242" w:rsidRPr="0035205C" w:rsidRDefault="00FD5242" w:rsidP="00C00977">
            <w:pPr>
              <w:autoSpaceDE w:val="0"/>
              <w:autoSpaceDN w:val="0"/>
              <w:adjustRightInd w:val="0"/>
              <w:spacing w:after="0" w:line="240" w:lineRule="auto"/>
              <w:ind w:right="10"/>
              <w:jc w:val="both"/>
              <w:rPr>
                <w:rFonts w:cs="Arial"/>
                <w:color w:val="000000"/>
              </w:rPr>
            </w:pPr>
            <w:r w:rsidRPr="0035205C">
              <w:rPr>
                <w:rFonts w:cs="Arial"/>
                <w:color w:val="000000"/>
              </w:rPr>
              <w:t>0.040159</w:t>
            </w:r>
          </w:p>
        </w:tc>
        <w:tc>
          <w:tcPr>
            <w:tcW w:w="1124" w:type="dxa"/>
            <w:tcBorders>
              <w:top w:val="nil"/>
              <w:left w:val="nil"/>
              <w:bottom w:val="nil"/>
              <w:right w:val="nil"/>
            </w:tcBorders>
            <w:vAlign w:val="bottom"/>
          </w:tcPr>
          <w:p w:rsidR="00FD5242" w:rsidRPr="0035205C" w:rsidRDefault="00FD5242" w:rsidP="00C00977">
            <w:pPr>
              <w:autoSpaceDE w:val="0"/>
              <w:autoSpaceDN w:val="0"/>
              <w:adjustRightInd w:val="0"/>
              <w:spacing w:after="0" w:line="240" w:lineRule="auto"/>
              <w:ind w:right="10"/>
              <w:jc w:val="both"/>
              <w:rPr>
                <w:rFonts w:cs="Arial"/>
                <w:color w:val="000000"/>
              </w:rPr>
            </w:pPr>
            <w:r w:rsidRPr="0035205C">
              <w:rPr>
                <w:rFonts w:cs="Arial"/>
                <w:color w:val="000000"/>
              </w:rPr>
              <w:t>0.015771</w:t>
            </w:r>
          </w:p>
        </w:tc>
        <w:tc>
          <w:tcPr>
            <w:tcW w:w="1126" w:type="dxa"/>
            <w:tcBorders>
              <w:top w:val="nil"/>
              <w:left w:val="nil"/>
              <w:bottom w:val="nil"/>
              <w:right w:val="nil"/>
            </w:tcBorders>
            <w:vAlign w:val="bottom"/>
          </w:tcPr>
          <w:p w:rsidR="00FD5242" w:rsidRPr="0035205C" w:rsidRDefault="00FD5242" w:rsidP="00C00977">
            <w:pPr>
              <w:autoSpaceDE w:val="0"/>
              <w:autoSpaceDN w:val="0"/>
              <w:adjustRightInd w:val="0"/>
              <w:spacing w:after="0" w:line="240" w:lineRule="auto"/>
              <w:ind w:right="10"/>
              <w:jc w:val="both"/>
              <w:rPr>
                <w:rFonts w:cs="Arial"/>
                <w:color w:val="000000"/>
              </w:rPr>
            </w:pPr>
            <w:r w:rsidRPr="0035205C">
              <w:rPr>
                <w:rFonts w:cs="Arial"/>
                <w:color w:val="000000"/>
              </w:rPr>
              <w:t>2.546447</w:t>
            </w:r>
          </w:p>
        </w:tc>
        <w:tc>
          <w:tcPr>
            <w:tcW w:w="1345" w:type="dxa"/>
            <w:tcBorders>
              <w:top w:val="nil"/>
              <w:left w:val="nil"/>
              <w:bottom w:val="nil"/>
              <w:right w:val="double" w:sz="4" w:space="0" w:color="auto"/>
            </w:tcBorders>
            <w:vAlign w:val="bottom"/>
          </w:tcPr>
          <w:p w:rsidR="00FD5242" w:rsidRPr="0035205C" w:rsidRDefault="00FD5242" w:rsidP="00C00977">
            <w:pPr>
              <w:autoSpaceDE w:val="0"/>
              <w:autoSpaceDN w:val="0"/>
              <w:adjustRightInd w:val="0"/>
              <w:spacing w:after="0" w:line="240" w:lineRule="auto"/>
              <w:ind w:right="10"/>
              <w:jc w:val="both"/>
              <w:rPr>
                <w:rFonts w:cs="Arial"/>
                <w:color w:val="000000"/>
              </w:rPr>
            </w:pPr>
            <w:r w:rsidRPr="0035205C">
              <w:rPr>
                <w:rFonts w:cs="Arial"/>
                <w:color w:val="000000"/>
              </w:rPr>
              <w:t>0.0143</w:t>
            </w:r>
          </w:p>
        </w:tc>
      </w:tr>
      <w:tr w:rsidR="00FD5242" w:rsidRPr="0035205C" w:rsidTr="00C00977">
        <w:trPr>
          <w:trHeight w:val="208"/>
        </w:trPr>
        <w:tc>
          <w:tcPr>
            <w:tcW w:w="3421" w:type="dxa"/>
            <w:tcBorders>
              <w:top w:val="nil"/>
              <w:left w:val="double" w:sz="4" w:space="0" w:color="auto"/>
              <w:bottom w:val="nil"/>
              <w:right w:val="nil"/>
            </w:tcBorders>
            <w:vAlign w:val="bottom"/>
          </w:tcPr>
          <w:p w:rsidR="00FD5242" w:rsidRPr="0035205C" w:rsidRDefault="00FD5242" w:rsidP="0035205C">
            <w:pPr>
              <w:autoSpaceDE w:val="0"/>
              <w:autoSpaceDN w:val="0"/>
              <w:adjustRightInd w:val="0"/>
              <w:spacing w:after="0" w:line="240" w:lineRule="auto"/>
              <w:ind w:right="142"/>
              <w:jc w:val="both"/>
              <w:rPr>
                <w:rFonts w:cs="Arial"/>
                <w:color w:val="000000"/>
                <w:lang w:val="en-US"/>
              </w:rPr>
            </w:pPr>
            <w:r w:rsidRPr="0035205C">
              <w:rPr>
                <w:rFonts w:cs="Arial"/>
                <w:b/>
                <w:color w:val="000000"/>
                <w:lang w:val="en-US"/>
              </w:rPr>
              <w:t>b</w:t>
            </w:r>
            <w:r w:rsidRPr="0035205C">
              <w:rPr>
                <w:rFonts w:cs="Arial"/>
                <w:b/>
                <w:color w:val="000000"/>
                <w:vertAlign w:val="subscript"/>
                <w:lang w:val="en-US"/>
              </w:rPr>
              <w:t>1</w:t>
            </w:r>
            <w:r w:rsidRPr="0035205C">
              <w:rPr>
                <w:rFonts w:cs="Arial"/>
                <w:color w:val="000000"/>
                <w:vertAlign w:val="subscript"/>
                <w:lang w:val="en-US"/>
              </w:rPr>
              <w:t xml:space="preserve">   </w:t>
            </w:r>
            <w:r w:rsidRPr="0035205C">
              <w:rPr>
                <w:rFonts w:cs="Arial"/>
                <w:color w:val="000000"/>
                <w:lang w:val="en-US"/>
              </w:rPr>
              <w:t>(dummy return on equity- DR</w:t>
            </w:r>
            <w:r w:rsidRPr="0035205C">
              <w:rPr>
                <w:rFonts w:cs="Arial"/>
                <w:i/>
                <w:color w:val="000000"/>
                <w:vertAlign w:val="subscript"/>
                <w:lang w:val="en-US"/>
              </w:rPr>
              <w:t>it</w:t>
            </w:r>
            <w:r w:rsidRPr="0035205C">
              <w:rPr>
                <w:rFonts w:cs="Arial"/>
                <w:color w:val="000000"/>
                <w:lang w:val="en-US"/>
              </w:rPr>
              <w:t>)</w:t>
            </w:r>
          </w:p>
        </w:tc>
        <w:tc>
          <w:tcPr>
            <w:tcW w:w="1268" w:type="dxa"/>
            <w:tcBorders>
              <w:top w:val="nil"/>
              <w:left w:val="nil"/>
              <w:bottom w:val="nil"/>
              <w:right w:val="nil"/>
            </w:tcBorders>
            <w:vAlign w:val="bottom"/>
          </w:tcPr>
          <w:p w:rsidR="00FD5242" w:rsidRPr="0035205C" w:rsidRDefault="00FD5242" w:rsidP="00C00977">
            <w:pPr>
              <w:autoSpaceDE w:val="0"/>
              <w:autoSpaceDN w:val="0"/>
              <w:adjustRightInd w:val="0"/>
              <w:spacing w:after="0" w:line="240" w:lineRule="auto"/>
              <w:ind w:right="10"/>
              <w:jc w:val="both"/>
              <w:rPr>
                <w:rFonts w:cs="Arial"/>
                <w:color w:val="000000"/>
              </w:rPr>
            </w:pPr>
            <w:r>
              <w:rPr>
                <w:rFonts w:cs="Arial"/>
                <w:color w:val="000000"/>
                <w:lang w:val="en-US"/>
              </w:rPr>
              <w:t>-</w:t>
            </w:r>
            <w:r w:rsidRPr="0035205C">
              <w:rPr>
                <w:rFonts w:cs="Arial"/>
                <w:color w:val="000000"/>
              </w:rPr>
              <w:t>0.090427**</w:t>
            </w:r>
          </w:p>
        </w:tc>
        <w:tc>
          <w:tcPr>
            <w:tcW w:w="1124" w:type="dxa"/>
            <w:tcBorders>
              <w:top w:val="nil"/>
              <w:left w:val="nil"/>
              <w:bottom w:val="nil"/>
              <w:right w:val="nil"/>
            </w:tcBorders>
            <w:vAlign w:val="bottom"/>
          </w:tcPr>
          <w:p w:rsidR="00FD5242" w:rsidRPr="0035205C" w:rsidRDefault="00FD5242" w:rsidP="00C00977">
            <w:pPr>
              <w:autoSpaceDE w:val="0"/>
              <w:autoSpaceDN w:val="0"/>
              <w:adjustRightInd w:val="0"/>
              <w:spacing w:after="0" w:line="240" w:lineRule="auto"/>
              <w:ind w:right="10"/>
              <w:jc w:val="both"/>
              <w:rPr>
                <w:rFonts w:cs="Arial"/>
                <w:color w:val="000000"/>
              </w:rPr>
            </w:pPr>
            <w:r w:rsidRPr="0035205C">
              <w:rPr>
                <w:rFonts w:cs="Arial"/>
                <w:color w:val="000000"/>
              </w:rPr>
              <w:t>0.037378</w:t>
            </w:r>
          </w:p>
        </w:tc>
        <w:tc>
          <w:tcPr>
            <w:tcW w:w="1126" w:type="dxa"/>
            <w:tcBorders>
              <w:top w:val="nil"/>
              <w:left w:val="nil"/>
              <w:bottom w:val="nil"/>
              <w:right w:val="nil"/>
            </w:tcBorders>
            <w:vAlign w:val="bottom"/>
          </w:tcPr>
          <w:p w:rsidR="00FD5242" w:rsidRPr="0035205C" w:rsidRDefault="00FD5242" w:rsidP="00C00977">
            <w:pPr>
              <w:autoSpaceDE w:val="0"/>
              <w:autoSpaceDN w:val="0"/>
              <w:adjustRightInd w:val="0"/>
              <w:spacing w:after="0" w:line="240" w:lineRule="auto"/>
              <w:ind w:right="10"/>
              <w:jc w:val="both"/>
              <w:rPr>
                <w:rFonts w:cs="Arial"/>
                <w:color w:val="000000"/>
              </w:rPr>
            </w:pPr>
            <w:r w:rsidRPr="0035205C">
              <w:rPr>
                <w:rFonts w:cs="Arial"/>
                <w:color w:val="000000"/>
              </w:rPr>
              <w:t>-2.419222</w:t>
            </w:r>
          </w:p>
        </w:tc>
        <w:tc>
          <w:tcPr>
            <w:tcW w:w="1345" w:type="dxa"/>
            <w:tcBorders>
              <w:top w:val="nil"/>
              <w:left w:val="nil"/>
              <w:bottom w:val="nil"/>
              <w:right w:val="double" w:sz="4" w:space="0" w:color="auto"/>
            </w:tcBorders>
            <w:vAlign w:val="bottom"/>
          </w:tcPr>
          <w:p w:rsidR="00FD5242" w:rsidRPr="0035205C" w:rsidRDefault="00FD5242" w:rsidP="00C00977">
            <w:pPr>
              <w:autoSpaceDE w:val="0"/>
              <w:autoSpaceDN w:val="0"/>
              <w:adjustRightInd w:val="0"/>
              <w:spacing w:after="0" w:line="240" w:lineRule="auto"/>
              <w:ind w:right="10"/>
              <w:jc w:val="both"/>
              <w:rPr>
                <w:rFonts w:cs="Arial"/>
                <w:color w:val="000000"/>
              </w:rPr>
            </w:pPr>
            <w:r w:rsidRPr="0035205C">
              <w:rPr>
                <w:rFonts w:cs="Arial"/>
                <w:color w:val="000000"/>
              </w:rPr>
              <w:t>0.0196</w:t>
            </w:r>
          </w:p>
        </w:tc>
      </w:tr>
      <w:tr w:rsidR="00FD5242" w:rsidRPr="0035205C" w:rsidTr="00C00977">
        <w:trPr>
          <w:trHeight w:val="208"/>
        </w:trPr>
        <w:tc>
          <w:tcPr>
            <w:tcW w:w="3421" w:type="dxa"/>
            <w:tcBorders>
              <w:top w:val="nil"/>
              <w:left w:val="double" w:sz="4" w:space="0" w:color="auto"/>
              <w:bottom w:val="nil"/>
              <w:right w:val="nil"/>
            </w:tcBorders>
            <w:vAlign w:val="bottom"/>
          </w:tcPr>
          <w:p w:rsidR="00FD5242" w:rsidRPr="0035205C" w:rsidRDefault="00FD5242" w:rsidP="0024791A">
            <w:pPr>
              <w:autoSpaceDE w:val="0"/>
              <w:autoSpaceDN w:val="0"/>
              <w:adjustRightInd w:val="0"/>
              <w:spacing w:after="0" w:line="240" w:lineRule="auto"/>
              <w:jc w:val="both"/>
              <w:rPr>
                <w:rFonts w:cs="Arial"/>
                <w:color w:val="000000"/>
                <w:lang w:val="en-US"/>
              </w:rPr>
            </w:pPr>
            <w:r w:rsidRPr="0035205C">
              <w:rPr>
                <w:rFonts w:cs="Arial"/>
                <w:b/>
                <w:color w:val="000000"/>
                <w:lang w:val="en-US"/>
              </w:rPr>
              <w:t>b</w:t>
            </w:r>
            <w:r w:rsidRPr="0035205C">
              <w:rPr>
                <w:rFonts w:cs="Arial"/>
                <w:b/>
                <w:color w:val="000000"/>
                <w:vertAlign w:val="subscript"/>
                <w:lang w:val="en-US"/>
              </w:rPr>
              <w:t>2</w:t>
            </w:r>
            <w:r w:rsidRPr="0035205C">
              <w:rPr>
                <w:rFonts w:cs="Arial"/>
                <w:color w:val="000000"/>
                <w:vertAlign w:val="subscript"/>
                <w:lang w:val="en-US"/>
              </w:rPr>
              <w:t xml:space="preserve">   </w:t>
            </w:r>
            <w:r w:rsidRPr="0035205C">
              <w:rPr>
                <w:rFonts w:cs="Arial"/>
                <w:color w:val="000000"/>
                <w:lang w:val="en-US"/>
              </w:rPr>
              <w:t>(return on equity- R</w:t>
            </w:r>
            <w:r w:rsidRPr="0035205C">
              <w:rPr>
                <w:rFonts w:cs="Arial"/>
                <w:color w:val="000000"/>
                <w:vertAlign w:val="subscript"/>
                <w:lang w:val="en-US"/>
              </w:rPr>
              <w:t>it</w:t>
            </w:r>
            <w:r w:rsidRPr="0035205C">
              <w:rPr>
                <w:rFonts w:cs="Arial"/>
                <w:color w:val="000000"/>
                <w:lang w:val="en-US"/>
              </w:rPr>
              <w:t>)</w:t>
            </w:r>
          </w:p>
        </w:tc>
        <w:tc>
          <w:tcPr>
            <w:tcW w:w="1268" w:type="dxa"/>
            <w:tcBorders>
              <w:top w:val="nil"/>
              <w:left w:val="nil"/>
              <w:bottom w:val="nil"/>
              <w:right w:val="nil"/>
            </w:tcBorders>
            <w:vAlign w:val="bottom"/>
          </w:tcPr>
          <w:p w:rsidR="00FD5242" w:rsidRPr="0035205C" w:rsidRDefault="00FD5242" w:rsidP="00C00977">
            <w:pPr>
              <w:autoSpaceDE w:val="0"/>
              <w:autoSpaceDN w:val="0"/>
              <w:adjustRightInd w:val="0"/>
              <w:spacing w:after="0" w:line="240" w:lineRule="auto"/>
              <w:ind w:right="10"/>
              <w:jc w:val="both"/>
              <w:rPr>
                <w:rFonts w:cs="Arial"/>
                <w:color w:val="000000"/>
              </w:rPr>
            </w:pPr>
            <w:r w:rsidRPr="0035205C">
              <w:rPr>
                <w:rFonts w:cs="Arial"/>
                <w:color w:val="000000"/>
              </w:rPr>
              <w:t>0.001922*</w:t>
            </w:r>
          </w:p>
        </w:tc>
        <w:tc>
          <w:tcPr>
            <w:tcW w:w="1124" w:type="dxa"/>
            <w:tcBorders>
              <w:top w:val="nil"/>
              <w:left w:val="nil"/>
              <w:bottom w:val="nil"/>
              <w:right w:val="nil"/>
            </w:tcBorders>
            <w:vAlign w:val="bottom"/>
          </w:tcPr>
          <w:p w:rsidR="00FD5242" w:rsidRPr="0035205C" w:rsidRDefault="00FD5242" w:rsidP="00C00977">
            <w:pPr>
              <w:autoSpaceDE w:val="0"/>
              <w:autoSpaceDN w:val="0"/>
              <w:adjustRightInd w:val="0"/>
              <w:spacing w:after="0" w:line="240" w:lineRule="auto"/>
              <w:ind w:right="10"/>
              <w:jc w:val="both"/>
              <w:rPr>
                <w:rFonts w:cs="Arial"/>
                <w:color w:val="000000"/>
              </w:rPr>
            </w:pPr>
            <w:r w:rsidRPr="0035205C">
              <w:rPr>
                <w:rFonts w:cs="Arial"/>
                <w:color w:val="000000"/>
              </w:rPr>
              <w:t>0.000405</w:t>
            </w:r>
          </w:p>
        </w:tc>
        <w:tc>
          <w:tcPr>
            <w:tcW w:w="1126" w:type="dxa"/>
            <w:tcBorders>
              <w:top w:val="nil"/>
              <w:left w:val="nil"/>
              <w:bottom w:val="nil"/>
              <w:right w:val="nil"/>
            </w:tcBorders>
            <w:vAlign w:val="bottom"/>
          </w:tcPr>
          <w:p w:rsidR="00FD5242" w:rsidRPr="0035205C" w:rsidRDefault="00FD5242" w:rsidP="00C00977">
            <w:pPr>
              <w:autoSpaceDE w:val="0"/>
              <w:autoSpaceDN w:val="0"/>
              <w:adjustRightInd w:val="0"/>
              <w:spacing w:after="0" w:line="240" w:lineRule="auto"/>
              <w:ind w:right="10"/>
              <w:jc w:val="both"/>
              <w:rPr>
                <w:rFonts w:cs="Arial"/>
                <w:color w:val="000000"/>
              </w:rPr>
            </w:pPr>
            <w:r w:rsidRPr="0035205C">
              <w:rPr>
                <w:rFonts w:cs="Arial"/>
                <w:color w:val="000000"/>
              </w:rPr>
              <w:t>4.743966</w:t>
            </w:r>
          </w:p>
        </w:tc>
        <w:tc>
          <w:tcPr>
            <w:tcW w:w="1345" w:type="dxa"/>
            <w:tcBorders>
              <w:top w:val="nil"/>
              <w:left w:val="nil"/>
              <w:bottom w:val="nil"/>
              <w:right w:val="double" w:sz="4" w:space="0" w:color="auto"/>
            </w:tcBorders>
            <w:vAlign w:val="bottom"/>
          </w:tcPr>
          <w:p w:rsidR="00FD5242" w:rsidRPr="0035205C" w:rsidRDefault="00FD5242" w:rsidP="00C00977">
            <w:pPr>
              <w:autoSpaceDE w:val="0"/>
              <w:autoSpaceDN w:val="0"/>
              <w:adjustRightInd w:val="0"/>
              <w:spacing w:after="0" w:line="240" w:lineRule="auto"/>
              <w:ind w:right="10"/>
              <w:jc w:val="both"/>
              <w:rPr>
                <w:rFonts w:cs="Arial"/>
                <w:color w:val="000000"/>
              </w:rPr>
            </w:pPr>
            <w:r w:rsidRPr="0035205C">
              <w:rPr>
                <w:rFonts w:cs="Arial"/>
                <w:color w:val="000000"/>
              </w:rPr>
              <w:t>0.0000</w:t>
            </w:r>
          </w:p>
        </w:tc>
      </w:tr>
      <w:tr w:rsidR="00FD5242" w:rsidRPr="0035205C" w:rsidTr="00C00977">
        <w:trPr>
          <w:trHeight w:val="208"/>
        </w:trPr>
        <w:tc>
          <w:tcPr>
            <w:tcW w:w="3421" w:type="dxa"/>
            <w:tcBorders>
              <w:top w:val="nil"/>
              <w:left w:val="double" w:sz="4" w:space="0" w:color="auto"/>
              <w:bottom w:val="nil"/>
              <w:right w:val="nil"/>
            </w:tcBorders>
            <w:vAlign w:val="bottom"/>
          </w:tcPr>
          <w:p w:rsidR="00FD5242" w:rsidRPr="0035205C" w:rsidRDefault="00FD5242" w:rsidP="0024791A">
            <w:pPr>
              <w:autoSpaceDE w:val="0"/>
              <w:autoSpaceDN w:val="0"/>
              <w:adjustRightInd w:val="0"/>
              <w:spacing w:after="0" w:line="240" w:lineRule="auto"/>
              <w:jc w:val="both"/>
              <w:rPr>
                <w:rFonts w:cs="Arial"/>
                <w:color w:val="000000"/>
                <w:lang w:val="en-US"/>
              </w:rPr>
            </w:pPr>
            <w:r w:rsidRPr="0035205C">
              <w:rPr>
                <w:rFonts w:cs="Arial"/>
                <w:b/>
                <w:color w:val="000000"/>
                <w:lang w:val="en-US"/>
              </w:rPr>
              <w:t>b</w:t>
            </w:r>
            <w:r w:rsidRPr="0035205C">
              <w:rPr>
                <w:rFonts w:cs="Arial"/>
                <w:b/>
                <w:color w:val="000000"/>
                <w:vertAlign w:val="subscript"/>
                <w:lang w:val="en-US"/>
              </w:rPr>
              <w:t>3</w:t>
            </w:r>
            <w:r w:rsidRPr="0035205C">
              <w:rPr>
                <w:rFonts w:cs="Arial"/>
                <w:color w:val="000000"/>
                <w:vertAlign w:val="subscript"/>
                <w:lang w:val="en-US"/>
              </w:rPr>
              <w:t xml:space="preserve"> </w:t>
            </w:r>
            <w:r w:rsidRPr="0035205C">
              <w:rPr>
                <w:rFonts w:cs="Arial"/>
                <w:color w:val="000000"/>
                <w:lang w:val="en-US"/>
              </w:rPr>
              <w:t>(sensitivity of earnings to negative and positive returns- R</w:t>
            </w:r>
            <w:r w:rsidRPr="0035205C">
              <w:rPr>
                <w:rFonts w:cs="Arial"/>
                <w:i/>
                <w:color w:val="000000"/>
                <w:vertAlign w:val="subscript"/>
                <w:lang w:val="en-US"/>
              </w:rPr>
              <w:t>it</w:t>
            </w:r>
            <w:r w:rsidRPr="0035205C">
              <w:rPr>
                <w:rFonts w:cs="Arial"/>
                <w:color w:val="000000"/>
                <w:lang w:val="en-US"/>
              </w:rPr>
              <w:t>*DR</w:t>
            </w:r>
            <w:r w:rsidRPr="0035205C">
              <w:rPr>
                <w:rFonts w:cs="Arial"/>
                <w:i/>
                <w:color w:val="000000"/>
                <w:vertAlign w:val="subscript"/>
                <w:lang w:val="en-US"/>
              </w:rPr>
              <w:t>it</w:t>
            </w:r>
            <w:r w:rsidRPr="0035205C">
              <w:rPr>
                <w:rFonts w:cs="Arial"/>
                <w:color w:val="000000"/>
                <w:lang w:val="en-US"/>
              </w:rPr>
              <w:t>)</w:t>
            </w:r>
          </w:p>
        </w:tc>
        <w:tc>
          <w:tcPr>
            <w:tcW w:w="1268" w:type="dxa"/>
            <w:tcBorders>
              <w:top w:val="nil"/>
              <w:left w:val="nil"/>
              <w:bottom w:val="nil"/>
              <w:right w:val="nil"/>
            </w:tcBorders>
            <w:vAlign w:val="bottom"/>
          </w:tcPr>
          <w:p w:rsidR="00FD5242" w:rsidRPr="0035205C" w:rsidRDefault="00FD5242" w:rsidP="00C00977">
            <w:pPr>
              <w:autoSpaceDE w:val="0"/>
              <w:autoSpaceDN w:val="0"/>
              <w:adjustRightInd w:val="0"/>
              <w:spacing w:after="0" w:line="240" w:lineRule="auto"/>
              <w:ind w:right="10"/>
              <w:jc w:val="both"/>
              <w:rPr>
                <w:rFonts w:cs="Arial"/>
                <w:color w:val="000000"/>
              </w:rPr>
            </w:pPr>
            <w:r w:rsidRPr="0035205C">
              <w:rPr>
                <w:rFonts w:cs="Arial"/>
                <w:color w:val="000000"/>
              </w:rPr>
              <w:t>-0.001158***</w:t>
            </w:r>
          </w:p>
        </w:tc>
        <w:tc>
          <w:tcPr>
            <w:tcW w:w="1124" w:type="dxa"/>
            <w:tcBorders>
              <w:top w:val="nil"/>
              <w:left w:val="nil"/>
              <w:bottom w:val="nil"/>
              <w:right w:val="nil"/>
            </w:tcBorders>
            <w:vAlign w:val="bottom"/>
          </w:tcPr>
          <w:p w:rsidR="00FD5242" w:rsidRPr="0035205C" w:rsidRDefault="00FD5242" w:rsidP="00C00977">
            <w:pPr>
              <w:autoSpaceDE w:val="0"/>
              <w:autoSpaceDN w:val="0"/>
              <w:adjustRightInd w:val="0"/>
              <w:spacing w:after="0" w:line="240" w:lineRule="auto"/>
              <w:ind w:right="10"/>
              <w:jc w:val="both"/>
              <w:rPr>
                <w:rFonts w:cs="Arial"/>
                <w:color w:val="000000"/>
              </w:rPr>
            </w:pPr>
            <w:r w:rsidRPr="0035205C">
              <w:rPr>
                <w:rFonts w:cs="Arial"/>
                <w:color w:val="000000"/>
              </w:rPr>
              <w:t>0.000586</w:t>
            </w:r>
          </w:p>
        </w:tc>
        <w:tc>
          <w:tcPr>
            <w:tcW w:w="1126" w:type="dxa"/>
            <w:tcBorders>
              <w:top w:val="nil"/>
              <w:left w:val="nil"/>
              <w:bottom w:val="nil"/>
              <w:right w:val="nil"/>
            </w:tcBorders>
            <w:vAlign w:val="bottom"/>
          </w:tcPr>
          <w:p w:rsidR="00FD5242" w:rsidRPr="0035205C" w:rsidRDefault="00FD5242" w:rsidP="00C00977">
            <w:pPr>
              <w:autoSpaceDE w:val="0"/>
              <w:autoSpaceDN w:val="0"/>
              <w:adjustRightInd w:val="0"/>
              <w:spacing w:after="0" w:line="240" w:lineRule="auto"/>
              <w:ind w:right="10"/>
              <w:jc w:val="both"/>
              <w:rPr>
                <w:rFonts w:cs="Arial"/>
                <w:color w:val="000000"/>
              </w:rPr>
            </w:pPr>
            <w:r w:rsidRPr="0035205C">
              <w:rPr>
                <w:rFonts w:cs="Arial"/>
                <w:color w:val="000000"/>
              </w:rPr>
              <w:t>-1.976487</w:t>
            </w:r>
          </w:p>
        </w:tc>
        <w:tc>
          <w:tcPr>
            <w:tcW w:w="1345" w:type="dxa"/>
            <w:tcBorders>
              <w:top w:val="nil"/>
              <w:left w:val="nil"/>
              <w:bottom w:val="nil"/>
              <w:right w:val="double" w:sz="4" w:space="0" w:color="auto"/>
            </w:tcBorders>
            <w:vAlign w:val="bottom"/>
          </w:tcPr>
          <w:p w:rsidR="00FD5242" w:rsidRPr="0035205C" w:rsidRDefault="00FD5242" w:rsidP="00C00977">
            <w:pPr>
              <w:autoSpaceDE w:val="0"/>
              <w:autoSpaceDN w:val="0"/>
              <w:adjustRightInd w:val="0"/>
              <w:spacing w:after="0" w:line="240" w:lineRule="auto"/>
              <w:ind w:right="10"/>
              <w:jc w:val="both"/>
              <w:rPr>
                <w:rFonts w:cs="Arial"/>
                <w:color w:val="000000"/>
              </w:rPr>
            </w:pPr>
            <w:r w:rsidRPr="0035205C">
              <w:rPr>
                <w:rFonts w:cs="Arial"/>
                <w:color w:val="000000"/>
              </w:rPr>
              <w:t>0.0541</w:t>
            </w:r>
          </w:p>
        </w:tc>
      </w:tr>
      <w:tr w:rsidR="00FD5242" w:rsidRPr="0035205C" w:rsidTr="00C00977">
        <w:trPr>
          <w:trHeight w:hRule="exact" w:val="83"/>
        </w:trPr>
        <w:tc>
          <w:tcPr>
            <w:tcW w:w="3421" w:type="dxa"/>
            <w:tcBorders>
              <w:top w:val="nil"/>
              <w:left w:val="double" w:sz="4" w:space="0" w:color="auto"/>
              <w:bottom w:val="double" w:sz="6" w:space="2" w:color="auto"/>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c>
          <w:tcPr>
            <w:tcW w:w="1268" w:type="dxa"/>
            <w:tcBorders>
              <w:top w:val="nil"/>
              <w:left w:val="nil"/>
              <w:bottom w:val="double" w:sz="6" w:space="2" w:color="auto"/>
              <w:right w:val="nil"/>
            </w:tcBorders>
            <w:vAlign w:val="bottom"/>
          </w:tcPr>
          <w:p w:rsidR="00FD5242" w:rsidRPr="0035205C" w:rsidRDefault="00FD5242" w:rsidP="0024791A">
            <w:pPr>
              <w:autoSpaceDE w:val="0"/>
              <w:autoSpaceDN w:val="0"/>
              <w:adjustRightInd w:val="0"/>
              <w:spacing w:after="0" w:line="240" w:lineRule="auto"/>
              <w:jc w:val="both"/>
              <w:rPr>
                <w:rFonts w:cs="Arial"/>
                <w:color w:val="000000"/>
              </w:rPr>
            </w:pPr>
          </w:p>
        </w:tc>
        <w:tc>
          <w:tcPr>
            <w:tcW w:w="1124" w:type="dxa"/>
            <w:tcBorders>
              <w:top w:val="nil"/>
              <w:left w:val="nil"/>
              <w:bottom w:val="double" w:sz="6" w:space="2" w:color="auto"/>
              <w:right w:val="nil"/>
            </w:tcBorders>
            <w:vAlign w:val="bottom"/>
          </w:tcPr>
          <w:p w:rsidR="00FD5242" w:rsidRPr="0035205C" w:rsidRDefault="00FD5242" w:rsidP="0024791A">
            <w:pPr>
              <w:autoSpaceDE w:val="0"/>
              <w:autoSpaceDN w:val="0"/>
              <w:adjustRightInd w:val="0"/>
              <w:spacing w:after="0" w:line="240" w:lineRule="auto"/>
              <w:jc w:val="both"/>
              <w:rPr>
                <w:rFonts w:cs="Arial"/>
                <w:color w:val="000000"/>
              </w:rPr>
            </w:pPr>
          </w:p>
        </w:tc>
        <w:tc>
          <w:tcPr>
            <w:tcW w:w="1126" w:type="dxa"/>
            <w:tcBorders>
              <w:top w:val="nil"/>
              <w:left w:val="nil"/>
              <w:bottom w:val="double" w:sz="6" w:space="2" w:color="auto"/>
              <w:right w:val="nil"/>
            </w:tcBorders>
            <w:vAlign w:val="bottom"/>
          </w:tcPr>
          <w:p w:rsidR="00FD5242" w:rsidRPr="0035205C" w:rsidRDefault="00FD5242" w:rsidP="0024791A">
            <w:pPr>
              <w:autoSpaceDE w:val="0"/>
              <w:autoSpaceDN w:val="0"/>
              <w:adjustRightInd w:val="0"/>
              <w:spacing w:after="0" w:line="240" w:lineRule="auto"/>
              <w:jc w:val="both"/>
              <w:rPr>
                <w:rFonts w:cs="Arial"/>
                <w:color w:val="000000"/>
              </w:rPr>
            </w:pPr>
          </w:p>
        </w:tc>
        <w:tc>
          <w:tcPr>
            <w:tcW w:w="1345" w:type="dxa"/>
            <w:tcBorders>
              <w:top w:val="nil"/>
              <w:left w:val="nil"/>
              <w:bottom w:val="double" w:sz="6" w:space="2" w:color="auto"/>
              <w:right w:val="double" w:sz="4" w:space="0" w:color="auto"/>
            </w:tcBorders>
            <w:vAlign w:val="bottom"/>
          </w:tcPr>
          <w:p w:rsidR="00FD5242" w:rsidRPr="0035205C" w:rsidRDefault="00FD5242" w:rsidP="0024791A">
            <w:pPr>
              <w:autoSpaceDE w:val="0"/>
              <w:autoSpaceDN w:val="0"/>
              <w:adjustRightInd w:val="0"/>
              <w:spacing w:after="0" w:line="240" w:lineRule="auto"/>
              <w:jc w:val="both"/>
              <w:rPr>
                <w:rFonts w:cs="Arial"/>
                <w:color w:val="000000"/>
              </w:rPr>
            </w:pPr>
          </w:p>
        </w:tc>
      </w:tr>
      <w:tr w:rsidR="00FD5242" w:rsidRPr="0035205C" w:rsidTr="00C00977">
        <w:trPr>
          <w:trHeight w:hRule="exact" w:val="125"/>
        </w:trPr>
        <w:tc>
          <w:tcPr>
            <w:tcW w:w="3421" w:type="dxa"/>
            <w:tcBorders>
              <w:top w:val="nil"/>
              <w:left w:val="double" w:sz="4" w:space="0" w:color="auto"/>
              <w:bottom w:val="nil"/>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c>
          <w:tcPr>
            <w:tcW w:w="1268"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c>
          <w:tcPr>
            <w:tcW w:w="1124"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c>
          <w:tcPr>
            <w:tcW w:w="1126"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c>
          <w:tcPr>
            <w:tcW w:w="1345" w:type="dxa"/>
            <w:tcBorders>
              <w:top w:val="nil"/>
              <w:left w:val="nil"/>
              <w:bottom w:val="nil"/>
              <w:right w:val="double" w:sz="4" w:space="0" w:color="auto"/>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r>
      <w:tr w:rsidR="00FD5242" w:rsidRPr="0035205C" w:rsidTr="00C00977">
        <w:trPr>
          <w:trHeight w:val="208"/>
        </w:trPr>
        <w:tc>
          <w:tcPr>
            <w:tcW w:w="3421" w:type="dxa"/>
            <w:tcBorders>
              <w:top w:val="nil"/>
              <w:left w:val="double" w:sz="4" w:space="0" w:color="auto"/>
              <w:bottom w:val="nil"/>
              <w:right w:val="nil"/>
            </w:tcBorders>
            <w:vAlign w:val="bottom"/>
          </w:tcPr>
          <w:p w:rsidR="00FD5242" w:rsidRPr="0035205C" w:rsidRDefault="00FD5242" w:rsidP="0024791A">
            <w:pPr>
              <w:autoSpaceDE w:val="0"/>
              <w:autoSpaceDN w:val="0"/>
              <w:adjustRightInd w:val="0"/>
              <w:spacing w:after="0" w:line="240" w:lineRule="auto"/>
              <w:rPr>
                <w:rFonts w:cs="Arial"/>
                <w:b/>
                <w:color w:val="000000"/>
              </w:rPr>
            </w:pPr>
            <w:r w:rsidRPr="0035205C">
              <w:rPr>
                <w:rFonts w:cs="Arial"/>
                <w:b/>
                <w:color w:val="000000"/>
              </w:rPr>
              <w:t>Model Summary</w:t>
            </w:r>
          </w:p>
          <w:p w:rsidR="00FD5242" w:rsidRPr="0035205C" w:rsidRDefault="00FD5242" w:rsidP="0024791A">
            <w:pPr>
              <w:autoSpaceDE w:val="0"/>
              <w:autoSpaceDN w:val="0"/>
              <w:adjustRightInd w:val="0"/>
              <w:spacing w:after="0" w:line="240" w:lineRule="auto"/>
              <w:rPr>
                <w:rFonts w:cs="Arial"/>
                <w:color w:val="000000"/>
              </w:rPr>
            </w:pPr>
            <w:r w:rsidRPr="0035205C">
              <w:rPr>
                <w:rFonts w:cs="Arial"/>
                <w:color w:val="000000"/>
              </w:rPr>
              <w:t>R-squared</w:t>
            </w:r>
          </w:p>
        </w:tc>
        <w:tc>
          <w:tcPr>
            <w:tcW w:w="1268" w:type="dxa"/>
            <w:tcBorders>
              <w:top w:val="nil"/>
              <w:left w:val="nil"/>
              <w:bottom w:val="nil"/>
              <w:right w:val="nil"/>
            </w:tcBorders>
            <w:vAlign w:val="bottom"/>
          </w:tcPr>
          <w:p w:rsidR="00FD5242" w:rsidRPr="0035205C" w:rsidRDefault="00FD5242" w:rsidP="00C00977">
            <w:pPr>
              <w:autoSpaceDE w:val="0"/>
              <w:autoSpaceDN w:val="0"/>
              <w:adjustRightInd w:val="0"/>
              <w:spacing w:after="0" w:line="240" w:lineRule="auto"/>
              <w:ind w:left="127" w:right="10" w:hanging="127"/>
              <w:rPr>
                <w:rFonts w:cs="Arial"/>
                <w:color w:val="000000"/>
              </w:rPr>
            </w:pPr>
            <w:r w:rsidRPr="0035205C">
              <w:rPr>
                <w:rFonts w:cs="Arial"/>
                <w:color w:val="000000"/>
              </w:rPr>
              <w:t>0.503369</w:t>
            </w:r>
          </w:p>
        </w:tc>
        <w:tc>
          <w:tcPr>
            <w:tcW w:w="2250" w:type="dxa"/>
            <w:gridSpan w:val="2"/>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ind w:right="10"/>
              <w:rPr>
                <w:rFonts w:cs="Arial"/>
                <w:color w:val="000000"/>
              </w:rPr>
            </w:pPr>
          </w:p>
        </w:tc>
        <w:tc>
          <w:tcPr>
            <w:tcW w:w="1345" w:type="dxa"/>
            <w:tcBorders>
              <w:top w:val="nil"/>
              <w:left w:val="nil"/>
              <w:bottom w:val="nil"/>
              <w:right w:val="double" w:sz="4" w:space="0" w:color="auto"/>
            </w:tcBorders>
            <w:vAlign w:val="bottom"/>
          </w:tcPr>
          <w:p w:rsidR="00FD5242" w:rsidRPr="0035205C" w:rsidRDefault="00FD5242" w:rsidP="0024791A">
            <w:pPr>
              <w:autoSpaceDE w:val="0"/>
              <w:autoSpaceDN w:val="0"/>
              <w:adjustRightInd w:val="0"/>
              <w:spacing w:after="0" w:line="240" w:lineRule="auto"/>
              <w:ind w:right="10"/>
              <w:jc w:val="right"/>
              <w:rPr>
                <w:rFonts w:cs="Arial"/>
                <w:color w:val="000000"/>
              </w:rPr>
            </w:pPr>
          </w:p>
        </w:tc>
      </w:tr>
      <w:tr w:rsidR="00FD5242" w:rsidRPr="0035205C" w:rsidTr="00C00977">
        <w:trPr>
          <w:trHeight w:val="208"/>
        </w:trPr>
        <w:tc>
          <w:tcPr>
            <w:tcW w:w="3421" w:type="dxa"/>
            <w:tcBorders>
              <w:top w:val="nil"/>
              <w:left w:val="double" w:sz="4" w:space="0" w:color="auto"/>
              <w:bottom w:val="nil"/>
              <w:right w:val="nil"/>
            </w:tcBorders>
            <w:vAlign w:val="bottom"/>
          </w:tcPr>
          <w:p w:rsidR="00FD5242" w:rsidRPr="0035205C" w:rsidRDefault="00FD5242" w:rsidP="0024791A">
            <w:pPr>
              <w:autoSpaceDE w:val="0"/>
              <w:autoSpaceDN w:val="0"/>
              <w:adjustRightInd w:val="0"/>
              <w:spacing w:after="0" w:line="240" w:lineRule="auto"/>
              <w:rPr>
                <w:rFonts w:cs="Arial"/>
                <w:color w:val="000000"/>
              </w:rPr>
            </w:pPr>
            <w:r w:rsidRPr="0035205C">
              <w:rPr>
                <w:rFonts w:cs="Arial"/>
                <w:color w:val="000000"/>
              </w:rPr>
              <w:t>Adjusted R-squared</w:t>
            </w:r>
          </w:p>
        </w:tc>
        <w:tc>
          <w:tcPr>
            <w:tcW w:w="1268" w:type="dxa"/>
            <w:tcBorders>
              <w:top w:val="nil"/>
              <w:left w:val="nil"/>
              <w:bottom w:val="nil"/>
              <w:right w:val="nil"/>
            </w:tcBorders>
            <w:vAlign w:val="bottom"/>
          </w:tcPr>
          <w:p w:rsidR="00FD5242" w:rsidRPr="0035205C" w:rsidRDefault="00FD5242" w:rsidP="00C00977">
            <w:pPr>
              <w:autoSpaceDE w:val="0"/>
              <w:autoSpaceDN w:val="0"/>
              <w:adjustRightInd w:val="0"/>
              <w:spacing w:after="0" w:line="240" w:lineRule="auto"/>
              <w:ind w:right="10"/>
              <w:rPr>
                <w:rFonts w:cs="Arial"/>
                <w:color w:val="000000"/>
              </w:rPr>
            </w:pPr>
            <w:r w:rsidRPr="0035205C">
              <w:rPr>
                <w:rFonts w:cs="Arial"/>
                <w:color w:val="000000"/>
              </w:rPr>
              <w:t>0.470980</w:t>
            </w:r>
          </w:p>
        </w:tc>
        <w:tc>
          <w:tcPr>
            <w:tcW w:w="2250" w:type="dxa"/>
            <w:gridSpan w:val="2"/>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ind w:right="10"/>
              <w:rPr>
                <w:rFonts w:cs="Arial"/>
                <w:color w:val="000000"/>
              </w:rPr>
            </w:pPr>
          </w:p>
        </w:tc>
        <w:tc>
          <w:tcPr>
            <w:tcW w:w="1345" w:type="dxa"/>
            <w:tcBorders>
              <w:top w:val="nil"/>
              <w:left w:val="nil"/>
              <w:bottom w:val="nil"/>
              <w:right w:val="double" w:sz="4" w:space="0" w:color="auto"/>
            </w:tcBorders>
            <w:vAlign w:val="bottom"/>
          </w:tcPr>
          <w:p w:rsidR="00FD5242" w:rsidRPr="0035205C" w:rsidRDefault="00FD5242" w:rsidP="0024791A">
            <w:pPr>
              <w:autoSpaceDE w:val="0"/>
              <w:autoSpaceDN w:val="0"/>
              <w:adjustRightInd w:val="0"/>
              <w:spacing w:after="0" w:line="240" w:lineRule="auto"/>
              <w:ind w:right="10"/>
              <w:jc w:val="right"/>
              <w:rPr>
                <w:rFonts w:cs="Arial"/>
                <w:color w:val="000000"/>
              </w:rPr>
            </w:pPr>
          </w:p>
        </w:tc>
      </w:tr>
      <w:tr w:rsidR="00FD5242" w:rsidRPr="0035205C" w:rsidTr="00C00977">
        <w:trPr>
          <w:trHeight w:val="208"/>
        </w:trPr>
        <w:tc>
          <w:tcPr>
            <w:tcW w:w="3421" w:type="dxa"/>
            <w:tcBorders>
              <w:top w:val="nil"/>
              <w:left w:val="double" w:sz="4" w:space="0" w:color="auto"/>
              <w:bottom w:val="nil"/>
              <w:right w:val="nil"/>
            </w:tcBorders>
            <w:vAlign w:val="bottom"/>
          </w:tcPr>
          <w:p w:rsidR="00FD5242" w:rsidRPr="0035205C" w:rsidRDefault="00FD5242" w:rsidP="0024791A">
            <w:pPr>
              <w:autoSpaceDE w:val="0"/>
              <w:autoSpaceDN w:val="0"/>
              <w:adjustRightInd w:val="0"/>
              <w:spacing w:after="0" w:line="240" w:lineRule="auto"/>
              <w:rPr>
                <w:rFonts w:cs="Arial"/>
                <w:color w:val="000000"/>
              </w:rPr>
            </w:pPr>
            <w:r w:rsidRPr="0035205C">
              <w:rPr>
                <w:rFonts w:cs="Arial"/>
                <w:color w:val="000000"/>
              </w:rPr>
              <w:t>S.E. of regression</w:t>
            </w:r>
          </w:p>
        </w:tc>
        <w:tc>
          <w:tcPr>
            <w:tcW w:w="1268" w:type="dxa"/>
            <w:tcBorders>
              <w:top w:val="nil"/>
              <w:left w:val="nil"/>
              <w:bottom w:val="nil"/>
              <w:right w:val="nil"/>
            </w:tcBorders>
            <w:vAlign w:val="bottom"/>
          </w:tcPr>
          <w:p w:rsidR="00FD5242" w:rsidRPr="0035205C" w:rsidRDefault="00FD5242" w:rsidP="00C00977">
            <w:pPr>
              <w:autoSpaceDE w:val="0"/>
              <w:autoSpaceDN w:val="0"/>
              <w:adjustRightInd w:val="0"/>
              <w:spacing w:after="0" w:line="240" w:lineRule="auto"/>
              <w:ind w:right="10"/>
              <w:rPr>
                <w:rFonts w:cs="Arial"/>
                <w:color w:val="000000"/>
              </w:rPr>
            </w:pPr>
            <w:r w:rsidRPr="0035205C">
              <w:rPr>
                <w:rFonts w:cs="Arial"/>
                <w:color w:val="000000"/>
              </w:rPr>
              <w:t>0.093950</w:t>
            </w:r>
          </w:p>
        </w:tc>
        <w:tc>
          <w:tcPr>
            <w:tcW w:w="2250" w:type="dxa"/>
            <w:gridSpan w:val="2"/>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ind w:right="10"/>
              <w:rPr>
                <w:rFonts w:cs="Arial"/>
                <w:color w:val="000000"/>
              </w:rPr>
            </w:pPr>
          </w:p>
        </w:tc>
        <w:tc>
          <w:tcPr>
            <w:tcW w:w="1345" w:type="dxa"/>
            <w:tcBorders>
              <w:top w:val="nil"/>
              <w:left w:val="nil"/>
              <w:bottom w:val="nil"/>
              <w:right w:val="double" w:sz="4" w:space="0" w:color="auto"/>
            </w:tcBorders>
            <w:vAlign w:val="bottom"/>
          </w:tcPr>
          <w:p w:rsidR="00FD5242" w:rsidRPr="0035205C" w:rsidRDefault="00FD5242" w:rsidP="0024791A">
            <w:pPr>
              <w:autoSpaceDE w:val="0"/>
              <w:autoSpaceDN w:val="0"/>
              <w:adjustRightInd w:val="0"/>
              <w:spacing w:after="0" w:line="240" w:lineRule="auto"/>
              <w:ind w:right="10"/>
              <w:jc w:val="right"/>
              <w:rPr>
                <w:rFonts w:cs="Arial"/>
                <w:color w:val="000000"/>
              </w:rPr>
            </w:pPr>
          </w:p>
        </w:tc>
      </w:tr>
      <w:tr w:rsidR="00FD5242" w:rsidRPr="0035205C" w:rsidTr="00C00977">
        <w:trPr>
          <w:trHeight w:hRule="exact" w:val="72"/>
        </w:trPr>
        <w:tc>
          <w:tcPr>
            <w:tcW w:w="3421" w:type="dxa"/>
            <w:tcBorders>
              <w:top w:val="nil"/>
              <w:left w:val="double" w:sz="4" w:space="0" w:color="auto"/>
              <w:bottom w:val="double" w:sz="6" w:space="0" w:color="auto"/>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c>
          <w:tcPr>
            <w:tcW w:w="1268" w:type="dxa"/>
            <w:tcBorders>
              <w:top w:val="nil"/>
              <w:left w:val="nil"/>
              <w:bottom w:val="double" w:sz="6" w:space="0" w:color="auto"/>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c>
          <w:tcPr>
            <w:tcW w:w="1124" w:type="dxa"/>
            <w:tcBorders>
              <w:top w:val="nil"/>
              <w:left w:val="nil"/>
              <w:bottom w:val="double" w:sz="6" w:space="0" w:color="auto"/>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c>
          <w:tcPr>
            <w:tcW w:w="1126" w:type="dxa"/>
            <w:tcBorders>
              <w:top w:val="nil"/>
              <w:left w:val="nil"/>
              <w:bottom w:val="double" w:sz="6" w:space="0" w:color="auto"/>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c>
          <w:tcPr>
            <w:tcW w:w="1345" w:type="dxa"/>
            <w:tcBorders>
              <w:top w:val="nil"/>
              <w:left w:val="nil"/>
              <w:bottom w:val="double" w:sz="6" w:space="0" w:color="auto"/>
              <w:right w:val="double" w:sz="4" w:space="0" w:color="auto"/>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r>
      <w:tr w:rsidR="00FD5242" w:rsidRPr="0035205C" w:rsidTr="00C00977">
        <w:trPr>
          <w:trHeight w:hRule="exact" w:val="125"/>
        </w:trPr>
        <w:tc>
          <w:tcPr>
            <w:tcW w:w="3421" w:type="dxa"/>
            <w:tcBorders>
              <w:top w:val="nil"/>
              <w:left w:val="double" w:sz="4" w:space="0" w:color="auto"/>
              <w:bottom w:val="double" w:sz="4" w:space="0" w:color="auto"/>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c>
          <w:tcPr>
            <w:tcW w:w="1268" w:type="dxa"/>
            <w:tcBorders>
              <w:top w:val="nil"/>
              <w:left w:val="nil"/>
              <w:bottom w:val="double" w:sz="4" w:space="0" w:color="auto"/>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c>
          <w:tcPr>
            <w:tcW w:w="1124" w:type="dxa"/>
            <w:tcBorders>
              <w:top w:val="nil"/>
              <w:left w:val="nil"/>
              <w:bottom w:val="double" w:sz="4" w:space="0" w:color="auto"/>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c>
          <w:tcPr>
            <w:tcW w:w="1126" w:type="dxa"/>
            <w:tcBorders>
              <w:top w:val="nil"/>
              <w:left w:val="nil"/>
              <w:bottom w:val="double" w:sz="4" w:space="0" w:color="auto"/>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c>
          <w:tcPr>
            <w:tcW w:w="1345" w:type="dxa"/>
            <w:tcBorders>
              <w:top w:val="nil"/>
              <w:left w:val="nil"/>
              <w:bottom w:val="double" w:sz="4" w:space="0" w:color="auto"/>
              <w:right w:val="double" w:sz="4" w:space="0" w:color="auto"/>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r>
    </w:tbl>
    <w:p w:rsidR="00FD5242" w:rsidRPr="0035205C" w:rsidRDefault="00FD5242" w:rsidP="00C0031B">
      <w:pPr>
        <w:rPr>
          <w:rFonts w:cs="Arial"/>
          <w:lang w:val="en-US"/>
        </w:rPr>
      </w:pPr>
      <w:r w:rsidRPr="00C00977">
        <w:rPr>
          <w:rFonts w:cs="Arial"/>
          <w:lang w:val="en-US"/>
        </w:rPr>
        <w:t>*,**,*** indicate  significance at 0.01, 0.05, 0.10 significance level</w:t>
      </w:r>
    </w:p>
    <w:p w:rsidR="00FD5242" w:rsidRPr="0035205C" w:rsidRDefault="00FD5242" w:rsidP="00C0031B">
      <w:pPr>
        <w:rPr>
          <w:rFonts w:cs="Arial"/>
          <w:lang w:val="en-US"/>
        </w:rPr>
      </w:pPr>
    </w:p>
    <w:p w:rsidR="00FD5242" w:rsidRPr="0035205C" w:rsidRDefault="00FD5242" w:rsidP="008D3405">
      <w:pPr>
        <w:autoSpaceDE w:val="0"/>
        <w:autoSpaceDN w:val="0"/>
        <w:adjustRightInd w:val="0"/>
        <w:spacing w:after="0" w:line="400" w:lineRule="atLeast"/>
        <w:jc w:val="both"/>
        <w:rPr>
          <w:rFonts w:cs="Arial"/>
          <w:b/>
          <w:color w:val="000000"/>
          <w:lang w:val="en-US"/>
        </w:rPr>
      </w:pPr>
      <w:r w:rsidRPr="0035205C">
        <w:rPr>
          <w:rFonts w:cs="Arial"/>
          <w:b/>
          <w:color w:val="000000"/>
          <w:lang w:val="en-US"/>
        </w:rPr>
        <w:t>Table 7d: Linear regression analysis for the year 2009</w:t>
      </w:r>
    </w:p>
    <w:p w:rsidR="00FD5242" w:rsidRPr="0035205C" w:rsidRDefault="00FD5242" w:rsidP="00BD2C46">
      <w:pPr>
        <w:autoSpaceDE w:val="0"/>
        <w:autoSpaceDN w:val="0"/>
        <w:adjustRightInd w:val="0"/>
        <w:spacing w:after="0" w:line="240" w:lineRule="auto"/>
        <w:rPr>
          <w:rFonts w:cs="Arial"/>
          <w:lang w:val="en-US"/>
        </w:rPr>
      </w:pPr>
    </w:p>
    <w:tbl>
      <w:tblPr>
        <w:tblW w:w="8632" w:type="dxa"/>
        <w:tblInd w:w="30" w:type="dxa"/>
        <w:tblLayout w:type="fixed"/>
        <w:tblCellMar>
          <w:left w:w="0" w:type="dxa"/>
          <w:right w:w="0" w:type="dxa"/>
        </w:tblCellMar>
        <w:tblLook w:val="0000"/>
      </w:tblPr>
      <w:tblGrid>
        <w:gridCol w:w="3529"/>
        <w:gridCol w:w="1103"/>
        <w:gridCol w:w="1207"/>
        <w:gridCol w:w="1375"/>
        <w:gridCol w:w="1418"/>
      </w:tblGrid>
      <w:tr w:rsidR="00FD5242" w:rsidRPr="009E2EF6" w:rsidTr="0035205C">
        <w:trPr>
          <w:trHeight w:val="225"/>
        </w:trPr>
        <w:tc>
          <w:tcPr>
            <w:tcW w:w="7214" w:type="dxa"/>
            <w:gridSpan w:val="4"/>
            <w:tcBorders>
              <w:top w:val="double" w:sz="4" w:space="0" w:color="auto"/>
              <w:left w:val="double" w:sz="4" w:space="0" w:color="auto"/>
              <w:bottom w:val="nil"/>
              <w:right w:val="nil"/>
            </w:tcBorders>
            <w:vAlign w:val="bottom"/>
          </w:tcPr>
          <w:p w:rsidR="00FD5242" w:rsidRPr="0035205C" w:rsidRDefault="00FD5242" w:rsidP="0024791A">
            <w:pPr>
              <w:autoSpaceDE w:val="0"/>
              <w:autoSpaceDN w:val="0"/>
              <w:adjustRightInd w:val="0"/>
              <w:spacing w:after="0" w:line="240" w:lineRule="auto"/>
              <w:rPr>
                <w:rFonts w:cs="Arial"/>
                <w:i/>
                <w:color w:val="000000"/>
                <w:lang w:val="en-US"/>
              </w:rPr>
            </w:pPr>
            <w:r w:rsidRPr="0035205C">
              <w:rPr>
                <w:rFonts w:cs="Arial"/>
                <w:color w:val="000000"/>
                <w:lang w:val="en-US"/>
              </w:rPr>
              <w:t>Dependent Variable: X</w:t>
            </w:r>
            <w:r w:rsidRPr="0035205C">
              <w:rPr>
                <w:rFonts w:cs="Arial"/>
                <w:color w:val="000000"/>
                <w:vertAlign w:val="subscript"/>
                <w:lang w:val="en-US"/>
              </w:rPr>
              <w:t>it</w:t>
            </w:r>
            <w:r w:rsidRPr="0035205C">
              <w:rPr>
                <w:rFonts w:cs="Arial"/>
                <w:color w:val="000000"/>
                <w:lang w:val="en-US"/>
              </w:rPr>
              <w:t>/P</w:t>
            </w:r>
            <w:r w:rsidRPr="0035205C">
              <w:rPr>
                <w:rFonts w:cs="Arial"/>
                <w:color w:val="000000"/>
                <w:vertAlign w:val="subscript"/>
                <w:lang w:val="en-US"/>
              </w:rPr>
              <w:t xml:space="preserve">it-1 </w:t>
            </w:r>
            <w:r w:rsidRPr="0035205C">
              <w:rPr>
                <w:rFonts w:cs="Arial"/>
                <w:color w:val="000000"/>
                <w:lang w:val="en-US"/>
              </w:rPr>
              <w:t xml:space="preserve"> (Ratio of earning to previous price year)</w:t>
            </w:r>
          </w:p>
        </w:tc>
        <w:tc>
          <w:tcPr>
            <w:tcW w:w="1418" w:type="dxa"/>
            <w:tcBorders>
              <w:top w:val="double" w:sz="4" w:space="0" w:color="auto"/>
              <w:left w:val="nil"/>
              <w:bottom w:val="nil"/>
              <w:right w:val="double" w:sz="4" w:space="0" w:color="auto"/>
            </w:tcBorders>
            <w:vAlign w:val="bottom"/>
          </w:tcPr>
          <w:p w:rsidR="00FD5242" w:rsidRPr="0035205C" w:rsidRDefault="00FD5242" w:rsidP="0024791A">
            <w:pPr>
              <w:autoSpaceDE w:val="0"/>
              <w:autoSpaceDN w:val="0"/>
              <w:adjustRightInd w:val="0"/>
              <w:spacing w:after="0" w:line="240" w:lineRule="auto"/>
              <w:jc w:val="center"/>
              <w:rPr>
                <w:rFonts w:cs="Arial"/>
                <w:color w:val="000000"/>
                <w:lang w:val="en-US"/>
              </w:rPr>
            </w:pPr>
          </w:p>
        </w:tc>
      </w:tr>
      <w:tr w:rsidR="00FD5242" w:rsidRPr="0035205C" w:rsidTr="0035205C">
        <w:trPr>
          <w:trHeight w:val="225"/>
        </w:trPr>
        <w:tc>
          <w:tcPr>
            <w:tcW w:w="5839" w:type="dxa"/>
            <w:gridSpan w:val="3"/>
            <w:tcBorders>
              <w:top w:val="nil"/>
              <w:left w:val="double" w:sz="4" w:space="0" w:color="auto"/>
              <w:bottom w:val="nil"/>
              <w:right w:val="nil"/>
            </w:tcBorders>
            <w:vAlign w:val="bottom"/>
          </w:tcPr>
          <w:p w:rsidR="00FD5242" w:rsidRPr="0035205C" w:rsidRDefault="00FD5242" w:rsidP="0024791A">
            <w:pPr>
              <w:autoSpaceDE w:val="0"/>
              <w:autoSpaceDN w:val="0"/>
              <w:adjustRightInd w:val="0"/>
              <w:spacing w:after="0" w:line="240" w:lineRule="auto"/>
              <w:rPr>
                <w:rFonts w:cs="Arial"/>
                <w:color w:val="000000"/>
              </w:rPr>
            </w:pPr>
            <w:r w:rsidRPr="0035205C">
              <w:rPr>
                <w:rFonts w:cs="Arial"/>
                <w:color w:val="000000"/>
              </w:rPr>
              <w:t>Method: Least Squares</w:t>
            </w:r>
          </w:p>
        </w:tc>
        <w:tc>
          <w:tcPr>
            <w:tcW w:w="1375"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c>
          <w:tcPr>
            <w:tcW w:w="1418" w:type="dxa"/>
            <w:tcBorders>
              <w:top w:val="nil"/>
              <w:left w:val="nil"/>
              <w:bottom w:val="nil"/>
              <w:right w:val="double" w:sz="4" w:space="0" w:color="auto"/>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r>
      <w:tr w:rsidR="00FD5242" w:rsidRPr="0035205C" w:rsidTr="0035205C">
        <w:trPr>
          <w:trHeight w:val="225"/>
        </w:trPr>
        <w:tc>
          <w:tcPr>
            <w:tcW w:w="5839" w:type="dxa"/>
            <w:gridSpan w:val="3"/>
            <w:tcBorders>
              <w:top w:val="nil"/>
              <w:left w:val="double" w:sz="4" w:space="0" w:color="auto"/>
              <w:bottom w:val="nil"/>
              <w:right w:val="nil"/>
            </w:tcBorders>
            <w:vAlign w:val="bottom"/>
          </w:tcPr>
          <w:p w:rsidR="00FD5242" w:rsidRPr="0035205C" w:rsidRDefault="00FD5242" w:rsidP="0024791A">
            <w:pPr>
              <w:autoSpaceDE w:val="0"/>
              <w:autoSpaceDN w:val="0"/>
              <w:adjustRightInd w:val="0"/>
              <w:spacing w:after="0" w:line="240" w:lineRule="auto"/>
              <w:rPr>
                <w:rFonts w:cs="Arial"/>
                <w:color w:val="000000"/>
              </w:rPr>
            </w:pPr>
            <w:r w:rsidRPr="0035205C">
              <w:rPr>
                <w:rFonts w:cs="Arial"/>
                <w:color w:val="000000"/>
              </w:rPr>
              <w:t>Sample (adjusted): 1 51</w:t>
            </w:r>
          </w:p>
        </w:tc>
        <w:tc>
          <w:tcPr>
            <w:tcW w:w="1375"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c>
          <w:tcPr>
            <w:tcW w:w="1418" w:type="dxa"/>
            <w:tcBorders>
              <w:top w:val="nil"/>
              <w:left w:val="nil"/>
              <w:bottom w:val="nil"/>
              <w:right w:val="double" w:sz="4" w:space="0" w:color="auto"/>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r>
      <w:tr w:rsidR="00FD5242" w:rsidRPr="009E2EF6" w:rsidTr="0035205C">
        <w:trPr>
          <w:trHeight w:val="225"/>
        </w:trPr>
        <w:tc>
          <w:tcPr>
            <w:tcW w:w="8632" w:type="dxa"/>
            <w:gridSpan w:val="5"/>
            <w:tcBorders>
              <w:top w:val="nil"/>
              <w:left w:val="double" w:sz="4" w:space="0" w:color="auto"/>
              <w:bottom w:val="nil"/>
              <w:right w:val="double" w:sz="4" w:space="0" w:color="auto"/>
            </w:tcBorders>
            <w:vAlign w:val="bottom"/>
          </w:tcPr>
          <w:p w:rsidR="00FD5242" w:rsidRPr="0035205C" w:rsidRDefault="00FD5242" w:rsidP="0024791A">
            <w:pPr>
              <w:autoSpaceDE w:val="0"/>
              <w:autoSpaceDN w:val="0"/>
              <w:adjustRightInd w:val="0"/>
              <w:spacing w:after="0" w:line="240" w:lineRule="auto"/>
              <w:rPr>
                <w:rFonts w:cs="Arial"/>
                <w:color w:val="000000"/>
                <w:lang w:val="sv-SE"/>
              </w:rPr>
            </w:pPr>
            <w:r w:rsidRPr="0035205C">
              <w:rPr>
                <w:rFonts w:cs="Arial"/>
                <w:color w:val="000000"/>
                <w:lang w:val="sv-SE"/>
              </w:rPr>
              <w:t>X</w:t>
            </w:r>
            <w:r w:rsidRPr="0035205C">
              <w:rPr>
                <w:rFonts w:cs="Arial"/>
                <w:i/>
                <w:color w:val="000000"/>
                <w:vertAlign w:val="subscript"/>
                <w:lang w:val="sv-SE"/>
              </w:rPr>
              <w:t>it</w:t>
            </w:r>
            <w:r w:rsidRPr="0035205C">
              <w:rPr>
                <w:rFonts w:cs="Arial"/>
                <w:color w:val="000000"/>
                <w:lang w:val="sv-SE"/>
              </w:rPr>
              <w:t>/P</w:t>
            </w:r>
            <w:r w:rsidRPr="0035205C">
              <w:rPr>
                <w:rFonts w:cs="Arial"/>
                <w:color w:val="000000"/>
                <w:vertAlign w:val="subscript"/>
                <w:lang w:val="sv-SE"/>
              </w:rPr>
              <w:t>it-1</w:t>
            </w:r>
            <w:r w:rsidRPr="0035205C">
              <w:rPr>
                <w:rFonts w:cs="Arial"/>
                <w:color w:val="000000"/>
                <w:lang w:val="sv-SE"/>
              </w:rPr>
              <w:t>=b</w:t>
            </w:r>
            <w:r w:rsidRPr="0035205C">
              <w:rPr>
                <w:rFonts w:cs="Arial"/>
                <w:color w:val="000000"/>
                <w:vertAlign w:val="subscript"/>
                <w:lang w:val="sv-SE"/>
              </w:rPr>
              <w:t>0</w:t>
            </w:r>
            <w:r w:rsidRPr="0035205C">
              <w:rPr>
                <w:rFonts w:cs="Arial"/>
                <w:color w:val="000000"/>
                <w:lang w:val="sv-SE"/>
              </w:rPr>
              <w:t>+b</w:t>
            </w:r>
            <w:r w:rsidRPr="0035205C">
              <w:rPr>
                <w:rFonts w:cs="Arial"/>
                <w:color w:val="000000"/>
                <w:vertAlign w:val="subscript"/>
                <w:lang w:val="sv-SE"/>
              </w:rPr>
              <w:t>1</w:t>
            </w:r>
            <w:r w:rsidRPr="0035205C">
              <w:rPr>
                <w:rFonts w:cs="Arial"/>
                <w:color w:val="000000"/>
                <w:lang w:val="sv-SE"/>
              </w:rPr>
              <w:t>*DR</w:t>
            </w:r>
            <w:r w:rsidRPr="0035205C">
              <w:rPr>
                <w:rFonts w:cs="Arial"/>
                <w:i/>
                <w:color w:val="000000"/>
                <w:vertAlign w:val="subscript"/>
                <w:lang w:val="sv-SE"/>
              </w:rPr>
              <w:t>it</w:t>
            </w:r>
            <w:r w:rsidRPr="0035205C">
              <w:rPr>
                <w:rFonts w:cs="Arial"/>
                <w:color w:val="000000"/>
                <w:lang w:val="sv-SE"/>
              </w:rPr>
              <w:t>+b</w:t>
            </w:r>
            <w:r w:rsidRPr="0035205C">
              <w:rPr>
                <w:rFonts w:cs="Arial"/>
                <w:color w:val="000000"/>
                <w:vertAlign w:val="subscript"/>
                <w:lang w:val="sv-SE"/>
              </w:rPr>
              <w:t>2</w:t>
            </w:r>
            <w:r w:rsidRPr="0035205C">
              <w:rPr>
                <w:rFonts w:cs="Arial"/>
                <w:color w:val="000000"/>
                <w:lang w:val="sv-SE"/>
              </w:rPr>
              <w:t>*R</w:t>
            </w:r>
            <w:r w:rsidRPr="0035205C">
              <w:rPr>
                <w:rFonts w:cs="Arial"/>
                <w:color w:val="000000"/>
                <w:vertAlign w:val="subscript"/>
                <w:lang w:val="sv-SE"/>
              </w:rPr>
              <w:t>it</w:t>
            </w:r>
            <w:r w:rsidRPr="0035205C">
              <w:rPr>
                <w:rFonts w:cs="Arial"/>
                <w:color w:val="000000"/>
                <w:lang w:val="sv-SE"/>
              </w:rPr>
              <w:t>+b</w:t>
            </w:r>
            <w:r w:rsidRPr="0035205C">
              <w:rPr>
                <w:rFonts w:cs="Arial"/>
                <w:color w:val="000000"/>
                <w:vertAlign w:val="subscript"/>
                <w:lang w:val="sv-SE"/>
              </w:rPr>
              <w:t>3</w:t>
            </w:r>
            <w:r w:rsidRPr="0035205C">
              <w:rPr>
                <w:rFonts w:cs="Arial"/>
                <w:color w:val="000000"/>
                <w:lang w:val="sv-SE"/>
              </w:rPr>
              <w:t>*R</w:t>
            </w:r>
            <w:r w:rsidRPr="0035205C">
              <w:rPr>
                <w:rFonts w:cs="Arial"/>
                <w:i/>
                <w:color w:val="000000"/>
                <w:vertAlign w:val="subscript"/>
                <w:lang w:val="sv-SE"/>
              </w:rPr>
              <w:t>it</w:t>
            </w:r>
            <w:r w:rsidRPr="0035205C">
              <w:rPr>
                <w:rFonts w:cs="Arial"/>
                <w:color w:val="000000"/>
                <w:lang w:val="sv-SE"/>
              </w:rPr>
              <w:t>*DR</w:t>
            </w:r>
            <w:r w:rsidRPr="0035205C">
              <w:rPr>
                <w:rFonts w:cs="Arial"/>
                <w:i/>
                <w:color w:val="000000"/>
                <w:vertAlign w:val="subscript"/>
                <w:lang w:val="sv-SE"/>
              </w:rPr>
              <w:t>it</w:t>
            </w:r>
          </w:p>
        </w:tc>
      </w:tr>
      <w:tr w:rsidR="00FD5242" w:rsidRPr="009E2EF6" w:rsidTr="0035205C">
        <w:trPr>
          <w:trHeight w:hRule="exact" w:val="90"/>
        </w:trPr>
        <w:tc>
          <w:tcPr>
            <w:tcW w:w="3529" w:type="dxa"/>
            <w:tcBorders>
              <w:top w:val="nil"/>
              <w:left w:val="double" w:sz="4" w:space="0" w:color="auto"/>
              <w:bottom w:val="double" w:sz="6" w:space="2" w:color="auto"/>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lang w:val="sv-SE"/>
              </w:rPr>
            </w:pPr>
          </w:p>
        </w:tc>
        <w:tc>
          <w:tcPr>
            <w:tcW w:w="1103" w:type="dxa"/>
            <w:tcBorders>
              <w:top w:val="nil"/>
              <w:left w:val="nil"/>
              <w:bottom w:val="double" w:sz="6" w:space="2" w:color="auto"/>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lang w:val="sv-SE"/>
              </w:rPr>
            </w:pPr>
          </w:p>
        </w:tc>
        <w:tc>
          <w:tcPr>
            <w:tcW w:w="1207" w:type="dxa"/>
            <w:tcBorders>
              <w:top w:val="nil"/>
              <w:left w:val="nil"/>
              <w:bottom w:val="double" w:sz="6" w:space="2" w:color="auto"/>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lang w:val="sv-SE"/>
              </w:rPr>
            </w:pPr>
          </w:p>
        </w:tc>
        <w:tc>
          <w:tcPr>
            <w:tcW w:w="1375" w:type="dxa"/>
            <w:tcBorders>
              <w:top w:val="nil"/>
              <w:left w:val="nil"/>
              <w:bottom w:val="double" w:sz="6" w:space="2" w:color="auto"/>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lang w:val="sv-SE"/>
              </w:rPr>
            </w:pPr>
          </w:p>
        </w:tc>
        <w:tc>
          <w:tcPr>
            <w:tcW w:w="1418" w:type="dxa"/>
            <w:tcBorders>
              <w:top w:val="nil"/>
              <w:left w:val="nil"/>
              <w:bottom w:val="double" w:sz="6" w:space="2" w:color="auto"/>
              <w:right w:val="double" w:sz="4" w:space="0" w:color="auto"/>
            </w:tcBorders>
            <w:vAlign w:val="bottom"/>
          </w:tcPr>
          <w:p w:rsidR="00FD5242" w:rsidRPr="0035205C" w:rsidRDefault="00FD5242" w:rsidP="0035205C">
            <w:pPr>
              <w:autoSpaceDE w:val="0"/>
              <w:autoSpaceDN w:val="0"/>
              <w:adjustRightInd w:val="0"/>
              <w:spacing w:after="0" w:line="240" w:lineRule="auto"/>
              <w:ind w:firstLine="142"/>
              <w:jc w:val="center"/>
              <w:rPr>
                <w:rFonts w:cs="Arial"/>
                <w:color w:val="000000"/>
                <w:lang w:val="sv-SE"/>
              </w:rPr>
            </w:pPr>
          </w:p>
        </w:tc>
      </w:tr>
      <w:tr w:rsidR="00FD5242" w:rsidRPr="009E2EF6" w:rsidTr="0035205C">
        <w:trPr>
          <w:trHeight w:hRule="exact" w:val="135"/>
        </w:trPr>
        <w:tc>
          <w:tcPr>
            <w:tcW w:w="3529" w:type="dxa"/>
            <w:tcBorders>
              <w:top w:val="nil"/>
              <w:left w:val="double" w:sz="4" w:space="0" w:color="auto"/>
              <w:bottom w:val="nil"/>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lang w:val="sv-SE"/>
              </w:rPr>
            </w:pPr>
          </w:p>
        </w:tc>
        <w:tc>
          <w:tcPr>
            <w:tcW w:w="1103"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lang w:val="sv-SE"/>
              </w:rPr>
            </w:pPr>
          </w:p>
        </w:tc>
        <w:tc>
          <w:tcPr>
            <w:tcW w:w="1207"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lang w:val="sv-SE"/>
              </w:rPr>
            </w:pPr>
          </w:p>
        </w:tc>
        <w:tc>
          <w:tcPr>
            <w:tcW w:w="1375"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lang w:val="sv-SE"/>
              </w:rPr>
            </w:pPr>
          </w:p>
        </w:tc>
        <w:tc>
          <w:tcPr>
            <w:tcW w:w="1418" w:type="dxa"/>
            <w:tcBorders>
              <w:top w:val="nil"/>
              <w:left w:val="nil"/>
              <w:bottom w:val="nil"/>
              <w:right w:val="double" w:sz="4" w:space="0" w:color="auto"/>
            </w:tcBorders>
            <w:vAlign w:val="bottom"/>
          </w:tcPr>
          <w:p w:rsidR="00FD5242" w:rsidRPr="0035205C" w:rsidRDefault="00FD5242" w:rsidP="0024791A">
            <w:pPr>
              <w:autoSpaceDE w:val="0"/>
              <w:autoSpaceDN w:val="0"/>
              <w:adjustRightInd w:val="0"/>
              <w:spacing w:after="0" w:line="240" w:lineRule="auto"/>
              <w:jc w:val="center"/>
              <w:rPr>
                <w:rFonts w:cs="Arial"/>
                <w:color w:val="000000"/>
                <w:lang w:val="sv-SE"/>
              </w:rPr>
            </w:pPr>
          </w:p>
        </w:tc>
      </w:tr>
      <w:tr w:rsidR="00FD5242" w:rsidRPr="0035205C" w:rsidTr="0035205C">
        <w:trPr>
          <w:trHeight w:val="225"/>
        </w:trPr>
        <w:tc>
          <w:tcPr>
            <w:tcW w:w="3529" w:type="dxa"/>
            <w:tcBorders>
              <w:top w:val="nil"/>
              <w:left w:val="double" w:sz="4" w:space="0" w:color="auto"/>
              <w:bottom w:val="nil"/>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lang w:val="sv-SE"/>
              </w:rPr>
            </w:pPr>
          </w:p>
        </w:tc>
        <w:tc>
          <w:tcPr>
            <w:tcW w:w="1103"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ind w:right="10"/>
              <w:jc w:val="both"/>
              <w:rPr>
                <w:rFonts w:cs="Arial"/>
                <w:color w:val="000000"/>
              </w:rPr>
            </w:pPr>
            <w:r w:rsidRPr="0035205C">
              <w:rPr>
                <w:rFonts w:cs="Arial"/>
                <w:color w:val="000000"/>
              </w:rPr>
              <w:t>Coefficient</w:t>
            </w:r>
          </w:p>
        </w:tc>
        <w:tc>
          <w:tcPr>
            <w:tcW w:w="1207"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ind w:right="10"/>
              <w:jc w:val="both"/>
              <w:rPr>
                <w:rFonts w:cs="Arial"/>
                <w:color w:val="000000"/>
              </w:rPr>
            </w:pPr>
            <w:r w:rsidRPr="0035205C">
              <w:rPr>
                <w:rFonts w:cs="Arial"/>
                <w:color w:val="000000"/>
              </w:rPr>
              <w:t>Std. Error</w:t>
            </w:r>
          </w:p>
        </w:tc>
        <w:tc>
          <w:tcPr>
            <w:tcW w:w="1375"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ind w:right="10"/>
              <w:jc w:val="both"/>
              <w:rPr>
                <w:rFonts w:cs="Arial"/>
                <w:color w:val="000000"/>
              </w:rPr>
            </w:pPr>
            <w:r w:rsidRPr="0035205C">
              <w:rPr>
                <w:rFonts w:cs="Arial"/>
                <w:color w:val="000000"/>
              </w:rPr>
              <w:t>t-Statistic</w:t>
            </w:r>
          </w:p>
        </w:tc>
        <w:tc>
          <w:tcPr>
            <w:tcW w:w="1418" w:type="dxa"/>
            <w:tcBorders>
              <w:top w:val="nil"/>
              <w:left w:val="nil"/>
              <w:bottom w:val="nil"/>
              <w:right w:val="double" w:sz="4" w:space="0" w:color="auto"/>
            </w:tcBorders>
            <w:vAlign w:val="bottom"/>
          </w:tcPr>
          <w:p w:rsidR="00FD5242" w:rsidRPr="0035205C" w:rsidRDefault="00FD5242" w:rsidP="0024791A">
            <w:pPr>
              <w:autoSpaceDE w:val="0"/>
              <w:autoSpaceDN w:val="0"/>
              <w:adjustRightInd w:val="0"/>
              <w:spacing w:after="0" w:line="240" w:lineRule="auto"/>
              <w:ind w:right="10"/>
              <w:jc w:val="both"/>
              <w:rPr>
                <w:rFonts w:cs="Arial"/>
                <w:color w:val="000000"/>
              </w:rPr>
            </w:pPr>
            <w:r w:rsidRPr="0035205C">
              <w:rPr>
                <w:rFonts w:cs="Arial"/>
                <w:color w:val="000000"/>
              </w:rPr>
              <w:t>Prob.  </w:t>
            </w:r>
          </w:p>
        </w:tc>
      </w:tr>
      <w:tr w:rsidR="00FD5242" w:rsidRPr="0035205C" w:rsidTr="0035205C">
        <w:trPr>
          <w:trHeight w:hRule="exact" w:val="90"/>
        </w:trPr>
        <w:tc>
          <w:tcPr>
            <w:tcW w:w="3529" w:type="dxa"/>
            <w:tcBorders>
              <w:top w:val="nil"/>
              <w:left w:val="double" w:sz="4" w:space="0" w:color="auto"/>
              <w:bottom w:val="double" w:sz="6" w:space="2" w:color="auto"/>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c>
          <w:tcPr>
            <w:tcW w:w="1103" w:type="dxa"/>
            <w:tcBorders>
              <w:top w:val="nil"/>
              <w:left w:val="nil"/>
              <w:bottom w:val="double" w:sz="6" w:space="2" w:color="auto"/>
              <w:right w:val="nil"/>
            </w:tcBorders>
            <w:vAlign w:val="bottom"/>
          </w:tcPr>
          <w:p w:rsidR="00FD5242" w:rsidRPr="0035205C" w:rsidRDefault="00FD5242" w:rsidP="0024791A">
            <w:pPr>
              <w:autoSpaceDE w:val="0"/>
              <w:autoSpaceDN w:val="0"/>
              <w:adjustRightInd w:val="0"/>
              <w:spacing w:after="0" w:line="240" w:lineRule="auto"/>
              <w:jc w:val="both"/>
              <w:rPr>
                <w:rFonts w:cs="Arial"/>
                <w:color w:val="000000"/>
              </w:rPr>
            </w:pPr>
          </w:p>
        </w:tc>
        <w:tc>
          <w:tcPr>
            <w:tcW w:w="1207" w:type="dxa"/>
            <w:tcBorders>
              <w:top w:val="nil"/>
              <w:left w:val="nil"/>
              <w:bottom w:val="double" w:sz="6" w:space="2" w:color="auto"/>
              <w:right w:val="nil"/>
            </w:tcBorders>
            <w:vAlign w:val="bottom"/>
          </w:tcPr>
          <w:p w:rsidR="00FD5242" w:rsidRPr="0035205C" w:rsidRDefault="00FD5242" w:rsidP="0024791A">
            <w:pPr>
              <w:autoSpaceDE w:val="0"/>
              <w:autoSpaceDN w:val="0"/>
              <w:adjustRightInd w:val="0"/>
              <w:spacing w:after="0" w:line="240" w:lineRule="auto"/>
              <w:jc w:val="both"/>
              <w:rPr>
                <w:rFonts w:cs="Arial"/>
                <w:color w:val="000000"/>
              </w:rPr>
            </w:pPr>
          </w:p>
        </w:tc>
        <w:tc>
          <w:tcPr>
            <w:tcW w:w="1375" w:type="dxa"/>
            <w:tcBorders>
              <w:top w:val="nil"/>
              <w:left w:val="nil"/>
              <w:bottom w:val="double" w:sz="6" w:space="2" w:color="auto"/>
              <w:right w:val="nil"/>
            </w:tcBorders>
            <w:vAlign w:val="bottom"/>
          </w:tcPr>
          <w:p w:rsidR="00FD5242" w:rsidRPr="0035205C" w:rsidRDefault="00FD5242" w:rsidP="0024791A">
            <w:pPr>
              <w:autoSpaceDE w:val="0"/>
              <w:autoSpaceDN w:val="0"/>
              <w:adjustRightInd w:val="0"/>
              <w:spacing w:after="0" w:line="240" w:lineRule="auto"/>
              <w:jc w:val="both"/>
              <w:rPr>
                <w:rFonts w:cs="Arial"/>
                <w:color w:val="000000"/>
              </w:rPr>
            </w:pPr>
          </w:p>
        </w:tc>
        <w:tc>
          <w:tcPr>
            <w:tcW w:w="1418" w:type="dxa"/>
            <w:tcBorders>
              <w:top w:val="nil"/>
              <w:left w:val="nil"/>
              <w:bottom w:val="double" w:sz="6" w:space="2" w:color="auto"/>
              <w:right w:val="double" w:sz="4" w:space="0" w:color="auto"/>
            </w:tcBorders>
            <w:vAlign w:val="bottom"/>
          </w:tcPr>
          <w:p w:rsidR="00FD5242" w:rsidRPr="0035205C" w:rsidRDefault="00FD5242" w:rsidP="0024791A">
            <w:pPr>
              <w:autoSpaceDE w:val="0"/>
              <w:autoSpaceDN w:val="0"/>
              <w:adjustRightInd w:val="0"/>
              <w:spacing w:after="0" w:line="240" w:lineRule="auto"/>
              <w:jc w:val="both"/>
              <w:rPr>
                <w:rFonts w:cs="Arial"/>
                <w:color w:val="000000"/>
              </w:rPr>
            </w:pPr>
          </w:p>
        </w:tc>
      </w:tr>
      <w:tr w:rsidR="00FD5242" w:rsidRPr="0035205C" w:rsidTr="0035205C">
        <w:trPr>
          <w:trHeight w:hRule="exact" w:val="135"/>
        </w:trPr>
        <w:tc>
          <w:tcPr>
            <w:tcW w:w="3529" w:type="dxa"/>
            <w:tcBorders>
              <w:top w:val="nil"/>
              <w:left w:val="double" w:sz="4" w:space="0" w:color="auto"/>
              <w:bottom w:val="nil"/>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c>
          <w:tcPr>
            <w:tcW w:w="1103"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jc w:val="both"/>
              <w:rPr>
                <w:rFonts w:cs="Arial"/>
                <w:color w:val="000000"/>
              </w:rPr>
            </w:pPr>
          </w:p>
        </w:tc>
        <w:tc>
          <w:tcPr>
            <w:tcW w:w="1207"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jc w:val="both"/>
              <w:rPr>
                <w:rFonts w:cs="Arial"/>
                <w:color w:val="000000"/>
              </w:rPr>
            </w:pPr>
          </w:p>
        </w:tc>
        <w:tc>
          <w:tcPr>
            <w:tcW w:w="1375"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jc w:val="both"/>
              <w:rPr>
                <w:rFonts w:cs="Arial"/>
                <w:color w:val="000000"/>
              </w:rPr>
            </w:pPr>
          </w:p>
        </w:tc>
        <w:tc>
          <w:tcPr>
            <w:tcW w:w="1418" w:type="dxa"/>
            <w:tcBorders>
              <w:top w:val="nil"/>
              <w:left w:val="nil"/>
              <w:bottom w:val="nil"/>
              <w:right w:val="double" w:sz="4" w:space="0" w:color="auto"/>
            </w:tcBorders>
            <w:vAlign w:val="bottom"/>
          </w:tcPr>
          <w:p w:rsidR="00FD5242" w:rsidRPr="0035205C" w:rsidRDefault="00FD5242" w:rsidP="0024791A">
            <w:pPr>
              <w:autoSpaceDE w:val="0"/>
              <w:autoSpaceDN w:val="0"/>
              <w:adjustRightInd w:val="0"/>
              <w:spacing w:after="0" w:line="240" w:lineRule="auto"/>
              <w:jc w:val="both"/>
              <w:rPr>
                <w:rFonts w:cs="Arial"/>
                <w:color w:val="000000"/>
              </w:rPr>
            </w:pPr>
          </w:p>
        </w:tc>
      </w:tr>
      <w:tr w:rsidR="00FD5242" w:rsidRPr="0035205C" w:rsidTr="0035205C">
        <w:trPr>
          <w:trHeight w:val="225"/>
        </w:trPr>
        <w:tc>
          <w:tcPr>
            <w:tcW w:w="3529" w:type="dxa"/>
            <w:tcBorders>
              <w:top w:val="nil"/>
              <w:left w:val="double" w:sz="4" w:space="0" w:color="auto"/>
              <w:bottom w:val="nil"/>
              <w:right w:val="nil"/>
            </w:tcBorders>
            <w:vAlign w:val="bottom"/>
          </w:tcPr>
          <w:p w:rsidR="00FD5242" w:rsidRPr="0035205C" w:rsidRDefault="00FD5242" w:rsidP="0024791A">
            <w:pPr>
              <w:autoSpaceDE w:val="0"/>
              <w:autoSpaceDN w:val="0"/>
              <w:adjustRightInd w:val="0"/>
              <w:spacing w:after="0" w:line="240" w:lineRule="auto"/>
              <w:jc w:val="both"/>
              <w:rPr>
                <w:rFonts w:cs="Arial"/>
                <w:color w:val="000000"/>
              </w:rPr>
            </w:pPr>
            <w:r w:rsidRPr="0035205C">
              <w:rPr>
                <w:rFonts w:cs="Arial"/>
                <w:b/>
                <w:color w:val="000000"/>
              </w:rPr>
              <w:t>b</w:t>
            </w:r>
            <w:r w:rsidRPr="0035205C">
              <w:rPr>
                <w:rFonts w:cs="Arial"/>
                <w:b/>
                <w:color w:val="000000"/>
                <w:vertAlign w:val="subscript"/>
              </w:rPr>
              <w:t>0</w:t>
            </w:r>
            <w:r w:rsidRPr="0035205C">
              <w:rPr>
                <w:rFonts w:cs="Arial"/>
                <w:color w:val="000000"/>
              </w:rPr>
              <w:t xml:space="preserve">  (constant)</w:t>
            </w:r>
          </w:p>
        </w:tc>
        <w:tc>
          <w:tcPr>
            <w:tcW w:w="1103"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ind w:right="10"/>
              <w:jc w:val="both"/>
              <w:rPr>
                <w:rFonts w:cs="Arial"/>
                <w:color w:val="000000"/>
              </w:rPr>
            </w:pPr>
            <w:r w:rsidRPr="0035205C">
              <w:rPr>
                <w:rFonts w:cs="Arial"/>
                <w:color w:val="000000"/>
              </w:rPr>
              <w:t>0.054431</w:t>
            </w:r>
          </w:p>
        </w:tc>
        <w:tc>
          <w:tcPr>
            <w:tcW w:w="1207"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ind w:right="10"/>
              <w:jc w:val="both"/>
              <w:rPr>
                <w:rFonts w:cs="Arial"/>
                <w:color w:val="000000"/>
              </w:rPr>
            </w:pPr>
            <w:r w:rsidRPr="0035205C">
              <w:rPr>
                <w:rFonts w:cs="Arial"/>
                <w:color w:val="000000"/>
              </w:rPr>
              <w:t>0.086957</w:t>
            </w:r>
          </w:p>
        </w:tc>
        <w:tc>
          <w:tcPr>
            <w:tcW w:w="1375"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ind w:right="10"/>
              <w:jc w:val="both"/>
              <w:rPr>
                <w:rFonts w:cs="Arial"/>
                <w:color w:val="000000"/>
              </w:rPr>
            </w:pPr>
            <w:r w:rsidRPr="0035205C">
              <w:rPr>
                <w:rFonts w:cs="Arial"/>
                <w:color w:val="000000"/>
              </w:rPr>
              <w:t>0.625949</w:t>
            </w:r>
          </w:p>
        </w:tc>
        <w:tc>
          <w:tcPr>
            <w:tcW w:w="1418" w:type="dxa"/>
            <w:tcBorders>
              <w:top w:val="nil"/>
              <w:left w:val="nil"/>
              <w:bottom w:val="nil"/>
              <w:right w:val="double" w:sz="4" w:space="0" w:color="auto"/>
            </w:tcBorders>
            <w:vAlign w:val="bottom"/>
          </w:tcPr>
          <w:p w:rsidR="00FD5242" w:rsidRPr="0035205C" w:rsidRDefault="00FD5242" w:rsidP="0024791A">
            <w:pPr>
              <w:autoSpaceDE w:val="0"/>
              <w:autoSpaceDN w:val="0"/>
              <w:adjustRightInd w:val="0"/>
              <w:spacing w:after="0" w:line="240" w:lineRule="auto"/>
              <w:ind w:right="10"/>
              <w:jc w:val="both"/>
              <w:rPr>
                <w:rFonts w:cs="Arial"/>
                <w:color w:val="000000"/>
              </w:rPr>
            </w:pPr>
            <w:r w:rsidRPr="0035205C">
              <w:rPr>
                <w:rFonts w:cs="Arial"/>
                <w:color w:val="000000"/>
              </w:rPr>
              <w:t>0.5344</w:t>
            </w:r>
          </w:p>
        </w:tc>
      </w:tr>
      <w:tr w:rsidR="00FD5242" w:rsidRPr="0035205C" w:rsidTr="0035205C">
        <w:trPr>
          <w:trHeight w:val="225"/>
        </w:trPr>
        <w:tc>
          <w:tcPr>
            <w:tcW w:w="3529" w:type="dxa"/>
            <w:tcBorders>
              <w:top w:val="nil"/>
              <w:left w:val="double" w:sz="4" w:space="0" w:color="auto"/>
              <w:bottom w:val="nil"/>
              <w:right w:val="nil"/>
            </w:tcBorders>
            <w:vAlign w:val="bottom"/>
          </w:tcPr>
          <w:p w:rsidR="00FD5242" w:rsidRPr="0035205C" w:rsidRDefault="00FD5242" w:rsidP="0024791A">
            <w:pPr>
              <w:autoSpaceDE w:val="0"/>
              <w:autoSpaceDN w:val="0"/>
              <w:adjustRightInd w:val="0"/>
              <w:spacing w:after="0" w:line="240" w:lineRule="auto"/>
              <w:jc w:val="both"/>
              <w:rPr>
                <w:rFonts w:cs="Arial"/>
                <w:color w:val="000000"/>
                <w:lang w:val="en-US"/>
              </w:rPr>
            </w:pPr>
            <w:r w:rsidRPr="0035205C">
              <w:rPr>
                <w:rFonts w:cs="Arial"/>
                <w:b/>
                <w:color w:val="000000"/>
                <w:lang w:val="en-US"/>
              </w:rPr>
              <w:t>b</w:t>
            </w:r>
            <w:r w:rsidRPr="0035205C">
              <w:rPr>
                <w:rFonts w:cs="Arial"/>
                <w:b/>
                <w:color w:val="000000"/>
                <w:vertAlign w:val="subscript"/>
                <w:lang w:val="en-US"/>
              </w:rPr>
              <w:t>1</w:t>
            </w:r>
            <w:r w:rsidRPr="0035205C">
              <w:rPr>
                <w:rFonts w:cs="Arial"/>
                <w:color w:val="000000"/>
                <w:vertAlign w:val="subscript"/>
                <w:lang w:val="en-US"/>
              </w:rPr>
              <w:t xml:space="preserve">   </w:t>
            </w:r>
            <w:r w:rsidRPr="0035205C">
              <w:rPr>
                <w:rFonts w:cs="Arial"/>
                <w:color w:val="000000"/>
                <w:lang w:val="en-US"/>
              </w:rPr>
              <w:t>(dummy return on equity- DR</w:t>
            </w:r>
            <w:r w:rsidRPr="0035205C">
              <w:rPr>
                <w:rFonts w:cs="Arial"/>
                <w:i/>
                <w:color w:val="000000"/>
                <w:vertAlign w:val="subscript"/>
                <w:lang w:val="en-US"/>
              </w:rPr>
              <w:t>it</w:t>
            </w:r>
            <w:r w:rsidRPr="0035205C">
              <w:rPr>
                <w:rFonts w:cs="Arial"/>
                <w:color w:val="000000"/>
                <w:lang w:val="en-US"/>
              </w:rPr>
              <w:t>)</w:t>
            </w:r>
          </w:p>
        </w:tc>
        <w:tc>
          <w:tcPr>
            <w:tcW w:w="1103"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ind w:right="10"/>
              <w:jc w:val="both"/>
              <w:rPr>
                <w:rFonts w:cs="Arial"/>
                <w:color w:val="000000"/>
              </w:rPr>
            </w:pPr>
            <w:r w:rsidRPr="0035205C">
              <w:rPr>
                <w:rFonts w:cs="Arial"/>
                <w:color w:val="000000"/>
              </w:rPr>
              <w:t>-0.324860**</w:t>
            </w:r>
          </w:p>
        </w:tc>
        <w:tc>
          <w:tcPr>
            <w:tcW w:w="1207"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ind w:right="10"/>
              <w:jc w:val="both"/>
              <w:rPr>
                <w:rFonts w:cs="Arial"/>
                <w:color w:val="000000"/>
              </w:rPr>
            </w:pPr>
            <w:r w:rsidRPr="0035205C">
              <w:rPr>
                <w:rFonts w:cs="Arial"/>
                <w:color w:val="000000"/>
              </w:rPr>
              <w:t>0.152921</w:t>
            </w:r>
          </w:p>
        </w:tc>
        <w:tc>
          <w:tcPr>
            <w:tcW w:w="1375"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ind w:right="10"/>
              <w:jc w:val="both"/>
              <w:rPr>
                <w:rFonts w:cs="Arial"/>
                <w:color w:val="000000"/>
              </w:rPr>
            </w:pPr>
            <w:r w:rsidRPr="0035205C">
              <w:rPr>
                <w:rFonts w:cs="Arial"/>
                <w:color w:val="000000"/>
              </w:rPr>
              <w:t>-2.124365</w:t>
            </w:r>
          </w:p>
        </w:tc>
        <w:tc>
          <w:tcPr>
            <w:tcW w:w="1418" w:type="dxa"/>
            <w:tcBorders>
              <w:top w:val="nil"/>
              <w:left w:val="nil"/>
              <w:bottom w:val="nil"/>
              <w:right w:val="double" w:sz="4" w:space="0" w:color="auto"/>
            </w:tcBorders>
            <w:vAlign w:val="bottom"/>
          </w:tcPr>
          <w:p w:rsidR="00FD5242" w:rsidRPr="0035205C" w:rsidRDefault="00FD5242" w:rsidP="0024791A">
            <w:pPr>
              <w:autoSpaceDE w:val="0"/>
              <w:autoSpaceDN w:val="0"/>
              <w:adjustRightInd w:val="0"/>
              <w:spacing w:after="0" w:line="240" w:lineRule="auto"/>
              <w:ind w:right="10"/>
              <w:jc w:val="both"/>
              <w:rPr>
                <w:rFonts w:cs="Arial"/>
                <w:color w:val="000000"/>
              </w:rPr>
            </w:pPr>
            <w:r w:rsidRPr="0035205C">
              <w:rPr>
                <w:rFonts w:cs="Arial"/>
                <w:color w:val="000000"/>
              </w:rPr>
              <w:t>0.0389</w:t>
            </w:r>
          </w:p>
        </w:tc>
      </w:tr>
      <w:tr w:rsidR="00FD5242" w:rsidRPr="0035205C" w:rsidTr="0035205C">
        <w:trPr>
          <w:trHeight w:val="225"/>
        </w:trPr>
        <w:tc>
          <w:tcPr>
            <w:tcW w:w="3529" w:type="dxa"/>
            <w:tcBorders>
              <w:top w:val="nil"/>
              <w:left w:val="double" w:sz="4" w:space="0" w:color="auto"/>
              <w:bottom w:val="nil"/>
              <w:right w:val="nil"/>
            </w:tcBorders>
            <w:vAlign w:val="bottom"/>
          </w:tcPr>
          <w:p w:rsidR="00FD5242" w:rsidRPr="0035205C" w:rsidRDefault="00FD5242" w:rsidP="0024791A">
            <w:pPr>
              <w:autoSpaceDE w:val="0"/>
              <w:autoSpaceDN w:val="0"/>
              <w:adjustRightInd w:val="0"/>
              <w:spacing w:after="0" w:line="240" w:lineRule="auto"/>
              <w:jc w:val="both"/>
              <w:rPr>
                <w:rFonts w:cs="Arial"/>
                <w:color w:val="000000"/>
                <w:lang w:val="en-US"/>
              </w:rPr>
            </w:pPr>
            <w:r w:rsidRPr="0035205C">
              <w:rPr>
                <w:rFonts w:cs="Arial"/>
                <w:b/>
                <w:color w:val="000000"/>
                <w:lang w:val="en-US"/>
              </w:rPr>
              <w:t>b</w:t>
            </w:r>
            <w:r w:rsidRPr="0035205C">
              <w:rPr>
                <w:rFonts w:cs="Arial"/>
                <w:b/>
                <w:color w:val="000000"/>
                <w:vertAlign w:val="subscript"/>
                <w:lang w:val="en-US"/>
              </w:rPr>
              <w:t>2</w:t>
            </w:r>
            <w:r w:rsidRPr="0035205C">
              <w:rPr>
                <w:rFonts w:cs="Arial"/>
                <w:color w:val="000000"/>
                <w:vertAlign w:val="subscript"/>
                <w:lang w:val="en-US"/>
              </w:rPr>
              <w:t xml:space="preserve">   </w:t>
            </w:r>
            <w:r w:rsidRPr="0035205C">
              <w:rPr>
                <w:rFonts w:cs="Arial"/>
                <w:color w:val="000000"/>
                <w:lang w:val="en-US"/>
              </w:rPr>
              <w:t>(return on equity- R</w:t>
            </w:r>
            <w:r w:rsidRPr="0035205C">
              <w:rPr>
                <w:rFonts w:cs="Arial"/>
                <w:color w:val="000000"/>
                <w:vertAlign w:val="subscript"/>
                <w:lang w:val="en-US"/>
              </w:rPr>
              <w:t>it</w:t>
            </w:r>
            <w:r w:rsidRPr="0035205C">
              <w:rPr>
                <w:rFonts w:cs="Arial"/>
                <w:color w:val="000000"/>
                <w:lang w:val="en-US"/>
              </w:rPr>
              <w:t>)</w:t>
            </w:r>
          </w:p>
        </w:tc>
        <w:tc>
          <w:tcPr>
            <w:tcW w:w="1103"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ind w:right="10"/>
              <w:jc w:val="both"/>
              <w:rPr>
                <w:rFonts w:cs="Arial"/>
                <w:color w:val="000000"/>
              </w:rPr>
            </w:pPr>
            <w:r w:rsidRPr="0035205C">
              <w:rPr>
                <w:rFonts w:cs="Arial"/>
                <w:color w:val="000000"/>
              </w:rPr>
              <w:t>0.002774</w:t>
            </w:r>
          </w:p>
        </w:tc>
        <w:tc>
          <w:tcPr>
            <w:tcW w:w="1207"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ind w:right="10"/>
              <w:jc w:val="both"/>
              <w:rPr>
                <w:rFonts w:cs="Arial"/>
                <w:color w:val="000000"/>
              </w:rPr>
            </w:pPr>
            <w:r w:rsidRPr="0035205C">
              <w:rPr>
                <w:rFonts w:cs="Arial"/>
                <w:color w:val="000000"/>
              </w:rPr>
              <w:t>0.004861</w:t>
            </w:r>
          </w:p>
        </w:tc>
        <w:tc>
          <w:tcPr>
            <w:tcW w:w="1375"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ind w:right="10"/>
              <w:jc w:val="both"/>
              <w:rPr>
                <w:rFonts w:cs="Arial"/>
                <w:color w:val="000000"/>
              </w:rPr>
            </w:pPr>
            <w:r w:rsidRPr="0035205C">
              <w:rPr>
                <w:rFonts w:cs="Arial"/>
                <w:color w:val="000000"/>
              </w:rPr>
              <w:t>0.570705</w:t>
            </w:r>
          </w:p>
        </w:tc>
        <w:tc>
          <w:tcPr>
            <w:tcW w:w="1418" w:type="dxa"/>
            <w:tcBorders>
              <w:top w:val="nil"/>
              <w:left w:val="nil"/>
              <w:bottom w:val="nil"/>
              <w:right w:val="double" w:sz="4" w:space="0" w:color="auto"/>
            </w:tcBorders>
            <w:vAlign w:val="bottom"/>
          </w:tcPr>
          <w:p w:rsidR="00FD5242" w:rsidRPr="0035205C" w:rsidRDefault="00FD5242" w:rsidP="0024791A">
            <w:pPr>
              <w:autoSpaceDE w:val="0"/>
              <w:autoSpaceDN w:val="0"/>
              <w:adjustRightInd w:val="0"/>
              <w:spacing w:after="0" w:line="240" w:lineRule="auto"/>
              <w:ind w:right="10"/>
              <w:jc w:val="both"/>
              <w:rPr>
                <w:rFonts w:cs="Arial"/>
                <w:color w:val="000000"/>
              </w:rPr>
            </w:pPr>
            <w:r w:rsidRPr="0035205C">
              <w:rPr>
                <w:rFonts w:cs="Arial"/>
                <w:color w:val="000000"/>
              </w:rPr>
              <w:t>0.5709</w:t>
            </w:r>
          </w:p>
        </w:tc>
      </w:tr>
      <w:tr w:rsidR="00FD5242" w:rsidRPr="0035205C" w:rsidTr="0035205C">
        <w:trPr>
          <w:trHeight w:val="225"/>
        </w:trPr>
        <w:tc>
          <w:tcPr>
            <w:tcW w:w="3529" w:type="dxa"/>
            <w:tcBorders>
              <w:top w:val="nil"/>
              <w:left w:val="double" w:sz="4" w:space="0" w:color="auto"/>
              <w:bottom w:val="nil"/>
              <w:right w:val="nil"/>
            </w:tcBorders>
            <w:vAlign w:val="bottom"/>
          </w:tcPr>
          <w:p w:rsidR="00FD5242" w:rsidRPr="0035205C" w:rsidRDefault="00FD5242" w:rsidP="0024791A">
            <w:pPr>
              <w:autoSpaceDE w:val="0"/>
              <w:autoSpaceDN w:val="0"/>
              <w:adjustRightInd w:val="0"/>
              <w:spacing w:after="0" w:line="240" w:lineRule="auto"/>
              <w:jc w:val="both"/>
              <w:rPr>
                <w:rFonts w:cs="Arial"/>
                <w:color w:val="000000"/>
                <w:lang w:val="en-US"/>
              </w:rPr>
            </w:pPr>
            <w:r w:rsidRPr="0035205C">
              <w:rPr>
                <w:rFonts w:cs="Arial"/>
                <w:b/>
                <w:color w:val="000000"/>
                <w:lang w:val="en-US"/>
              </w:rPr>
              <w:t>b</w:t>
            </w:r>
            <w:r w:rsidRPr="0035205C">
              <w:rPr>
                <w:rFonts w:cs="Arial"/>
                <w:b/>
                <w:color w:val="000000"/>
                <w:vertAlign w:val="subscript"/>
                <w:lang w:val="en-US"/>
              </w:rPr>
              <w:t>3</w:t>
            </w:r>
            <w:r w:rsidRPr="0035205C">
              <w:rPr>
                <w:rFonts w:cs="Arial"/>
                <w:color w:val="000000"/>
                <w:vertAlign w:val="subscript"/>
                <w:lang w:val="en-US"/>
              </w:rPr>
              <w:t xml:space="preserve"> </w:t>
            </w:r>
            <w:r w:rsidRPr="0035205C">
              <w:rPr>
                <w:rFonts w:cs="Arial"/>
                <w:color w:val="000000"/>
                <w:lang w:val="en-US"/>
              </w:rPr>
              <w:t>(sensitivity of earnings to negative and positive returns- R</w:t>
            </w:r>
            <w:r w:rsidRPr="0035205C">
              <w:rPr>
                <w:rFonts w:cs="Arial"/>
                <w:i/>
                <w:color w:val="000000"/>
                <w:vertAlign w:val="subscript"/>
                <w:lang w:val="en-US"/>
              </w:rPr>
              <w:t>it</w:t>
            </w:r>
            <w:r w:rsidRPr="0035205C">
              <w:rPr>
                <w:rFonts w:cs="Arial"/>
                <w:color w:val="000000"/>
                <w:lang w:val="en-US"/>
              </w:rPr>
              <w:t>*DR</w:t>
            </w:r>
            <w:r w:rsidRPr="0035205C">
              <w:rPr>
                <w:rFonts w:cs="Arial"/>
                <w:i/>
                <w:color w:val="000000"/>
                <w:vertAlign w:val="subscript"/>
                <w:lang w:val="en-US"/>
              </w:rPr>
              <w:t>it</w:t>
            </w:r>
            <w:r w:rsidRPr="0035205C">
              <w:rPr>
                <w:rFonts w:cs="Arial"/>
                <w:color w:val="000000"/>
                <w:lang w:val="en-US"/>
              </w:rPr>
              <w:t>)</w:t>
            </w:r>
          </w:p>
        </w:tc>
        <w:tc>
          <w:tcPr>
            <w:tcW w:w="1103"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ind w:right="10"/>
              <w:jc w:val="both"/>
              <w:rPr>
                <w:rFonts w:cs="Arial"/>
                <w:color w:val="000000"/>
              </w:rPr>
            </w:pPr>
            <w:r w:rsidRPr="0035205C">
              <w:rPr>
                <w:rFonts w:cs="Arial"/>
                <w:color w:val="000000"/>
              </w:rPr>
              <w:t>0.001817</w:t>
            </w:r>
          </w:p>
        </w:tc>
        <w:tc>
          <w:tcPr>
            <w:tcW w:w="1207"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ind w:right="10"/>
              <w:jc w:val="both"/>
              <w:rPr>
                <w:rFonts w:cs="Arial"/>
                <w:color w:val="000000"/>
              </w:rPr>
            </w:pPr>
            <w:r w:rsidRPr="0035205C">
              <w:rPr>
                <w:rFonts w:cs="Arial"/>
                <w:color w:val="000000"/>
              </w:rPr>
              <w:t>0.005087</w:t>
            </w:r>
          </w:p>
        </w:tc>
        <w:tc>
          <w:tcPr>
            <w:tcW w:w="1375"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ind w:right="10"/>
              <w:jc w:val="both"/>
              <w:rPr>
                <w:rFonts w:cs="Arial"/>
                <w:color w:val="000000"/>
              </w:rPr>
            </w:pPr>
            <w:r w:rsidRPr="0035205C">
              <w:rPr>
                <w:rFonts w:cs="Arial"/>
                <w:color w:val="000000"/>
              </w:rPr>
              <w:t>0.357134</w:t>
            </w:r>
          </w:p>
        </w:tc>
        <w:tc>
          <w:tcPr>
            <w:tcW w:w="1418" w:type="dxa"/>
            <w:tcBorders>
              <w:top w:val="nil"/>
              <w:left w:val="nil"/>
              <w:bottom w:val="nil"/>
              <w:right w:val="double" w:sz="4" w:space="0" w:color="auto"/>
            </w:tcBorders>
            <w:vAlign w:val="bottom"/>
          </w:tcPr>
          <w:p w:rsidR="00FD5242" w:rsidRPr="0035205C" w:rsidRDefault="00FD5242" w:rsidP="0024791A">
            <w:pPr>
              <w:autoSpaceDE w:val="0"/>
              <w:autoSpaceDN w:val="0"/>
              <w:adjustRightInd w:val="0"/>
              <w:spacing w:after="0" w:line="240" w:lineRule="auto"/>
              <w:ind w:right="10"/>
              <w:jc w:val="both"/>
              <w:rPr>
                <w:rFonts w:cs="Arial"/>
                <w:color w:val="000000"/>
              </w:rPr>
            </w:pPr>
            <w:r w:rsidRPr="0035205C">
              <w:rPr>
                <w:rFonts w:cs="Arial"/>
                <w:color w:val="000000"/>
              </w:rPr>
              <w:t>0.7226</w:t>
            </w:r>
          </w:p>
        </w:tc>
      </w:tr>
      <w:tr w:rsidR="00FD5242" w:rsidRPr="0035205C" w:rsidTr="0035205C">
        <w:trPr>
          <w:trHeight w:hRule="exact" w:val="90"/>
        </w:trPr>
        <w:tc>
          <w:tcPr>
            <w:tcW w:w="3529" w:type="dxa"/>
            <w:tcBorders>
              <w:top w:val="nil"/>
              <w:left w:val="double" w:sz="4" w:space="0" w:color="auto"/>
              <w:bottom w:val="double" w:sz="6" w:space="2" w:color="auto"/>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c>
          <w:tcPr>
            <w:tcW w:w="1103" w:type="dxa"/>
            <w:tcBorders>
              <w:top w:val="nil"/>
              <w:left w:val="nil"/>
              <w:bottom w:val="double" w:sz="6" w:space="2" w:color="auto"/>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c>
          <w:tcPr>
            <w:tcW w:w="1207" w:type="dxa"/>
            <w:tcBorders>
              <w:top w:val="nil"/>
              <w:left w:val="nil"/>
              <w:bottom w:val="double" w:sz="6" w:space="2" w:color="auto"/>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c>
          <w:tcPr>
            <w:tcW w:w="1375" w:type="dxa"/>
            <w:tcBorders>
              <w:top w:val="nil"/>
              <w:left w:val="nil"/>
              <w:bottom w:val="double" w:sz="6" w:space="2" w:color="auto"/>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c>
          <w:tcPr>
            <w:tcW w:w="1418" w:type="dxa"/>
            <w:tcBorders>
              <w:top w:val="nil"/>
              <w:left w:val="nil"/>
              <w:bottom w:val="double" w:sz="6" w:space="2" w:color="auto"/>
              <w:right w:val="double" w:sz="4" w:space="0" w:color="auto"/>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r>
      <w:tr w:rsidR="00FD5242" w:rsidRPr="0035205C" w:rsidTr="0035205C">
        <w:trPr>
          <w:trHeight w:hRule="exact" w:val="135"/>
        </w:trPr>
        <w:tc>
          <w:tcPr>
            <w:tcW w:w="3529" w:type="dxa"/>
            <w:tcBorders>
              <w:top w:val="nil"/>
              <w:left w:val="double" w:sz="4" w:space="0" w:color="auto"/>
              <w:bottom w:val="nil"/>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c>
          <w:tcPr>
            <w:tcW w:w="1103"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c>
          <w:tcPr>
            <w:tcW w:w="1207"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c>
          <w:tcPr>
            <w:tcW w:w="1375"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c>
          <w:tcPr>
            <w:tcW w:w="1418" w:type="dxa"/>
            <w:tcBorders>
              <w:top w:val="nil"/>
              <w:left w:val="nil"/>
              <w:bottom w:val="nil"/>
              <w:right w:val="double" w:sz="4" w:space="0" w:color="auto"/>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r>
      <w:tr w:rsidR="00FD5242" w:rsidRPr="0035205C" w:rsidTr="0035205C">
        <w:trPr>
          <w:trHeight w:val="225"/>
        </w:trPr>
        <w:tc>
          <w:tcPr>
            <w:tcW w:w="3529" w:type="dxa"/>
            <w:tcBorders>
              <w:top w:val="nil"/>
              <w:left w:val="double" w:sz="4" w:space="0" w:color="auto"/>
              <w:bottom w:val="nil"/>
              <w:right w:val="nil"/>
            </w:tcBorders>
            <w:vAlign w:val="bottom"/>
          </w:tcPr>
          <w:p w:rsidR="00FD5242" w:rsidRPr="0035205C" w:rsidRDefault="00FD5242" w:rsidP="0024791A">
            <w:pPr>
              <w:autoSpaceDE w:val="0"/>
              <w:autoSpaceDN w:val="0"/>
              <w:adjustRightInd w:val="0"/>
              <w:spacing w:after="0" w:line="240" w:lineRule="auto"/>
              <w:rPr>
                <w:rFonts w:cs="Arial"/>
                <w:b/>
                <w:color w:val="000000"/>
              </w:rPr>
            </w:pPr>
            <w:r w:rsidRPr="0035205C">
              <w:rPr>
                <w:rFonts w:cs="Arial"/>
                <w:b/>
                <w:color w:val="000000"/>
              </w:rPr>
              <w:t>Model Summary</w:t>
            </w:r>
          </w:p>
          <w:p w:rsidR="00FD5242" w:rsidRPr="0035205C" w:rsidRDefault="00FD5242" w:rsidP="0024791A">
            <w:pPr>
              <w:autoSpaceDE w:val="0"/>
              <w:autoSpaceDN w:val="0"/>
              <w:adjustRightInd w:val="0"/>
              <w:spacing w:after="0" w:line="240" w:lineRule="auto"/>
              <w:rPr>
                <w:rFonts w:cs="Arial"/>
                <w:color w:val="000000"/>
              </w:rPr>
            </w:pPr>
            <w:r w:rsidRPr="0035205C">
              <w:rPr>
                <w:rFonts w:cs="Arial"/>
                <w:color w:val="000000"/>
              </w:rPr>
              <w:t>R-squared</w:t>
            </w:r>
          </w:p>
        </w:tc>
        <w:tc>
          <w:tcPr>
            <w:tcW w:w="1103"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ind w:right="10"/>
              <w:jc w:val="both"/>
              <w:rPr>
                <w:rFonts w:cs="Arial"/>
                <w:color w:val="000000"/>
              </w:rPr>
            </w:pPr>
            <w:r w:rsidRPr="0035205C">
              <w:rPr>
                <w:rFonts w:cs="Arial"/>
                <w:color w:val="000000"/>
              </w:rPr>
              <w:t>0.411633</w:t>
            </w:r>
          </w:p>
        </w:tc>
        <w:tc>
          <w:tcPr>
            <w:tcW w:w="2582" w:type="dxa"/>
            <w:gridSpan w:val="2"/>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ind w:right="10"/>
              <w:rPr>
                <w:rFonts w:cs="Arial"/>
                <w:color w:val="000000"/>
              </w:rPr>
            </w:pPr>
          </w:p>
        </w:tc>
        <w:tc>
          <w:tcPr>
            <w:tcW w:w="1418" w:type="dxa"/>
            <w:tcBorders>
              <w:top w:val="nil"/>
              <w:left w:val="nil"/>
              <w:bottom w:val="nil"/>
              <w:right w:val="double" w:sz="4" w:space="0" w:color="auto"/>
            </w:tcBorders>
            <w:vAlign w:val="bottom"/>
          </w:tcPr>
          <w:p w:rsidR="00FD5242" w:rsidRPr="0035205C" w:rsidRDefault="00FD5242" w:rsidP="0024791A">
            <w:pPr>
              <w:autoSpaceDE w:val="0"/>
              <w:autoSpaceDN w:val="0"/>
              <w:adjustRightInd w:val="0"/>
              <w:spacing w:after="0" w:line="240" w:lineRule="auto"/>
              <w:ind w:right="10"/>
              <w:jc w:val="right"/>
              <w:rPr>
                <w:rFonts w:cs="Arial"/>
                <w:color w:val="000000"/>
              </w:rPr>
            </w:pPr>
          </w:p>
        </w:tc>
      </w:tr>
      <w:tr w:rsidR="00FD5242" w:rsidRPr="0035205C" w:rsidTr="0035205C">
        <w:trPr>
          <w:trHeight w:val="225"/>
        </w:trPr>
        <w:tc>
          <w:tcPr>
            <w:tcW w:w="3529" w:type="dxa"/>
            <w:tcBorders>
              <w:top w:val="nil"/>
              <w:left w:val="double" w:sz="4" w:space="0" w:color="auto"/>
              <w:bottom w:val="nil"/>
              <w:right w:val="nil"/>
            </w:tcBorders>
            <w:vAlign w:val="bottom"/>
          </w:tcPr>
          <w:p w:rsidR="00FD5242" w:rsidRPr="0035205C" w:rsidRDefault="00FD5242" w:rsidP="0024791A">
            <w:pPr>
              <w:autoSpaceDE w:val="0"/>
              <w:autoSpaceDN w:val="0"/>
              <w:adjustRightInd w:val="0"/>
              <w:spacing w:after="0" w:line="240" w:lineRule="auto"/>
              <w:rPr>
                <w:rFonts w:cs="Arial"/>
                <w:color w:val="000000"/>
              </w:rPr>
            </w:pPr>
            <w:r w:rsidRPr="0035205C">
              <w:rPr>
                <w:rFonts w:cs="Arial"/>
                <w:color w:val="000000"/>
              </w:rPr>
              <w:t>Adjusted R-squared</w:t>
            </w:r>
          </w:p>
        </w:tc>
        <w:tc>
          <w:tcPr>
            <w:tcW w:w="1103"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ind w:right="10"/>
              <w:jc w:val="both"/>
              <w:rPr>
                <w:rFonts w:cs="Arial"/>
                <w:color w:val="000000"/>
              </w:rPr>
            </w:pPr>
            <w:r w:rsidRPr="0035205C">
              <w:rPr>
                <w:rFonts w:cs="Arial"/>
                <w:color w:val="000000"/>
              </w:rPr>
              <w:t>0.374077</w:t>
            </w:r>
          </w:p>
        </w:tc>
        <w:tc>
          <w:tcPr>
            <w:tcW w:w="2582" w:type="dxa"/>
            <w:gridSpan w:val="2"/>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ind w:right="10"/>
              <w:rPr>
                <w:rFonts w:cs="Arial"/>
                <w:color w:val="000000"/>
              </w:rPr>
            </w:pPr>
          </w:p>
        </w:tc>
        <w:tc>
          <w:tcPr>
            <w:tcW w:w="1418" w:type="dxa"/>
            <w:tcBorders>
              <w:top w:val="nil"/>
              <w:left w:val="nil"/>
              <w:bottom w:val="nil"/>
              <w:right w:val="double" w:sz="4" w:space="0" w:color="auto"/>
            </w:tcBorders>
            <w:vAlign w:val="bottom"/>
          </w:tcPr>
          <w:p w:rsidR="00FD5242" w:rsidRPr="0035205C" w:rsidRDefault="00FD5242" w:rsidP="0024791A">
            <w:pPr>
              <w:autoSpaceDE w:val="0"/>
              <w:autoSpaceDN w:val="0"/>
              <w:adjustRightInd w:val="0"/>
              <w:spacing w:after="0" w:line="240" w:lineRule="auto"/>
              <w:ind w:right="10"/>
              <w:jc w:val="right"/>
              <w:rPr>
                <w:rFonts w:cs="Arial"/>
                <w:color w:val="000000"/>
              </w:rPr>
            </w:pPr>
          </w:p>
        </w:tc>
      </w:tr>
      <w:tr w:rsidR="00FD5242" w:rsidRPr="0035205C" w:rsidTr="0035205C">
        <w:trPr>
          <w:trHeight w:val="225"/>
        </w:trPr>
        <w:tc>
          <w:tcPr>
            <w:tcW w:w="3529" w:type="dxa"/>
            <w:tcBorders>
              <w:top w:val="nil"/>
              <w:left w:val="double" w:sz="4" w:space="0" w:color="auto"/>
              <w:bottom w:val="nil"/>
              <w:right w:val="nil"/>
            </w:tcBorders>
            <w:vAlign w:val="bottom"/>
          </w:tcPr>
          <w:p w:rsidR="00FD5242" w:rsidRPr="0035205C" w:rsidRDefault="00FD5242" w:rsidP="0024791A">
            <w:pPr>
              <w:autoSpaceDE w:val="0"/>
              <w:autoSpaceDN w:val="0"/>
              <w:adjustRightInd w:val="0"/>
              <w:spacing w:after="0" w:line="240" w:lineRule="auto"/>
              <w:rPr>
                <w:rFonts w:cs="Arial"/>
                <w:color w:val="000000"/>
              </w:rPr>
            </w:pPr>
            <w:r w:rsidRPr="0035205C">
              <w:rPr>
                <w:rFonts w:cs="Arial"/>
                <w:color w:val="000000"/>
              </w:rPr>
              <w:t>S.E. of regression</w:t>
            </w:r>
          </w:p>
        </w:tc>
        <w:tc>
          <w:tcPr>
            <w:tcW w:w="1103" w:type="dxa"/>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ind w:right="10"/>
              <w:jc w:val="both"/>
              <w:rPr>
                <w:rFonts w:cs="Arial"/>
                <w:color w:val="000000"/>
              </w:rPr>
            </w:pPr>
            <w:r w:rsidRPr="0035205C">
              <w:rPr>
                <w:rFonts w:cs="Arial"/>
                <w:color w:val="000000"/>
              </w:rPr>
              <w:t>0.349777</w:t>
            </w:r>
          </w:p>
        </w:tc>
        <w:tc>
          <w:tcPr>
            <w:tcW w:w="2582" w:type="dxa"/>
            <w:gridSpan w:val="2"/>
            <w:tcBorders>
              <w:top w:val="nil"/>
              <w:left w:val="nil"/>
              <w:bottom w:val="nil"/>
              <w:right w:val="nil"/>
            </w:tcBorders>
            <w:vAlign w:val="bottom"/>
          </w:tcPr>
          <w:p w:rsidR="00FD5242" w:rsidRPr="0035205C" w:rsidRDefault="00FD5242" w:rsidP="0024791A">
            <w:pPr>
              <w:autoSpaceDE w:val="0"/>
              <w:autoSpaceDN w:val="0"/>
              <w:adjustRightInd w:val="0"/>
              <w:spacing w:after="0" w:line="240" w:lineRule="auto"/>
              <w:ind w:right="10"/>
              <w:rPr>
                <w:rFonts w:cs="Arial"/>
                <w:color w:val="000000"/>
              </w:rPr>
            </w:pPr>
          </w:p>
        </w:tc>
        <w:tc>
          <w:tcPr>
            <w:tcW w:w="1418" w:type="dxa"/>
            <w:tcBorders>
              <w:top w:val="nil"/>
              <w:left w:val="nil"/>
              <w:bottom w:val="nil"/>
              <w:right w:val="double" w:sz="4" w:space="0" w:color="auto"/>
            </w:tcBorders>
            <w:vAlign w:val="bottom"/>
          </w:tcPr>
          <w:p w:rsidR="00FD5242" w:rsidRPr="0035205C" w:rsidRDefault="00FD5242" w:rsidP="0024791A">
            <w:pPr>
              <w:autoSpaceDE w:val="0"/>
              <w:autoSpaceDN w:val="0"/>
              <w:adjustRightInd w:val="0"/>
              <w:spacing w:after="0" w:line="240" w:lineRule="auto"/>
              <w:ind w:right="10"/>
              <w:jc w:val="right"/>
              <w:rPr>
                <w:rFonts w:cs="Arial"/>
                <w:color w:val="000000"/>
              </w:rPr>
            </w:pPr>
          </w:p>
        </w:tc>
      </w:tr>
      <w:tr w:rsidR="00FD5242" w:rsidRPr="0035205C" w:rsidTr="0035205C">
        <w:trPr>
          <w:trHeight w:hRule="exact" w:val="90"/>
        </w:trPr>
        <w:tc>
          <w:tcPr>
            <w:tcW w:w="3529" w:type="dxa"/>
            <w:tcBorders>
              <w:top w:val="nil"/>
              <w:left w:val="double" w:sz="4" w:space="0" w:color="auto"/>
              <w:bottom w:val="double" w:sz="6" w:space="0" w:color="auto"/>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c>
          <w:tcPr>
            <w:tcW w:w="1103" w:type="dxa"/>
            <w:tcBorders>
              <w:top w:val="nil"/>
              <w:left w:val="nil"/>
              <w:bottom w:val="double" w:sz="6" w:space="0" w:color="auto"/>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c>
          <w:tcPr>
            <w:tcW w:w="1207" w:type="dxa"/>
            <w:tcBorders>
              <w:top w:val="nil"/>
              <w:left w:val="nil"/>
              <w:bottom w:val="double" w:sz="6" w:space="0" w:color="auto"/>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c>
          <w:tcPr>
            <w:tcW w:w="1375" w:type="dxa"/>
            <w:tcBorders>
              <w:top w:val="nil"/>
              <w:left w:val="nil"/>
              <w:bottom w:val="double" w:sz="6" w:space="0" w:color="auto"/>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c>
          <w:tcPr>
            <w:tcW w:w="1418" w:type="dxa"/>
            <w:tcBorders>
              <w:top w:val="nil"/>
              <w:left w:val="nil"/>
              <w:bottom w:val="double" w:sz="6" w:space="0" w:color="auto"/>
              <w:right w:val="double" w:sz="4" w:space="0" w:color="auto"/>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r>
      <w:tr w:rsidR="00FD5242" w:rsidRPr="0035205C" w:rsidTr="0035205C">
        <w:trPr>
          <w:trHeight w:hRule="exact" w:val="135"/>
        </w:trPr>
        <w:tc>
          <w:tcPr>
            <w:tcW w:w="3529" w:type="dxa"/>
            <w:tcBorders>
              <w:top w:val="nil"/>
              <w:left w:val="double" w:sz="4" w:space="0" w:color="auto"/>
              <w:bottom w:val="double" w:sz="4" w:space="0" w:color="auto"/>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c>
          <w:tcPr>
            <w:tcW w:w="1103" w:type="dxa"/>
            <w:tcBorders>
              <w:top w:val="nil"/>
              <w:left w:val="nil"/>
              <w:bottom w:val="double" w:sz="4" w:space="0" w:color="auto"/>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c>
          <w:tcPr>
            <w:tcW w:w="1207" w:type="dxa"/>
            <w:tcBorders>
              <w:top w:val="nil"/>
              <w:left w:val="nil"/>
              <w:bottom w:val="double" w:sz="4" w:space="0" w:color="auto"/>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c>
          <w:tcPr>
            <w:tcW w:w="1375" w:type="dxa"/>
            <w:tcBorders>
              <w:top w:val="nil"/>
              <w:left w:val="nil"/>
              <w:bottom w:val="double" w:sz="4" w:space="0" w:color="auto"/>
              <w:right w:val="nil"/>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c>
          <w:tcPr>
            <w:tcW w:w="1418" w:type="dxa"/>
            <w:tcBorders>
              <w:top w:val="nil"/>
              <w:left w:val="nil"/>
              <w:bottom w:val="double" w:sz="4" w:space="0" w:color="auto"/>
              <w:right w:val="double" w:sz="4" w:space="0" w:color="auto"/>
            </w:tcBorders>
            <w:vAlign w:val="bottom"/>
          </w:tcPr>
          <w:p w:rsidR="00FD5242" w:rsidRPr="0035205C" w:rsidRDefault="00FD5242" w:rsidP="0024791A">
            <w:pPr>
              <w:autoSpaceDE w:val="0"/>
              <w:autoSpaceDN w:val="0"/>
              <w:adjustRightInd w:val="0"/>
              <w:spacing w:after="0" w:line="240" w:lineRule="auto"/>
              <w:jc w:val="center"/>
              <w:rPr>
                <w:rFonts w:cs="Arial"/>
                <w:color w:val="000000"/>
              </w:rPr>
            </w:pPr>
          </w:p>
        </w:tc>
      </w:tr>
    </w:tbl>
    <w:p w:rsidR="00FD5242" w:rsidRPr="0035205C" w:rsidRDefault="00FD5242" w:rsidP="00BD2C46">
      <w:pPr>
        <w:rPr>
          <w:rFonts w:cs="Arial"/>
          <w:lang w:val="en-US"/>
        </w:rPr>
      </w:pPr>
      <w:r w:rsidRPr="0035205C">
        <w:rPr>
          <w:rFonts w:cs="Arial"/>
        </w:rPr>
        <w:t>*,**,*** indicate  significance at 0.01, 0.05, 0.10 significance level</w:t>
      </w:r>
    </w:p>
    <w:p w:rsidR="00FD5242" w:rsidRPr="00C0031B" w:rsidRDefault="00FD5242" w:rsidP="00BD2C46">
      <w:pPr>
        <w:rPr>
          <w:rFonts w:cs="Arial"/>
          <w:sz w:val="18"/>
          <w:szCs w:val="18"/>
          <w:lang w:val="en-US"/>
        </w:rPr>
      </w:pPr>
    </w:p>
    <w:p w:rsidR="00FD5242" w:rsidRDefault="00FD5242" w:rsidP="00BE1A97">
      <w:pPr>
        <w:autoSpaceDE w:val="0"/>
        <w:autoSpaceDN w:val="0"/>
        <w:adjustRightInd w:val="0"/>
        <w:spacing w:after="0" w:line="400" w:lineRule="atLeast"/>
        <w:jc w:val="both"/>
        <w:rPr>
          <w:rFonts w:cs="Arial"/>
          <w:color w:val="000000"/>
          <w:lang w:val="en-US"/>
        </w:rPr>
      </w:pPr>
      <w:r>
        <w:rPr>
          <w:rFonts w:cs="Arial"/>
          <w:color w:val="000000"/>
          <w:lang w:val="en-US"/>
        </w:rPr>
        <w:t xml:space="preserve">    The value of the coefficient as the outcome of the separate linear regression analyses conducted b</w:t>
      </w:r>
      <w:r>
        <w:rPr>
          <w:rFonts w:cs="Arial"/>
          <w:color w:val="000000"/>
          <w:vertAlign w:val="subscript"/>
          <w:lang w:val="en-US"/>
        </w:rPr>
        <w:t xml:space="preserve">3 </w:t>
      </w:r>
      <w:r>
        <w:rPr>
          <w:rFonts w:cs="Arial"/>
          <w:color w:val="000000"/>
          <w:lang w:val="en-US"/>
        </w:rPr>
        <w:t>varies regarding to each examined year, even in the years consisting one investigated period. For instance, b</w:t>
      </w:r>
      <w:r>
        <w:rPr>
          <w:rFonts w:cs="Arial"/>
          <w:color w:val="000000"/>
          <w:vertAlign w:val="subscript"/>
          <w:lang w:val="en-US"/>
        </w:rPr>
        <w:t>3</w:t>
      </w:r>
      <w:r>
        <w:rPr>
          <w:rFonts w:cs="Arial"/>
          <w:color w:val="000000"/>
          <w:lang w:val="en-US"/>
        </w:rPr>
        <w:t>= 0,004 and positively related with conservatism in 2005, while at the same time b</w:t>
      </w:r>
      <w:r>
        <w:rPr>
          <w:rFonts w:cs="Arial"/>
          <w:color w:val="000000"/>
          <w:vertAlign w:val="subscript"/>
          <w:lang w:val="en-US"/>
        </w:rPr>
        <w:t>3</w:t>
      </w:r>
      <w:r>
        <w:rPr>
          <w:rFonts w:cs="Arial"/>
          <w:color w:val="000000"/>
          <w:lang w:val="en-US"/>
        </w:rPr>
        <w:t>= - 0,001 and negatively related with conservatism in 2006. The results are contradicting with each other, in the sense that both years are included in the prior to the crisis years and should at least show the same sign. However, the value of each coefficient is considered insignificant.</w:t>
      </w:r>
    </w:p>
    <w:p w:rsidR="00FD5242" w:rsidRDefault="00FD5242" w:rsidP="00BE1A97">
      <w:pPr>
        <w:autoSpaceDE w:val="0"/>
        <w:autoSpaceDN w:val="0"/>
        <w:adjustRightInd w:val="0"/>
        <w:spacing w:after="0" w:line="400" w:lineRule="atLeast"/>
        <w:jc w:val="both"/>
        <w:rPr>
          <w:rFonts w:cs="Arial"/>
          <w:color w:val="000000"/>
          <w:lang w:val="en-US"/>
        </w:rPr>
      </w:pPr>
      <w:r>
        <w:rPr>
          <w:rFonts w:cs="Arial"/>
          <w:color w:val="000000"/>
          <w:lang w:val="en-US"/>
        </w:rPr>
        <w:t>The case remains the same concerning the second investigated period of 2008-2009, which is during the current financial crisis. The coefficient b</w:t>
      </w:r>
      <w:r>
        <w:rPr>
          <w:rFonts w:cs="Arial"/>
          <w:color w:val="000000"/>
          <w:vertAlign w:val="subscript"/>
          <w:lang w:val="en-US"/>
        </w:rPr>
        <w:t>3</w:t>
      </w:r>
      <w:r>
        <w:rPr>
          <w:rFonts w:cs="Arial"/>
          <w:color w:val="000000"/>
          <w:lang w:val="en-US"/>
        </w:rPr>
        <w:t xml:space="preserve"> equals to - 0,001 for 2008 and 0,002 for 2009 respectively.  </w:t>
      </w:r>
    </w:p>
    <w:p w:rsidR="00FD5242" w:rsidRPr="009E2D35" w:rsidRDefault="00FD5242" w:rsidP="00BE1A97">
      <w:pPr>
        <w:autoSpaceDE w:val="0"/>
        <w:autoSpaceDN w:val="0"/>
        <w:adjustRightInd w:val="0"/>
        <w:spacing w:after="0" w:line="400" w:lineRule="atLeast"/>
        <w:jc w:val="both"/>
        <w:rPr>
          <w:rFonts w:cs="Arial"/>
          <w:b/>
          <w:color w:val="000000"/>
          <w:lang w:val="en-US"/>
        </w:rPr>
      </w:pPr>
      <w:r>
        <w:rPr>
          <w:rFonts w:cs="Arial"/>
          <w:color w:val="000000"/>
          <w:lang w:val="en-US"/>
        </w:rPr>
        <w:t>Consequently, no robust conclusion can be stated regarding the evidence of the sole linear regression analyses of the four investigated years. The impacts of the crisis on auditors’ conservatism can be explained only from the results of the two conducted pooled regression analyses concerning the two investigated periods before and during the current financial crisis.</w:t>
      </w:r>
    </w:p>
    <w:p w:rsidR="00FD5242" w:rsidRPr="00B00E47" w:rsidRDefault="00FD5242" w:rsidP="00BE1A97">
      <w:pPr>
        <w:autoSpaceDE w:val="0"/>
        <w:autoSpaceDN w:val="0"/>
        <w:adjustRightInd w:val="0"/>
        <w:spacing w:after="0" w:line="400" w:lineRule="atLeast"/>
        <w:jc w:val="both"/>
        <w:rPr>
          <w:rFonts w:cs="Arial"/>
          <w:color w:val="000000"/>
          <w:lang w:val="en-US"/>
        </w:rPr>
      </w:pPr>
      <w:r>
        <w:rPr>
          <w:rFonts w:cs="Arial"/>
          <w:color w:val="000000"/>
          <w:lang w:val="en-US"/>
        </w:rPr>
        <w:t xml:space="preserve">    </w:t>
      </w:r>
      <w:r w:rsidRPr="009E2D35">
        <w:rPr>
          <w:rFonts w:cs="Arial"/>
          <w:color w:val="000000"/>
          <w:lang w:val="en-US"/>
        </w:rPr>
        <w:t xml:space="preserve">Concluding </w:t>
      </w:r>
      <w:r>
        <w:rPr>
          <w:rFonts w:cs="Arial"/>
          <w:color w:val="000000"/>
          <w:lang w:val="en-US"/>
        </w:rPr>
        <w:t>this part, Hypothesis 1 was not confirmed. Auditors make use of less professional conservatism, while conducting audits of financial statements during the current crisis period than in the years before the financial crisis. Hypothesis 2, following Hypothesis 1, signaled the relationship between the current financial and the expected increased levels of conservatism during the current crisis with the amounts of the audit fees. The increased levels of audit fees were hypothesized, originating from the increased use of audit conservatism. The results of the Model 3 investigating this Hypothesis are demonstrated and commented on the subsequent part.</w:t>
      </w:r>
    </w:p>
    <w:p w:rsidR="00FD5242" w:rsidRDefault="00FD5242" w:rsidP="001425CF">
      <w:pPr>
        <w:autoSpaceDE w:val="0"/>
        <w:autoSpaceDN w:val="0"/>
        <w:adjustRightInd w:val="0"/>
        <w:spacing w:after="0" w:line="400" w:lineRule="atLeast"/>
        <w:rPr>
          <w:lang w:val="en-US"/>
        </w:rPr>
      </w:pPr>
    </w:p>
    <w:p w:rsidR="00FD5242" w:rsidRDefault="00FD5242" w:rsidP="00C81487">
      <w:pPr>
        <w:spacing w:line="360" w:lineRule="auto"/>
        <w:jc w:val="both"/>
        <w:rPr>
          <w:b/>
          <w:lang w:val="en-US"/>
        </w:rPr>
      </w:pPr>
      <w:r>
        <w:rPr>
          <w:b/>
          <w:lang w:val="en-US"/>
        </w:rPr>
        <w:t>7.2</w:t>
      </w:r>
      <w:r w:rsidRPr="00815408">
        <w:rPr>
          <w:b/>
          <w:lang w:val="en-US"/>
        </w:rPr>
        <w:t xml:space="preserve"> </w:t>
      </w:r>
      <w:r>
        <w:rPr>
          <w:b/>
          <w:lang w:val="en-US"/>
        </w:rPr>
        <w:t>T</w:t>
      </w:r>
      <w:r w:rsidRPr="00620837">
        <w:rPr>
          <w:b/>
          <w:lang w:val="en-US"/>
        </w:rPr>
        <w:t xml:space="preserve">he impact of the </w:t>
      </w:r>
      <w:r>
        <w:rPr>
          <w:b/>
          <w:lang w:val="en-US"/>
        </w:rPr>
        <w:t>current financial crisis, concerning the auditors’ fees</w:t>
      </w:r>
    </w:p>
    <w:p w:rsidR="00FD5242" w:rsidRDefault="00FD5242" w:rsidP="005E22D6">
      <w:pPr>
        <w:spacing w:line="360" w:lineRule="auto"/>
        <w:jc w:val="both"/>
        <w:rPr>
          <w:lang w:val="en-US"/>
        </w:rPr>
      </w:pPr>
      <w:r>
        <w:rPr>
          <w:b/>
          <w:lang w:val="en-US"/>
        </w:rPr>
        <w:t xml:space="preserve">    </w:t>
      </w:r>
      <w:r>
        <w:rPr>
          <w:lang w:val="en-US"/>
        </w:rPr>
        <w:t>As stated in the research design part, the sample for the investigation of the relationship between the emergence of the current crisis and the audit fees will be limited in the period 2008-2009. Lack of data for the years 2005-2006, which consists the period before the current financial crisis, is attributed to the fact that Dutch stock exchange quoted firms were not obliged to declare their paid amounts of audit fees before 2008. Contrary to the previous Model 2 method of investigation, the empirical analysis concerning Model 3 will be conducted using the linear regression method due to the limited amount of the investigated years.</w:t>
      </w:r>
    </w:p>
    <w:p w:rsidR="00FD5242" w:rsidRDefault="00FD5242" w:rsidP="005E22D6">
      <w:pPr>
        <w:spacing w:line="360" w:lineRule="auto"/>
        <w:jc w:val="both"/>
        <w:rPr>
          <w:lang w:val="en-US"/>
        </w:rPr>
      </w:pPr>
      <w:r>
        <w:rPr>
          <w:lang w:val="en-US"/>
        </w:rPr>
        <w:t xml:space="preserve">     A pooled regression analysis will be conducted additionally for the two examined years, both during the current financial crisis, but its findings are not considered as valid as the ones generated by the linear regression method.</w:t>
      </w:r>
    </w:p>
    <w:p w:rsidR="00FD5242" w:rsidRPr="005E22D6" w:rsidRDefault="00FD5242" w:rsidP="005E22D6">
      <w:pPr>
        <w:spacing w:line="360" w:lineRule="auto"/>
        <w:jc w:val="both"/>
        <w:rPr>
          <w:lang w:val="en-US"/>
        </w:rPr>
      </w:pPr>
      <w:r>
        <w:rPr>
          <w:bCs/>
          <w:lang w:val="en-US"/>
        </w:rPr>
        <w:t>Model 3 was specified as:</w:t>
      </w:r>
    </w:p>
    <w:p w:rsidR="00FD5242" w:rsidRDefault="00FD5242" w:rsidP="001425CF">
      <w:pPr>
        <w:autoSpaceDE w:val="0"/>
        <w:autoSpaceDN w:val="0"/>
        <w:adjustRightInd w:val="0"/>
        <w:spacing w:after="0" w:line="400" w:lineRule="atLeast"/>
        <w:rPr>
          <w:bCs/>
          <w:lang w:val="en-US"/>
        </w:rPr>
      </w:pPr>
      <w:r w:rsidRPr="00AD41B0">
        <w:rPr>
          <w:rFonts w:ascii="Cambria" w:hAnsi="Cambria"/>
          <w:b/>
          <w:bCs/>
          <w:color w:val="000000"/>
          <w:lang w:val="en-US"/>
        </w:rPr>
        <w:t>LAF</w:t>
      </w:r>
      <w:r w:rsidRPr="00AD41B0">
        <w:rPr>
          <w:rFonts w:ascii="Cambria" w:hAnsi="Cambria"/>
          <w:b/>
          <w:bCs/>
          <w:color w:val="000000"/>
          <w:vertAlign w:val="subscript"/>
          <w:lang w:val="en-US"/>
        </w:rPr>
        <w:t>it</w:t>
      </w:r>
      <w:r w:rsidRPr="00AD41B0">
        <w:rPr>
          <w:rFonts w:ascii="Cambria" w:hAnsi="Cambria"/>
          <w:b/>
          <w:bCs/>
          <w:color w:val="000000"/>
          <w:lang w:val="en-US"/>
        </w:rPr>
        <w:t xml:space="preserve"> = b</w:t>
      </w:r>
      <w:r w:rsidRPr="00AD41B0">
        <w:rPr>
          <w:rFonts w:ascii="Cambria" w:hAnsi="Cambria"/>
          <w:b/>
          <w:bCs/>
          <w:color w:val="000000"/>
          <w:vertAlign w:val="subscript"/>
          <w:lang w:val="en-US"/>
        </w:rPr>
        <w:t>0</w:t>
      </w:r>
      <w:r w:rsidRPr="00AD41B0">
        <w:rPr>
          <w:rFonts w:ascii="Cambria" w:hAnsi="Cambria"/>
          <w:b/>
          <w:bCs/>
          <w:color w:val="000000"/>
          <w:lang w:val="en-US"/>
        </w:rPr>
        <w:t xml:space="preserve"> + b</w:t>
      </w:r>
      <w:r w:rsidRPr="00AD41B0">
        <w:rPr>
          <w:rFonts w:ascii="Cambria" w:hAnsi="Cambria"/>
          <w:b/>
          <w:bCs/>
          <w:color w:val="000000"/>
          <w:vertAlign w:val="subscript"/>
          <w:lang w:val="en-US"/>
        </w:rPr>
        <w:t>1</w:t>
      </w:r>
      <w:r w:rsidRPr="00AD41B0">
        <w:rPr>
          <w:rFonts w:ascii="Cambria" w:hAnsi="Cambria"/>
          <w:b/>
          <w:bCs/>
          <w:color w:val="000000"/>
          <w:lang w:val="en-US"/>
        </w:rPr>
        <w:t xml:space="preserve"> CSV</w:t>
      </w:r>
      <w:r w:rsidRPr="00AD41B0">
        <w:rPr>
          <w:rFonts w:ascii="Cambria" w:hAnsi="Cambria"/>
          <w:b/>
          <w:bCs/>
          <w:color w:val="000000"/>
          <w:vertAlign w:val="subscript"/>
          <w:lang w:val="en-US"/>
        </w:rPr>
        <w:t>it</w:t>
      </w:r>
      <w:r w:rsidRPr="00AD41B0">
        <w:rPr>
          <w:rFonts w:ascii="Cambria" w:hAnsi="Cambria"/>
          <w:b/>
          <w:bCs/>
          <w:color w:val="000000"/>
          <w:lang w:val="en-US"/>
        </w:rPr>
        <w:t xml:space="preserve"> + b</w:t>
      </w:r>
      <w:r w:rsidRPr="00AD41B0">
        <w:rPr>
          <w:rFonts w:ascii="Cambria" w:hAnsi="Cambria"/>
          <w:b/>
          <w:bCs/>
          <w:color w:val="000000"/>
          <w:vertAlign w:val="subscript"/>
          <w:lang w:val="en-US"/>
        </w:rPr>
        <w:t>2</w:t>
      </w:r>
      <w:r w:rsidRPr="00AD41B0">
        <w:rPr>
          <w:rFonts w:ascii="Cambria" w:hAnsi="Cambria"/>
          <w:b/>
          <w:bCs/>
          <w:color w:val="000000"/>
          <w:lang w:val="en-US"/>
        </w:rPr>
        <w:t xml:space="preserve"> SIZE</w:t>
      </w:r>
      <w:r w:rsidRPr="00AD41B0">
        <w:rPr>
          <w:rFonts w:ascii="Cambria" w:hAnsi="Cambria"/>
          <w:b/>
          <w:bCs/>
          <w:color w:val="000000"/>
          <w:vertAlign w:val="subscript"/>
          <w:lang w:val="en-US"/>
        </w:rPr>
        <w:t>it</w:t>
      </w:r>
      <w:r w:rsidRPr="00AD41B0">
        <w:rPr>
          <w:rFonts w:ascii="Cambria" w:hAnsi="Cambria"/>
          <w:b/>
          <w:bCs/>
          <w:color w:val="000000"/>
          <w:lang w:val="en-US"/>
        </w:rPr>
        <w:t xml:space="preserve"> + b</w:t>
      </w:r>
      <w:r w:rsidRPr="00AD41B0">
        <w:rPr>
          <w:rFonts w:ascii="Cambria" w:hAnsi="Cambria"/>
          <w:b/>
          <w:bCs/>
          <w:color w:val="000000"/>
          <w:vertAlign w:val="subscript"/>
          <w:lang w:val="en-US"/>
        </w:rPr>
        <w:t>3</w:t>
      </w:r>
      <w:r w:rsidRPr="00AD41B0">
        <w:rPr>
          <w:rFonts w:ascii="Cambria" w:hAnsi="Cambria"/>
          <w:b/>
          <w:bCs/>
          <w:color w:val="000000"/>
          <w:lang w:val="en-US"/>
        </w:rPr>
        <w:t xml:space="preserve"> QR</w:t>
      </w:r>
      <w:r w:rsidRPr="00AD41B0">
        <w:rPr>
          <w:rFonts w:ascii="Cambria" w:hAnsi="Cambria"/>
          <w:b/>
          <w:bCs/>
          <w:color w:val="000000"/>
          <w:vertAlign w:val="subscript"/>
          <w:lang w:val="en-US"/>
        </w:rPr>
        <w:t>it</w:t>
      </w:r>
      <w:r w:rsidRPr="00AD41B0">
        <w:rPr>
          <w:rFonts w:ascii="Cambria" w:hAnsi="Cambria"/>
          <w:b/>
          <w:bCs/>
          <w:color w:val="000000"/>
          <w:lang w:val="en-US"/>
        </w:rPr>
        <w:t xml:space="preserve"> + b</w:t>
      </w:r>
      <w:r w:rsidRPr="00AD41B0">
        <w:rPr>
          <w:rFonts w:ascii="Cambria" w:hAnsi="Cambria"/>
          <w:b/>
          <w:bCs/>
          <w:color w:val="000000"/>
          <w:vertAlign w:val="subscript"/>
          <w:lang w:val="en-US"/>
        </w:rPr>
        <w:t>4</w:t>
      </w:r>
      <w:r w:rsidRPr="00AD41B0">
        <w:rPr>
          <w:rFonts w:ascii="Cambria" w:hAnsi="Cambria"/>
          <w:b/>
          <w:bCs/>
          <w:color w:val="000000"/>
          <w:lang w:val="en-US"/>
        </w:rPr>
        <w:t xml:space="preserve"> LEV</w:t>
      </w:r>
      <w:r w:rsidRPr="00AD41B0">
        <w:rPr>
          <w:rFonts w:ascii="Cambria" w:hAnsi="Cambria"/>
          <w:b/>
          <w:bCs/>
          <w:color w:val="000000"/>
          <w:vertAlign w:val="subscript"/>
          <w:lang w:val="en-US"/>
        </w:rPr>
        <w:t>it</w:t>
      </w:r>
      <w:r w:rsidRPr="00AD41B0">
        <w:rPr>
          <w:rFonts w:ascii="Cambria" w:hAnsi="Cambria"/>
          <w:b/>
          <w:bCs/>
          <w:color w:val="000000"/>
          <w:lang w:val="en-US"/>
        </w:rPr>
        <w:t xml:space="preserve"> + b</w:t>
      </w:r>
      <w:r w:rsidRPr="00AD41B0">
        <w:rPr>
          <w:rFonts w:ascii="Cambria" w:hAnsi="Cambria"/>
          <w:b/>
          <w:bCs/>
          <w:color w:val="000000"/>
          <w:vertAlign w:val="subscript"/>
          <w:lang w:val="en-US"/>
        </w:rPr>
        <w:t>5</w:t>
      </w:r>
      <w:r w:rsidRPr="00AD41B0">
        <w:rPr>
          <w:rFonts w:ascii="Cambria" w:hAnsi="Cambria"/>
          <w:b/>
          <w:bCs/>
          <w:color w:val="000000"/>
          <w:lang w:val="en-US"/>
        </w:rPr>
        <w:t xml:space="preserve"> INVREC</w:t>
      </w:r>
      <w:r w:rsidRPr="00AD41B0">
        <w:rPr>
          <w:rFonts w:ascii="Cambria" w:hAnsi="Cambria"/>
          <w:b/>
          <w:bCs/>
          <w:color w:val="000000"/>
          <w:vertAlign w:val="subscript"/>
          <w:lang w:val="en-US"/>
        </w:rPr>
        <w:t>it</w:t>
      </w:r>
      <w:r w:rsidRPr="00AD41B0">
        <w:rPr>
          <w:rFonts w:ascii="Cambria" w:hAnsi="Cambria"/>
          <w:b/>
          <w:bCs/>
          <w:color w:val="000000"/>
          <w:lang w:val="en-US"/>
        </w:rPr>
        <w:t xml:space="preserve"> + b</w:t>
      </w:r>
      <w:r w:rsidRPr="00AD41B0">
        <w:rPr>
          <w:rFonts w:ascii="Cambria" w:hAnsi="Cambria"/>
          <w:b/>
          <w:bCs/>
          <w:color w:val="000000"/>
          <w:vertAlign w:val="subscript"/>
          <w:lang w:val="en-US"/>
        </w:rPr>
        <w:t>6</w:t>
      </w:r>
      <w:r w:rsidRPr="00AD41B0">
        <w:rPr>
          <w:rFonts w:ascii="Cambria" w:hAnsi="Cambria"/>
          <w:b/>
          <w:bCs/>
          <w:color w:val="000000"/>
          <w:lang w:val="en-US"/>
        </w:rPr>
        <w:t xml:space="preserve"> ROI</w:t>
      </w:r>
      <w:r w:rsidRPr="00AD41B0">
        <w:rPr>
          <w:rFonts w:ascii="Cambria" w:hAnsi="Cambria"/>
          <w:b/>
          <w:bCs/>
          <w:color w:val="000000"/>
          <w:vertAlign w:val="subscript"/>
          <w:lang w:val="en-US"/>
        </w:rPr>
        <w:t>it</w:t>
      </w:r>
    </w:p>
    <w:p w:rsidR="00FD5242" w:rsidRDefault="00FD5242" w:rsidP="001425CF">
      <w:pPr>
        <w:autoSpaceDE w:val="0"/>
        <w:autoSpaceDN w:val="0"/>
        <w:adjustRightInd w:val="0"/>
        <w:spacing w:after="0" w:line="400" w:lineRule="atLeast"/>
        <w:rPr>
          <w:bCs/>
          <w:lang w:val="en-US"/>
        </w:rPr>
      </w:pPr>
    </w:p>
    <w:p w:rsidR="00FD5242" w:rsidRDefault="00FD5242" w:rsidP="001425CF">
      <w:pPr>
        <w:autoSpaceDE w:val="0"/>
        <w:autoSpaceDN w:val="0"/>
        <w:adjustRightInd w:val="0"/>
        <w:spacing w:after="0" w:line="400" w:lineRule="atLeast"/>
        <w:rPr>
          <w:bCs/>
          <w:i/>
          <w:u w:val="single"/>
          <w:lang w:val="en-US"/>
        </w:rPr>
      </w:pPr>
      <w:r>
        <w:rPr>
          <w:bCs/>
          <w:lang w:val="en-US"/>
        </w:rPr>
        <w:t xml:space="preserve">7.2.1 </w:t>
      </w:r>
      <w:r w:rsidRPr="00B4719B">
        <w:rPr>
          <w:bCs/>
          <w:i/>
          <w:u w:val="single"/>
          <w:lang w:val="en-US"/>
        </w:rPr>
        <w:t xml:space="preserve">Descriptive statistics for Model </w:t>
      </w:r>
      <w:r>
        <w:rPr>
          <w:bCs/>
          <w:i/>
          <w:u w:val="single"/>
          <w:lang w:val="en-US"/>
        </w:rPr>
        <w:t>3</w:t>
      </w:r>
    </w:p>
    <w:p w:rsidR="00FD5242" w:rsidRDefault="00FD5242" w:rsidP="00413B02">
      <w:pPr>
        <w:autoSpaceDE w:val="0"/>
        <w:autoSpaceDN w:val="0"/>
        <w:adjustRightInd w:val="0"/>
        <w:spacing w:after="0" w:line="400" w:lineRule="atLeast"/>
        <w:jc w:val="both"/>
        <w:rPr>
          <w:bCs/>
          <w:lang w:val="en-US"/>
        </w:rPr>
      </w:pPr>
    </w:p>
    <w:p w:rsidR="00FD5242" w:rsidRDefault="00FD5242" w:rsidP="00413B02">
      <w:pPr>
        <w:autoSpaceDE w:val="0"/>
        <w:autoSpaceDN w:val="0"/>
        <w:adjustRightInd w:val="0"/>
        <w:spacing w:after="0" w:line="400" w:lineRule="atLeast"/>
        <w:jc w:val="both"/>
        <w:rPr>
          <w:bCs/>
          <w:lang w:val="en-US"/>
        </w:rPr>
      </w:pPr>
      <w:r>
        <w:rPr>
          <w:bCs/>
          <w:lang w:val="en-US"/>
        </w:rPr>
        <w:t xml:space="preserve">    The subsequent tables contain the description of the sample used in order to investigate the changes in auditors’ fees in relation with the current financial crisis. The description concerns the variables forming Model 3, which were produced by certain financial elements derived from the firms’ reports.</w:t>
      </w:r>
    </w:p>
    <w:p w:rsidR="00FD5242" w:rsidRPr="00413B02" w:rsidRDefault="00FD5242" w:rsidP="00413B02">
      <w:pPr>
        <w:autoSpaceDE w:val="0"/>
        <w:autoSpaceDN w:val="0"/>
        <w:adjustRightInd w:val="0"/>
        <w:spacing w:after="0" w:line="400" w:lineRule="atLeast"/>
        <w:jc w:val="both"/>
        <w:rPr>
          <w:bCs/>
          <w:lang w:val="en-US"/>
        </w:rPr>
      </w:pPr>
    </w:p>
    <w:p w:rsidR="00FD5242" w:rsidRPr="00821134" w:rsidRDefault="00FD5242" w:rsidP="00821134">
      <w:pPr>
        <w:jc w:val="both"/>
        <w:rPr>
          <w:b/>
          <w:bCs/>
          <w:lang w:val="en-US"/>
        </w:rPr>
      </w:pPr>
      <w:r w:rsidRPr="005B7858">
        <w:rPr>
          <w:b/>
          <w:bCs/>
          <w:lang w:val="en-US"/>
        </w:rPr>
        <w:t xml:space="preserve">Table </w:t>
      </w:r>
      <w:r>
        <w:rPr>
          <w:b/>
          <w:bCs/>
          <w:lang w:val="en-US"/>
        </w:rPr>
        <w:t>8: Descriptive statistics concerning the sample of the linear regression analyses</w:t>
      </w:r>
    </w:p>
    <w:tbl>
      <w:tblPr>
        <w:tblW w:w="7951" w:type="dxa"/>
        <w:tblInd w:w="87" w:type="dxa"/>
        <w:tblLook w:val="00A0"/>
      </w:tblPr>
      <w:tblGrid>
        <w:gridCol w:w="1249"/>
        <w:gridCol w:w="1383"/>
        <w:gridCol w:w="1295"/>
        <w:gridCol w:w="1266"/>
        <w:gridCol w:w="1379"/>
        <w:gridCol w:w="1379"/>
      </w:tblGrid>
      <w:tr w:rsidR="00FD5242" w:rsidRPr="00B60146" w:rsidTr="003E11E9">
        <w:trPr>
          <w:trHeight w:val="300"/>
        </w:trPr>
        <w:tc>
          <w:tcPr>
            <w:tcW w:w="7951" w:type="dxa"/>
            <w:gridSpan w:val="6"/>
            <w:tcBorders>
              <w:top w:val="single" w:sz="18" w:space="0" w:color="000000"/>
              <w:left w:val="single" w:sz="18" w:space="0" w:color="000000"/>
              <w:bottom w:val="single" w:sz="8" w:space="0" w:color="000000"/>
              <w:right w:val="single" w:sz="18" w:space="0" w:color="000000"/>
            </w:tcBorders>
            <w:noWrap/>
            <w:vAlign w:val="bottom"/>
          </w:tcPr>
          <w:p w:rsidR="00FD5242" w:rsidRPr="00451394" w:rsidRDefault="00FD5242" w:rsidP="00B60146">
            <w:pPr>
              <w:spacing w:after="0" w:line="240" w:lineRule="auto"/>
              <w:rPr>
                <w:i/>
                <w:iCs/>
                <w:color w:val="000000"/>
                <w:sz w:val="20"/>
                <w:szCs w:val="20"/>
                <w:lang w:eastAsia="el-GR"/>
              </w:rPr>
            </w:pPr>
            <w:r w:rsidRPr="00451394">
              <w:rPr>
                <w:i/>
                <w:iCs/>
                <w:color w:val="000000"/>
                <w:sz w:val="20"/>
                <w:szCs w:val="20"/>
                <w:lang w:eastAsia="el-GR"/>
              </w:rPr>
              <w:t>YEAR:</w:t>
            </w:r>
          </w:p>
          <w:p w:rsidR="00FD5242" w:rsidRPr="00B60146" w:rsidRDefault="00FD5242" w:rsidP="007F37A7">
            <w:pPr>
              <w:spacing w:after="0" w:line="240" w:lineRule="auto"/>
              <w:rPr>
                <w:color w:val="000000"/>
                <w:lang w:eastAsia="el-GR"/>
              </w:rPr>
            </w:pPr>
            <w:r w:rsidRPr="00B60146">
              <w:rPr>
                <w:b/>
                <w:color w:val="000000"/>
                <w:lang w:eastAsia="el-GR"/>
              </w:rPr>
              <w:t>2008</w:t>
            </w:r>
          </w:p>
        </w:tc>
      </w:tr>
      <w:tr w:rsidR="00FD5242" w:rsidRPr="00B60146" w:rsidTr="00B64BE4">
        <w:trPr>
          <w:trHeight w:val="300"/>
        </w:trPr>
        <w:tc>
          <w:tcPr>
            <w:tcW w:w="1249" w:type="dxa"/>
            <w:tcBorders>
              <w:top w:val="single" w:sz="8" w:space="0" w:color="000000"/>
              <w:left w:val="single" w:sz="18" w:space="0" w:color="000000"/>
              <w:bottom w:val="single" w:sz="18" w:space="0" w:color="000000"/>
              <w:right w:val="single" w:sz="18" w:space="0" w:color="000000"/>
            </w:tcBorders>
            <w:noWrap/>
            <w:vAlign w:val="bottom"/>
          </w:tcPr>
          <w:p w:rsidR="00FD5242" w:rsidRPr="00B60146" w:rsidRDefault="00FD5242" w:rsidP="00B60146">
            <w:pPr>
              <w:spacing w:after="0" w:line="240" w:lineRule="auto"/>
              <w:rPr>
                <w:i/>
                <w:iCs/>
                <w:color w:val="000000"/>
                <w:lang w:eastAsia="el-GR"/>
              </w:rPr>
            </w:pPr>
            <w:r w:rsidRPr="00B60146">
              <w:rPr>
                <w:i/>
                <w:iCs/>
                <w:color w:val="000000"/>
                <w:lang w:eastAsia="el-GR"/>
              </w:rPr>
              <w:t>VARIABLES:</w:t>
            </w:r>
          </w:p>
        </w:tc>
        <w:tc>
          <w:tcPr>
            <w:tcW w:w="1383" w:type="dxa"/>
            <w:tcBorders>
              <w:top w:val="single" w:sz="8" w:space="0" w:color="000000"/>
              <w:left w:val="single" w:sz="18" w:space="0" w:color="000000"/>
              <w:bottom w:val="single" w:sz="18" w:space="0" w:color="000000"/>
              <w:right w:val="single" w:sz="18" w:space="0" w:color="000000"/>
            </w:tcBorders>
            <w:shd w:val="clear" w:color="000000" w:fill="FFFFFF"/>
            <w:noWrap/>
            <w:vAlign w:val="bottom"/>
          </w:tcPr>
          <w:p w:rsidR="00FD5242" w:rsidRPr="00B60146" w:rsidRDefault="00FD5242" w:rsidP="006A6F50">
            <w:pPr>
              <w:spacing w:after="0" w:line="240" w:lineRule="auto"/>
              <w:ind w:left="82" w:firstLine="45"/>
              <w:jc w:val="center"/>
              <w:rPr>
                <w:b/>
                <w:bCs/>
                <w:color w:val="000000"/>
                <w:lang w:eastAsia="el-GR"/>
              </w:rPr>
            </w:pPr>
            <w:r w:rsidRPr="00B60146">
              <w:rPr>
                <w:b/>
                <w:bCs/>
                <w:color w:val="000000"/>
                <w:lang w:eastAsia="el-GR"/>
              </w:rPr>
              <w:t>MEAN</w:t>
            </w:r>
          </w:p>
        </w:tc>
        <w:tc>
          <w:tcPr>
            <w:tcW w:w="1295" w:type="dxa"/>
            <w:tcBorders>
              <w:top w:val="single" w:sz="8" w:space="0" w:color="000000"/>
              <w:left w:val="single" w:sz="18" w:space="0" w:color="000000"/>
              <w:bottom w:val="single" w:sz="18" w:space="0" w:color="000000"/>
              <w:right w:val="single" w:sz="18" w:space="0" w:color="000000"/>
            </w:tcBorders>
            <w:shd w:val="clear" w:color="000000" w:fill="FFFFFF"/>
            <w:noWrap/>
            <w:vAlign w:val="bottom"/>
          </w:tcPr>
          <w:p w:rsidR="00FD5242" w:rsidRPr="00B60146" w:rsidRDefault="00FD5242" w:rsidP="006A6F50">
            <w:pPr>
              <w:spacing w:after="0" w:line="240" w:lineRule="auto"/>
              <w:jc w:val="center"/>
              <w:rPr>
                <w:b/>
                <w:bCs/>
                <w:color w:val="000000"/>
                <w:lang w:eastAsia="el-GR"/>
              </w:rPr>
            </w:pPr>
            <w:r w:rsidRPr="00B60146">
              <w:rPr>
                <w:b/>
                <w:bCs/>
                <w:color w:val="000000"/>
                <w:lang w:eastAsia="el-GR"/>
              </w:rPr>
              <w:t>MEDIAN</w:t>
            </w:r>
          </w:p>
        </w:tc>
        <w:tc>
          <w:tcPr>
            <w:tcW w:w="1266" w:type="dxa"/>
            <w:tcBorders>
              <w:top w:val="single" w:sz="8" w:space="0" w:color="000000"/>
              <w:left w:val="single" w:sz="18" w:space="0" w:color="000000"/>
              <w:bottom w:val="single" w:sz="18" w:space="0" w:color="000000"/>
              <w:right w:val="single" w:sz="18" w:space="0" w:color="000000"/>
            </w:tcBorders>
            <w:shd w:val="clear" w:color="000000" w:fill="FFFFFF"/>
            <w:noWrap/>
            <w:vAlign w:val="bottom"/>
          </w:tcPr>
          <w:p w:rsidR="00FD5242" w:rsidRPr="00B60146" w:rsidRDefault="00FD5242" w:rsidP="006A6F50">
            <w:pPr>
              <w:spacing w:after="0" w:line="240" w:lineRule="auto"/>
              <w:jc w:val="center"/>
              <w:rPr>
                <w:b/>
                <w:bCs/>
                <w:color w:val="000000"/>
                <w:lang w:eastAsia="el-GR"/>
              </w:rPr>
            </w:pPr>
            <w:r w:rsidRPr="00B60146">
              <w:rPr>
                <w:b/>
                <w:bCs/>
                <w:color w:val="000000"/>
                <w:lang w:eastAsia="el-GR"/>
              </w:rPr>
              <w:t>ST.DEV</w:t>
            </w:r>
          </w:p>
        </w:tc>
        <w:tc>
          <w:tcPr>
            <w:tcW w:w="1379" w:type="dxa"/>
            <w:tcBorders>
              <w:top w:val="single" w:sz="8" w:space="0" w:color="000000"/>
              <w:left w:val="single" w:sz="18" w:space="0" w:color="000000"/>
              <w:bottom w:val="single" w:sz="18" w:space="0" w:color="000000"/>
              <w:right w:val="single" w:sz="18" w:space="0" w:color="000000"/>
            </w:tcBorders>
            <w:shd w:val="clear" w:color="000000" w:fill="FFFFFF"/>
            <w:noWrap/>
            <w:vAlign w:val="bottom"/>
          </w:tcPr>
          <w:p w:rsidR="00FD5242" w:rsidRPr="00B60146" w:rsidRDefault="00FD5242" w:rsidP="006A6F50">
            <w:pPr>
              <w:spacing w:after="0" w:line="240" w:lineRule="auto"/>
              <w:jc w:val="center"/>
              <w:rPr>
                <w:b/>
                <w:bCs/>
                <w:color w:val="000000"/>
                <w:lang w:eastAsia="el-GR"/>
              </w:rPr>
            </w:pPr>
            <w:r w:rsidRPr="00B60146">
              <w:rPr>
                <w:b/>
                <w:bCs/>
                <w:color w:val="000000"/>
                <w:lang w:eastAsia="el-GR"/>
              </w:rPr>
              <w:t>MIN</w:t>
            </w:r>
          </w:p>
        </w:tc>
        <w:tc>
          <w:tcPr>
            <w:tcW w:w="1379" w:type="dxa"/>
            <w:tcBorders>
              <w:top w:val="single" w:sz="8" w:space="0" w:color="000000"/>
              <w:left w:val="single" w:sz="18" w:space="0" w:color="000000"/>
              <w:bottom w:val="single" w:sz="18" w:space="0" w:color="000000"/>
              <w:right w:val="single" w:sz="18" w:space="0" w:color="000000"/>
            </w:tcBorders>
            <w:shd w:val="clear" w:color="000000" w:fill="FFFFFF"/>
            <w:noWrap/>
            <w:vAlign w:val="bottom"/>
          </w:tcPr>
          <w:p w:rsidR="00FD5242" w:rsidRPr="00B60146" w:rsidRDefault="00FD5242" w:rsidP="006A6F50">
            <w:pPr>
              <w:spacing w:after="0" w:line="240" w:lineRule="auto"/>
              <w:jc w:val="center"/>
              <w:rPr>
                <w:b/>
                <w:bCs/>
                <w:color w:val="000000"/>
                <w:lang w:eastAsia="el-GR"/>
              </w:rPr>
            </w:pPr>
            <w:r w:rsidRPr="00B60146">
              <w:rPr>
                <w:b/>
                <w:bCs/>
                <w:color w:val="000000"/>
                <w:lang w:eastAsia="el-GR"/>
              </w:rPr>
              <w:t>MAX</w:t>
            </w:r>
          </w:p>
        </w:tc>
      </w:tr>
      <w:tr w:rsidR="00FD5242" w:rsidRPr="00B60146" w:rsidTr="00B64BE4">
        <w:trPr>
          <w:trHeight w:val="300"/>
        </w:trPr>
        <w:tc>
          <w:tcPr>
            <w:tcW w:w="1249" w:type="dxa"/>
            <w:tcBorders>
              <w:top w:val="single" w:sz="1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rPr>
                <w:b/>
                <w:bCs/>
                <w:color w:val="000000"/>
                <w:lang w:eastAsia="el-GR"/>
              </w:rPr>
            </w:pPr>
            <w:r w:rsidRPr="00B60146">
              <w:rPr>
                <w:b/>
                <w:bCs/>
                <w:color w:val="000000"/>
                <w:lang w:eastAsia="el-GR"/>
              </w:rPr>
              <w:t>LAF</w:t>
            </w:r>
          </w:p>
        </w:tc>
        <w:tc>
          <w:tcPr>
            <w:tcW w:w="1383" w:type="dxa"/>
            <w:tcBorders>
              <w:top w:val="single" w:sz="1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0,4334856</w:t>
            </w:r>
          </w:p>
        </w:tc>
        <w:tc>
          <w:tcPr>
            <w:tcW w:w="1295" w:type="dxa"/>
            <w:tcBorders>
              <w:top w:val="single" w:sz="1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0,3679147</w:t>
            </w:r>
          </w:p>
        </w:tc>
        <w:tc>
          <w:tcPr>
            <w:tcW w:w="1266" w:type="dxa"/>
            <w:tcBorders>
              <w:top w:val="single" w:sz="1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0,8666023</w:t>
            </w:r>
          </w:p>
        </w:tc>
        <w:tc>
          <w:tcPr>
            <w:tcW w:w="1379" w:type="dxa"/>
            <w:tcBorders>
              <w:top w:val="single" w:sz="1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-1,3187588</w:t>
            </w:r>
          </w:p>
        </w:tc>
        <w:tc>
          <w:tcPr>
            <w:tcW w:w="1379" w:type="dxa"/>
            <w:tcBorders>
              <w:top w:val="single" w:sz="1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3,7150837</w:t>
            </w:r>
          </w:p>
        </w:tc>
      </w:tr>
      <w:tr w:rsidR="00FD5242" w:rsidRPr="00B60146" w:rsidTr="00B64BE4">
        <w:trPr>
          <w:trHeight w:val="300"/>
        </w:trPr>
        <w:tc>
          <w:tcPr>
            <w:tcW w:w="1249"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rPr>
                <w:b/>
                <w:bCs/>
                <w:color w:val="000000"/>
                <w:lang w:eastAsia="el-GR"/>
              </w:rPr>
            </w:pPr>
            <w:r w:rsidRPr="00B60146">
              <w:rPr>
                <w:b/>
                <w:bCs/>
                <w:color w:val="000000"/>
                <w:lang w:eastAsia="el-GR"/>
              </w:rPr>
              <w:t>CSV</w:t>
            </w:r>
          </w:p>
        </w:tc>
        <w:tc>
          <w:tcPr>
            <w:tcW w:w="1383"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1</w:t>
            </w:r>
          </w:p>
        </w:tc>
        <w:tc>
          <w:tcPr>
            <w:tcW w:w="1295"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1</w:t>
            </w:r>
          </w:p>
        </w:tc>
        <w:tc>
          <w:tcPr>
            <w:tcW w:w="1266"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0</w:t>
            </w:r>
          </w:p>
        </w:tc>
        <w:tc>
          <w:tcPr>
            <w:tcW w:w="1379"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1</w:t>
            </w:r>
          </w:p>
        </w:tc>
        <w:tc>
          <w:tcPr>
            <w:tcW w:w="1379"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1</w:t>
            </w:r>
          </w:p>
        </w:tc>
      </w:tr>
      <w:tr w:rsidR="00FD5242" w:rsidRPr="00B60146" w:rsidTr="00B64BE4">
        <w:trPr>
          <w:trHeight w:val="300"/>
        </w:trPr>
        <w:tc>
          <w:tcPr>
            <w:tcW w:w="1249"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rPr>
                <w:b/>
                <w:bCs/>
                <w:color w:val="000000"/>
                <w:lang w:eastAsia="el-GR"/>
              </w:rPr>
            </w:pPr>
            <w:r w:rsidRPr="00B60146">
              <w:rPr>
                <w:b/>
                <w:bCs/>
                <w:color w:val="000000"/>
                <w:lang w:eastAsia="el-GR"/>
              </w:rPr>
              <w:t>SIZE</w:t>
            </w:r>
          </w:p>
        </w:tc>
        <w:tc>
          <w:tcPr>
            <w:tcW w:w="1383"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3,2846716</w:t>
            </w:r>
          </w:p>
        </w:tc>
        <w:tc>
          <w:tcPr>
            <w:tcW w:w="1295"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3,282998</w:t>
            </w:r>
          </w:p>
        </w:tc>
        <w:tc>
          <w:tcPr>
            <w:tcW w:w="1266"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0,7381846</w:t>
            </w:r>
          </w:p>
        </w:tc>
        <w:tc>
          <w:tcPr>
            <w:tcW w:w="1379"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1,78044693</w:t>
            </w:r>
          </w:p>
        </w:tc>
        <w:tc>
          <w:tcPr>
            <w:tcW w:w="1379"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5,3017022</w:t>
            </w:r>
          </w:p>
        </w:tc>
      </w:tr>
      <w:tr w:rsidR="00FD5242" w:rsidRPr="00B60146" w:rsidTr="00B64BE4">
        <w:trPr>
          <w:trHeight w:val="300"/>
        </w:trPr>
        <w:tc>
          <w:tcPr>
            <w:tcW w:w="1249"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rPr>
                <w:b/>
                <w:bCs/>
                <w:color w:val="000000"/>
                <w:lang w:eastAsia="el-GR"/>
              </w:rPr>
            </w:pPr>
            <w:r w:rsidRPr="00B60146">
              <w:rPr>
                <w:b/>
                <w:bCs/>
                <w:color w:val="000000"/>
                <w:lang w:eastAsia="el-GR"/>
              </w:rPr>
              <w:t>QR</w:t>
            </w:r>
          </w:p>
        </w:tc>
        <w:tc>
          <w:tcPr>
            <w:tcW w:w="1383"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1,0381858</w:t>
            </w:r>
          </w:p>
        </w:tc>
        <w:tc>
          <w:tcPr>
            <w:tcW w:w="1295"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0,9192385</w:t>
            </w:r>
          </w:p>
        </w:tc>
        <w:tc>
          <w:tcPr>
            <w:tcW w:w="1266"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0,7476751</w:t>
            </w:r>
          </w:p>
        </w:tc>
        <w:tc>
          <w:tcPr>
            <w:tcW w:w="1379"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0,10237155</w:t>
            </w:r>
          </w:p>
        </w:tc>
        <w:tc>
          <w:tcPr>
            <w:tcW w:w="1379"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4,8568637</w:t>
            </w:r>
          </w:p>
        </w:tc>
      </w:tr>
      <w:tr w:rsidR="00FD5242" w:rsidRPr="00B60146" w:rsidTr="00B64BE4">
        <w:trPr>
          <w:trHeight w:val="300"/>
        </w:trPr>
        <w:tc>
          <w:tcPr>
            <w:tcW w:w="1249"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rPr>
                <w:b/>
                <w:bCs/>
                <w:color w:val="000000"/>
                <w:lang w:eastAsia="el-GR"/>
              </w:rPr>
            </w:pPr>
            <w:r w:rsidRPr="00B60146">
              <w:rPr>
                <w:b/>
                <w:bCs/>
                <w:color w:val="000000"/>
                <w:lang w:eastAsia="el-GR"/>
              </w:rPr>
              <w:t>LEV</w:t>
            </w:r>
          </w:p>
        </w:tc>
        <w:tc>
          <w:tcPr>
            <w:tcW w:w="1383"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0,9943605</w:t>
            </w:r>
          </w:p>
        </w:tc>
        <w:tc>
          <w:tcPr>
            <w:tcW w:w="1295"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0,8258015</w:t>
            </w:r>
          </w:p>
        </w:tc>
        <w:tc>
          <w:tcPr>
            <w:tcW w:w="1266"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0,8157817</w:t>
            </w:r>
          </w:p>
        </w:tc>
        <w:tc>
          <w:tcPr>
            <w:tcW w:w="1379"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0</w:t>
            </w:r>
          </w:p>
        </w:tc>
        <w:tc>
          <w:tcPr>
            <w:tcW w:w="1379"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3,3855422</w:t>
            </w:r>
          </w:p>
        </w:tc>
      </w:tr>
      <w:tr w:rsidR="00FD5242" w:rsidRPr="00B60146" w:rsidTr="00B64BE4">
        <w:trPr>
          <w:trHeight w:val="300"/>
        </w:trPr>
        <w:tc>
          <w:tcPr>
            <w:tcW w:w="1249"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rPr>
                <w:b/>
                <w:bCs/>
                <w:color w:val="000000"/>
                <w:lang w:eastAsia="el-GR"/>
              </w:rPr>
            </w:pPr>
            <w:r w:rsidRPr="00B60146">
              <w:rPr>
                <w:b/>
                <w:bCs/>
                <w:color w:val="000000"/>
                <w:lang w:eastAsia="el-GR"/>
              </w:rPr>
              <w:t>InVREC</w:t>
            </w:r>
          </w:p>
        </w:tc>
        <w:tc>
          <w:tcPr>
            <w:tcW w:w="1383"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0,4243657</w:t>
            </w:r>
          </w:p>
        </w:tc>
        <w:tc>
          <w:tcPr>
            <w:tcW w:w="1295"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0,3484227</w:t>
            </w:r>
          </w:p>
        </w:tc>
        <w:tc>
          <w:tcPr>
            <w:tcW w:w="1266"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0,4738197</w:t>
            </w:r>
          </w:p>
        </w:tc>
        <w:tc>
          <w:tcPr>
            <w:tcW w:w="1379"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0,00705467</w:t>
            </w:r>
          </w:p>
        </w:tc>
        <w:tc>
          <w:tcPr>
            <w:tcW w:w="1379"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2,9208192</w:t>
            </w:r>
          </w:p>
        </w:tc>
      </w:tr>
      <w:tr w:rsidR="00FD5242" w:rsidRPr="00B60146" w:rsidTr="00B64BE4">
        <w:trPr>
          <w:trHeight w:val="300"/>
        </w:trPr>
        <w:tc>
          <w:tcPr>
            <w:tcW w:w="1249"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rPr>
                <w:b/>
                <w:bCs/>
                <w:color w:val="000000"/>
                <w:lang w:eastAsia="el-GR"/>
              </w:rPr>
            </w:pPr>
            <w:r w:rsidRPr="00B60146">
              <w:rPr>
                <w:b/>
                <w:bCs/>
                <w:color w:val="000000"/>
                <w:lang w:eastAsia="el-GR"/>
              </w:rPr>
              <w:t>ROI</w:t>
            </w:r>
          </w:p>
        </w:tc>
        <w:tc>
          <w:tcPr>
            <w:tcW w:w="1383"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0,0325625</w:t>
            </w:r>
          </w:p>
        </w:tc>
        <w:tc>
          <w:tcPr>
            <w:tcW w:w="1295"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0,0531162</w:t>
            </w:r>
          </w:p>
        </w:tc>
        <w:tc>
          <w:tcPr>
            <w:tcW w:w="1266"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0,1242431</w:t>
            </w:r>
          </w:p>
        </w:tc>
        <w:tc>
          <w:tcPr>
            <w:tcW w:w="1379"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-0,4781492</w:t>
            </w:r>
          </w:p>
        </w:tc>
        <w:tc>
          <w:tcPr>
            <w:tcW w:w="1379"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0,277135</w:t>
            </w:r>
          </w:p>
        </w:tc>
      </w:tr>
      <w:tr w:rsidR="00FD5242" w:rsidRPr="00B60146" w:rsidTr="007F37A7">
        <w:trPr>
          <w:trHeight w:val="300"/>
        </w:trPr>
        <w:tc>
          <w:tcPr>
            <w:tcW w:w="1249" w:type="dxa"/>
            <w:tcBorders>
              <w:top w:val="single" w:sz="8" w:space="0" w:color="000000"/>
              <w:left w:val="single" w:sz="18" w:space="0" w:color="000000"/>
              <w:bottom w:val="single" w:sz="18" w:space="0" w:color="000000"/>
              <w:right w:val="single" w:sz="18" w:space="0" w:color="000000"/>
            </w:tcBorders>
            <w:noWrap/>
            <w:vAlign w:val="bottom"/>
          </w:tcPr>
          <w:p w:rsidR="00FD5242" w:rsidRPr="00B60146" w:rsidRDefault="00FD5242" w:rsidP="00B60146">
            <w:pPr>
              <w:spacing w:after="0" w:line="240" w:lineRule="auto"/>
              <w:rPr>
                <w:b/>
                <w:bCs/>
                <w:color w:val="000000"/>
                <w:lang w:eastAsia="el-GR"/>
              </w:rPr>
            </w:pPr>
            <w:r w:rsidRPr="00B60146">
              <w:rPr>
                <w:b/>
                <w:bCs/>
                <w:color w:val="000000"/>
                <w:lang w:eastAsia="el-GR"/>
              </w:rPr>
              <w:t xml:space="preserve">Audit fees </w:t>
            </w:r>
          </w:p>
        </w:tc>
        <w:tc>
          <w:tcPr>
            <w:tcW w:w="1383" w:type="dxa"/>
            <w:tcBorders>
              <w:top w:val="single" w:sz="8" w:space="0" w:color="000000"/>
              <w:left w:val="single" w:sz="18" w:space="0" w:color="000000"/>
              <w:bottom w:val="single" w:sz="1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val="en-US" w:eastAsia="el-GR"/>
              </w:rPr>
            </w:pPr>
            <w:r>
              <w:rPr>
                <w:color w:val="000000"/>
                <w:lang w:val="en-US" w:eastAsia="el-GR"/>
              </w:rPr>
              <w:t>**</w:t>
            </w:r>
            <w:r w:rsidRPr="00B60146">
              <w:rPr>
                <w:color w:val="000000"/>
                <w:lang w:eastAsia="el-GR"/>
              </w:rPr>
              <w:t>132,75247</w:t>
            </w:r>
          </w:p>
        </w:tc>
        <w:tc>
          <w:tcPr>
            <w:tcW w:w="1295" w:type="dxa"/>
            <w:tcBorders>
              <w:top w:val="single" w:sz="8" w:space="0" w:color="000000"/>
              <w:left w:val="single" w:sz="18" w:space="0" w:color="000000"/>
              <w:bottom w:val="single" w:sz="1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2,333</w:t>
            </w:r>
          </w:p>
        </w:tc>
        <w:tc>
          <w:tcPr>
            <w:tcW w:w="1266" w:type="dxa"/>
            <w:tcBorders>
              <w:top w:val="single" w:sz="8" w:space="0" w:color="000000"/>
              <w:left w:val="single" w:sz="18" w:space="0" w:color="000000"/>
              <w:bottom w:val="single" w:sz="1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809,4464</w:t>
            </w:r>
          </w:p>
        </w:tc>
        <w:tc>
          <w:tcPr>
            <w:tcW w:w="1379" w:type="dxa"/>
            <w:tcBorders>
              <w:top w:val="single" w:sz="8" w:space="0" w:color="000000"/>
              <w:left w:val="single" w:sz="18" w:space="0" w:color="000000"/>
              <w:bottom w:val="single" w:sz="1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0,048</w:t>
            </w:r>
          </w:p>
        </w:tc>
        <w:tc>
          <w:tcPr>
            <w:tcW w:w="1379" w:type="dxa"/>
            <w:tcBorders>
              <w:top w:val="single" w:sz="8" w:space="0" w:color="000000"/>
              <w:left w:val="single" w:sz="18" w:space="0" w:color="000000"/>
              <w:bottom w:val="single" w:sz="1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5189</w:t>
            </w:r>
          </w:p>
        </w:tc>
      </w:tr>
      <w:tr w:rsidR="00FD5242" w:rsidRPr="00B60146" w:rsidTr="00451394">
        <w:trPr>
          <w:trHeight w:val="666"/>
        </w:trPr>
        <w:tc>
          <w:tcPr>
            <w:tcW w:w="7951" w:type="dxa"/>
            <w:gridSpan w:val="6"/>
            <w:tcBorders>
              <w:top w:val="single" w:sz="18" w:space="0" w:color="000000"/>
              <w:left w:val="single" w:sz="18" w:space="0" w:color="000000"/>
              <w:bottom w:val="single" w:sz="8" w:space="0" w:color="000000"/>
              <w:right w:val="single" w:sz="18" w:space="0" w:color="000000"/>
            </w:tcBorders>
            <w:noWrap/>
            <w:vAlign w:val="bottom"/>
          </w:tcPr>
          <w:p w:rsidR="00FD5242" w:rsidRPr="00482689" w:rsidRDefault="00FD5242" w:rsidP="00B60146">
            <w:pPr>
              <w:spacing w:after="0" w:line="240" w:lineRule="auto"/>
              <w:rPr>
                <w:i/>
                <w:iCs/>
                <w:color w:val="000000"/>
                <w:sz w:val="20"/>
                <w:szCs w:val="20"/>
                <w:lang w:val="en-US" w:eastAsia="el-GR"/>
              </w:rPr>
            </w:pPr>
            <w:r w:rsidRPr="00451394">
              <w:rPr>
                <w:i/>
                <w:iCs/>
                <w:color w:val="000000"/>
                <w:sz w:val="20"/>
                <w:szCs w:val="20"/>
                <w:lang w:eastAsia="el-GR"/>
              </w:rPr>
              <w:t>YEAR:</w:t>
            </w:r>
          </w:p>
          <w:p w:rsidR="00FD5242" w:rsidRPr="00B60146" w:rsidRDefault="00FD5242" w:rsidP="00B60146">
            <w:pPr>
              <w:spacing w:after="0" w:line="240" w:lineRule="auto"/>
              <w:rPr>
                <w:color w:val="000000"/>
                <w:lang w:eastAsia="el-GR"/>
              </w:rPr>
            </w:pPr>
            <w:r w:rsidRPr="00B60146">
              <w:rPr>
                <w:b/>
                <w:color w:val="000000"/>
                <w:lang w:eastAsia="el-GR"/>
              </w:rPr>
              <w:t>2009</w:t>
            </w:r>
          </w:p>
        </w:tc>
      </w:tr>
      <w:tr w:rsidR="00FD5242" w:rsidRPr="00B60146" w:rsidTr="007F37A7">
        <w:trPr>
          <w:trHeight w:val="300"/>
        </w:trPr>
        <w:tc>
          <w:tcPr>
            <w:tcW w:w="1249" w:type="dxa"/>
            <w:tcBorders>
              <w:top w:val="single" w:sz="8" w:space="0" w:color="000000"/>
              <w:left w:val="single" w:sz="18" w:space="0" w:color="000000"/>
              <w:bottom w:val="single" w:sz="18" w:space="0" w:color="000000"/>
              <w:right w:val="single" w:sz="18" w:space="0" w:color="000000"/>
            </w:tcBorders>
            <w:noWrap/>
            <w:vAlign w:val="bottom"/>
          </w:tcPr>
          <w:p w:rsidR="00FD5242" w:rsidRPr="00B60146" w:rsidRDefault="00FD5242" w:rsidP="00B60146">
            <w:pPr>
              <w:spacing w:after="0" w:line="240" w:lineRule="auto"/>
              <w:rPr>
                <w:i/>
                <w:color w:val="000000"/>
                <w:lang w:val="en-US" w:eastAsia="el-GR"/>
              </w:rPr>
            </w:pPr>
            <w:r w:rsidRPr="00B60146">
              <w:rPr>
                <w:i/>
                <w:color w:val="000000"/>
                <w:lang w:eastAsia="el-GR"/>
              </w:rPr>
              <w:t>VARIABLES</w:t>
            </w:r>
            <w:r w:rsidRPr="004A14F7">
              <w:rPr>
                <w:i/>
                <w:color w:val="000000"/>
                <w:lang w:val="en-US" w:eastAsia="el-GR"/>
              </w:rPr>
              <w:t>:</w:t>
            </w:r>
          </w:p>
        </w:tc>
        <w:tc>
          <w:tcPr>
            <w:tcW w:w="1383" w:type="dxa"/>
            <w:tcBorders>
              <w:top w:val="single" w:sz="8" w:space="0" w:color="000000"/>
              <w:left w:val="single" w:sz="18" w:space="0" w:color="000000"/>
              <w:bottom w:val="single" w:sz="18" w:space="0" w:color="000000"/>
              <w:right w:val="single" w:sz="18" w:space="0" w:color="000000"/>
            </w:tcBorders>
            <w:shd w:val="clear" w:color="000000" w:fill="FFFFFF"/>
            <w:noWrap/>
            <w:vAlign w:val="bottom"/>
          </w:tcPr>
          <w:p w:rsidR="00FD5242" w:rsidRPr="00B60146" w:rsidRDefault="00FD5242" w:rsidP="006A6F50">
            <w:pPr>
              <w:spacing w:after="0" w:line="240" w:lineRule="auto"/>
              <w:jc w:val="center"/>
              <w:rPr>
                <w:b/>
                <w:bCs/>
                <w:color w:val="000000"/>
                <w:lang w:eastAsia="el-GR"/>
              </w:rPr>
            </w:pPr>
            <w:r w:rsidRPr="00B60146">
              <w:rPr>
                <w:b/>
                <w:bCs/>
                <w:color w:val="000000"/>
                <w:lang w:eastAsia="el-GR"/>
              </w:rPr>
              <w:t>MEAN</w:t>
            </w:r>
          </w:p>
        </w:tc>
        <w:tc>
          <w:tcPr>
            <w:tcW w:w="1295" w:type="dxa"/>
            <w:tcBorders>
              <w:top w:val="single" w:sz="8" w:space="0" w:color="000000"/>
              <w:left w:val="single" w:sz="18" w:space="0" w:color="000000"/>
              <w:bottom w:val="single" w:sz="18" w:space="0" w:color="000000"/>
              <w:right w:val="single" w:sz="18" w:space="0" w:color="000000"/>
            </w:tcBorders>
            <w:shd w:val="clear" w:color="000000" w:fill="FFFFFF"/>
            <w:noWrap/>
            <w:vAlign w:val="bottom"/>
          </w:tcPr>
          <w:p w:rsidR="00FD5242" w:rsidRPr="00B60146" w:rsidRDefault="00FD5242" w:rsidP="006A6F50">
            <w:pPr>
              <w:spacing w:after="0" w:line="240" w:lineRule="auto"/>
              <w:jc w:val="center"/>
              <w:rPr>
                <w:b/>
                <w:bCs/>
                <w:color w:val="000000"/>
                <w:lang w:eastAsia="el-GR"/>
              </w:rPr>
            </w:pPr>
            <w:r w:rsidRPr="00B60146">
              <w:rPr>
                <w:b/>
                <w:bCs/>
                <w:color w:val="000000"/>
                <w:lang w:eastAsia="el-GR"/>
              </w:rPr>
              <w:t>MEDIAN</w:t>
            </w:r>
          </w:p>
        </w:tc>
        <w:tc>
          <w:tcPr>
            <w:tcW w:w="1266" w:type="dxa"/>
            <w:tcBorders>
              <w:top w:val="single" w:sz="8" w:space="0" w:color="000000"/>
              <w:left w:val="single" w:sz="18" w:space="0" w:color="000000"/>
              <w:bottom w:val="single" w:sz="18" w:space="0" w:color="000000"/>
              <w:right w:val="single" w:sz="18" w:space="0" w:color="000000"/>
            </w:tcBorders>
            <w:shd w:val="clear" w:color="000000" w:fill="FFFFFF"/>
            <w:noWrap/>
            <w:vAlign w:val="bottom"/>
          </w:tcPr>
          <w:p w:rsidR="00FD5242" w:rsidRPr="00B60146" w:rsidRDefault="00FD5242" w:rsidP="006A6F50">
            <w:pPr>
              <w:spacing w:after="0" w:line="240" w:lineRule="auto"/>
              <w:jc w:val="center"/>
              <w:rPr>
                <w:b/>
                <w:bCs/>
                <w:color w:val="000000"/>
                <w:lang w:eastAsia="el-GR"/>
              </w:rPr>
            </w:pPr>
            <w:r w:rsidRPr="00B60146">
              <w:rPr>
                <w:b/>
                <w:bCs/>
                <w:color w:val="000000"/>
                <w:lang w:eastAsia="el-GR"/>
              </w:rPr>
              <w:t>ST.DEV</w:t>
            </w:r>
          </w:p>
        </w:tc>
        <w:tc>
          <w:tcPr>
            <w:tcW w:w="1379" w:type="dxa"/>
            <w:tcBorders>
              <w:top w:val="single" w:sz="8" w:space="0" w:color="000000"/>
              <w:left w:val="single" w:sz="18" w:space="0" w:color="000000"/>
              <w:bottom w:val="single" w:sz="18" w:space="0" w:color="000000"/>
              <w:right w:val="single" w:sz="18" w:space="0" w:color="000000"/>
            </w:tcBorders>
            <w:shd w:val="clear" w:color="000000" w:fill="FFFFFF"/>
            <w:noWrap/>
            <w:vAlign w:val="bottom"/>
          </w:tcPr>
          <w:p w:rsidR="00FD5242" w:rsidRPr="00B60146" w:rsidRDefault="00FD5242" w:rsidP="006A6F50">
            <w:pPr>
              <w:spacing w:after="0" w:line="240" w:lineRule="auto"/>
              <w:jc w:val="center"/>
              <w:rPr>
                <w:b/>
                <w:bCs/>
                <w:color w:val="000000"/>
                <w:lang w:eastAsia="el-GR"/>
              </w:rPr>
            </w:pPr>
            <w:r w:rsidRPr="00B60146">
              <w:rPr>
                <w:b/>
                <w:bCs/>
                <w:color w:val="000000"/>
                <w:lang w:eastAsia="el-GR"/>
              </w:rPr>
              <w:t>MIN</w:t>
            </w:r>
          </w:p>
        </w:tc>
        <w:tc>
          <w:tcPr>
            <w:tcW w:w="1379" w:type="dxa"/>
            <w:tcBorders>
              <w:top w:val="single" w:sz="8" w:space="0" w:color="000000"/>
              <w:left w:val="single" w:sz="18" w:space="0" w:color="000000"/>
              <w:bottom w:val="single" w:sz="18" w:space="0" w:color="000000"/>
              <w:right w:val="single" w:sz="18" w:space="0" w:color="000000"/>
            </w:tcBorders>
            <w:shd w:val="clear" w:color="000000" w:fill="FFFFFF"/>
            <w:noWrap/>
            <w:vAlign w:val="bottom"/>
          </w:tcPr>
          <w:p w:rsidR="00FD5242" w:rsidRPr="00B60146" w:rsidRDefault="00FD5242" w:rsidP="006A6F50">
            <w:pPr>
              <w:spacing w:after="0" w:line="240" w:lineRule="auto"/>
              <w:jc w:val="center"/>
              <w:rPr>
                <w:b/>
                <w:bCs/>
                <w:color w:val="000000"/>
                <w:lang w:eastAsia="el-GR"/>
              </w:rPr>
            </w:pPr>
            <w:r w:rsidRPr="00B60146">
              <w:rPr>
                <w:b/>
                <w:bCs/>
                <w:color w:val="000000"/>
                <w:lang w:eastAsia="el-GR"/>
              </w:rPr>
              <w:t>MAX</w:t>
            </w:r>
          </w:p>
        </w:tc>
      </w:tr>
      <w:tr w:rsidR="00FD5242" w:rsidRPr="00B60146" w:rsidTr="007F37A7">
        <w:trPr>
          <w:trHeight w:val="300"/>
        </w:trPr>
        <w:tc>
          <w:tcPr>
            <w:tcW w:w="1249" w:type="dxa"/>
            <w:tcBorders>
              <w:top w:val="single" w:sz="1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rPr>
                <w:b/>
                <w:bCs/>
                <w:color w:val="000000"/>
                <w:lang w:eastAsia="el-GR"/>
              </w:rPr>
            </w:pPr>
            <w:r w:rsidRPr="00B60146">
              <w:rPr>
                <w:b/>
                <w:bCs/>
                <w:color w:val="000000"/>
                <w:lang w:eastAsia="el-GR"/>
              </w:rPr>
              <w:t>LAF</w:t>
            </w:r>
          </w:p>
        </w:tc>
        <w:tc>
          <w:tcPr>
            <w:tcW w:w="1383" w:type="dxa"/>
            <w:tcBorders>
              <w:top w:val="single" w:sz="1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0,3491675</w:t>
            </w:r>
          </w:p>
        </w:tc>
        <w:tc>
          <w:tcPr>
            <w:tcW w:w="1295" w:type="dxa"/>
            <w:tcBorders>
              <w:top w:val="single" w:sz="1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0,2552725</w:t>
            </w:r>
          </w:p>
        </w:tc>
        <w:tc>
          <w:tcPr>
            <w:tcW w:w="1266" w:type="dxa"/>
            <w:tcBorders>
              <w:top w:val="single" w:sz="1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0,8221802</w:t>
            </w:r>
          </w:p>
        </w:tc>
        <w:tc>
          <w:tcPr>
            <w:tcW w:w="1379" w:type="dxa"/>
            <w:tcBorders>
              <w:top w:val="single" w:sz="1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-1,3187588</w:t>
            </w:r>
          </w:p>
        </w:tc>
        <w:tc>
          <w:tcPr>
            <w:tcW w:w="1379" w:type="dxa"/>
            <w:tcBorders>
              <w:top w:val="single" w:sz="1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3,6823256</w:t>
            </w:r>
          </w:p>
        </w:tc>
      </w:tr>
      <w:tr w:rsidR="00FD5242" w:rsidRPr="00B60146" w:rsidTr="007F37A7">
        <w:trPr>
          <w:trHeight w:val="300"/>
        </w:trPr>
        <w:tc>
          <w:tcPr>
            <w:tcW w:w="1249"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rPr>
                <w:b/>
                <w:bCs/>
                <w:color w:val="000000"/>
                <w:lang w:eastAsia="el-GR"/>
              </w:rPr>
            </w:pPr>
            <w:r w:rsidRPr="00B60146">
              <w:rPr>
                <w:b/>
                <w:bCs/>
                <w:color w:val="000000"/>
                <w:lang w:eastAsia="el-GR"/>
              </w:rPr>
              <w:t>CSV</w:t>
            </w:r>
          </w:p>
        </w:tc>
        <w:tc>
          <w:tcPr>
            <w:tcW w:w="1383"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1</w:t>
            </w:r>
          </w:p>
        </w:tc>
        <w:tc>
          <w:tcPr>
            <w:tcW w:w="1295"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1</w:t>
            </w:r>
          </w:p>
        </w:tc>
        <w:tc>
          <w:tcPr>
            <w:tcW w:w="1266"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0</w:t>
            </w:r>
          </w:p>
        </w:tc>
        <w:tc>
          <w:tcPr>
            <w:tcW w:w="1379"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1</w:t>
            </w:r>
          </w:p>
        </w:tc>
        <w:tc>
          <w:tcPr>
            <w:tcW w:w="1379"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1</w:t>
            </w:r>
          </w:p>
        </w:tc>
      </w:tr>
      <w:tr w:rsidR="00FD5242" w:rsidRPr="00B60146" w:rsidTr="007F37A7">
        <w:trPr>
          <w:trHeight w:val="300"/>
        </w:trPr>
        <w:tc>
          <w:tcPr>
            <w:tcW w:w="1249"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rPr>
                <w:b/>
                <w:bCs/>
                <w:color w:val="000000"/>
                <w:lang w:eastAsia="el-GR"/>
              </w:rPr>
            </w:pPr>
            <w:r w:rsidRPr="00B60146">
              <w:rPr>
                <w:b/>
                <w:bCs/>
                <w:color w:val="000000"/>
                <w:lang w:eastAsia="el-GR"/>
              </w:rPr>
              <w:t>SIZE</w:t>
            </w:r>
          </w:p>
        </w:tc>
        <w:tc>
          <w:tcPr>
            <w:tcW w:w="1383"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3,3428261</w:t>
            </w:r>
          </w:p>
        </w:tc>
        <w:tc>
          <w:tcPr>
            <w:tcW w:w="1295"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3,2206148</w:t>
            </w:r>
          </w:p>
        </w:tc>
        <w:tc>
          <w:tcPr>
            <w:tcW w:w="1266"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0,8438311</w:t>
            </w:r>
          </w:p>
        </w:tc>
        <w:tc>
          <w:tcPr>
            <w:tcW w:w="1379"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1,74727971</w:t>
            </w:r>
          </w:p>
        </w:tc>
        <w:tc>
          <w:tcPr>
            <w:tcW w:w="1379"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6,2773786</w:t>
            </w:r>
          </w:p>
        </w:tc>
      </w:tr>
      <w:tr w:rsidR="00FD5242" w:rsidRPr="00B60146" w:rsidTr="007F37A7">
        <w:trPr>
          <w:trHeight w:val="300"/>
        </w:trPr>
        <w:tc>
          <w:tcPr>
            <w:tcW w:w="1249"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rPr>
                <w:b/>
                <w:bCs/>
                <w:color w:val="000000"/>
                <w:lang w:eastAsia="el-GR"/>
              </w:rPr>
            </w:pPr>
            <w:r w:rsidRPr="00B60146">
              <w:rPr>
                <w:b/>
                <w:bCs/>
                <w:color w:val="000000"/>
                <w:lang w:eastAsia="el-GR"/>
              </w:rPr>
              <w:t>QR</w:t>
            </w:r>
          </w:p>
        </w:tc>
        <w:tc>
          <w:tcPr>
            <w:tcW w:w="1383"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1,101269</w:t>
            </w:r>
          </w:p>
        </w:tc>
        <w:tc>
          <w:tcPr>
            <w:tcW w:w="1295"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0,9316952</w:t>
            </w:r>
          </w:p>
        </w:tc>
        <w:tc>
          <w:tcPr>
            <w:tcW w:w="1266"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0,9779419</w:t>
            </w:r>
          </w:p>
        </w:tc>
        <w:tc>
          <w:tcPr>
            <w:tcW w:w="1379"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0,07575758</w:t>
            </w:r>
          </w:p>
        </w:tc>
        <w:tc>
          <w:tcPr>
            <w:tcW w:w="1379"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6,6311812</w:t>
            </w:r>
          </w:p>
        </w:tc>
      </w:tr>
      <w:tr w:rsidR="00FD5242" w:rsidRPr="00B60146" w:rsidTr="007F37A7">
        <w:trPr>
          <w:trHeight w:val="300"/>
        </w:trPr>
        <w:tc>
          <w:tcPr>
            <w:tcW w:w="1249"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rPr>
                <w:b/>
                <w:bCs/>
                <w:color w:val="000000"/>
                <w:lang w:eastAsia="el-GR"/>
              </w:rPr>
            </w:pPr>
            <w:r w:rsidRPr="00B60146">
              <w:rPr>
                <w:b/>
                <w:bCs/>
                <w:color w:val="000000"/>
                <w:lang w:eastAsia="el-GR"/>
              </w:rPr>
              <w:t>LEV</w:t>
            </w:r>
          </w:p>
        </w:tc>
        <w:tc>
          <w:tcPr>
            <w:tcW w:w="1383"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0,7999485</w:t>
            </w:r>
          </w:p>
        </w:tc>
        <w:tc>
          <w:tcPr>
            <w:tcW w:w="1295"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0,6274416</w:t>
            </w:r>
          </w:p>
        </w:tc>
        <w:tc>
          <w:tcPr>
            <w:tcW w:w="1266"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0,8074121</w:t>
            </w:r>
          </w:p>
        </w:tc>
        <w:tc>
          <w:tcPr>
            <w:tcW w:w="1379"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0</w:t>
            </w:r>
          </w:p>
        </w:tc>
        <w:tc>
          <w:tcPr>
            <w:tcW w:w="1379"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4,1213873</w:t>
            </w:r>
          </w:p>
        </w:tc>
      </w:tr>
      <w:tr w:rsidR="00FD5242" w:rsidRPr="00B60146" w:rsidTr="007F37A7">
        <w:trPr>
          <w:trHeight w:val="300"/>
        </w:trPr>
        <w:tc>
          <w:tcPr>
            <w:tcW w:w="1249"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rPr>
                <w:b/>
                <w:bCs/>
                <w:color w:val="000000"/>
                <w:lang w:eastAsia="el-GR"/>
              </w:rPr>
            </w:pPr>
            <w:r w:rsidRPr="00B60146">
              <w:rPr>
                <w:b/>
                <w:bCs/>
                <w:color w:val="000000"/>
                <w:lang w:eastAsia="el-GR"/>
              </w:rPr>
              <w:t>InVREC</w:t>
            </w:r>
          </w:p>
        </w:tc>
        <w:tc>
          <w:tcPr>
            <w:tcW w:w="1383"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0,3712019</w:t>
            </w:r>
          </w:p>
        </w:tc>
        <w:tc>
          <w:tcPr>
            <w:tcW w:w="1295"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0,291078</w:t>
            </w:r>
          </w:p>
        </w:tc>
        <w:tc>
          <w:tcPr>
            <w:tcW w:w="1266"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0,3523816</w:t>
            </w:r>
          </w:p>
        </w:tc>
        <w:tc>
          <w:tcPr>
            <w:tcW w:w="1379"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1,1127E-05</w:t>
            </w:r>
          </w:p>
        </w:tc>
        <w:tc>
          <w:tcPr>
            <w:tcW w:w="1379"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1,6570335</w:t>
            </w:r>
          </w:p>
        </w:tc>
      </w:tr>
      <w:tr w:rsidR="00FD5242" w:rsidRPr="00B60146" w:rsidTr="007F37A7">
        <w:trPr>
          <w:trHeight w:val="300"/>
        </w:trPr>
        <w:tc>
          <w:tcPr>
            <w:tcW w:w="1249"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rPr>
                <w:b/>
                <w:bCs/>
                <w:color w:val="000000"/>
                <w:lang w:eastAsia="el-GR"/>
              </w:rPr>
            </w:pPr>
            <w:r w:rsidRPr="00B60146">
              <w:rPr>
                <w:b/>
                <w:bCs/>
                <w:color w:val="000000"/>
                <w:lang w:eastAsia="el-GR"/>
              </w:rPr>
              <w:t>ROI</w:t>
            </w:r>
          </w:p>
        </w:tc>
        <w:tc>
          <w:tcPr>
            <w:tcW w:w="1383"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0,0313749</w:t>
            </w:r>
          </w:p>
        </w:tc>
        <w:tc>
          <w:tcPr>
            <w:tcW w:w="1295"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0,0375558</w:t>
            </w:r>
          </w:p>
        </w:tc>
        <w:tc>
          <w:tcPr>
            <w:tcW w:w="1266"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0,1327138</w:t>
            </w:r>
          </w:p>
        </w:tc>
        <w:tc>
          <w:tcPr>
            <w:tcW w:w="1379"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-0,5736986</w:t>
            </w:r>
          </w:p>
        </w:tc>
        <w:tc>
          <w:tcPr>
            <w:tcW w:w="1379" w:type="dxa"/>
            <w:tcBorders>
              <w:top w:val="single" w:sz="8" w:space="0" w:color="000000"/>
              <w:left w:val="single" w:sz="18" w:space="0" w:color="000000"/>
              <w:bottom w:val="single" w:sz="8" w:space="0" w:color="000000"/>
              <w:right w:val="single" w:sz="18" w:space="0" w:color="000000"/>
            </w:tcBorders>
            <w:shd w:val="clear" w:color="000000" w:fill="FFFFFF"/>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0,3020946</w:t>
            </w:r>
          </w:p>
        </w:tc>
      </w:tr>
      <w:tr w:rsidR="00FD5242" w:rsidRPr="00B60146" w:rsidTr="007F37A7">
        <w:trPr>
          <w:trHeight w:val="300"/>
        </w:trPr>
        <w:tc>
          <w:tcPr>
            <w:tcW w:w="1249" w:type="dxa"/>
            <w:tcBorders>
              <w:top w:val="single" w:sz="8" w:space="0" w:color="000000"/>
              <w:left w:val="single" w:sz="18" w:space="0" w:color="000000"/>
              <w:bottom w:val="single" w:sz="18" w:space="0" w:color="000000"/>
              <w:right w:val="single" w:sz="18" w:space="0" w:color="000000"/>
            </w:tcBorders>
            <w:noWrap/>
            <w:vAlign w:val="bottom"/>
          </w:tcPr>
          <w:p w:rsidR="00FD5242" w:rsidRPr="00B60146" w:rsidRDefault="00FD5242" w:rsidP="00B60146">
            <w:pPr>
              <w:spacing w:after="0" w:line="240" w:lineRule="auto"/>
              <w:rPr>
                <w:b/>
                <w:bCs/>
                <w:color w:val="000000"/>
                <w:lang w:eastAsia="el-GR"/>
              </w:rPr>
            </w:pPr>
            <w:r w:rsidRPr="00B60146">
              <w:rPr>
                <w:b/>
                <w:bCs/>
                <w:color w:val="000000"/>
                <w:lang w:eastAsia="el-GR"/>
              </w:rPr>
              <w:t xml:space="preserve">Audit fees </w:t>
            </w:r>
          </w:p>
        </w:tc>
        <w:tc>
          <w:tcPr>
            <w:tcW w:w="1383" w:type="dxa"/>
            <w:tcBorders>
              <w:top w:val="single" w:sz="8" w:space="0" w:color="000000"/>
              <w:left w:val="single" w:sz="18" w:space="0" w:color="000000"/>
              <w:bottom w:val="single" w:sz="18" w:space="0" w:color="000000"/>
              <w:right w:val="single" w:sz="18" w:space="0" w:color="000000"/>
            </w:tcBorders>
            <w:noWrap/>
            <w:vAlign w:val="bottom"/>
          </w:tcPr>
          <w:p w:rsidR="00FD5242" w:rsidRPr="00B60146" w:rsidRDefault="00FD5242" w:rsidP="00B60146">
            <w:pPr>
              <w:spacing w:after="0" w:line="240" w:lineRule="auto"/>
              <w:jc w:val="right"/>
              <w:rPr>
                <w:color w:val="000000"/>
                <w:lang w:val="en-US" w:eastAsia="el-GR"/>
              </w:rPr>
            </w:pPr>
            <w:r>
              <w:rPr>
                <w:color w:val="000000"/>
                <w:lang w:val="en-US" w:eastAsia="el-GR"/>
              </w:rPr>
              <w:t>**</w:t>
            </w:r>
            <w:r w:rsidRPr="00B60146">
              <w:rPr>
                <w:color w:val="000000"/>
                <w:lang w:eastAsia="el-GR"/>
              </w:rPr>
              <w:t>111,85216</w:t>
            </w:r>
          </w:p>
        </w:tc>
        <w:tc>
          <w:tcPr>
            <w:tcW w:w="1295" w:type="dxa"/>
            <w:tcBorders>
              <w:top w:val="single" w:sz="8" w:space="0" w:color="000000"/>
              <w:left w:val="single" w:sz="18" w:space="0" w:color="000000"/>
              <w:bottom w:val="single" w:sz="18" w:space="0" w:color="000000"/>
              <w:right w:val="single" w:sz="18" w:space="0" w:color="000000"/>
            </w:tcBorders>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1,8</w:t>
            </w:r>
          </w:p>
        </w:tc>
        <w:tc>
          <w:tcPr>
            <w:tcW w:w="1266" w:type="dxa"/>
            <w:tcBorders>
              <w:top w:val="single" w:sz="8" w:space="0" w:color="000000"/>
              <w:left w:val="single" w:sz="18" w:space="0" w:color="000000"/>
              <w:bottom w:val="single" w:sz="18" w:space="0" w:color="000000"/>
              <w:right w:val="single" w:sz="18" w:space="0" w:color="000000"/>
            </w:tcBorders>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716,6275</w:t>
            </w:r>
          </w:p>
        </w:tc>
        <w:tc>
          <w:tcPr>
            <w:tcW w:w="1379" w:type="dxa"/>
            <w:tcBorders>
              <w:top w:val="single" w:sz="8" w:space="0" w:color="000000"/>
              <w:left w:val="single" w:sz="18" w:space="0" w:color="000000"/>
              <w:bottom w:val="single" w:sz="18" w:space="0" w:color="000000"/>
              <w:right w:val="single" w:sz="18" w:space="0" w:color="000000"/>
            </w:tcBorders>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0,048</w:t>
            </w:r>
          </w:p>
        </w:tc>
        <w:tc>
          <w:tcPr>
            <w:tcW w:w="1379" w:type="dxa"/>
            <w:tcBorders>
              <w:top w:val="single" w:sz="8" w:space="0" w:color="000000"/>
              <w:left w:val="single" w:sz="18" w:space="0" w:color="000000"/>
              <w:bottom w:val="single" w:sz="18" w:space="0" w:color="000000"/>
              <w:right w:val="single" w:sz="18" w:space="0" w:color="000000"/>
            </w:tcBorders>
            <w:noWrap/>
            <w:vAlign w:val="bottom"/>
          </w:tcPr>
          <w:p w:rsidR="00FD5242" w:rsidRPr="00B60146" w:rsidRDefault="00FD5242" w:rsidP="00B60146">
            <w:pPr>
              <w:spacing w:after="0" w:line="240" w:lineRule="auto"/>
              <w:jc w:val="right"/>
              <w:rPr>
                <w:color w:val="000000"/>
                <w:lang w:eastAsia="el-GR"/>
              </w:rPr>
            </w:pPr>
            <w:r w:rsidRPr="00B60146">
              <w:rPr>
                <w:color w:val="000000"/>
                <w:lang w:eastAsia="el-GR"/>
              </w:rPr>
              <w:t>4812</w:t>
            </w:r>
          </w:p>
        </w:tc>
      </w:tr>
    </w:tbl>
    <w:p w:rsidR="00FD5242" w:rsidRDefault="00FD5242" w:rsidP="00E87DDB">
      <w:pPr>
        <w:spacing w:after="0" w:line="240" w:lineRule="auto"/>
        <w:jc w:val="both"/>
        <w:rPr>
          <w:i/>
          <w:color w:val="000000"/>
          <w:sz w:val="20"/>
          <w:szCs w:val="20"/>
          <w:lang w:val="en-US"/>
        </w:rPr>
      </w:pPr>
    </w:p>
    <w:p w:rsidR="00FD5242" w:rsidRDefault="00FD5242" w:rsidP="00E87DDB">
      <w:pPr>
        <w:spacing w:after="0" w:line="240" w:lineRule="auto"/>
        <w:jc w:val="both"/>
        <w:rPr>
          <w:i/>
          <w:color w:val="000000"/>
          <w:sz w:val="20"/>
          <w:szCs w:val="20"/>
          <w:lang w:val="en-US"/>
        </w:rPr>
      </w:pPr>
      <w:r w:rsidRPr="00F86C94">
        <w:rPr>
          <w:i/>
          <w:color w:val="000000"/>
          <w:sz w:val="20"/>
          <w:szCs w:val="20"/>
          <w:lang w:val="en-US"/>
        </w:rPr>
        <w:t>Where:</w:t>
      </w:r>
    </w:p>
    <w:p w:rsidR="00FD5242" w:rsidRDefault="00FD5242" w:rsidP="00E87DDB">
      <w:pPr>
        <w:spacing w:after="0" w:line="240" w:lineRule="auto"/>
        <w:jc w:val="both"/>
        <w:rPr>
          <w:color w:val="000000"/>
          <w:sz w:val="20"/>
          <w:szCs w:val="20"/>
          <w:lang w:val="en-US"/>
        </w:rPr>
      </w:pPr>
      <w:r w:rsidRPr="00F86C94">
        <w:rPr>
          <w:i/>
          <w:color w:val="000000"/>
          <w:sz w:val="20"/>
          <w:szCs w:val="20"/>
          <w:lang w:val="en-US"/>
        </w:rPr>
        <w:t xml:space="preserve"> </w:t>
      </w:r>
      <w:r w:rsidRPr="00F86C94">
        <w:rPr>
          <w:color w:val="000000"/>
          <w:sz w:val="20"/>
          <w:szCs w:val="20"/>
          <w:lang w:val="en-US"/>
        </w:rPr>
        <w:t>LAF</w:t>
      </w:r>
      <w:r w:rsidRPr="00F86C94">
        <w:rPr>
          <w:color w:val="000000"/>
          <w:sz w:val="20"/>
          <w:szCs w:val="20"/>
          <w:vertAlign w:val="subscript"/>
          <w:lang w:val="en-US"/>
        </w:rPr>
        <w:t>it</w:t>
      </w:r>
      <w:r w:rsidRPr="00F86C94">
        <w:rPr>
          <w:color w:val="000000"/>
          <w:sz w:val="20"/>
          <w:szCs w:val="20"/>
          <w:lang w:val="en-US"/>
        </w:rPr>
        <w:t xml:space="preserve"> = Natu</w:t>
      </w:r>
      <w:r>
        <w:rPr>
          <w:color w:val="000000"/>
          <w:sz w:val="20"/>
          <w:szCs w:val="20"/>
          <w:lang w:val="en-US"/>
        </w:rPr>
        <w:t>ral log of external audit fees</w:t>
      </w:r>
    </w:p>
    <w:p w:rsidR="00FD5242" w:rsidRDefault="00FD5242" w:rsidP="00E87DDB">
      <w:pPr>
        <w:spacing w:after="0" w:line="240" w:lineRule="auto"/>
        <w:jc w:val="both"/>
        <w:rPr>
          <w:color w:val="000000"/>
          <w:sz w:val="20"/>
          <w:szCs w:val="20"/>
          <w:lang w:val="en-US"/>
        </w:rPr>
      </w:pPr>
      <w:r w:rsidRPr="00F86C94">
        <w:rPr>
          <w:color w:val="000000"/>
          <w:sz w:val="20"/>
          <w:szCs w:val="20"/>
          <w:lang w:val="en-US"/>
        </w:rPr>
        <w:t>CSV</w:t>
      </w:r>
      <w:r w:rsidRPr="00F86C94">
        <w:rPr>
          <w:color w:val="000000"/>
          <w:sz w:val="20"/>
          <w:szCs w:val="20"/>
          <w:vertAlign w:val="subscript"/>
          <w:lang w:val="en-US"/>
        </w:rPr>
        <w:t xml:space="preserve">it </w:t>
      </w:r>
      <w:r w:rsidRPr="00F86C94">
        <w:rPr>
          <w:color w:val="000000"/>
          <w:sz w:val="20"/>
          <w:szCs w:val="20"/>
          <w:lang w:val="en-US"/>
        </w:rPr>
        <w:t>= Dummy variable, which takes the value 1 in years of lower auditors’ conservatism and the value 0 in years o</w:t>
      </w:r>
      <w:r>
        <w:rPr>
          <w:color w:val="000000"/>
          <w:sz w:val="20"/>
          <w:szCs w:val="20"/>
          <w:lang w:val="en-US"/>
        </w:rPr>
        <w:t>f higher auditors’ conservatism</w:t>
      </w:r>
    </w:p>
    <w:p w:rsidR="00FD5242" w:rsidRDefault="00FD5242" w:rsidP="00E87DDB">
      <w:pPr>
        <w:spacing w:after="0" w:line="240" w:lineRule="auto"/>
        <w:jc w:val="both"/>
        <w:rPr>
          <w:color w:val="000000"/>
          <w:sz w:val="20"/>
          <w:szCs w:val="20"/>
          <w:lang w:val="en-US"/>
        </w:rPr>
      </w:pPr>
      <w:r w:rsidRPr="00F86C94">
        <w:rPr>
          <w:color w:val="000000"/>
          <w:sz w:val="20"/>
          <w:szCs w:val="20"/>
          <w:lang w:val="en-US"/>
        </w:rPr>
        <w:t xml:space="preserve"> SIZE</w:t>
      </w:r>
      <w:r w:rsidRPr="00F86C94">
        <w:rPr>
          <w:color w:val="000000"/>
          <w:sz w:val="20"/>
          <w:szCs w:val="20"/>
          <w:vertAlign w:val="subscript"/>
          <w:lang w:val="en-US"/>
        </w:rPr>
        <w:t xml:space="preserve">it </w:t>
      </w:r>
      <w:r w:rsidRPr="00F86C94">
        <w:rPr>
          <w:color w:val="000000"/>
          <w:sz w:val="20"/>
          <w:szCs w:val="20"/>
          <w:lang w:val="en-US"/>
        </w:rPr>
        <w:t>= Natural log of t</w:t>
      </w:r>
      <w:r>
        <w:rPr>
          <w:color w:val="000000"/>
          <w:sz w:val="20"/>
          <w:szCs w:val="20"/>
          <w:lang w:val="en-US"/>
        </w:rPr>
        <w:t>otal assets</w:t>
      </w:r>
    </w:p>
    <w:p w:rsidR="00FD5242" w:rsidRDefault="00FD5242" w:rsidP="00E87DDB">
      <w:pPr>
        <w:spacing w:after="0" w:line="240" w:lineRule="auto"/>
        <w:jc w:val="both"/>
        <w:rPr>
          <w:color w:val="000000"/>
          <w:sz w:val="20"/>
          <w:szCs w:val="20"/>
          <w:lang w:val="en-US"/>
        </w:rPr>
      </w:pPr>
      <w:r w:rsidRPr="00F86C94">
        <w:rPr>
          <w:color w:val="000000"/>
          <w:sz w:val="20"/>
          <w:szCs w:val="20"/>
          <w:lang w:val="en-US"/>
        </w:rPr>
        <w:t>QR</w:t>
      </w:r>
      <w:r w:rsidRPr="00F86C94">
        <w:rPr>
          <w:color w:val="000000"/>
          <w:sz w:val="20"/>
          <w:szCs w:val="20"/>
          <w:vertAlign w:val="subscript"/>
          <w:lang w:val="en-US"/>
        </w:rPr>
        <w:t xml:space="preserve">it </w:t>
      </w:r>
      <w:r w:rsidRPr="00F86C94">
        <w:rPr>
          <w:color w:val="000000"/>
          <w:sz w:val="20"/>
          <w:szCs w:val="20"/>
          <w:lang w:val="en-US"/>
        </w:rPr>
        <w:t>= Ratio of current assets less i</w:t>
      </w:r>
      <w:r>
        <w:rPr>
          <w:color w:val="000000"/>
          <w:sz w:val="20"/>
          <w:szCs w:val="20"/>
          <w:lang w:val="en-US"/>
        </w:rPr>
        <w:t>nventory to current liabilities</w:t>
      </w:r>
    </w:p>
    <w:p w:rsidR="00FD5242" w:rsidRDefault="00FD5242" w:rsidP="00E87DDB">
      <w:pPr>
        <w:spacing w:after="0" w:line="240" w:lineRule="auto"/>
        <w:jc w:val="both"/>
        <w:rPr>
          <w:color w:val="000000"/>
          <w:sz w:val="20"/>
          <w:szCs w:val="20"/>
          <w:lang w:val="en-US"/>
        </w:rPr>
      </w:pPr>
      <w:r w:rsidRPr="00F86C94">
        <w:rPr>
          <w:color w:val="000000"/>
          <w:sz w:val="20"/>
          <w:szCs w:val="20"/>
          <w:lang w:val="en-US"/>
        </w:rPr>
        <w:t xml:space="preserve"> LEV</w:t>
      </w:r>
      <w:r w:rsidRPr="00F86C94">
        <w:rPr>
          <w:color w:val="000000"/>
          <w:sz w:val="20"/>
          <w:szCs w:val="20"/>
          <w:vertAlign w:val="subscript"/>
          <w:lang w:val="en-US"/>
        </w:rPr>
        <w:t xml:space="preserve">it </w:t>
      </w:r>
      <w:r w:rsidRPr="00F86C94">
        <w:rPr>
          <w:color w:val="000000"/>
          <w:sz w:val="20"/>
          <w:szCs w:val="20"/>
          <w:lang w:val="en-US"/>
        </w:rPr>
        <w:t>= total debt to book value of equity (leverage), INVREC</w:t>
      </w:r>
      <w:r w:rsidRPr="00F86C94">
        <w:rPr>
          <w:color w:val="000000"/>
          <w:sz w:val="20"/>
          <w:szCs w:val="20"/>
          <w:vertAlign w:val="subscript"/>
          <w:lang w:val="en-US"/>
        </w:rPr>
        <w:t xml:space="preserve">it </w:t>
      </w:r>
      <w:r>
        <w:rPr>
          <w:color w:val="000000"/>
          <w:sz w:val="20"/>
          <w:szCs w:val="20"/>
          <w:lang w:val="en-US"/>
        </w:rPr>
        <w:t>= Book value of inventory and receivables to total assets</w:t>
      </w:r>
    </w:p>
    <w:p w:rsidR="00FD5242" w:rsidRDefault="00FD5242" w:rsidP="00E87DDB">
      <w:pPr>
        <w:spacing w:after="0" w:line="240" w:lineRule="auto"/>
        <w:jc w:val="both"/>
        <w:rPr>
          <w:color w:val="000000"/>
          <w:sz w:val="20"/>
          <w:szCs w:val="20"/>
          <w:lang w:val="en-US"/>
        </w:rPr>
      </w:pPr>
      <w:r w:rsidRPr="00F86C94">
        <w:rPr>
          <w:color w:val="000000"/>
          <w:sz w:val="20"/>
          <w:szCs w:val="20"/>
          <w:lang w:val="en-US"/>
        </w:rPr>
        <w:t xml:space="preserve"> ROI</w:t>
      </w:r>
      <w:r w:rsidRPr="00F86C94">
        <w:rPr>
          <w:color w:val="000000"/>
          <w:sz w:val="20"/>
          <w:szCs w:val="20"/>
          <w:vertAlign w:val="subscript"/>
          <w:lang w:val="en-US"/>
        </w:rPr>
        <w:t xml:space="preserve">it </w:t>
      </w:r>
      <w:r w:rsidRPr="00F86C94">
        <w:rPr>
          <w:color w:val="000000"/>
          <w:sz w:val="20"/>
          <w:szCs w:val="20"/>
          <w:lang w:val="en-US"/>
        </w:rPr>
        <w:t>= Earnings before extraordinary to total assets</w:t>
      </w:r>
      <w:r>
        <w:rPr>
          <w:color w:val="000000"/>
          <w:sz w:val="20"/>
          <w:szCs w:val="20"/>
          <w:lang w:val="en-US"/>
        </w:rPr>
        <w:t>.</w:t>
      </w:r>
    </w:p>
    <w:p w:rsidR="00FD5242" w:rsidRDefault="00FD5242" w:rsidP="00E87DDB">
      <w:pPr>
        <w:spacing w:after="0" w:line="240" w:lineRule="auto"/>
        <w:jc w:val="both"/>
        <w:rPr>
          <w:color w:val="000000"/>
          <w:sz w:val="20"/>
          <w:szCs w:val="20"/>
          <w:lang w:val="en-US"/>
        </w:rPr>
      </w:pPr>
      <w:r>
        <w:rPr>
          <w:color w:val="000000"/>
          <w:sz w:val="20"/>
          <w:szCs w:val="20"/>
          <w:lang w:val="en-US"/>
        </w:rPr>
        <w:t>*Numbers are provided in thousands (x1000).</w:t>
      </w:r>
    </w:p>
    <w:p w:rsidR="00FD5242" w:rsidRDefault="00FD5242" w:rsidP="0057008D">
      <w:pPr>
        <w:jc w:val="both"/>
        <w:rPr>
          <w:color w:val="000000"/>
          <w:sz w:val="20"/>
          <w:szCs w:val="20"/>
          <w:lang w:val="en-US"/>
        </w:rPr>
      </w:pPr>
    </w:p>
    <w:p w:rsidR="00FD5242" w:rsidRDefault="00FD5242" w:rsidP="0057008D">
      <w:pPr>
        <w:spacing w:line="360" w:lineRule="auto"/>
        <w:jc w:val="both"/>
        <w:rPr>
          <w:color w:val="000000"/>
          <w:lang w:val="en-US"/>
        </w:rPr>
      </w:pPr>
      <w:r>
        <w:rPr>
          <w:color w:val="000000"/>
          <w:lang w:val="en-US"/>
        </w:rPr>
        <w:t xml:space="preserve">    The most interesting element of the descriptive statistics table is the simple numerical change in the level of the audit fees between 2008 and 2009. As observed, the average amount of the audit fees stated in the last row of the “MEAN” column is amounted to 132,75247 € in 2008 and 111,85216 € in 2009. Consequently, the actual amount of audit fees decreased in the second year of the period during the financial crisis. This can be signaled as an indicator for the results of the statistical regression analysis testing the impacts of the financial crisis on auditors’ conservatism. </w:t>
      </w:r>
    </w:p>
    <w:p w:rsidR="00FD5242" w:rsidRDefault="00FD5242" w:rsidP="0057008D">
      <w:pPr>
        <w:spacing w:line="360" w:lineRule="auto"/>
        <w:jc w:val="both"/>
        <w:rPr>
          <w:color w:val="000000"/>
          <w:lang w:val="en-US"/>
        </w:rPr>
      </w:pPr>
      <w:r>
        <w:rPr>
          <w:color w:val="000000"/>
          <w:lang w:val="en-US"/>
        </w:rPr>
        <w:t xml:space="preserve">Overall, the majority of the other variables are slightly decreased, demonstrating the general influence of the crisis on the financial prosperity of the sampling firms. </w:t>
      </w:r>
    </w:p>
    <w:p w:rsidR="00FD5242" w:rsidRDefault="00FD5242" w:rsidP="0057008D">
      <w:pPr>
        <w:spacing w:line="360" w:lineRule="auto"/>
        <w:jc w:val="both"/>
        <w:rPr>
          <w:color w:val="000000"/>
          <w:lang w:val="en-US"/>
        </w:rPr>
      </w:pPr>
      <w:r>
        <w:rPr>
          <w:color w:val="000000"/>
          <w:lang w:val="en-US"/>
        </w:rPr>
        <w:t>The variables are calculated using data from the financial statements of the tested firms. Descriptive statistics for the corresponding data used are provided in Table B in the APENDIX part.</w:t>
      </w:r>
    </w:p>
    <w:p w:rsidR="00FD5242" w:rsidRDefault="00FD5242" w:rsidP="004568E9">
      <w:pPr>
        <w:spacing w:line="360" w:lineRule="auto"/>
        <w:jc w:val="both"/>
        <w:rPr>
          <w:i/>
          <w:u w:val="single"/>
          <w:lang w:val="en-US"/>
        </w:rPr>
      </w:pPr>
      <w:r>
        <w:rPr>
          <w:lang w:val="en-US"/>
        </w:rPr>
        <w:t xml:space="preserve">7.2.2 </w:t>
      </w:r>
      <w:r w:rsidRPr="001F7A7D">
        <w:rPr>
          <w:i/>
          <w:u w:val="single"/>
          <w:lang w:val="en-US"/>
        </w:rPr>
        <w:t>Pearson’s correlation testing</w:t>
      </w:r>
    </w:p>
    <w:p w:rsidR="00FD5242" w:rsidRDefault="00FD5242" w:rsidP="004568E9">
      <w:pPr>
        <w:spacing w:line="360" w:lineRule="auto"/>
        <w:jc w:val="both"/>
        <w:rPr>
          <w:lang w:val="en-US"/>
        </w:rPr>
      </w:pPr>
      <w:r>
        <w:rPr>
          <w:lang w:val="en-US"/>
        </w:rPr>
        <w:t xml:space="preserve">    Two Pearson correlation tests were conducted for the two investigated years respectively. The matrix of the first test is presented in the next page.</w:t>
      </w:r>
    </w:p>
    <w:p w:rsidR="00FD5242" w:rsidRDefault="00FD5242" w:rsidP="004568E9">
      <w:pPr>
        <w:spacing w:line="360" w:lineRule="auto"/>
        <w:jc w:val="both"/>
        <w:rPr>
          <w:lang w:val="en-US"/>
        </w:rPr>
      </w:pPr>
    </w:p>
    <w:p w:rsidR="00FD5242" w:rsidRDefault="00FD5242" w:rsidP="004568E9">
      <w:pPr>
        <w:spacing w:line="360" w:lineRule="auto"/>
        <w:jc w:val="both"/>
        <w:rPr>
          <w:lang w:val="en-US"/>
        </w:rPr>
      </w:pPr>
    </w:p>
    <w:p w:rsidR="00FD5242" w:rsidRDefault="00FD5242" w:rsidP="004568E9">
      <w:pPr>
        <w:spacing w:line="360" w:lineRule="auto"/>
        <w:jc w:val="both"/>
        <w:rPr>
          <w:lang w:val="en-US"/>
        </w:rPr>
      </w:pPr>
    </w:p>
    <w:p w:rsidR="00FD5242" w:rsidRDefault="00FD5242" w:rsidP="004568E9">
      <w:pPr>
        <w:spacing w:line="360" w:lineRule="auto"/>
        <w:jc w:val="both"/>
        <w:rPr>
          <w:lang w:val="en-US"/>
        </w:rPr>
      </w:pPr>
    </w:p>
    <w:p w:rsidR="00FD5242" w:rsidRDefault="00FD5242" w:rsidP="004568E9">
      <w:pPr>
        <w:spacing w:line="360" w:lineRule="auto"/>
        <w:jc w:val="both"/>
        <w:rPr>
          <w:lang w:val="en-US"/>
        </w:rPr>
      </w:pPr>
    </w:p>
    <w:p w:rsidR="00FD5242" w:rsidRPr="005E22D6" w:rsidRDefault="00FD5242" w:rsidP="004568E9">
      <w:pPr>
        <w:spacing w:line="360" w:lineRule="auto"/>
        <w:jc w:val="both"/>
        <w:rPr>
          <w:lang w:val="en-US"/>
        </w:rPr>
      </w:pPr>
    </w:p>
    <w:tbl>
      <w:tblPr>
        <w:tblW w:w="8364"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935"/>
        <w:gridCol w:w="1333"/>
        <w:gridCol w:w="851"/>
        <w:gridCol w:w="850"/>
        <w:gridCol w:w="851"/>
        <w:gridCol w:w="850"/>
        <w:gridCol w:w="993"/>
        <w:gridCol w:w="850"/>
        <w:gridCol w:w="851"/>
      </w:tblGrid>
      <w:tr w:rsidR="00FD5242" w:rsidRPr="009E2EF6" w:rsidTr="00BE74B6">
        <w:trPr>
          <w:cantSplit/>
          <w:tblHeader/>
        </w:trPr>
        <w:tc>
          <w:tcPr>
            <w:tcW w:w="8364" w:type="dxa"/>
            <w:gridSpan w:val="9"/>
            <w:tcBorders>
              <w:top w:val="nil"/>
              <w:left w:val="nil"/>
              <w:bottom w:val="nil"/>
              <w:right w:val="nil"/>
            </w:tcBorders>
            <w:shd w:val="clear" w:color="auto" w:fill="FFFFFF"/>
            <w:tcMar>
              <w:top w:w="30" w:type="dxa"/>
              <w:left w:w="30" w:type="dxa"/>
              <w:bottom w:w="30" w:type="dxa"/>
              <w:right w:w="30" w:type="dxa"/>
            </w:tcMar>
            <w:vAlign w:val="center"/>
          </w:tcPr>
          <w:p w:rsidR="00FD5242" w:rsidRPr="00CB53A5" w:rsidRDefault="00FD5242" w:rsidP="00FA49D1">
            <w:pPr>
              <w:autoSpaceDE w:val="0"/>
              <w:autoSpaceDN w:val="0"/>
              <w:adjustRightInd w:val="0"/>
              <w:spacing w:after="0" w:line="320" w:lineRule="atLeast"/>
              <w:rPr>
                <w:rFonts w:cs="Arial"/>
                <w:color w:val="000000"/>
                <w:sz w:val="20"/>
                <w:szCs w:val="20"/>
                <w:lang w:val="en-US"/>
              </w:rPr>
            </w:pPr>
            <w:r>
              <w:rPr>
                <w:rFonts w:cs="Arial"/>
                <w:b/>
                <w:bCs/>
                <w:color w:val="000000"/>
                <w:lang w:val="en-US"/>
              </w:rPr>
              <w:t xml:space="preserve">Table 9a: Pearson’s </w:t>
            </w:r>
            <w:r w:rsidRPr="00397C07">
              <w:rPr>
                <w:rFonts w:cs="Arial"/>
                <w:b/>
                <w:bCs/>
                <w:color w:val="000000"/>
                <w:lang w:val="en-US"/>
              </w:rPr>
              <w:t>Correlation</w:t>
            </w:r>
            <w:r w:rsidRPr="00102FFE">
              <w:rPr>
                <w:rFonts w:cs="Arial"/>
                <w:b/>
                <w:bCs/>
                <w:color w:val="000000"/>
                <w:lang w:val="en-US"/>
              </w:rPr>
              <w:t xml:space="preserve"> </w:t>
            </w:r>
            <w:r>
              <w:rPr>
                <w:rFonts w:cs="Arial"/>
                <w:b/>
                <w:bCs/>
                <w:color w:val="000000"/>
                <w:lang w:val="en-US"/>
              </w:rPr>
              <w:t>test for the year 2008</w:t>
            </w:r>
          </w:p>
        </w:tc>
      </w:tr>
      <w:tr w:rsidR="00FD5242" w:rsidRPr="002C47E4" w:rsidTr="00BE74B6">
        <w:trPr>
          <w:cantSplit/>
          <w:tblHeader/>
        </w:trPr>
        <w:tc>
          <w:tcPr>
            <w:tcW w:w="935" w:type="dxa"/>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240" w:lineRule="auto"/>
              <w:rPr>
                <w:sz w:val="20"/>
                <w:szCs w:val="20"/>
                <w:lang w:val="en-US"/>
              </w:rPr>
            </w:pPr>
          </w:p>
        </w:tc>
        <w:tc>
          <w:tcPr>
            <w:tcW w:w="1333" w:type="dxa"/>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240" w:lineRule="auto"/>
              <w:rPr>
                <w:sz w:val="20"/>
                <w:szCs w:val="20"/>
                <w:lang w:val="en-US"/>
              </w:rPr>
            </w:pPr>
          </w:p>
        </w:tc>
        <w:tc>
          <w:tcPr>
            <w:tcW w:w="851"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FD5242" w:rsidRPr="00CB53A5" w:rsidRDefault="00FD5242" w:rsidP="00386109">
            <w:pPr>
              <w:autoSpaceDE w:val="0"/>
              <w:autoSpaceDN w:val="0"/>
              <w:adjustRightInd w:val="0"/>
              <w:spacing w:after="0" w:line="320" w:lineRule="atLeast"/>
              <w:jc w:val="center"/>
              <w:rPr>
                <w:rFonts w:cs="Arial"/>
                <w:color w:val="000000"/>
                <w:sz w:val="20"/>
                <w:szCs w:val="20"/>
              </w:rPr>
            </w:pPr>
            <w:r w:rsidRPr="00CB53A5">
              <w:rPr>
                <w:rFonts w:cs="Arial"/>
                <w:color w:val="000000"/>
                <w:sz w:val="20"/>
                <w:szCs w:val="20"/>
              </w:rPr>
              <w:t>LAF</w:t>
            </w:r>
          </w:p>
        </w:tc>
        <w:tc>
          <w:tcPr>
            <w:tcW w:w="850"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FD5242" w:rsidRPr="00CB53A5" w:rsidRDefault="00FD5242" w:rsidP="00386109">
            <w:pPr>
              <w:autoSpaceDE w:val="0"/>
              <w:autoSpaceDN w:val="0"/>
              <w:adjustRightInd w:val="0"/>
              <w:spacing w:after="0" w:line="320" w:lineRule="atLeast"/>
              <w:jc w:val="center"/>
              <w:rPr>
                <w:rFonts w:cs="Arial"/>
                <w:color w:val="000000"/>
                <w:sz w:val="20"/>
                <w:szCs w:val="20"/>
              </w:rPr>
            </w:pPr>
            <w:r w:rsidRPr="00CB53A5">
              <w:rPr>
                <w:rFonts w:cs="Arial"/>
                <w:color w:val="000000"/>
                <w:sz w:val="20"/>
                <w:szCs w:val="20"/>
              </w:rPr>
              <w:t>CSV</w:t>
            </w:r>
          </w:p>
        </w:tc>
        <w:tc>
          <w:tcPr>
            <w:tcW w:w="851"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FD5242" w:rsidRPr="00CB53A5" w:rsidRDefault="00FD5242" w:rsidP="00386109">
            <w:pPr>
              <w:autoSpaceDE w:val="0"/>
              <w:autoSpaceDN w:val="0"/>
              <w:adjustRightInd w:val="0"/>
              <w:spacing w:after="0" w:line="320" w:lineRule="atLeast"/>
              <w:jc w:val="center"/>
              <w:rPr>
                <w:rFonts w:cs="Arial"/>
                <w:color w:val="000000"/>
                <w:sz w:val="20"/>
                <w:szCs w:val="20"/>
              </w:rPr>
            </w:pPr>
            <w:r w:rsidRPr="00CB53A5">
              <w:rPr>
                <w:rFonts w:cs="Arial"/>
                <w:color w:val="000000"/>
                <w:sz w:val="20"/>
                <w:szCs w:val="20"/>
              </w:rPr>
              <w:t>SIZE</w:t>
            </w:r>
          </w:p>
        </w:tc>
        <w:tc>
          <w:tcPr>
            <w:tcW w:w="850"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FD5242" w:rsidRPr="00CB53A5" w:rsidRDefault="00FD5242" w:rsidP="00386109">
            <w:pPr>
              <w:autoSpaceDE w:val="0"/>
              <w:autoSpaceDN w:val="0"/>
              <w:adjustRightInd w:val="0"/>
              <w:spacing w:after="0" w:line="320" w:lineRule="atLeast"/>
              <w:jc w:val="center"/>
              <w:rPr>
                <w:rFonts w:cs="Arial"/>
                <w:color w:val="000000"/>
                <w:sz w:val="20"/>
                <w:szCs w:val="20"/>
              </w:rPr>
            </w:pPr>
            <w:r w:rsidRPr="00CB53A5">
              <w:rPr>
                <w:rFonts w:cs="Arial"/>
                <w:color w:val="000000"/>
                <w:sz w:val="20"/>
                <w:szCs w:val="20"/>
              </w:rPr>
              <w:t>QR</w:t>
            </w:r>
          </w:p>
        </w:tc>
        <w:tc>
          <w:tcPr>
            <w:tcW w:w="993"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FD5242" w:rsidRPr="00CB53A5" w:rsidRDefault="00FD5242" w:rsidP="00386109">
            <w:pPr>
              <w:autoSpaceDE w:val="0"/>
              <w:autoSpaceDN w:val="0"/>
              <w:adjustRightInd w:val="0"/>
              <w:spacing w:after="0" w:line="320" w:lineRule="atLeast"/>
              <w:jc w:val="center"/>
              <w:rPr>
                <w:rFonts w:cs="Arial"/>
                <w:color w:val="000000"/>
                <w:sz w:val="20"/>
                <w:szCs w:val="20"/>
              </w:rPr>
            </w:pPr>
            <w:r w:rsidRPr="00CB53A5">
              <w:rPr>
                <w:rFonts w:cs="Arial"/>
                <w:color w:val="000000"/>
                <w:sz w:val="20"/>
                <w:szCs w:val="20"/>
              </w:rPr>
              <w:t>LEV</w:t>
            </w:r>
          </w:p>
        </w:tc>
        <w:tc>
          <w:tcPr>
            <w:tcW w:w="850"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FD5242" w:rsidRPr="00CB53A5" w:rsidRDefault="00FD5242" w:rsidP="00386109">
            <w:pPr>
              <w:autoSpaceDE w:val="0"/>
              <w:autoSpaceDN w:val="0"/>
              <w:adjustRightInd w:val="0"/>
              <w:spacing w:after="0" w:line="320" w:lineRule="atLeast"/>
              <w:jc w:val="center"/>
              <w:rPr>
                <w:rFonts w:cs="Arial"/>
                <w:color w:val="000000"/>
                <w:sz w:val="20"/>
                <w:szCs w:val="20"/>
              </w:rPr>
            </w:pPr>
            <w:r>
              <w:rPr>
                <w:rFonts w:cs="Arial"/>
                <w:color w:val="000000"/>
                <w:sz w:val="20"/>
                <w:szCs w:val="20"/>
              </w:rPr>
              <w:t>I</w:t>
            </w:r>
            <w:r>
              <w:rPr>
                <w:rFonts w:cs="Arial"/>
                <w:color w:val="000000"/>
                <w:sz w:val="20"/>
                <w:szCs w:val="20"/>
                <w:lang w:val="en-US"/>
              </w:rPr>
              <w:t>N</w:t>
            </w:r>
            <w:r w:rsidRPr="00CB53A5">
              <w:rPr>
                <w:rFonts w:cs="Arial"/>
                <w:color w:val="000000"/>
                <w:sz w:val="20"/>
                <w:szCs w:val="20"/>
              </w:rPr>
              <w:t>VREC</w:t>
            </w:r>
          </w:p>
        </w:tc>
        <w:tc>
          <w:tcPr>
            <w:tcW w:w="851"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FD5242" w:rsidRPr="00CB53A5" w:rsidRDefault="00FD5242" w:rsidP="00386109">
            <w:pPr>
              <w:autoSpaceDE w:val="0"/>
              <w:autoSpaceDN w:val="0"/>
              <w:adjustRightInd w:val="0"/>
              <w:spacing w:after="0" w:line="320" w:lineRule="atLeast"/>
              <w:jc w:val="center"/>
              <w:rPr>
                <w:rFonts w:cs="Arial"/>
                <w:color w:val="000000"/>
                <w:sz w:val="20"/>
                <w:szCs w:val="20"/>
              </w:rPr>
            </w:pPr>
            <w:r w:rsidRPr="00CB53A5">
              <w:rPr>
                <w:rFonts w:cs="Arial"/>
                <w:color w:val="000000"/>
                <w:sz w:val="20"/>
                <w:szCs w:val="20"/>
              </w:rPr>
              <w:t>ROI</w:t>
            </w:r>
          </w:p>
        </w:tc>
      </w:tr>
      <w:tr w:rsidR="00FD5242" w:rsidRPr="002C47E4" w:rsidTr="00BE74B6">
        <w:trPr>
          <w:cantSplit/>
          <w:tblHeader/>
        </w:trPr>
        <w:tc>
          <w:tcPr>
            <w:tcW w:w="935" w:type="dxa"/>
            <w:vMerge w:val="restart"/>
            <w:tcBorders>
              <w:top w:val="single" w:sz="16" w:space="0" w:color="000000"/>
              <w:left w:val="single" w:sz="16" w:space="0" w:color="000000"/>
              <w:right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rPr>
                <w:rFonts w:cs="Arial"/>
                <w:color w:val="000000"/>
                <w:sz w:val="20"/>
                <w:szCs w:val="20"/>
              </w:rPr>
            </w:pPr>
            <w:r w:rsidRPr="00CB53A5">
              <w:rPr>
                <w:rFonts w:cs="Arial"/>
                <w:color w:val="000000"/>
                <w:sz w:val="20"/>
                <w:szCs w:val="20"/>
              </w:rPr>
              <w:t>LAF</w:t>
            </w:r>
          </w:p>
        </w:tc>
        <w:tc>
          <w:tcPr>
            <w:tcW w:w="1333"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rPr>
                <w:rFonts w:cs="Arial"/>
                <w:color w:val="000000"/>
                <w:sz w:val="20"/>
                <w:szCs w:val="20"/>
                <w:lang w:val="en-US"/>
              </w:rPr>
            </w:pPr>
            <w:r w:rsidRPr="00CB53A5">
              <w:rPr>
                <w:rFonts w:cs="Arial"/>
                <w:color w:val="000000"/>
                <w:sz w:val="20"/>
                <w:szCs w:val="20"/>
              </w:rPr>
              <w:t>Pearson</w:t>
            </w:r>
          </w:p>
        </w:tc>
        <w:tc>
          <w:tcPr>
            <w:tcW w:w="851"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1</w:t>
            </w:r>
          </w:p>
        </w:tc>
        <w:tc>
          <w:tcPr>
            <w:tcW w:w="850" w:type="dxa"/>
            <w:tcBorders>
              <w:top w:val="single" w:sz="16" w:space="0" w:color="000000"/>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rPr>
                <w:rFonts w:cs="Arial"/>
                <w:color w:val="000000"/>
                <w:sz w:val="20"/>
                <w:szCs w:val="20"/>
              </w:rPr>
            </w:pPr>
          </w:p>
        </w:tc>
        <w:tc>
          <w:tcPr>
            <w:tcW w:w="851" w:type="dxa"/>
            <w:tcBorders>
              <w:top w:val="single" w:sz="16" w:space="0" w:color="000000"/>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p>
        </w:tc>
        <w:tc>
          <w:tcPr>
            <w:tcW w:w="850" w:type="dxa"/>
            <w:tcBorders>
              <w:top w:val="single" w:sz="16" w:space="0" w:color="000000"/>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p>
        </w:tc>
        <w:tc>
          <w:tcPr>
            <w:tcW w:w="993" w:type="dxa"/>
            <w:tcBorders>
              <w:top w:val="single" w:sz="16" w:space="0" w:color="000000"/>
              <w:bottom w:val="nil"/>
            </w:tcBorders>
            <w:shd w:val="clear" w:color="auto" w:fill="FFFFFF"/>
            <w:tcMar>
              <w:top w:w="30" w:type="dxa"/>
              <w:left w:w="30" w:type="dxa"/>
              <w:bottom w:w="30" w:type="dxa"/>
              <w:right w:w="30" w:type="dxa"/>
            </w:tcMar>
          </w:tcPr>
          <w:p w:rsidR="00FD5242" w:rsidRPr="00CB53A5" w:rsidRDefault="00FD5242" w:rsidP="00821134">
            <w:pPr>
              <w:autoSpaceDE w:val="0"/>
              <w:autoSpaceDN w:val="0"/>
              <w:adjustRightInd w:val="0"/>
              <w:spacing w:after="0" w:line="320" w:lineRule="atLeast"/>
              <w:ind w:left="-291"/>
              <w:jc w:val="center"/>
              <w:rPr>
                <w:rFonts w:cs="Arial"/>
                <w:color w:val="000000"/>
                <w:sz w:val="20"/>
                <w:szCs w:val="20"/>
              </w:rPr>
            </w:pPr>
          </w:p>
        </w:tc>
        <w:tc>
          <w:tcPr>
            <w:tcW w:w="850" w:type="dxa"/>
            <w:tcBorders>
              <w:top w:val="single" w:sz="16" w:space="0" w:color="000000"/>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p>
        </w:tc>
        <w:tc>
          <w:tcPr>
            <w:tcW w:w="851"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p>
        </w:tc>
      </w:tr>
      <w:tr w:rsidR="00FD5242" w:rsidRPr="002C47E4" w:rsidTr="00BE74B6">
        <w:trPr>
          <w:cantSplit/>
          <w:tblHeader/>
        </w:trPr>
        <w:tc>
          <w:tcPr>
            <w:tcW w:w="935"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240" w:lineRule="auto"/>
              <w:rPr>
                <w:rFonts w:cs="Arial"/>
                <w:color w:val="000000"/>
                <w:sz w:val="20"/>
                <w:szCs w:val="20"/>
              </w:rPr>
            </w:pPr>
          </w:p>
        </w:tc>
        <w:tc>
          <w:tcPr>
            <w:tcW w:w="1333" w:type="dxa"/>
            <w:tcBorders>
              <w:top w:val="nil"/>
              <w:left w:val="nil"/>
              <w:bottom w:val="nil"/>
              <w:right w:val="single" w:sz="16" w:space="0" w:color="000000"/>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rPr>
                <w:rFonts w:cs="Arial"/>
                <w:color w:val="000000"/>
                <w:sz w:val="20"/>
                <w:szCs w:val="20"/>
              </w:rPr>
            </w:pPr>
            <w:r w:rsidRPr="00CB53A5">
              <w:rPr>
                <w:rFonts w:cs="Arial"/>
                <w:color w:val="000000"/>
                <w:sz w:val="20"/>
                <w:szCs w:val="20"/>
              </w:rPr>
              <w:t>Sig. (2-tailed)</w:t>
            </w:r>
          </w:p>
        </w:tc>
        <w:tc>
          <w:tcPr>
            <w:tcW w:w="851" w:type="dxa"/>
            <w:tcBorders>
              <w:top w:val="nil"/>
              <w:left w:val="single" w:sz="16" w:space="0" w:color="000000"/>
              <w:bottom w:val="nil"/>
            </w:tcBorders>
            <w:shd w:val="clear" w:color="auto" w:fill="FFFFFF"/>
            <w:tcMar>
              <w:top w:w="30" w:type="dxa"/>
              <w:left w:w="30" w:type="dxa"/>
              <w:bottom w:w="30" w:type="dxa"/>
              <w:right w:w="30" w:type="dxa"/>
            </w:tcMar>
            <w:vAlign w:val="center"/>
          </w:tcPr>
          <w:p w:rsidR="00FD5242" w:rsidRPr="00CB53A5" w:rsidRDefault="00FD5242" w:rsidP="00386109">
            <w:pPr>
              <w:autoSpaceDE w:val="0"/>
              <w:autoSpaceDN w:val="0"/>
              <w:adjustRightInd w:val="0"/>
              <w:spacing w:after="0" w:line="240" w:lineRule="auto"/>
              <w:jc w:val="center"/>
              <w:rPr>
                <w:sz w:val="20"/>
                <w:szCs w:val="20"/>
              </w:rPr>
            </w:pPr>
          </w:p>
        </w:tc>
        <w:tc>
          <w:tcPr>
            <w:tcW w:w="850" w:type="dxa"/>
            <w:tcBorders>
              <w:top w:val="nil"/>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rPr>
                <w:rFonts w:cs="Arial"/>
                <w:color w:val="000000"/>
                <w:sz w:val="20"/>
                <w:szCs w:val="20"/>
              </w:rPr>
            </w:pPr>
          </w:p>
        </w:tc>
        <w:tc>
          <w:tcPr>
            <w:tcW w:w="851" w:type="dxa"/>
            <w:tcBorders>
              <w:top w:val="nil"/>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p>
        </w:tc>
        <w:tc>
          <w:tcPr>
            <w:tcW w:w="850" w:type="dxa"/>
            <w:tcBorders>
              <w:top w:val="nil"/>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p>
        </w:tc>
        <w:tc>
          <w:tcPr>
            <w:tcW w:w="993" w:type="dxa"/>
            <w:tcBorders>
              <w:top w:val="nil"/>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p>
        </w:tc>
        <w:tc>
          <w:tcPr>
            <w:tcW w:w="850" w:type="dxa"/>
            <w:tcBorders>
              <w:top w:val="nil"/>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p>
        </w:tc>
        <w:tc>
          <w:tcPr>
            <w:tcW w:w="851" w:type="dxa"/>
            <w:tcBorders>
              <w:top w:val="nil"/>
              <w:bottom w:val="nil"/>
              <w:right w:val="single" w:sz="16" w:space="0" w:color="000000"/>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p>
        </w:tc>
      </w:tr>
      <w:tr w:rsidR="00FD5242" w:rsidRPr="002C47E4" w:rsidTr="00BE74B6">
        <w:trPr>
          <w:cantSplit/>
          <w:tblHeader/>
        </w:trPr>
        <w:tc>
          <w:tcPr>
            <w:tcW w:w="935"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240" w:lineRule="auto"/>
              <w:rPr>
                <w:rFonts w:cs="Arial"/>
                <w:color w:val="000000"/>
                <w:sz w:val="20"/>
                <w:szCs w:val="20"/>
              </w:rPr>
            </w:pPr>
          </w:p>
        </w:tc>
        <w:tc>
          <w:tcPr>
            <w:tcW w:w="1333" w:type="dxa"/>
            <w:tcBorders>
              <w:top w:val="nil"/>
              <w:left w:val="nil"/>
              <w:right w:val="single" w:sz="16" w:space="0" w:color="000000"/>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rPr>
                <w:rFonts w:cs="Arial"/>
                <w:color w:val="000000"/>
                <w:sz w:val="20"/>
                <w:szCs w:val="20"/>
              </w:rPr>
            </w:pPr>
            <w:r w:rsidRPr="00CB53A5">
              <w:rPr>
                <w:rFonts w:cs="Arial"/>
                <w:color w:val="000000"/>
                <w:sz w:val="20"/>
                <w:szCs w:val="20"/>
              </w:rPr>
              <w:t>N</w:t>
            </w:r>
          </w:p>
        </w:tc>
        <w:tc>
          <w:tcPr>
            <w:tcW w:w="851" w:type="dxa"/>
            <w:tcBorders>
              <w:top w:val="nil"/>
              <w:left w:val="single" w:sz="16" w:space="0" w:color="000000"/>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41</w:t>
            </w:r>
          </w:p>
        </w:tc>
        <w:tc>
          <w:tcPr>
            <w:tcW w:w="850" w:type="dxa"/>
            <w:tcBorders>
              <w:top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p>
        </w:tc>
        <w:tc>
          <w:tcPr>
            <w:tcW w:w="851" w:type="dxa"/>
            <w:tcBorders>
              <w:top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p>
        </w:tc>
        <w:tc>
          <w:tcPr>
            <w:tcW w:w="850" w:type="dxa"/>
            <w:tcBorders>
              <w:top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p>
        </w:tc>
        <w:tc>
          <w:tcPr>
            <w:tcW w:w="993" w:type="dxa"/>
            <w:tcBorders>
              <w:top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p>
        </w:tc>
        <w:tc>
          <w:tcPr>
            <w:tcW w:w="850" w:type="dxa"/>
            <w:tcBorders>
              <w:top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p>
        </w:tc>
        <w:tc>
          <w:tcPr>
            <w:tcW w:w="851" w:type="dxa"/>
            <w:tcBorders>
              <w:top w:val="nil"/>
              <w:right w:val="single" w:sz="16" w:space="0" w:color="000000"/>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p>
        </w:tc>
      </w:tr>
      <w:tr w:rsidR="00FD5242" w:rsidRPr="002C47E4" w:rsidTr="00BE74B6">
        <w:trPr>
          <w:cantSplit/>
          <w:tblHeader/>
        </w:trPr>
        <w:tc>
          <w:tcPr>
            <w:tcW w:w="935" w:type="dxa"/>
            <w:vMerge w:val="restart"/>
            <w:tcBorders>
              <w:left w:val="single" w:sz="16" w:space="0" w:color="000000"/>
              <w:right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rPr>
                <w:rFonts w:cs="Arial"/>
                <w:color w:val="000000"/>
                <w:sz w:val="20"/>
                <w:szCs w:val="20"/>
              </w:rPr>
            </w:pPr>
            <w:r w:rsidRPr="00CB53A5">
              <w:rPr>
                <w:rFonts w:cs="Arial"/>
                <w:color w:val="000000"/>
                <w:sz w:val="20"/>
                <w:szCs w:val="20"/>
              </w:rPr>
              <w:t>CSV</w:t>
            </w:r>
          </w:p>
        </w:tc>
        <w:tc>
          <w:tcPr>
            <w:tcW w:w="1333" w:type="dxa"/>
            <w:tcBorders>
              <w:left w:val="nil"/>
              <w:bottom w:val="nil"/>
              <w:right w:val="single" w:sz="16" w:space="0" w:color="000000"/>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rPr>
                <w:rFonts w:cs="Arial"/>
                <w:color w:val="000000"/>
                <w:sz w:val="20"/>
                <w:szCs w:val="20"/>
                <w:lang w:val="en-US"/>
              </w:rPr>
            </w:pPr>
            <w:r w:rsidRPr="00CB53A5">
              <w:rPr>
                <w:rFonts w:cs="Arial"/>
                <w:color w:val="000000"/>
                <w:sz w:val="20"/>
                <w:szCs w:val="20"/>
              </w:rPr>
              <w:t>Pearson</w:t>
            </w:r>
          </w:p>
        </w:tc>
        <w:tc>
          <w:tcPr>
            <w:tcW w:w="851" w:type="dxa"/>
            <w:tcBorders>
              <w:left w:val="single" w:sz="16" w:space="0" w:color="000000"/>
              <w:bottom w:val="nil"/>
            </w:tcBorders>
            <w:shd w:val="clear" w:color="auto" w:fill="FFFFFF"/>
            <w:tcMar>
              <w:top w:w="30" w:type="dxa"/>
              <w:left w:w="30" w:type="dxa"/>
              <w:bottom w:w="30" w:type="dxa"/>
              <w:right w:w="30" w:type="dxa"/>
            </w:tcMar>
          </w:tcPr>
          <w:p w:rsidR="00FD5242" w:rsidRPr="00503441" w:rsidRDefault="00FD5242" w:rsidP="00386109">
            <w:pPr>
              <w:autoSpaceDE w:val="0"/>
              <w:autoSpaceDN w:val="0"/>
              <w:adjustRightInd w:val="0"/>
              <w:spacing w:after="0" w:line="320" w:lineRule="atLeast"/>
              <w:rPr>
                <w:rFonts w:cs="Arial"/>
                <w:color w:val="000000"/>
                <w:sz w:val="20"/>
                <w:szCs w:val="20"/>
                <w:lang w:val="en-US"/>
              </w:rPr>
            </w:pPr>
            <w:r w:rsidRPr="00CB53A5">
              <w:rPr>
                <w:rFonts w:cs="Arial"/>
                <w:color w:val="000000"/>
                <w:sz w:val="20"/>
                <w:szCs w:val="20"/>
              </w:rPr>
              <w:t>.</w:t>
            </w:r>
          </w:p>
        </w:tc>
        <w:tc>
          <w:tcPr>
            <w:tcW w:w="850" w:type="dxa"/>
            <w:tcBorders>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rPr>
                <w:rFonts w:cs="Arial"/>
                <w:color w:val="000000"/>
                <w:sz w:val="20"/>
                <w:szCs w:val="20"/>
              </w:rPr>
            </w:pPr>
          </w:p>
        </w:tc>
        <w:tc>
          <w:tcPr>
            <w:tcW w:w="851" w:type="dxa"/>
            <w:tcBorders>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rPr>
                <w:rFonts w:cs="Arial"/>
                <w:color w:val="000000"/>
                <w:sz w:val="20"/>
                <w:szCs w:val="20"/>
              </w:rPr>
            </w:pPr>
          </w:p>
        </w:tc>
        <w:tc>
          <w:tcPr>
            <w:tcW w:w="850" w:type="dxa"/>
            <w:tcBorders>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rPr>
                <w:rFonts w:cs="Arial"/>
                <w:color w:val="000000"/>
                <w:sz w:val="20"/>
                <w:szCs w:val="20"/>
              </w:rPr>
            </w:pPr>
          </w:p>
        </w:tc>
        <w:tc>
          <w:tcPr>
            <w:tcW w:w="993" w:type="dxa"/>
            <w:tcBorders>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rPr>
                <w:rFonts w:cs="Arial"/>
                <w:color w:val="000000"/>
                <w:sz w:val="20"/>
                <w:szCs w:val="20"/>
              </w:rPr>
            </w:pPr>
          </w:p>
        </w:tc>
        <w:tc>
          <w:tcPr>
            <w:tcW w:w="850" w:type="dxa"/>
            <w:tcBorders>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rPr>
                <w:rFonts w:cs="Arial"/>
                <w:color w:val="000000"/>
                <w:sz w:val="20"/>
                <w:szCs w:val="20"/>
              </w:rPr>
            </w:pPr>
          </w:p>
        </w:tc>
        <w:tc>
          <w:tcPr>
            <w:tcW w:w="851" w:type="dxa"/>
            <w:tcBorders>
              <w:bottom w:val="nil"/>
              <w:right w:val="single" w:sz="16" w:space="0" w:color="000000"/>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rPr>
                <w:rFonts w:cs="Arial"/>
                <w:color w:val="000000"/>
                <w:sz w:val="20"/>
                <w:szCs w:val="20"/>
              </w:rPr>
            </w:pPr>
          </w:p>
        </w:tc>
      </w:tr>
      <w:tr w:rsidR="00FD5242" w:rsidRPr="002C47E4" w:rsidTr="00BE74B6">
        <w:trPr>
          <w:cantSplit/>
          <w:tblHeader/>
        </w:trPr>
        <w:tc>
          <w:tcPr>
            <w:tcW w:w="935" w:type="dxa"/>
            <w:vMerge/>
            <w:tcBorders>
              <w:left w:val="single" w:sz="16" w:space="0" w:color="000000"/>
              <w:right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240" w:lineRule="auto"/>
              <w:rPr>
                <w:rFonts w:cs="Arial"/>
                <w:color w:val="000000"/>
                <w:sz w:val="20"/>
                <w:szCs w:val="20"/>
              </w:rPr>
            </w:pPr>
          </w:p>
        </w:tc>
        <w:tc>
          <w:tcPr>
            <w:tcW w:w="1333" w:type="dxa"/>
            <w:tcBorders>
              <w:top w:val="nil"/>
              <w:left w:val="nil"/>
              <w:bottom w:val="nil"/>
              <w:right w:val="single" w:sz="16" w:space="0" w:color="000000"/>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rPr>
                <w:rFonts w:cs="Arial"/>
                <w:color w:val="000000"/>
                <w:sz w:val="20"/>
                <w:szCs w:val="20"/>
              </w:rPr>
            </w:pPr>
            <w:r w:rsidRPr="00CB53A5">
              <w:rPr>
                <w:rFonts w:cs="Arial"/>
                <w:color w:val="000000"/>
                <w:sz w:val="20"/>
                <w:szCs w:val="20"/>
              </w:rPr>
              <w:t>Sig. (2-tailed)</w:t>
            </w:r>
          </w:p>
        </w:tc>
        <w:tc>
          <w:tcPr>
            <w:tcW w:w="851" w:type="dxa"/>
            <w:tcBorders>
              <w:top w:val="nil"/>
              <w:left w:val="single" w:sz="16" w:space="0" w:color="000000"/>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rPr>
                <w:rFonts w:cs="Arial"/>
                <w:color w:val="000000"/>
                <w:sz w:val="20"/>
                <w:szCs w:val="20"/>
              </w:rPr>
            </w:pPr>
            <w:r w:rsidRPr="00CB53A5">
              <w:rPr>
                <w:rFonts w:cs="Arial"/>
                <w:color w:val="000000"/>
                <w:sz w:val="20"/>
                <w:szCs w:val="20"/>
              </w:rPr>
              <w:t>.</w:t>
            </w:r>
          </w:p>
        </w:tc>
        <w:tc>
          <w:tcPr>
            <w:tcW w:w="850" w:type="dxa"/>
            <w:tcBorders>
              <w:top w:val="nil"/>
              <w:bottom w:val="nil"/>
            </w:tcBorders>
            <w:shd w:val="clear" w:color="auto" w:fill="FFFFFF"/>
            <w:tcMar>
              <w:top w:w="30" w:type="dxa"/>
              <w:left w:w="30" w:type="dxa"/>
              <w:bottom w:w="30" w:type="dxa"/>
              <w:right w:w="30" w:type="dxa"/>
            </w:tcMar>
            <w:vAlign w:val="center"/>
          </w:tcPr>
          <w:p w:rsidR="00FD5242" w:rsidRPr="00CB53A5" w:rsidRDefault="00FD5242" w:rsidP="00386109">
            <w:pPr>
              <w:autoSpaceDE w:val="0"/>
              <w:autoSpaceDN w:val="0"/>
              <w:adjustRightInd w:val="0"/>
              <w:spacing w:after="0" w:line="240" w:lineRule="auto"/>
              <w:jc w:val="center"/>
              <w:rPr>
                <w:sz w:val="20"/>
                <w:szCs w:val="20"/>
              </w:rPr>
            </w:pPr>
          </w:p>
        </w:tc>
        <w:tc>
          <w:tcPr>
            <w:tcW w:w="851" w:type="dxa"/>
            <w:tcBorders>
              <w:top w:val="nil"/>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rPr>
                <w:rFonts w:cs="Arial"/>
                <w:color w:val="000000"/>
                <w:sz w:val="20"/>
                <w:szCs w:val="20"/>
              </w:rPr>
            </w:pPr>
          </w:p>
        </w:tc>
        <w:tc>
          <w:tcPr>
            <w:tcW w:w="850" w:type="dxa"/>
            <w:tcBorders>
              <w:top w:val="nil"/>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rPr>
                <w:rFonts w:cs="Arial"/>
                <w:color w:val="000000"/>
                <w:sz w:val="20"/>
                <w:szCs w:val="20"/>
              </w:rPr>
            </w:pPr>
          </w:p>
        </w:tc>
        <w:tc>
          <w:tcPr>
            <w:tcW w:w="993" w:type="dxa"/>
            <w:tcBorders>
              <w:top w:val="nil"/>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rPr>
                <w:rFonts w:cs="Arial"/>
                <w:color w:val="000000"/>
                <w:sz w:val="20"/>
                <w:szCs w:val="20"/>
              </w:rPr>
            </w:pPr>
          </w:p>
        </w:tc>
        <w:tc>
          <w:tcPr>
            <w:tcW w:w="850" w:type="dxa"/>
            <w:tcBorders>
              <w:top w:val="nil"/>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rPr>
                <w:rFonts w:cs="Arial"/>
                <w:color w:val="000000"/>
                <w:sz w:val="20"/>
                <w:szCs w:val="20"/>
              </w:rPr>
            </w:pPr>
          </w:p>
        </w:tc>
        <w:tc>
          <w:tcPr>
            <w:tcW w:w="851" w:type="dxa"/>
            <w:tcBorders>
              <w:top w:val="nil"/>
              <w:bottom w:val="nil"/>
              <w:right w:val="single" w:sz="16" w:space="0" w:color="000000"/>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rPr>
                <w:rFonts w:cs="Arial"/>
                <w:color w:val="000000"/>
                <w:sz w:val="20"/>
                <w:szCs w:val="20"/>
              </w:rPr>
            </w:pPr>
          </w:p>
        </w:tc>
      </w:tr>
      <w:tr w:rsidR="00FD5242" w:rsidRPr="002C47E4" w:rsidTr="00BE74B6">
        <w:trPr>
          <w:cantSplit/>
          <w:tblHeader/>
        </w:trPr>
        <w:tc>
          <w:tcPr>
            <w:tcW w:w="935" w:type="dxa"/>
            <w:vMerge/>
            <w:tcBorders>
              <w:left w:val="single" w:sz="16" w:space="0" w:color="000000"/>
              <w:right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240" w:lineRule="auto"/>
              <w:rPr>
                <w:rFonts w:cs="Arial"/>
                <w:color w:val="000000"/>
                <w:sz w:val="20"/>
                <w:szCs w:val="20"/>
              </w:rPr>
            </w:pPr>
          </w:p>
        </w:tc>
        <w:tc>
          <w:tcPr>
            <w:tcW w:w="1333" w:type="dxa"/>
            <w:tcBorders>
              <w:top w:val="nil"/>
              <w:left w:val="nil"/>
              <w:right w:val="single" w:sz="16" w:space="0" w:color="000000"/>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rPr>
                <w:rFonts w:cs="Arial"/>
                <w:color w:val="000000"/>
                <w:sz w:val="20"/>
                <w:szCs w:val="20"/>
              </w:rPr>
            </w:pPr>
            <w:r w:rsidRPr="00CB53A5">
              <w:rPr>
                <w:rFonts w:cs="Arial"/>
                <w:color w:val="000000"/>
                <w:sz w:val="20"/>
                <w:szCs w:val="20"/>
              </w:rPr>
              <w:t>N</w:t>
            </w:r>
          </w:p>
        </w:tc>
        <w:tc>
          <w:tcPr>
            <w:tcW w:w="851" w:type="dxa"/>
            <w:tcBorders>
              <w:top w:val="nil"/>
              <w:left w:val="single" w:sz="16" w:space="0" w:color="000000"/>
            </w:tcBorders>
            <w:shd w:val="clear" w:color="auto" w:fill="FFFFFF"/>
            <w:tcMar>
              <w:top w:w="30" w:type="dxa"/>
              <w:left w:w="30" w:type="dxa"/>
              <w:bottom w:w="30" w:type="dxa"/>
              <w:right w:w="30" w:type="dxa"/>
            </w:tcMar>
          </w:tcPr>
          <w:p w:rsidR="00FD5242" w:rsidRPr="00503441" w:rsidRDefault="00FD5242" w:rsidP="00386109">
            <w:pPr>
              <w:autoSpaceDE w:val="0"/>
              <w:autoSpaceDN w:val="0"/>
              <w:adjustRightInd w:val="0"/>
              <w:spacing w:after="0" w:line="320" w:lineRule="atLeast"/>
              <w:jc w:val="right"/>
              <w:rPr>
                <w:rFonts w:cs="Arial"/>
                <w:color w:val="000000"/>
                <w:sz w:val="20"/>
                <w:szCs w:val="20"/>
                <w:lang w:val="en-US"/>
              </w:rPr>
            </w:pPr>
          </w:p>
        </w:tc>
        <w:tc>
          <w:tcPr>
            <w:tcW w:w="850" w:type="dxa"/>
            <w:tcBorders>
              <w:top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p>
        </w:tc>
        <w:tc>
          <w:tcPr>
            <w:tcW w:w="851" w:type="dxa"/>
            <w:tcBorders>
              <w:top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p>
        </w:tc>
        <w:tc>
          <w:tcPr>
            <w:tcW w:w="850" w:type="dxa"/>
            <w:tcBorders>
              <w:top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p>
        </w:tc>
        <w:tc>
          <w:tcPr>
            <w:tcW w:w="993" w:type="dxa"/>
            <w:tcBorders>
              <w:top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p>
        </w:tc>
        <w:tc>
          <w:tcPr>
            <w:tcW w:w="850" w:type="dxa"/>
            <w:tcBorders>
              <w:top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p>
        </w:tc>
        <w:tc>
          <w:tcPr>
            <w:tcW w:w="851" w:type="dxa"/>
            <w:tcBorders>
              <w:top w:val="nil"/>
              <w:right w:val="single" w:sz="16" w:space="0" w:color="000000"/>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p>
        </w:tc>
      </w:tr>
      <w:tr w:rsidR="00FD5242" w:rsidRPr="002C47E4" w:rsidTr="00BE74B6">
        <w:trPr>
          <w:cantSplit/>
          <w:tblHeader/>
        </w:trPr>
        <w:tc>
          <w:tcPr>
            <w:tcW w:w="935" w:type="dxa"/>
            <w:vMerge w:val="restart"/>
            <w:tcBorders>
              <w:left w:val="single" w:sz="16" w:space="0" w:color="000000"/>
              <w:right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rPr>
                <w:rFonts w:cs="Arial"/>
                <w:color w:val="000000"/>
                <w:sz w:val="20"/>
                <w:szCs w:val="20"/>
              </w:rPr>
            </w:pPr>
            <w:r w:rsidRPr="00CB53A5">
              <w:rPr>
                <w:rFonts w:cs="Arial"/>
                <w:color w:val="000000"/>
                <w:sz w:val="20"/>
                <w:szCs w:val="20"/>
              </w:rPr>
              <w:t>SIZE</w:t>
            </w:r>
          </w:p>
        </w:tc>
        <w:tc>
          <w:tcPr>
            <w:tcW w:w="1333" w:type="dxa"/>
            <w:tcBorders>
              <w:left w:val="nil"/>
              <w:bottom w:val="nil"/>
              <w:right w:val="single" w:sz="16" w:space="0" w:color="000000"/>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rPr>
                <w:rFonts w:cs="Arial"/>
                <w:color w:val="000000"/>
                <w:sz w:val="20"/>
                <w:szCs w:val="20"/>
                <w:lang w:val="en-US"/>
              </w:rPr>
            </w:pPr>
            <w:r w:rsidRPr="00CB53A5">
              <w:rPr>
                <w:rFonts w:cs="Arial"/>
                <w:color w:val="000000"/>
                <w:sz w:val="20"/>
                <w:szCs w:val="20"/>
              </w:rPr>
              <w:t>Pearson</w:t>
            </w:r>
          </w:p>
        </w:tc>
        <w:tc>
          <w:tcPr>
            <w:tcW w:w="851" w:type="dxa"/>
            <w:tcBorders>
              <w:left w:val="single" w:sz="16" w:space="0" w:color="000000"/>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,747</w:t>
            </w:r>
            <w:r w:rsidRPr="00CB53A5">
              <w:rPr>
                <w:rFonts w:cs="Arial"/>
                <w:color w:val="000000"/>
                <w:sz w:val="20"/>
                <w:szCs w:val="20"/>
                <w:vertAlign w:val="superscript"/>
              </w:rPr>
              <w:t>**</w:t>
            </w:r>
          </w:p>
        </w:tc>
        <w:tc>
          <w:tcPr>
            <w:tcW w:w="850" w:type="dxa"/>
            <w:tcBorders>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rPr>
                <w:rFonts w:cs="Arial"/>
                <w:color w:val="000000"/>
                <w:sz w:val="20"/>
                <w:szCs w:val="20"/>
              </w:rPr>
            </w:pPr>
          </w:p>
        </w:tc>
        <w:tc>
          <w:tcPr>
            <w:tcW w:w="851" w:type="dxa"/>
            <w:tcBorders>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1</w:t>
            </w:r>
          </w:p>
        </w:tc>
        <w:tc>
          <w:tcPr>
            <w:tcW w:w="850" w:type="dxa"/>
            <w:tcBorders>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p>
        </w:tc>
        <w:tc>
          <w:tcPr>
            <w:tcW w:w="993" w:type="dxa"/>
            <w:tcBorders>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p>
        </w:tc>
        <w:tc>
          <w:tcPr>
            <w:tcW w:w="850" w:type="dxa"/>
            <w:tcBorders>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p>
        </w:tc>
        <w:tc>
          <w:tcPr>
            <w:tcW w:w="851" w:type="dxa"/>
            <w:tcBorders>
              <w:bottom w:val="nil"/>
              <w:right w:val="single" w:sz="16" w:space="0" w:color="000000"/>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p>
        </w:tc>
      </w:tr>
      <w:tr w:rsidR="00FD5242" w:rsidRPr="002C47E4" w:rsidTr="00BE74B6">
        <w:trPr>
          <w:cantSplit/>
          <w:tblHeader/>
        </w:trPr>
        <w:tc>
          <w:tcPr>
            <w:tcW w:w="935" w:type="dxa"/>
            <w:vMerge/>
            <w:tcBorders>
              <w:left w:val="single" w:sz="16" w:space="0" w:color="000000"/>
              <w:right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240" w:lineRule="auto"/>
              <w:rPr>
                <w:rFonts w:cs="Arial"/>
                <w:color w:val="000000"/>
                <w:sz w:val="20"/>
                <w:szCs w:val="20"/>
              </w:rPr>
            </w:pPr>
          </w:p>
        </w:tc>
        <w:tc>
          <w:tcPr>
            <w:tcW w:w="1333" w:type="dxa"/>
            <w:tcBorders>
              <w:top w:val="nil"/>
              <w:left w:val="nil"/>
              <w:bottom w:val="nil"/>
              <w:right w:val="single" w:sz="16" w:space="0" w:color="000000"/>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rPr>
                <w:rFonts w:cs="Arial"/>
                <w:color w:val="000000"/>
                <w:sz w:val="20"/>
                <w:szCs w:val="20"/>
              </w:rPr>
            </w:pPr>
            <w:r w:rsidRPr="00CB53A5">
              <w:rPr>
                <w:rFonts w:cs="Arial"/>
                <w:color w:val="000000"/>
                <w:sz w:val="20"/>
                <w:szCs w:val="20"/>
              </w:rPr>
              <w:t>Sig. (2-tailed)</w:t>
            </w:r>
          </w:p>
        </w:tc>
        <w:tc>
          <w:tcPr>
            <w:tcW w:w="851" w:type="dxa"/>
            <w:tcBorders>
              <w:top w:val="nil"/>
              <w:left w:val="single" w:sz="16" w:space="0" w:color="000000"/>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,000</w:t>
            </w:r>
          </w:p>
        </w:tc>
        <w:tc>
          <w:tcPr>
            <w:tcW w:w="850" w:type="dxa"/>
            <w:tcBorders>
              <w:top w:val="nil"/>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rPr>
                <w:rFonts w:cs="Arial"/>
                <w:color w:val="000000"/>
                <w:sz w:val="20"/>
                <w:szCs w:val="20"/>
              </w:rPr>
            </w:pPr>
          </w:p>
        </w:tc>
        <w:tc>
          <w:tcPr>
            <w:tcW w:w="851" w:type="dxa"/>
            <w:tcBorders>
              <w:top w:val="nil"/>
              <w:bottom w:val="nil"/>
            </w:tcBorders>
            <w:shd w:val="clear" w:color="auto" w:fill="FFFFFF"/>
            <w:tcMar>
              <w:top w:w="30" w:type="dxa"/>
              <w:left w:w="30" w:type="dxa"/>
              <w:bottom w:w="30" w:type="dxa"/>
              <w:right w:w="30" w:type="dxa"/>
            </w:tcMar>
            <w:vAlign w:val="center"/>
          </w:tcPr>
          <w:p w:rsidR="00FD5242" w:rsidRPr="00CB53A5" w:rsidRDefault="00FD5242" w:rsidP="00386109">
            <w:pPr>
              <w:autoSpaceDE w:val="0"/>
              <w:autoSpaceDN w:val="0"/>
              <w:adjustRightInd w:val="0"/>
              <w:spacing w:after="0" w:line="240" w:lineRule="auto"/>
              <w:jc w:val="center"/>
              <w:rPr>
                <w:sz w:val="20"/>
                <w:szCs w:val="20"/>
              </w:rPr>
            </w:pPr>
          </w:p>
        </w:tc>
        <w:tc>
          <w:tcPr>
            <w:tcW w:w="850" w:type="dxa"/>
            <w:tcBorders>
              <w:top w:val="nil"/>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p>
        </w:tc>
        <w:tc>
          <w:tcPr>
            <w:tcW w:w="993" w:type="dxa"/>
            <w:tcBorders>
              <w:top w:val="nil"/>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p>
        </w:tc>
        <w:tc>
          <w:tcPr>
            <w:tcW w:w="850" w:type="dxa"/>
            <w:tcBorders>
              <w:top w:val="nil"/>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p>
        </w:tc>
        <w:tc>
          <w:tcPr>
            <w:tcW w:w="851" w:type="dxa"/>
            <w:tcBorders>
              <w:top w:val="nil"/>
              <w:bottom w:val="nil"/>
              <w:right w:val="single" w:sz="16" w:space="0" w:color="000000"/>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p>
        </w:tc>
      </w:tr>
      <w:tr w:rsidR="00FD5242" w:rsidRPr="002C47E4" w:rsidTr="00BE74B6">
        <w:trPr>
          <w:cantSplit/>
          <w:tblHeader/>
        </w:trPr>
        <w:tc>
          <w:tcPr>
            <w:tcW w:w="935" w:type="dxa"/>
            <w:vMerge/>
            <w:tcBorders>
              <w:left w:val="single" w:sz="16" w:space="0" w:color="000000"/>
              <w:right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240" w:lineRule="auto"/>
              <w:rPr>
                <w:rFonts w:cs="Arial"/>
                <w:color w:val="000000"/>
                <w:sz w:val="20"/>
                <w:szCs w:val="20"/>
              </w:rPr>
            </w:pPr>
          </w:p>
        </w:tc>
        <w:tc>
          <w:tcPr>
            <w:tcW w:w="1333" w:type="dxa"/>
            <w:tcBorders>
              <w:top w:val="nil"/>
              <w:left w:val="nil"/>
              <w:right w:val="single" w:sz="16" w:space="0" w:color="000000"/>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rPr>
                <w:rFonts w:cs="Arial"/>
                <w:color w:val="000000"/>
                <w:sz w:val="20"/>
                <w:szCs w:val="20"/>
              </w:rPr>
            </w:pPr>
            <w:r w:rsidRPr="00CB53A5">
              <w:rPr>
                <w:rFonts w:cs="Arial"/>
                <w:color w:val="000000"/>
                <w:sz w:val="20"/>
                <w:szCs w:val="20"/>
              </w:rPr>
              <w:t>N</w:t>
            </w:r>
          </w:p>
        </w:tc>
        <w:tc>
          <w:tcPr>
            <w:tcW w:w="851" w:type="dxa"/>
            <w:tcBorders>
              <w:top w:val="nil"/>
              <w:left w:val="single" w:sz="16" w:space="0" w:color="000000"/>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41</w:t>
            </w:r>
          </w:p>
        </w:tc>
        <w:tc>
          <w:tcPr>
            <w:tcW w:w="850" w:type="dxa"/>
            <w:tcBorders>
              <w:top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p>
        </w:tc>
        <w:tc>
          <w:tcPr>
            <w:tcW w:w="851" w:type="dxa"/>
            <w:tcBorders>
              <w:top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51</w:t>
            </w:r>
          </w:p>
        </w:tc>
        <w:tc>
          <w:tcPr>
            <w:tcW w:w="850" w:type="dxa"/>
            <w:tcBorders>
              <w:top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p>
        </w:tc>
        <w:tc>
          <w:tcPr>
            <w:tcW w:w="993" w:type="dxa"/>
            <w:tcBorders>
              <w:top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p>
        </w:tc>
        <w:tc>
          <w:tcPr>
            <w:tcW w:w="850" w:type="dxa"/>
            <w:tcBorders>
              <w:top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p>
        </w:tc>
        <w:tc>
          <w:tcPr>
            <w:tcW w:w="851" w:type="dxa"/>
            <w:tcBorders>
              <w:top w:val="nil"/>
              <w:right w:val="single" w:sz="16" w:space="0" w:color="000000"/>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p>
        </w:tc>
      </w:tr>
      <w:tr w:rsidR="00FD5242" w:rsidRPr="002C47E4" w:rsidTr="00BE74B6">
        <w:trPr>
          <w:cantSplit/>
          <w:tblHeader/>
        </w:trPr>
        <w:tc>
          <w:tcPr>
            <w:tcW w:w="935" w:type="dxa"/>
            <w:vMerge w:val="restart"/>
            <w:tcBorders>
              <w:left w:val="single" w:sz="16" w:space="0" w:color="000000"/>
              <w:right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rPr>
                <w:rFonts w:cs="Arial"/>
                <w:color w:val="000000"/>
                <w:sz w:val="20"/>
                <w:szCs w:val="20"/>
              </w:rPr>
            </w:pPr>
            <w:r w:rsidRPr="00CB53A5">
              <w:rPr>
                <w:rFonts w:cs="Arial"/>
                <w:color w:val="000000"/>
                <w:sz w:val="20"/>
                <w:szCs w:val="20"/>
              </w:rPr>
              <w:t>QR</w:t>
            </w:r>
          </w:p>
        </w:tc>
        <w:tc>
          <w:tcPr>
            <w:tcW w:w="1333" w:type="dxa"/>
            <w:tcBorders>
              <w:left w:val="nil"/>
              <w:bottom w:val="nil"/>
              <w:right w:val="single" w:sz="16" w:space="0" w:color="000000"/>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rPr>
                <w:rFonts w:cs="Arial"/>
                <w:color w:val="000000"/>
                <w:sz w:val="20"/>
                <w:szCs w:val="20"/>
                <w:lang w:val="en-US"/>
              </w:rPr>
            </w:pPr>
            <w:r w:rsidRPr="00CB53A5">
              <w:rPr>
                <w:rFonts w:cs="Arial"/>
                <w:color w:val="000000"/>
                <w:sz w:val="20"/>
                <w:szCs w:val="20"/>
              </w:rPr>
              <w:t xml:space="preserve">Pearson </w:t>
            </w:r>
          </w:p>
        </w:tc>
        <w:tc>
          <w:tcPr>
            <w:tcW w:w="851" w:type="dxa"/>
            <w:tcBorders>
              <w:left w:val="single" w:sz="16" w:space="0" w:color="000000"/>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-,232</w:t>
            </w:r>
          </w:p>
        </w:tc>
        <w:tc>
          <w:tcPr>
            <w:tcW w:w="850" w:type="dxa"/>
            <w:tcBorders>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rPr>
                <w:rFonts w:cs="Arial"/>
                <w:color w:val="000000"/>
                <w:sz w:val="20"/>
                <w:szCs w:val="20"/>
              </w:rPr>
            </w:pPr>
          </w:p>
        </w:tc>
        <w:tc>
          <w:tcPr>
            <w:tcW w:w="851" w:type="dxa"/>
            <w:tcBorders>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-,299</w:t>
            </w:r>
            <w:r w:rsidRPr="00CB53A5">
              <w:rPr>
                <w:rFonts w:cs="Arial"/>
                <w:color w:val="000000"/>
                <w:sz w:val="20"/>
                <w:szCs w:val="20"/>
                <w:vertAlign w:val="superscript"/>
              </w:rPr>
              <w:t>*</w:t>
            </w:r>
          </w:p>
        </w:tc>
        <w:tc>
          <w:tcPr>
            <w:tcW w:w="850" w:type="dxa"/>
            <w:tcBorders>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1</w:t>
            </w:r>
          </w:p>
        </w:tc>
        <w:tc>
          <w:tcPr>
            <w:tcW w:w="993" w:type="dxa"/>
            <w:tcBorders>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p>
        </w:tc>
        <w:tc>
          <w:tcPr>
            <w:tcW w:w="850" w:type="dxa"/>
            <w:tcBorders>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p>
        </w:tc>
        <w:tc>
          <w:tcPr>
            <w:tcW w:w="851" w:type="dxa"/>
            <w:tcBorders>
              <w:bottom w:val="nil"/>
              <w:right w:val="single" w:sz="16" w:space="0" w:color="000000"/>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p>
        </w:tc>
      </w:tr>
      <w:tr w:rsidR="00FD5242" w:rsidRPr="002C47E4" w:rsidTr="00BE74B6">
        <w:trPr>
          <w:cantSplit/>
          <w:tblHeader/>
        </w:trPr>
        <w:tc>
          <w:tcPr>
            <w:tcW w:w="935" w:type="dxa"/>
            <w:vMerge/>
            <w:tcBorders>
              <w:left w:val="single" w:sz="16" w:space="0" w:color="000000"/>
              <w:right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240" w:lineRule="auto"/>
              <w:rPr>
                <w:rFonts w:cs="Arial"/>
                <w:color w:val="000000"/>
                <w:sz w:val="20"/>
                <w:szCs w:val="20"/>
              </w:rPr>
            </w:pPr>
          </w:p>
        </w:tc>
        <w:tc>
          <w:tcPr>
            <w:tcW w:w="1333" w:type="dxa"/>
            <w:tcBorders>
              <w:top w:val="nil"/>
              <w:left w:val="nil"/>
              <w:bottom w:val="nil"/>
              <w:right w:val="single" w:sz="16" w:space="0" w:color="000000"/>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rPr>
                <w:rFonts w:cs="Arial"/>
                <w:color w:val="000000"/>
                <w:sz w:val="20"/>
                <w:szCs w:val="20"/>
              </w:rPr>
            </w:pPr>
            <w:r w:rsidRPr="00CB53A5">
              <w:rPr>
                <w:rFonts w:cs="Arial"/>
                <w:color w:val="000000"/>
                <w:sz w:val="20"/>
                <w:szCs w:val="20"/>
              </w:rPr>
              <w:t>Sig. (2-tailed)</w:t>
            </w:r>
          </w:p>
        </w:tc>
        <w:tc>
          <w:tcPr>
            <w:tcW w:w="851" w:type="dxa"/>
            <w:tcBorders>
              <w:top w:val="nil"/>
              <w:left w:val="single" w:sz="16" w:space="0" w:color="000000"/>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,144</w:t>
            </w:r>
          </w:p>
        </w:tc>
        <w:tc>
          <w:tcPr>
            <w:tcW w:w="850" w:type="dxa"/>
            <w:tcBorders>
              <w:top w:val="nil"/>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rPr>
                <w:rFonts w:cs="Arial"/>
                <w:color w:val="000000"/>
                <w:sz w:val="20"/>
                <w:szCs w:val="20"/>
              </w:rPr>
            </w:pPr>
          </w:p>
        </w:tc>
        <w:tc>
          <w:tcPr>
            <w:tcW w:w="851" w:type="dxa"/>
            <w:tcBorders>
              <w:top w:val="nil"/>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,033</w:t>
            </w:r>
          </w:p>
        </w:tc>
        <w:tc>
          <w:tcPr>
            <w:tcW w:w="850" w:type="dxa"/>
            <w:tcBorders>
              <w:top w:val="nil"/>
              <w:bottom w:val="nil"/>
            </w:tcBorders>
            <w:shd w:val="clear" w:color="auto" w:fill="FFFFFF"/>
            <w:tcMar>
              <w:top w:w="30" w:type="dxa"/>
              <w:left w:w="30" w:type="dxa"/>
              <w:bottom w:w="30" w:type="dxa"/>
              <w:right w:w="30" w:type="dxa"/>
            </w:tcMar>
            <w:vAlign w:val="center"/>
          </w:tcPr>
          <w:p w:rsidR="00FD5242" w:rsidRPr="00CB53A5" w:rsidRDefault="00FD5242" w:rsidP="00386109">
            <w:pPr>
              <w:autoSpaceDE w:val="0"/>
              <w:autoSpaceDN w:val="0"/>
              <w:adjustRightInd w:val="0"/>
              <w:spacing w:after="0" w:line="240" w:lineRule="auto"/>
              <w:jc w:val="center"/>
              <w:rPr>
                <w:sz w:val="20"/>
                <w:szCs w:val="20"/>
              </w:rPr>
            </w:pPr>
          </w:p>
        </w:tc>
        <w:tc>
          <w:tcPr>
            <w:tcW w:w="993" w:type="dxa"/>
            <w:tcBorders>
              <w:top w:val="nil"/>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p>
        </w:tc>
        <w:tc>
          <w:tcPr>
            <w:tcW w:w="850" w:type="dxa"/>
            <w:tcBorders>
              <w:top w:val="nil"/>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p>
        </w:tc>
        <w:tc>
          <w:tcPr>
            <w:tcW w:w="851" w:type="dxa"/>
            <w:tcBorders>
              <w:top w:val="nil"/>
              <w:bottom w:val="nil"/>
              <w:right w:val="single" w:sz="16" w:space="0" w:color="000000"/>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p>
        </w:tc>
      </w:tr>
      <w:tr w:rsidR="00FD5242" w:rsidRPr="002C47E4" w:rsidTr="00BE74B6">
        <w:trPr>
          <w:cantSplit/>
          <w:tblHeader/>
        </w:trPr>
        <w:tc>
          <w:tcPr>
            <w:tcW w:w="935" w:type="dxa"/>
            <w:vMerge/>
            <w:tcBorders>
              <w:left w:val="single" w:sz="16" w:space="0" w:color="000000"/>
              <w:right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240" w:lineRule="auto"/>
              <w:rPr>
                <w:rFonts w:cs="Arial"/>
                <w:color w:val="000000"/>
                <w:sz w:val="20"/>
                <w:szCs w:val="20"/>
              </w:rPr>
            </w:pPr>
          </w:p>
        </w:tc>
        <w:tc>
          <w:tcPr>
            <w:tcW w:w="1333" w:type="dxa"/>
            <w:tcBorders>
              <w:top w:val="nil"/>
              <w:left w:val="nil"/>
              <w:right w:val="single" w:sz="16" w:space="0" w:color="000000"/>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rPr>
                <w:rFonts w:cs="Arial"/>
                <w:color w:val="000000"/>
                <w:sz w:val="20"/>
                <w:szCs w:val="20"/>
              </w:rPr>
            </w:pPr>
            <w:r w:rsidRPr="00CB53A5">
              <w:rPr>
                <w:rFonts w:cs="Arial"/>
                <w:color w:val="000000"/>
                <w:sz w:val="20"/>
                <w:szCs w:val="20"/>
              </w:rPr>
              <w:t>N</w:t>
            </w:r>
          </w:p>
        </w:tc>
        <w:tc>
          <w:tcPr>
            <w:tcW w:w="851" w:type="dxa"/>
            <w:tcBorders>
              <w:top w:val="nil"/>
              <w:left w:val="single" w:sz="16" w:space="0" w:color="000000"/>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41</w:t>
            </w:r>
          </w:p>
        </w:tc>
        <w:tc>
          <w:tcPr>
            <w:tcW w:w="850" w:type="dxa"/>
            <w:tcBorders>
              <w:top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p>
        </w:tc>
        <w:tc>
          <w:tcPr>
            <w:tcW w:w="851" w:type="dxa"/>
            <w:tcBorders>
              <w:top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51</w:t>
            </w:r>
          </w:p>
        </w:tc>
        <w:tc>
          <w:tcPr>
            <w:tcW w:w="850" w:type="dxa"/>
            <w:tcBorders>
              <w:top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51</w:t>
            </w:r>
          </w:p>
        </w:tc>
        <w:tc>
          <w:tcPr>
            <w:tcW w:w="993" w:type="dxa"/>
            <w:tcBorders>
              <w:top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p>
        </w:tc>
        <w:tc>
          <w:tcPr>
            <w:tcW w:w="850" w:type="dxa"/>
            <w:tcBorders>
              <w:top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p>
        </w:tc>
        <w:tc>
          <w:tcPr>
            <w:tcW w:w="851" w:type="dxa"/>
            <w:tcBorders>
              <w:top w:val="nil"/>
              <w:right w:val="single" w:sz="16" w:space="0" w:color="000000"/>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p>
        </w:tc>
      </w:tr>
      <w:tr w:rsidR="00FD5242" w:rsidRPr="002C47E4" w:rsidTr="00BE74B6">
        <w:trPr>
          <w:cantSplit/>
          <w:tblHeader/>
        </w:trPr>
        <w:tc>
          <w:tcPr>
            <w:tcW w:w="935" w:type="dxa"/>
            <w:vMerge w:val="restart"/>
            <w:tcBorders>
              <w:left w:val="single" w:sz="16" w:space="0" w:color="000000"/>
              <w:right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rPr>
                <w:rFonts w:cs="Arial"/>
                <w:color w:val="000000"/>
                <w:sz w:val="20"/>
                <w:szCs w:val="20"/>
              </w:rPr>
            </w:pPr>
            <w:r w:rsidRPr="00CB53A5">
              <w:rPr>
                <w:rFonts w:cs="Arial"/>
                <w:color w:val="000000"/>
                <w:sz w:val="20"/>
                <w:szCs w:val="20"/>
              </w:rPr>
              <w:t>LEV</w:t>
            </w:r>
          </w:p>
        </w:tc>
        <w:tc>
          <w:tcPr>
            <w:tcW w:w="1333" w:type="dxa"/>
            <w:tcBorders>
              <w:left w:val="nil"/>
              <w:bottom w:val="nil"/>
              <w:right w:val="single" w:sz="16" w:space="0" w:color="000000"/>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rPr>
                <w:rFonts w:cs="Arial"/>
                <w:color w:val="000000"/>
                <w:sz w:val="20"/>
                <w:szCs w:val="20"/>
                <w:lang w:val="en-US"/>
              </w:rPr>
            </w:pPr>
            <w:r w:rsidRPr="00CB53A5">
              <w:rPr>
                <w:rFonts w:cs="Arial"/>
                <w:color w:val="000000"/>
                <w:sz w:val="20"/>
                <w:szCs w:val="20"/>
              </w:rPr>
              <w:t>Pearson</w:t>
            </w:r>
          </w:p>
        </w:tc>
        <w:tc>
          <w:tcPr>
            <w:tcW w:w="851" w:type="dxa"/>
            <w:tcBorders>
              <w:left w:val="single" w:sz="16" w:space="0" w:color="000000"/>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,096</w:t>
            </w:r>
          </w:p>
        </w:tc>
        <w:tc>
          <w:tcPr>
            <w:tcW w:w="850" w:type="dxa"/>
            <w:tcBorders>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rPr>
                <w:rFonts w:cs="Arial"/>
                <w:color w:val="000000"/>
                <w:sz w:val="20"/>
                <w:szCs w:val="20"/>
              </w:rPr>
            </w:pPr>
          </w:p>
        </w:tc>
        <w:tc>
          <w:tcPr>
            <w:tcW w:w="851" w:type="dxa"/>
            <w:tcBorders>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,076</w:t>
            </w:r>
          </w:p>
        </w:tc>
        <w:tc>
          <w:tcPr>
            <w:tcW w:w="850" w:type="dxa"/>
            <w:tcBorders>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-,225</w:t>
            </w:r>
          </w:p>
        </w:tc>
        <w:tc>
          <w:tcPr>
            <w:tcW w:w="993" w:type="dxa"/>
            <w:tcBorders>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1</w:t>
            </w:r>
          </w:p>
        </w:tc>
        <w:tc>
          <w:tcPr>
            <w:tcW w:w="850" w:type="dxa"/>
            <w:tcBorders>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p>
        </w:tc>
        <w:tc>
          <w:tcPr>
            <w:tcW w:w="851" w:type="dxa"/>
            <w:tcBorders>
              <w:bottom w:val="nil"/>
              <w:right w:val="single" w:sz="16" w:space="0" w:color="000000"/>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p>
        </w:tc>
      </w:tr>
      <w:tr w:rsidR="00FD5242" w:rsidRPr="002C47E4" w:rsidTr="00BE74B6">
        <w:trPr>
          <w:cantSplit/>
          <w:tblHeader/>
        </w:trPr>
        <w:tc>
          <w:tcPr>
            <w:tcW w:w="935" w:type="dxa"/>
            <w:vMerge/>
            <w:tcBorders>
              <w:left w:val="single" w:sz="16" w:space="0" w:color="000000"/>
              <w:right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240" w:lineRule="auto"/>
              <w:rPr>
                <w:rFonts w:cs="Arial"/>
                <w:color w:val="000000"/>
                <w:sz w:val="20"/>
                <w:szCs w:val="20"/>
              </w:rPr>
            </w:pPr>
          </w:p>
        </w:tc>
        <w:tc>
          <w:tcPr>
            <w:tcW w:w="1333" w:type="dxa"/>
            <w:tcBorders>
              <w:top w:val="nil"/>
              <w:left w:val="nil"/>
              <w:bottom w:val="nil"/>
              <w:right w:val="single" w:sz="16" w:space="0" w:color="000000"/>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rPr>
                <w:rFonts w:cs="Arial"/>
                <w:color w:val="000000"/>
                <w:sz w:val="20"/>
                <w:szCs w:val="20"/>
              </w:rPr>
            </w:pPr>
            <w:r w:rsidRPr="00CB53A5">
              <w:rPr>
                <w:rFonts w:cs="Arial"/>
                <w:color w:val="000000"/>
                <w:sz w:val="20"/>
                <w:szCs w:val="20"/>
              </w:rPr>
              <w:t>Sig. (2-tailed)</w:t>
            </w:r>
          </w:p>
        </w:tc>
        <w:tc>
          <w:tcPr>
            <w:tcW w:w="851" w:type="dxa"/>
            <w:tcBorders>
              <w:top w:val="nil"/>
              <w:left w:val="single" w:sz="16" w:space="0" w:color="000000"/>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,550</w:t>
            </w:r>
          </w:p>
        </w:tc>
        <w:tc>
          <w:tcPr>
            <w:tcW w:w="850" w:type="dxa"/>
            <w:tcBorders>
              <w:top w:val="nil"/>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rPr>
                <w:rFonts w:cs="Arial"/>
                <w:color w:val="000000"/>
                <w:sz w:val="20"/>
                <w:szCs w:val="20"/>
              </w:rPr>
            </w:pPr>
          </w:p>
        </w:tc>
        <w:tc>
          <w:tcPr>
            <w:tcW w:w="851" w:type="dxa"/>
            <w:tcBorders>
              <w:top w:val="nil"/>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,598</w:t>
            </w:r>
          </w:p>
        </w:tc>
        <w:tc>
          <w:tcPr>
            <w:tcW w:w="850" w:type="dxa"/>
            <w:tcBorders>
              <w:top w:val="nil"/>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,113</w:t>
            </w:r>
          </w:p>
        </w:tc>
        <w:tc>
          <w:tcPr>
            <w:tcW w:w="993" w:type="dxa"/>
            <w:tcBorders>
              <w:top w:val="nil"/>
              <w:bottom w:val="nil"/>
            </w:tcBorders>
            <w:shd w:val="clear" w:color="auto" w:fill="FFFFFF"/>
            <w:tcMar>
              <w:top w:w="30" w:type="dxa"/>
              <w:left w:w="30" w:type="dxa"/>
              <w:bottom w:w="30" w:type="dxa"/>
              <w:right w:w="30" w:type="dxa"/>
            </w:tcMar>
            <w:vAlign w:val="center"/>
          </w:tcPr>
          <w:p w:rsidR="00FD5242" w:rsidRPr="00CB53A5" w:rsidRDefault="00FD5242" w:rsidP="00386109">
            <w:pPr>
              <w:autoSpaceDE w:val="0"/>
              <w:autoSpaceDN w:val="0"/>
              <w:adjustRightInd w:val="0"/>
              <w:spacing w:after="0" w:line="240" w:lineRule="auto"/>
              <w:jc w:val="center"/>
              <w:rPr>
                <w:sz w:val="20"/>
                <w:szCs w:val="20"/>
              </w:rPr>
            </w:pPr>
          </w:p>
        </w:tc>
        <w:tc>
          <w:tcPr>
            <w:tcW w:w="850" w:type="dxa"/>
            <w:tcBorders>
              <w:top w:val="nil"/>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p>
        </w:tc>
        <w:tc>
          <w:tcPr>
            <w:tcW w:w="851" w:type="dxa"/>
            <w:tcBorders>
              <w:top w:val="nil"/>
              <w:bottom w:val="nil"/>
              <w:right w:val="single" w:sz="16" w:space="0" w:color="000000"/>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p>
        </w:tc>
      </w:tr>
      <w:tr w:rsidR="00FD5242" w:rsidRPr="002C47E4" w:rsidTr="00BE74B6">
        <w:trPr>
          <w:cantSplit/>
          <w:tblHeader/>
        </w:trPr>
        <w:tc>
          <w:tcPr>
            <w:tcW w:w="935" w:type="dxa"/>
            <w:vMerge/>
            <w:tcBorders>
              <w:left w:val="single" w:sz="16" w:space="0" w:color="000000"/>
              <w:right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240" w:lineRule="auto"/>
              <w:rPr>
                <w:rFonts w:cs="Arial"/>
                <w:color w:val="000000"/>
                <w:sz w:val="20"/>
                <w:szCs w:val="20"/>
              </w:rPr>
            </w:pPr>
          </w:p>
        </w:tc>
        <w:tc>
          <w:tcPr>
            <w:tcW w:w="1333" w:type="dxa"/>
            <w:tcBorders>
              <w:top w:val="nil"/>
              <w:left w:val="nil"/>
              <w:right w:val="single" w:sz="16" w:space="0" w:color="000000"/>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rPr>
                <w:rFonts w:cs="Arial"/>
                <w:color w:val="000000"/>
                <w:sz w:val="20"/>
                <w:szCs w:val="20"/>
              </w:rPr>
            </w:pPr>
            <w:r w:rsidRPr="00CB53A5">
              <w:rPr>
                <w:rFonts w:cs="Arial"/>
                <w:color w:val="000000"/>
                <w:sz w:val="20"/>
                <w:szCs w:val="20"/>
              </w:rPr>
              <w:t>N</w:t>
            </w:r>
          </w:p>
        </w:tc>
        <w:tc>
          <w:tcPr>
            <w:tcW w:w="851" w:type="dxa"/>
            <w:tcBorders>
              <w:top w:val="nil"/>
              <w:left w:val="single" w:sz="16" w:space="0" w:color="000000"/>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41</w:t>
            </w:r>
          </w:p>
        </w:tc>
        <w:tc>
          <w:tcPr>
            <w:tcW w:w="850" w:type="dxa"/>
            <w:tcBorders>
              <w:top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p>
        </w:tc>
        <w:tc>
          <w:tcPr>
            <w:tcW w:w="851" w:type="dxa"/>
            <w:tcBorders>
              <w:top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51</w:t>
            </w:r>
          </w:p>
        </w:tc>
        <w:tc>
          <w:tcPr>
            <w:tcW w:w="850" w:type="dxa"/>
            <w:tcBorders>
              <w:top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51</w:t>
            </w:r>
          </w:p>
        </w:tc>
        <w:tc>
          <w:tcPr>
            <w:tcW w:w="993" w:type="dxa"/>
            <w:tcBorders>
              <w:top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51</w:t>
            </w:r>
          </w:p>
        </w:tc>
        <w:tc>
          <w:tcPr>
            <w:tcW w:w="850" w:type="dxa"/>
            <w:tcBorders>
              <w:top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p>
        </w:tc>
        <w:tc>
          <w:tcPr>
            <w:tcW w:w="851" w:type="dxa"/>
            <w:tcBorders>
              <w:top w:val="nil"/>
              <w:right w:val="single" w:sz="16" w:space="0" w:color="000000"/>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p>
        </w:tc>
      </w:tr>
      <w:tr w:rsidR="00FD5242" w:rsidRPr="002C47E4" w:rsidTr="00BE74B6">
        <w:trPr>
          <w:cantSplit/>
          <w:tblHeader/>
        </w:trPr>
        <w:tc>
          <w:tcPr>
            <w:tcW w:w="935" w:type="dxa"/>
            <w:vMerge w:val="restart"/>
            <w:tcBorders>
              <w:left w:val="single" w:sz="16" w:space="0" w:color="000000"/>
              <w:right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rPr>
                <w:rFonts w:cs="Arial"/>
                <w:color w:val="000000"/>
                <w:sz w:val="20"/>
                <w:szCs w:val="20"/>
              </w:rPr>
            </w:pPr>
            <w:r>
              <w:rPr>
                <w:rFonts w:cs="Arial"/>
                <w:color w:val="000000"/>
                <w:sz w:val="20"/>
                <w:szCs w:val="20"/>
              </w:rPr>
              <w:t>I</w:t>
            </w:r>
            <w:r>
              <w:rPr>
                <w:rFonts w:cs="Arial"/>
                <w:color w:val="000000"/>
                <w:sz w:val="20"/>
                <w:szCs w:val="20"/>
                <w:lang w:val="en-US"/>
              </w:rPr>
              <w:t>N</w:t>
            </w:r>
            <w:r w:rsidRPr="00CB53A5">
              <w:rPr>
                <w:rFonts w:cs="Arial"/>
                <w:color w:val="000000"/>
                <w:sz w:val="20"/>
                <w:szCs w:val="20"/>
              </w:rPr>
              <w:t>VREC</w:t>
            </w:r>
          </w:p>
        </w:tc>
        <w:tc>
          <w:tcPr>
            <w:tcW w:w="1333" w:type="dxa"/>
            <w:tcBorders>
              <w:left w:val="nil"/>
              <w:bottom w:val="nil"/>
              <w:right w:val="single" w:sz="16" w:space="0" w:color="000000"/>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rPr>
                <w:rFonts w:cs="Arial"/>
                <w:color w:val="000000"/>
                <w:sz w:val="20"/>
                <w:szCs w:val="20"/>
                <w:lang w:val="en-US"/>
              </w:rPr>
            </w:pPr>
            <w:r w:rsidRPr="00CB53A5">
              <w:rPr>
                <w:rFonts w:cs="Arial"/>
                <w:color w:val="000000"/>
                <w:sz w:val="20"/>
                <w:szCs w:val="20"/>
              </w:rPr>
              <w:t>Pearson</w:t>
            </w:r>
          </w:p>
        </w:tc>
        <w:tc>
          <w:tcPr>
            <w:tcW w:w="851" w:type="dxa"/>
            <w:tcBorders>
              <w:left w:val="single" w:sz="16" w:space="0" w:color="000000"/>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,049</w:t>
            </w:r>
          </w:p>
        </w:tc>
        <w:tc>
          <w:tcPr>
            <w:tcW w:w="850" w:type="dxa"/>
            <w:tcBorders>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rPr>
                <w:rFonts w:cs="Arial"/>
                <w:color w:val="000000"/>
                <w:sz w:val="20"/>
                <w:szCs w:val="20"/>
              </w:rPr>
            </w:pPr>
          </w:p>
        </w:tc>
        <w:tc>
          <w:tcPr>
            <w:tcW w:w="851" w:type="dxa"/>
            <w:tcBorders>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-,215</w:t>
            </w:r>
          </w:p>
        </w:tc>
        <w:tc>
          <w:tcPr>
            <w:tcW w:w="850" w:type="dxa"/>
            <w:tcBorders>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-,005</w:t>
            </w:r>
          </w:p>
        </w:tc>
        <w:tc>
          <w:tcPr>
            <w:tcW w:w="993" w:type="dxa"/>
            <w:tcBorders>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-,003</w:t>
            </w:r>
          </w:p>
        </w:tc>
        <w:tc>
          <w:tcPr>
            <w:tcW w:w="850" w:type="dxa"/>
            <w:tcBorders>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1</w:t>
            </w:r>
          </w:p>
        </w:tc>
        <w:tc>
          <w:tcPr>
            <w:tcW w:w="851" w:type="dxa"/>
            <w:tcBorders>
              <w:bottom w:val="nil"/>
              <w:right w:val="single" w:sz="16" w:space="0" w:color="000000"/>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p>
        </w:tc>
      </w:tr>
      <w:tr w:rsidR="00FD5242" w:rsidRPr="002C47E4" w:rsidTr="00BE74B6">
        <w:trPr>
          <w:cantSplit/>
          <w:tblHeader/>
        </w:trPr>
        <w:tc>
          <w:tcPr>
            <w:tcW w:w="935" w:type="dxa"/>
            <w:vMerge/>
            <w:tcBorders>
              <w:left w:val="single" w:sz="16" w:space="0" w:color="000000"/>
              <w:right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240" w:lineRule="auto"/>
              <w:rPr>
                <w:rFonts w:cs="Arial"/>
                <w:color w:val="000000"/>
                <w:sz w:val="20"/>
                <w:szCs w:val="20"/>
              </w:rPr>
            </w:pPr>
          </w:p>
        </w:tc>
        <w:tc>
          <w:tcPr>
            <w:tcW w:w="1333" w:type="dxa"/>
            <w:tcBorders>
              <w:top w:val="nil"/>
              <w:left w:val="nil"/>
              <w:bottom w:val="nil"/>
              <w:right w:val="single" w:sz="16" w:space="0" w:color="000000"/>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rPr>
                <w:rFonts w:cs="Arial"/>
                <w:color w:val="000000"/>
                <w:sz w:val="20"/>
                <w:szCs w:val="20"/>
              </w:rPr>
            </w:pPr>
            <w:r w:rsidRPr="00CB53A5">
              <w:rPr>
                <w:rFonts w:cs="Arial"/>
                <w:color w:val="000000"/>
                <w:sz w:val="20"/>
                <w:szCs w:val="20"/>
              </w:rPr>
              <w:t>Sig. (2-tailed)</w:t>
            </w:r>
          </w:p>
        </w:tc>
        <w:tc>
          <w:tcPr>
            <w:tcW w:w="851" w:type="dxa"/>
            <w:tcBorders>
              <w:top w:val="nil"/>
              <w:left w:val="single" w:sz="16" w:space="0" w:color="000000"/>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,763</w:t>
            </w:r>
          </w:p>
        </w:tc>
        <w:tc>
          <w:tcPr>
            <w:tcW w:w="850" w:type="dxa"/>
            <w:tcBorders>
              <w:top w:val="nil"/>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rPr>
                <w:rFonts w:cs="Arial"/>
                <w:color w:val="000000"/>
                <w:sz w:val="20"/>
                <w:szCs w:val="20"/>
              </w:rPr>
            </w:pPr>
          </w:p>
        </w:tc>
        <w:tc>
          <w:tcPr>
            <w:tcW w:w="851" w:type="dxa"/>
            <w:tcBorders>
              <w:top w:val="nil"/>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,129</w:t>
            </w:r>
          </w:p>
        </w:tc>
        <w:tc>
          <w:tcPr>
            <w:tcW w:w="850" w:type="dxa"/>
            <w:tcBorders>
              <w:top w:val="nil"/>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,972</w:t>
            </w:r>
          </w:p>
        </w:tc>
        <w:tc>
          <w:tcPr>
            <w:tcW w:w="993" w:type="dxa"/>
            <w:tcBorders>
              <w:top w:val="nil"/>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,981</w:t>
            </w:r>
          </w:p>
        </w:tc>
        <w:tc>
          <w:tcPr>
            <w:tcW w:w="850" w:type="dxa"/>
            <w:tcBorders>
              <w:top w:val="nil"/>
              <w:bottom w:val="nil"/>
            </w:tcBorders>
            <w:shd w:val="clear" w:color="auto" w:fill="FFFFFF"/>
            <w:tcMar>
              <w:top w:w="30" w:type="dxa"/>
              <w:left w:w="30" w:type="dxa"/>
              <w:bottom w:w="30" w:type="dxa"/>
              <w:right w:w="30" w:type="dxa"/>
            </w:tcMar>
            <w:vAlign w:val="center"/>
          </w:tcPr>
          <w:p w:rsidR="00FD5242" w:rsidRPr="00CB53A5" w:rsidRDefault="00FD5242" w:rsidP="00386109">
            <w:pPr>
              <w:autoSpaceDE w:val="0"/>
              <w:autoSpaceDN w:val="0"/>
              <w:adjustRightInd w:val="0"/>
              <w:spacing w:after="0" w:line="240" w:lineRule="auto"/>
              <w:jc w:val="center"/>
              <w:rPr>
                <w:sz w:val="20"/>
                <w:szCs w:val="20"/>
              </w:rPr>
            </w:pPr>
          </w:p>
        </w:tc>
        <w:tc>
          <w:tcPr>
            <w:tcW w:w="851" w:type="dxa"/>
            <w:tcBorders>
              <w:top w:val="nil"/>
              <w:bottom w:val="nil"/>
              <w:right w:val="single" w:sz="16" w:space="0" w:color="000000"/>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p>
        </w:tc>
      </w:tr>
      <w:tr w:rsidR="00FD5242" w:rsidRPr="002C47E4" w:rsidTr="00BE74B6">
        <w:trPr>
          <w:cantSplit/>
          <w:tblHeader/>
        </w:trPr>
        <w:tc>
          <w:tcPr>
            <w:tcW w:w="935" w:type="dxa"/>
            <w:vMerge/>
            <w:tcBorders>
              <w:left w:val="single" w:sz="16" w:space="0" w:color="000000"/>
              <w:right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240" w:lineRule="auto"/>
              <w:rPr>
                <w:rFonts w:cs="Arial"/>
                <w:color w:val="000000"/>
                <w:sz w:val="20"/>
                <w:szCs w:val="20"/>
              </w:rPr>
            </w:pPr>
          </w:p>
        </w:tc>
        <w:tc>
          <w:tcPr>
            <w:tcW w:w="1333" w:type="dxa"/>
            <w:tcBorders>
              <w:top w:val="nil"/>
              <w:left w:val="nil"/>
              <w:right w:val="single" w:sz="16" w:space="0" w:color="000000"/>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rPr>
                <w:rFonts w:cs="Arial"/>
                <w:color w:val="000000"/>
                <w:sz w:val="20"/>
                <w:szCs w:val="20"/>
              </w:rPr>
            </w:pPr>
            <w:r w:rsidRPr="00CB53A5">
              <w:rPr>
                <w:rFonts w:cs="Arial"/>
                <w:color w:val="000000"/>
                <w:sz w:val="20"/>
                <w:szCs w:val="20"/>
              </w:rPr>
              <w:t>N</w:t>
            </w:r>
          </w:p>
        </w:tc>
        <w:tc>
          <w:tcPr>
            <w:tcW w:w="851" w:type="dxa"/>
            <w:tcBorders>
              <w:top w:val="nil"/>
              <w:left w:val="single" w:sz="16" w:space="0" w:color="000000"/>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41</w:t>
            </w:r>
          </w:p>
        </w:tc>
        <w:tc>
          <w:tcPr>
            <w:tcW w:w="850" w:type="dxa"/>
            <w:tcBorders>
              <w:top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p>
        </w:tc>
        <w:tc>
          <w:tcPr>
            <w:tcW w:w="851" w:type="dxa"/>
            <w:tcBorders>
              <w:top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51</w:t>
            </w:r>
          </w:p>
        </w:tc>
        <w:tc>
          <w:tcPr>
            <w:tcW w:w="850" w:type="dxa"/>
            <w:tcBorders>
              <w:top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51</w:t>
            </w:r>
          </w:p>
        </w:tc>
        <w:tc>
          <w:tcPr>
            <w:tcW w:w="993" w:type="dxa"/>
            <w:tcBorders>
              <w:top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51</w:t>
            </w:r>
          </w:p>
        </w:tc>
        <w:tc>
          <w:tcPr>
            <w:tcW w:w="850" w:type="dxa"/>
            <w:tcBorders>
              <w:top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51</w:t>
            </w:r>
          </w:p>
        </w:tc>
        <w:tc>
          <w:tcPr>
            <w:tcW w:w="851" w:type="dxa"/>
            <w:tcBorders>
              <w:top w:val="nil"/>
              <w:right w:val="single" w:sz="16" w:space="0" w:color="000000"/>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p>
        </w:tc>
      </w:tr>
      <w:tr w:rsidR="00FD5242" w:rsidRPr="002C47E4" w:rsidTr="00BE74B6">
        <w:trPr>
          <w:cantSplit/>
          <w:tblHeader/>
        </w:trPr>
        <w:tc>
          <w:tcPr>
            <w:tcW w:w="935" w:type="dxa"/>
            <w:vMerge w:val="restart"/>
            <w:tcBorders>
              <w:left w:val="single" w:sz="16" w:space="0" w:color="000000"/>
              <w:bottom w:val="single" w:sz="16" w:space="0" w:color="000000"/>
              <w:right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rPr>
                <w:rFonts w:cs="Arial"/>
                <w:color w:val="000000"/>
                <w:sz w:val="20"/>
                <w:szCs w:val="20"/>
              </w:rPr>
            </w:pPr>
            <w:r w:rsidRPr="00CB53A5">
              <w:rPr>
                <w:rFonts w:cs="Arial"/>
                <w:color w:val="000000"/>
                <w:sz w:val="20"/>
                <w:szCs w:val="20"/>
              </w:rPr>
              <w:t>ROI</w:t>
            </w:r>
          </w:p>
        </w:tc>
        <w:tc>
          <w:tcPr>
            <w:tcW w:w="1333" w:type="dxa"/>
            <w:tcBorders>
              <w:left w:val="nil"/>
              <w:bottom w:val="nil"/>
              <w:right w:val="single" w:sz="16" w:space="0" w:color="000000"/>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rPr>
                <w:rFonts w:cs="Arial"/>
                <w:color w:val="000000"/>
                <w:sz w:val="20"/>
                <w:szCs w:val="20"/>
                <w:lang w:val="en-US"/>
              </w:rPr>
            </w:pPr>
            <w:r w:rsidRPr="00CB53A5">
              <w:rPr>
                <w:rFonts w:cs="Arial"/>
                <w:color w:val="000000"/>
                <w:sz w:val="20"/>
                <w:szCs w:val="20"/>
              </w:rPr>
              <w:t>Pearson</w:t>
            </w:r>
          </w:p>
        </w:tc>
        <w:tc>
          <w:tcPr>
            <w:tcW w:w="851" w:type="dxa"/>
            <w:tcBorders>
              <w:left w:val="single" w:sz="16" w:space="0" w:color="000000"/>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,220</w:t>
            </w:r>
          </w:p>
        </w:tc>
        <w:tc>
          <w:tcPr>
            <w:tcW w:w="850" w:type="dxa"/>
            <w:tcBorders>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rPr>
                <w:rFonts w:cs="Arial"/>
                <w:color w:val="000000"/>
                <w:sz w:val="20"/>
                <w:szCs w:val="20"/>
              </w:rPr>
            </w:pPr>
          </w:p>
        </w:tc>
        <w:tc>
          <w:tcPr>
            <w:tcW w:w="851" w:type="dxa"/>
            <w:tcBorders>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,078</w:t>
            </w:r>
          </w:p>
        </w:tc>
        <w:tc>
          <w:tcPr>
            <w:tcW w:w="850" w:type="dxa"/>
            <w:tcBorders>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,005</w:t>
            </w:r>
          </w:p>
        </w:tc>
        <w:tc>
          <w:tcPr>
            <w:tcW w:w="993" w:type="dxa"/>
            <w:tcBorders>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-,047</w:t>
            </w:r>
          </w:p>
        </w:tc>
        <w:tc>
          <w:tcPr>
            <w:tcW w:w="850" w:type="dxa"/>
            <w:tcBorders>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,272</w:t>
            </w:r>
          </w:p>
        </w:tc>
        <w:tc>
          <w:tcPr>
            <w:tcW w:w="851" w:type="dxa"/>
            <w:tcBorders>
              <w:bottom w:val="nil"/>
              <w:right w:val="single" w:sz="16" w:space="0" w:color="000000"/>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1</w:t>
            </w:r>
          </w:p>
        </w:tc>
      </w:tr>
      <w:tr w:rsidR="00FD5242" w:rsidRPr="002C47E4" w:rsidTr="00BE74B6">
        <w:trPr>
          <w:cantSplit/>
          <w:tblHeader/>
        </w:trPr>
        <w:tc>
          <w:tcPr>
            <w:tcW w:w="935" w:type="dxa"/>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240" w:lineRule="auto"/>
              <w:rPr>
                <w:rFonts w:cs="Arial"/>
                <w:color w:val="000000"/>
                <w:sz w:val="20"/>
                <w:szCs w:val="20"/>
              </w:rPr>
            </w:pPr>
          </w:p>
        </w:tc>
        <w:tc>
          <w:tcPr>
            <w:tcW w:w="1333" w:type="dxa"/>
            <w:tcBorders>
              <w:top w:val="nil"/>
              <w:left w:val="nil"/>
              <w:bottom w:val="nil"/>
              <w:right w:val="single" w:sz="16" w:space="0" w:color="000000"/>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rPr>
                <w:rFonts w:cs="Arial"/>
                <w:color w:val="000000"/>
                <w:sz w:val="20"/>
                <w:szCs w:val="20"/>
              </w:rPr>
            </w:pPr>
            <w:r w:rsidRPr="00CB53A5">
              <w:rPr>
                <w:rFonts w:cs="Arial"/>
                <w:color w:val="000000"/>
                <w:sz w:val="20"/>
                <w:szCs w:val="20"/>
              </w:rPr>
              <w:t>Sig. (2-tailed)</w:t>
            </w:r>
          </w:p>
        </w:tc>
        <w:tc>
          <w:tcPr>
            <w:tcW w:w="851" w:type="dxa"/>
            <w:tcBorders>
              <w:top w:val="nil"/>
              <w:left w:val="single" w:sz="16" w:space="0" w:color="000000"/>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,179</w:t>
            </w:r>
          </w:p>
        </w:tc>
        <w:tc>
          <w:tcPr>
            <w:tcW w:w="850" w:type="dxa"/>
            <w:tcBorders>
              <w:top w:val="nil"/>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rPr>
                <w:rFonts w:cs="Arial"/>
                <w:color w:val="000000"/>
                <w:sz w:val="20"/>
                <w:szCs w:val="20"/>
              </w:rPr>
            </w:pPr>
          </w:p>
        </w:tc>
        <w:tc>
          <w:tcPr>
            <w:tcW w:w="851" w:type="dxa"/>
            <w:tcBorders>
              <w:top w:val="nil"/>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,594</w:t>
            </w:r>
          </w:p>
        </w:tc>
        <w:tc>
          <w:tcPr>
            <w:tcW w:w="850" w:type="dxa"/>
            <w:tcBorders>
              <w:top w:val="nil"/>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,975</w:t>
            </w:r>
          </w:p>
        </w:tc>
        <w:tc>
          <w:tcPr>
            <w:tcW w:w="993" w:type="dxa"/>
            <w:tcBorders>
              <w:top w:val="nil"/>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,749</w:t>
            </w:r>
          </w:p>
        </w:tc>
        <w:tc>
          <w:tcPr>
            <w:tcW w:w="850" w:type="dxa"/>
            <w:tcBorders>
              <w:top w:val="nil"/>
              <w:bottom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,058</w:t>
            </w:r>
          </w:p>
        </w:tc>
        <w:tc>
          <w:tcPr>
            <w:tcW w:w="851" w:type="dxa"/>
            <w:tcBorders>
              <w:top w:val="nil"/>
              <w:bottom w:val="nil"/>
              <w:right w:val="single" w:sz="16" w:space="0" w:color="000000"/>
            </w:tcBorders>
            <w:shd w:val="clear" w:color="auto" w:fill="FFFFFF"/>
            <w:tcMar>
              <w:top w:w="30" w:type="dxa"/>
              <w:left w:w="30" w:type="dxa"/>
              <w:bottom w:w="30" w:type="dxa"/>
              <w:right w:w="30" w:type="dxa"/>
            </w:tcMar>
            <w:vAlign w:val="center"/>
          </w:tcPr>
          <w:p w:rsidR="00FD5242" w:rsidRPr="00CB53A5" w:rsidRDefault="00FD5242" w:rsidP="00386109">
            <w:pPr>
              <w:autoSpaceDE w:val="0"/>
              <w:autoSpaceDN w:val="0"/>
              <w:adjustRightInd w:val="0"/>
              <w:spacing w:after="0" w:line="240" w:lineRule="auto"/>
              <w:jc w:val="center"/>
              <w:rPr>
                <w:sz w:val="20"/>
                <w:szCs w:val="20"/>
              </w:rPr>
            </w:pPr>
          </w:p>
        </w:tc>
      </w:tr>
      <w:tr w:rsidR="00FD5242" w:rsidRPr="002C47E4" w:rsidTr="00BE74B6">
        <w:trPr>
          <w:cantSplit/>
          <w:tblHeader/>
        </w:trPr>
        <w:tc>
          <w:tcPr>
            <w:tcW w:w="935" w:type="dxa"/>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240" w:lineRule="auto"/>
              <w:rPr>
                <w:sz w:val="20"/>
                <w:szCs w:val="20"/>
              </w:rPr>
            </w:pPr>
          </w:p>
        </w:tc>
        <w:tc>
          <w:tcPr>
            <w:tcW w:w="1333"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rPr>
                <w:rFonts w:cs="Arial"/>
                <w:color w:val="000000"/>
                <w:sz w:val="20"/>
                <w:szCs w:val="20"/>
              </w:rPr>
            </w:pPr>
            <w:r w:rsidRPr="00CB53A5">
              <w:rPr>
                <w:rFonts w:cs="Arial"/>
                <w:color w:val="000000"/>
                <w:sz w:val="20"/>
                <w:szCs w:val="20"/>
              </w:rPr>
              <w:t>N</w:t>
            </w:r>
          </w:p>
        </w:tc>
        <w:tc>
          <w:tcPr>
            <w:tcW w:w="851"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39</w:t>
            </w:r>
          </w:p>
        </w:tc>
        <w:tc>
          <w:tcPr>
            <w:tcW w:w="850" w:type="dxa"/>
            <w:tcBorders>
              <w:top w:val="nil"/>
              <w:bottom w:val="single" w:sz="16" w:space="0" w:color="000000"/>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p>
        </w:tc>
        <w:tc>
          <w:tcPr>
            <w:tcW w:w="851" w:type="dxa"/>
            <w:tcBorders>
              <w:top w:val="nil"/>
              <w:bottom w:val="single" w:sz="16" w:space="0" w:color="000000"/>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49</w:t>
            </w:r>
          </w:p>
        </w:tc>
        <w:tc>
          <w:tcPr>
            <w:tcW w:w="850" w:type="dxa"/>
            <w:tcBorders>
              <w:top w:val="nil"/>
              <w:bottom w:val="single" w:sz="16" w:space="0" w:color="000000"/>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49</w:t>
            </w:r>
          </w:p>
        </w:tc>
        <w:tc>
          <w:tcPr>
            <w:tcW w:w="993" w:type="dxa"/>
            <w:tcBorders>
              <w:top w:val="nil"/>
              <w:bottom w:val="single" w:sz="16" w:space="0" w:color="000000"/>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49</w:t>
            </w:r>
          </w:p>
        </w:tc>
        <w:tc>
          <w:tcPr>
            <w:tcW w:w="850" w:type="dxa"/>
            <w:tcBorders>
              <w:top w:val="nil"/>
              <w:bottom w:val="single" w:sz="16" w:space="0" w:color="000000"/>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49</w:t>
            </w:r>
          </w:p>
        </w:tc>
        <w:tc>
          <w:tcPr>
            <w:tcW w:w="851"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FD5242" w:rsidRPr="00CB53A5" w:rsidRDefault="00FD5242" w:rsidP="00386109">
            <w:pPr>
              <w:autoSpaceDE w:val="0"/>
              <w:autoSpaceDN w:val="0"/>
              <w:adjustRightInd w:val="0"/>
              <w:spacing w:after="0" w:line="320" w:lineRule="atLeast"/>
              <w:jc w:val="right"/>
              <w:rPr>
                <w:rFonts w:cs="Arial"/>
                <w:color w:val="000000"/>
                <w:sz w:val="20"/>
                <w:szCs w:val="20"/>
              </w:rPr>
            </w:pPr>
            <w:r w:rsidRPr="00CB53A5">
              <w:rPr>
                <w:rFonts w:cs="Arial"/>
                <w:color w:val="000000"/>
                <w:sz w:val="20"/>
                <w:szCs w:val="20"/>
              </w:rPr>
              <w:t>49</w:t>
            </w:r>
          </w:p>
        </w:tc>
      </w:tr>
      <w:tr w:rsidR="00FD5242" w:rsidRPr="009E2EF6" w:rsidTr="00BE74B6">
        <w:trPr>
          <w:cantSplit/>
          <w:tblHeader/>
        </w:trPr>
        <w:tc>
          <w:tcPr>
            <w:tcW w:w="8364" w:type="dxa"/>
            <w:gridSpan w:val="9"/>
            <w:tcBorders>
              <w:top w:val="nil"/>
              <w:left w:val="nil"/>
              <w:bottom w:val="nil"/>
              <w:right w:val="nil"/>
            </w:tcBorders>
            <w:shd w:val="clear" w:color="auto" w:fill="FFFFFF"/>
            <w:tcMar>
              <w:top w:w="30" w:type="dxa"/>
              <w:left w:w="30" w:type="dxa"/>
              <w:bottom w:w="30" w:type="dxa"/>
              <w:right w:w="30" w:type="dxa"/>
            </w:tcMar>
          </w:tcPr>
          <w:p w:rsidR="00FD5242" w:rsidRPr="00CB53A5" w:rsidRDefault="00FD5242" w:rsidP="009531C7">
            <w:pPr>
              <w:autoSpaceDE w:val="0"/>
              <w:autoSpaceDN w:val="0"/>
              <w:adjustRightInd w:val="0"/>
              <w:spacing w:after="0"/>
              <w:rPr>
                <w:rFonts w:cs="Arial"/>
                <w:color w:val="000000"/>
                <w:sz w:val="20"/>
                <w:szCs w:val="20"/>
                <w:lang w:val="en-US"/>
              </w:rPr>
            </w:pPr>
            <w:r w:rsidRPr="00CB53A5">
              <w:rPr>
                <w:rFonts w:cs="Arial"/>
                <w:color w:val="000000"/>
                <w:sz w:val="20"/>
                <w:szCs w:val="20"/>
                <w:lang w:val="en-US"/>
              </w:rPr>
              <w:t xml:space="preserve">a. </w:t>
            </w:r>
            <w:r>
              <w:rPr>
                <w:rFonts w:cs="Arial"/>
                <w:color w:val="000000"/>
                <w:sz w:val="20"/>
                <w:szCs w:val="20"/>
                <w:lang w:val="en-US"/>
              </w:rPr>
              <w:t>Be</w:t>
            </w:r>
            <w:r w:rsidRPr="00CB53A5">
              <w:rPr>
                <w:rFonts w:cs="Arial"/>
                <w:color w:val="000000"/>
                <w:sz w:val="20"/>
                <w:szCs w:val="20"/>
                <w:lang w:val="en-US"/>
              </w:rPr>
              <w:t xml:space="preserve">cause at least </w:t>
            </w:r>
            <w:r>
              <w:rPr>
                <w:rFonts w:cs="Arial"/>
                <w:color w:val="000000"/>
                <w:sz w:val="20"/>
                <w:szCs w:val="20"/>
                <w:lang w:val="en-US"/>
              </w:rPr>
              <w:t>one of the variables is constant, this cannot be computed</w:t>
            </w:r>
            <w:r w:rsidRPr="00CB53A5">
              <w:rPr>
                <w:rFonts w:cs="Arial"/>
                <w:color w:val="000000"/>
                <w:sz w:val="20"/>
                <w:szCs w:val="20"/>
                <w:lang w:val="en-US"/>
              </w:rPr>
              <w:t>.</w:t>
            </w:r>
          </w:p>
        </w:tc>
      </w:tr>
      <w:tr w:rsidR="00FD5242" w:rsidRPr="009E2EF6" w:rsidTr="00BE74B6">
        <w:trPr>
          <w:cantSplit/>
          <w:tblHeader/>
        </w:trPr>
        <w:tc>
          <w:tcPr>
            <w:tcW w:w="8364" w:type="dxa"/>
            <w:gridSpan w:val="9"/>
            <w:tcBorders>
              <w:top w:val="nil"/>
              <w:left w:val="nil"/>
              <w:bottom w:val="nil"/>
              <w:right w:val="nil"/>
            </w:tcBorders>
            <w:shd w:val="clear" w:color="auto" w:fill="FFFFFF"/>
            <w:tcMar>
              <w:top w:w="30" w:type="dxa"/>
              <w:left w:w="30" w:type="dxa"/>
              <w:bottom w:w="30" w:type="dxa"/>
              <w:right w:w="30" w:type="dxa"/>
            </w:tcMar>
          </w:tcPr>
          <w:p w:rsidR="00FD5242" w:rsidRPr="00CB53A5" w:rsidRDefault="00FD5242" w:rsidP="00205100">
            <w:pPr>
              <w:autoSpaceDE w:val="0"/>
              <w:autoSpaceDN w:val="0"/>
              <w:adjustRightInd w:val="0"/>
              <w:spacing w:after="0"/>
              <w:rPr>
                <w:rFonts w:cs="Arial"/>
                <w:color w:val="000000"/>
                <w:sz w:val="20"/>
                <w:szCs w:val="20"/>
                <w:lang w:val="en-US"/>
              </w:rPr>
            </w:pPr>
            <w:r w:rsidRPr="00CB53A5">
              <w:rPr>
                <w:rFonts w:cs="Arial"/>
                <w:color w:val="000000"/>
                <w:sz w:val="20"/>
                <w:szCs w:val="20"/>
                <w:lang w:val="en-US"/>
              </w:rPr>
              <w:t>**. Correlation is significant at the 0.01 level (2-tailed).</w:t>
            </w:r>
          </w:p>
        </w:tc>
      </w:tr>
      <w:tr w:rsidR="00FD5242" w:rsidRPr="009E2EF6" w:rsidTr="00BE74B6">
        <w:trPr>
          <w:cantSplit/>
        </w:trPr>
        <w:tc>
          <w:tcPr>
            <w:tcW w:w="8364" w:type="dxa"/>
            <w:gridSpan w:val="9"/>
            <w:tcBorders>
              <w:top w:val="nil"/>
              <w:left w:val="nil"/>
              <w:bottom w:val="nil"/>
              <w:right w:val="nil"/>
            </w:tcBorders>
            <w:shd w:val="clear" w:color="auto" w:fill="FFFFFF"/>
            <w:tcMar>
              <w:top w:w="30" w:type="dxa"/>
              <w:left w:w="30" w:type="dxa"/>
              <w:bottom w:w="30" w:type="dxa"/>
              <w:right w:w="30" w:type="dxa"/>
            </w:tcMar>
          </w:tcPr>
          <w:p w:rsidR="00FD5242" w:rsidRDefault="00FD5242" w:rsidP="00205100">
            <w:pPr>
              <w:autoSpaceDE w:val="0"/>
              <w:autoSpaceDN w:val="0"/>
              <w:adjustRightInd w:val="0"/>
              <w:spacing w:after="0"/>
              <w:rPr>
                <w:rFonts w:cs="Arial"/>
                <w:color w:val="000000"/>
                <w:sz w:val="20"/>
                <w:szCs w:val="20"/>
                <w:lang w:val="en-US"/>
              </w:rPr>
            </w:pPr>
            <w:r w:rsidRPr="00CB53A5">
              <w:rPr>
                <w:rFonts w:cs="Arial"/>
                <w:color w:val="000000"/>
                <w:sz w:val="20"/>
                <w:szCs w:val="20"/>
                <w:lang w:val="en-US"/>
              </w:rPr>
              <w:t>*. Correlation is significant at the 0.05 level (2-tailed).</w:t>
            </w:r>
          </w:p>
          <w:p w:rsidR="00FD5242" w:rsidRPr="00CB53A5" w:rsidRDefault="00FD5242" w:rsidP="00205100">
            <w:pPr>
              <w:autoSpaceDE w:val="0"/>
              <w:autoSpaceDN w:val="0"/>
              <w:adjustRightInd w:val="0"/>
              <w:spacing w:after="0"/>
              <w:rPr>
                <w:rFonts w:cs="Arial"/>
                <w:color w:val="000000"/>
                <w:sz w:val="20"/>
                <w:szCs w:val="20"/>
                <w:lang w:val="en-US"/>
              </w:rPr>
            </w:pPr>
          </w:p>
        </w:tc>
      </w:tr>
    </w:tbl>
    <w:p w:rsidR="00FD5242" w:rsidRDefault="00FD5242" w:rsidP="00205100">
      <w:pPr>
        <w:spacing w:line="360" w:lineRule="auto"/>
        <w:jc w:val="both"/>
        <w:rPr>
          <w:color w:val="000000"/>
          <w:lang w:val="en-US"/>
        </w:rPr>
      </w:pPr>
      <w:r w:rsidRPr="00205100">
        <w:rPr>
          <w:color w:val="000000"/>
          <w:lang w:val="en-US"/>
        </w:rPr>
        <w:t xml:space="preserve">    </w:t>
      </w:r>
      <w:r>
        <w:rPr>
          <w:color w:val="000000"/>
          <w:lang w:val="en-US"/>
        </w:rPr>
        <w:t>Overall, t</w:t>
      </w:r>
      <w:r w:rsidRPr="00205100">
        <w:rPr>
          <w:color w:val="000000"/>
          <w:lang w:val="en-US"/>
        </w:rPr>
        <w:t xml:space="preserve">he table </w:t>
      </w:r>
      <w:r>
        <w:rPr>
          <w:color w:val="000000"/>
          <w:lang w:val="en-US"/>
        </w:rPr>
        <w:t xml:space="preserve">provides evidence of insignificant correlation between the examined variables. A strong positive correlation exists as expected, between the dependent variable LAF and the independent variable SIZE, valued at +0,747 and significant to the 0.01 significance level (2-tailed). This is consistent with the findings of prior research, which has shown that the size of the firm is the most important determinant of the amount of the audit fees </w:t>
      </w:r>
      <w:r>
        <w:rPr>
          <w:rFonts w:cs="Arial"/>
          <w:color w:val="000000"/>
          <w:lang w:val="en-US"/>
        </w:rPr>
        <w:t xml:space="preserve">(Simunic; 1980, </w:t>
      </w:r>
      <w:r>
        <w:rPr>
          <w:lang w:val="en-US"/>
        </w:rPr>
        <w:t>Hay, Knechel &amp; Wong; 2006, Cobbin; 2002, Owusu-Ansah, Leventis &amp; Caramanis; 2010)</w:t>
      </w:r>
      <w:r>
        <w:rPr>
          <w:color w:val="000000"/>
          <w:lang w:val="en-US"/>
        </w:rPr>
        <w:t xml:space="preserve">. </w:t>
      </w:r>
    </w:p>
    <w:p w:rsidR="00FD5242" w:rsidRDefault="00FD5242" w:rsidP="00205100">
      <w:pPr>
        <w:spacing w:line="360" w:lineRule="auto"/>
        <w:jc w:val="both"/>
        <w:rPr>
          <w:color w:val="000000"/>
          <w:lang w:val="en-US"/>
        </w:rPr>
      </w:pPr>
      <w:r>
        <w:rPr>
          <w:color w:val="000000"/>
          <w:lang w:val="en-US"/>
        </w:rPr>
        <w:t>The second strong correlation found is a negative one, between two independent variables, the QR (Quick Ratio) variable and the SIZE variable, amounted to -0,299, which is significant in the 0.01 01 significance level (2-tailed). No other significant correlation between the variables was discovered.</w:t>
      </w:r>
    </w:p>
    <w:p w:rsidR="00FD5242" w:rsidRPr="00205100" w:rsidRDefault="00FD5242" w:rsidP="00205100">
      <w:pPr>
        <w:spacing w:line="360" w:lineRule="auto"/>
        <w:jc w:val="both"/>
        <w:rPr>
          <w:color w:val="000000"/>
          <w:lang w:val="en-US"/>
        </w:rPr>
      </w:pPr>
      <w:r>
        <w:rPr>
          <w:color w:val="000000"/>
          <w:lang w:val="en-US"/>
        </w:rPr>
        <w:t xml:space="preserve">    According to these findings, there is no strong correlation between the variables of the model, consequently its explanatory power is considered as adequate in providing scientific evidence. Similar results correspond to the Pearson correlation test conducted for the year 2009.</w:t>
      </w:r>
    </w:p>
    <w:tbl>
      <w:tblPr>
        <w:tblW w:w="8505"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935"/>
        <w:gridCol w:w="1192"/>
        <w:gridCol w:w="992"/>
        <w:gridCol w:w="850"/>
        <w:gridCol w:w="993"/>
        <w:gridCol w:w="992"/>
        <w:gridCol w:w="850"/>
        <w:gridCol w:w="851"/>
        <w:gridCol w:w="850"/>
      </w:tblGrid>
      <w:tr w:rsidR="00FD5242" w:rsidRPr="009E2EF6" w:rsidTr="00551CED">
        <w:trPr>
          <w:cantSplit/>
          <w:tblHeader/>
        </w:trPr>
        <w:tc>
          <w:tcPr>
            <w:tcW w:w="8505" w:type="dxa"/>
            <w:gridSpan w:val="9"/>
            <w:tcBorders>
              <w:top w:val="nil"/>
              <w:left w:val="nil"/>
              <w:bottom w:val="nil"/>
              <w:right w:val="nil"/>
            </w:tcBorders>
            <w:shd w:val="clear" w:color="auto" w:fill="FFFFFF"/>
            <w:tcMar>
              <w:top w:w="30" w:type="dxa"/>
              <w:left w:w="30" w:type="dxa"/>
              <w:bottom w:w="30" w:type="dxa"/>
              <w:right w:w="30" w:type="dxa"/>
            </w:tcMar>
            <w:vAlign w:val="center"/>
          </w:tcPr>
          <w:p w:rsidR="00FD5242" w:rsidRPr="00CD5D09" w:rsidRDefault="00FD5242" w:rsidP="00F87FBE">
            <w:pPr>
              <w:autoSpaceDE w:val="0"/>
              <w:autoSpaceDN w:val="0"/>
              <w:adjustRightInd w:val="0"/>
              <w:spacing w:after="0" w:line="320" w:lineRule="atLeast"/>
              <w:rPr>
                <w:rFonts w:cs="Arial"/>
                <w:color w:val="000000"/>
                <w:sz w:val="20"/>
                <w:szCs w:val="20"/>
                <w:lang w:val="en-US"/>
              </w:rPr>
            </w:pPr>
            <w:r>
              <w:rPr>
                <w:rFonts w:cs="Arial"/>
                <w:b/>
                <w:bCs/>
                <w:color w:val="000000"/>
                <w:lang w:val="en-US"/>
              </w:rPr>
              <w:t xml:space="preserve">Table 9b: Pearson’s </w:t>
            </w:r>
            <w:r w:rsidRPr="00397C07">
              <w:rPr>
                <w:rFonts w:cs="Arial"/>
                <w:b/>
                <w:bCs/>
                <w:color w:val="000000"/>
                <w:lang w:val="en-US"/>
              </w:rPr>
              <w:t>Correlation</w:t>
            </w:r>
            <w:r w:rsidRPr="00102FFE">
              <w:rPr>
                <w:rFonts w:cs="Arial"/>
                <w:b/>
                <w:bCs/>
                <w:color w:val="000000"/>
                <w:lang w:val="en-US"/>
              </w:rPr>
              <w:t xml:space="preserve"> </w:t>
            </w:r>
            <w:r>
              <w:rPr>
                <w:rFonts w:cs="Arial"/>
                <w:b/>
                <w:bCs/>
                <w:color w:val="000000"/>
                <w:lang w:val="en-US"/>
              </w:rPr>
              <w:t>test for the year 2009</w:t>
            </w:r>
          </w:p>
        </w:tc>
      </w:tr>
      <w:tr w:rsidR="00FD5242" w:rsidRPr="00CD5D09" w:rsidTr="0017355B">
        <w:trPr>
          <w:cantSplit/>
          <w:tblHeader/>
        </w:trPr>
        <w:tc>
          <w:tcPr>
            <w:tcW w:w="935" w:type="dxa"/>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240" w:lineRule="auto"/>
              <w:rPr>
                <w:sz w:val="20"/>
                <w:szCs w:val="20"/>
                <w:lang w:val="en-US"/>
              </w:rPr>
            </w:pPr>
          </w:p>
        </w:tc>
        <w:tc>
          <w:tcPr>
            <w:tcW w:w="1192" w:type="dxa"/>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240" w:lineRule="auto"/>
              <w:rPr>
                <w:sz w:val="20"/>
                <w:szCs w:val="20"/>
                <w:lang w:val="en-US"/>
              </w:rPr>
            </w:pPr>
          </w:p>
        </w:tc>
        <w:tc>
          <w:tcPr>
            <w:tcW w:w="992"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FD5242" w:rsidRPr="00CD5D09" w:rsidRDefault="00FD5242" w:rsidP="00386109">
            <w:pPr>
              <w:autoSpaceDE w:val="0"/>
              <w:autoSpaceDN w:val="0"/>
              <w:adjustRightInd w:val="0"/>
              <w:spacing w:after="0" w:line="320" w:lineRule="atLeast"/>
              <w:jc w:val="center"/>
              <w:rPr>
                <w:rFonts w:cs="Arial"/>
                <w:color w:val="000000"/>
                <w:sz w:val="20"/>
                <w:szCs w:val="20"/>
              </w:rPr>
            </w:pPr>
            <w:r w:rsidRPr="00CD5D09">
              <w:rPr>
                <w:rFonts w:cs="Arial"/>
                <w:color w:val="000000"/>
                <w:sz w:val="20"/>
                <w:szCs w:val="20"/>
              </w:rPr>
              <w:t>LAF</w:t>
            </w:r>
          </w:p>
        </w:tc>
        <w:tc>
          <w:tcPr>
            <w:tcW w:w="850"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FD5242" w:rsidRPr="00CD5D09" w:rsidRDefault="00FD5242" w:rsidP="00386109">
            <w:pPr>
              <w:autoSpaceDE w:val="0"/>
              <w:autoSpaceDN w:val="0"/>
              <w:adjustRightInd w:val="0"/>
              <w:spacing w:after="0" w:line="320" w:lineRule="atLeast"/>
              <w:jc w:val="center"/>
              <w:rPr>
                <w:rFonts w:cs="Arial"/>
                <w:color w:val="000000"/>
                <w:sz w:val="20"/>
                <w:szCs w:val="20"/>
              </w:rPr>
            </w:pPr>
            <w:r w:rsidRPr="00CD5D09">
              <w:rPr>
                <w:rFonts w:cs="Arial"/>
                <w:color w:val="000000"/>
                <w:sz w:val="20"/>
                <w:szCs w:val="20"/>
              </w:rPr>
              <w:t>CSV</w:t>
            </w:r>
          </w:p>
        </w:tc>
        <w:tc>
          <w:tcPr>
            <w:tcW w:w="993"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FD5242" w:rsidRPr="00CD5D09" w:rsidRDefault="00FD5242" w:rsidP="00386109">
            <w:pPr>
              <w:autoSpaceDE w:val="0"/>
              <w:autoSpaceDN w:val="0"/>
              <w:adjustRightInd w:val="0"/>
              <w:spacing w:after="0" w:line="320" w:lineRule="atLeast"/>
              <w:jc w:val="center"/>
              <w:rPr>
                <w:rFonts w:cs="Arial"/>
                <w:color w:val="000000"/>
                <w:sz w:val="20"/>
                <w:szCs w:val="20"/>
              </w:rPr>
            </w:pPr>
            <w:r w:rsidRPr="00CD5D09">
              <w:rPr>
                <w:rFonts w:cs="Arial"/>
                <w:color w:val="000000"/>
                <w:sz w:val="20"/>
                <w:szCs w:val="20"/>
              </w:rPr>
              <w:t>SIZE</w:t>
            </w:r>
          </w:p>
        </w:tc>
        <w:tc>
          <w:tcPr>
            <w:tcW w:w="992"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FD5242" w:rsidRPr="00CD5D09" w:rsidRDefault="00FD5242" w:rsidP="00386109">
            <w:pPr>
              <w:autoSpaceDE w:val="0"/>
              <w:autoSpaceDN w:val="0"/>
              <w:adjustRightInd w:val="0"/>
              <w:spacing w:after="0" w:line="320" w:lineRule="atLeast"/>
              <w:jc w:val="center"/>
              <w:rPr>
                <w:rFonts w:cs="Arial"/>
                <w:color w:val="000000"/>
                <w:sz w:val="20"/>
                <w:szCs w:val="20"/>
              </w:rPr>
            </w:pPr>
            <w:r w:rsidRPr="00CD5D09">
              <w:rPr>
                <w:rFonts w:cs="Arial"/>
                <w:color w:val="000000"/>
                <w:sz w:val="20"/>
                <w:szCs w:val="20"/>
              </w:rPr>
              <w:t>QR</w:t>
            </w:r>
          </w:p>
        </w:tc>
        <w:tc>
          <w:tcPr>
            <w:tcW w:w="850"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FD5242" w:rsidRPr="00CD5D09" w:rsidRDefault="00FD5242" w:rsidP="00386109">
            <w:pPr>
              <w:autoSpaceDE w:val="0"/>
              <w:autoSpaceDN w:val="0"/>
              <w:adjustRightInd w:val="0"/>
              <w:spacing w:after="0" w:line="320" w:lineRule="atLeast"/>
              <w:jc w:val="center"/>
              <w:rPr>
                <w:rFonts w:cs="Arial"/>
                <w:color w:val="000000"/>
                <w:sz w:val="20"/>
                <w:szCs w:val="20"/>
              </w:rPr>
            </w:pPr>
            <w:r w:rsidRPr="00CD5D09">
              <w:rPr>
                <w:rFonts w:cs="Arial"/>
                <w:color w:val="000000"/>
                <w:sz w:val="20"/>
                <w:szCs w:val="20"/>
              </w:rPr>
              <w:t>LEV</w:t>
            </w:r>
          </w:p>
        </w:tc>
        <w:tc>
          <w:tcPr>
            <w:tcW w:w="851"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FD5242" w:rsidRPr="00CD5D09" w:rsidRDefault="00FD5242" w:rsidP="00386109">
            <w:pPr>
              <w:autoSpaceDE w:val="0"/>
              <w:autoSpaceDN w:val="0"/>
              <w:adjustRightInd w:val="0"/>
              <w:spacing w:after="0" w:line="320" w:lineRule="atLeast"/>
              <w:jc w:val="center"/>
              <w:rPr>
                <w:rFonts w:cs="Arial"/>
                <w:color w:val="000000"/>
                <w:sz w:val="20"/>
                <w:szCs w:val="20"/>
              </w:rPr>
            </w:pPr>
            <w:r>
              <w:rPr>
                <w:rFonts w:cs="Arial"/>
                <w:color w:val="000000"/>
                <w:sz w:val="20"/>
                <w:szCs w:val="20"/>
              </w:rPr>
              <w:t>I</w:t>
            </w:r>
            <w:r>
              <w:rPr>
                <w:rFonts w:cs="Arial"/>
                <w:color w:val="000000"/>
                <w:sz w:val="20"/>
                <w:szCs w:val="20"/>
                <w:lang w:val="en-US"/>
              </w:rPr>
              <w:t>N</w:t>
            </w:r>
            <w:r w:rsidRPr="00CD5D09">
              <w:rPr>
                <w:rFonts w:cs="Arial"/>
                <w:color w:val="000000"/>
                <w:sz w:val="20"/>
                <w:szCs w:val="20"/>
              </w:rPr>
              <w:t>VREC</w:t>
            </w:r>
          </w:p>
        </w:tc>
        <w:tc>
          <w:tcPr>
            <w:tcW w:w="850"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FD5242" w:rsidRPr="00CD5D09" w:rsidRDefault="00FD5242" w:rsidP="00386109">
            <w:pPr>
              <w:autoSpaceDE w:val="0"/>
              <w:autoSpaceDN w:val="0"/>
              <w:adjustRightInd w:val="0"/>
              <w:spacing w:after="0" w:line="320" w:lineRule="atLeast"/>
              <w:jc w:val="center"/>
              <w:rPr>
                <w:rFonts w:cs="Arial"/>
                <w:color w:val="000000"/>
                <w:sz w:val="20"/>
                <w:szCs w:val="20"/>
              </w:rPr>
            </w:pPr>
            <w:r w:rsidRPr="00CD5D09">
              <w:rPr>
                <w:rFonts w:cs="Arial"/>
                <w:color w:val="000000"/>
                <w:sz w:val="20"/>
                <w:szCs w:val="20"/>
              </w:rPr>
              <w:t>ROI</w:t>
            </w:r>
          </w:p>
        </w:tc>
      </w:tr>
      <w:tr w:rsidR="00FD5242" w:rsidRPr="00CD5D09" w:rsidTr="0017355B">
        <w:trPr>
          <w:cantSplit/>
          <w:tblHeader/>
        </w:trPr>
        <w:tc>
          <w:tcPr>
            <w:tcW w:w="935" w:type="dxa"/>
            <w:vMerge w:val="restart"/>
            <w:tcBorders>
              <w:top w:val="single" w:sz="16" w:space="0" w:color="000000"/>
              <w:left w:val="single" w:sz="16" w:space="0" w:color="000000"/>
              <w:right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rPr>
                <w:rFonts w:cs="Arial"/>
                <w:color w:val="000000"/>
                <w:sz w:val="20"/>
                <w:szCs w:val="20"/>
              </w:rPr>
            </w:pPr>
            <w:r w:rsidRPr="00CD5D09">
              <w:rPr>
                <w:rFonts w:cs="Arial"/>
                <w:color w:val="000000"/>
                <w:sz w:val="20"/>
                <w:szCs w:val="20"/>
              </w:rPr>
              <w:t>LAF</w:t>
            </w:r>
          </w:p>
        </w:tc>
        <w:tc>
          <w:tcPr>
            <w:tcW w:w="1192"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rPr>
                <w:rFonts w:cs="Arial"/>
                <w:color w:val="000000"/>
                <w:sz w:val="20"/>
                <w:szCs w:val="20"/>
                <w:lang w:val="en-US"/>
              </w:rPr>
            </w:pPr>
            <w:r w:rsidRPr="00CD5D09">
              <w:rPr>
                <w:rFonts w:cs="Arial"/>
                <w:color w:val="000000"/>
                <w:sz w:val="20"/>
                <w:szCs w:val="20"/>
              </w:rPr>
              <w:t xml:space="preserve">Pearson </w:t>
            </w:r>
          </w:p>
        </w:tc>
        <w:tc>
          <w:tcPr>
            <w:tcW w:w="992"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r w:rsidRPr="00CD5D09">
              <w:rPr>
                <w:rFonts w:cs="Arial"/>
                <w:color w:val="000000"/>
                <w:sz w:val="20"/>
                <w:szCs w:val="20"/>
              </w:rPr>
              <w:t>1</w:t>
            </w:r>
          </w:p>
        </w:tc>
        <w:tc>
          <w:tcPr>
            <w:tcW w:w="850" w:type="dxa"/>
            <w:tcBorders>
              <w:top w:val="single" w:sz="16" w:space="0" w:color="000000"/>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rPr>
                <w:rFonts w:cs="Arial"/>
                <w:color w:val="000000"/>
                <w:sz w:val="20"/>
                <w:szCs w:val="20"/>
              </w:rPr>
            </w:pPr>
          </w:p>
        </w:tc>
        <w:tc>
          <w:tcPr>
            <w:tcW w:w="993" w:type="dxa"/>
            <w:tcBorders>
              <w:top w:val="single" w:sz="16" w:space="0" w:color="000000"/>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c>
          <w:tcPr>
            <w:tcW w:w="992" w:type="dxa"/>
            <w:tcBorders>
              <w:top w:val="single" w:sz="16" w:space="0" w:color="000000"/>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c>
          <w:tcPr>
            <w:tcW w:w="850" w:type="dxa"/>
            <w:tcBorders>
              <w:top w:val="single" w:sz="16" w:space="0" w:color="000000"/>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c>
          <w:tcPr>
            <w:tcW w:w="851" w:type="dxa"/>
            <w:tcBorders>
              <w:top w:val="single" w:sz="16" w:space="0" w:color="000000"/>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c>
          <w:tcPr>
            <w:tcW w:w="850"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r>
      <w:tr w:rsidR="00FD5242" w:rsidRPr="00CD5D09" w:rsidTr="0017355B">
        <w:trPr>
          <w:cantSplit/>
          <w:tblHeader/>
        </w:trPr>
        <w:tc>
          <w:tcPr>
            <w:tcW w:w="935"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240" w:lineRule="auto"/>
              <w:rPr>
                <w:rFonts w:cs="Arial"/>
                <w:color w:val="000000"/>
                <w:sz w:val="20"/>
                <w:szCs w:val="20"/>
              </w:rPr>
            </w:pPr>
          </w:p>
        </w:tc>
        <w:tc>
          <w:tcPr>
            <w:tcW w:w="1192" w:type="dxa"/>
            <w:tcBorders>
              <w:top w:val="nil"/>
              <w:left w:val="nil"/>
              <w:bottom w:val="nil"/>
              <w:right w:val="single" w:sz="16" w:space="0" w:color="000000"/>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rPr>
                <w:rFonts w:cs="Arial"/>
                <w:color w:val="000000"/>
                <w:sz w:val="20"/>
                <w:szCs w:val="20"/>
              </w:rPr>
            </w:pPr>
            <w:r w:rsidRPr="00CD5D09">
              <w:rPr>
                <w:rFonts w:cs="Arial"/>
                <w:color w:val="000000"/>
                <w:sz w:val="20"/>
                <w:szCs w:val="20"/>
              </w:rPr>
              <w:t>Sig. (2-tailed)</w:t>
            </w:r>
          </w:p>
        </w:tc>
        <w:tc>
          <w:tcPr>
            <w:tcW w:w="992" w:type="dxa"/>
            <w:tcBorders>
              <w:top w:val="nil"/>
              <w:left w:val="single" w:sz="16" w:space="0" w:color="000000"/>
              <w:bottom w:val="nil"/>
            </w:tcBorders>
            <w:shd w:val="clear" w:color="auto" w:fill="FFFFFF"/>
            <w:tcMar>
              <w:top w:w="30" w:type="dxa"/>
              <w:left w:w="30" w:type="dxa"/>
              <w:bottom w:w="30" w:type="dxa"/>
              <w:right w:w="30" w:type="dxa"/>
            </w:tcMar>
            <w:vAlign w:val="center"/>
          </w:tcPr>
          <w:p w:rsidR="00FD5242" w:rsidRPr="00CD5D09" w:rsidRDefault="00FD5242" w:rsidP="00386109">
            <w:pPr>
              <w:autoSpaceDE w:val="0"/>
              <w:autoSpaceDN w:val="0"/>
              <w:adjustRightInd w:val="0"/>
              <w:spacing w:after="0" w:line="240" w:lineRule="auto"/>
              <w:jc w:val="center"/>
              <w:rPr>
                <w:sz w:val="20"/>
                <w:szCs w:val="20"/>
              </w:rPr>
            </w:pPr>
          </w:p>
        </w:tc>
        <w:tc>
          <w:tcPr>
            <w:tcW w:w="850" w:type="dxa"/>
            <w:tcBorders>
              <w:top w:val="nil"/>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rPr>
                <w:rFonts w:cs="Arial"/>
                <w:color w:val="000000"/>
                <w:sz w:val="20"/>
                <w:szCs w:val="20"/>
              </w:rPr>
            </w:pPr>
          </w:p>
        </w:tc>
        <w:tc>
          <w:tcPr>
            <w:tcW w:w="993" w:type="dxa"/>
            <w:tcBorders>
              <w:top w:val="nil"/>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c>
          <w:tcPr>
            <w:tcW w:w="992" w:type="dxa"/>
            <w:tcBorders>
              <w:top w:val="nil"/>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c>
          <w:tcPr>
            <w:tcW w:w="850" w:type="dxa"/>
            <w:tcBorders>
              <w:top w:val="nil"/>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c>
          <w:tcPr>
            <w:tcW w:w="851" w:type="dxa"/>
            <w:tcBorders>
              <w:top w:val="nil"/>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c>
          <w:tcPr>
            <w:tcW w:w="850" w:type="dxa"/>
            <w:tcBorders>
              <w:top w:val="nil"/>
              <w:bottom w:val="nil"/>
              <w:right w:val="single" w:sz="16" w:space="0" w:color="000000"/>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r>
      <w:tr w:rsidR="00FD5242" w:rsidRPr="00CD5D09" w:rsidTr="0017355B">
        <w:trPr>
          <w:cantSplit/>
          <w:tblHeader/>
        </w:trPr>
        <w:tc>
          <w:tcPr>
            <w:tcW w:w="935"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240" w:lineRule="auto"/>
              <w:rPr>
                <w:rFonts w:cs="Arial"/>
                <w:color w:val="000000"/>
                <w:sz w:val="20"/>
                <w:szCs w:val="20"/>
              </w:rPr>
            </w:pPr>
          </w:p>
        </w:tc>
        <w:tc>
          <w:tcPr>
            <w:tcW w:w="1192" w:type="dxa"/>
            <w:tcBorders>
              <w:top w:val="nil"/>
              <w:left w:val="nil"/>
              <w:right w:val="single" w:sz="16" w:space="0" w:color="000000"/>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rPr>
                <w:rFonts w:cs="Arial"/>
                <w:color w:val="000000"/>
                <w:sz w:val="20"/>
                <w:szCs w:val="20"/>
              </w:rPr>
            </w:pPr>
            <w:r w:rsidRPr="00CD5D09">
              <w:rPr>
                <w:rFonts w:cs="Arial"/>
                <w:color w:val="000000"/>
                <w:sz w:val="20"/>
                <w:szCs w:val="20"/>
              </w:rPr>
              <w:t>N</w:t>
            </w:r>
          </w:p>
        </w:tc>
        <w:tc>
          <w:tcPr>
            <w:tcW w:w="992" w:type="dxa"/>
            <w:tcBorders>
              <w:top w:val="nil"/>
              <w:left w:val="single" w:sz="16" w:space="0" w:color="000000"/>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c>
          <w:tcPr>
            <w:tcW w:w="850" w:type="dxa"/>
            <w:tcBorders>
              <w:top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c>
          <w:tcPr>
            <w:tcW w:w="993" w:type="dxa"/>
            <w:tcBorders>
              <w:top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c>
          <w:tcPr>
            <w:tcW w:w="992" w:type="dxa"/>
            <w:tcBorders>
              <w:top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c>
          <w:tcPr>
            <w:tcW w:w="850" w:type="dxa"/>
            <w:tcBorders>
              <w:top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c>
          <w:tcPr>
            <w:tcW w:w="851" w:type="dxa"/>
            <w:tcBorders>
              <w:top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c>
          <w:tcPr>
            <w:tcW w:w="850" w:type="dxa"/>
            <w:tcBorders>
              <w:top w:val="nil"/>
              <w:right w:val="single" w:sz="16" w:space="0" w:color="000000"/>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r>
      <w:tr w:rsidR="00FD5242" w:rsidRPr="00CD5D09" w:rsidTr="0017355B">
        <w:trPr>
          <w:cantSplit/>
          <w:tblHeader/>
        </w:trPr>
        <w:tc>
          <w:tcPr>
            <w:tcW w:w="935" w:type="dxa"/>
            <w:vMerge w:val="restart"/>
            <w:tcBorders>
              <w:left w:val="single" w:sz="16" w:space="0" w:color="000000"/>
              <w:right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rPr>
                <w:rFonts w:cs="Arial"/>
                <w:color w:val="000000"/>
                <w:sz w:val="20"/>
                <w:szCs w:val="20"/>
              </w:rPr>
            </w:pPr>
            <w:r w:rsidRPr="00CD5D09">
              <w:rPr>
                <w:rFonts w:cs="Arial"/>
                <w:color w:val="000000"/>
                <w:sz w:val="20"/>
                <w:szCs w:val="20"/>
              </w:rPr>
              <w:t>CSV</w:t>
            </w:r>
          </w:p>
        </w:tc>
        <w:tc>
          <w:tcPr>
            <w:tcW w:w="1192" w:type="dxa"/>
            <w:tcBorders>
              <w:left w:val="nil"/>
              <w:bottom w:val="nil"/>
              <w:right w:val="single" w:sz="16" w:space="0" w:color="000000"/>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rPr>
                <w:rFonts w:cs="Arial"/>
                <w:color w:val="000000"/>
                <w:sz w:val="20"/>
                <w:szCs w:val="20"/>
                <w:lang w:val="en-US"/>
              </w:rPr>
            </w:pPr>
            <w:r w:rsidRPr="00CD5D09">
              <w:rPr>
                <w:rFonts w:cs="Arial"/>
                <w:color w:val="000000"/>
                <w:sz w:val="20"/>
                <w:szCs w:val="20"/>
              </w:rPr>
              <w:t>Pearso</w:t>
            </w:r>
            <w:r>
              <w:rPr>
                <w:rFonts w:cs="Arial"/>
                <w:color w:val="000000"/>
                <w:sz w:val="20"/>
                <w:szCs w:val="20"/>
                <w:lang w:val="en-US"/>
              </w:rPr>
              <w:t>n</w:t>
            </w:r>
          </w:p>
        </w:tc>
        <w:tc>
          <w:tcPr>
            <w:tcW w:w="992" w:type="dxa"/>
            <w:tcBorders>
              <w:left w:val="single" w:sz="16" w:space="0" w:color="000000"/>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rPr>
                <w:rFonts w:cs="Arial"/>
                <w:color w:val="000000"/>
                <w:sz w:val="20"/>
                <w:szCs w:val="20"/>
              </w:rPr>
            </w:pPr>
          </w:p>
        </w:tc>
        <w:tc>
          <w:tcPr>
            <w:tcW w:w="850" w:type="dxa"/>
            <w:tcBorders>
              <w:bottom w:val="nil"/>
            </w:tcBorders>
            <w:shd w:val="clear" w:color="auto" w:fill="FFFFFF"/>
            <w:tcMar>
              <w:top w:w="30" w:type="dxa"/>
              <w:left w:w="30" w:type="dxa"/>
              <w:bottom w:w="30" w:type="dxa"/>
              <w:right w:w="30" w:type="dxa"/>
            </w:tcMar>
          </w:tcPr>
          <w:p w:rsidR="00FD5242" w:rsidRPr="0017355B" w:rsidRDefault="00FD5242" w:rsidP="0017355B">
            <w:pPr>
              <w:autoSpaceDE w:val="0"/>
              <w:autoSpaceDN w:val="0"/>
              <w:adjustRightInd w:val="0"/>
              <w:spacing w:after="0" w:line="320" w:lineRule="atLeast"/>
              <w:jc w:val="right"/>
              <w:rPr>
                <w:rFonts w:cs="Arial"/>
                <w:color w:val="000000"/>
                <w:sz w:val="20"/>
                <w:szCs w:val="20"/>
                <w:lang w:val="en-US"/>
              </w:rPr>
            </w:pPr>
            <w:r>
              <w:rPr>
                <w:rFonts w:cs="Arial"/>
                <w:color w:val="000000"/>
                <w:sz w:val="20"/>
                <w:szCs w:val="20"/>
                <w:lang w:val="en-US"/>
              </w:rPr>
              <w:t>1</w:t>
            </w:r>
          </w:p>
        </w:tc>
        <w:tc>
          <w:tcPr>
            <w:tcW w:w="993" w:type="dxa"/>
            <w:tcBorders>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rPr>
                <w:rFonts w:cs="Arial"/>
                <w:color w:val="000000"/>
                <w:sz w:val="20"/>
                <w:szCs w:val="20"/>
              </w:rPr>
            </w:pPr>
          </w:p>
        </w:tc>
        <w:tc>
          <w:tcPr>
            <w:tcW w:w="992" w:type="dxa"/>
            <w:tcBorders>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rPr>
                <w:rFonts w:cs="Arial"/>
                <w:color w:val="000000"/>
                <w:sz w:val="20"/>
                <w:szCs w:val="20"/>
              </w:rPr>
            </w:pPr>
          </w:p>
        </w:tc>
        <w:tc>
          <w:tcPr>
            <w:tcW w:w="850" w:type="dxa"/>
            <w:tcBorders>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rPr>
                <w:rFonts w:cs="Arial"/>
                <w:color w:val="000000"/>
                <w:sz w:val="20"/>
                <w:szCs w:val="20"/>
              </w:rPr>
            </w:pPr>
          </w:p>
        </w:tc>
        <w:tc>
          <w:tcPr>
            <w:tcW w:w="851" w:type="dxa"/>
            <w:tcBorders>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rPr>
                <w:rFonts w:cs="Arial"/>
                <w:color w:val="000000"/>
                <w:sz w:val="20"/>
                <w:szCs w:val="20"/>
              </w:rPr>
            </w:pPr>
          </w:p>
        </w:tc>
        <w:tc>
          <w:tcPr>
            <w:tcW w:w="850" w:type="dxa"/>
            <w:tcBorders>
              <w:bottom w:val="nil"/>
              <w:right w:val="single" w:sz="16" w:space="0" w:color="000000"/>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rPr>
                <w:rFonts w:cs="Arial"/>
                <w:color w:val="000000"/>
                <w:sz w:val="20"/>
                <w:szCs w:val="20"/>
              </w:rPr>
            </w:pPr>
          </w:p>
        </w:tc>
      </w:tr>
      <w:tr w:rsidR="00FD5242" w:rsidRPr="00CD5D09" w:rsidTr="0017355B">
        <w:trPr>
          <w:cantSplit/>
          <w:tblHeader/>
        </w:trPr>
        <w:tc>
          <w:tcPr>
            <w:tcW w:w="935" w:type="dxa"/>
            <w:vMerge/>
            <w:tcBorders>
              <w:left w:val="single" w:sz="16" w:space="0" w:color="000000"/>
              <w:right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240" w:lineRule="auto"/>
              <w:rPr>
                <w:rFonts w:cs="Arial"/>
                <w:color w:val="000000"/>
                <w:sz w:val="20"/>
                <w:szCs w:val="20"/>
              </w:rPr>
            </w:pPr>
          </w:p>
        </w:tc>
        <w:tc>
          <w:tcPr>
            <w:tcW w:w="1192" w:type="dxa"/>
            <w:tcBorders>
              <w:top w:val="nil"/>
              <w:left w:val="nil"/>
              <w:bottom w:val="nil"/>
              <w:right w:val="single" w:sz="16" w:space="0" w:color="000000"/>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rPr>
                <w:rFonts w:cs="Arial"/>
                <w:color w:val="000000"/>
                <w:sz w:val="20"/>
                <w:szCs w:val="20"/>
              </w:rPr>
            </w:pPr>
            <w:r w:rsidRPr="00CD5D09">
              <w:rPr>
                <w:rFonts w:cs="Arial"/>
                <w:color w:val="000000"/>
                <w:sz w:val="20"/>
                <w:szCs w:val="20"/>
              </w:rPr>
              <w:t>Sig. (2-tailed)</w:t>
            </w:r>
          </w:p>
        </w:tc>
        <w:tc>
          <w:tcPr>
            <w:tcW w:w="992" w:type="dxa"/>
            <w:tcBorders>
              <w:top w:val="nil"/>
              <w:left w:val="single" w:sz="16" w:space="0" w:color="000000"/>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rPr>
                <w:rFonts w:cs="Arial"/>
                <w:color w:val="000000"/>
                <w:sz w:val="20"/>
                <w:szCs w:val="20"/>
              </w:rPr>
            </w:pPr>
          </w:p>
        </w:tc>
        <w:tc>
          <w:tcPr>
            <w:tcW w:w="850" w:type="dxa"/>
            <w:tcBorders>
              <w:top w:val="nil"/>
              <w:bottom w:val="nil"/>
            </w:tcBorders>
            <w:shd w:val="clear" w:color="auto" w:fill="FFFFFF"/>
            <w:tcMar>
              <w:top w:w="30" w:type="dxa"/>
              <w:left w:w="30" w:type="dxa"/>
              <w:bottom w:w="30" w:type="dxa"/>
              <w:right w:w="30" w:type="dxa"/>
            </w:tcMar>
            <w:vAlign w:val="center"/>
          </w:tcPr>
          <w:p w:rsidR="00FD5242" w:rsidRPr="00CD5D09" w:rsidRDefault="00FD5242" w:rsidP="00386109">
            <w:pPr>
              <w:autoSpaceDE w:val="0"/>
              <w:autoSpaceDN w:val="0"/>
              <w:adjustRightInd w:val="0"/>
              <w:spacing w:after="0" w:line="240" w:lineRule="auto"/>
              <w:jc w:val="center"/>
              <w:rPr>
                <w:sz w:val="20"/>
                <w:szCs w:val="20"/>
              </w:rPr>
            </w:pPr>
          </w:p>
        </w:tc>
        <w:tc>
          <w:tcPr>
            <w:tcW w:w="993" w:type="dxa"/>
            <w:tcBorders>
              <w:top w:val="nil"/>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rPr>
                <w:rFonts w:cs="Arial"/>
                <w:color w:val="000000"/>
                <w:sz w:val="20"/>
                <w:szCs w:val="20"/>
              </w:rPr>
            </w:pPr>
          </w:p>
        </w:tc>
        <w:tc>
          <w:tcPr>
            <w:tcW w:w="992" w:type="dxa"/>
            <w:tcBorders>
              <w:top w:val="nil"/>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rPr>
                <w:rFonts w:cs="Arial"/>
                <w:color w:val="000000"/>
                <w:sz w:val="20"/>
                <w:szCs w:val="20"/>
              </w:rPr>
            </w:pPr>
          </w:p>
        </w:tc>
        <w:tc>
          <w:tcPr>
            <w:tcW w:w="850" w:type="dxa"/>
            <w:tcBorders>
              <w:top w:val="nil"/>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rPr>
                <w:rFonts w:cs="Arial"/>
                <w:color w:val="000000"/>
                <w:sz w:val="20"/>
                <w:szCs w:val="20"/>
              </w:rPr>
            </w:pPr>
          </w:p>
        </w:tc>
        <w:tc>
          <w:tcPr>
            <w:tcW w:w="851" w:type="dxa"/>
            <w:tcBorders>
              <w:top w:val="nil"/>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rPr>
                <w:rFonts w:cs="Arial"/>
                <w:color w:val="000000"/>
                <w:sz w:val="20"/>
                <w:szCs w:val="20"/>
              </w:rPr>
            </w:pPr>
          </w:p>
        </w:tc>
        <w:tc>
          <w:tcPr>
            <w:tcW w:w="850" w:type="dxa"/>
            <w:tcBorders>
              <w:top w:val="nil"/>
              <w:bottom w:val="nil"/>
              <w:right w:val="single" w:sz="16" w:space="0" w:color="000000"/>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rPr>
                <w:rFonts w:cs="Arial"/>
                <w:color w:val="000000"/>
                <w:sz w:val="20"/>
                <w:szCs w:val="20"/>
              </w:rPr>
            </w:pPr>
          </w:p>
        </w:tc>
      </w:tr>
      <w:tr w:rsidR="00FD5242" w:rsidRPr="00CD5D09" w:rsidTr="0017355B">
        <w:trPr>
          <w:cantSplit/>
          <w:tblHeader/>
        </w:trPr>
        <w:tc>
          <w:tcPr>
            <w:tcW w:w="935" w:type="dxa"/>
            <w:vMerge/>
            <w:tcBorders>
              <w:left w:val="single" w:sz="16" w:space="0" w:color="000000"/>
              <w:right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240" w:lineRule="auto"/>
              <w:rPr>
                <w:rFonts w:cs="Arial"/>
                <w:color w:val="000000"/>
                <w:sz w:val="20"/>
                <w:szCs w:val="20"/>
              </w:rPr>
            </w:pPr>
          </w:p>
        </w:tc>
        <w:tc>
          <w:tcPr>
            <w:tcW w:w="1192" w:type="dxa"/>
            <w:tcBorders>
              <w:top w:val="nil"/>
              <w:left w:val="nil"/>
              <w:right w:val="single" w:sz="16" w:space="0" w:color="000000"/>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rPr>
                <w:rFonts w:cs="Arial"/>
                <w:color w:val="000000"/>
                <w:sz w:val="20"/>
                <w:szCs w:val="20"/>
              </w:rPr>
            </w:pPr>
            <w:r w:rsidRPr="00CD5D09">
              <w:rPr>
                <w:rFonts w:cs="Arial"/>
                <w:color w:val="000000"/>
                <w:sz w:val="20"/>
                <w:szCs w:val="20"/>
              </w:rPr>
              <w:t>N</w:t>
            </w:r>
          </w:p>
        </w:tc>
        <w:tc>
          <w:tcPr>
            <w:tcW w:w="992" w:type="dxa"/>
            <w:tcBorders>
              <w:top w:val="nil"/>
              <w:left w:val="single" w:sz="16" w:space="0" w:color="000000"/>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c>
          <w:tcPr>
            <w:tcW w:w="850" w:type="dxa"/>
            <w:tcBorders>
              <w:top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c>
          <w:tcPr>
            <w:tcW w:w="993" w:type="dxa"/>
            <w:tcBorders>
              <w:top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c>
          <w:tcPr>
            <w:tcW w:w="992" w:type="dxa"/>
            <w:tcBorders>
              <w:top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c>
          <w:tcPr>
            <w:tcW w:w="850" w:type="dxa"/>
            <w:tcBorders>
              <w:top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c>
          <w:tcPr>
            <w:tcW w:w="851" w:type="dxa"/>
            <w:tcBorders>
              <w:top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c>
          <w:tcPr>
            <w:tcW w:w="850" w:type="dxa"/>
            <w:tcBorders>
              <w:top w:val="nil"/>
              <w:right w:val="single" w:sz="16" w:space="0" w:color="000000"/>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r>
      <w:tr w:rsidR="00FD5242" w:rsidRPr="00CD5D09" w:rsidTr="0017355B">
        <w:trPr>
          <w:cantSplit/>
          <w:tblHeader/>
        </w:trPr>
        <w:tc>
          <w:tcPr>
            <w:tcW w:w="935" w:type="dxa"/>
            <w:vMerge w:val="restart"/>
            <w:tcBorders>
              <w:left w:val="single" w:sz="16" w:space="0" w:color="000000"/>
              <w:right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rPr>
                <w:rFonts w:cs="Arial"/>
                <w:color w:val="000000"/>
                <w:sz w:val="20"/>
                <w:szCs w:val="20"/>
              </w:rPr>
            </w:pPr>
            <w:r w:rsidRPr="00CD5D09">
              <w:rPr>
                <w:rFonts w:cs="Arial"/>
                <w:color w:val="000000"/>
                <w:sz w:val="20"/>
                <w:szCs w:val="20"/>
              </w:rPr>
              <w:t>SIZE</w:t>
            </w:r>
          </w:p>
        </w:tc>
        <w:tc>
          <w:tcPr>
            <w:tcW w:w="1192" w:type="dxa"/>
            <w:tcBorders>
              <w:left w:val="nil"/>
              <w:bottom w:val="nil"/>
              <w:right w:val="single" w:sz="16" w:space="0" w:color="000000"/>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rPr>
                <w:rFonts w:cs="Arial"/>
                <w:color w:val="000000"/>
                <w:sz w:val="20"/>
                <w:szCs w:val="20"/>
                <w:lang w:val="en-US"/>
              </w:rPr>
            </w:pPr>
            <w:r w:rsidRPr="00CD5D09">
              <w:rPr>
                <w:rFonts w:cs="Arial"/>
                <w:color w:val="000000"/>
                <w:sz w:val="20"/>
                <w:szCs w:val="20"/>
              </w:rPr>
              <w:t xml:space="preserve">Pearson </w:t>
            </w:r>
          </w:p>
        </w:tc>
        <w:tc>
          <w:tcPr>
            <w:tcW w:w="992" w:type="dxa"/>
            <w:tcBorders>
              <w:left w:val="single" w:sz="16" w:space="0" w:color="000000"/>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r w:rsidRPr="00CD5D09">
              <w:rPr>
                <w:rFonts w:cs="Arial"/>
                <w:color w:val="000000"/>
                <w:sz w:val="20"/>
                <w:szCs w:val="20"/>
              </w:rPr>
              <w:t>,633</w:t>
            </w:r>
            <w:r w:rsidRPr="00CD5D09">
              <w:rPr>
                <w:rFonts w:cs="Arial"/>
                <w:color w:val="000000"/>
                <w:sz w:val="20"/>
                <w:szCs w:val="20"/>
                <w:vertAlign w:val="superscript"/>
              </w:rPr>
              <w:t>**</w:t>
            </w:r>
          </w:p>
        </w:tc>
        <w:tc>
          <w:tcPr>
            <w:tcW w:w="850" w:type="dxa"/>
            <w:tcBorders>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rPr>
                <w:rFonts w:cs="Arial"/>
                <w:color w:val="000000"/>
                <w:sz w:val="20"/>
                <w:szCs w:val="20"/>
              </w:rPr>
            </w:pPr>
          </w:p>
        </w:tc>
        <w:tc>
          <w:tcPr>
            <w:tcW w:w="993" w:type="dxa"/>
            <w:tcBorders>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r w:rsidRPr="00CD5D09">
              <w:rPr>
                <w:rFonts w:cs="Arial"/>
                <w:color w:val="000000"/>
                <w:sz w:val="20"/>
                <w:szCs w:val="20"/>
              </w:rPr>
              <w:t>1</w:t>
            </w:r>
          </w:p>
        </w:tc>
        <w:tc>
          <w:tcPr>
            <w:tcW w:w="992" w:type="dxa"/>
            <w:tcBorders>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c>
          <w:tcPr>
            <w:tcW w:w="850" w:type="dxa"/>
            <w:tcBorders>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c>
          <w:tcPr>
            <w:tcW w:w="851" w:type="dxa"/>
            <w:tcBorders>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c>
          <w:tcPr>
            <w:tcW w:w="850" w:type="dxa"/>
            <w:tcBorders>
              <w:bottom w:val="nil"/>
              <w:right w:val="single" w:sz="16" w:space="0" w:color="000000"/>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r>
      <w:tr w:rsidR="00FD5242" w:rsidRPr="00CD5D09" w:rsidTr="0017355B">
        <w:trPr>
          <w:cantSplit/>
          <w:tblHeader/>
        </w:trPr>
        <w:tc>
          <w:tcPr>
            <w:tcW w:w="935" w:type="dxa"/>
            <w:vMerge/>
            <w:tcBorders>
              <w:left w:val="single" w:sz="16" w:space="0" w:color="000000"/>
              <w:right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240" w:lineRule="auto"/>
              <w:rPr>
                <w:rFonts w:cs="Arial"/>
                <w:color w:val="000000"/>
                <w:sz w:val="20"/>
                <w:szCs w:val="20"/>
              </w:rPr>
            </w:pPr>
          </w:p>
        </w:tc>
        <w:tc>
          <w:tcPr>
            <w:tcW w:w="1192" w:type="dxa"/>
            <w:tcBorders>
              <w:top w:val="nil"/>
              <w:left w:val="nil"/>
              <w:bottom w:val="nil"/>
              <w:right w:val="single" w:sz="16" w:space="0" w:color="000000"/>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rPr>
                <w:rFonts w:cs="Arial"/>
                <w:color w:val="000000"/>
                <w:sz w:val="20"/>
                <w:szCs w:val="20"/>
              </w:rPr>
            </w:pPr>
            <w:r w:rsidRPr="00CD5D09">
              <w:rPr>
                <w:rFonts w:cs="Arial"/>
                <w:color w:val="000000"/>
                <w:sz w:val="20"/>
                <w:szCs w:val="20"/>
              </w:rPr>
              <w:t>Sig. (2-tailed)</w:t>
            </w:r>
          </w:p>
        </w:tc>
        <w:tc>
          <w:tcPr>
            <w:tcW w:w="992" w:type="dxa"/>
            <w:tcBorders>
              <w:top w:val="nil"/>
              <w:left w:val="single" w:sz="16" w:space="0" w:color="000000"/>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r w:rsidRPr="00CD5D09">
              <w:rPr>
                <w:rFonts w:cs="Arial"/>
                <w:color w:val="000000"/>
                <w:sz w:val="20"/>
                <w:szCs w:val="20"/>
              </w:rPr>
              <w:t>,000</w:t>
            </w:r>
          </w:p>
        </w:tc>
        <w:tc>
          <w:tcPr>
            <w:tcW w:w="850" w:type="dxa"/>
            <w:tcBorders>
              <w:top w:val="nil"/>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rPr>
                <w:rFonts w:cs="Arial"/>
                <w:color w:val="000000"/>
                <w:sz w:val="20"/>
                <w:szCs w:val="20"/>
              </w:rPr>
            </w:pPr>
          </w:p>
        </w:tc>
        <w:tc>
          <w:tcPr>
            <w:tcW w:w="993" w:type="dxa"/>
            <w:tcBorders>
              <w:top w:val="nil"/>
              <w:bottom w:val="nil"/>
            </w:tcBorders>
            <w:shd w:val="clear" w:color="auto" w:fill="FFFFFF"/>
            <w:tcMar>
              <w:top w:w="30" w:type="dxa"/>
              <w:left w:w="30" w:type="dxa"/>
              <w:bottom w:w="30" w:type="dxa"/>
              <w:right w:w="30" w:type="dxa"/>
            </w:tcMar>
            <w:vAlign w:val="center"/>
          </w:tcPr>
          <w:p w:rsidR="00FD5242" w:rsidRPr="00CD5D09" w:rsidRDefault="00FD5242" w:rsidP="00386109">
            <w:pPr>
              <w:autoSpaceDE w:val="0"/>
              <w:autoSpaceDN w:val="0"/>
              <w:adjustRightInd w:val="0"/>
              <w:spacing w:after="0" w:line="240" w:lineRule="auto"/>
              <w:jc w:val="center"/>
              <w:rPr>
                <w:sz w:val="20"/>
                <w:szCs w:val="20"/>
              </w:rPr>
            </w:pPr>
          </w:p>
        </w:tc>
        <w:tc>
          <w:tcPr>
            <w:tcW w:w="992" w:type="dxa"/>
            <w:tcBorders>
              <w:top w:val="nil"/>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c>
          <w:tcPr>
            <w:tcW w:w="850" w:type="dxa"/>
            <w:tcBorders>
              <w:top w:val="nil"/>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c>
          <w:tcPr>
            <w:tcW w:w="851" w:type="dxa"/>
            <w:tcBorders>
              <w:top w:val="nil"/>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c>
          <w:tcPr>
            <w:tcW w:w="850" w:type="dxa"/>
            <w:tcBorders>
              <w:top w:val="nil"/>
              <w:bottom w:val="nil"/>
              <w:right w:val="single" w:sz="16" w:space="0" w:color="000000"/>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r>
      <w:tr w:rsidR="00FD5242" w:rsidRPr="00CD5D09" w:rsidTr="0017355B">
        <w:trPr>
          <w:cantSplit/>
          <w:tblHeader/>
        </w:trPr>
        <w:tc>
          <w:tcPr>
            <w:tcW w:w="935" w:type="dxa"/>
            <w:vMerge/>
            <w:tcBorders>
              <w:left w:val="single" w:sz="16" w:space="0" w:color="000000"/>
              <w:right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240" w:lineRule="auto"/>
              <w:rPr>
                <w:rFonts w:cs="Arial"/>
                <w:color w:val="000000"/>
                <w:sz w:val="20"/>
                <w:szCs w:val="20"/>
              </w:rPr>
            </w:pPr>
          </w:p>
        </w:tc>
        <w:tc>
          <w:tcPr>
            <w:tcW w:w="1192" w:type="dxa"/>
            <w:tcBorders>
              <w:top w:val="nil"/>
              <w:left w:val="nil"/>
              <w:right w:val="single" w:sz="16" w:space="0" w:color="000000"/>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rPr>
                <w:rFonts w:cs="Arial"/>
                <w:color w:val="000000"/>
                <w:sz w:val="20"/>
                <w:szCs w:val="20"/>
              </w:rPr>
            </w:pPr>
            <w:r w:rsidRPr="00CD5D09">
              <w:rPr>
                <w:rFonts w:cs="Arial"/>
                <w:color w:val="000000"/>
                <w:sz w:val="20"/>
                <w:szCs w:val="20"/>
              </w:rPr>
              <w:t>N</w:t>
            </w:r>
          </w:p>
        </w:tc>
        <w:tc>
          <w:tcPr>
            <w:tcW w:w="992" w:type="dxa"/>
            <w:tcBorders>
              <w:top w:val="nil"/>
              <w:left w:val="single" w:sz="16" w:space="0" w:color="000000"/>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r w:rsidRPr="00CD5D09">
              <w:rPr>
                <w:rFonts w:cs="Arial"/>
                <w:color w:val="000000"/>
                <w:sz w:val="20"/>
                <w:szCs w:val="20"/>
              </w:rPr>
              <w:t>45</w:t>
            </w:r>
          </w:p>
        </w:tc>
        <w:tc>
          <w:tcPr>
            <w:tcW w:w="850" w:type="dxa"/>
            <w:tcBorders>
              <w:top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c>
          <w:tcPr>
            <w:tcW w:w="993" w:type="dxa"/>
            <w:tcBorders>
              <w:top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r w:rsidRPr="00CD5D09">
              <w:rPr>
                <w:rFonts w:cs="Arial"/>
                <w:color w:val="000000"/>
                <w:sz w:val="20"/>
                <w:szCs w:val="20"/>
              </w:rPr>
              <w:t>51</w:t>
            </w:r>
          </w:p>
        </w:tc>
        <w:tc>
          <w:tcPr>
            <w:tcW w:w="992" w:type="dxa"/>
            <w:tcBorders>
              <w:top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c>
          <w:tcPr>
            <w:tcW w:w="850" w:type="dxa"/>
            <w:tcBorders>
              <w:top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c>
          <w:tcPr>
            <w:tcW w:w="851" w:type="dxa"/>
            <w:tcBorders>
              <w:top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c>
          <w:tcPr>
            <w:tcW w:w="850" w:type="dxa"/>
            <w:tcBorders>
              <w:top w:val="nil"/>
              <w:right w:val="single" w:sz="16" w:space="0" w:color="000000"/>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r>
      <w:tr w:rsidR="00FD5242" w:rsidRPr="00CD5D09" w:rsidTr="0017355B">
        <w:trPr>
          <w:cantSplit/>
          <w:tblHeader/>
        </w:trPr>
        <w:tc>
          <w:tcPr>
            <w:tcW w:w="935" w:type="dxa"/>
            <w:vMerge w:val="restart"/>
            <w:tcBorders>
              <w:left w:val="single" w:sz="16" w:space="0" w:color="000000"/>
              <w:right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rPr>
                <w:rFonts w:cs="Arial"/>
                <w:color w:val="000000"/>
                <w:sz w:val="20"/>
                <w:szCs w:val="20"/>
              </w:rPr>
            </w:pPr>
            <w:r w:rsidRPr="00CD5D09">
              <w:rPr>
                <w:rFonts w:cs="Arial"/>
                <w:color w:val="000000"/>
                <w:sz w:val="20"/>
                <w:szCs w:val="20"/>
              </w:rPr>
              <w:t>QR</w:t>
            </w:r>
          </w:p>
        </w:tc>
        <w:tc>
          <w:tcPr>
            <w:tcW w:w="1192" w:type="dxa"/>
            <w:tcBorders>
              <w:left w:val="nil"/>
              <w:bottom w:val="nil"/>
              <w:right w:val="single" w:sz="16" w:space="0" w:color="000000"/>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rPr>
                <w:rFonts w:cs="Arial"/>
                <w:color w:val="000000"/>
                <w:sz w:val="20"/>
                <w:szCs w:val="20"/>
                <w:lang w:val="en-US"/>
              </w:rPr>
            </w:pPr>
            <w:r w:rsidRPr="00CD5D09">
              <w:rPr>
                <w:rFonts w:cs="Arial"/>
                <w:color w:val="000000"/>
                <w:sz w:val="20"/>
                <w:szCs w:val="20"/>
              </w:rPr>
              <w:t xml:space="preserve">Pearson </w:t>
            </w:r>
          </w:p>
        </w:tc>
        <w:tc>
          <w:tcPr>
            <w:tcW w:w="992" w:type="dxa"/>
            <w:tcBorders>
              <w:left w:val="single" w:sz="16" w:space="0" w:color="000000"/>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r w:rsidRPr="00CD5D09">
              <w:rPr>
                <w:rFonts w:cs="Arial"/>
                <w:color w:val="000000"/>
                <w:sz w:val="20"/>
                <w:szCs w:val="20"/>
              </w:rPr>
              <w:t>-,191</w:t>
            </w:r>
          </w:p>
        </w:tc>
        <w:tc>
          <w:tcPr>
            <w:tcW w:w="850" w:type="dxa"/>
            <w:tcBorders>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rPr>
                <w:rFonts w:cs="Arial"/>
                <w:color w:val="000000"/>
                <w:sz w:val="20"/>
                <w:szCs w:val="20"/>
              </w:rPr>
            </w:pPr>
          </w:p>
        </w:tc>
        <w:tc>
          <w:tcPr>
            <w:tcW w:w="993" w:type="dxa"/>
            <w:tcBorders>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r w:rsidRPr="00CD5D09">
              <w:rPr>
                <w:rFonts w:cs="Arial"/>
                <w:color w:val="000000"/>
                <w:sz w:val="20"/>
                <w:szCs w:val="20"/>
              </w:rPr>
              <w:t>-,275</w:t>
            </w:r>
          </w:p>
        </w:tc>
        <w:tc>
          <w:tcPr>
            <w:tcW w:w="992" w:type="dxa"/>
            <w:tcBorders>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r w:rsidRPr="00CD5D09">
              <w:rPr>
                <w:rFonts w:cs="Arial"/>
                <w:color w:val="000000"/>
                <w:sz w:val="20"/>
                <w:szCs w:val="20"/>
              </w:rPr>
              <w:t>1</w:t>
            </w:r>
          </w:p>
        </w:tc>
        <w:tc>
          <w:tcPr>
            <w:tcW w:w="850" w:type="dxa"/>
            <w:tcBorders>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c>
          <w:tcPr>
            <w:tcW w:w="851" w:type="dxa"/>
            <w:tcBorders>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c>
          <w:tcPr>
            <w:tcW w:w="850" w:type="dxa"/>
            <w:tcBorders>
              <w:bottom w:val="nil"/>
              <w:right w:val="single" w:sz="16" w:space="0" w:color="000000"/>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r>
      <w:tr w:rsidR="00FD5242" w:rsidRPr="00CD5D09" w:rsidTr="0017355B">
        <w:trPr>
          <w:cantSplit/>
          <w:tblHeader/>
        </w:trPr>
        <w:tc>
          <w:tcPr>
            <w:tcW w:w="935" w:type="dxa"/>
            <w:vMerge/>
            <w:tcBorders>
              <w:left w:val="single" w:sz="16" w:space="0" w:color="000000"/>
              <w:right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240" w:lineRule="auto"/>
              <w:rPr>
                <w:rFonts w:cs="Arial"/>
                <w:color w:val="000000"/>
                <w:sz w:val="20"/>
                <w:szCs w:val="20"/>
              </w:rPr>
            </w:pPr>
          </w:p>
        </w:tc>
        <w:tc>
          <w:tcPr>
            <w:tcW w:w="1192" w:type="dxa"/>
            <w:tcBorders>
              <w:top w:val="nil"/>
              <w:left w:val="nil"/>
              <w:bottom w:val="nil"/>
              <w:right w:val="single" w:sz="16" w:space="0" w:color="000000"/>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rPr>
                <w:rFonts w:cs="Arial"/>
                <w:color w:val="000000"/>
                <w:sz w:val="20"/>
                <w:szCs w:val="20"/>
              </w:rPr>
            </w:pPr>
            <w:r w:rsidRPr="00CD5D09">
              <w:rPr>
                <w:rFonts w:cs="Arial"/>
                <w:color w:val="000000"/>
                <w:sz w:val="20"/>
                <w:szCs w:val="20"/>
              </w:rPr>
              <w:t>Sig. (2-tailed)</w:t>
            </w:r>
          </w:p>
        </w:tc>
        <w:tc>
          <w:tcPr>
            <w:tcW w:w="992" w:type="dxa"/>
            <w:tcBorders>
              <w:top w:val="nil"/>
              <w:left w:val="single" w:sz="16" w:space="0" w:color="000000"/>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r w:rsidRPr="00CD5D09">
              <w:rPr>
                <w:rFonts w:cs="Arial"/>
                <w:color w:val="000000"/>
                <w:sz w:val="20"/>
                <w:szCs w:val="20"/>
              </w:rPr>
              <w:t>,210</w:t>
            </w:r>
          </w:p>
        </w:tc>
        <w:tc>
          <w:tcPr>
            <w:tcW w:w="850" w:type="dxa"/>
            <w:tcBorders>
              <w:top w:val="nil"/>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rPr>
                <w:rFonts w:cs="Arial"/>
                <w:color w:val="000000"/>
                <w:sz w:val="20"/>
                <w:szCs w:val="20"/>
              </w:rPr>
            </w:pPr>
          </w:p>
        </w:tc>
        <w:tc>
          <w:tcPr>
            <w:tcW w:w="993" w:type="dxa"/>
            <w:tcBorders>
              <w:top w:val="nil"/>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r w:rsidRPr="00CD5D09">
              <w:rPr>
                <w:rFonts w:cs="Arial"/>
                <w:color w:val="000000"/>
                <w:sz w:val="20"/>
                <w:szCs w:val="20"/>
              </w:rPr>
              <w:t>,051</w:t>
            </w:r>
          </w:p>
        </w:tc>
        <w:tc>
          <w:tcPr>
            <w:tcW w:w="992" w:type="dxa"/>
            <w:tcBorders>
              <w:top w:val="nil"/>
              <w:bottom w:val="nil"/>
            </w:tcBorders>
            <w:shd w:val="clear" w:color="auto" w:fill="FFFFFF"/>
            <w:tcMar>
              <w:top w:w="30" w:type="dxa"/>
              <w:left w:w="30" w:type="dxa"/>
              <w:bottom w:w="30" w:type="dxa"/>
              <w:right w:w="30" w:type="dxa"/>
            </w:tcMar>
            <w:vAlign w:val="center"/>
          </w:tcPr>
          <w:p w:rsidR="00FD5242" w:rsidRPr="00CD5D09" w:rsidRDefault="00FD5242" w:rsidP="00386109">
            <w:pPr>
              <w:autoSpaceDE w:val="0"/>
              <w:autoSpaceDN w:val="0"/>
              <w:adjustRightInd w:val="0"/>
              <w:spacing w:after="0" w:line="240" w:lineRule="auto"/>
              <w:jc w:val="center"/>
              <w:rPr>
                <w:sz w:val="20"/>
                <w:szCs w:val="20"/>
              </w:rPr>
            </w:pPr>
          </w:p>
        </w:tc>
        <w:tc>
          <w:tcPr>
            <w:tcW w:w="850" w:type="dxa"/>
            <w:tcBorders>
              <w:top w:val="nil"/>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c>
          <w:tcPr>
            <w:tcW w:w="851" w:type="dxa"/>
            <w:tcBorders>
              <w:top w:val="nil"/>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c>
          <w:tcPr>
            <w:tcW w:w="850" w:type="dxa"/>
            <w:tcBorders>
              <w:top w:val="nil"/>
              <w:bottom w:val="nil"/>
              <w:right w:val="single" w:sz="16" w:space="0" w:color="000000"/>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r>
      <w:tr w:rsidR="00FD5242" w:rsidRPr="00CD5D09" w:rsidTr="0017355B">
        <w:trPr>
          <w:cantSplit/>
          <w:tblHeader/>
        </w:trPr>
        <w:tc>
          <w:tcPr>
            <w:tcW w:w="935" w:type="dxa"/>
            <w:vMerge/>
            <w:tcBorders>
              <w:left w:val="single" w:sz="16" w:space="0" w:color="000000"/>
              <w:right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240" w:lineRule="auto"/>
              <w:rPr>
                <w:rFonts w:cs="Arial"/>
                <w:color w:val="000000"/>
                <w:sz w:val="20"/>
                <w:szCs w:val="20"/>
              </w:rPr>
            </w:pPr>
          </w:p>
        </w:tc>
        <w:tc>
          <w:tcPr>
            <w:tcW w:w="1192" w:type="dxa"/>
            <w:tcBorders>
              <w:top w:val="nil"/>
              <w:left w:val="nil"/>
              <w:right w:val="single" w:sz="16" w:space="0" w:color="000000"/>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rPr>
                <w:rFonts w:cs="Arial"/>
                <w:color w:val="000000"/>
                <w:sz w:val="20"/>
                <w:szCs w:val="20"/>
              </w:rPr>
            </w:pPr>
            <w:r w:rsidRPr="00CD5D09">
              <w:rPr>
                <w:rFonts w:cs="Arial"/>
                <w:color w:val="000000"/>
                <w:sz w:val="20"/>
                <w:szCs w:val="20"/>
              </w:rPr>
              <w:t>N</w:t>
            </w:r>
          </w:p>
        </w:tc>
        <w:tc>
          <w:tcPr>
            <w:tcW w:w="992" w:type="dxa"/>
            <w:tcBorders>
              <w:top w:val="nil"/>
              <w:left w:val="single" w:sz="16" w:space="0" w:color="000000"/>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r w:rsidRPr="00CD5D09">
              <w:rPr>
                <w:rFonts w:cs="Arial"/>
                <w:color w:val="000000"/>
                <w:sz w:val="20"/>
                <w:szCs w:val="20"/>
              </w:rPr>
              <w:t>45</w:t>
            </w:r>
          </w:p>
        </w:tc>
        <w:tc>
          <w:tcPr>
            <w:tcW w:w="850" w:type="dxa"/>
            <w:tcBorders>
              <w:top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c>
          <w:tcPr>
            <w:tcW w:w="993" w:type="dxa"/>
            <w:tcBorders>
              <w:top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r w:rsidRPr="00CD5D09">
              <w:rPr>
                <w:rFonts w:cs="Arial"/>
                <w:color w:val="000000"/>
                <w:sz w:val="20"/>
                <w:szCs w:val="20"/>
              </w:rPr>
              <w:t>51</w:t>
            </w:r>
          </w:p>
        </w:tc>
        <w:tc>
          <w:tcPr>
            <w:tcW w:w="992" w:type="dxa"/>
            <w:tcBorders>
              <w:top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r w:rsidRPr="00CD5D09">
              <w:rPr>
                <w:rFonts w:cs="Arial"/>
                <w:color w:val="000000"/>
                <w:sz w:val="20"/>
                <w:szCs w:val="20"/>
              </w:rPr>
              <w:t>51</w:t>
            </w:r>
          </w:p>
        </w:tc>
        <w:tc>
          <w:tcPr>
            <w:tcW w:w="850" w:type="dxa"/>
            <w:tcBorders>
              <w:top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c>
          <w:tcPr>
            <w:tcW w:w="851" w:type="dxa"/>
            <w:tcBorders>
              <w:top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c>
          <w:tcPr>
            <w:tcW w:w="850" w:type="dxa"/>
            <w:tcBorders>
              <w:top w:val="nil"/>
              <w:right w:val="single" w:sz="16" w:space="0" w:color="000000"/>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r>
      <w:tr w:rsidR="00FD5242" w:rsidRPr="00CD5D09" w:rsidTr="0017355B">
        <w:trPr>
          <w:cantSplit/>
          <w:tblHeader/>
        </w:trPr>
        <w:tc>
          <w:tcPr>
            <w:tcW w:w="935" w:type="dxa"/>
            <w:vMerge w:val="restart"/>
            <w:tcBorders>
              <w:left w:val="single" w:sz="16" w:space="0" w:color="000000"/>
              <w:right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rPr>
                <w:rFonts w:cs="Arial"/>
                <w:color w:val="000000"/>
                <w:sz w:val="20"/>
                <w:szCs w:val="20"/>
              </w:rPr>
            </w:pPr>
            <w:r w:rsidRPr="00CD5D09">
              <w:rPr>
                <w:rFonts w:cs="Arial"/>
                <w:color w:val="000000"/>
                <w:sz w:val="20"/>
                <w:szCs w:val="20"/>
              </w:rPr>
              <w:t>LEV</w:t>
            </w:r>
          </w:p>
        </w:tc>
        <w:tc>
          <w:tcPr>
            <w:tcW w:w="1192" w:type="dxa"/>
            <w:tcBorders>
              <w:left w:val="nil"/>
              <w:bottom w:val="nil"/>
              <w:right w:val="single" w:sz="16" w:space="0" w:color="000000"/>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rPr>
                <w:rFonts w:cs="Arial"/>
                <w:color w:val="000000"/>
                <w:sz w:val="20"/>
                <w:szCs w:val="20"/>
                <w:lang w:val="en-US"/>
              </w:rPr>
            </w:pPr>
            <w:r w:rsidRPr="00CD5D09">
              <w:rPr>
                <w:rFonts w:cs="Arial"/>
                <w:color w:val="000000"/>
                <w:sz w:val="20"/>
                <w:szCs w:val="20"/>
              </w:rPr>
              <w:t>Pearson</w:t>
            </w:r>
          </w:p>
        </w:tc>
        <w:tc>
          <w:tcPr>
            <w:tcW w:w="992" w:type="dxa"/>
            <w:tcBorders>
              <w:left w:val="single" w:sz="16" w:space="0" w:color="000000"/>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r w:rsidRPr="00CD5D09">
              <w:rPr>
                <w:rFonts w:cs="Arial"/>
                <w:color w:val="000000"/>
                <w:sz w:val="20"/>
                <w:szCs w:val="20"/>
              </w:rPr>
              <w:t>,193</w:t>
            </w:r>
          </w:p>
        </w:tc>
        <w:tc>
          <w:tcPr>
            <w:tcW w:w="850" w:type="dxa"/>
            <w:tcBorders>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rPr>
                <w:rFonts w:cs="Arial"/>
                <w:color w:val="000000"/>
                <w:sz w:val="20"/>
                <w:szCs w:val="20"/>
              </w:rPr>
            </w:pPr>
          </w:p>
        </w:tc>
        <w:tc>
          <w:tcPr>
            <w:tcW w:w="993" w:type="dxa"/>
            <w:tcBorders>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r w:rsidRPr="00CD5D09">
              <w:rPr>
                <w:rFonts w:cs="Arial"/>
                <w:color w:val="000000"/>
                <w:sz w:val="20"/>
                <w:szCs w:val="20"/>
              </w:rPr>
              <w:t>,053</w:t>
            </w:r>
          </w:p>
        </w:tc>
        <w:tc>
          <w:tcPr>
            <w:tcW w:w="992" w:type="dxa"/>
            <w:tcBorders>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r w:rsidRPr="00CD5D09">
              <w:rPr>
                <w:rFonts w:cs="Arial"/>
                <w:color w:val="000000"/>
                <w:sz w:val="20"/>
                <w:szCs w:val="20"/>
              </w:rPr>
              <w:t>-,221</w:t>
            </w:r>
          </w:p>
        </w:tc>
        <w:tc>
          <w:tcPr>
            <w:tcW w:w="850" w:type="dxa"/>
            <w:tcBorders>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r w:rsidRPr="00CD5D09">
              <w:rPr>
                <w:rFonts w:cs="Arial"/>
                <w:color w:val="000000"/>
                <w:sz w:val="20"/>
                <w:szCs w:val="20"/>
              </w:rPr>
              <w:t>1</w:t>
            </w:r>
          </w:p>
        </w:tc>
        <w:tc>
          <w:tcPr>
            <w:tcW w:w="851" w:type="dxa"/>
            <w:tcBorders>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c>
          <w:tcPr>
            <w:tcW w:w="850" w:type="dxa"/>
            <w:tcBorders>
              <w:bottom w:val="nil"/>
              <w:right w:val="single" w:sz="16" w:space="0" w:color="000000"/>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r>
      <w:tr w:rsidR="00FD5242" w:rsidRPr="00CD5D09" w:rsidTr="0017355B">
        <w:trPr>
          <w:cantSplit/>
          <w:tblHeader/>
        </w:trPr>
        <w:tc>
          <w:tcPr>
            <w:tcW w:w="935" w:type="dxa"/>
            <w:vMerge/>
            <w:tcBorders>
              <w:left w:val="single" w:sz="16" w:space="0" w:color="000000"/>
              <w:right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240" w:lineRule="auto"/>
              <w:rPr>
                <w:rFonts w:cs="Arial"/>
                <w:color w:val="000000"/>
                <w:sz w:val="20"/>
                <w:szCs w:val="20"/>
              </w:rPr>
            </w:pPr>
          </w:p>
        </w:tc>
        <w:tc>
          <w:tcPr>
            <w:tcW w:w="1192" w:type="dxa"/>
            <w:tcBorders>
              <w:top w:val="nil"/>
              <w:left w:val="nil"/>
              <w:bottom w:val="nil"/>
              <w:right w:val="single" w:sz="16" w:space="0" w:color="000000"/>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rPr>
                <w:rFonts w:cs="Arial"/>
                <w:color w:val="000000"/>
                <w:sz w:val="20"/>
                <w:szCs w:val="20"/>
              </w:rPr>
            </w:pPr>
            <w:r w:rsidRPr="00CD5D09">
              <w:rPr>
                <w:rFonts w:cs="Arial"/>
                <w:color w:val="000000"/>
                <w:sz w:val="20"/>
                <w:szCs w:val="20"/>
              </w:rPr>
              <w:t>Sig. (2-tailed)</w:t>
            </w:r>
          </w:p>
        </w:tc>
        <w:tc>
          <w:tcPr>
            <w:tcW w:w="992" w:type="dxa"/>
            <w:tcBorders>
              <w:top w:val="nil"/>
              <w:left w:val="single" w:sz="16" w:space="0" w:color="000000"/>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r w:rsidRPr="00CD5D09">
              <w:rPr>
                <w:rFonts w:cs="Arial"/>
                <w:color w:val="000000"/>
                <w:sz w:val="20"/>
                <w:szCs w:val="20"/>
              </w:rPr>
              <w:t>,203</w:t>
            </w:r>
          </w:p>
        </w:tc>
        <w:tc>
          <w:tcPr>
            <w:tcW w:w="850" w:type="dxa"/>
            <w:tcBorders>
              <w:top w:val="nil"/>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rPr>
                <w:rFonts w:cs="Arial"/>
                <w:color w:val="000000"/>
                <w:sz w:val="20"/>
                <w:szCs w:val="20"/>
              </w:rPr>
            </w:pPr>
          </w:p>
        </w:tc>
        <w:tc>
          <w:tcPr>
            <w:tcW w:w="993" w:type="dxa"/>
            <w:tcBorders>
              <w:top w:val="nil"/>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r w:rsidRPr="00CD5D09">
              <w:rPr>
                <w:rFonts w:cs="Arial"/>
                <w:color w:val="000000"/>
                <w:sz w:val="20"/>
                <w:szCs w:val="20"/>
              </w:rPr>
              <w:t>,711</w:t>
            </w:r>
          </w:p>
        </w:tc>
        <w:tc>
          <w:tcPr>
            <w:tcW w:w="992" w:type="dxa"/>
            <w:tcBorders>
              <w:top w:val="nil"/>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r w:rsidRPr="00CD5D09">
              <w:rPr>
                <w:rFonts w:cs="Arial"/>
                <w:color w:val="000000"/>
                <w:sz w:val="20"/>
                <w:szCs w:val="20"/>
              </w:rPr>
              <w:t>,120</w:t>
            </w:r>
          </w:p>
        </w:tc>
        <w:tc>
          <w:tcPr>
            <w:tcW w:w="850" w:type="dxa"/>
            <w:tcBorders>
              <w:top w:val="nil"/>
              <w:bottom w:val="nil"/>
            </w:tcBorders>
            <w:shd w:val="clear" w:color="auto" w:fill="FFFFFF"/>
            <w:tcMar>
              <w:top w:w="30" w:type="dxa"/>
              <w:left w:w="30" w:type="dxa"/>
              <w:bottom w:w="30" w:type="dxa"/>
              <w:right w:w="30" w:type="dxa"/>
            </w:tcMar>
            <w:vAlign w:val="center"/>
          </w:tcPr>
          <w:p w:rsidR="00FD5242" w:rsidRPr="00CD5D09" w:rsidRDefault="00FD5242" w:rsidP="00386109">
            <w:pPr>
              <w:autoSpaceDE w:val="0"/>
              <w:autoSpaceDN w:val="0"/>
              <w:adjustRightInd w:val="0"/>
              <w:spacing w:after="0" w:line="240" w:lineRule="auto"/>
              <w:jc w:val="center"/>
              <w:rPr>
                <w:sz w:val="20"/>
                <w:szCs w:val="20"/>
              </w:rPr>
            </w:pPr>
          </w:p>
        </w:tc>
        <w:tc>
          <w:tcPr>
            <w:tcW w:w="851" w:type="dxa"/>
            <w:tcBorders>
              <w:top w:val="nil"/>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c>
          <w:tcPr>
            <w:tcW w:w="850" w:type="dxa"/>
            <w:tcBorders>
              <w:top w:val="nil"/>
              <w:bottom w:val="nil"/>
              <w:right w:val="single" w:sz="16" w:space="0" w:color="000000"/>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r>
      <w:tr w:rsidR="00FD5242" w:rsidRPr="00CD5D09" w:rsidTr="0017355B">
        <w:trPr>
          <w:cantSplit/>
          <w:tblHeader/>
        </w:trPr>
        <w:tc>
          <w:tcPr>
            <w:tcW w:w="935" w:type="dxa"/>
            <w:vMerge/>
            <w:tcBorders>
              <w:left w:val="single" w:sz="16" w:space="0" w:color="000000"/>
              <w:right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240" w:lineRule="auto"/>
              <w:rPr>
                <w:rFonts w:cs="Arial"/>
                <w:color w:val="000000"/>
                <w:sz w:val="20"/>
                <w:szCs w:val="20"/>
              </w:rPr>
            </w:pPr>
          </w:p>
        </w:tc>
        <w:tc>
          <w:tcPr>
            <w:tcW w:w="1192" w:type="dxa"/>
            <w:tcBorders>
              <w:top w:val="nil"/>
              <w:left w:val="nil"/>
              <w:right w:val="single" w:sz="16" w:space="0" w:color="000000"/>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rPr>
                <w:rFonts w:cs="Arial"/>
                <w:color w:val="000000"/>
                <w:sz w:val="20"/>
                <w:szCs w:val="20"/>
              </w:rPr>
            </w:pPr>
            <w:r w:rsidRPr="00CD5D09">
              <w:rPr>
                <w:rFonts w:cs="Arial"/>
                <w:color w:val="000000"/>
                <w:sz w:val="20"/>
                <w:szCs w:val="20"/>
              </w:rPr>
              <w:t>N</w:t>
            </w:r>
          </w:p>
        </w:tc>
        <w:tc>
          <w:tcPr>
            <w:tcW w:w="992" w:type="dxa"/>
            <w:tcBorders>
              <w:top w:val="nil"/>
              <w:left w:val="single" w:sz="16" w:space="0" w:color="000000"/>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r w:rsidRPr="00CD5D09">
              <w:rPr>
                <w:rFonts w:cs="Arial"/>
                <w:color w:val="000000"/>
                <w:sz w:val="20"/>
                <w:szCs w:val="20"/>
              </w:rPr>
              <w:t>45</w:t>
            </w:r>
          </w:p>
        </w:tc>
        <w:tc>
          <w:tcPr>
            <w:tcW w:w="850" w:type="dxa"/>
            <w:tcBorders>
              <w:top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c>
          <w:tcPr>
            <w:tcW w:w="993" w:type="dxa"/>
            <w:tcBorders>
              <w:top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r w:rsidRPr="00CD5D09">
              <w:rPr>
                <w:rFonts w:cs="Arial"/>
                <w:color w:val="000000"/>
                <w:sz w:val="20"/>
                <w:szCs w:val="20"/>
              </w:rPr>
              <w:t>51</w:t>
            </w:r>
          </w:p>
        </w:tc>
        <w:tc>
          <w:tcPr>
            <w:tcW w:w="992" w:type="dxa"/>
            <w:tcBorders>
              <w:top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r w:rsidRPr="00CD5D09">
              <w:rPr>
                <w:rFonts w:cs="Arial"/>
                <w:color w:val="000000"/>
                <w:sz w:val="20"/>
                <w:szCs w:val="20"/>
              </w:rPr>
              <w:t>51</w:t>
            </w:r>
          </w:p>
        </w:tc>
        <w:tc>
          <w:tcPr>
            <w:tcW w:w="850" w:type="dxa"/>
            <w:tcBorders>
              <w:top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r w:rsidRPr="00CD5D09">
              <w:rPr>
                <w:rFonts w:cs="Arial"/>
                <w:color w:val="000000"/>
                <w:sz w:val="20"/>
                <w:szCs w:val="20"/>
              </w:rPr>
              <w:t>51</w:t>
            </w:r>
          </w:p>
        </w:tc>
        <w:tc>
          <w:tcPr>
            <w:tcW w:w="851" w:type="dxa"/>
            <w:tcBorders>
              <w:top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c>
          <w:tcPr>
            <w:tcW w:w="850" w:type="dxa"/>
            <w:tcBorders>
              <w:top w:val="nil"/>
              <w:right w:val="single" w:sz="16" w:space="0" w:color="000000"/>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r>
      <w:tr w:rsidR="00FD5242" w:rsidRPr="00CD5D09" w:rsidTr="0017355B">
        <w:trPr>
          <w:cantSplit/>
          <w:tblHeader/>
        </w:trPr>
        <w:tc>
          <w:tcPr>
            <w:tcW w:w="935" w:type="dxa"/>
            <w:vMerge w:val="restart"/>
            <w:tcBorders>
              <w:left w:val="single" w:sz="16" w:space="0" w:color="000000"/>
              <w:right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rPr>
                <w:rFonts w:cs="Arial"/>
                <w:color w:val="000000"/>
                <w:sz w:val="20"/>
                <w:szCs w:val="20"/>
              </w:rPr>
            </w:pPr>
            <w:r>
              <w:rPr>
                <w:rFonts w:cs="Arial"/>
                <w:color w:val="000000"/>
                <w:sz w:val="20"/>
                <w:szCs w:val="20"/>
              </w:rPr>
              <w:t>I</w:t>
            </w:r>
            <w:r>
              <w:rPr>
                <w:rFonts w:cs="Arial"/>
                <w:color w:val="000000"/>
                <w:sz w:val="20"/>
                <w:szCs w:val="20"/>
                <w:lang w:val="en-US"/>
              </w:rPr>
              <w:t>N</w:t>
            </w:r>
            <w:r w:rsidRPr="00CD5D09">
              <w:rPr>
                <w:rFonts w:cs="Arial"/>
                <w:color w:val="000000"/>
                <w:sz w:val="20"/>
                <w:szCs w:val="20"/>
              </w:rPr>
              <w:t>VREC</w:t>
            </w:r>
          </w:p>
        </w:tc>
        <w:tc>
          <w:tcPr>
            <w:tcW w:w="1192" w:type="dxa"/>
            <w:tcBorders>
              <w:left w:val="nil"/>
              <w:bottom w:val="nil"/>
              <w:right w:val="single" w:sz="16" w:space="0" w:color="000000"/>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rPr>
                <w:rFonts w:cs="Arial"/>
                <w:color w:val="000000"/>
                <w:sz w:val="20"/>
                <w:szCs w:val="20"/>
                <w:lang w:val="en-US"/>
              </w:rPr>
            </w:pPr>
            <w:r w:rsidRPr="00CD5D09">
              <w:rPr>
                <w:rFonts w:cs="Arial"/>
                <w:color w:val="000000"/>
                <w:sz w:val="20"/>
                <w:szCs w:val="20"/>
              </w:rPr>
              <w:t xml:space="preserve">Pearson </w:t>
            </w:r>
          </w:p>
        </w:tc>
        <w:tc>
          <w:tcPr>
            <w:tcW w:w="992" w:type="dxa"/>
            <w:tcBorders>
              <w:left w:val="single" w:sz="16" w:space="0" w:color="000000"/>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r w:rsidRPr="00CD5D09">
              <w:rPr>
                <w:rFonts w:cs="Arial"/>
                <w:color w:val="000000"/>
                <w:sz w:val="20"/>
                <w:szCs w:val="20"/>
              </w:rPr>
              <w:t>,000</w:t>
            </w:r>
          </w:p>
        </w:tc>
        <w:tc>
          <w:tcPr>
            <w:tcW w:w="850" w:type="dxa"/>
            <w:tcBorders>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rPr>
                <w:rFonts w:cs="Arial"/>
                <w:color w:val="000000"/>
                <w:sz w:val="20"/>
                <w:szCs w:val="20"/>
              </w:rPr>
            </w:pPr>
          </w:p>
        </w:tc>
        <w:tc>
          <w:tcPr>
            <w:tcW w:w="993" w:type="dxa"/>
            <w:tcBorders>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r w:rsidRPr="00CD5D09">
              <w:rPr>
                <w:rFonts w:cs="Arial"/>
                <w:color w:val="000000"/>
                <w:sz w:val="20"/>
                <w:szCs w:val="20"/>
              </w:rPr>
              <w:t>-,277</w:t>
            </w:r>
            <w:r w:rsidRPr="00CD5D09">
              <w:rPr>
                <w:rFonts w:cs="Arial"/>
                <w:color w:val="000000"/>
                <w:sz w:val="20"/>
                <w:szCs w:val="20"/>
                <w:vertAlign w:val="superscript"/>
              </w:rPr>
              <w:t>*</w:t>
            </w:r>
          </w:p>
        </w:tc>
        <w:tc>
          <w:tcPr>
            <w:tcW w:w="992" w:type="dxa"/>
            <w:tcBorders>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r w:rsidRPr="00CD5D09">
              <w:rPr>
                <w:rFonts w:cs="Arial"/>
                <w:color w:val="000000"/>
                <w:sz w:val="20"/>
                <w:szCs w:val="20"/>
              </w:rPr>
              <w:t>-,103</w:t>
            </w:r>
          </w:p>
        </w:tc>
        <w:tc>
          <w:tcPr>
            <w:tcW w:w="850" w:type="dxa"/>
            <w:tcBorders>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r w:rsidRPr="00CD5D09">
              <w:rPr>
                <w:rFonts w:cs="Arial"/>
                <w:color w:val="000000"/>
                <w:sz w:val="20"/>
                <w:szCs w:val="20"/>
              </w:rPr>
              <w:t>,005</w:t>
            </w:r>
          </w:p>
        </w:tc>
        <w:tc>
          <w:tcPr>
            <w:tcW w:w="851" w:type="dxa"/>
            <w:tcBorders>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r w:rsidRPr="00CD5D09">
              <w:rPr>
                <w:rFonts w:cs="Arial"/>
                <w:color w:val="000000"/>
                <w:sz w:val="20"/>
                <w:szCs w:val="20"/>
              </w:rPr>
              <w:t>1</w:t>
            </w:r>
          </w:p>
        </w:tc>
        <w:tc>
          <w:tcPr>
            <w:tcW w:w="850" w:type="dxa"/>
            <w:tcBorders>
              <w:bottom w:val="nil"/>
              <w:right w:val="single" w:sz="16" w:space="0" w:color="000000"/>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r>
      <w:tr w:rsidR="00FD5242" w:rsidRPr="00CD5D09" w:rsidTr="0017355B">
        <w:trPr>
          <w:cantSplit/>
          <w:tblHeader/>
        </w:trPr>
        <w:tc>
          <w:tcPr>
            <w:tcW w:w="935" w:type="dxa"/>
            <w:vMerge/>
            <w:tcBorders>
              <w:left w:val="single" w:sz="16" w:space="0" w:color="000000"/>
              <w:right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240" w:lineRule="auto"/>
              <w:rPr>
                <w:rFonts w:cs="Arial"/>
                <w:color w:val="000000"/>
                <w:sz w:val="20"/>
                <w:szCs w:val="20"/>
              </w:rPr>
            </w:pPr>
          </w:p>
        </w:tc>
        <w:tc>
          <w:tcPr>
            <w:tcW w:w="1192" w:type="dxa"/>
            <w:tcBorders>
              <w:top w:val="nil"/>
              <w:left w:val="nil"/>
              <w:bottom w:val="nil"/>
              <w:right w:val="single" w:sz="16" w:space="0" w:color="000000"/>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rPr>
                <w:rFonts w:cs="Arial"/>
                <w:color w:val="000000"/>
                <w:sz w:val="20"/>
                <w:szCs w:val="20"/>
              </w:rPr>
            </w:pPr>
            <w:r w:rsidRPr="00CD5D09">
              <w:rPr>
                <w:rFonts w:cs="Arial"/>
                <w:color w:val="000000"/>
                <w:sz w:val="20"/>
                <w:szCs w:val="20"/>
              </w:rPr>
              <w:t>Sig. (2-tailed)</w:t>
            </w:r>
          </w:p>
        </w:tc>
        <w:tc>
          <w:tcPr>
            <w:tcW w:w="992" w:type="dxa"/>
            <w:tcBorders>
              <w:top w:val="nil"/>
              <w:left w:val="single" w:sz="16" w:space="0" w:color="000000"/>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r w:rsidRPr="00CD5D09">
              <w:rPr>
                <w:rFonts w:cs="Arial"/>
                <w:color w:val="000000"/>
                <w:sz w:val="20"/>
                <w:szCs w:val="20"/>
              </w:rPr>
              <w:t>,997</w:t>
            </w:r>
          </w:p>
        </w:tc>
        <w:tc>
          <w:tcPr>
            <w:tcW w:w="850" w:type="dxa"/>
            <w:tcBorders>
              <w:top w:val="nil"/>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rPr>
                <w:rFonts w:cs="Arial"/>
                <w:color w:val="000000"/>
                <w:sz w:val="20"/>
                <w:szCs w:val="20"/>
              </w:rPr>
            </w:pPr>
          </w:p>
        </w:tc>
        <w:tc>
          <w:tcPr>
            <w:tcW w:w="993" w:type="dxa"/>
            <w:tcBorders>
              <w:top w:val="nil"/>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r w:rsidRPr="00CD5D09">
              <w:rPr>
                <w:rFonts w:cs="Arial"/>
                <w:color w:val="000000"/>
                <w:sz w:val="20"/>
                <w:szCs w:val="20"/>
              </w:rPr>
              <w:t>,049</w:t>
            </w:r>
          </w:p>
        </w:tc>
        <w:tc>
          <w:tcPr>
            <w:tcW w:w="992" w:type="dxa"/>
            <w:tcBorders>
              <w:top w:val="nil"/>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r w:rsidRPr="00CD5D09">
              <w:rPr>
                <w:rFonts w:cs="Arial"/>
                <w:color w:val="000000"/>
                <w:sz w:val="20"/>
                <w:szCs w:val="20"/>
              </w:rPr>
              <w:t>,471</w:t>
            </w:r>
          </w:p>
        </w:tc>
        <w:tc>
          <w:tcPr>
            <w:tcW w:w="850" w:type="dxa"/>
            <w:tcBorders>
              <w:top w:val="nil"/>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r w:rsidRPr="00CD5D09">
              <w:rPr>
                <w:rFonts w:cs="Arial"/>
                <w:color w:val="000000"/>
                <w:sz w:val="20"/>
                <w:szCs w:val="20"/>
              </w:rPr>
              <w:t>,975</w:t>
            </w:r>
          </w:p>
        </w:tc>
        <w:tc>
          <w:tcPr>
            <w:tcW w:w="851" w:type="dxa"/>
            <w:tcBorders>
              <w:top w:val="nil"/>
              <w:bottom w:val="nil"/>
            </w:tcBorders>
            <w:shd w:val="clear" w:color="auto" w:fill="FFFFFF"/>
            <w:tcMar>
              <w:top w:w="30" w:type="dxa"/>
              <w:left w:w="30" w:type="dxa"/>
              <w:bottom w:w="30" w:type="dxa"/>
              <w:right w:w="30" w:type="dxa"/>
            </w:tcMar>
            <w:vAlign w:val="center"/>
          </w:tcPr>
          <w:p w:rsidR="00FD5242" w:rsidRPr="00CD5D09" w:rsidRDefault="00FD5242" w:rsidP="00386109">
            <w:pPr>
              <w:autoSpaceDE w:val="0"/>
              <w:autoSpaceDN w:val="0"/>
              <w:adjustRightInd w:val="0"/>
              <w:spacing w:after="0" w:line="240" w:lineRule="auto"/>
              <w:jc w:val="center"/>
              <w:rPr>
                <w:sz w:val="20"/>
                <w:szCs w:val="20"/>
              </w:rPr>
            </w:pPr>
          </w:p>
        </w:tc>
        <w:tc>
          <w:tcPr>
            <w:tcW w:w="850" w:type="dxa"/>
            <w:tcBorders>
              <w:top w:val="nil"/>
              <w:bottom w:val="nil"/>
              <w:right w:val="single" w:sz="16" w:space="0" w:color="000000"/>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r>
      <w:tr w:rsidR="00FD5242" w:rsidRPr="00CD5D09" w:rsidTr="0017355B">
        <w:trPr>
          <w:cantSplit/>
          <w:tblHeader/>
        </w:trPr>
        <w:tc>
          <w:tcPr>
            <w:tcW w:w="935" w:type="dxa"/>
            <w:vMerge/>
            <w:tcBorders>
              <w:left w:val="single" w:sz="16" w:space="0" w:color="000000"/>
              <w:right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240" w:lineRule="auto"/>
              <w:rPr>
                <w:rFonts w:cs="Arial"/>
                <w:color w:val="000000"/>
                <w:sz w:val="20"/>
                <w:szCs w:val="20"/>
              </w:rPr>
            </w:pPr>
          </w:p>
        </w:tc>
        <w:tc>
          <w:tcPr>
            <w:tcW w:w="1192" w:type="dxa"/>
            <w:tcBorders>
              <w:top w:val="nil"/>
              <w:left w:val="nil"/>
              <w:right w:val="single" w:sz="16" w:space="0" w:color="000000"/>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rPr>
                <w:rFonts w:cs="Arial"/>
                <w:color w:val="000000"/>
                <w:sz w:val="20"/>
                <w:szCs w:val="20"/>
              </w:rPr>
            </w:pPr>
            <w:r w:rsidRPr="00CD5D09">
              <w:rPr>
                <w:rFonts w:cs="Arial"/>
                <w:color w:val="000000"/>
                <w:sz w:val="20"/>
                <w:szCs w:val="20"/>
              </w:rPr>
              <w:t>N</w:t>
            </w:r>
          </w:p>
        </w:tc>
        <w:tc>
          <w:tcPr>
            <w:tcW w:w="992" w:type="dxa"/>
            <w:tcBorders>
              <w:top w:val="nil"/>
              <w:left w:val="single" w:sz="16" w:space="0" w:color="000000"/>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r w:rsidRPr="00CD5D09">
              <w:rPr>
                <w:rFonts w:cs="Arial"/>
                <w:color w:val="000000"/>
                <w:sz w:val="20"/>
                <w:szCs w:val="20"/>
              </w:rPr>
              <w:t>45</w:t>
            </w:r>
          </w:p>
        </w:tc>
        <w:tc>
          <w:tcPr>
            <w:tcW w:w="850" w:type="dxa"/>
            <w:tcBorders>
              <w:top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c>
          <w:tcPr>
            <w:tcW w:w="993" w:type="dxa"/>
            <w:tcBorders>
              <w:top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r w:rsidRPr="00CD5D09">
              <w:rPr>
                <w:rFonts w:cs="Arial"/>
                <w:color w:val="000000"/>
                <w:sz w:val="20"/>
                <w:szCs w:val="20"/>
              </w:rPr>
              <w:t>51</w:t>
            </w:r>
          </w:p>
        </w:tc>
        <w:tc>
          <w:tcPr>
            <w:tcW w:w="992" w:type="dxa"/>
            <w:tcBorders>
              <w:top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r w:rsidRPr="00CD5D09">
              <w:rPr>
                <w:rFonts w:cs="Arial"/>
                <w:color w:val="000000"/>
                <w:sz w:val="20"/>
                <w:szCs w:val="20"/>
              </w:rPr>
              <w:t>51</w:t>
            </w:r>
          </w:p>
        </w:tc>
        <w:tc>
          <w:tcPr>
            <w:tcW w:w="850" w:type="dxa"/>
            <w:tcBorders>
              <w:top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r w:rsidRPr="00CD5D09">
              <w:rPr>
                <w:rFonts w:cs="Arial"/>
                <w:color w:val="000000"/>
                <w:sz w:val="20"/>
                <w:szCs w:val="20"/>
              </w:rPr>
              <w:t>51</w:t>
            </w:r>
          </w:p>
        </w:tc>
        <w:tc>
          <w:tcPr>
            <w:tcW w:w="851" w:type="dxa"/>
            <w:tcBorders>
              <w:top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r w:rsidRPr="00CD5D09">
              <w:rPr>
                <w:rFonts w:cs="Arial"/>
                <w:color w:val="000000"/>
                <w:sz w:val="20"/>
                <w:szCs w:val="20"/>
              </w:rPr>
              <w:t>51</w:t>
            </w:r>
          </w:p>
        </w:tc>
        <w:tc>
          <w:tcPr>
            <w:tcW w:w="850" w:type="dxa"/>
            <w:tcBorders>
              <w:top w:val="nil"/>
              <w:right w:val="single" w:sz="16" w:space="0" w:color="000000"/>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r>
      <w:tr w:rsidR="00FD5242" w:rsidRPr="00CD5D09" w:rsidTr="0017355B">
        <w:trPr>
          <w:cantSplit/>
          <w:tblHeader/>
        </w:trPr>
        <w:tc>
          <w:tcPr>
            <w:tcW w:w="935" w:type="dxa"/>
            <w:vMerge w:val="restart"/>
            <w:tcBorders>
              <w:left w:val="single" w:sz="16" w:space="0" w:color="000000"/>
              <w:bottom w:val="single" w:sz="16" w:space="0" w:color="000000"/>
              <w:right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rPr>
                <w:rFonts w:cs="Arial"/>
                <w:color w:val="000000"/>
                <w:sz w:val="20"/>
                <w:szCs w:val="20"/>
              </w:rPr>
            </w:pPr>
            <w:r w:rsidRPr="00CD5D09">
              <w:rPr>
                <w:rFonts w:cs="Arial"/>
                <w:color w:val="000000"/>
                <w:sz w:val="20"/>
                <w:szCs w:val="20"/>
              </w:rPr>
              <w:t>ROI</w:t>
            </w:r>
          </w:p>
        </w:tc>
        <w:tc>
          <w:tcPr>
            <w:tcW w:w="1192" w:type="dxa"/>
            <w:tcBorders>
              <w:left w:val="nil"/>
              <w:bottom w:val="nil"/>
              <w:right w:val="single" w:sz="16" w:space="0" w:color="000000"/>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rPr>
                <w:rFonts w:cs="Arial"/>
                <w:color w:val="000000"/>
                <w:sz w:val="20"/>
                <w:szCs w:val="20"/>
                <w:lang w:val="en-US"/>
              </w:rPr>
            </w:pPr>
            <w:r w:rsidRPr="00CD5D09">
              <w:rPr>
                <w:rFonts w:cs="Arial"/>
                <w:color w:val="000000"/>
                <w:sz w:val="20"/>
                <w:szCs w:val="20"/>
              </w:rPr>
              <w:t xml:space="preserve">Pearson </w:t>
            </w:r>
          </w:p>
        </w:tc>
        <w:tc>
          <w:tcPr>
            <w:tcW w:w="992" w:type="dxa"/>
            <w:tcBorders>
              <w:left w:val="single" w:sz="16" w:space="0" w:color="000000"/>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r w:rsidRPr="00CD5D09">
              <w:rPr>
                <w:rFonts w:cs="Arial"/>
                <w:color w:val="000000"/>
                <w:sz w:val="20"/>
                <w:szCs w:val="20"/>
              </w:rPr>
              <w:t>-,070</w:t>
            </w:r>
          </w:p>
        </w:tc>
        <w:tc>
          <w:tcPr>
            <w:tcW w:w="850" w:type="dxa"/>
            <w:tcBorders>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rPr>
                <w:rFonts w:cs="Arial"/>
                <w:color w:val="000000"/>
                <w:sz w:val="20"/>
                <w:szCs w:val="20"/>
              </w:rPr>
            </w:pPr>
          </w:p>
        </w:tc>
        <w:tc>
          <w:tcPr>
            <w:tcW w:w="993" w:type="dxa"/>
            <w:tcBorders>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r w:rsidRPr="00CD5D09">
              <w:rPr>
                <w:rFonts w:cs="Arial"/>
                <w:color w:val="000000"/>
                <w:sz w:val="20"/>
                <w:szCs w:val="20"/>
              </w:rPr>
              <w:t>,134</w:t>
            </w:r>
          </w:p>
        </w:tc>
        <w:tc>
          <w:tcPr>
            <w:tcW w:w="992" w:type="dxa"/>
            <w:tcBorders>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r w:rsidRPr="00CD5D09">
              <w:rPr>
                <w:rFonts w:cs="Arial"/>
                <w:color w:val="000000"/>
                <w:sz w:val="20"/>
                <w:szCs w:val="20"/>
              </w:rPr>
              <w:t>,166</w:t>
            </w:r>
          </w:p>
        </w:tc>
        <w:tc>
          <w:tcPr>
            <w:tcW w:w="850" w:type="dxa"/>
            <w:tcBorders>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r w:rsidRPr="00CD5D09">
              <w:rPr>
                <w:rFonts w:cs="Arial"/>
                <w:color w:val="000000"/>
                <w:sz w:val="20"/>
                <w:szCs w:val="20"/>
              </w:rPr>
              <w:t>-,254</w:t>
            </w:r>
          </w:p>
        </w:tc>
        <w:tc>
          <w:tcPr>
            <w:tcW w:w="851" w:type="dxa"/>
            <w:tcBorders>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r w:rsidRPr="00CD5D09">
              <w:rPr>
                <w:rFonts w:cs="Arial"/>
                <w:color w:val="000000"/>
                <w:sz w:val="20"/>
                <w:szCs w:val="20"/>
              </w:rPr>
              <w:t>,087</w:t>
            </w:r>
          </w:p>
        </w:tc>
        <w:tc>
          <w:tcPr>
            <w:tcW w:w="850" w:type="dxa"/>
            <w:tcBorders>
              <w:bottom w:val="nil"/>
              <w:right w:val="single" w:sz="16" w:space="0" w:color="000000"/>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r w:rsidRPr="00CD5D09">
              <w:rPr>
                <w:rFonts w:cs="Arial"/>
                <w:color w:val="000000"/>
                <w:sz w:val="20"/>
                <w:szCs w:val="20"/>
              </w:rPr>
              <w:t>1</w:t>
            </w:r>
          </w:p>
        </w:tc>
      </w:tr>
      <w:tr w:rsidR="00FD5242" w:rsidRPr="00CD5D09" w:rsidTr="0017355B">
        <w:trPr>
          <w:cantSplit/>
          <w:tblHeader/>
        </w:trPr>
        <w:tc>
          <w:tcPr>
            <w:tcW w:w="935" w:type="dxa"/>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240" w:lineRule="auto"/>
              <w:rPr>
                <w:rFonts w:cs="Arial"/>
                <w:color w:val="000000"/>
                <w:sz w:val="20"/>
                <w:szCs w:val="20"/>
              </w:rPr>
            </w:pPr>
          </w:p>
        </w:tc>
        <w:tc>
          <w:tcPr>
            <w:tcW w:w="1192" w:type="dxa"/>
            <w:tcBorders>
              <w:top w:val="nil"/>
              <w:left w:val="nil"/>
              <w:bottom w:val="nil"/>
              <w:right w:val="single" w:sz="16" w:space="0" w:color="000000"/>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rPr>
                <w:rFonts w:cs="Arial"/>
                <w:color w:val="000000"/>
                <w:sz w:val="20"/>
                <w:szCs w:val="20"/>
              </w:rPr>
            </w:pPr>
            <w:r w:rsidRPr="00CD5D09">
              <w:rPr>
                <w:rFonts w:cs="Arial"/>
                <w:color w:val="000000"/>
                <w:sz w:val="20"/>
                <w:szCs w:val="20"/>
              </w:rPr>
              <w:t>Sig. (2-tailed)</w:t>
            </w:r>
          </w:p>
        </w:tc>
        <w:tc>
          <w:tcPr>
            <w:tcW w:w="992" w:type="dxa"/>
            <w:tcBorders>
              <w:top w:val="nil"/>
              <w:left w:val="single" w:sz="16" w:space="0" w:color="000000"/>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r w:rsidRPr="00CD5D09">
              <w:rPr>
                <w:rFonts w:cs="Arial"/>
                <w:color w:val="000000"/>
                <w:sz w:val="20"/>
                <w:szCs w:val="20"/>
              </w:rPr>
              <w:t>,647</w:t>
            </w:r>
          </w:p>
        </w:tc>
        <w:tc>
          <w:tcPr>
            <w:tcW w:w="850" w:type="dxa"/>
            <w:tcBorders>
              <w:top w:val="nil"/>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rPr>
                <w:rFonts w:cs="Arial"/>
                <w:color w:val="000000"/>
                <w:sz w:val="20"/>
                <w:szCs w:val="20"/>
              </w:rPr>
            </w:pPr>
          </w:p>
        </w:tc>
        <w:tc>
          <w:tcPr>
            <w:tcW w:w="993" w:type="dxa"/>
            <w:tcBorders>
              <w:top w:val="nil"/>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r w:rsidRPr="00CD5D09">
              <w:rPr>
                <w:rFonts w:cs="Arial"/>
                <w:color w:val="000000"/>
                <w:sz w:val="20"/>
                <w:szCs w:val="20"/>
              </w:rPr>
              <w:t>,349</w:t>
            </w:r>
          </w:p>
        </w:tc>
        <w:tc>
          <w:tcPr>
            <w:tcW w:w="992" w:type="dxa"/>
            <w:tcBorders>
              <w:top w:val="nil"/>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r w:rsidRPr="00CD5D09">
              <w:rPr>
                <w:rFonts w:cs="Arial"/>
                <w:color w:val="000000"/>
                <w:sz w:val="20"/>
                <w:szCs w:val="20"/>
              </w:rPr>
              <w:t>,246</w:t>
            </w:r>
          </w:p>
        </w:tc>
        <w:tc>
          <w:tcPr>
            <w:tcW w:w="850" w:type="dxa"/>
            <w:tcBorders>
              <w:top w:val="nil"/>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r w:rsidRPr="00CD5D09">
              <w:rPr>
                <w:rFonts w:cs="Arial"/>
                <w:color w:val="000000"/>
                <w:sz w:val="20"/>
                <w:szCs w:val="20"/>
              </w:rPr>
              <w:t>,072</w:t>
            </w:r>
          </w:p>
        </w:tc>
        <w:tc>
          <w:tcPr>
            <w:tcW w:w="851" w:type="dxa"/>
            <w:tcBorders>
              <w:top w:val="nil"/>
              <w:bottom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r w:rsidRPr="00CD5D09">
              <w:rPr>
                <w:rFonts w:cs="Arial"/>
                <w:color w:val="000000"/>
                <w:sz w:val="20"/>
                <w:szCs w:val="20"/>
              </w:rPr>
              <w:t>,542</w:t>
            </w:r>
          </w:p>
        </w:tc>
        <w:tc>
          <w:tcPr>
            <w:tcW w:w="850" w:type="dxa"/>
            <w:tcBorders>
              <w:top w:val="nil"/>
              <w:bottom w:val="nil"/>
              <w:right w:val="single" w:sz="16" w:space="0" w:color="000000"/>
            </w:tcBorders>
            <w:shd w:val="clear" w:color="auto" w:fill="FFFFFF"/>
            <w:tcMar>
              <w:top w:w="30" w:type="dxa"/>
              <w:left w:w="30" w:type="dxa"/>
              <w:bottom w:w="30" w:type="dxa"/>
              <w:right w:w="30" w:type="dxa"/>
            </w:tcMar>
            <w:vAlign w:val="center"/>
          </w:tcPr>
          <w:p w:rsidR="00FD5242" w:rsidRPr="00CD5D09" w:rsidRDefault="00FD5242" w:rsidP="00386109">
            <w:pPr>
              <w:autoSpaceDE w:val="0"/>
              <w:autoSpaceDN w:val="0"/>
              <w:adjustRightInd w:val="0"/>
              <w:spacing w:after="0" w:line="240" w:lineRule="auto"/>
              <w:jc w:val="center"/>
              <w:rPr>
                <w:sz w:val="20"/>
                <w:szCs w:val="20"/>
              </w:rPr>
            </w:pPr>
          </w:p>
        </w:tc>
      </w:tr>
      <w:tr w:rsidR="00FD5242" w:rsidRPr="00CD5D09" w:rsidTr="0017355B">
        <w:trPr>
          <w:cantSplit/>
          <w:tblHeader/>
        </w:trPr>
        <w:tc>
          <w:tcPr>
            <w:tcW w:w="935" w:type="dxa"/>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240" w:lineRule="auto"/>
              <w:rPr>
                <w:sz w:val="20"/>
                <w:szCs w:val="20"/>
              </w:rPr>
            </w:pPr>
          </w:p>
        </w:tc>
        <w:tc>
          <w:tcPr>
            <w:tcW w:w="1192"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rPr>
                <w:rFonts w:cs="Arial"/>
                <w:color w:val="000000"/>
                <w:sz w:val="20"/>
                <w:szCs w:val="20"/>
              </w:rPr>
            </w:pPr>
            <w:r w:rsidRPr="00CD5D09">
              <w:rPr>
                <w:rFonts w:cs="Arial"/>
                <w:color w:val="000000"/>
                <w:sz w:val="20"/>
                <w:szCs w:val="20"/>
              </w:rPr>
              <w:t>N</w:t>
            </w:r>
          </w:p>
        </w:tc>
        <w:tc>
          <w:tcPr>
            <w:tcW w:w="992"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r w:rsidRPr="00CD5D09">
              <w:rPr>
                <w:rFonts w:cs="Arial"/>
                <w:color w:val="000000"/>
                <w:sz w:val="20"/>
                <w:szCs w:val="20"/>
              </w:rPr>
              <w:t>45</w:t>
            </w:r>
          </w:p>
        </w:tc>
        <w:tc>
          <w:tcPr>
            <w:tcW w:w="850" w:type="dxa"/>
            <w:tcBorders>
              <w:top w:val="nil"/>
              <w:bottom w:val="single" w:sz="16" w:space="0" w:color="000000"/>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p>
        </w:tc>
        <w:tc>
          <w:tcPr>
            <w:tcW w:w="993" w:type="dxa"/>
            <w:tcBorders>
              <w:top w:val="nil"/>
              <w:bottom w:val="single" w:sz="16" w:space="0" w:color="000000"/>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r w:rsidRPr="00CD5D09">
              <w:rPr>
                <w:rFonts w:cs="Arial"/>
                <w:color w:val="000000"/>
                <w:sz w:val="20"/>
                <w:szCs w:val="20"/>
              </w:rPr>
              <w:t>51</w:t>
            </w:r>
          </w:p>
        </w:tc>
        <w:tc>
          <w:tcPr>
            <w:tcW w:w="992" w:type="dxa"/>
            <w:tcBorders>
              <w:top w:val="nil"/>
              <w:bottom w:val="single" w:sz="16" w:space="0" w:color="000000"/>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r w:rsidRPr="00CD5D09">
              <w:rPr>
                <w:rFonts w:cs="Arial"/>
                <w:color w:val="000000"/>
                <w:sz w:val="20"/>
                <w:szCs w:val="20"/>
              </w:rPr>
              <w:t>51</w:t>
            </w:r>
          </w:p>
        </w:tc>
        <w:tc>
          <w:tcPr>
            <w:tcW w:w="850" w:type="dxa"/>
            <w:tcBorders>
              <w:top w:val="nil"/>
              <w:bottom w:val="single" w:sz="16" w:space="0" w:color="000000"/>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r w:rsidRPr="00CD5D09">
              <w:rPr>
                <w:rFonts w:cs="Arial"/>
                <w:color w:val="000000"/>
                <w:sz w:val="20"/>
                <w:szCs w:val="20"/>
              </w:rPr>
              <w:t>51</w:t>
            </w:r>
          </w:p>
        </w:tc>
        <w:tc>
          <w:tcPr>
            <w:tcW w:w="851" w:type="dxa"/>
            <w:tcBorders>
              <w:top w:val="nil"/>
              <w:bottom w:val="single" w:sz="16" w:space="0" w:color="000000"/>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r w:rsidRPr="00CD5D09">
              <w:rPr>
                <w:rFonts w:cs="Arial"/>
                <w:color w:val="000000"/>
                <w:sz w:val="20"/>
                <w:szCs w:val="20"/>
              </w:rPr>
              <w:t>51</w:t>
            </w:r>
          </w:p>
        </w:tc>
        <w:tc>
          <w:tcPr>
            <w:tcW w:w="850"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FD5242" w:rsidRPr="00CD5D09" w:rsidRDefault="00FD5242" w:rsidP="00386109">
            <w:pPr>
              <w:autoSpaceDE w:val="0"/>
              <w:autoSpaceDN w:val="0"/>
              <w:adjustRightInd w:val="0"/>
              <w:spacing w:after="0" w:line="320" w:lineRule="atLeast"/>
              <w:jc w:val="right"/>
              <w:rPr>
                <w:rFonts w:cs="Arial"/>
                <w:color w:val="000000"/>
                <w:sz w:val="20"/>
                <w:szCs w:val="20"/>
              </w:rPr>
            </w:pPr>
            <w:r w:rsidRPr="00CD5D09">
              <w:rPr>
                <w:rFonts w:cs="Arial"/>
                <w:color w:val="000000"/>
                <w:sz w:val="20"/>
                <w:szCs w:val="20"/>
              </w:rPr>
              <w:t>51</w:t>
            </w:r>
          </w:p>
        </w:tc>
      </w:tr>
      <w:tr w:rsidR="00FD5242" w:rsidRPr="00F32ADF" w:rsidTr="00551CED">
        <w:trPr>
          <w:cantSplit/>
          <w:tblHeader/>
        </w:trPr>
        <w:tc>
          <w:tcPr>
            <w:tcW w:w="8505" w:type="dxa"/>
            <w:gridSpan w:val="9"/>
            <w:tcBorders>
              <w:top w:val="nil"/>
              <w:left w:val="nil"/>
              <w:bottom w:val="nil"/>
              <w:right w:val="nil"/>
            </w:tcBorders>
            <w:shd w:val="clear" w:color="auto" w:fill="FFFFFF"/>
            <w:tcMar>
              <w:top w:w="30" w:type="dxa"/>
              <w:left w:w="30" w:type="dxa"/>
              <w:bottom w:w="30" w:type="dxa"/>
              <w:right w:w="30" w:type="dxa"/>
            </w:tcMar>
          </w:tcPr>
          <w:p w:rsidR="00FD5242" w:rsidRPr="00CD5D09" w:rsidRDefault="00FD5242" w:rsidP="00D30303">
            <w:pPr>
              <w:autoSpaceDE w:val="0"/>
              <w:autoSpaceDN w:val="0"/>
              <w:adjustRightInd w:val="0"/>
              <w:spacing w:after="0"/>
              <w:rPr>
                <w:rFonts w:cs="Arial"/>
                <w:color w:val="000000"/>
                <w:sz w:val="20"/>
                <w:szCs w:val="20"/>
                <w:lang w:val="en-US"/>
              </w:rPr>
            </w:pPr>
            <w:r w:rsidRPr="00CD5D09">
              <w:rPr>
                <w:rFonts w:cs="Arial"/>
                <w:color w:val="000000"/>
                <w:sz w:val="20"/>
                <w:szCs w:val="20"/>
                <w:lang w:val="en-US"/>
              </w:rPr>
              <w:t xml:space="preserve">a. </w:t>
            </w:r>
            <w:r w:rsidRPr="00CB53A5">
              <w:rPr>
                <w:rFonts w:cs="Arial"/>
                <w:color w:val="000000"/>
                <w:sz w:val="20"/>
                <w:szCs w:val="20"/>
                <w:lang w:val="en-US"/>
              </w:rPr>
              <w:t xml:space="preserve">a. </w:t>
            </w:r>
            <w:r>
              <w:rPr>
                <w:rFonts w:cs="Arial"/>
                <w:color w:val="000000"/>
                <w:sz w:val="20"/>
                <w:szCs w:val="20"/>
                <w:lang w:val="en-US"/>
              </w:rPr>
              <w:t>Be</w:t>
            </w:r>
            <w:r w:rsidRPr="00CB53A5">
              <w:rPr>
                <w:rFonts w:cs="Arial"/>
                <w:color w:val="000000"/>
                <w:sz w:val="20"/>
                <w:szCs w:val="20"/>
                <w:lang w:val="en-US"/>
              </w:rPr>
              <w:t xml:space="preserve">cause at least </w:t>
            </w:r>
            <w:r>
              <w:rPr>
                <w:rFonts w:cs="Arial"/>
                <w:color w:val="000000"/>
                <w:sz w:val="20"/>
                <w:szCs w:val="20"/>
                <w:lang w:val="en-US"/>
              </w:rPr>
              <w:t>one of the variables is constant, this cannot be computed</w:t>
            </w:r>
            <w:r w:rsidRPr="00CB53A5">
              <w:rPr>
                <w:rFonts w:cs="Arial"/>
                <w:color w:val="000000"/>
                <w:sz w:val="20"/>
                <w:szCs w:val="20"/>
                <w:lang w:val="en-US"/>
              </w:rPr>
              <w:t>.</w:t>
            </w:r>
          </w:p>
        </w:tc>
      </w:tr>
      <w:tr w:rsidR="00FD5242" w:rsidRPr="009E2EF6" w:rsidTr="00551CED">
        <w:trPr>
          <w:cantSplit/>
          <w:tblHeader/>
        </w:trPr>
        <w:tc>
          <w:tcPr>
            <w:tcW w:w="8505" w:type="dxa"/>
            <w:gridSpan w:val="9"/>
            <w:tcBorders>
              <w:top w:val="nil"/>
              <w:left w:val="nil"/>
              <w:bottom w:val="nil"/>
              <w:right w:val="nil"/>
            </w:tcBorders>
            <w:shd w:val="clear" w:color="auto" w:fill="FFFFFF"/>
            <w:tcMar>
              <w:top w:w="30" w:type="dxa"/>
              <w:left w:w="30" w:type="dxa"/>
              <w:bottom w:w="30" w:type="dxa"/>
              <w:right w:w="30" w:type="dxa"/>
            </w:tcMar>
          </w:tcPr>
          <w:p w:rsidR="00FD5242" w:rsidRPr="00CD5D09" w:rsidRDefault="00FD5242" w:rsidP="00D30303">
            <w:pPr>
              <w:autoSpaceDE w:val="0"/>
              <w:autoSpaceDN w:val="0"/>
              <w:adjustRightInd w:val="0"/>
              <w:spacing w:after="0"/>
              <w:rPr>
                <w:rFonts w:cs="Arial"/>
                <w:color w:val="000000"/>
                <w:sz w:val="20"/>
                <w:szCs w:val="20"/>
                <w:lang w:val="en-US"/>
              </w:rPr>
            </w:pPr>
            <w:r w:rsidRPr="00CD5D09">
              <w:rPr>
                <w:rFonts w:cs="Arial"/>
                <w:color w:val="000000"/>
                <w:sz w:val="20"/>
                <w:szCs w:val="20"/>
                <w:lang w:val="en-US"/>
              </w:rPr>
              <w:t>**. Correlation is significant at the 0.01 level (2-tailed).</w:t>
            </w:r>
          </w:p>
        </w:tc>
      </w:tr>
      <w:tr w:rsidR="00FD5242" w:rsidRPr="009E2EF6" w:rsidTr="00551CED">
        <w:trPr>
          <w:cantSplit/>
        </w:trPr>
        <w:tc>
          <w:tcPr>
            <w:tcW w:w="8505" w:type="dxa"/>
            <w:gridSpan w:val="9"/>
            <w:tcBorders>
              <w:top w:val="nil"/>
              <w:left w:val="nil"/>
              <w:bottom w:val="nil"/>
              <w:right w:val="nil"/>
            </w:tcBorders>
            <w:shd w:val="clear" w:color="auto" w:fill="FFFFFF"/>
            <w:tcMar>
              <w:top w:w="30" w:type="dxa"/>
              <w:left w:w="30" w:type="dxa"/>
              <w:bottom w:w="30" w:type="dxa"/>
              <w:right w:w="30" w:type="dxa"/>
            </w:tcMar>
          </w:tcPr>
          <w:p w:rsidR="00FD5242" w:rsidRPr="00CD5D09" w:rsidRDefault="00FD5242" w:rsidP="00D30303">
            <w:pPr>
              <w:autoSpaceDE w:val="0"/>
              <w:autoSpaceDN w:val="0"/>
              <w:adjustRightInd w:val="0"/>
              <w:spacing w:after="0"/>
              <w:rPr>
                <w:rFonts w:cs="Arial"/>
                <w:color w:val="000000"/>
                <w:sz w:val="20"/>
                <w:szCs w:val="20"/>
                <w:lang w:val="en-US"/>
              </w:rPr>
            </w:pPr>
            <w:r w:rsidRPr="00CD5D09">
              <w:rPr>
                <w:rFonts w:cs="Arial"/>
                <w:color w:val="000000"/>
                <w:sz w:val="20"/>
                <w:szCs w:val="20"/>
                <w:lang w:val="en-US"/>
              </w:rPr>
              <w:t>*. Correlation is significant at the 0.05 level (2-tailed).</w:t>
            </w:r>
          </w:p>
        </w:tc>
      </w:tr>
    </w:tbl>
    <w:p w:rsidR="00FD5242" w:rsidRPr="002340C1" w:rsidRDefault="00FD5242" w:rsidP="00A46784">
      <w:pPr>
        <w:autoSpaceDE w:val="0"/>
        <w:autoSpaceDN w:val="0"/>
        <w:adjustRightInd w:val="0"/>
        <w:spacing w:after="0" w:line="400" w:lineRule="atLeast"/>
        <w:jc w:val="both"/>
        <w:rPr>
          <w:lang w:val="en-US"/>
        </w:rPr>
      </w:pPr>
      <w:r>
        <w:rPr>
          <w:lang w:val="en-US"/>
        </w:rPr>
        <w:t xml:space="preserve">       Table 9b demonstrates no significant correlation between the examined variables, able to jeopardize the explanatory power of the model used. A positive correlation exists between the dependent LAF variable and the independent SIZE variable amounted to +0,633, which is </w:t>
      </w:r>
      <w:r>
        <w:rPr>
          <w:color w:val="000000"/>
          <w:lang w:val="en-US"/>
        </w:rPr>
        <w:t>significant in the 0.01 level (2-tailed). An important  negative correlation is observed in 2009 between the dependent variables INVREC and SIZE that equals to -0,277. Consequently, it is proved that no strong correlation exists between the variables of the model and its explanatory power is considered as adequate in generating robust results.</w:t>
      </w:r>
    </w:p>
    <w:p w:rsidR="00FD5242" w:rsidRDefault="00FD5242" w:rsidP="00A46784">
      <w:pPr>
        <w:autoSpaceDE w:val="0"/>
        <w:autoSpaceDN w:val="0"/>
        <w:adjustRightInd w:val="0"/>
        <w:spacing w:after="0" w:line="400" w:lineRule="atLeast"/>
        <w:jc w:val="both"/>
        <w:rPr>
          <w:color w:val="000000"/>
          <w:lang w:val="en-US"/>
        </w:rPr>
      </w:pPr>
      <w:r>
        <w:rPr>
          <w:color w:val="000000"/>
          <w:lang w:val="en-US"/>
        </w:rPr>
        <w:t xml:space="preserve">    In addition, the APENDIX section provides the Pearson correlation test for the pooled regression analysis of the years 2008 and 2009 together. Since Model 3 will be analyzed only by the linear regression analyses of the years, no further comments on the Pearson correlation test for the pooled regression is considered necessary. The next part of the chapter consists of the coefficient results and analysis from the empirical testing. </w:t>
      </w:r>
    </w:p>
    <w:p w:rsidR="00FD5242" w:rsidRPr="002D54B0" w:rsidRDefault="00FD5242" w:rsidP="00A46784">
      <w:pPr>
        <w:autoSpaceDE w:val="0"/>
        <w:autoSpaceDN w:val="0"/>
        <w:adjustRightInd w:val="0"/>
        <w:spacing w:after="0" w:line="400" w:lineRule="atLeast"/>
        <w:jc w:val="both"/>
        <w:rPr>
          <w:color w:val="000000"/>
          <w:lang w:val="en-US"/>
        </w:rPr>
      </w:pPr>
    </w:p>
    <w:p w:rsidR="00FD5242" w:rsidRDefault="00FD5242" w:rsidP="00D73047">
      <w:pPr>
        <w:jc w:val="both"/>
        <w:rPr>
          <w:bCs/>
          <w:i/>
          <w:u w:val="single"/>
          <w:lang w:val="en-US"/>
        </w:rPr>
      </w:pPr>
      <w:r>
        <w:rPr>
          <w:bCs/>
          <w:lang w:val="en-US"/>
        </w:rPr>
        <w:t xml:space="preserve">7.2.3 </w:t>
      </w:r>
      <w:r w:rsidRPr="00850D21">
        <w:rPr>
          <w:bCs/>
          <w:i/>
          <w:u w:val="single"/>
          <w:lang w:val="en-US"/>
        </w:rPr>
        <w:t>Coefficients’ analysis</w:t>
      </w:r>
      <w:r>
        <w:rPr>
          <w:bCs/>
          <w:i/>
          <w:u w:val="single"/>
          <w:lang w:val="en-US"/>
        </w:rPr>
        <w:t xml:space="preserve"> - Results investigation</w:t>
      </w:r>
    </w:p>
    <w:p w:rsidR="00FD5242" w:rsidRDefault="00FD5242" w:rsidP="00D73047">
      <w:pPr>
        <w:jc w:val="both"/>
        <w:rPr>
          <w:bCs/>
          <w:lang w:val="en-US"/>
        </w:rPr>
      </w:pPr>
      <w:r>
        <w:rPr>
          <w:bCs/>
          <w:lang w:val="en-US"/>
        </w:rPr>
        <w:t xml:space="preserve">    Table 10 contains the coefficient results generated by the linear regression of Model 3 by the E-views computer program concerning the first year of the crisis.  </w:t>
      </w:r>
    </w:p>
    <w:p w:rsidR="00FD5242" w:rsidRDefault="00FD5242" w:rsidP="002340C1">
      <w:pPr>
        <w:spacing w:line="240" w:lineRule="auto"/>
        <w:jc w:val="both"/>
        <w:rPr>
          <w:rFonts w:cs="Arial"/>
          <w:b/>
          <w:lang w:val="en-US"/>
        </w:rPr>
      </w:pPr>
    </w:p>
    <w:p w:rsidR="00FD5242" w:rsidRDefault="00FD5242" w:rsidP="002340C1">
      <w:pPr>
        <w:spacing w:line="240" w:lineRule="auto"/>
        <w:jc w:val="both"/>
        <w:rPr>
          <w:rFonts w:cs="Arial"/>
          <w:b/>
          <w:lang w:val="en-US"/>
        </w:rPr>
      </w:pPr>
      <w:r>
        <w:rPr>
          <w:rFonts w:cs="Arial"/>
          <w:b/>
          <w:lang w:val="en-US"/>
        </w:rPr>
        <w:t>Table 10: Results of the linear regression analysis for the year 20</w:t>
      </w:r>
      <w:r w:rsidRPr="003D13CF">
        <w:rPr>
          <w:rFonts w:cs="Arial"/>
          <w:b/>
          <w:lang w:val="en-US"/>
        </w:rPr>
        <w:t>0</w:t>
      </w:r>
      <w:r>
        <w:rPr>
          <w:rFonts w:cs="Arial"/>
          <w:b/>
          <w:lang w:val="en-US"/>
        </w:rPr>
        <w:t>8</w:t>
      </w:r>
    </w:p>
    <w:tbl>
      <w:tblPr>
        <w:tblW w:w="8065" w:type="dxa"/>
        <w:tblInd w:w="30" w:type="dxa"/>
        <w:tblLayout w:type="fixed"/>
        <w:tblCellMar>
          <w:left w:w="0" w:type="dxa"/>
          <w:right w:w="0" w:type="dxa"/>
        </w:tblCellMar>
        <w:tblLook w:val="0000"/>
      </w:tblPr>
      <w:tblGrid>
        <w:gridCol w:w="3387"/>
        <w:gridCol w:w="1276"/>
        <w:gridCol w:w="1210"/>
        <w:gridCol w:w="1211"/>
        <w:gridCol w:w="981"/>
      </w:tblGrid>
      <w:tr w:rsidR="00FD5242" w:rsidRPr="009E2EF6" w:rsidTr="00345818">
        <w:trPr>
          <w:trHeight w:val="225"/>
        </w:trPr>
        <w:tc>
          <w:tcPr>
            <w:tcW w:w="5873" w:type="dxa"/>
            <w:gridSpan w:val="3"/>
            <w:tcBorders>
              <w:top w:val="double" w:sz="4" w:space="0" w:color="auto"/>
              <w:left w:val="double" w:sz="4" w:space="0" w:color="auto"/>
              <w:bottom w:val="nil"/>
              <w:right w:val="nil"/>
            </w:tcBorders>
            <w:vAlign w:val="bottom"/>
          </w:tcPr>
          <w:p w:rsidR="00FD5242" w:rsidRPr="002A470C" w:rsidRDefault="00FD5242" w:rsidP="005F11BC">
            <w:pPr>
              <w:autoSpaceDE w:val="0"/>
              <w:autoSpaceDN w:val="0"/>
              <w:adjustRightInd w:val="0"/>
              <w:spacing w:after="0"/>
              <w:rPr>
                <w:rFonts w:cs="Arial"/>
                <w:color w:val="000000"/>
                <w:lang w:val="en-US"/>
              </w:rPr>
            </w:pPr>
            <w:r w:rsidRPr="002A470C">
              <w:rPr>
                <w:rFonts w:cs="Arial"/>
                <w:color w:val="000000"/>
                <w:lang w:val="en-US"/>
              </w:rPr>
              <w:t>Dependent Variable: LAF (Natural log of audit fees)</w:t>
            </w:r>
          </w:p>
        </w:tc>
        <w:tc>
          <w:tcPr>
            <w:tcW w:w="1211" w:type="dxa"/>
            <w:tcBorders>
              <w:top w:val="double" w:sz="4" w:space="0" w:color="auto"/>
              <w:left w:val="nil"/>
              <w:bottom w:val="nil"/>
              <w:right w:val="nil"/>
            </w:tcBorders>
            <w:vAlign w:val="bottom"/>
          </w:tcPr>
          <w:p w:rsidR="00FD5242" w:rsidRPr="002A470C" w:rsidRDefault="00FD5242" w:rsidP="005F11BC">
            <w:pPr>
              <w:autoSpaceDE w:val="0"/>
              <w:autoSpaceDN w:val="0"/>
              <w:adjustRightInd w:val="0"/>
              <w:spacing w:after="0"/>
              <w:jc w:val="center"/>
              <w:rPr>
                <w:rFonts w:cs="Arial"/>
                <w:color w:val="000000"/>
                <w:lang w:val="en-US"/>
              </w:rPr>
            </w:pPr>
          </w:p>
        </w:tc>
        <w:tc>
          <w:tcPr>
            <w:tcW w:w="981" w:type="dxa"/>
            <w:tcBorders>
              <w:top w:val="double" w:sz="4" w:space="0" w:color="auto"/>
              <w:left w:val="nil"/>
              <w:bottom w:val="nil"/>
              <w:right w:val="double" w:sz="4" w:space="0" w:color="auto"/>
            </w:tcBorders>
            <w:vAlign w:val="bottom"/>
          </w:tcPr>
          <w:p w:rsidR="00FD5242" w:rsidRPr="002A470C" w:rsidRDefault="00FD5242" w:rsidP="005F11BC">
            <w:pPr>
              <w:autoSpaceDE w:val="0"/>
              <w:autoSpaceDN w:val="0"/>
              <w:adjustRightInd w:val="0"/>
              <w:spacing w:after="0"/>
              <w:jc w:val="center"/>
              <w:rPr>
                <w:rFonts w:cs="Arial"/>
                <w:color w:val="000000"/>
                <w:lang w:val="en-US"/>
              </w:rPr>
            </w:pPr>
          </w:p>
        </w:tc>
      </w:tr>
      <w:tr w:rsidR="00FD5242" w:rsidRPr="002A470C" w:rsidTr="00345818">
        <w:trPr>
          <w:trHeight w:val="225"/>
        </w:trPr>
        <w:tc>
          <w:tcPr>
            <w:tcW w:w="5873" w:type="dxa"/>
            <w:gridSpan w:val="3"/>
            <w:tcBorders>
              <w:top w:val="nil"/>
              <w:left w:val="double" w:sz="4" w:space="0" w:color="auto"/>
              <w:bottom w:val="nil"/>
              <w:right w:val="nil"/>
            </w:tcBorders>
            <w:vAlign w:val="bottom"/>
          </w:tcPr>
          <w:p w:rsidR="00FD5242" w:rsidRPr="002A470C" w:rsidRDefault="00FD5242" w:rsidP="005F11BC">
            <w:pPr>
              <w:autoSpaceDE w:val="0"/>
              <w:autoSpaceDN w:val="0"/>
              <w:adjustRightInd w:val="0"/>
              <w:spacing w:after="0"/>
              <w:rPr>
                <w:rFonts w:cs="Arial"/>
                <w:color w:val="000000"/>
              </w:rPr>
            </w:pPr>
            <w:r w:rsidRPr="002A470C">
              <w:rPr>
                <w:rFonts w:cs="Arial"/>
                <w:color w:val="000000"/>
              </w:rPr>
              <w:t>Method: Least Squares</w:t>
            </w:r>
          </w:p>
        </w:tc>
        <w:tc>
          <w:tcPr>
            <w:tcW w:w="1211" w:type="dxa"/>
            <w:tcBorders>
              <w:top w:val="nil"/>
              <w:left w:val="nil"/>
              <w:bottom w:val="nil"/>
              <w:right w:val="nil"/>
            </w:tcBorders>
            <w:vAlign w:val="bottom"/>
          </w:tcPr>
          <w:p w:rsidR="00FD5242" w:rsidRPr="002A470C" w:rsidRDefault="00FD5242" w:rsidP="005F11BC">
            <w:pPr>
              <w:autoSpaceDE w:val="0"/>
              <w:autoSpaceDN w:val="0"/>
              <w:adjustRightInd w:val="0"/>
              <w:spacing w:after="0"/>
              <w:jc w:val="center"/>
              <w:rPr>
                <w:rFonts w:cs="Arial"/>
                <w:color w:val="000000"/>
              </w:rPr>
            </w:pPr>
          </w:p>
        </w:tc>
        <w:tc>
          <w:tcPr>
            <w:tcW w:w="981" w:type="dxa"/>
            <w:tcBorders>
              <w:top w:val="nil"/>
              <w:left w:val="nil"/>
              <w:bottom w:val="nil"/>
              <w:right w:val="double" w:sz="4" w:space="0" w:color="auto"/>
            </w:tcBorders>
            <w:vAlign w:val="bottom"/>
          </w:tcPr>
          <w:p w:rsidR="00FD5242" w:rsidRPr="002A470C" w:rsidRDefault="00FD5242" w:rsidP="005F11BC">
            <w:pPr>
              <w:autoSpaceDE w:val="0"/>
              <w:autoSpaceDN w:val="0"/>
              <w:adjustRightInd w:val="0"/>
              <w:spacing w:after="0"/>
              <w:jc w:val="center"/>
              <w:rPr>
                <w:rFonts w:cs="Arial"/>
                <w:color w:val="000000"/>
              </w:rPr>
            </w:pPr>
          </w:p>
        </w:tc>
      </w:tr>
      <w:tr w:rsidR="00FD5242" w:rsidRPr="002A470C" w:rsidTr="00345818">
        <w:trPr>
          <w:trHeight w:val="225"/>
        </w:trPr>
        <w:tc>
          <w:tcPr>
            <w:tcW w:w="5873" w:type="dxa"/>
            <w:gridSpan w:val="3"/>
            <w:tcBorders>
              <w:top w:val="nil"/>
              <w:left w:val="double" w:sz="4" w:space="0" w:color="auto"/>
              <w:bottom w:val="nil"/>
              <w:right w:val="nil"/>
            </w:tcBorders>
            <w:vAlign w:val="bottom"/>
          </w:tcPr>
          <w:p w:rsidR="00FD5242" w:rsidRPr="002A470C" w:rsidRDefault="00FD5242" w:rsidP="0077650E">
            <w:pPr>
              <w:autoSpaceDE w:val="0"/>
              <w:autoSpaceDN w:val="0"/>
              <w:adjustRightInd w:val="0"/>
              <w:spacing w:after="0" w:line="240" w:lineRule="auto"/>
              <w:rPr>
                <w:rFonts w:cs="Arial"/>
                <w:color w:val="000000"/>
              </w:rPr>
            </w:pPr>
            <w:r>
              <w:rPr>
                <w:rFonts w:cs="Arial"/>
                <w:color w:val="000000"/>
              </w:rPr>
              <w:t xml:space="preserve">Sample (adjusted): </w:t>
            </w:r>
            <w:r w:rsidRPr="002A470C">
              <w:rPr>
                <w:rFonts w:cs="Arial"/>
                <w:color w:val="000000"/>
              </w:rPr>
              <w:t xml:space="preserve"> 51</w:t>
            </w:r>
          </w:p>
        </w:tc>
        <w:tc>
          <w:tcPr>
            <w:tcW w:w="1211" w:type="dxa"/>
            <w:tcBorders>
              <w:top w:val="nil"/>
              <w:left w:val="nil"/>
              <w:bottom w:val="nil"/>
              <w:right w:val="nil"/>
            </w:tcBorders>
            <w:vAlign w:val="bottom"/>
          </w:tcPr>
          <w:p w:rsidR="00FD5242" w:rsidRPr="002A470C" w:rsidRDefault="00FD5242" w:rsidP="0077650E">
            <w:pPr>
              <w:autoSpaceDE w:val="0"/>
              <w:autoSpaceDN w:val="0"/>
              <w:adjustRightInd w:val="0"/>
              <w:spacing w:after="0" w:line="240" w:lineRule="auto"/>
              <w:jc w:val="center"/>
              <w:rPr>
                <w:rFonts w:cs="Arial"/>
                <w:color w:val="000000"/>
              </w:rPr>
            </w:pPr>
          </w:p>
        </w:tc>
        <w:tc>
          <w:tcPr>
            <w:tcW w:w="981" w:type="dxa"/>
            <w:tcBorders>
              <w:top w:val="nil"/>
              <w:left w:val="nil"/>
              <w:bottom w:val="nil"/>
              <w:right w:val="double" w:sz="4" w:space="0" w:color="auto"/>
            </w:tcBorders>
            <w:vAlign w:val="bottom"/>
          </w:tcPr>
          <w:p w:rsidR="00FD5242" w:rsidRPr="002A470C" w:rsidRDefault="00FD5242" w:rsidP="0077650E">
            <w:pPr>
              <w:autoSpaceDE w:val="0"/>
              <w:autoSpaceDN w:val="0"/>
              <w:adjustRightInd w:val="0"/>
              <w:spacing w:after="0" w:line="240" w:lineRule="auto"/>
              <w:jc w:val="center"/>
              <w:rPr>
                <w:rFonts w:cs="Arial"/>
                <w:color w:val="000000"/>
              </w:rPr>
            </w:pPr>
          </w:p>
        </w:tc>
      </w:tr>
      <w:tr w:rsidR="00FD5242" w:rsidRPr="009E2EF6" w:rsidTr="00345818">
        <w:trPr>
          <w:trHeight w:val="225"/>
        </w:trPr>
        <w:tc>
          <w:tcPr>
            <w:tcW w:w="8065" w:type="dxa"/>
            <w:gridSpan w:val="5"/>
            <w:tcBorders>
              <w:top w:val="nil"/>
              <w:left w:val="double" w:sz="4" w:space="0" w:color="auto"/>
              <w:bottom w:val="nil"/>
              <w:right w:val="double" w:sz="4" w:space="0" w:color="auto"/>
            </w:tcBorders>
            <w:vAlign w:val="bottom"/>
          </w:tcPr>
          <w:p w:rsidR="00FD5242" w:rsidRPr="002A470C" w:rsidRDefault="00FD5242" w:rsidP="0077650E">
            <w:pPr>
              <w:autoSpaceDE w:val="0"/>
              <w:autoSpaceDN w:val="0"/>
              <w:adjustRightInd w:val="0"/>
              <w:spacing w:after="0" w:line="240" w:lineRule="auto"/>
              <w:rPr>
                <w:rFonts w:cs="Arial"/>
                <w:color w:val="000000"/>
                <w:lang w:val="en-US"/>
              </w:rPr>
            </w:pPr>
            <w:r w:rsidRPr="002A470C">
              <w:rPr>
                <w:rFonts w:cs="Arial"/>
                <w:color w:val="000000"/>
                <w:lang w:val="en-US"/>
              </w:rPr>
              <w:t>LAF=b</w:t>
            </w:r>
            <w:r w:rsidRPr="002A470C">
              <w:rPr>
                <w:rFonts w:cs="Arial"/>
                <w:color w:val="000000"/>
                <w:vertAlign w:val="subscript"/>
                <w:lang w:val="en-US"/>
              </w:rPr>
              <w:t>1</w:t>
            </w:r>
            <w:r w:rsidRPr="002A470C">
              <w:rPr>
                <w:rFonts w:cs="Arial"/>
                <w:color w:val="000000"/>
                <w:lang w:val="en-US"/>
              </w:rPr>
              <w:t>*CSV+b</w:t>
            </w:r>
            <w:r w:rsidRPr="002A470C">
              <w:rPr>
                <w:rFonts w:cs="Arial"/>
                <w:color w:val="000000"/>
                <w:vertAlign w:val="subscript"/>
                <w:lang w:val="en-US"/>
              </w:rPr>
              <w:t>2</w:t>
            </w:r>
            <w:r w:rsidRPr="002A470C">
              <w:rPr>
                <w:rFonts w:cs="Arial"/>
                <w:color w:val="000000"/>
                <w:lang w:val="en-US"/>
              </w:rPr>
              <w:t>*SIZE+b</w:t>
            </w:r>
            <w:r w:rsidRPr="002A470C">
              <w:rPr>
                <w:rFonts w:cs="Arial"/>
                <w:color w:val="000000"/>
                <w:vertAlign w:val="subscript"/>
                <w:lang w:val="en-US"/>
              </w:rPr>
              <w:t>3</w:t>
            </w:r>
            <w:r w:rsidRPr="002A470C">
              <w:rPr>
                <w:rFonts w:cs="Arial"/>
                <w:color w:val="000000"/>
                <w:lang w:val="en-US"/>
              </w:rPr>
              <w:t>*QR+b</w:t>
            </w:r>
            <w:r w:rsidRPr="002A470C">
              <w:rPr>
                <w:rFonts w:cs="Arial"/>
                <w:color w:val="000000"/>
                <w:vertAlign w:val="subscript"/>
                <w:lang w:val="en-US"/>
              </w:rPr>
              <w:t>4</w:t>
            </w:r>
            <w:r w:rsidRPr="002A470C">
              <w:rPr>
                <w:rFonts w:cs="Arial"/>
                <w:color w:val="000000"/>
                <w:lang w:val="en-US"/>
              </w:rPr>
              <w:t>*LEV+b</w:t>
            </w:r>
            <w:r w:rsidRPr="002A470C">
              <w:rPr>
                <w:rFonts w:cs="Arial"/>
                <w:color w:val="000000"/>
                <w:vertAlign w:val="subscript"/>
                <w:lang w:val="en-US"/>
              </w:rPr>
              <w:t>5</w:t>
            </w:r>
            <w:r w:rsidRPr="002A470C">
              <w:rPr>
                <w:rFonts w:cs="Arial"/>
                <w:color w:val="000000"/>
                <w:lang w:val="en-US"/>
              </w:rPr>
              <w:t>*INVREC+b</w:t>
            </w:r>
            <w:r w:rsidRPr="002A470C">
              <w:rPr>
                <w:rFonts w:cs="Arial"/>
                <w:color w:val="000000"/>
                <w:vertAlign w:val="subscript"/>
                <w:lang w:val="en-US"/>
              </w:rPr>
              <w:t>6</w:t>
            </w:r>
            <w:r w:rsidRPr="002A470C">
              <w:rPr>
                <w:rFonts w:cs="Arial"/>
                <w:color w:val="000000"/>
                <w:lang w:val="en-US"/>
              </w:rPr>
              <w:t>*ROI (no constant term)</w:t>
            </w:r>
          </w:p>
        </w:tc>
      </w:tr>
      <w:tr w:rsidR="00FD5242" w:rsidRPr="009E2EF6" w:rsidTr="00345818">
        <w:trPr>
          <w:trHeight w:hRule="exact" w:val="90"/>
        </w:trPr>
        <w:tc>
          <w:tcPr>
            <w:tcW w:w="3387" w:type="dxa"/>
            <w:tcBorders>
              <w:top w:val="nil"/>
              <w:left w:val="double" w:sz="4" w:space="0" w:color="auto"/>
              <w:bottom w:val="double" w:sz="6" w:space="2" w:color="auto"/>
              <w:right w:val="nil"/>
            </w:tcBorders>
            <w:vAlign w:val="bottom"/>
          </w:tcPr>
          <w:p w:rsidR="00FD5242" w:rsidRPr="002A470C" w:rsidRDefault="00FD5242" w:rsidP="0077650E">
            <w:pPr>
              <w:autoSpaceDE w:val="0"/>
              <w:autoSpaceDN w:val="0"/>
              <w:adjustRightInd w:val="0"/>
              <w:spacing w:after="0" w:line="240" w:lineRule="auto"/>
              <w:jc w:val="center"/>
              <w:rPr>
                <w:rFonts w:cs="Arial"/>
                <w:color w:val="000000"/>
                <w:lang w:val="en-US"/>
              </w:rPr>
            </w:pPr>
          </w:p>
        </w:tc>
        <w:tc>
          <w:tcPr>
            <w:tcW w:w="1276" w:type="dxa"/>
            <w:tcBorders>
              <w:top w:val="nil"/>
              <w:left w:val="nil"/>
              <w:bottom w:val="double" w:sz="6" w:space="2" w:color="auto"/>
              <w:right w:val="nil"/>
            </w:tcBorders>
            <w:vAlign w:val="bottom"/>
          </w:tcPr>
          <w:p w:rsidR="00FD5242" w:rsidRPr="002A470C" w:rsidRDefault="00FD5242" w:rsidP="0077650E">
            <w:pPr>
              <w:autoSpaceDE w:val="0"/>
              <w:autoSpaceDN w:val="0"/>
              <w:adjustRightInd w:val="0"/>
              <w:spacing w:after="0" w:line="240" w:lineRule="auto"/>
              <w:jc w:val="center"/>
              <w:rPr>
                <w:rFonts w:cs="Arial"/>
                <w:color w:val="000000"/>
                <w:lang w:val="en-US"/>
              </w:rPr>
            </w:pPr>
          </w:p>
        </w:tc>
        <w:tc>
          <w:tcPr>
            <w:tcW w:w="1210" w:type="dxa"/>
            <w:tcBorders>
              <w:top w:val="nil"/>
              <w:left w:val="nil"/>
              <w:bottom w:val="double" w:sz="6" w:space="2" w:color="auto"/>
              <w:right w:val="nil"/>
            </w:tcBorders>
            <w:vAlign w:val="bottom"/>
          </w:tcPr>
          <w:p w:rsidR="00FD5242" w:rsidRPr="002A470C" w:rsidRDefault="00FD5242" w:rsidP="0077650E">
            <w:pPr>
              <w:autoSpaceDE w:val="0"/>
              <w:autoSpaceDN w:val="0"/>
              <w:adjustRightInd w:val="0"/>
              <w:spacing w:after="0" w:line="240" w:lineRule="auto"/>
              <w:jc w:val="center"/>
              <w:rPr>
                <w:rFonts w:cs="Arial"/>
                <w:color w:val="000000"/>
                <w:lang w:val="en-US"/>
              </w:rPr>
            </w:pPr>
          </w:p>
        </w:tc>
        <w:tc>
          <w:tcPr>
            <w:tcW w:w="1211" w:type="dxa"/>
            <w:tcBorders>
              <w:top w:val="nil"/>
              <w:left w:val="nil"/>
              <w:bottom w:val="double" w:sz="6" w:space="2" w:color="auto"/>
              <w:right w:val="nil"/>
            </w:tcBorders>
            <w:vAlign w:val="bottom"/>
          </w:tcPr>
          <w:p w:rsidR="00FD5242" w:rsidRPr="002A470C" w:rsidRDefault="00FD5242" w:rsidP="0077650E">
            <w:pPr>
              <w:autoSpaceDE w:val="0"/>
              <w:autoSpaceDN w:val="0"/>
              <w:adjustRightInd w:val="0"/>
              <w:spacing w:after="0" w:line="240" w:lineRule="auto"/>
              <w:jc w:val="center"/>
              <w:rPr>
                <w:rFonts w:cs="Arial"/>
                <w:color w:val="000000"/>
                <w:lang w:val="en-US"/>
              </w:rPr>
            </w:pPr>
          </w:p>
        </w:tc>
        <w:tc>
          <w:tcPr>
            <w:tcW w:w="981" w:type="dxa"/>
            <w:tcBorders>
              <w:top w:val="nil"/>
              <w:left w:val="nil"/>
              <w:bottom w:val="double" w:sz="6" w:space="2" w:color="auto"/>
              <w:right w:val="double" w:sz="4" w:space="0" w:color="auto"/>
            </w:tcBorders>
            <w:vAlign w:val="bottom"/>
          </w:tcPr>
          <w:p w:rsidR="00FD5242" w:rsidRPr="002A470C" w:rsidRDefault="00FD5242" w:rsidP="0077650E">
            <w:pPr>
              <w:autoSpaceDE w:val="0"/>
              <w:autoSpaceDN w:val="0"/>
              <w:adjustRightInd w:val="0"/>
              <w:spacing w:after="0" w:line="240" w:lineRule="auto"/>
              <w:jc w:val="center"/>
              <w:rPr>
                <w:rFonts w:cs="Arial"/>
                <w:color w:val="000000"/>
                <w:lang w:val="en-US"/>
              </w:rPr>
            </w:pPr>
          </w:p>
        </w:tc>
      </w:tr>
      <w:tr w:rsidR="00FD5242" w:rsidRPr="009E2EF6" w:rsidTr="00345818">
        <w:trPr>
          <w:trHeight w:hRule="exact" w:val="135"/>
        </w:trPr>
        <w:tc>
          <w:tcPr>
            <w:tcW w:w="3387" w:type="dxa"/>
            <w:tcBorders>
              <w:top w:val="nil"/>
              <w:left w:val="double" w:sz="4" w:space="0" w:color="auto"/>
              <w:bottom w:val="nil"/>
              <w:right w:val="nil"/>
            </w:tcBorders>
            <w:vAlign w:val="bottom"/>
          </w:tcPr>
          <w:p w:rsidR="00FD5242" w:rsidRPr="002A470C" w:rsidRDefault="00FD5242" w:rsidP="0077650E">
            <w:pPr>
              <w:autoSpaceDE w:val="0"/>
              <w:autoSpaceDN w:val="0"/>
              <w:adjustRightInd w:val="0"/>
              <w:spacing w:after="0" w:line="240" w:lineRule="auto"/>
              <w:jc w:val="center"/>
              <w:rPr>
                <w:rFonts w:cs="Arial"/>
                <w:color w:val="000000"/>
                <w:lang w:val="en-US"/>
              </w:rPr>
            </w:pPr>
          </w:p>
        </w:tc>
        <w:tc>
          <w:tcPr>
            <w:tcW w:w="1276" w:type="dxa"/>
            <w:tcBorders>
              <w:top w:val="nil"/>
              <w:left w:val="nil"/>
              <w:bottom w:val="nil"/>
              <w:right w:val="nil"/>
            </w:tcBorders>
            <w:vAlign w:val="bottom"/>
          </w:tcPr>
          <w:p w:rsidR="00FD5242" w:rsidRPr="002A470C" w:rsidRDefault="00FD5242" w:rsidP="0077650E">
            <w:pPr>
              <w:autoSpaceDE w:val="0"/>
              <w:autoSpaceDN w:val="0"/>
              <w:adjustRightInd w:val="0"/>
              <w:spacing w:after="0" w:line="240" w:lineRule="auto"/>
              <w:jc w:val="center"/>
              <w:rPr>
                <w:rFonts w:cs="Arial"/>
                <w:color w:val="000000"/>
                <w:lang w:val="en-US"/>
              </w:rPr>
            </w:pPr>
          </w:p>
        </w:tc>
        <w:tc>
          <w:tcPr>
            <w:tcW w:w="1210" w:type="dxa"/>
            <w:tcBorders>
              <w:top w:val="nil"/>
              <w:left w:val="nil"/>
              <w:bottom w:val="nil"/>
              <w:right w:val="nil"/>
            </w:tcBorders>
            <w:vAlign w:val="bottom"/>
          </w:tcPr>
          <w:p w:rsidR="00FD5242" w:rsidRPr="002A470C" w:rsidRDefault="00FD5242" w:rsidP="0077650E">
            <w:pPr>
              <w:autoSpaceDE w:val="0"/>
              <w:autoSpaceDN w:val="0"/>
              <w:adjustRightInd w:val="0"/>
              <w:spacing w:after="0" w:line="240" w:lineRule="auto"/>
              <w:jc w:val="center"/>
              <w:rPr>
                <w:rFonts w:cs="Arial"/>
                <w:color w:val="000000"/>
                <w:lang w:val="en-US"/>
              </w:rPr>
            </w:pPr>
          </w:p>
        </w:tc>
        <w:tc>
          <w:tcPr>
            <w:tcW w:w="1211" w:type="dxa"/>
            <w:tcBorders>
              <w:top w:val="nil"/>
              <w:left w:val="nil"/>
              <w:bottom w:val="nil"/>
              <w:right w:val="nil"/>
            </w:tcBorders>
            <w:vAlign w:val="bottom"/>
          </w:tcPr>
          <w:p w:rsidR="00FD5242" w:rsidRPr="002A470C" w:rsidRDefault="00FD5242" w:rsidP="0077650E">
            <w:pPr>
              <w:autoSpaceDE w:val="0"/>
              <w:autoSpaceDN w:val="0"/>
              <w:adjustRightInd w:val="0"/>
              <w:spacing w:after="0" w:line="240" w:lineRule="auto"/>
              <w:jc w:val="center"/>
              <w:rPr>
                <w:rFonts w:cs="Arial"/>
                <w:color w:val="000000"/>
                <w:lang w:val="en-US"/>
              </w:rPr>
            </w:pPr>
          </w:p>
        </w:tc>
        <w:tc>
          <w:tcPr>
            <w:tcW w:w="981" w:type="dxa"/>
            <w:tcBorders>
              <w:top w:val="nil"/>
              <w:left w:val="nil"/>
              <w:bottom w:val="nil"/>
              <w:right w:val="double" w:sz="4" w:space="0" w:color="auto"/>
            </w:tcBorders>
            <w:vAlign w:val="bottom"/>
          </w:tcPr>
          <w:p w:rsidR="00FD5242" w:rsidRPr="002A470C" w:rsidRDefault="00FD5242" w:rsidP="0077650E">
            <w:pPr>
              <w:autoSpaceDE w:val="0"/>
              <w:autoSpaceDN w:val="0"/>
              <w:adjustRightInd w:val="0"/>
              <w:spacing w:after="0" w:line="240" w:lineRule="auto"/>
              <w:jc w:val="center"/>
              <w:rPr>
                <w:rFonts w:cs="Arial"/>
                <w:color w:val="000000"/>
                <w:lang w:val="en-US"/>
              </w:rPr>
            </w:pPr>
          </w:p>
        </w:tc>
      </w:tr>
      <w:tr w:rsidR="00FD5242" w:rsidRPr="002A470C" w:rsidTr="00345818">
        <w:trPr>
          <w:trHeight w:val="225"/>
        </w:trPr>
        <w:tc>
          <w:tcPr>
            <w:tcW w:w="3387" w:type="dxa"/>
            <w:tcBorders>
              <w:top w:val="nil"/>
              <w:left w:val="double" w:sz="4" w:space="0" w:color="auto"/>
              <w:bottom w:val="nil"/>
              <w:right w:val="nil"/>
            </w:tcBorders>
            <w:vAlign w:val="bottom"/>
          </w:tcPr>
          <w:p w:rsidR="00FD5242" w:rsidRPr="002A470C" w:rsidRDefault="00FD5242" w:rsidP="0077650E">
            <w:pPr>
              <w:autoSpaceDE w:val="0"/>
              <w:autoSpaceDN w:val="0"/>
              <w:adjustRightInd w:val="0"/>
              <w:spacing w:after="0" w:line="240" w:lineRule="auto"/>
              <w:jc w:val="center"/>
              <w:rPr>
                <w:rFonts w:cs="Arial"/>
                <w:color w:val="000000"/>
                <w:lang w:val="en-US"/>
              </w:rPr>
            </w:pPr>
          </w:p>
        </w:tc>
        <w:tc>
          <w:tcPr>
            <w:tcW w:w="1276" w:type="dxa"/>
            <w:tcBorders>
              <w:top w:val="nil"/>
              <w:left w:val="nil"/>
              <w:bottom w:val="nil"/>
              <w:right w:val="nil"/>
            </w:tcBorders>
            <w:vAlign w:val="bottom"/>
          </w:tcPr>
          <w:p w:rsidR="00FD5242" w:rsidRPr="002A470C" w:rsidRDefault="00FD5242" w:rsidP="0077650E">
            <w:pPr>
              <w:autoSpaceDE w:val="0"/>
              <w:autoSpaceDN w:val="0"/>
              <w:adjustRightInd w:val="0"/>
              <w:spacing w:after="0" w:line="240" w:lineRule="auto"/>
              <w:ind w:right="10"/>
              <w:jc w:val="both"/>
              <w:rPr>
                <w:rFonts w:cs="Arial"/>
                <w:color w:val="000000"/>
              </w:rPr>
            </w:pPr>
            <w:r w:rsidRPr="002A470C">
              <w:rPr>
                <w:rFonts w:cs="Arial"/>
                <w:color w:val="000000"/>
              </w:rPr>
              <w:t>Coefficient</w:t>
            </w:r>
          </w:p>
        </w:tc>
        <w:tc>
          <w:tcPr>
            <w:tcW w:w="1210" w:type="dxa"/>
            <w:tcBorders>
              <w:top w:val="nil"/>
              <w:left w:val="nil"/>
              <w:bottom w:val="nil"/>
              <w:right w:val="nil"/>
            </w:tcBorders>
            <w:vAlign w:val="bottom"/>
          </w:tcPr>
          <w:p w:rsidR="00FD5242" w:rsidRPr="002A470C" w:rsidRDefault="00FD5242" w:rsidP="0077650E">
            <w:pPr>
              <w:autoSpaceDE w:val="0"/>
              <w:autoSpaceDN w:val="0"/>
              <w:adjustRightInd w:val="0"/>
              <w:spacing w:after="0" w:line="240" w:lineRule="auto"/>
              <w:ind w:right="10"/>
              <w:jc w:val="both"/>
              <w:rPr>
                <w:rFonts w:cs="Arial"/>
                <w:color w:val="000000"/>
              </w:rPr>
            </w:pPr>
            <w:r w:rsidRPr="002A470C">
              <w:rPr>
                <w:rFonts w:cs="Arial"/>
                <w:color w:val="000000"/>
              </w:rPr>
              <w:t>Std. Error</w:t>
            </w:r>
          </w:p>
        </w:tc>
        <w:tc>
          <w:tcPr>
            <w:tcW w:w="1211" w:type="dxa"/>
            <w:tcBorders>
              <w:top w:val="nil"/>
              <w:left w:val="nil"/>
              <w:bottom w:val="nil"/>
              <w:right w:val="nil"/>
            </w:tcBorders>
            <w:vAlign w:val="bottom"/>
          </w:tcPr>
          <w:p w:rsidR="00FD5242" w:rsidRPr="002A470C" w:rsidRDefault="00FD5242" w:rsidP="0077650E">
            <w:pPr>
              <w:autoSpaceDE w:val="0"/>
              <w:autoSpaceDN w:val="0"/>
              <w:adjustRightInd w:val="0"/>
              <w:spacing w:after="0" w:line="240" w:lineRule="auto"/>
              <w:ind w:right="10"/>
              <w:jc w:val="both"/>
              <w:rPr>
                <w:rFonts w:cs="Arial"/>
                <w:color w:val="000000"/>
              </w:rPr>
            </w:pPr>
            <w:r w:rsidRPr="002A470C">
              <w:rPr>
                <w:rFonts w:cs="Arial"/>
                <w:color w:val="000000"/>
              </w:rPr>
              <w:t>t-Statistic</w:t>
            </w:r>
          </w:p>
        </w:tc>
        <w:tc>
          <w:tcPr>
            <w:tcW w:w="981" w:type="dxa"/>
            <w:tcBorders>
              <w:top w:val="nil"/>
              <w:left w:val="nil"/>
              <w:bottom w:val="nil"/>
              <w:right w:val="double" w:sz="4" w:space="0" w:color="auto"/>
            </w:tcBorders>
            <w:vAlign w:val="bottom"/>
          </w:tcPr>
          <w:p w:rsidR="00FD5242" w:rsidRPr="002A470C" w:rsidRDefault="00FD5242" w:rsidP="0077650E">
            <w:pPr>
              <w:autoSpaceDE w:val="0"/>
              <w:autoSpaceDN w:val="0"/>
              <w:adjustRightInd w:val="0"/>
              <w:spacing w:after="0" w:line="240" w:lineRule="auto"/>
              <w:ind w:right="10"/>
              <w:jc w:val="both"/>
              <w:rPr>
                <w:rFonts w:cs="Arial"/>
                <w:color w:val="000000"/>
              </w:rPr>
            </w:pPr>
            <w:r w:rsidRPr="002A470C">
              <w:rPr>
                <w:rFonts w:cs="Arial"/>
                <w:color w:val="000000"/>
              </w:rPr>
              <w:t>Prob.  </w:t>
            </w:r>
          </w:p>
        </w:tc>
      </w:tr>
      <w:tr w:rsidR="00FD5242" w:rsidRPr="002A470C" w:rsidTr="00345818">
        <w:trPr>
          <w:trHeight w:hRule="exact" w:val="90"/>
        </w:trPr>
        <w:tc>
          <w:tcPr>
            <w:tcW w:w="3387" w:type="dxa"/>
            <w:tcBorders>
              <w:top w:val="nil"/>
              <w:left w:val="double" w:sz="4" w:space="0" w:color="auto"/>
              <w:bottom w:val="double" w:sz="6" w:space="2" w:color="auto"/>
              <w:right w:val="nil"/>
            </w:tcBorders>
            <w:vAlign w:val="bottom"/>
          </w:tcPr>
          <w:p w:rsidR="00FD5242" w:rsidRPr="002A470C" w:rsidRDefault="00FD5242" w:rsidP="0077650E">
            <w:pPr>
              <w:autoSpaceDE w:val="0"/>
              <w:autoSpaceDN w:val="0"/>
              <w:adjustRightInd w:val="0"/>
              <w:spacing w:after="0" w:line="240" w:lineRule="auto"/>
              <w:jc w:val="center"/>
              <w:rPr>
                <w:rFonts w:cs="Arial"/>
                <w:color w:val="000000"/>
              </w:rPr>
            </w:pPr>
          </w:p>
        </w:tc>
        <w:tc>
          <w:tcPr>
            <w:tcW w:w="1276" w:type="dxa"/>
            <w:tcBorders>
              <w:top w:val="nil"/>
              <w:left w:val="nil"/>
              <w:bottom w:val="double" w:sz="6" w:space="2" w:color="auto"/>
              <w:right w:val="nil"/>
            </w:tcBorders>
            <w:vAlign w:val="bottom"/>
          </w:tcPr>
          <w:p w:rsidR="00FD5242" w:rsidRPr="002A470C" w:rsidRDefault="00FD5242" w:rsidP="0077650E">
            <w:pPr>
              <w:autoSpaceDE w:val="0"/>
              <w:autoSpaceDN w:val="0"/>
              <w:adjustRightInd w:val="0"/>
              <w:spacing w:after="0" w:line="240" w:lineRule="auto"/>
              <w:jc w:val="both"/>
              <w:rPr>
                <w:rFonts w:cs="Arial"/>
                <w:color w:val="000000"/>
              </w:rPr>
            </w:pPr>
          </w:p>
        </w:tc>
        <w:tc>
          <w:tcPr>
            <w:tcW w:w="1210" w:type="dxa"/>
            <w:tcBorders>
              <w:top w:val="nil"/>
              <w:left w:val="nil"/>
              <w:bottom w:val="double" w:sz="6" w:space="2" w:color="auto"/>
              <w:right w:val="nil"/>
            </w:tcBorders>
            <w:vAlign w:val="bottom"/>
          </w:tcPr>
          <w:p w:rsidR="00FD5242" w:rsidRPr="002A470C" w:rsidRDefault="00FD5242" w:rsidP="0077650E">
            <w:pPr>
              <w:autoSpaceDE w:val="0"/>
              <w:autoSpaceDN w:val="0"/>
              <w:adjustRightInd w:val="0"/>
              <w:spacing w:after="0" w:line="240" w:lineRule="auto"/>
              <w:jc w:val="both"/>
              <w:rPr>
                <w:rFonts w:cs="Arial"/>
                <w:color w:val="000000"/>
              </w:rPr>
            </w:pPr>
          </w:p>
        </w:tc>
        <w:tc>
          <w:tcPr>
            <w:tcW w:w="1211" w:type="dxa"/>
            <w:tcBorders>
              <w:top w:val="nil"/>
              <w:left w:val="nil"/>
              <w:bottom w:val="double" w:sz="6" w:space="2" w:color="auto"/>
              <w:right w:val="nil"/>
            </w:tcBorders>
            <w:vAlign w:val="bottom"/>
          </w:tcPr>
          <w:p w:rsidR="00FD5242" w:rsidRPr="002A470C" w:rsidRDefault="00FD5242" w:rsidP="0077650E">
            <w:pPr>
              <w:autoSpaceDE w:val="0"/>
              <w:autoSpaceDN w:val="0"/>
              <w:adjustRightInd w:val="0"/>
              <w:spacing w:after="0" w:line="240" w:lineRule="auto"/>
              <w:jc w:val="both"/>
              <w:rPr>
                <w:rFonts w:cs="Arial"/>
                <w:color w:val="000000"/>
              </w:rPr>
            </w:pPr>
          </w:p>
        </w:tc>
        <w:tc>
          <w:tcPr>
            <w:tcW w:w="981" w:type="dxa"/>
            <w:tcBorders>
              <w:top w:val="nil"/>
              <w:left w:val="nil"/>
              <w:bottom w:val="double" w:sz="6" w:space="2" w:color="auto"/>
              <w:right w:val="double" w:sz="4" w:space="0" w:color="auto"/>
            </w:tcBorders>
            <w:vAlign w:val="bottom"/>
          </w:tcPr>
          <w:p w:rsidR="00FD5242" w:rsidRPr="002A470C" w:rsidRDefault="00FD5242" w:rsidP="0077650E">
            <w:pPr>
              <w:autoSpaceDE w:val="0"/>
              <w:autoSpaceDN w:val="0"/>
              <w:adjustRightInd w:val="0"/>
              <w:spacing w:after="0" w:line="240" w:lineRule="auto"/>
              <w:jc w:val="both"/>
              <w:rPr>
                <w:rFonts w:cs="Arial"/>
                <w:color w:val="000000"/>
              </w:rPr>
            </w:pPr>
          </w:p>
        </w:tc>
      </w:tr>
      <w:tr w:rsidR="00FD5242" w:rsidRPr="002A470C" w:rsidTr="00345818">
        <w:trPr>
          <w:trHeight w:hRule="exact" w:val="135"/>
        </w:trPr>
        <w:tc>
          <w:tcPr>
            <w:tcW w:w="3387" w:type="dxa"/>
            <w:tcBorders>
              <w:top w:val="nil"/>
              <w:left w:val="double" w:sz="4" w:space="0" w:color="auto"/>
              <w:bottom w:val="nil"/>
              <w:right w:val="nil"/>
            </w:tcBorders>
            <w:vAlign w:val="bottom"/>
          </w:tcPr>
          <w:p w:rsidR="00FD5242" w:rsidRPr="002A470C" w:rsidRDefault="00FD5242" w:rsidP="0077650E">
            <w:pPr>
              <w:autoSpaceDE w:val="0"/>
              <w:autoSpaceDN w:val="0"/>
              <w:adjustRightInd w:val="0"/>
              <w:spacing w:after="0" w:line="240" w:lineRule="auto"/>
              <w:jc w:val="center"/>
              <w:rPr>
                <w:rFonts w:cs="Arial"/>
                <w:color w:val="000000"/>
              </w:rPr>
            </w:pPr>
          </w:p>
        </w:tc>
        <w:tc>
          <w:tcPr>
            <w:tcW w:w="1276" w:type="dxa"/>
            <w:tcBorders>
              <w:top w:val="nil"/>
              <w:left w:val="nil"/>
              <w:bottom w:val="nil"/>
              <w:right w:val="nil"/>
            </w:tcBorders>
            <w:vAlign w:val="bottom"/>
          </w:tcPr>
          <w:p w:rsidR="00FD5242" w:rsidRPr="002A470C" w:rsidRDefault="00FD5242" w:rsidP="0077650E">
            <w:pPr>
              <w:autoSpaceDE w:val="0"/>
              <w:autoSpaceDN w:val="0"/>
              <w:adjustRightInd w:val="0"/>
              <w:spacing w:after="0" w:line="240" w:lineRule="auto"/>
              <w:jc w:val="both"/>
              <w:rPr>
                <w:rFonts w:cs="Arial"/>
                <w:color w:val="000000"/>
              </w:rPr>
            </w:pPr>
          </w:p>
        </w:tc>
        <w:tc>
          <w:tcPr>
            <w:tcW w:w="1210" w:type="dxa"/>
            <w:tcBorders>
              <w:top w:val="nil"/>
              <w:left w:val="nil"/>
              <w:bottom w:val="nil"/>
              <w:right w:val="nil"/>
            </w:tcBorders>
            <w:vAlign w:val="bottom"/>
          </w:tcPr>
          <w:p w:rsidR="00FD5242" w:rsidRPr="002A470C" w:rsidRDefault="00FD5242" w:rsidP="0077650E">
            <w:pPr>
              <w:autoSpaceDE w:val="0"/>
              <w:autoSpaceDN w:val="0"/>
              <w:adjustRightInd w:val="0"/>
              <w:spacing w:after="0" w:line="240" w:lineRule="auto"/>
              <w:jc w:val="both"/>
              <w:rPr>
                <w:rFonts w:cs="Arial"/>
                <w:color w:val="000000"/>
              </w:rPr>
            </w:pPr>
          </w:p>
        </w:tc>
        <w:tc>
          <w:tcPr>
            <w:tcW w:w="1211" w:type="dxa"/>
            <w:tcBorders>
              <w:top w:val="nil"/>
              <w:left w:val="nil"/>
              <w:bottom w:val="nil"/>
              <w:right w:val="nil"/>
            </w:tcBorders>
            <w:vAlign w:val="bottom"/>
          </w:tcPr>
          <w:p w:rsidR="00FD5242" w:rsidRPr="002A470C" w:rsidRDefault="00FD5242" w:rsidP="0077650E">
            <w:pPr>
              <w:autoSpaceDE w:val="0"/>
              <w:autoSpaceDN w:val="0"/>
              <w:adjustRightInd w:val="0"/>
              <w:spacing w:after="0" w:line="240" w:lineRule="auto"/>
              <w:jc w:val="both"/>
              <w:rPr>
                <w:rFonts w:cs="Arial"/>
                <w:color w:val="000000"/>
              </w:rPr>
            </w:pPr>
          </w:p>
        </w:tc>
        <w:tc>
          <w:tcPr>
            <w:tcW w:w="981" w:type="dxa"/>
            <w:tcBorders>
              <w:top w:val="nil"/>
              <w:left w:val="nil"/>
              <w:bottom w:val="nil"/>
              <w:right w:val="double" w:sz="4" w:space="0" w:color="auto"/>
            </w:tcBorders>
            <w:vAlign w:val="bottom"/>
          </w:tcPr>
          <w:p w:rsidR="00FD5242" w:rsidRPr="002A470C" w:rsidRDefault="00FD5242" w:rsidP="0077650E">
            <w:pPr>
              <w:autoSpaceDE w:val="0"/>
              <w:autoSpaceDN w:val="0"/>
              <w:adjustRightInd w:val="0"/>
              <w:spacing w:after="0" w:line="240" w:lineRule="auto"/>
              <w:jc w:val="both"/>
              <w:rPr>
                <w:rFonts w:cs="Arial"/>
                <w:color w:val="000000"/>
              </w:rPr>
            </w:pPr>
          </w:p>
        </w:tc>
      </w:tr>
      <w:tr w:rsidR="00FD5242" w:rsidRPr="002A470C" w:rsidTr="00345818">
        <w:trPr>
          <w:trHeight w:val="225"/>
        </w:trPr>
        <w:tc>
          <w:tcPr>
            <w:tcW w:w="3387" w:type="dxa"/>
            <w:tcBorders>
              <w:top w:val="nil"/>
              <w:left w:val="double" w:sz="4" w:space="0" w:color="auto"/>
              <w:bottom w:val="nil"/>
              <w:right w:val="nil"/>
            </w:tcBorders>
            <w:vAlign w:val="bottom"/>
          </w:tcPr>
          <w:p w:rsidR="00FD5242" w:rsidRPr="002A470C" w:rsidRDefault="00FD5242" w:rsidP="0077650E">
            <w:pPr>
              <w:autoSpaceDE w:val="0"/>
              <w:autoSpaceDN w:val="0"/>
              <w:adjustRightInd w:val="0"/>
              <w:spacing w:after="0" w:line="240" w:lineRule="auto"/>
              <w:jc w:val="both"/>
              <w:rPr>
                <w:rFonts w:cs="Arial"/>
                <w:color w:val="000000"/>
              </w:rPr>
            </w:pPr>
            <w:r w:rsidRPr="002A470C">
              <w:rPr>
                <w:rFonts w:cs="Arial"/>
                <w:b/>
                <w:color w:val="000000"/>
              </w:rPr>
              <w:t>b</w:t>
            </w:r>
            <w:r w:rsidRPr="002A470C">
              <w:rPr>
                <w:rFonts w:cs="Arial"/>
                <w:b/>
                <w:color w:val="000000"/>
                <w:vertAlign w:val="subscript"/>
              </w:rPr>
              <w:t>1</w:t>
            </w:r>
            <w:r w:rsidRPr="002A470C">
              <w:rPr>
                <w:rFonts w:cs="Arial"/>
                <w:color w:val="000000"/>
              </w:rPr>
              <w:t xml:space="preserve"> (conservatism dummy-CSV)</w:t>
            </w:r>
          </w:p>
        </w:tc>
        <w:tc>
          <w:tcPr>
            <w:tcW w:w="1276" w:type="dxa"/>
            <w:tcBorders>
              <w:top w:val="nil"/>
              <w:left w:val="nil"/>
              <w:bottom w:val="nil"/>
              <w:right w:val="nil"/>
            </w:tcBorders>
            <w:vAlign w:val="bottom"/>
          </w:tcPr>
          <w:p w:rsidR="00FD5242" w:rsidRPr="002A470C" w:rsidRDefault="00FD5242" w:rsidP="00345818">
            <w:pPr>
              <w:autoSpaceDE w:val="0"/>
              <w:autoSpaceDN w:val="0"/>
              <w:adjustRightInd w:val="0"/>
              <w:spacing w:after="0" w:line="240" w:lineRule="auto"/>
              <w:ind w:left="-141" w:right="10" w:firstLine="141"/>
              <w:jc w:val="both"/>
              <w:rPr>
                <w:rFonts w:cs="Arial"/>
                <w:color w:val="000000"/>
              </w:rPr>
            </w:pPr>
            <w:r w:rsidRPr="002A470C">
              <w:rPr>
                <w:rFonts w:cs="Arial"/>
                <w:color w:val="000000"/>
              </w:rPr>
              <w:t>-3.034780*</w:t>
            </w:r>
          </w:p>
        </w:tc>
        <w:tc>
          <w:tcPr>
            <w:tcW w:w="1210" w:type="dxa"/>
            <w:tcBorders>
              <w:top w:val="nil"/>
              <w:left w:val="nil"/>
              <w:bottom w:val="nil"/>
              <w:right w:val="nil"/>
            </w:tcBorders>
            <w:vAlign w:val="bottom"/>
          </w:tcPr>
          <w:p w:rsidR="00FD5242" w:rsidRPr="002A470C" w:rsidRDefault="00FD5242" w:rsidP="0077650E">
            <w:pPr>
              <w:autoSpaceDE w:val="0"/>
              <w:autoSpaceDN w:val="0"/>
              <w:adjustRightInd w:val="0"/>
              <w:spacing w:after="0" w:line="240" w:lineRule="auto"/>
              <w:ind w:right="10"/>
              <w:jc w:val="both"/>
              <w:rPr>
                <w:rFonts w:cs="Arial"/>
                <w:color w:val="000000"/>
              </w:rPr>
            </w:pPr>
            <w:r w:rsidRPr="002A470C">
              <w:rPr>
                <w:rFonts w:cs="Arial"/>
                <w:color w:val="000000"/>
              </w:rPr>
              <w:t>0.608940</w:t>
            </w:r>
          </w:p>
        </w:tc>
        <w:tc>
          <w:tcPr>
            <w:tcW w:w="1211" w:type="dxa"/>
            <w:tcBorders>
              <w:top w:val="nil"/>
              <w:left w:val="nil"/>
              <w:bottom w:val="nil"/>
              <w:right w:val="nil"/>
            </w:tcBorders>
            <w:vAlign w:val="bottom"/>
          </w:tcPr>
          <w:p w:rsidR="00FD5242" w:rsidRPr="002A470C" w:rsidRDefault="00FD5242" w:rsidP="0077650E">
            <w:pPr>
              <w:autoSpaceDE w:val="0"/>
              <w:autoSpaceDN w:val="0"/>
              <w:adjustRightInd w:val="0"/>
              <w:spacing w:after="0" w:line="240" w:lineRule="auto"/>
              <w:ind w:right="10"/>
              <w:jc w:val="both"/>
              <w:rPr>
                <w:rFonts w:cs="Arial"/>
                <w:color w:val="000000"/>
              </w:rPr>
            </w:pPr>
            <w:r w:rsidRPr="002A470C">
              <w:rPr>
                <w:rFonts w:cs="Arial"/>
                <w:color w:val="000000"/>
              </w:rPr>
              <w:t>-4.983710</w:t>
            </w:r>
          </w:p>
        </w:tc>
        <w:tc>
          <w:tcPr>
            <w:tcW w:w="981" w:type="dxa"/>
            <w:tcBorders>
              <w:top w:val="nil"/>
              <w:left w:val="nil"/>
              <w:bottom w:val="nil"/>
              <w:right w:val="double" w:sz="4" w:space="0" w:color="auto"/>
            </w:tcBorders>
            <w:vAlign w:val="bottom"/>
          </w:tcPr>
          <w:p w:rsidR="00FD5242" w:rsidRPr="002A470C" w:rsidRDefault="00FD5242" w:rsidP="0077650E">
            <w:pPr>
              <w:autoSpaceDE w:val="0"/>
              <w:autoSpaceDN w:val="0"/>
              <w:adjustRightInd w:val="0"/>
              <w:spacing w:after="0" w:line="240" w:lineRule="auto"/>
              <w:ind w:right="10"/>
              <w:jc w:val="both"/>
              <w:rPr>
                <w:rFonts w:cs="Arial"/>
                <w:color w:val="000000"/>
              </w:rPr>
            </w:pPr>
            <w:r w:rsidRPr="002A470C">
              <w:rPr>
                <w:rFonts w:cs="Arial"/>
                <w:color w:val="000000"/>
              </w:rPr>
              <w:t>0.0000</w:t>
            </w:r>
          </w:p>
        </w:tc>
      </w:tr>
      <w:tr w:rsidR="00FD5242" w:rsidRPr="002A470C" w:rsidTr="00345818">
        <w:trPr>
          <w:trHeight w:val="225"/>
        </w:trPr>
        <w:tc>
          <w:tcPr>
            <w:tcW w:w="3387" w:type="dxa"/>
            <w:tcBorders>
              <w:top w:val="nil"/>
              <w:left w:val="double" w:sz="4" w:space="0" w:color="auto"/>
              <w:bottom w:val="nil"/>
              <w:right w:val="nil"/>
            </w:tcBorders>
            <w:vAlign w:val="bottom"/>
          </w:tcPr>
          <w:p w:rsidR="00FD5242" w:rsidRPr="002A470C" w:rsidRDefault="00FD5242" w:rsidP="0077650E">
            <w:pPr>
              <w:autoSpaceDE w:val="0"/>
              <w:autoSpaceDN w:val="0"/>
              <w:adjustRightInd w:val="0"/>
              <w:spacing w:after="0" w:line="240" w:lineRule="auto"/>
              <w:jc w:val="both"/>
              <w:rPr>
                <w:rFonts w:cs="Arial"/>
                <w:color w:val="000000"/>
              </w:rPr>
            </w:pPr>
            <w:r w:rsidRPr="002A470C">
              <w:rPr>
                <w:rFonts w:cs="Arial"/>
                <w:b/>
                <w:color w:val="000000"/>
              </w:rPr>
              <w:t>b</w:t>
            </w:r>
            <w:r w:rsidRPr="002A470C">
              <w:rPr>
                <w:rFonts w:cs="Arial"/>
                <w:b/>
                <w:color w:val="000000"/>
                <w:vertAlign w:val="subscript"/>
              </w:rPr>
              <w:t xml:space="preserve">2 </w:t>
            </w:r>
            <w:r w:rsidRPr="002A470C">
              <w:rPr>
                <w:rFonts w:cs="Arial"/>
                <w:color w:val="000000"/>
                <w:vertAlign w:val="subscript"/>
              </w:rPr>
              <w:t xml:space="preserve"> </w:t>
            </w:r>
            <w:r w:rsidRPr="002A470C">
              <w:rPr>
                <w:rFonts w:cs="Arial"/>
                <w:color w:val="000000"/>
              </w:rPr>
              <w:t>(auditee’s size-SIZE)</w:t>
            </w:r>
          </w:p>
        </w:tc>
        <w:tc>
          <w:tcPr>
            <w:tcW w:w="1276" w:type="dxa"/>
            <w:tcBorders>
              <w:top w:val="nil"/>
              <w:left w:val="nil"/>
              <w:bottom w:val="nil"/>
              <w:right w:val="nil"/>
            </w:tcBorders>
            <w:vAlign w:val="bottom"/>
          </w:tcPr>
          <w:p w:rsidR="00FD5242" w:rsidRPr="002A470C" w:rsidRDefault="00FD5242" w:rsidP="0077650E">
            <w:pPr>
              <w:autoSpaceDE w:val="0"/>
              <w:autoSpaceDN w:val="0"/>
              <w:adjustRightInd w:val="0"/>
              <w:spacing w:after="0" w:line="240" w:lineRule="auto"/>
              <w:ind w:right="10"/>
              <w:jc w:val="both"/>
              <w:rPr>
                <w:rFonts w:cs="Arial"/>
                <w:color w:val="000000"/>
              </w:rPr>
            </w:pPr>
            <w:r w:rsidRPr="002A470C">
              <w:rPr>
                <w:rFonts w:cs="Arial"/>
                <w:color w:val="000000"/>
              </w:rPr>
              <w:t>0.923337*</w:t>
            </w:r>
          </w:p>
        </w:tc>
        <w:tc>
          <w:tcPr>
            <w:tcW w:w="1210" w:type="dxa"/>
            <w:tcBorders>
              <w:top w:val="nil"/>
              <w:left w:val="nil"/>
              <w:bottom w:val="nil"/>
              <w:right w:val="nil"/>
            </w:tcBorders>
            <w:vAlign w:val="bottom"/>
          </w:tcPr>
          <w:p w:rsidR="00FD5242" w:rsidRPr="002A470C" w:rsidRDefault="00FD5242" w:rsidP="0077650E">
            <w:pPr>
              <w:autoSpaceDE w:val="0"/>
              <w:autoSpaceDN w:val="0"/>
              <w:adjustRightInd w:val="0"/>
              <w:spacing w:after="0" w:line="240" w:lineRule="auto"/>
              <w:ind w:right="10"/>
              <w:jc w:val="both"/>
              <w:rPr>
                <w:rFonts w:cs="Arial"/>
                <w:color w:val="000000"/>
              </w:rPr>
            </w:pPr>
            <w:r w:rsidRPr="002A470C">
              <w:rPr>
                <w:rFonts w:cs="Arial"/>
                <w:color w:val="000000"/>
              </w:rPr>
              <w:t>0.150616</w:t>
            </w:r>
          </w:p>
        </w:tc>
        <w:tc>
          <w:tcPr>
            <w:tcW w:w="1211" w:type="dxa"/>
            <w:tcBorders>
              <w:top w:val="nil"/>
              <w:left w:val="nil"/>
              <w:bottom w:val="nil"/>
              <w:right w:val="nil"/>
            </w:tcBorders>
            <w:vAlign w:val="bottom"/>
          </w:tcPr>
          <w:p w:rsidR="00FD5242" w:rsidRPr="002A470C" w:rsidRDefault="00FD5242" w:rsidP="0077650E">
            <w:pPr>
              <w:autoSpaceDE w:val="0"/>
              <w:autoSpaceDN w:val="0"/>
              <w:adjustRightInd w:val="0"/>
              <w:spacing w:after="0" w:line="240" w:lineRule="auto"/>
              <w:ind w:right="10"/>
              <w:jc w:val="both"/>
              <w:rPr>
                <w:rFonts w:cs="Arial"/>
                <w:color w:val="000000"/>
              </w:rPr>
            </w:pPr>
            <w:r w:rsidRPr="002A470C">
              <w:rPr>
                <w:rFonts w:cs="Arial"/>
                <w:color w:val="000000"/>
              </w:rPr>
              <w:t>6.130414</w:t>
            </w:r>
          </w:p>
        </w:tc>
        <w:tc>
          <w:tcPr>
            <w:tcW w:w="981" w:type="dxa"/>
            <w:tcBorders>
              <w:top w:val="nil"/>
              <w:left w:val="nil"/>
              <w:bottom w:val="nil"/>
              <w:right w:val="double" w:sz="4" w:space="0" w:color="auto"/>
            </w:tcBorders>
            <w:vAlign w:val="bottom"/>
          </w:tcPr>
          <w:p w:rsidR="00FD5242" w:rsidRPr="002A470C" w:rsidRDefault="00FD5242" w:rsidP="0077650E">
            <w:pPr>
              <w:autoSpaceDE w:val="0"/>
              <w:autoSpaceDN w:val="0"/>
              <w:adjustRightInd w:val="0"/>
              <w:spacing w:after="0" w:line="240" w:lineRule="auto"/>
              <w:ind w:right="10"/>
              <w:jc w:val="both"/>
              <w:rPr>
                <w:rFonts w:cs="Arial"/>
                <w:color w:val="000000"/>
              </w:rPr>
            </w:pPr>
            <w:r w:rsidRPr="002A470C">
              <w:rPr>
                <w:rFonts w:cs="Arial"/>
                <w:color w:val="000000"/>
              </w:rPr>
              <w:t>0.0000</w:t>
            </w:r>
          </w:p>
        </w:tc>
      </w:tr>
      <w:tr w:rsidR="00FD5242" w:rsidRPr="002A470C" w:rsidTr="00345818">
        <w:trPr>
          <w:trHeight w:val="225"/>
        </w:trPr>
        <w:tc>
          <w:tcPr>
            <w:tcW w:w="3387" w:type="dxa"/>
            <w:tcBorders>
              <w:top w:val="nil"/>
              <w:left w:val="double" w:sz="4" w:space="0" w:color="auto"/>
              <w:bottom w:val="nil"/>
              <w:right w:val="nil"/>
            </w:tcBorders>
            <w:vAlign w:val="bottom"/>
          </w:tcPr>
          <w:p w:rsidR="00FD5242" w:rsidRPr="002A470C" w:rsidRDefault="00FD5242" w:rsidP="0077650E">
            <w:pPr>
              <w:autoSpaceDE w:val="0"/>
              <w:autoSpaceDN w:val="0"/>
              <w:adjustRightInd w:val="0"/>
              <w:spacing w:after="0" w:line="240" w:lineRule="auto"/>
              <w:jc w:val="both"/>
              <w:rPr>
                <w:rFonts w:cs="Arial"/>
                <w:color w:val="000000"/>
              </w:rPr>
            </w:pPr>
            <w:r w:rsidRPr="002A470C">
              <w:rPr>
                <w:rFonts w:cs="Arial"/>
                <w:b/>
                <w:color w:val="000000"/>
              </w:rPr>
              <w:t>b</w:t>
            </w:r>
            <w:r w:rsidRPr="002A470C">
              <w:rPr>
                <w:rFonts w:cs="Arial"/>
                <w:b/>
                <w:color w:val="000000"/>
                <w:vertAlign w:val="subscript"/>
              </w:rPr>
              <w:t>3</w:t>
            </w:r>
            <w:r w:rsidRPr="002A470C">
              <w:rPr>
                <w:rFonts w:cs="Arial"/>
                <w:color w:val="000000"/>
                <w:vertAlign w:val="subscript"/>
              </w:rPr>
              <w:t xml:space="preserve">  </w:t>
            </w:r>
            <w:r w:rsidRPr="002A470C">
              <w:rPr>
                <w:rFonts w:cs="Arial"/>
                <w:color w:val="000000"/>
              </w:rPr>
              <w:t>(quick ratio-QR)</w:t>
            </w:r>
          </w:p>
        </w:tc>
        <w:tc>
          <w:tcPr>
            <w:tcW w:w="1276" w:type="dxa"/>
            <w:tcBorders>
              <w:top w:val="nil"/>
              <w:left w:val="nil"/>
              <w:bottom w:val="nil"/>
              <w:right w:val="nil"/>
            </w:tcBorders>
            <w:vAlign w:val="bottom"/>
          </w:tcPr>
          <w:p w:rsidR="00FD5242" w:rsidRPr="002A470C" w:rsidRDefault="00FD5242" w:rsidP="0077650E">
            <w:pPr>
              <w:autoSpaceDE w:val="0"/>
              <w:autoSpaceDN w:val="0"/>
              <w:adjustRightInd w:val="0"/>
              <w:spacing w:after="0" w:line="240" w:lineRule="auto"/>
              <w:ind w:right="10"/>
              <w:jc w:val="both"/>
              <w:rPr>
                <w:rFonts w:cs="Arial"/>
                <w:color w:val="000000"/>
              </w:rPr>
            </w:pPr>
            <w:r w:rsidRPr="002A470C">
              <w:rPr>
                <w:rFonts w:cs="Arial"/>
                <w:color w:val="000000"/>
              </w:rPr>
              <w:t>0.072869</w:t>
            </w:r>
          </w:p>
        </w:tc>
        <w:tc>
          <w:tcPr>
            <w:tcW w:w="1210" w:type="dxa"/>
            <w:tcBorders>
              <w:top w:val="nil"/>
              <w:left w:val="nil"/>
              <w:bottom w:val="nil"/>
              <w:right w:val="nil"/>
            </w:tcBorders>
            <w:vAlign w:val="bottom"/>
          </w:tcPr>
          <w:p w:rsidR="00FD5242" w:rsidRPr="002A470C" w:rsidRDefault="00FD5242" w:rsidP="0077650E">
            <w:pPr>
              <w:autoSpaceDE w:val="0"/>
              <w:autoSpaceDN w:val="0"/>
              <w:adjustRightInd w:val="0"/>
              <w:spacing w:after="0" w:line="240" w:lineRule="auto"/>
              <w:ind w:right="10"/>
              <w:jc w:val="both"/>
              <w:rPr>
                <w:rFonts w:cs="Arial"/>
                <w:color w:val="000000"/>
              </w:rPr>
            </w:pPr>
            <w:r w:rsidRPr="002A470C">
              <w:rPr>
                <w:rFonts w:cs="Arial"/>
                <w:color w:val="000000"/>
              </w:rPr>
              <w:t>0.190935</w:t>
            </w:r>
          </w:p>
        </w:tc>
        <w:tc>
          <w:tcPr>
            <w:tcW w:w="1211" w:type="dxa"/>
            <w:tcBorders>
              <w:top w:val="nil"/>
              <w:left w:val="nil"/>
              <w:bottom w:val="nil"/>
              <w:right w:val="nil"/>
            </w:tcBorders>
            <w:vAlign w:val="bottom"/>
          </w:tcPr>
          <w:p w:rsidR="00FD5242" w:rsidRPr="002A470C" w:rsidRDefault="00FD5242" w:rsidP="0077650E">
            <w:pPr>
              <w:autoSpaceDE w:val="0"/>
              <w:autoSpaceDN w:val="0"/>
              <w:adjustRightInd w:val="0"/>
              <w:spacing w:after="0" w:line="240" w:lineRule="auto"/>
              <w:ind w:right="10"/>
              <w:jc w:val="both"/>
              <w:rPr>
                <w:rFonts w:cs="Arial"/>
                <w:color w:val="000000"/>
              </w:rPr>
            </w:pPr>
            <w:r w:rsidRPr="002A470C">
              <w:rPr>
                <w:rFonts w:cs="Arial"/>
                <w:color w:val="000000"/>
              </w:rPr>
              <w:t>0.381643</w:t>
            </w:r>
          </w:p>
        </w:tc>
        <w:tc>
          <w:tcPr>
            <w:tcW w:w="981" w:type="dxa"/>
            <w:tcBorders>
              <w:top w:val="nil"/>
              <w:left w:val="nil"/>
              <w:bottom w:val="nil"/>
              <w:right w:val="double" w:sz="4" w:space="0" w:color="auto"/>
            </w:tcBorders>
            <w:vAlign w:val="bottom"/>
          </w:tcPr>
          <w:p w:rsidR="00FD5242" w:rsidRPr="002A470C" w:rsidRDefault="00FD5242" w:rsidP="0077650E">
            <w:pPr>
              <w:autoSpaceDE w:val="0"/>
              <w:autoSpaceDN w:val="0"/>
              <w:adjustRightInd w:val="0"/>
              <w:spacing w:after="0" w:line="240" w:lineRule="auto"/>
              <w:ind w:right="10"/>
              <w:jc w:val="both"/>
              <w:rPr>
                <w:rFonts w:cs="Arial"/>
                <w:color w:val="000000"/>
              </w:rPr>
            </w:pPr>
            <w:r w:rsidRPr="002A470C">
              <w:rPr>
                <w:rFonts w:cs="Arial"/>
                <w:color w:val="000000"/>
              </w:rPr>
              <w:t>0.7052</w:t>
            </w:r>
          </w:p>
        </w:tc>
      </w:tr>
      <w:tr w:rsidR="00FD5242" w:rsidRPr="002A470C" w:rsidTr="00345818">
        <w:trPr>
          <w:trHeight w:val="225"/>
        </w:trPr>
        <w:tc>
          <w:tcPr>
            <w:tcW w:w="3387" w:type="dxa"/>
            <w:tcBorders>
              <w:top w:val="nil"/>
              <w:left w:val="double" w:sz="4" w:space="0" w:color="auto"/>
              <w:bottom w:val="nil"/>
              <w:right w:val="nil"/>
            </w:tcBorders>
            <w:vAlign w:val="bottom"/>
          </w:tcPr>
          <w:p w:rsidR="00FD5242" w:rsidRPr="002A470C" w:rsidRDefault="00FD5242" w:rsidP="0077650E">
            <w:pPr>
              <w:autoSpaceDE w:val="0"/>
              <w:autoSpaceDN w:val="0"/>
              <w:adjustRightInd w:val="0"/>
              <w:spacing w:after="0" w:line="240" w:lineRule="auto"/>
              <w:jc w:val="both"/>
              <w:rPr>
                <w:rFonts w:cs="Arial"/>
                <w:color w:val="000000"/>
                <w:lang w:val="en-US"/>
              </w:rPr>
            </w:pPr>
            <w:r w:rsidRPr="002A470C">
              <w:rPr>
                <w:rFonts w:cs="Arial"/>
                <w:b/>
                <w:color w:val="000000"/>
                <w:lang w:val="en-US"/>
              </w:rPr>
              <w:t>b</w:t>
            </w:r>
            <w:r w:rsidRPr="002A470C">
              <w:rPr>
                <w:rFonts w:cs="Arial"/>
                <w:b/>
                <w:color w:val="000000"/>
                <w:vertAlign w:val="subscript"/>
                <w:lang w:val="en-US"/>
              </w:rPr>
              <w:t>4</w:t>
            </w:r>
            <w:r w:rsidRPr="002A470C">
              <w:rPr>
                <w:rFonts w:cs="Arial"/>
                <w:color w:val="000000"/>
                <w:lang w:val="en-US"/>
              </w:rPr>
              <w:t xml:space="preserve"> (debt/equity ratio-LEV)</w:t>
            </w:r>
          </w:p>
        </w:tc>
        <w:tc>
          <w:tcPr>
            <w:tcW w:w="1276" w:type="dxa"/>
            <w:tcBorders>
              <w:top w:val="nil"/>
              <w:left w:val="nil"/>
              <w:bottom w:val="nil"/>
              <w:right w:val="nil"/>
            </w:tcBorders>
            <w:vAlign w:val="bottom"/>
          </w:tcPr>
          <w:p w:rsidR="00FD5242" w:rsidRPr="002A470C" w:rsidRDefault="00FD5242" w:rsidP="0077650E">
            <w:pPr>
              <w:autoSpaceDE w:val="0"/>
              <w:autoSpaceDN w:val="0"/>
              <w:adjustRightInd w:val="0"/>
              <w:spacing w:after="0" w:line="240" w:lineRule="auto"/>
              <w:ind w:right="10"/>
              <w:jc w:val="both"/>
              <w:rPr>
                <w:rFonts w:cs="Arial"/>
                <w:color w:val="000000"/>
              </w:rPr>
            </w:pPr>
            <w:r w:rsidRPr="002A470C">
              <w:rPr>
                <w:rFonts w:cs="Arial"/>
                <w:color w:val="000000"/>
              </w:rPr>
              <w:t>0.127765</w:t>
            </w:r>
          </w:p>
        </w:tc>
        <w:tc>
          <w:tcPr>
            <w:tcW w:w="1210" w:type="dxa"/>
            <w:tcBorders>
              <w:top w:val="nil"/>
              <w:left w:val="nil"/>
              <w:bottom w:val="nil"/>
              <w:right w:val="nil"/>
            </w:tcBorders>
            <w:vAlign w:val="bottom"/>
          </w:tcPr>
          <w:p w:rsidR="00FD5242" w:rsidRPr="002A470C" w:rsidRDefault="00FD5242" w:rsidP="0077650E">
            <w:pPr>
              <w:autoSpaceDE w:val="0"/>
              <w:autoSpaceDN w:val="0"/>
              <w:adjustRightInd w:val="0"/>
              <w:spacing w:after="0" w:line="240" w:lineRule="auto"/>
              <w:ind w:right="10"/>
              <w:jc w:val="both"/>
              <w:rPr>
                <w:rFonts w:cs="Arial"/>
                <w:color w:val="000000"/>
              </w:rPr>
            </w:pPr>
            <w:r w:rsidRPr="002A470C">
              <w:rPr>
                <w:rFonts w:cs="Arial"/>
                <w:color w:val="000000"/>
              </w:rPr>
              <w:t>0.127768</w:t>
            </w:r>
          </w:p>
        </w:tc>
        <w:tc>
          <w:tcPr>
            <w:tcW w:w="1211" w:type="dxa"/>
            <w:tcBorders>
              <w:top w:val="nil"/>
              <w:left w:val="nil"/>
              <w:bottom w:val="nil"/>
              <w:right w:val="nil"/>
            </w:tcBorders>
            <w:vAlign w:val="bottom"/>
          </w:tcPr>
          <w:p w:rsidR="00FD5242" w:rsidRPr="002A470C" w:rsidRDefault="00FD5242" w:rsidP="0077650E">
            <w:pPr>
              <w:autoSpaceDE w:val="0"/>
              <w:autoSpaceDN w:val="0"/>
              <w:adjustRightInd w:val="0"/>
              <w:spacing w:after="0" w:line="240" w:lineRule="auto"/>
              <w:ind w:right="10"/>
              <w:jc w:val="both"/>
              <w:rPr>
                <w:rFonts w:cs="Arial"/>
                <w:color w:val="000000"/>
              </w:rPr>
            </w:pPr>
            <w:r w:rsidRPr="002A470C">
              <w:rPr>
                <w:rFonts w:cs="Arial"/>
                <w:color w:val="000000"/>
              </w:rPr>
              <w:t>0.999971</w:t>
            </w:r>
          </w:p>
        </w:tc>
        <w:tc>
          <w:tcPr>
            <w:tcW w:w="981" w:type="dxa"/>
            <w:tcBorders>
              <w:top w:val="nil"/>
              <w:left w:val="nil"/>
              <w:bottom w:val="nil"/>
              <w:right w:val="double" w:sz="4" w:space="0" w:color="auto"/>
            </w:tcBorders>
            <w:vAlign w:val="bottom"/>
          </w:tcPr>
          <w:p w:rsidR="00FD5242" w:rsidRPr="002A470C" w:rsidRDefault="00FD5242" w:rsidP="0077650E">
            <w:pPr>
              <w:autoSpaceDE w:val="0"/>
              <w:autoSpaceDN w:val="0"/>
              <w:adjustRightInd w:val="0"/>
              <w:spacing w:after="0" w:line="240" w:lineRule="auto"/>
              <w:ind w:right="10"/>
              <w:jc w:val="both"/>
              <w:rPr>
                <w:rFonts w:cs="Arial"/>
                <w:color w:val="000000"/>
              </w:rPr>
            </w:pPr>
            <w:r w:rsidRPr="002A470C">
              <w:rPr>
                <w:rFonts w:cs="Arial"/>
                <w:color w:val="000000"/>
              </w:rPr>
              <w:t>0.3246</w:t>
            </w:r>
          </w:p>
        </w:tc>
      </w:tr>
      <w:tr w:rsidR="00FD5242" w:rsidRPr="002A470C" w:rsidTr="00345818">
        <w:trPr>
          <w:trHeight w:val="225"/>
        </w:trPr>
        <w:tc>
          <w:tcPr>
            <w:tcW w:w="3387" w:type="dxa"/>
            <w:tcBorders>
              <w:top w:val="nil"/>
              <w:left w:val="double" w:sz="4" w:space="0" w:color="auto"/>
              <w:bottom w:val="nil"/>
              <w:right w:val="nil"/>
            </w:tcBorders>
            <w:vAlign w:val="bottom"/>
          </w:tcPr>
          <w:p w:rsidR="00FD5242" w:rsidRPr="002A470C" w:rsidRDefault="00FD5242" w:rsidP="0077650E">
            <w:pPr>
              <w:autoSpaceDE w:val="0"/>
              <w:autoSpaceDN w:val="0"/>
              <w:adjustRightInd w:val="0"/>
              <w:spacing w:after="0" w:line="240" w:lineRule="auto"/>
              <w:jc w:val="both"/>
              <w:rPr>
                <w:rFonts w:cs="Arial"/>
                <w:color w:val="000000"/>
              </w:rPr>
            </w:pPr>
            <w:r w:rsidRPr="002A470C">
              <w:rPr>
                <w:rFonts w:cs="Arial"/>
                <w:b/>
                <w:color w:val="000000"/>
              </w:rPr>
              <w:t>b</w:t>
            </w:r>
            <w:r w:rsidRPr="002A470C">
              <w:rPr>
                <w:rFonts w:cs="Arial"/>
                <w:b/>
                <w:color w:val="000000"/>
                <w:vertAlign w:val="subscript"/>
              </w:rPr>
              <w:t>5</w:t>
            </w:r>
            <w:r w:rsidRPr="002A470C">
              <w:rPr>
                <w:rFonts w:cs="Arial"/>
                <w:color w:val="000000"/>
              </w:rPr>
              <w:t xml:space="preserve"> (inv+rec/total assets-INVREC)</w:t>
            </w:r>
          </w:p>
        </w:tc>
        <w:tc>
          <w:tcPr>
            <w:tcW w:w="1276" w:type="dxa"/>
            <w:tcBorders>
              <w:top w:val="nil"/>
              <w:left w:val="nil"/>
              <w:bottom w:val="nil"/>
              <w:right w:val="nil"/>
            </w:tcBorders>
            <w:vAlign w:val="bottom"/>
          </w:tcPr>
          <w:p w:rsidR="00FD5242" w:rsidRPr="002A470C" w:rsidRDefault="00FD5242" w:rsidP="0077650E">
            <w:pPr>
              <w:autoSpaceDE w:val="0"/>
              <w:autoSpaceDN w:val="0"/>
              <w:adjustRightInd w:val="0"/>
              <w:spacing w:after="0" w:line="240" w:lineRule="auto"/>
              <w:ind w:right="10"/>
              <w:jc w:val="both"/>
              <w:rPr>
                <w:rFonts w:cs="Arial"/>
                <w:color w:val="000000"/>
              </w:rPr>
            </w:pPr>
            <w:r w:rsidRPr="002A470C">
              <w:rPr>
                <w:rFonts w:cs="Arial"/>
                <w:color w:val="000000"/>
              </w:rPr>
              <w:t>0.400920***</w:t>
            </w:r>
          </w:p>
        </w:tc>
        <w:tc>
          <w:tcPr>
            <w:tcW w:w="1210" w:type="dxa"/>
            <w:tcBorders>
              <w:top w:val="nil"/>
              <w:left w:val="nil"/>
              <w:bottom w:val="nil"/>
              <w:right w:val="nil"/>
            </w:tcBorders>
            <w:vAlign w:val="bottom"/>
          </w:tcPr>
          <w:p w:rsidR="00FD5242" w:rsidRPr="002A470C" w:rsidRDefault="00FD5242" w:rsidP="0077650E">
            <w:pPr>
              <w:autoSpaceDE w:val="0"/>
              <w:autoSpaceDN w:val="0"/>
              <w:adjustRightInd w:val="0"/>
              <w:spacing w:after="0" w:line="240" w:lineRule="auto"/>
              <w:ind w:right="10"/>
              <w:jc w:val="both"/>
              <w:rPr>
                <w:rFonts w:cs="Arial"/>
                <w:color w:val="000000"/>
              </w:rPr>
            </w:pPr>
            <w:r w:rsidRPr="002A470C">
              <w:rPr>
                <w:rFonts w:cs="Arial"/>
                <w:color w:val="000000"/>
              </w:rPr>
              <w:t>0.212388</w:t>
            </w:r>
          </w:p>
        </w:tc>
        <w:tc>
          <w:tcPr>
            <w:tcW w:w="1211" w:type="dxa"/>
            <w:tcBorders>
              <w:top w:val="nil"/>
              <w:left w:val="nil"/>
              <w:bottom w:val="nil"/>
              <w:right w:val="nil"/>
            </w:tcBorders>
            <w:vAlign w:val="bottom"/>
          </w:tcPr>
          <w:p w:rsidR="00FD5242" w:rsidRPr="002A470C" w:rsidRDefault="00FD5242" w:rsidP="0077650E">
            <w:pPr>
              <w:autoSpaceDE w:val="0"/>
              <w:autoSpaceDN w:val="0"/>
              <w:adjustRightInd w:val="0"/>
              <w:spacing w:after="0" w:line="240" w:lineRule="auto"/>
              <w:ind w:right="10"/>
              <w:jc w:val="both"/>
              <w:rPr>
                <w:rFonts w:cs="Arial"/>
                <w:color w:val="000000"/>
              </w:rPr>
            </w:pPr>
            <w:r w:rsidRPr="002A470C">
              <w:rPr>
                <w:rFonts w:cs="Arial"/>
                <w:color w:val="000000"/>
              </w:rPr>
              <w:t>1.887673</w:t>
            </w:r>
          </w:p>
        </w:tc>
        <w:tc>
          <w:tcPr>
            <w:tcW w:w="981" w:type="dxa"/>
            <w:tcBorders>
              <w:top w:val="nil"/>
              <w:left w:val="nil"/>
              <w:bottom w:val="nil"/>
              <w:right w:val="double" w:sz="4" w:space="0" w:color="auto"/>
            </w:tcBorders>
            <w:vAlign w:val="bottom"/>
          </w:tcPr>
          <w:p w:rsidR="00FD5242" w:rsidRPr="002A470C" w:rsidRDefault="00FD5242" w:rsidP="0077650E">
            <w:pPr>
              <w:autoSpaceDE w:val="0"/>
              <w:autoSpaceDN w:val="0"/>
              <w:adjustRightInd w:val="0"/>
              <w:spacing w:after="0" w:line="240" w:lineRule="auto"/>
              <w:ind w:right="10"/>
              <w:jc w:val="both"/>
              <w:rPr>
                <w:rFonts w:cs="Arial"/>
                <w:color w:val="000000"/>
              </w:rPr>
            </w:pPr>
            <w:r w:rsidRPr="002A470C">
              <w:rPr>
                <w:rFonts w:cs="Arial"/>
                <w:color w:val="000000"/>
              </w:rPr>
              <w:t>0.0679</w:t>
            </w:r>
          </w:p>
        </w:tc>
      </w:tr>
      <w:tr w:rsidR="00FD5242" w:rsidRPr="002A470C" w:rsidTr="00345818">
        <w:trPr>
          <w:trHeight w:val="225"/>
        </w:trPr>
        <w:tc>
          <w:tcPr>
            <w:tcW w:w="3387" w:type="dxa"/>
            <w:tcBorders>
              <w:top w:val="nil"/>
              <w:left w:val="double" w:sz="4" w:space="0" w:color="auto"/>
              <w:bottom w:val="nil"/>
              <w:right w:val="nil"/>
            </w:tcBorders>
            <w:vAlign w:val="bottom"/>
          </w:tcPr>
          <w:p w:rsidR="00FD5242" w:rsidRPr="002A470C" w:rsidRDefault="00FD5242" w:rsidP="0077650E">
            <w:pPr>
              <w:autoSpaceDE w:val="0"/>
              <w:autoSpaceDN w:val="0"/>
              <w:adjustRightInd w:val="0"/>
              <w:spacing w:after="0" w:line="240" w:lineRule="auto"/>
              <w:jc w:val="both"/>
              <w:rPr>
                <w:rFonts w:cs="Arial"/>
                <w:color w:val="000000"/>
                <w:lang w:val="en-US"/>
              </w:rPr>
            </w:pPr>
            <w:r w:rsidRPr="002A470C">
              <w:rPr>
                <w:rFonts w:cs="Arial"/>
                <w:b/>
                <w:color w:val="000000"/>
                <w:lang w:val="en-US"/>
              </w:rPr>
              <w:t>b</w:t>
            </w:r>
            <w:r w:rsidRPr="002A470C">
              <w:rPr>
                <w:rFonts w:cs="Arial"/>
                <w:b/>
                <w:color w:val="000000"/>
                <w:vertAlign w:val="subscript"/>
                <w:lang w:val="en-US"/>
              </w:rPr>
              <w:t>6</w:t>
            </w:r>
            <w:r w:rsidRPr="002A470C">
              <w:rPr>
                <w:rFonts w:cs="Arial"/>
                <w:color w:val="000000"/>
                <w:lang w:val="en-US"/>
              </w:rPr>
              <w:t xml:space="preserve"> (return on investment-ROI)</w:t>
            </w:r>
          </w:p>
        </w:tc>
        <w:tc>
          <w:tcPr>
            <w:tcW w:w="1276" w:type="dxa"/>
            <w:tcBorders>
              <w:top w:val="nil"/>
              <w:left w:val="nil"/>
              <w:bottom w:val="nil"/>
              <w:right w:val="nil"/>
            </w:tcBorders>
            <w:vAlign w:val="bottom"/>
          </w:tcPr>
          <w:p w:rsidR="00FD5242" w:rsidRPr="002A470C" w:rsidRDefault="00FD5242" w:rsidP="0077650E">
            <w:pPr>
              <w:autoSpaceDE w:val="0"/>
              <w:autoSpaceDN w:val="0"/>
              <w:adjustRightInd w:val="0"/>
              <w:spacing w:after="0" w:line="240" w:lineRule="auto"/>
              <w:ind w:right="10"/>
              <w:jc w:val="both"/>
              <w:rPr>
                <w:rFonts w:cs="Arial"/>
                <w:color w:val="000000"/>
              </w:rPr>
            </w:pPr>
            <w:r w:rsidRPr="002A470C">
              <w:rPr>
                <w:rFonts w:cs="Arial"/>
                <w:color w:val="000000"/>
              </w:rPr>
              <w:t>-0.179190</w:t>
            </w:r>
          </w:p>
        </w:tc>
        <w:tc>
          <w:tcPr>
            <w:tcW w:w="1210" w:type="dxa"/>
            <w:tcBorders>
              <w:top w:val="nil"/>
              <w:left w:val="nil"/>
              <w:bottom w:val="nil"/>
              <w:right w:val="nil"/>
            </w:tcBorders>
            <w:vAlign w:val="bottom"/>
          </w:tcPr>
          <w:p w:rsidR="00FD5242" w:rsidRPr="002A470C" w:rsidRDefault="00FD5242" w:rsidP="0077650E">
            <w:pPr>
              <w:autoSpaceDE w:val="0"/>
              <w:autoSpaceDN w:val="0"/>
              <w:adjustRightInd w:val="0"/>
              <w:spacing w:after="0" w:line="240" w:lineRule="auto"/>
              <w:ind w:right="10"/>
              <w:jc w:val="both"/>
              <w:rPr>
                <w:rFonts w:cs="Arial"/>
                <w:color w:val="000000"/>
              </w:rPr>
            </w:pPr>
            <w:r w:rsidRPr="002A470C">
              <w:rPr>
                <w:rFonts w:cs="Arial"/>
                <w:color w:val="000000"/>
              </w:rPr>
              <w:t>0.812039</w:t>
            </w:r>
          </w:p>
        </w:tc>
        <w:tc>
          <w:tcPr>
            <w:tcW w:w="1211" w:type="dxa"/>
            <w:tcBorders>
              <w:top w:val="nil"/>
              <w:left w:val="nil"/>
              <w:bottom w:val="nil"/>
              <w:right w:val="nil"/>
            </w:tcBorders>
            <w:vAlign w:val="bottom"/>
          </w:tcPr>
          <w:p w:rsidR="00FD5242" w:rsidRPr="002A470C" w:rsidRDefault="00FD5242" w:rsidP="0077650E">
            <w:pPr>
              <w:autoSpaceDE w:val="0"/>
              <w:autoSpaceDN w:val="0"/>
              <w:adjustRightInd w:val="0"/>
              <w:spacing w:after="0" w:line="240" w:lineRule="auto"/>
              <w:ind w:right="10"/>
              <w:jc w:val="both"/>
              <w:rPr>
                <w:rFonts w:cs="Arial"/>
                <w:color w:val="000000"/>
              </w:rPr>
            </w:pPr>
            <w:r w:rsidRPr="002A470C">
              <w:rPr>
                <w:rFonts w:cs="Arial"/>
                <w:color w:val="000000"/>
              </w:rPr>
              <w:t>-0.220666</w:t>
            </w:r>
          </w:p>
        </w:tc>
        <w:tc>
          <w:tcPr>
            <w:tcW w:w="981" w:type="dxa"/>
            <w:tcBorders>
              <w:top w:val="nil"/>
              <w:left w:val="nil"/>
              <w:bottom w:val="nil"/>
              <w:right w:val="double" w:sz="4" w:space="0" w:color="auto"/>
            </w:tcBorders>
            <w:vAlign w:val="bottom"/>
          </w:tcPr>
          <w:p w:rsidR="00FD5242" w:rsidRPr="002A470C" w:rsidRDefault="00FD5242" w:rsidP="0077650E">
            <w:pPr>
              <w:autoSpaceDE w:val="0"/>
              <w:autoSpaceDN w:val="0"/>
              <w:adjustRightInd w:val="0"/>
              <w:spacing w:after="0" w:line="240" w:lineRule="auto"/>
              <w:ind w:right="10"/>
              <w:jc w:val="both"/>
              <w:rPr>
                <w:rFonts w:cs="Arial"/>
                <w:color w:val="000000"/>
              </w:rPr>
            </w:pPr>
            <w:r w:rsidRPr="002A470C">
              <w:rPr>
                <w:rFonts w:cs="Arial"/>
                <w:color w:val="000000"/>
              </w:rPr>
              <w:t>0.8267</w:t>
            </w:r>
          </w:p>
        </w:tc>
      </w:tr>
      <w:tr w:rsidR="00FD5242" w:rsidRPr="002A470C" w:rsidTr="00345818">
        <w:trPr>
          <w:trHeight w:hRule="exact" w:val="90"/>
        </w:trPr>
        <w:tc>
          <w:tcPr>
            <w:tcW w:w="3387" w:type="dxa"/>
            <w:tcBorders>
              <w:top w:val="nil"/>
              <w:left w:val="double" w:sz="4" w:space="0" w:color="auto"/>
              <w:bottom w:val="double" w:sz="6" w:space="2" w:color="auto"/>
              <w:right w:val="nil"/>
            </w:tcBorders>
            <w:vAlign w:val="bottom"/>
          </w:tcPr>
          <w:p w:rsidR="00FD5242" w:rsidRPr="002A470C" w:rsidRDefault="00FD5242" w:rsidP="0077650E">
            <w:pPr>
              <w:autoSpaceDE w:val="0"/>
              <w:autoSpaceDN w:val="0"/>
              <w:adjustRightInd w:val="0"/>
              <w:spacing w:after="0" w:line="240" w:lineRule="auto"/>
              <w:jc w:val="center"/>
              <w:rPr>
                <w:rFonts w:cs="Arial"/>
                <w:color w:val="000000"/>
              </w:rPr>
            </w:pPr>
          </w:p>
        </w:tc>
        <w:tc>
          <w:tcPr>
            <w:tcW w:w="1276" w:type="dxa"/>
            <w:tcBorders>
              <w:top w:val="nil"/>
              <w:left w:val="nil"/>
              <w:bottom w:val="double" w:sz="6" w:space="2" w:color="auto"/>
              <w:right w:val="nil"/>
            </w:tcBorders>
            <w:vAlign w:val="bottom"/>
          </w:tcPr>
          <w:p w:rsidR="00FD5242" w:rsidRPr="002A470C" w:rsidRDefault="00FD5242" w:rsidP="0077650E">
            <w:pPr>
              <w:autoSpaceDE w:val="0"/>
              <w:autoSpaceDN w:val="0"/>
              <w:adjustRightInd w:val="0"/>
              <w:spacing w:after="0" w:line="240" w:lineRule="auto"/>
              <w:jc w:val="both"/>
              <w:rPr>
                <w:rFonts w:cs="Arial"/>
                <w:color w:val="000000"/>
              </w:rPr>
            </w:pPr>
          </w:p>
        </w:tc>
        <w:tc>
          <w:tcPr>
            <w:tcW w:w="1210" w:type="dxa"/>
            <w:tcBorders>
              <w:top w:val="nil"/>
              <w:left w:val="nil"/>
              <w:bottom w:val="double" w:sz="6" w:space="2" w:color="auto"/>
              <w:right w:val="nil"/>
            </w:tcBorders>
            <w:vAlign w:val="bottom"/>
          </w:tcPr>
          <w:p w:rsidR="00FD5242" w:rsidRPr="002A470C" w:rsidRDefault="00FD5242" w:rsidP="0077650E">
            <w:pPr>
              <w:autoSpaceDE w:val="0"/>
              <w:autoSpaceDN w:val="0"/>
              <w:adjustRightInd w:val="0"/>
              <w:spacing w:after="0" w:line="240" w:lineRule="auto"/>
              <w:jc w:val="both"/>
              <w:rPr>
                <w:rFonts w:cs="Arial"/>
                <w:color w:val="000000"/>
              </w:rPr>
            </w:pPr>
          </w:p>
        </w:tc>
        <w:tc>
          <w:tcPr>
            <w:tcW w:w="1211" w:type="dxa"/>
            <w:tcBorders>
              <w:top w:val="nil"/>
              <w:left w:val="nil"/>
              <w:bottom w:val="double" w:sz="6" w:space="2" w:color="auto"/>
              <w:right w:val="nil"/>
            </w:tcBorders>
            <w:vAlign w:val="bottom"/>
          </w:tcPr>
          <w:p w:rsidR="00FD5242" w:rsidRPr="002A470C" w:rsidRDefault="00FD5242" w:rsidP="0077650E">
            <w:pPr>
              <w:autoSpaceDE w:val="0"/>
              <w:autoSpaceDN w:val="0"/>
              <w:adjustRightInd w:val="0"/>
              <w:spacing w:after="0" w:line="240" w:lineRule="auto"/>
              <w:jc w:val="both"/>
              <w:rPr>
                <w:rFonts w:cs="Arial"/>
                <w:color w:val="000000"/>
              </w:rPr>
            </w:pPr>
          </w:p>
        </w:tc>
        <w:tc>
          <w:tcPr>
            <w:tcW w:w="981" w:type="dxa"/>
            <w:tcBorders>
              <w:top w:val="nil"/>
              <w:left w:val="nil"/>
              <w:bottom w:val="double" w:sz="6" w:space="2" w:color="auto"/>
              <w:right w:val="double" w:sz="4" w:space="0" w:color="auto"/>
            </w:tcBorders>
            <w:vAlign w:val="bottom"/>
          </w:tcPr>
          <w:p w:rsidR="00FD5242" w:rsidRPr="002A470C" w:rsidRDefault="00FD5242" w:rsidP="0077650E">
            <w:pPr>
              <w:autoSpaceDE w:val="0"/>
              <w:autoSpaceDN w:val="0"/>
              <w:adjustRightInd w:val="0"/>
              <w:spacing w:after="0" w:line="240" w:lineRule="auto"/>
              <w:jc w:val="both"/>
              <w:rPr>
                <w:rFonts w:cs="Arial"/>
                <w:color w:val="000000"/>
              </w:rPr>
            </w:pPr>
          </w:p>
        </w:tc>
      </w:tr>
      <w:tr w:rsidR="00FD5242" w:rsidRPr="002A470C" w:rsidTr="00345818">
        <w:trPr>
          <w:trHeight w:hRule="exact" w:val="135"/>
        </w:trPr>
        <w:tc>
          <w:tcPr>
            <w:tcW w:w="3387" w:type="dxa"/>
            <w:tcBorders>
              <w:top w:val="nil"/>
              <w:left w:val="double" w:sz="4" w:space="0" w:color="auto"/>
              <w:bottom w:val="nil"/>
              <w:right w:val="nil"/>
            </w:tcBorders>
            <w:vAlign w:val="bottom"/>
          </w:tcPr>
          <w:p w:rsidR="00FD5242" w:rsidRPr="002A470C" w:rsidRDefault="00FD5242" w:rsidP="0077650E">
            <w:pPr>
              <w:autoSpaceDE w:val="0"/>
              <w:autoSpaceDN w:val="0"/>
              <w:adjustRightInd w:val="0"/>
              <w:spacing w:after="0" w:line="240" w:lineRule="auto"/>
              <w:jc w:val="center"/>
              <w:rPr>
                <w:rFonts w:cs="Arial"/>
                <w:color w:val="000000"/>
              </w:rPr>
            </w:pPr>
          </w:p>
        </w:tc>
        <w:tc>
          <w:tcPr>
            <w:tcW w:w="1276" w:type="dxa"/>
            <w:tcBorders>
              <w:top w:val="nil"/>
              <w:left w:val="nil"/>
              <w:bottom w:val="nil"/>
              <w:right w:val="nil"/>
            </w:tcBorders>
            <w:vAlign w:val="bottom"/>
          </w:tcPr>
          <w:p w:rsidR="00FD5242" w:rsidRPr="002A470C" w:rsidRDefault="00FD5242" w:rsidP="0077650E">
            <w:pPr>
              <w:autoSpaceDE w:val="0"/>
              <w:autoSpaceDN w:val="0"/>
              <w:adjustRightInd w:val="0"/>
              <w:spacing w:after="0" w:line="240" w:lineRule="auto"/>
              <w:jc w:val="both"/>
              <w:rPr>
                <w:rFonts w:cs="Arial"/>
                <w:color w:val="000000"/>
              </w:rPr>
            </w:pPr>
          </w:p>
        </w:tc>
        <w:tc>
          <w:tcPr>
            <w:tcW w:w="1210" w:type="dxa"/>
            <w:tcBorders>
              <w:top w:val="nil"/>
              <w:left w:val="nil"/>
              <w:bottom w:val="nil"/>
              <w:right w:val="nil"/>
            </w:tcBorders>
            <w:vAlign w:val="bottom"/>
          </w:tcPr>
          <w:p w:rsidR="00FD5242" w:rsidRPr="002A470C" w:rsidRDefault="00FD5242" w:rsidP="0077650E">
            <w:pPr>
              <w:autoSpaceDE w:val="0"/>
              <w:autoSpaceDN w:val="0"/>
              <w:adjustRightInd w:val="0"/>
              <w:spacing w:after="0" w:line="240" w:lineRule="auto"/>
              <w:jc w:val="both"/>
              <w:rPr>
                <w:rFonts w:cs="Arial"/>
                <w:color w:val="000000"/>
              </w:rPr>
            </w:pPr>
          </w:p>
        </w:tc>
        <w:tc>
          <w:tcPr>
            <w:tcW w:w="1211" w:type="dxa"/>
            <w:tcBorders>
              <w:top w:val="nil"/>
              <w:left w:val="nil"/>
              <w:bottom w:val="nil"/>
              <w:right w:val="nil"/>
            </w:tcBorders>
            <w:vAlign w:val="bottom"/>
          </w:tcPr>
          <w:p w:rsidR="00FD5242" w:rsidRPr="002A470C" w:rsidRDefault="00FD5242" w:rsidP="0077650E">
            <w:pPr>
              <w:autoSpaceDE w:val="0"/>
              <w:autoSpaceDN w:val="0"/>
              <w:adjustRightInd w:val="0"/>
              <w:spacing w:after="0" w:line="240" w:lineRule="auto"/>
              <w:jc w:val="both"/>
              <w:rPr>
                <w:rFonts w:cs="Arial"/>
                <w:color w:val="000000"/>
              </w:rPr>
            </w:pPr>
          </w:p>
        </w:tc>
        <w:tc>
          <w:tcPr>
            <w:tcW w:w="981" w:type="dxa"/>
            <w:tcBorders>
              <w:top w:val="nil"/>
              <w:left w:val="nil"/>
              <w:bottom w:val="nil"/>
              <w:right w:val="double" w:sz="4" w:space="0" w:color="auto"/>
            </w:tcBorders>
            <w:vAlign w:val="bottom"/>
          </w:tcPr>
          <w:p w:rsidR="00FD5242" w:rsidRPr="002A470C" w:rsidRDefault="00FD5242" w:rsidP="0077650E">
            <w:pPr>
              <w:autoSpaceDE w:val="0"/>
              <w:autoSpaceDN w:val="0"/>
              <w:adjustRightInd w:val="0"/>
              <w:spacing w:after="0" w:line="240" w:lineRule="auto"/>
              <w:jc w:val="both"/>
              <w:rPr>
                <w:rFonts w:cs="Arial"/>
                <w:color w:val="000000"/>
              </w:rPr>
            </w:pPr>
          </w:p>
        </w:tc>
      </w:tr>
      <w:tr w:rsidR="00FD5242" w:rsidRPr="002A470C" w:rsidTr="00345818">
        <w:trPr>
          <w:trHeight w:val="225"/>
        </w:trPr>
        <w:tc>
          <w:tcPr>
            <w:tcW w:w="3387" w:type="dxa"/>
            <w:tcBorders>
              <w:top w:val="nil"/>
              <w:left w:val="double" w:sz="4" w:space="0" w:color="auto"/>
              <w:bottom w:val="nil"/>
              <w:right w:val="nil"/>
            </w:tcBorders>
            <w:vAlign w:val="bottom"/>
          </w:tcPr>
          <w:p w:rsidR="00FD5242" w:rsidRPr="002A470C" w:rsidRDefault="00FD5242" w:rsidP="0077650E">
            <w:pPr>
              <w:autoSpaceDE w:val="0"/>
              <w:autoSpaceDN w:val="0"/>
              <w:adjustRightInd w:val="0"/>
              <w:spacing w:after="0" w:line="240" w:lineRule="auto"/>
              <w:rPr>
                <w:rFonts w:cs="Arial"/>
                <w:b/>
                <w:color w:val="000000"/>
              </w:rPr>
            </w:pPr>
            <w:r w:rsidRPr="002A470C">
              <w:rPr>
                <w:rFonts w:cs="Arial"/>
                <w:b/>
                <w:color w:val="000000"/>
              </w:rPr>
              <w:t>Model Summary</w:t>
            </w:r>
          </w:p>
          <w:p w:rsidR="00FD5242" w:rsidRPr="002A470C" w:rsidRDefault="00FD5242" w:rsidP="0077650E">
            <w:pPr>
              <w:autoSpaceDE w:val="0"/>
              <w:autoSpaceDN w:val="0"/>
              <w:adjustRightInd w:val="0"/>
              <w:spacing w:after="0" w:line="240" w:lineRule="auto"/>
              <w:rPr>
                <w:rFonts w:cs="Arial"/>
                <w:color w:val="000000"/>
              </w:rPr>
            </w:pPr>
            <w:r w:rsidRPr="002A470C">
              <w:rPr>
                <w:rFonts w:cs="Arial"/>
                <w:color w:val="000000"/>
              </w:rPr>
              <w:t>R-squared</w:t>
            </w:r>
          </w:p>
        </w:tc>
        <w:tc>
          <w:tcPr>
            <w:tcW w:w="1276" w:type="dxa"/>
            <w:tcBorders>
              <w:top w:val="nil"/>
              <w:left w:val="nil"/>
              <w:bottom w:val="nil"/>
              <w:right w:val="nil"/>
            </w:tcBorders>
            <w:vAlign w:val="bottom"/>
          </w:tcPr>
          <w:p w:rsidR="00FD5242" w:rsidRPr="002A470C" w:rsidRDefault="00FD5242" w:rsidP="0077650E">
            <w:pPr>
              <w:autoSpaceDE w:val="0"/>
              <w:autoSpaceDN w:val="0"/>
              <w:adjustRightInd w:val="0"/>
              <w:spacing w:after="0" w:line="240" w:lineRule="auto"/>
              <w:ind w:right="10"/>
              <w:jc w:val="both"/>
              <w:rPr>
                <w:rFonts w:cs="Arial"/>
                <w:color w:val="000000"/>
              </w:rPr>
            </w:pPr>
            <w:r w:rsidRPr="002A470C">
              <w:rPr>
                <w:rFonts w:cs="Arial"/>
                <w:color w:val="000000"/>
              </w:rPr>
              <w:t>0.573765</w:t>
            </w:r>
          </w:p>
        </w:tc>
        <w:tc>
          <w:tcPr>
            <w:tcW w:w="2421" w:type="dxa"/>
            <w:gridSpan w:val="2"/>
            <w:tcBorders>
              <w:top w:val="nil"/>
              <w:left w:val="nil"/>
              <w:bottom w:val="nil"/>
              <w:right w:val="nil"/>
            </w:tcBorders>
            <w:vAlign w:val="bottom"/>
          </w:tcPr>
          <w:p w:rsidR="00FD5242" w:rsidRPr="002A470C" w:rsidRDefault="00FD5242" w:rsidP="0077650E">
            <w:pPr>
              <w:autoSpaceDE w:val="0"/>
              <w:autoSpaceDN w:val="0"/>
              <w:adjustRightInd w:val="0"/>
              <w:spacing w:after="0" w:line="240" w:lineRule="auto"/>
              <w:jc w:val="both"/>
              <w:rPr>
                <w:rFonts w:cs="Arial"/>
                <w:color w:val="000000"/>
              </w:rPr>
            </w:pPr>
          </w:p>
        </w:tc>
        <w:tc>
          <w:tcPr>
            <w:tcW w:w="981" w:type="dxa"/>
            <w:tcBorders>
              <w:top w:val="nil"/>
              <w:left w:val="nil"/>
              <w:bottom w:val="nil"/>
              <w:right w:val="double" w:sz="4" w:space="0" w:color="auto"/>
            </w:tcBorders>
            <w:vAlign w:val="bottom"/>
          </w:tcPr>
          <w:p w:rsidR="00FD5242" w:rsidRPr="002A470C" w:rsidRDefault="00FD5242" w:rsidP="0077650E">
            <w:pPr>
              <w:autoSpaceDE w:val="0"/>
              <w:autoSpaceDN w:val="0"/>
              <w:adjustRightInd w:val="0"/>
              <w:spacing w:after="0" w:line="240" w:lineRule="auto"/>
              <w:jc w:val="both"/>
              <w:rPr>
                <w:rFonts w:cs="Arial"/>
                <w:color w:val="000000"/>
              </w:rPr>
            </w:pPr>
          </w:p>
        </w:tc>
      </w:tr>
      <w:tr w:rsidR="00FD5242" w:rsidRPr="002A470C" w:rsidTr="00345818">
        <w:trPr>
          <w:trHeight w:val="225"/>
        </w:trPr>
        <w:tc>
          <w:tcPr>
            <w:tcW w:w="3387" w:type="dxa"/>
            <w:tcBorders>
              <w:top w:val="nil"/>
              <w:left w:val="double" w:sz="4" w:space="0" w:color="auto"/>
              <w:bottom w:val="nil"/>
              <w:right w:val="nil"/>
            </w:tcBorders>
            <w:vAlign w:val="bottom"/>
          </w:tcPr>
          <w:p w:rsidR="00FD5242" w:rsidRPr="002A470C" w:rsidRDefault="00FD5242" w:rsidP="0077650E">
            <w:pPr>
              <w:autoSpaceDE w:val="0"/>
              <w:autoSpaceDN w:val="0"/>
              <w:adjustRightInd w:val="0"/>
              <w:spacing w:after="0" w:line="240" w:lineRule="auto"/>
              <w:rPr>
                <w:rFonts w:cs="Arial"/>
                <w:color w:val="000000"/>
              </w:rPr>
            </w:pPr>
            <w:r w:rsidRPr="002A470C">
              <w:rPr>
                <w:rFonts w:cs="Arial"/>
                <w:color w:val="000000"/>
              </w:rPr>
              <w:t>Adjusted R-squared</w:t>
            </w:r>
          </w:p>
        </w:tc>
        <w:tc>
          <w:tcPr>
            <w:tcW w:w="1276" w:type="dxa"/>
            <w:tcBorders>
              <w:top w:val="nil"/>
              <w:left w:val="nil"/>
              <w:bottom w:val="nil"/>
              <w:right w:val="nil"/>
            </w:tcBorders>
            <w:vAlign w:val="bottom"/>
          </w:tcPr>
          <w:p w:rsidR="00FD5242" w:rsidRPr="002A470C" w:rsidRDefault="00FD5242" w:rsidP="0077650E">
            <w:pPr>
              <w:autoSpaceDE w:val="0"/>
              <w:autoSpaceDN w:val="0"/>
              <w:adjustRightInd w:val="0"/>
              <w:spacing w:after="0" w:line="240" w:lineRule="auto"/>
              <w:ind w:right="10"/>
              <w:jc w:val="both"/>
              <w:rPr>
                <w:rFonts w:cs="Arial"/>
                <w:color w:val="000000"/>
              </w:rPr>
            </w:pPr>
            <w:r w:rsidRPr="002A470C">
              <w:rPr>
                <w:rFonts w:cs="Arial"/>
                <w:color w:val="000000"/>
              </w:rPr>
              <w:t>0.509184</w:t>
            </w:r>
          </w:p>
        </w:tc>
        <w:tc>
          <w:tcPr>
            <w:tcW w:w="2421" w:type="dxa"/>
            <w:gridSpan w:val="2"/>
            <w:tcBorders>
              <w:top w:val="nil"/>
              <w:left w:val="nil"/>
              <w:bottom w:val="nil"/>
              <w:right w:val="nil"/>
            </w:tcBorders>
            <w:vAlign w:val="bottom"/>
          </w:tcPr>
          <w:p w:rsidR="00FD5242" w:rsidRPr="002A470C" w:rsidRDefault="00FD5242" w:rsidP="0077650E">
            <w:pPr>
              <w:autoSpaceDE w:val="0"/>
              <w:autoSpaceDN w:val="0"/>
              <w:adjustRightInd w:val="0"/>
              <w:spacing w:after="0" w:line="240" w:lineRule="auto"/>
              <w:ind w:right="10"/>
              <w:jc w:val="both"/>
              <w:rPr>
                <w:rFonts w:cs="Arial"/>
                <w:color w:val="000000"/>
              </w:rPr>
            </w:pPr>
          </w:p>
        </w:tc>
        <w:tc>
          <w:tcPr>
            <w:tcW w:w="981" w:type="dxa"/>
            <w:tcBorders>
              <w:top w:val="nil"/>
              <w:left w:val="nil"/>
              <w:bottom w:val="nil"/>
              <w:right w:val="double" w:sz="4" w:space="0" w:color="auto"/>
            </w:tcBorders>
            <w:vAlign w:val="bottom"/>
          </w:tcPr>
          <w:p w:rsidR="00FD5242" w:rsidRPr="002A470C" w:rsidRDefault="00FD5242" w:rsidP="0077650E">
            <w:pPr>
              <w:autoSpaceDE w:val="0"/>
              <w:autoSpaceDN w:val="0"/>
              <w:adjustRightInd w:val="0"/>
              <w:spacing w:after="0" w:line="240" w:lineRule="auto"/>
              <w:ind w:right="10"/>
              <w:jc w:val="both"/>
              <w:rPr>
                <w:rFonts w:cs="Arial"/>
                <w:color w:val="000000"/>
              </w:rPr>
            </w:pPr>
          </w:p>
        </w:tc>
      </w:tr>
      <w:tr w:rsidR="00FD5242" w:rsidRPr="002A470C" w:rsidTr="00345818">
        <w:trPr>
          <w:trHeight w:val="225"/>
        </w:trPr>
        <w:tc>
          <w:tcPr>
            <w:tcW w:w="3387" w:type="dxa"/>
            <w:tcBorders>
              <w:top w:val="nil"/>
              <w:left w:val="double" w:sz="4" w:space="0" w:color="auto"/>
              <w:bottom w:val="double" w:sz="4" w:space="0" w:color="auto"/>
              <w:right w:val="nil"/>
            </w:tcBorders>
            <w:vAlign w:val="bottom"/>
          </w:tcPr>
          <w:p w:rsidR="00FD5242" w:rsidRPr="002A470C" w:rsidRDefault="00FD5242" w:rsidP="0077650E">
            <w:pPr>
              <w:autoSpaceDE w:val="0"/>
              <w:autoSpaceDN w:val="0"/>
              <w:adjustRightInd w:val="0"/>
              <w:spacing w:after="0" w:line="240" w:lineRule="auto"/>
              <w:rPr>
                <w:rFonts w:cs="Arial"/>
                <w:color w:val="000000"/>
              </w:rPr>
            </w:pPr>
            <w:r w:rsidRPr="002A470C">
              <w:rPr>
                <w:rFonts w:cs="Arial"/>
                <w:color w:val="000000"/>
              </w:rPr>
              <w:t>S.E. of Regression</w:t>
            </w:r>
          </w:p>
        </w:tc>
        <w:tc>
          <w:tcPr>
            <w:tcW w:w="1276" w:type="dxa"/>
            <w:tcBorders>
              <w:top w:val="nil"/>
              <w:left w:val="nil"/>
              <w:bottom w:val="double" w:sz="4" w:space="0" w:color="auto"/>
              <w:right w:val="nil"/>
            </w:tcBorders>
            <w:vAlign w:val="bottom"/>
          </w:tcPr>
          <w:p w:rsidR="00FD5242" w:rsidRPr="002A470C" w:rsidRDefault="00FD5242" w:rsidP="0077650E">
            <w:pPr>
              <w:autoSpaceDE w:val="0"/>
              <w:autoSpaceDN w:val="0"/>
              <w:adjustRightInd w:val="0"/>
              <w:spacing w:after="0" w:line="240" w:lineRule="auto"/>
              <w:jc w:val="both"/>
              <w:rPr>
                <w:rFonts w:cs="Arial"/>
                <w:color w:val="000000"/>
              </w:rPr>
            </w:pPr>
            <w:r w:rsidRPr="002A470C">
              <w:rPr>
                <w:rFonts w:cs="Arial"/>
                <w:color w:val="000000"/>
              </w:rPr>
              <w:t>0.590000</w:t>
            </w:r>
          </w:p>
        </w:tc>
        <w:tc>
          <w:tcPr>
            <w:tcW w:w="2421" w:type="dxa"/>
            <w:gridSpan w:val="2"/>
            <w:tcBorders>
              <w:top w:val="nil"/>
              <w:left w:val="nil"/>
              <w:bottom w:val="double" w:sz="4" w:space="0" w:color="auto"/>
              <w:right w:val="nil"/>
            </w:tcBorders>
            <w:vAlign w:val="bottom"/>
          </w:tcPr>
          <w:p w:rsidR="00FD5242" w:rsidRPr="002A470C" w:rsidRDefault="00FD5242" w:rsidP="0077650E">
            <w:pPr>
              <w:autoSpaceDE w:val="0"/>
              <w:autoSpaceDN w:val="0"/>
              <w:adjustRightInd w:val="0"/>
              <w:spacing w:after="0" w:line="240" w:lineRule="auto"/>
              <w:jc w:val="both"/>
              <w:rPr>
                <w:rFonts w:cs="Arial"/>
                <w:color w:val="000000"/>
              </w:rPr>
            </w:pPr>
          </w:p>
        </w:tc>
        <w:tc>
          <w:tcPr>
            <w:tcW w:w="981" w:type="dxa"/>
            <w:tcBorders>
              <w:top w:val="nil"/>
              <w:left w:val="nil"/>
              <w:bottom w:val="double" w:sz="4" w:space="0" w:color="auto"/>
              <w:right w:val="double" w:sz="4" w:space="0" w:color="auto"/>
            </w:tcBorders>
            <w:vAlign w:val="bottom"/>
          </w:tcPr>
          <w:p w:rsidR="00FD5242" w:rsidRPr="002A470C" w:rsidRDefault="00FD5242" w:rsidP="0077650E">
            <w:pPr>
              <w:autoSpaceDE w:val="0"/>
              <w:autoSpaceDN w:val="0"/>
              <w:adjustRightInd w:val="0"/>
              <w:spacing w:after="0" w:line="240" w:lineRule="auto"/>
              <w:jc w:val="both"/>
              <w:rPr>
                <w:rFonts w:cs="Arial"/>
                <w:color w:val="000000"/>
              </w:rPr>
            </w:pPr>
          </w:p>
        </w:tc>
      </w:tr>
    </w:tbl>
    <w:p w:rsidR="00FD5242" w:rsidRPr="001B573C" w:rsidRDefault="00FD5242" w:rsidP="00D84958">
      <w:pPr>
        <w:rPr>
          <w:rFonts w:cs="Arial"/>
          <w:sz w:val="18"/>
          <w:szCs w:val="18"/>
          <w:lang w:val="en-US"/>
        </w:rPr>
      </w:pPr>
      <w:r w:rsidRPr="00630C84">
        <w:rPr>
          <w:rFonts w:cs="Arial"/>
          <w:sz w:val="18"/>
          <w:szCs w:val="18"/>
        </w:rPr>
        <w:t>*,**,*** indicate  significance at 0.01, 0.05, 0.10 significance level</w:t>
      </w:r>
      <w:r w:rsidRPr="00B82723">
        <w:rPr>
          <w:rFonts w:cs="Arial"/>
          <w:lang w:val="en-US"/>
        </w:rPr>
        <w:t xml:space="preserve">    </w:t>
      </w:r>
    </w:p>
    <w:p w:rsidR="00FD5242" w:rsidRPr="00B82723" w:rsidRDefault="00FD5242" w:rsidP="00D84958">
      <w:pPr>
        <w:rPr>
          <w:rFonts w:cs="Arial"/>
          <w:lang w:val="en-US"/>
        </w:rPr>
      </w:pPr>
      <w:r w:rsidRPr="00B82723">
        <w:rPr>
          <w:rFonts w:cs="Arial"/>
          <w:lang w:val="en-US"/>
        </w:rPr>
        <w:t xml:space="preserve">According to these findings, the Model 3 is now formulated as: </w:t>
      </w:r>
    </w:p>
    <w:p w:rsidR="00FD5242" w:rsidRDefault="00FD5242" w:rsidP="00B82723">
      <w:pPr>
        <w:autoSpaceDE w:val="0"/>
        <w:autoSpaceDN w:val="0"/>
        <w:adjustRightInd w:val="0"/>
        <w:spacing w:after="0" w:line="400" w:lineRule="atLeast"/>
        <w:rPr>
          <w:rFonts w:ascii="Cambria" w:hAnsi="Cambria"/>
          <w:b/>
          <w:bCs/>
          <w:color w:val="000000"/>
          <w:lang w:val="en-US"/>
        </w:rPr>
      </w:pPr>
      <w:r w:rsidRPr="00AD41B0">
        <w:rPr>
          <w:rFonts w:ascii="Cambria" w:hAnsi="Cambria"/>
          <w:b/>
          <w:bCs/>
          <w:color w:val="000000"/>
          <w:lang w:val="en-US"/>
        </w:rPr>
        <w:t>LAF</w:t>
      </w:r>
      <w:r w:rsidRPr="00AD41B0">
        <w:rPr>
          <w:rFonts w:ascii="Cambria" w:hAnsi="Cambria"/>
          <w:b/>
          <w:bCs/>
          <w:color w:val="000000"/>
          <w:vertAlign w:val="subscript"/>
          <w:lang w:val="en-US"/>
        </w:rPr>
        <w:t>it</w:t>
      </w:r>
      <w:r w:rsidRPr="00AD41B0">
        <w:rPr>
          <w:rFonts w:ascii="Cambria" w:hAnsi="Cambria"/>
          <w:b/>
          <w:bCs/>
          <w:color w:val="000000"/>
          <w:lang w:val="en-US"/>
        </w:rPr>
        <w:t xml:space="preserve"> = b</w:t>
      </w:r>
      <w:r w:rsidRPr="00AD41B0">
        <w:rPr>
          <w:rFonts w:ascii="Cambria" w:hAnsi="Cambria"/>
          <w:b/>
          <w:bCs/>
          <w:color w:val="000000"/>
          <w:vertAlign w:val="subscript"/>
          <w:lang w:val="en-US"/>
        </w:rPr>
        <w:t>0</w:t>
      </w:r>
      <w:r w:rsidRPr="00AD41B0">
        <w:rPr>
          <w:rFonts w:ascii="Cambria" w:hAnsi="Cambria"/>
          <w:b/>
          <w:bCs/>
          <w:color w:val="000000"/>
          <w:lang w:val="en-US"/>
        </w:rPr>
        <w:t xml:space="preserve"> </w:t>
      </w:r>
      <w:r>
        <w:rPr>
          <w:rFonts w:ascii="Cambria" w:hAnsi="Cambria"/>
          <w:b/>
          <w:bCs/>
          <w:color w:val="000000"/>
          <w:lang w:val="en-US"/>
        </w:rPr>
        <w:t>-3,035</w:t>
      </w:r>
      <w:r w:rsidRPr="00AD41B0">
        <w:rPr>
          <w:rFonts w:ascii="Cambria" w:hAnsi="Cambria"/>
          <w:b/>
          <w:bCs/>
          <w:color w:val="000000"/>
          <w:lang w:val="en-US"/>
        </w:rPr>
        <w:t xml:space="preserve"> CSV</w:t>
      </w:r>
      <w:r w:rsidRPr="00AD41B0">
        <w:rPr>
          <w:rFonts w:ascii="Cambria" w:hAnsi="Cambria"/>
          <w:b/>
          <w:bCs/>
          <w:color w:val="000000"/>
          <w:vertAlign w:val="subscript"/>
          <w:lang w:val="en-US"/>
        </w:rPr>
        <w:t>it</w:t>
      </w:r>
      <w:r w:rsidRPr="00AD41B0">
        <w:rPr>
          <w:rFonts w:ascii="Cambria" w:hAnsi="Cambria"/>
          <w:b/>
          <w:bCs/>
          <w:color w:val="000000"/>
          <w:lang w:val="en-US"/>
        </w:rPr>
        <w:t xml:space="preserve"> + </w:t>
      </w:r>
      <w:r>
        <w:rPr>
          <w:rFonts w:ascii="Cambria" w:hAnsi="Cambria"/>
          <w:b/>
          <w:bCs/>
          <w:color w:val="000000"/>
          <w:lang w:val="en-US"/>
        </w:rPr>
        <w:t>0,932</w:t>
      </w:r>
      <w:r w:rsidRPr="00AD41B0">
        <w:rPr>
          <w:rFonts w:ascii="Cambria" w:hAnsi="Cambria"/>
          <w:b/>
          <w:bCs/>
          <w:color w:val="000000"/>
          <w:lang w:val="en-US"/>
        </w:rPr>
        <w:t xml:space="preserve"> SIZE</w:t>
      </w:r>
      <w:r w:rsidRPr="00AD41B0">
        <w:rPr>
          <w:rFonts w:ascii="Cambria" w:hAnsi="Cambria"/>
          <w:b/>
          <w:bCs/>
          <w:color w:val="000000"/>
          <w:vertAlign w:val="subscript"/>
          <w:lang w:val="en-US"/>
        </w:rPr>
        <w:t>it</w:t>
      </w:r>
      <w:r w:rsidRPr="00AD41B0">
        <w:rPr>
          <w:rFonts w:ascii="Cambria" w:hAnsi="Cambria"/>
          <w:b/>
          <w:bCs/>
          <w:color w:val="000000"/>
          <w:lang w:val="en-US"/>
        </w:rPr>
        <w:t xml:space="preserve"> +</w:t>
      </w:r>
      <w:r>
        <w:rPr>
          <w:rFonts w:ascii="Cambria" w:hAnsi="Cambria"/>
          <w:b/>
          <w:bCs/>
          <w:color w:val="000000"/>
          <w:lang w:val="en-US"/>
        </w:rPr>
        <w:t xml:space="preserve">0,073 </w:t>
      </w:r>
      <w:r w:rsidRPr="00AD41B0">
        <w:rPr>
          <w:rFonts w:ascii="Cambria" w:hAnsi="Cambria"/>
          <w:b/>
          <w:bCs/>
          <w:color w:val="000000"/>
          <w:lang w:val="en-US"/>
        </w:rPr>
        <w:t>QR</w:t>
      </w:r>
      <w:r w:rsidRPr="00AD41B0">
        <w:rPr>
          <w:rFonts w:ascii="Cambria" w:hAnsi="Cambria"/>
          <w:b/>
          <w:bCs/>
          <w:color w:val="000000"/>
          <w:vertAlign w:val="subscript"/>
          <w:lang w:val="en-US"/>
        </w:rPr>
        <w:t>it</w:t>
      </w:r>
      <w:r w:rsidRPr="00AD41B0">
        <w:rPr>
          <w:rFonts w:ascii="Cambria" w:hAnsi="Cambria"/>
          <w:b/>
          <w:bCs/>
          <w:color w:val="000000"/>
          <w:lang w:val="en-US"/>
        </w:rPr>
        <w:t xml:space="preserve"> + </w:t>
      </w:r>
      <w:r>
        <w:rPr>
          <w:rFonts w:ascii="Cambria" w:hAnsi="Cambria"/>
          <w:b/>
          <w:bCs/>
          <w:color w:val="000000"/>
          <w:lang w:val="en-US"/>
        </w:rPr>
        <w:t>0,127</w:t>
      </w:r>
      <w:r w:rsidRPr="00AD41B0">
        <w:rPr>
          <w:rFonts w:ascii="Cambria" w:hAnsi="Cambria"/>
          <w:b/>
          <w:bCs/>
          <w:color w:val="000000"/>
          <w:lang w:val="en-US"/>
        </w:rPr>
        <w:t xml:space="preserve"> LEV</w:t>
      </w:r>
      <w:r w:rsidRPr="00AD41B0">
        <w:rPr>
          <w:rFonts w:ascii="Cambria" w:hAnsi="Cambria"/>
          <w:b/>
          <w:bCs/>
          <w:color w:val="000000"/>
          <w:vertAlign w:val="subscript"/>
          <w:lang w:val="en-US"/>
        </w:rPr>
        <w:t>it</w:t>
      </w:r>
      <w:r w:rsidRPr="00AD41B0">
        <w:rPr>
          <w:rFonts w:ascii="Cambria" w:hAnsi="Cambria"/>
          <w:b/>
          <w:bCs/>
          <w:color w:val="000000"/>
          <w:lang w:val="en-US"/>
        </w:rPr>
        <w:t xml:space="preserve"> + </w:t>
      </w:r>
      <w:r>
        <w:rPr>
          <w:rFonts w:ascii="Cambria" w:hAnsi="Cambria"/>
          <w:b/>
          <w:bCs/>
          <w:color w:val="000000"/>
          <w:lang w:val="en-US"/>
        </w:rPr>
        <w:t xml:space="preserve">0,4 </w:t>
      </w:r>
      <w:r w:rsidRPr="00AD41B0">
        <w:rPr>
          <w:rFonts w:ascii="Cambria" w:hAnsi="Cambria"/>
          <w:b/>
          <w:bCs/>
          <w:color w:val="000000"/>
          <w:lang w:val="en-US"/>
        </w:rPr>
        <w:t xml:space="preserve"> INVREC</w:t>
      </w:r>
      <w:r w:rsidRPr="00AD41B0">
        <w:rPr>
          <w:rFonts w:ascii="Cambria" w:hAnsi="Cambria"/>
          <w:b/>
          <w:bCs/>
          <w:color w:val="000000"/>
          <w:vertAlign w:val="subscript"/>
          <w:lang w:val="en-US"/>
        </w:rPr>
        <w:t>it</w:t>
      </w:r>
      <w:r w:rsidRPr="00AD41B0">
        <w:rPr>
          <w:rFonts w:ascii="Cambria" w:hAnsi="Cambria"/>
          <w:b/>
          <w:bCs/>
          <w:color w:val="000000"/>
          <w:lang w:val="en-US"/>
        </w:rPr>
        <w:t xml:space="preserve"> </w:t>
      </w:r>
    </w:p>
    <w:p w:rsidR="00FD5242" w:rsidRPr="0039724F" w:rsidRDefault="00FD5242" w:rsidP="0039724F">
      <w:pPr>
        <w:autoSpaceDE w:val="0"/>
        <w:autoSpaceDN w:val="0"/>
        <w:adjustRightInd w:val="0"/>
        <w:spacing w:after="0" w:line="400" w:lineRule="atLeast"/>
        <w:rPr>
          <w:bCs/>
          <w:lang w:val="en-US"/>
        </w:rPr>
      </w:pPr>
      <w:r>
        <w:rPr>
          <w:rFonts w:ascii="Cambria" w:hAnsi="Cambria"/>
          <w:b/>
          <w:bCs/>
          <w:color w:val="000000"/>
          <w:lang w:val="en-US"/>
        </w:rPr>
        <w:t xml:space="preserve"> -0,179</w:t>
      </w:r>
      <w:r w:rsidRPr="00AD41B0">
        <w:rPr>
          <w:rFonts w:ascii="Cambria" w:hAnsi="Cambria"/>
          <w:b/>
          <w:bCs/>
          <w:color w:val="000000"/>
          <w:lang w:val="en-US"/>
        </w:rPr>
        <w:t xml:space="preserve"> ROI</w:t>
      </w:r>
      <w:r w:rsidRPr="00AD41B0">
        <w:rPr>
          <w:rFonts w:ascii="Cambria" w:hAnsi="Cambria"/>
          <w:b/>
          <w:bCs/>
          <w:color w:val="000000"/>
          <w:vertAlign w:val="subscript"/>
          <w:lang w:val="en-US"/>
        </w:rPr>
        <w:t>it</w:t>
      </w:r>
    </w:p>
    <w:p w:rsidR="00FD5242" w:rsidRDefault="00FD5242" w:rsidP="0057008D">
      <w:pPr>
        <w:spacing w:line="360" w:lineRule="auto"/>
        <w:jc w:val="both"/>
        <w:rPr>
          <w:rFonts w:cs="Arial"/>
          <w:color w:val="000000"/>
          <w:lang w:val="en-US"/>
        </w:rPr>
      </w:pPr>
      <w:r>
        <w:rPr>
          <w:color w:val="000000"/>
          <w:lang w:val="en-US"/>
        </w:rPr>
        <w:t xml:space="preserve">    Inconsistent with the expectations, the dependent variable LAF is found negatively related with the audit conservatism level. CSV is a dummy variable, taking the value 0 since 2008 was hypothesized as a year of increased audit conservatism. Precisely, the coefficient </w:t>
      </w:r>
      <w:r w:rsidRPr="002A6708">
        <w:rPr>
          <w:rFonts w:cs="Arial"/>
          <w:color w:val="000000"/>
          <w:lang w:val="en-US"/>
        </w:rPr>
        <w:t>b</w:t>
      </w:r>
      <w:r w:rsidRPr="002A6708">
        <w:rPr>
          <w:rFonts w:cs="Arial"/>
          <w:color w:val="000000"/>
          <w:vertAlign w:val="subscript"/>
          <w:lang w:val="en-US"/>
        </w:rPr>
        <w:t>1</w:t>
      </w:r>
      <w:r>
        <w:rPr>
          <w:rFonts w:cs="Arial"/>
          <w:color w:val="000000"/>
          <w:lang w:val="en-US"/>
        </w:rPr>
        <w:t xml:space="preserve"> = -3,035 that measures the effect of conservatism on the audit fees, is negative and significant in the 0.01 level (2-tailed). </w:t>
      </w:r>
    </w:p>
    <w:p w:rsidR="00FD5242" w:rsidRDefault="00FD5242" w:rsidP="0057008D">
      <w:pPr>
        <w:spacing w:line="360" w:lineRule="auto"/>
        <w:jc w:val="both"/>
        <w:rPr>
          <w:rFonts w:cs="Arial"/>
          <w:color w:val="000000"/>
          <w:lang w:val="en-US"/>
        </w:rPr>
      </w:pPr>
      <w:r>
        <w:rPr>
          <w:rFonts w:cs="Arial"/>
          <w:color w:val="000000"/>
          <w:lang w:val="en-US"/>
        </w:rPr>
        <w:t xml:space="preserve">    Hypothesis 2 stated that increased audit conservatism would result in increased audit fees due to the increased audit efforts, a claim that is rejected by the results of the empirical investigation. At this point, it is worth to signal however, that auditors’ conservatism was found decreased in the years during the financial crisis, rejecting Hypothesis 1 needed to investigate Hypothesis 2. </w:t>
      </w:r>
    </w:p>
    <w:p w:rsidR="00FD5242" w:rsidRDefault="00FD5242" w:rsidP="0057008D">
      <w:pPr>
        <w:spacing w:line="360" w:lineRule="auto"/>
        <w:jc w:val="both"/>
        <w:rPr>
          <w:rFonts w:cs="Arial"/>
          <w:color w:val="000000"/>
          <w:lang w:val="en-US"/>
        </w:rPr>
      </w:pPr>
      <w:r>
        <w:rPr>
          <w:rFonts w:cs="Arial"/>
          <w:color w:val="000000"/>
          <w:lang w:val="en-US"/>
        </w:rPr>
        <w:t>The evidence arising from this empirical analysis and the actual audit fee amounts reveal a price competition trend in the audit sector, starting from 2008, the first year of the financial crisis. This fact is additionally consistent with the rejection of Hypothesis 1, since evidence proved that auditors were less conservatism during the crisis years than in the years before the crisis. Decreased conservatism is related lower audit effort and consequently with lower audit fees. This argument is consistent with the lower quality audits found by the research of the Netherlands Authority for Financial Markets in 2009, regarding statutory audits conducted in 2008.</w:t>
      </w:r>
    </w:p>
    <w:p w:rsidR="00FD5242" w:rsidRDefault="00FD5242" w:rsidP="0057008D">
      <w:pPr>
        <w:spacing w:line="360" w:lineRule="auto"/>
        <w:jc w:val="both"/>
        <w:rPr>
          <w:rFonts w:cs="Arial"/>
          <w:color w:val="000000"/>
          <w:lang w:val="en-US"/>
        </w:rPr>
      </w:pPr>
      <w:r>
        <w:rPr>
          <w:rFonts w:cs="Arial"/>
          <w:color w:val="000000"/>
          <w:lang w:val="en-US"/>
        </w:rPr>
        <w:t xml:space="preserve">    Furthermore, the findings of this regression analysis are inconsistent with the results of the study of Gul et al. (2003) concerning the impact of the Asian financial crisis of 1996-1997, which has shown increased audit fees during the crisis years. However, the findings of this research also showed increased use of auditors’ conservatism, a fact that was not verified from the statistical tests of this research. The different results of this research and the afore-mentioned one can be attributed to a large number of factors though. It is undoubted that the magnitude of the consequences of the global crisis is more prevalent and severe compared to the precedent Asian one. In the 12 years that have intervened, highly significant developments of the audit profession have taken place along with the establishment of new structured financial instruments generated to finance investments that are much more complicated to audit. Additionally, the Dutch accounting system is less flexible as far as the adjustment in new environmental circumstances is concerned, since it is specified by code law legislation.</w:t>
      </w:r>
    </w:p>
    <w:p w:rsidR="00FD5242" w:rsidRDefault="00FD5242" w:rsidP="0057008D">
      <w:pPr>
        <w:spacing w:line="360" w:lineRule="auto"/>
        <w:jc w:val="both"/>
        <w:rPr>
          <w:rFonts w:cs="Arial"/>
          <w:color w:val="000000"/>
          <w:lang w:val="en-US"/>
        </w:rPr>
      </w:pPr>
      <w:r>
        <w:rPr>
          <w:rFonts w:cs="Arial"/>
          <w:color w:val="000000"/>
          <w:lang w:val="en-US"/>
        </w:rPr>
        <w:t xml:space="preserve">    Another strong relation was found between the SIZE variable and LAF. The coefficient of the SIZE variable, </w:t>
      </w:r>
      <w:r w:rsidRPr="00F9232D">
        <w:rPr>
          <w:rFonts w:cs="Arial"/>
          <w:color w:val="000000"/>
          <w:lang w:val="en-US"/>
        </w:rPr>
        <w:t>b</w:t>
      </w:r>
      <w:r w:rsidRPr="00F9232D">
        <w:rPr>
          <w:rFonts w:cs="Arial"/>
          <w:color w:val="000000"/>
          <w:vertAlign w:val="subscript"/>
          <w:lang w:val="en-US"/>
        </w:rPr>
        <w:t>2</w:t>
      </w:r>
      <w:r>
        <w:rPr>
          <w:rFonts w:cs="Arial"/>
          <w:color w:val="000000"/>
          <w:lang w:val="en-US"/>
        </w:rPr>
        <w:t xml:space="preserve">, amounts to +0,923. This value is significant in the 0.01 level (2-tailed). Indeed, prior research has shown that the size of the audited firm is probably the most significant determinant if the audit fees, related with litigation risk, the “big pocket” theory, audit hours and complexity of the financial audits (Simunic; 1980, </w:t>
      </w:r>
      <w:r>
        <w:rPr>
          <w:lang w:val="en-US"/>
        </w:rPr>
        <w:t>Hay, Knechel &amp; Wong; 2006, Cobbin; 2002, Owusu-Ansah, Leventis &amp; Caramanis; 2010)</w:t>
      </w:r>
      <w:r>
        <w:rPr>
          <w:rFonts w:cs="Arial"/>
          <w:color w:val="000000"/>
          <w:lang w:val="en-US"/>
        </w:rPr>
        <w:t xml:space="preserve">. </w:t>
      </w:r>
    </w:p>
    <w:p w:rsidR="00FD5242" w:rsidRDefault="00FD5242" w:rsidP="0057008D">
      <w:pPr>
        <w:spacing w:line="360" w:lineRule="auto"/>
        <w:jc w:val="both"/>
        <w:rPr>
          <w:rFonts w:cs="Arial"/>
          <w:color w:val="000000"/>
          <w:lang w:val="en-US"/>
        </w:rPr>
      </w:pPr>
      <w:r>
        <w:rPr>
          <w:rFonts w:cs="Arial"/>
          <w:color w:val="000000"/>
          <w:lang w:val="en-US"/>
        </w:rPr>
        <w:t>The third important relationship discovered was the one between LAF and the dependent variable INVREC. The corresponding coefficient b</w:t>
      </w:r>
      <w:r>
        <w:rPr>
          <w:rFonts w:cs="Arial"/>
          <w:color w:val="000000"/>
          <w:vertAlign w:val="subscript"/>
          <w:lang w:val="en-US"/>
        </w:rPr>
        <w:t>5</w:t>
      </w:r>
      <w:r>
        <w:rPr>
          <w:rFonts w:cs="Arial"/>
          <w:color w:val="000000"/>
          <w:lang w:val="en-US"/>
        </w:rPr>
        <w:t xml:space="preserve"> is again positive and equal to +0,4 that is significant in the 0.1 level (2-tailed).</w:t>
      </w:r>
    </w:p>
    <w:p w:rsidR="00FD5242" w:rsidRDefault="00FD5242" w:rsidP="0057008D">
      <w:pPr>
        <w:spacing w:line="360" w:lineRule="auto"/>
        <w:jc w:val="both"/>
        <w:rPr>
          <w:rFonts w:cs="Arial"/>
          <w:color w:val="000000"/>
          <w:lang w:val="en-US"/>
        </w:rPr>
      </w:pPr>
      <w:r>
        <w:rPr>
          <w:rFonts w:cs="Arial"/>
          <w:color w:val="000000"/>
          <w:lang w:val="en-US"/>
        </w:rPr>
        <w:t xml:space="preserve">    The analysis of the coefficients of the variables used in the model, concerning 2009 is provided at this point, in order to establish the results of 2008.</w:t>
      </w:r>
    </w:p>
    <w:p w:rsidR="00FD5242" w:rsidRDefault="00FD5242" w:rsidP="0057008D">
      <w:pPr>
        <w:spacing w:line="360" w:lineRule="auto"/>
        <w:jc w:val="both"/>
        <w:rPr>
          <w:rFonts w:cs="Arial"/>
          <w:color w:val="000000"/>
          <w:lang w:val="en-US"/>
        </w:rPr>
      </w:pPr>
    </w:p>
    <w:p w:rsidR="00FD5242" w:rsidRDefault="00FD5242" w:rsidP="000F0E37">
      <w:pPr>
        <w:jc w:val="both"/>
        <w:rPr>
          <w:rFonts w:cs="Arial"/>
          <w:b/>
          <w:lang w:val="en-US"/>
        </w:rPr>
      </w:pPr>
      <w:r>
        <w:rPr>
          <w:rFonts w:cs="Arial"/>
          <w:b/>
          <w:lang w:val="en-US"/>
        </w:rPr>
        <w:t>Table 11: Results of the linear regression analysis for the year 20</w:t>
      </w:r>
      <w:r w:rsidRPr="003D13CF">
        <w:rPr>
          <w:rFonts w:cs="Arial"/>
          <w:b/>
          <w:lang w:val="en-US"/>
        </w:rPr>
        <w:t>0</w:t>
      </w:r>
      <w:r>
        <w:rPr>
          <w:rFonts w:cs="Arial"/>
          <w:b/>
          <w:lang w:val="en-US"/>
        </w:rPr>
        <w:t>9</w:t>
      </w:r>
    </w:p>
    <w:tbl>
      <w:tblPr>
        <w:tblW w:w="8080" w:type="dxa"/>
        <w:tblInd w:w="15" w:type="dxa"/>
        <w:tblLayout w:type="fixed"/>
        <w:tblCellMar>
          <w:left w:w="0" w:type="dxa"/>
          <w:right w:w="0" w:type="dxa"/>
        </w:tblCellMar>
        <w:tblLook w:val="0000"/>
      </w:tblPr>
      <w:tblGrid>
        <w:gridCol w:w="3119"/>
        <w:gridCol w:w="1276"/>
        <w:gridCol w:w="1322"/>
        <w:gridCol w:w="1390"/>
        <w:gridCol w:w="973"/>
      </w:tblGrid>
      <w:tr w:rsidR="00FD5242" w:rsidRPr="009E2EF6" w:rsidTr="00C85F4F">
        <w:trPr>
          <w:trHeight w:val="225"/>
        </w:trPr>
        <w:tc>
          <w:tcPr>
            <w:tcW w:w="5717" w:type="dxa"/>
            <w:gridSpan w:val="3"/>
            <w:tcBorders>
              <w:top w:val="double" w:sz="4" w:space="0" w:color="auto"/>
              <w:left w:val="double" w:sz="4" w:space="0" w:color="auto"/>
              <w:bottom w:val="nil"/>
              <w:right w:val="nil"/>
            </w:tcBorders>
            <w:vAlign w:val="bottom"/>
          </w:tcPr>
          <w:p w:rsidR="00FD5242" w:rsidRPr="00C85F4F" w:rsidRDefault="00FD5242" w:rsidP="0077650E">
            <w:pPr>
              <w:autoSpaceDE w:val="0"/>
              <w:autoSpaceDN w:val="0"/>
              <w:adjustRightInd w:val="0"/>
              <w:spacing w:after="0" w:line="240" w:lineRule="auto"/>
              <w:rPr>
                <w:rFonts w:cs="Arial"/>
                <w:color w:val="000000"/>
                <w:lang w:val="en-US"/>
              </w:rPr>
            </w:pPr>
            <w:r w:rsidRPr="00C85F4F">
              <w:rPr>
                <w:rFonts w:cs="Arial"/>
                <w:color w:val="000000"/>
                <w:lang w:val="en-US"/>
              </w:rPr>
              <w:t>Dependent Variable: LAF (Natural log of audit fees)</w:t>
            </w:r>
          </w:p>
        </w:tc>
        <w:tc>
          <w:tcPr>
            <w:tcW w:w="1390" w:type="dxa"/>
            <w:tcBorders>
              <w:top w:val="double" w:sz="4" w:space="0" w:color="auto"/>
              <w:left w:val="nil"/>
              <w:bottom w:val="nil"/>
              <w:right w:val="nil"/>
            </w:tcBorders>
            <w:vAlign w:val="bottom"/>
          </w:tcPr>
          <w:p w:rsidR="00FD5242" w:rsidRPr="00C85F4F" w:rsidRDefault="00FD5242" w:rsidP="0077650E">
            <w:pPr>
              <w:autoSpaceDE w:val="0"/>
              <w:autoSpaceDN w:val="0"/>
              <w:adjustRightInd w:val="0"/>
              <w:spacing w:after="0" w:line="240" w:lineRule="auto"/>
              <w:jc w:val="center"/>
              <w:rPr>
                <w:rFonts w:cs="Arial"/>
                <w:color w:val="000000"/>
                <w:lang w:val="en-US"/>
              </w:rPr>
            </w:pPr>
          </w:p>
        </w:tc>
        <w:tc>
          <w:tcPr>
            <w:tcW w:w="973" w:type="dxa"/>
            <w:tcBorders>
              <w:top w:val="double" w:sz="4" w:space="0" w:color="auto"/>
              <w:left w:val="nil"/>
              <w:bottom w:val="nil"/>
              <w:right w:val="double" w:sz="4" w:space="0" w:color="auto"/>
            </w:tcBorders>
            <w:vAlign w:val="bottom"/>
          </w:tcPr>
          <w:p w:rsidR="00FD5242" w:rsidRPr="00C85F4F" w:rsidRDefault="00FD5242" w:rsidP="0077650E">
            <w:pPr>
              <w:autoSpaceDE w:val="0"/>
              <w:autoSpaceDN w:val="0"/>
              <w:adjustRightInd w:val="0"/>
              <w:spacing w:after="0" w:line="240" w:lineRule="auto"/>
              <w:jc w:val="center"/>
              <w:rPr>
                <w:rFonts w:cs="Arial"/>
                <w:color w:val="000000"/>
                <w:lang w:val="en-US"/>
              </w:rPr>
            </w:pPr>
          </w:p>
        </w:tc>
      </w:tr>
      <w:tr w:rsidR="00FD5242" w:rsidRPr="00C85F4F" w:rsidTr="00C85F4F">
        <w:trPr>
          <w:trHeight w:val="225"/>
        </w:trPr>
        <w:tc>
          <w:tcPr>
            <w:tcW w:w="5717" w:type="dxa"/>
            <w:gridSpan w:val="3"/>
            <w:tcBorders>
              <w:top w:val="nil"/>
              <w:left w:val="double" w:sz="4" w:space="0" w:color="auto"/>
              <w:bottom w:val="nil"/>
              <w:right w:val="nil"/>
            </w:tcBorders>
            <w:vAlign w:val="bottom"/>
          </w:tcPr>
          <w:p w:rsidR="00FD5242" w:rsidRPr="00C85F4F" w:rsidRDefault="00FD5242" w:rsidP="0077650E">
            <w:pPr>
              <w:autoSpaceDE w:val="0"/>
              <w:autoSpaceDN w:val="0"/>
              <w:adjustRightInd w:val="0"/>
              <w:spacing w:after="0" w:line="240" w:lineRule="auto"/>
              <w:rPr>
                <w:rFonts w:cs="Arial"/>
                <w:color w:val="000000"/>
              </w:rPr>
            </w:pPr>
            <w:r w:rsidRPr="00C85F4F">
              <w:rPr>
                <w:rFonts w:cs="Arial"/>
                <w:color w:val="000000"/>
              </w:rPr>
              <w:t>Method: Least Squares</w:t>
            </w:r>
          </w:p>
        </w:tc>
        <w:tc>
          <w:tcPr>
            <w:tcW w:w="1390" w:type="dxa"/>
            <w:tcBorders>
              <w:top w:val="nil"/>
              <w:left w:val="nil"/>
              <w:bottom w:val="nil"/>
              <w:right w:val="nil"/>
            </w:tcBorders>
            <w:vAlign w:val="bottom"/>
          </w:tcPr>
          <w:p w:rsidR="00FD5242" w:rsidRPr="00C85F4F" w:rsidRDefault="00FD5242" w:rsidP="0077650E">
            <w:pPr>
              <w:autoSpaceDE w:val="0"/>
              <w:autoSpaceDN w:val="0"/>
              <w:adjustRightInd w:val="0"/>
              <w:spacing w:after="0" w:line="240" w:lineRule="auto"/>
              <w:jc w:val="center"/>
              <w:rPr>
                <w:rFonts w:cs="Arial"/>
                <w:color w:val="000000"/>
              </w:rPr>
            </w:pPr>
          </w:p>
        </w:tc>
        <w:tc>
          <w:tcPr>
            <w:tcW w:w="973" w:type="dxa"/>
            <w:tcBorders>
              <w:top w:val="nil"/>
              <w:left w:val="nil"/>
              <w:bottom w:val="nil"/>
              <w:right w:val="double" w:sz="4" w:space="0" w:color="auto"/>
            </w:tcBorders>
            <w:vAlign w:val="bottom"/>
          </w:tcPr>
          <w:p w:rsidR="00FD5242" w:rsidRPr="00C85F4F" w:rsidRDefault="00FD5242" w:rsidP="0077650E">
            <w:pPr>
              <w:autoSpaceDE w:val="0"/>
              <w:autoSpaceDN w:val="0"/>
              <w:adjustRightInd w:val="0"/>
              <w:spacing w:after="0" w:line="240" w:lineRule="auto"/>
              <w:jc w:val="center"/>
              <w:rPr>
                <w:rFonts w:cs="Arial"/>
                <w:color w:val="000000"/>
              </w:rPr>
            </w:pPr>
          </w:p>
        </w:tc>
      </w:tr>
      <w:tr w:rsidR="00FD5242" w:rsidRPr="00C85F4F" w:rsidTr="00C85F4F">
        <w:trPr>
          <w:trHeight w:val="225"/>
        </w:trPr>
        <w:tc>
          <w:tcPr>
            <w:tcW w:w="5717" w:type="dxa"/>
            <w:gridSpan w:val="3"/>
            <w:tcBorders>
              <w:top w:val="nil"/>
              <w:left w:val="double" w:sz="4" w:space="0" w:color="auto"/>
              <w:bottom w:val="nil"/>
              <w:right w:val="nil"/>
            </w:tcBorders>
            <w:vAlign w:val="bottom"/>
          </w:tcPr>
          <w:p w:rsidR="00FD5242" w:rsidRPr="00C85F4F" w:rsidRDefault="00FD5242" w:rsidP="0077650E">
            <w:pPr>
              <w:autoSpaceDE w:val="0"/>
              <w:autoSpaceDN w:val="0"/>
              <w:adjustRightInd w:val="0"/>
              <w:spacing w:after="0" w:line="240" w:lineRule="auto"/>
              <w:rPr>
                <w:rFonts w:cs="Arial"/>
                <w:color w:val="000000"/>
              </w:rPr>
            </w:pPr>
            <w:r w:rsidRPr="00C85F4F">
              <w:rPr>
                <w:rFonts w:cs="Arial"/>
                <w:color w:val="000000"/>
              </w:rPr>
              <w:t>Sample (adjusted): 51</w:t>
            </w:r>
          </w:p>
        </w:tc>
        <w:tc>
          <w:tcPr>
            <w:tcW w:w="1390" w:type="dxa"/>
            <w:tcBorders>
              <w:top w:val="nil"/>
              <w:left w:val="nil"/>
              <w:bottom w:val="nil"/>
              <w:right w:val="nil"/>
            </w:tcBorders>
            <w:vAlign w:val="bottom"/>
          </w:tcPr>
          <w:p w:rsidR="00FD5242" w:rsidRPr="00C85F4F" w:rsidRDefault="00FD5242" w:rsidP="0077650E">
            <w:pPr>
              <w:autoSpaceDE w:val="0"/>
              <w:autoSpaceDN w:val="0"/>
              <w:adjustRightInd w:val="0"/>
              <w:spacing w:after="0" w:line="240" w:lineRule="auto"/>
              <w:jc w:val="center"/>
              <w:rPr>
                <w:rFonts w:cs="Arial"/>
                <w:color w:val="000000"/>
              </w:rPr>
            </w:pPr>
          </w:p>
        </w:tc>
        <w:tc>
          <w:tcPr>
            <w:tcW w:w="973" w:type="dxa"/>
            <w:tcBorders>
              <w:top w:val="nil"/>
              <w:left w:val="nil"/>
              <w:bottom w:val="nil"/>
              <w:right w:val="double" w:sz="4" w:space="0" w:color="auto"/>
            </w:tcBorders>
            <w:vAlign w:val="bottom"/>
          </w:tcPr>
          <w:p w:rsidR="00FD5242" w:rsidRPr="00C85F4F" w:rsidRDefault="00FD5242" w:rsidP="0077650E">
            <w:pPr>
              <w:autoSpaceDE w:val="0"/>
              <w:autoSpaceDN w:val="0"/>
              <w:adjustRightInd w:val="0"/>
              <w:spacing w:after="0" w:line="240" w:lineRule="auto"/>
              <w:jc w:val="center"/>
              <w:rPr>
                <w:rFonts w:cs="Arial"/>
                <w:color w:val="000000"/>
              </w:rPr>
            </w:pPr>
          </w:p>
        </w:tc>
      </w:tr>
      <w:tr w:rsidR="00FD5242" w:rsidRPr="009E2EF6" w:rsidTr="00C85F4F">
        <w:trPr>
          <w:trHeight w:val="225"/>
        </w:trPr>
        <w:tc>
          <w:tcPr>
            <w:tcW w:w="8080" w:type="dxa"/>
            <w:gridSpan w:val="5"/>
            <w:tcBorders>
              <w:top w:val="nil"/>
              <w:left w:val="double" w:sz="4" w:space="0" w:color="auto"/>
              <w:bottom w:val="nil"/>
              <w:right w:val="double" w:sz="4" w:space="0" w:color="auto"/>
            </w:tcBorders>
            <w:vAlign w:val="bottom"/>
          </w:tcPr>
          <w:p w:rsidR="00FD5242" w:rsidRPr="00C85F4F" w:rsidRDefault="00FD5242" w:rsidP="0077650E">
            <w:pPr>
              <w:autoSpaceDE w:val="0"/>
              <w:autoSpaceDN w:val="0"/>
              <w:adjustRightInd w:val="0"/>
              <w:spacing w:after="0" w:line="240" w:lineRule="auto"/>
              <w:rPr>
                <w:rFonts w:cs="Arial"/>
                <w:color w:val="000000"/>
                <w:lang w:val="en-US"/>
              </w:rPr>
            </w:pPr>
            <w:r w:rsidRPr="00C85F4F">
              <w:rPr>
                <w:rFonts w:cs="Arial"/>
                <w:color w:val="000000"/>
                <w:lang w:val="en-US"/>
              </w:rPr>
              <w:t>LAF=b</w:t>
            </w:r>
            <w:r w:rsidRPr="00C85F4F">
              <w:rPr>
                <w:rFonts w:cs="Arial"/>
                <w:color w:val="000000"/>
                <w:vertAlign w:val="subscript"/>
                <w:lang w:val="en-US"/>
              </w:rPr>
              <w:t>1</w:t>
            </w:r>
            <w:r w:rsidRPr="00C85F4F">
              <w:rPr>
                <w:rFonts w:cs="Arial"/>
                <w:color w:val="000000"/>
                <w:lang w:val="en-US"/>
              </w:rPr>
              <w:t>*CSV+b</w:t>
            </w:r>
            <w:r w:rsidRPr="00C85F4F">
              <w:rPr>
                <w:rFonts w:cs="Arial"/>
                <w:color w:val="000000"/>
                <w:vertAlign w:val="subscript"/>
                <w:lang w:val="en-US"/>
              </w:rPr>
              <w:t>2</w:t>
            </w:r>
            <w:r w:rsidRPr="00C85F4F">
              <w:rPr>
                <w:rFonts w:cs="Arial"/>
                <w:color w:val="000000"/>
                <w:lang w:val="en-US"/>
              </w:rPr>
              <w:t>*SIZE+b</w:t>
            </w:r>
            <w:r w:rsidRPr="00C85F4F">
              <w:rPr>
                <w:rFonts w:cs="Arial"/>
                <w:color w:val="000000"/>
                <w:vertAlign w:val="subscript"/>
                <w:lang w:val="en-US"/>
              </w:rPr>
              <w:t>3</w:t>
            </w:r>
            <w:r w:rsidRPr="00C85F4F">
              <w:rPr>
                <w:rFonts w:cs="Arial"/>
                <w:color w:val="000000"/>
                <w:lang w:val="en-US"/>
              </w:rPr>
              <w:t>*QR+b</w:t>
            </w:r>
            <w:r w:rsidRPr="00C85F4F">
              <w:rPr>
                <w:rFonts w:cs="Arial"/>
                <w:color w:val="000000"/>
                <w:vertAlign w:val="subscript"/>
                <w:lang w:val="en-US"/>
              </w:rPr>
              <w:t>4</w:t>
            </w:r>
            <w:r w:rsidRPr="00C85F4F">
              <w:rPr>
                <w:rFonts w:cs="Arial"/>
                <w:color w:val="000000"/>
                <w:lang w:val="en-US"/>
              </w:rPr>
              <w:t>*LEV+b</w:t>
            </w:r>
            <w:r w:rsidRPr="00C85F4F">
              <w:rPr>
                <w:rFonts w:cs="Arial"/>
                <w:color w:val="000000"/>
                <w:vertAlign w:val="subscript"/>
                <w:lang w:val="en-US"/>
              </w:rPr>
              <w:t>5</w:t>
            </w:r>
            <w:r w:rsidRPr="00C85F4F">
              <w:rPr>
                <w:rFonts w:cs="Arial"/>
                <w:color w:val="000000"/>
                <w:lang w:val="en-US"/>
              </w:rPr>
              <w:t>*INVREC+b</w:t>
            </w:r>
            <w:r w:rsidRPr="00C85F4F">
              <w:rPr>
                <w:rFonts w:cs="Arial"/>
                <w:color w:val="000000"/>
                <w:vertAlign w:val="subscript"/>
                <w:lang w:val="en-US"/>
              </w:rPr>
              <w:t>6</w:t>
            </w:r>
            <w:r w:rsidRPr="00C85F4F">
              <w:rPr>
                <w:rFonts w:cs="Arial"/>
                <w:color w:val="000000"/>
                <w:lang w:val="en-US"/>
              </w:rPr>
              <w:t>*ROI (no constant term)</w:t>
            </w:r>
          </w:p>
        </w:tc>
      </w:tr>
      <w:tr w:rsidR="00FD5242" w:rsidRPr="009E2EF6" w:rsidTr="00C85F4F">
        <w:trPr>
          <w:trHeight w:hRule="exact" w:val="90"/>
        </w:trPr>
        <w:tc>
          <w:tcPr>
            <w:tcW w:w="3119" w:type="dxa"/>
            <w:tcBorders>
              <w:top w:val="nil"/>
              <w:left w:val="double" w:sz="4" w:space="0" w:color="auto"/>
              <w:bottom w:val="double" w:sz="6" w:space="2" w:color="auto"/>
              <w:right w:val="nil"/>
            </w:tcBorders>
            <w:vAlign w:val="bottom"/>
          </w:tcPr>
          <w:p w:rsidR="00FD5242" w:rsidRPr="00C85F4F" w:rsidRDefault="00FD5242" w:rsidP="0077650E">
            <w:pPr>
              <w:autoSpaceDE w:val="0"/>
              <w:autoSpaceDN w:val="0"/>
              <w:adjustRightInd w:val="0"/>
              <w:spacing w:after="0" w:line="240" w:lineRule="auto"/>
              <w:jc w:val="center"/>
              <w:rPr>
                <w:rFonts w:cs="Arial"/>
                <w:color w:val="000000"/>
                <w:lang w:val="en-US"/>
              </w:rPr>
            </w:pPr>
          </w:p>
        </w:tc>
        <w:tc>
          <w:tcPr>
            <w:tcW w:w="1276" w:type="dxa"/>
            <w:tcBorders>
              <w:top w:val="nil"/>
              <w:left w:val="nil"/>
              <w:bottom w:val="double" w:sz="6" w:space="2" w:color="auto"/>
              <w:right w:val="nil"/>
            </w:tcBorders>
            <w:vAlign w:val="bottom"/>
          </w:tcPr>
          <w:p w:rsidR="00FD5242" w:rsidRPr="00C85F4F" w:rsidRDefault="00FD5242" w:rsidP="0077650E">
            <w:pPr>
              <w:autoSpaceDE w:val="0"/>
              <w:autoSpaceDN w:val="0"/>
              <w:adjustRightInd w:val="0"/>
              <w:spacing w:after="0" w:line="240" w:lineRule="auto"/>
              <w:jc w:val="center"/>
              <w:rPr>
                <w:rFonts w:cs="Arial"/>
                <w:color w:val="000000"/>
                <w:lang w:val="en-US"/>
              </w:rPr>
            </w:pPr>
          </w:p>
        </w:tc>
        <w:tc>
          <w:tcPr>
            <w:tcW w:w="1322" w:type="dxa"/>
            <w:tcBorders>
              <w:top w:val="nil"/>
              <w:left w:val="nil"/>
              <w:bottom w:val="double" w:sz="6" w:space="2" w:color="auto"/>
              <w:right w:val="nil"/>
            </w:tcBorders>
            <w:vAlign w:val="bottom"/>
          </w:tcPr>
          <w:p w:rsidR="00FD5242" w:rsidRPr="00C85F4F" w:rsidRDefault="00FD5242" w:rsidP="0077650E">
            <w:pPr>
              <w:autoSpaceDE w:val="0"/>
              <w:autoSpaceDN w:val="0"/>
              <w:adjustRightInd w:val="0"/>
              <w:spacing w:after="0" w:line="240" w:lineRule="auto"/>
              <w:jc w:val="center"/>
              <w:rPr>
                <w:rFonts w:cs="Arial"/>
                <w:color w:val="000000"/>
                <w:lang w:val="en-US"/>
              </w:rPr>
            </w:pPr>
          </w:p>
        </w:tc>
        <w:tc>
          <w:tcPr>
            <w:tcW w:w="1390" w:type="dxa"/>
            <w:tcBorders>
              <w:top w:val="nil"/>
              <w:left w:val="nil"/>
              <w:bottom w:val="double" w:sz="6" w:space="2" w:color="auto"/>
              <w:right w:val="nil"/>
            </w:tcBorders>
            <w:vAlign w:val="bottom"/>
          </w:tcPr>
          <w:p w:rsidR="00FD5242" w:rsidRPr="00C85F4F" w:rsidRDefault="00FD5242" w:rsidP="0077650E">
            <w:pPr>
              <w:autoSpaceDE w:val="0"/>
              <w:autoSpaceDN w:val="0"/>
              <w:adjustRightInd w:val="0"/>
              <w:spacing w:after="0" w:line="240" w:lineRule="auto"/>
              <w:jc w:val="center"/>
              <w:rPr>
                <w:rFonts w:cs="Arial"/>
                <w:color w:val="000000"/>
                <w:lang w:val="en-US"/>
              </w:rPr>
            </w:pPr>
          </w:p>
        </w:tc>
        <w:tc>
          <w:tcPr>
            <w:tcW w:w="973" w:type="dxa"/>
            <w:tcBorders>
              <w:top w:val="nil"/>
              <w:left w:val="nil"/>
              <w:bottom w:val="double" w:sz="6" w:space="2" w:color="auto"/>
              <w:right w:val="double" w:sz="4" w:space="0" w:color="auto"/>
            </w:tcBorders>
            <w:vAlign w:val="bottom"/>
          </w:tcPr>
          <w:p w:rsidR="00FD5242" w:rsidRPr="00C85F4F" w:rsidRDefault="00FD5242" w:rsidP="0077650E">
            <w:pPr>
              <w:autoSpaceDE w:val="0"/>
              <w:autoSpaceDN w:val="0"/>
              <w:adjustRightInd w:val="0"/>
              <w:spacing w:after="0" w:line="240" w:lineRule="auto"/>
              <w:jc w:val="center"/>
              <w:rPr>
                <w:rFonts w:cs="Arial"/>
                <w:color w:val="000000"/>
                <w:lang w:val="en-US"/>
              </w:rPr>
            </w:pPr>
          </w:p>
        </w:tc>
      </w:tr>
      <w:tr w:rsidR="00FD5242" w:rsidRPr="009E2EF6" w:rsidTr="00C85F4F">
        <w:trPr>
          <w:trHeight w:hRule="exact" w:val="135"/>
        </w:trPr>
        <w:tc>
          <w:tcPr>
            <w:tcW w:w="3119" w:type="dxa"/>
            <w:tcBorders>
              <w:top w:val="nil"/>
              <w:left w:val="double" w:sz="4" w:space="0" w:color="auto"/>
              <w:bottom w:val="nil"/>
              <w:right w:val="nil"/>
            </w:tcBorders>
            <w:vAlign w:val="bottom"/>
          </w:tcPr>
          <w:p w:rsidR="00FD5242" w:rsidRPr="00C85F4F" w:rsidRDefault="00FD5242" w:rsidP="0077650E">
            <w:pPr>
              <w:autoSpaceDE w:val="0"/>
              <w:autoSpaceDN w:val="0"/>
              <w:adjustRightInd w:val="0"/>
              <w:spacing w:after="0" w:line="240" w:lineRule="auto"/>
              <w:jc w:val="center"/>
              <w:rPr>
                <w:rFonts w:cs="Arial"/>
                <w:color w:val="000000"/>
                <w:lang w:val="en-US"/>
              </w:rPr>
            </w:pPr>
          </w:p>
        </w:tc>
        <w:tc>
          <w:tcPr>
            <w:tcW w:w="1276" w:type="dxa"/>
            <w:tcBorders>
              <w:top w:val="nil"/>
              <w:left w:val="nil"/>
              <w:bottom w:val="nil"/>
              <w:right w:val="nil"/>
            </w:tcBorders>
            <w:vAlign w:val="bottom"/>
          </w:tcPr>
          <w:p w:rsidR="00FD5242" w:rsidRPr="00C85F4F" w:rsidRDefault="00FD5242" w:rsidP="0077650E">
            <w:pPr>
              <w:autoSpaceDE w:val="0"/>
              <w:autoSpaceDN w:val="0"/>
              <w:adjustRightInd w:val="0"/>
              <w:spacing w:after="0" w:line="240" w:lineRule="auto"/>
              <w:jc w:val="center"/>
              <w:rPr>
                <w:rFonts w:cs="Arial"/>
                <w:color w:val="000000"/>
                <w:lang w:val="en-US"/>
              </w:rPr>
            </w:pPr>
          </w:p>
        </w:tc>
        <w:tc>
          <w:tcPr>
            <w:tcW w:w="1322" w:type="dxa"/>
            <w:tcBorders>
              <w:top w:val="nil"/>
              <w:left w:val="nil"/>
              <w:bottom w:val="nil"/>
              <w:right w:val="nil"/>
            </w:tcBorders>
            <w:vAlign w:val="bottom"/>
          </w:tcPr>
          <w:p w:rsidR="00FD5242" w:rsidRPr="00C85F4F" w:rsidRDefault="00FD5242" w:rsidP="0077650E">
            <w:pPr>
              <w:autoSpaceDE w:val="0"/>
              <w:autoSpaceDN w:val="0"/>
              <w:adjustRightInd w:val="0"/>
              <w:spacing w:after="0" w:line="240" w:lineRule="auto"/>
              <w:jc w:val="center"/>
              <w:rPr>
                <w:rFonts w:cs="Arial"/>
                <w:color w:val="000000"/>
                <w:lang w:val="en-US"/>
              </w:rPr>
            </w:pPr>
          </w:p>
        </w:tc>
        <w:tc>
          <w:tcPr>
            <w:tcW w:w="1390" w:type="dxa"/>
            <w:tcBorders>
              <w:top w:val="nil"/>
              <w:left w:val="nil"/>
              <w:bottom w:val="nil"/>
              <w:right w:val="nil"/>
            </w:tcBorders>
            <w:vAlign w:val="bottom"/>
          </w:tcPr>
          <w:p w:rsidR="00FD5242" w:rsidRPr="00C85F4F" w:rsidRDefault="00FD5242" w:rsidP="0077650E">
            <w:pPr>
              <w:autoSpaceDE w:val="0"/>
              <w:autoSpaceDN w:val="0"/>
              <w:adjustRightInd w:val="0"/>
              <w:spacing w:after="0" w:line="240" w:lineRule="auto"/>
              <w:jc w:val="center"/>
              <w:rPr>
                <w:rFonts w:cs="Arial"/>
                <w:color w:val="000000"/>
                <w:lang w:val="en-US"/>
              </w:rPr>
            </w:pPr>
          </w:p>
        </w:tc>
        <w:tc>
          <w:tcPr>
            <w:tcW w:w="973" w:type="dxa"/>
            <w:tcBorders>
              <w:top w:val="nil"/>
              <w:left w:val="nil"/>
              <w:bottom w:val="nil"/>
              <w:right w:val="double" w:sz="4" w:space="0" w:color="auto"/>
            </w:tcBorders>
            <w:vAlign w:val="bottom"/>
          </w:tcPr>
          <w:p w:rsidR="00FD5242" w:rsidRPr="00C85F4F" w:rsidRDefault="00FD5242" w:rsidP="0077650E">
            <w:pPr>
              <w:autoSpaceDE w:val="0"/>
              <w:autoSpaceDN w:val="0"/>
              <w:adjustRightInd w:val="0"/>
              <w:spacing w:after="0" w:line="240" w:lineRule="auto"/>
              <w:jc w:val="center"/>
              <w:rPr>
                <w:rFonts w:cs="Arial"/>
                <w:color w:val="000000"/>
                <w:lang w:val="en-US"/>
              </w:rPr>
            </w:pPr>
          </w:p>
        </w:tc>
      </w:tr>
      <w:tr w:rsidR="00FD5242" w:rsidRPr="00C85F4F" w:rsidTr="00C85F4F">
        <w:trPr>
          <w:trHeight w:val="225"/>
        </w:trPr>
        <w:tc>
          <w:tcPr>
            <w:tcW w:w="3119" w:type="dxa"/>
            <w:tcBorders>
              <w:top w:val="nil"/>
              <w:left w:val="double" w:sz="4" w:space="0" w:color="auto"/>
              <w:bottom w:val="nil"/>
              <w:right w:val="nil"/>
            </w:tcBorders>
            <w:vAlign w:val="bottom"/>
          </w:tcPr>
          <w:p w:rsidR="00FD5242" w:rsidRPr="00C85F4F" w:rsidRDefault="00FD5242" w:rsidP="0077650E">
            <w:pPr>
              <w:autoSpaceDE w:val="0"/>
              <w:autoSpaceDN w:val="0"/>
              <w:adjustRightInd w:val="0"/>
              <w:spacing w:after="0" w:line="240" w:lineRule="auto"/>
              <w:jc w:val="center"/>
              <w:rPr>
                <w:rFonts w:cs="Arial"/>
                <w:color w:val="000000"/>
                <w:lang w:val="en-US"/>
              </w:rPr>
            </w:pPr>
          </w:p>
        </w:tc>
        <w:tc>
          <w:tcPr>
            <w:tcW w:w="1276" w:type="dxa"/>
            <w:tcBorders>
              <w:top w:val="nil"/>
              <w:left w:val="nil"/>
              <w:bottom w:val="nil"/>
              <w:right w:val="nil"/>
            </w:tcBorders>
            <w:vAlign w:val="bottom"/>
          </w:tcPr>
          <w:p w:rsidR="00FD5242" w:rsidRPr="00C85F4F" w:rsidRDefault="00FD5242" w:rsidP="0077650E">
            <w:pPr>
              <w:autoSpaceDE w:val="0"/>
              <w:autoSpaceDN w:val="0"/>
              <w:adjustRightInd w:val="0"/>
              <w:spacing w:after="0" w:line="240" w:lineRule="auto"/>
              <w:ind w:right="10"/>
              <w:jc w:val="both"/>
              <w:rPr>
                <w:rFonts w:cs="Arial"/>
                <w:color w:val="000000"/>
              </w:rPr>
            </w:pPr>
            <w:r w:rsidRPr="00C85F4F">
              <w:rPr>
                <w:rFonts w:cs="Arial"/>
                <w:color w:val="000000"/>
              </w:rPr>
              <w:t>Coefficient</w:t>
            </w:r>
          </w:p>
        </w:tc>
        <w:tc>
          <w:tcPr>
            <w:tcW w:w="1322" w:type="dxa"/>
            <w:tcBorders>
              <w:top w:val="nil"/>
              <w:left w:val="nil"/>
              <w:bottom w:val="nil"/>
              <w:right w:val="nil"/>
            </w:tcBorders>
            <w:vAlign w:val="bottom"/>
          </w:tcPr>
          <w:p w:rsidR="00FD5242" w:rsidRPr="00C85F4F" w:rsidRDefault="00FD5242" w:rsidP="0077650E">
            <w:pPr>
              <w:autoSpaceDE w:val="0"/>
              <w:autoSpaceDN w:val="0"/>
              <w:adjustRightInd w:val="0"/>
              <w:spacing w:after="0" w:line="240" w:lineRule="auto"/>
              <w:ind w:right="10"/>
              <w:jc w:val="both"/>
              <w:rPr>
                <w:rFonts w:cs="Arial"/>
                <w:color w:val="000000"/>
              </w:rPr>
            </w:pPr>
            <w:r w:rsidRPr="00C85F4F">
              <w:rPr>
                <w:rFonts w:cs="Arial"/>
                <w:color w:val="000000"/>
              </w:rPr>
              <w:t>Std. Error</w:t>
            </w:r>
          </w:p>
        </w:tc>
        <w:tc>
          <w:tcPr>
            <w:tcW w:w="1390" w:type="dxa"/>
            <w:tcBorders>
              <w:top w:val="nil"/>
              <w:left w:val="nil"/>
              <w:bottom w:val="nil"/>
              <w:right w:val="nil"/>
            </w:tcBorders>
            <w:vAlign w:val="bottom"/>
          </w:tcPr>
          <w:p w:rsidR="00FD5242" w:rsidRPr="00C85F4F" w:rsidRDefault="00FD5242" w:rsidP="0077650E">
            <w:pPr>
              <w:autoSpaceDE w:val="0"/>
              <w:autoSpaceDN w:val="0"/>
              <w:adjustRightInd w:val="0"/>
              <w:spacing w:after="0" w:line="240" w:lineRule="auto"/>
              <w:ind w:right="10"/>
              <w:jc w:val="both"/>
              <w:rPr>
                <w:rFonts w:cs="Arial"/>
                <w:color w:val="000000"/>
              </w:rPr>
            </w:pPr>
            <w:r w:rsidRPr="00C85F4F">
              <w:rPr>
                <w:rFonts w:cs="Arial"/>
                <w:color w:val="000000"/>
              </w:rPr>
              <w:t>t-Statistic</w:t>
            </w:r>
          </w:p>
        </w:tc>
        <w:tc>
          <w:tcPr>
            <w:tcW w:w="973" w:type="dxa"/>
            <w:tcBorders>
              <w:top w:val="nil"/>
              <w:left w:val="nil"/>
              <w:bottom w:val="nil"/>
              <w:right w:val="double" w:sz="4" w:space="0" w:color="auto"/>
            </w:tcBorders>
            <w:vAlign w:val="bottom"/>
          </w:tcPr>
          <w:p w:rsidR="00FD5242" w:rsidRPr="00C85F4F" w:rsidRDefault="00FD5242" w:rsidP="0077650E">
            <w:pPr>
              <w:autoSpaceDE w:val="0"/>
              <w:autoSpaceDN w:val="0"/>
              <w:adjustRightInd w:val="0"/>
              <w:spacing w:after="0" w:line="240" w:lineRule="auto"/>
              <w:ind w:right="10"/>
              <w:jc w:val="both"/>
              <w:rPr>
                <w:rFonts w:cs="Arial"/>
                <w:color w:val="000000"/>
              </w:rPr>
            </w:pPr>
            <w:r w:rsidRPr="00C85F4F">
              <w:rPr>
                <w:rFonts w:cs="Arial"/>
                <w:color w:val="000000"/>
              </w:rPr>
              <w:t>Prob.  </w:t>
            </w:r>
          </w:p>
        </w:tc>
      </w:tr>
      <w:tr w:rsidR="00FD5242" w:rsidRPr="00C85F4F" w:rsidTr="00C85F4F">
        <w:trPr>
          <w:trHeight w:hRule="exact" w:val="90"/>
        </w:trPr>
        <w:tc>
          <w:tcPr>
            <w:tcW w:w="3119" w:type="dxa"/>
            <w:tcBorders>
              <w:top w:val="nil"/>
              <w:left w:val="double" w:sz="4" w:space="0" w:color="auto"/>
              <w:bottom w:val="double" w:sz="6" w:space="2" w:color="auto"/>
              <w:right w:val="nil"/>
            </w:tcBorders>
            <w:vAlign w:val="bottom"/>
          </w:tcPr>
          <w:p w:rsidR="00FD5242" w:rsidRPr="00C85F4F" w:rsidRDefault="00FD5242" w:rsidP="0077650E">
            <w:pPr>
              <w:autoSpaceDE w:val="0"/>
              <w:autoSpaceDN w:val="0"/>
              <w:adjustRightInd w:val="0"/>
              <w:spacing w:after="0" w:line="240" w:lineRule="auto"/>
              <w:jc w:val="center"/>
              <w:rPr>
                <w:rFonts w:cs="Arial"/>
                <w:color w:val="000000"/>
              </w:rPr>
            </w:pPr>
          </w:p>
        </w:tc>
        <w:tc>
          <w:tcPr>
            <w:tcW w:w="1276" w:type="dxa"/>
            <w:tcBorders>
              <w:top w:val="nil"/>
              <w:left w:val="nil"/>
              <w:bottom w:val="double" w:sz="6" w:space="2" w:color="auto"/>
              <w:right w:val="nil"/>
            </w:tcBorders>
            <w:vAlign w:val="bottom"/>
          </w:tcPr>
          <w:p w:rsidR="00FD5242" w:rsidRPr="00C85F4F" w:rsidRDefault="00FD5242" w:rsidP="0077650E">
            <w:pPr>
              <w:autoSpaceDE w:val="0"/>
              <w:autoSpaceDN w:val="0"/>
              <w:adjustRightInd w:val="0"/>
              <w:spacing w:after="0" w:line="240" w:lineRule="auto"/>
              <w:jc w:val="both"/>
              <w:rPr>
                <w:rFonts w:cs="Arial"/>
                <w:color w:val="000000"/>
              </w:rPr>
            </w:pPr>
          </w:p>
        </w:tc>
        <w:tc>
          <w:tcPr>
            <w:tcW w:w="1322" w:type="dxa"/>
            <w:tcBorders>
              <w:top w:val="nil"/>
              <w:left w:val="nil"/>
              <w:bottom w:val="double" w:sz="6" w:space="2" w:color="auto"/>
              <w:right w:val="nil"/>
            </w:tcBorders>
            <w:vAlign w:val="bottom"/>
          </w:tcPr>
          <w:p w:rsidR="00FD5242" w:rsidRPr="00C85F4F" w:rsidRDefault="00FD5242" w:rsidP="0077650E">
            <w:pPr>
              <w:autoSpaceDE w:val="0"/>
              <w:autoSpaceDN w:val="0"/>
              <w:adjustRightInd w:val="0"/>
              <w:spacing w:after="0" w:line="240" w:lineRule="auto"/>
              <w:jc w:val="both"/>
              <w:rPr>
                <w:rFonts w:cs="Arial"/>
                <w:color w:val="000000"/>
              </w:rPr>
            </w:pPr>
          </w:p>
        </w:tc>
        <w:tc>
          <w:tcPr>
            <w:tcW w:w="1390" w:type="dxa"/>
            <w:tcBorders>
              <w:top w:val="nil"/>
              <w:left w:val="nil"/>
              <w:bottom w:val="double" w:sz="6" w:space="2" w:color="auto"/>
              <w:right w:val="nil"/>
            </w:tcBorders>
            <w:vAlign w:val="bottom"/>
          </w:tcPr>
          <w:p w:rsidR="00FD5242" w:rsidRPr="00C85F4F" w:rsidRDefault="00FD5242" w:rsidP="0077650E">
            <w:pPr>
              <w:autoSpaceDE w:val="0"/>
              <w:autoSpaceDN w:val="0"/>
              <w:adjustRightInd w:val="0"/>
              <w:spacing w:after="0" w:line="240" w:lineRule="auto"/>
              <w:jc w:val="both"/>
              <w:rPr>
                <w:rFonts w:cs="Arial"/>
                <w:color w:val="000000"/>
              </w:rPr>
            </w:pPr>
          </w:p>
        </w:tc>
        <w:tc>
          <w:tcPr>
            <w:tcW w:w="973" w:type="dxa"/>
            <w:tcBorders>
              <w:top w:val="nil"/>
              <w:left w:val="nil"/>
              <w:bottom w:val="double" w:sz="6" w:space="2" w:color="auto"/>
              <w:right w:val="double" w:sz="4" w:space="0" w:color="auto"/>
            </w:tcBorders>
            <w:vAlign w:val="bottom"/>
          </w:tcPr>
          <w:p w:rsidR="00FD5242" w:rsidRPr="00C85F4F" w:rsidRDefault="00FD5242" w:rsidP="0077650E">
            <w:pPr>
              <w:autoSpaceDE w:val="0"/>
              <w:autoSpaceDN w:val="0"/>
              <w:adjustRightInd w:val="0"/>
              <w:spacing w:after="0" w:line="240" w:lineRule="auto"/>
              <w:jc w:val="both"/>
              <w:rPr>
                <w:rFonts w:cs="Arial"/>
                <w:color w:val="000000"/>
              </w:rPr>
            </w:pPr>
          </w:p>
        </w:tc>
      </w:tr>
      <w:tr w:rsidR="00FD5242" w:rsidRPr="00C85F4F" w:rsidTr="00C85F4F">
        <w:trPr>
          <w:trHeight w:hRule="exact" w:val="135"/>
        </w:trPr>
        <w:tc>
          <w:tcPr>
            <w:tcW w:w="3119" w:type="dxa"/>
            <w:tcBorders>
              <w:top w:val="nil"/>
              <w:left w:val="double" w:sz="4" w:space="0" w:color="auto"/>
              <w:bottom w:val="nil"/>
              <w:right w:val="nil"/>
            </w:tcBorders>
            <w:vAlign w:val="bottom"/>
          </w:tcPr>
          <w:p w:rsidR="00FD5242" w:rsidRPr="00C85F4F" w:rsidRDefault="00FD5242" w:rsidP="0077650E">
            <w:pPr>
              <w:autoSpaceDE w:val="0"/>
              <w:autoSpaceDN w:val="0"/>
              <w:adjustRightInd w:val="0"/>
              <w:spacing w:after="0" w:line="240" w:lineRule="auto"/>
              <w:jc w:val="center"/>
              <w:rPr>
                <w:rFonts w:cs="Arial"/>
                <w:color w:val="000000"/>
              </w:rPr>
            </w:pPr>
          </w:p>
        </w:tc>
        <w:tc>
          <w:tcPr>
            <w:tcW w:w="1276" w:type="dxa"/>
            <w:tcBorders>
              <w:top w:val="nil"/>
              <w:left w:val="nil"/>
              <w:bottom w:val="nil"/>
              <w:right w:val="nil"/>
            </w:tcBorders>
            <w:vAlign w:val="bottom"/>
          </w:tcPr>
          <w:p w:rsidR="00FD5242" w:rsidRPr="00C85F4F" w:rsidRDefault="00FD5242" w:rsidP="0077650E">
            <w:pPr>
              <w:autoSpaceDE w:val="0"/>
              <w:autoSpaceDN w:val="0"/>
              <w:adjustRightInd w:val="0"/>
              <w:spacing w:after="0" w:line="240" w:lineRule="auto"/>
              <w:jc w:val="both"/>
              <w:rPr>
                <w:rFonts w:cs="Arial"/>
                <w:color w:val="000000"/>
              </w:rPr>
            </w:pPr>
          </w:p>
        </w:tc>
        <w:tc>
          <w:tcPr>
            <w:tcW w:w="1322" w:type="dxa"/>
            <w:tcBorders>
              <w:top w:val="nil"/>
              <w:left w:val="nil"/>
              <w:bottom w:val="nil"/>
              <w:right w:val="nil"/>
            </w:tcBorders>
            <w:vAlign w:val="bottom"/>
          </w:tcPr>
          <w:p w:rsidR="00FD5242" w:rsidRPr="00C85F4F" w:rsidRDefault="00FD5242" w:rsidP="0077650E">
            <w:pPr>
              <w:autoSpaceDE w:val="0"/>
              <w:autoSpaceDN w:val="0"/>
              <w:adjustRightInd w:val="0"/>
              <w:spacing w:after="0" w:line="240" w:lineRule="auto"/>
              <w:jc w:val="both"/>
              <w:rPr>
                <w:rFonts w:cs="Arial"/>
                <w:color w:val="000000"/>
              </w:rPr>
            </w:pPr>
          </w:p>
        </w:tc>
        <w:tc>
          <w:tcPr>
            <w:tcW w:w="1390" w:type="dxa"/>
            <w:tcBorders>
              <w:top w:val="nil"/>
              <w:left w:val="nil"/>
              <w:bottom w:val="nil"/>
              <w:right w:val="nil"/>
            </w:tcBorders>
            <w:vAlign w:val="bottom"/>
          </w:tcPr>
          <w:p w:rsidR="00FD5242" w:rsidRPr="00C85F4F" w:rsidRDefault="00FD5242" w:rsidP="0077650E">
            <w:pPr>
              <w:autoSpaceDE w:val="0"/>
              <w:autoSpaceDN w:val="0"/>
              <w:adjustRightInd w:val="0"/>
              <w:spacing w:after="0" w:line="240" w:lineRule="auto"/>
              <w:jc w:val="both"/>
              <w:rPr>
                <w:rFonts w:cs="Arial"/>
                <w:color w:val="000000"/>
              </w:rPr>
            </w:pPr>
          </w:p>
        </w:tc>
        <w:tc>
          <w:tcPr>
            <w:tcW w:w="973" w:type="dxa"/>
            <w:tcBorders>
              <w:top w:val="nil"/>
              <w:left w:val="nil"/>
              <w:bottom w:val="nil"/>
              <w:right w:val="double" w:sz="4" w:space="0" w:color="auto"/>
            </w:tcBorders>
            <w:vAlign w:val="bottom"/>
          </w:tcPr>
          <w:p w:rsidR="00FD5242" w:rsidRPr="00C85F4F" w:rsidRDefault="00FD5242" w:rsidP="0077650E">
            <w:pPr>
              <w:autoSpaceDE w:val="0"/>
              <w:autoSpaceDN w:val="0"/>
              <w:adjustRightInd w:val="0"/>
              <w:spacing w:after="0" w:line="240" w:lineRule="auto"/>
              <w:jc w:val="both"/>
              <w:rPr>
                <w:rFonts w:cs="Arial"/>
                <w:color w:val="000000"/>
              </w:rPr>
            </w:pPr>
          </w:p>
        </w:tc>
      </w:tr>
      <w:tr w:rsidR="00FD5242" w:rsidRPr="00C85F4F" w:rsidTr="00C85F4F">
        <w:trPr>
          <w:trHeight w:val="225"/>
        </w:trPr>
        <w:tc>
          <w:tcPr>
            <w:tcW w:w="3119" w:type="dxa"/>
            <w:tcBorders>
              <w:top w:val="nil"/>
              <w:left w:val="double" w:sz="4" w:space="0" w:color="auto"/>
              <w:bottom w:val="nil"/>
              <w:right w:val="nil"/>
            </w:tcBorders>
            <w:vAlign w:val="bottom"/>
          </w:tcPr>
          <w:p w:rsidR="00FD5242" w:rsidRPr="00C85F4F" w:rsidRDefault="00FD5242" w:rsidP="0077650E">
            <w:pPr>
              <w:autoSpaceDE w:val="0"/>
              <w:autoSpaceDN w:val="0"/>
              <w:adjustRightInd w:val="0"/>
              <w:spacing w:after="0" w:line="240" w:lineRule="auto"/>
              <w:jc w:val="both"/>
              <w:rPr>
                <w:rFonts w:cs="Arial"/>
                <w:color w:val="000000"/>
              </w:rPr>
            </w:pPr>
            <w:r w:rsidRPr="00C85F4F">
              <w:rPr>
                <w:rFonts w:cs="Arial"/>
                <w:b/>
                <w:color w:val="000000"/>
              </w:rPr>
              <w:t>b</w:t>
            </w:r>
            <w:r w:rsidRPr="00C85F4F">
              <w:rPr>
                <w:rFonts w:cs="Arial"/>
                <w:b/>
                <w:color w:val="000000"/>
                <w:vertAlign w:val="subscript"/>
              </w:rPr>
              <w:t>1</w:t>
            </w:r>
            <w:r w:rsidRPr="00C85F4F">
              <w:rPr>
                <w:rFonts w:cs="Arial"/>
                <w:color w:val="000000"/>
              </w:rPr>
              <w:t xml:space="preserve"> (conservatism dummy-CSV)</w:t>
            </w:r>
          </w:p>
        </w:tc>
        <w:tc>
          <w:tcPr>
            <w:tcW w:w="1276" w:type="dxa"/>
            <w:tcBorders>
              <w:top w:val="nil"/>
              <w:left w:val="nil"/>
              <w:bottom w:val="nil"/>
              <w:right w:val="nil"/>
            </w:tcBorders>
            <w:vAlign w:val="bottom"/>
          </w:tcPr>
          <w:p w:rsidR="00FD5242" w:rsidRPr="00C85F4F" w:rsidRDefault="00FD5242" w:rsidP="0077650E">
            <w:pPr>
              <w:autoSpaceDE w:val="0"/>
              <w:autoSpaceDN w:val="0"/>
              <w:adjustRightInd w:val="0"/>
              <w:spacing w:after="0" w:line="240" w:lineRule="auto"/>
              <w:ind w:right="10"/>
              <w:jc w:val="both"/>
              <w:rPr>
                <w:rFonts w:cs="Arial"/>
                <w:color w:val="000000"/>
              </w:rPr>
            </w:pPr>
            <w:r w:rsidRPr="00C85F4F">
              <w:rPr>
                <w:rFonts w:cs="Arial"/>
                <w:color w:val="000000"/>
              </w:rPr>
              <w:t>-2.424243*</w:t>
            </w:r>
          </w:p>
        </w:tc>
        <w:tc>
          <w:tcPr>
            <w:tcW w:w="1322" w:type="dxa"/>
            <w:tcBorders>
              <w:top w:val="nil"/>
              <w:left w:val="nil"/>
              <w:bottom w:val="nil"/>
              <w:right w:val="nil"/>
            </w:tcBorders>
            <w:vAlign w:val="bottom"/>
          </w:tcPr>
          <w:p w:rsidR="00FD5242" w:rsidRPr="00C85F4F" w:rsidRDefault="00FD5242" w:rsidP="0077650E">
            <w:pPr>
              <w:autoSpaceDE w:val="0"/>
              <w:autoSpaceDN w:val="0"/>
              <w:adjustRightInd w:val="0"/>
              <w:spacing w:after="0" w:line="240" w:lineRule="auto"/>
              <w:ind w:right="10"/>
              <w:jc w:val="both"/>
              <w:rPr>
                <w:rFonts w:cs="Arial"/>
                <w:color w:val="000000"/>
              </w:rPr>
            </w:pPr>
            <w:r w:rsidRPr="00C85F4F">
              <w:rPr>
                <w:rFonts w:cs="Arial"/>
                <w:color w:val="000000"/>
              </w:rPr>
              <w:t>0.570076</w:t>
            </w:r>
          </w:p>
        </w:tc>
        <w:tc>
          <w:tcPr>
            <w:tcW w:w="1390" w:type="dxa"/>
            <w:tcBorders>
              <w:top w:val="nil"/>
              <w:left w:val="nil"/>
              <w:bottom w:val="nil"/>
              <w:right w:val="nil"/>
            </w:tcBorders>
            <w:vAlign w:val="bottom"/>
          </w:tcPr>
          <w:p w:rsidR="00FD5242" w:rsidRPr="00C85F4F" w:rsidRDefault="00FD5242" w:rsidP="0077650E">
            <w:pPr>
              <w:autoSpaceDE w:val="0"/>
              <w:autoSpaceDN w:val="0"/>
              <w:adjustRightInd w:val="0"/>
              <w:spacing w:after="0" w:line="240" w:lineRule="auto"/>
              <w:ind w:right="10"/>
              <w:jc w:val="both"/>
              <w:rPr>
                <w:rFonts w:cs="Arial"/>
                <w:color w:val="000000"/>
              </w:rPr>
            </w:pPr>
            <w:r w:rsidRPr="00C85F4F">
              <w:rPr>
                <w:rFonts w:cs="Arial"/>
                <w:color w:val="000000"/>
              </w:rPr>
              <w:t>-4.252494</w:t>
            </w:r>
          </w:p>
        </w:tc>
        <w:tc>
          <w:tcPr>
            <w:tcW w:w="973" w:type="dxa"/>
            <w:tcBorders>
              <w:top w:val="nil"/>
              <w:left w:val="nil"/>
              <w:bottom w:val="nil"/>
              <w:right w:val="double" w:sz="4" w:space="0" w:color="auto"/>
            </w:tcBorders>
            <w:vAlign w:val="bottom"/>
          </w:tcPr>
          <w:p w:rsidR="00FD5242" w:rsidRPr="00C85F4F" w:rsidRDefault="00FD5242" w:rsidP="0077650E">
            <w:pPr>
              <w:autoSpaceDE w:val="0"/>
              <w:autoSpaceDN w:val="0"/>
              <w:adjustRightInd w:val="0"/>
              <w:spacing w:after="0" w:line="240" w:lineRule="auto"/>
              <w:ind w:right="10"/>
              <w:jc w:val="both"/>
              <w:rPr>
                <w:rFonts w:cs="Arial"/>
                <w:color w:val="000000"/>
              </w:rPr>
            </w:pPr>
            <w:r w:rsidRPr="00C85F4F">
              <w:rPr>
                <w:rFonts w:cs="Arial"/>
                <w:color w:val="000000"/>
              </w:rPr>
              <w:t>0.0001</w:t>
            </w:r>
          </w:p>
        </w:tc>
      </w:tr>
      <w:tr w:rsidR="00FD5242" w:rsidRPr="00C85F4F" w:rsidTr="00C85F4F">
        <w:trPr>
          <w:trHeight w:val="225"/>
        </w:trPr>
        <w:tc>
          <w:tcPr>
            <w:tcW w:w="3119" w:type="dxa"/>
            <w:tcBorders>
              <w:top w:val="nil"/>
              <w:left w:val="double" w:sz="4" w:space="0" w:color="auto"/>
              <w:bottom w:val="nil"/>
              <w:right w:val="nil"/>
            </w:tcBorders>
            <w:vAlign w:val="bottom"/>
          </w:tcPr>
          <w:p w:rsidR="00FD5242" w:rsidRPr="00C85F4F" w:rsidRDefault="00FD5242" w:rsidP="0077650E">
            <w:pPr>
              <w:autoSpaceDE w:val="0"/>
              <w:autoSpaceDN w:val="0"/>
              <w:adjustRightInd w:val="0"/>
              <w:spacing w:after="0" w:line="240" w:lineRule="auto"/>
              <w:jc w:val="both"/>
              <w:rPr>
                <w:rFonts w:cs="Arial"/>
                <w:color w:val="000000"/>
              </w:rPr>
            </w:pPr>
            <w:r w:rsidRPr="00C85F4F">
              <w:rPr>
                <w:rFonts w:cs="Arial"/>
                <w:b/>
                <w:color w:val="000000"/>
              </w:rPr>
              <w:t>b</w:t>
            </w:r>
            <w:r w:rsidRPr="00C85F4F">
              <w:rPr>
                <w:rFonts w:cs="Arial"/>
                <w:b/>
                <w:color w:val="000000"/>
                <w:vertAlign w:val="subscript"/>
              </w:rPr>
              <w:t xml:space="preserve">2 </w:t>
            </w:r>
            <w:r w:rsidRPr="00C85F4F">
              <w:rPr>
                <w:rFonts w:cs="Arial"/>
                <w:color w:val="000000"/>
                <w:vertAlign w:val="subscript"/>
              </w:rPr>
              <w:t xml:space="preserve"> </w:t>
            </w:r>
            <w:r w:rsidRPr="00C85F4F">
              <w:rPr>
                <w:rFonts w:cs="Arial"/>
                <w:color w:val="000000"/>
              </w:rPr>
              <w:t>(auditee’s size-SIZE)</w:t>
            </w:r>
          </w:p>
        </w:tc>
        <w:tc>
          <w:tcPr>
            <w:tcW w:w="1276" w:type="dxa"/>
            <w:tcBorders>
              <w:top w:val="nil"/>
              <w:left w:val="nil"/>
              <w:bottom w:val="nil"/>
              <w:right w:val="nil"/>
            </w:tcBorders>
            <w:vAlign w:val="bottom"/>
          </w:tcPr>
          <w:p w:rsidR="00FD5242" w:rsidRPr="00C85F4F" w:rsidRDefault="00FD5242" w:rsidP="0077650E">
            <w:pPr>
              <w:autoSpaceDE w:val="0"/>
              <w:autoSpaceDN w:val="0"/>
              <w:adjustRightInd w:val="0"/>
              <w:spacing w:after="0" w:line="240" w:lineRule="auto"/>
              <w:ind w:right="10"/>
              <w:jc w:val="both"/>
              <w:rPr>
                <w:rFonts w:cs="Arial"/>
                <w:color w:val="000000"/>
              </w:rPr>
            </w:pPr>
            <w:r w:rsidRPr="00C85F4F">
              <w:rPr>
                <w:rFonts w:cs="Arial"/>
                <w:color w:val="000000"/>
              </w:rPr>
              <w:t>0.697685*</w:t>
            </w:r>
          </w:p>
        </w:tc>
        <w:tc>
          <w:tcPr>
            <w:tcW w:w="1322" w:type="dxa"/>
            <w:tcBorders>
              <w:top w:val="nil"/>
              <w:left w:val="nil"/>
              <w:bottom w:val="nil"/>
              <w:right w:val="nil"/>
            </w:tcBorders>
            <w:vAlign w:val="bottom"/>
          </w:tcPr>
          <w:p w:rsidR="00FD5242" w:rsidRPr="00C85F4F" w:rsidRDefault="00FD5242" w:rsidP="0077650E">
            <w:pPr>
              <w:autoSpaceDE w:val="0"/>
              <w:autoSpaceDN w:val="0"/>
              <w:adjustRightInd w:val="0"/>
              <w:spacing w:after="0" w:line="240" w:lineRule="auto"/>
              <w:ind w:right="10"/>
              <w:jc w:val="both"/>
              <w:rPr>
                <w:rFonts w:cs="Arial"/>
                <w:color w:val="000000"/>
              </w:rPr>
            </w:pPr>
            <w:r w:rsidRPr="00C85F4F">
              <w:rPr>
                <w:rFonts w:cs="Arial"/>
                <w:color w:val="000000"/>
              </w:rPr>
              <w:t>0.130387</w:t>
            </w:r>
          </w:p>
        </w:tc>
        <w:tc>
          <w:tcPr>
            <w:tcW w:w="1390" w:type="dxa"/>
            <w:tcBorders>
              <w:top w:val="nil"/>
              <w:left w:val="nil"/>
              <w:bottom w:val="nil"/>
              <w:right w:val="nil"/>
            </w:tcBorders>
            <w:vAlign w:val="bottom"/>
          </w:tcPr>
          <w:p w:rsidR="00FD5242" w:rsidRPr="00C85F4F" w:rsidRDefault="00FD5242" w:rsidP="0077650E">
            <w:pPr>
              <w:autoSpaceDE w:val="0"/>
              <w:autoSpaceDN w:val="0"/>
              <w:adjustRightInd w:val="0"/>
              <w:spacing w:after="0" w:line="240" w:lineRule="auto"/>
              <w:ind w:right="10"/>
              <w:jc w:val="both"/>
              <w:rPr>
                <w:rFonts w:cs="Arial"/>
                <w:color w:val="000000"/>
              </w:rPr>
            </w:pPr>
            <w:r w:rsidRPr="00C85F4F">
              <w:rPr>
                <w:rFonts w:cs="Arial"/>
                <w:color w:val="000000"/>
              </w:rPr>
              <w:t>5.350888</w:t>
            </w:r>
          </w:p>
        </w:tc>
        <w:tc>
          <w:tcPr>
            <w:tcW w:w="973" w:type="dxa"/>
            <w:tcBorders>
              <w:top w:val="nil"/>
              <w:left w:val="nil"/>
              <w:bottom w:val="nil"/>
              <w:right w:val="double" w:sz="4" w:space="0" w:color="auto"/>
            </w:tcBorders>
            <w:vAlign w:val="bottom"/>
          </w:tcPr>
          <w:p w:rsidR="00FD5242" w:rsidRPr="00C85F4F" w:rsidRDefault="00FD5242" w:rsidP="0077650E">
            <w:pPr>
              <w:autoSpaceDE w:val="0"/>
              <w:autoSpaceDN w:val="0"/>
              <w:adjustRightInd w:val="0"/>
              <w:spacing w:after="0" w:line="240" w:lineRule="auto"/>
              <w:ind w:right="10"/>
              <w:jc w:val="both"/>
              <w:rPr>
                <w:rFonts w:cs="Arial"/>
                <w:color w:val="000000"/>
              </w:rPr>
            </w:pPr>
            <w:r w:rsidRPr="00C85F4F">
              <w:rPr>
                <w:rFonts w:cs="Arial"/>
                <w:color w:val="000000"/>
              </w:rPr>
              <w:t>0.0000</w:t>
            </w:r>
          </w:p>
        </w:tc>
      </w:tr>
      <w:tr w:rsidR="00FD5242" w:rsidRPr="00C85F4F" w:rsidTr="00C85F4F">
        <w:trPr>
          <w:trHeight w:val="225"/>
        </w:trPr>
        <w:tc>
          <w:tcPr>
            <w:tcW w:w="3119" w:type="dxa"/>
            <w:tcBorders>
              <w:top w:val="nil"/>
              <w:left w:val="double" w:sz="4" w:space="0" w:color="auto"/>
              <w:bottom w:val="nil"/>
              <w:right w:val="nil"/>
            </w:tcBorders>
            <w:vAlign w:val="bottom"/>
          </w:tcPr>
          <w:p w:rsidR="00FD5242" w:rsidRPr="00C85F4F" w:rsidRDefault="00FD5242" w:rsidP="0077650E">
            <w:pPr>
              <w:autoSpaceDE w:val="0"/>
              <w:autoSpaceDN w:val="0"/>
              <w:adjustRightInd w:val="0"/>
              <w:spacing w:after="0" w:line="240" w:lineRule="auto"/>
              <w:jc w:val="both"/>
              <w:rPr>
                <w:rFonts w:cs="Arial"/>
                <w:color w:val="000000"/>
              </w:rPr>
            </w:pPr>
            <w:r w:rsidRPr="00C85F4F">
              <w:rPr>
                <w:rFonts w:cs="Arial"/>
                <w:b/>
                <w:color w:val="000000"/>
              </w:rPr>
              <w:t>b</w:t>
            </w:r>
            <w:r w:rsidRPr="00C85F4F">
              <w:rPr>
                <w:rFonts w:cs="Arial"/>
                <w:b/>
                <w:color w:val="000000"/>
                <w:vertAlign w:val="subscript"/>
              </w:rPr>
              <w:t>3</w:t>
            </w:r>
            <w:r w:rsidRPr="00C85F4F">
              <w:rPr>
                <w:rFonts w:cs="Arial"/>
                <w:color w:val="000000"/>
                <w:vertAlign w:val="subscript"/>
              </w:rPr>
              <w:t xml:space="preserve">  </w:t>
            </w:r>
            <w:r w:rsidRPr="00C85F4F">
              <w:rPr>
                <w:rFonts w:cs="Arial"/>
                <w:color w:val="000000"/>
              </w:rPr>
              <w:t>(quick ratio-QR)</w:t>
            </w:r>
          </w:p>
        </w:tc>
        <w:tc>
          <w:tcPr>
            <w:tcW w:w="1276" w:type="dxa"/>
            <w:tcBorders>
              <w:top w:val="nil"/>
              <w:left w:val="nil"/>
              <w:bottom w:val="nil"/>
              <w:right w:val="nil"/>
            </w:tcBorders>
            <w:vAlign w:val="bottom"/>
          </w:tcPr>
          <w:p w:rsidR="00FD5242" w:rsidRPr="00C85F4F" w:rsidRDefault="00FD5242" w:rsidP="0077650E">
            <w:pPr>
              <w:autoSpaceDE w:val="0"/>
              <w:autoSpaceDN w:val="0"/>
              <w:adjustRightInd w:val="0"/>
              <w:spacing w:after="0" w:line="240" w:lineRule="auto"/>
              <w:ind w:right="10"/>
              <w:jc w:val="both"/>
              <w:rPr>
                <w:rFonts w:cs="Arial"/>
                <w:color w:val="000000"/>
              </w:rPr>
            </w:pPr>
            <w:r w:rsidRPr="00C85F4F">
              <w:rPr>
                <w:rFonts w:cs="Arial"/>
                <w:color w:val="000000"/>
              </w:rPr>
              <w:t>0.081575</w:t>
            </w:r>
          </w:p>
        </w:tc>
        <w:tc>
          <w:tcPr>
            <w:tcW w:w="1322" w:type="dxa"/>
            <w:tcBorders>
              <w:top w:val="nil"/>
              <w:left w:val="nil"/>
              <w:bottom w:val="nil"/>
              <w:right w:val="nil"/>
            </w:tcBorders>
            <w:vAlign w:val="bottom"/>
          </w:tcPr>
          <w:p w:rsidR="00FD5242" w:rsidRPr="00C85F4F" w:rsidRDefault="00FD5242" w:rsidP="0077650E">
            <w:pPr>
              <w:autoSpaceDE w:val="0"/>
              <w:autoSpaceDN w:val="0"/>
              <w:adjustRightInd w:val="0"/>
              <w:spacing w:after="0" w:line="240" w:lineRule="auto"/>
              <w:ind w:right="10"/>
              <w:jc w:val="both"/>
              <w:rPr>
                <w:rFonts w:cs="Arial"/>
                <w:color w:val="000000"/>
              </w:rPr>
            </w:pPr>
            <w:r w:rsidRPr="00C85F4F">
              <w:rPr>
                <w:rFonts w:cs="Arial"/>
                <w:color w:val="000000"/>
              </w:rPr>
              <w:t>0.104271</w:t>
            </w:r>
          </w:p>
        </w:tc>
        <w:tc>
          <w:tcPr>
            <w:tcW w:w="1390" w:type="dxa"/>
            <w:tcBorders>
              <w:top w:val="nil"/>
              <w:left w:val="nil"/>
              <w:bottom w:val="nil"/>
              <w:right w:val="nil"/>
            </w:tcBorders>
            <w:vAlign w:val="bottom"/>
          </w:tcPr>
          <w:p w:rsidR="00FD5242" w:rsidRPr="00C85F4F" w:rsidRDefault="00FD5242" w:rsidP="0077650E">
            <w:pPr>
              <w:autoSpaceDE w:val="0"/>
              <w:autoSpaceDN w:val="0"/>
              <w:adjustRightInd w:val="0"/>
              <w:spacing w:after="0" w:line="240" w:lineRule="auto"/>
              <w:ind w:right="10"/>
              <w:jc w:val="both"/>
              <w:rPr>
                <w:rFonts w:cs="Arial"/>
                <w:color w:val="000000"/>
              </w:rPr>
            </w:pPr>
            <w:r w:rsidRPr="00C85F4F">
              <w:rPr>
                <w:rFonts w:cs="Arial"/>
                <w:color w:val="000000"/>
              </w:rPr>
              <w:t>0.782333</w:t>
            </w:r>
          </w:p>
        </w:tc>
        <w:tc>
          <w:tcPr>
            <w:tcW w:w="973" w:type="dxa"/>
            <w:tcBorders>
              <w:top w:val="nil"/>
              <w:left w:val="nil"/>
              <w:bottom w:val="nil"/>
              <w:right w:val="double" w:sz="4" w:space="0" w:color="auto"/>
            </w:tcBorders>
            <w:vAlign w:val="bottom"/>
          </w:tcPr>
          <w:p w:rsidR="00FD5242" w:rsidRPr="00C85F4F" w:rsidRDefault="00FD5242" w:rsidP="0077650E">
            <w:pPr>
              <w:autoSpaceDE w:val="0"/>
              <w:autoSpaceDN w:val="0"/>
              <w:adjustRightInd w:val="0"/>
              <w:spacing w:after="0" w:line="240" w:lineRule="auto"/>
              <w:ind w:right="10"/>
              <w:jc w:val="both"/>
              <w:rPr>
                <w:rFonts w:cs="Arial"/>
                <w:color w:val="000000"/>
              </w:rPr>
            </w:pPr>
            <w:r w:rsidRPr="00C85F4F">
              <w:rPr>
                <w:rFonts w:cs="Arial"/>
                <w:color w:val="000000"/>
              </w:rPr>
              <w:t>0.4387</w:t>
            </w:r>
          </w:p>
        </w:tc>
      </w:tr>
      <w:tr w:rsidR="00FD5242" w:rsidRPr="00C85F4F" w:rsidTr="00C85F4F">
        <w:trPr>
          <w:trHeight w:val="225"/>
        </w:trPr>
        <w:tc>
          <w:tcPr>
            <w:tcW w:w="3119" w:type="dxa"/>
            <w:tcBorders>
              <w:top w:val="nil"/>
              <w:left w:val="double" w:sz="4" w:space="0" w:color="auto"/>
              <w:bottom w:val="nil"/>
              <w:right w:val="nil"/>
            </w:tcBorders>
            <w:vAlign w:val="bottom"/>
          </w:tcPr>
          <w:p w:rsidR="00FD5242" w:rsidRPr="00C85F4F" w:rsidRDefault="00FD5242" w:rsidP="0077650E">
            <w:pPr>
              <w:autoSpaceDE w:val="0"/>
              <w:autoSpaceDN w:val="0"/>
              <w:adjustRightInd w:val="0"/>
              <w:spacing w:after="0" w:line="240" w:lineRule="auto"/>
              <w:jc w:val="both"/>
              <w:rPr>
                <w:rFonts w:cs="Arial"/>
                <w:color w:val="000000"/>
                <w:lang w:val="en-US"/>
              </w:rPr>
            </w:pPr>
            <w:r w:rsidRPr="00C85F4F">
              <w:rPr>
                <w:rFonts w:cs="Arial"/>
                <w:b/>
                <w:color w:val="000000"/>
                <w:lang w:val="en-US"/>
              </w:rPr>
              <w:t>b</w:t>
            </w:r>
            <w:r w:rsidRPr="00C85F4F">
              <w:rPr>
                <w:rFonts w:cs="Arial"/>
                <w:b/>
                <w:color w:val="000000"/>
                <w:vertAlign w:val="subscript"/>
                <w:lang w:val="en-US"/>
              </w:rPr>
              <w:t>4</w:t>
            </w:r>
            <w:r w:rsidRPr="00C85F4F">
              <w:rPr>
                <w:rFonts w:cs="Arial"/>
                <w:color w:val="000000"/>
                <w:lang w:val="en-US"/>
              </w:rPr>
              <w:t xml:space="preserve"> (debt/equity ratio-LEV)</w:t>
            </w:r>
          </w:p>
        </w:tc>
        <w:tc>
          <w:tcPr>
            <w:tcW w:w="1276" w:type="dxa"/>
            <w:tcBorders>
              <w:top w:val="nil"/>
              <w:left w:val="nil"/>
              <w:bottom w:val="nil"/>
              <w:right w:val="nil"/>
            </w:tcBorders>
            <w:vAlign w:val="bottom"/>
          </w:tcPr>
          <w:p w:rsidR="00FD5242" w:rsidRPr="00C85F4F" w:rsidRDefault="00FD5242" w:rsidP="0077650E">
            <w:pPr>
              <w:autoSpaceDE w:val="0"/>
              <w:autoSpaceDN w:val="0"/>
              <w:adjustRightInd w:val="0"/>
              <w:spacing w:after="0" w:line="240" w:lineRule="auto"/>
              <w:ind w:right="10"/>
              <w:jc w:val="both"/>
              <w:rPr>
                <w:rFonts w:cs="Arial"/>
                <w:color w:val="000000"/>
              </w:rPr>
            </w:pPr>
            <w:r w:rsidRPr="00C85F4F">
              <w:rPr>
                <w:rFonts w:cs="Arial"/>
                <w:color w:val="000000"/>
              </w:rPr>
              <w:t>0.129521</w:t>
            </w:r>
          </w:p>
        </w:tc>
        <w:tc>
          <w:tcPr>
            <w:tcW w:w="1322" w:type="dxa"/>
            <w:tcBorders>
              <w:top w:val="nil"/>
              <w:left w:val="nil"/>
              <w:bottom w:val="nil"/>
              <w:right w:val="nil"/>
            </w:tcBorders>
            <w:vAlign w:val="bottom"/>
          </w:tcPr>
          <w:p w:rsidR="00FD5242" w:rsidRPr="00C85F4F" w:rsidRDefault="00FD5242" w:rsidP="0077650E">
            <w:pPr>
              <w:autoSpaceDE w:val="0"/>
              <w:autoSpaceDN w:val="0"/>
              <w:adjustRightInd w:val="0"/>
              <w:spacing w:after="0" w:line="240" w:lineRule="auto"/>
              <w:ind w:right="10"/>
              <w:jc w:val="both"/>
              <w:rPr>
                <w:rFonts w:cs="Arial"/>
                <w:color w:val="000000"/>
              </w:rPr>
            </w:pPr>
            <w:r w:rsidRPr="00C85F4F">
              <w:rPr>
                <w:rFonts w:cs="Arial"/>
                <w:color w:val="000000"/>
              </w:rPr>
              <w:t>0.121506</w:t>
            </w:r>
          </w:p>
        </w:tc>
        <w:tc>
          <w:tcPr>
            <w:tcW w:w="1390" w:type="dxa"/>
            <w:tcBorders>
              <w:top w:val="nil"/>
              <w:left w:val="nil"/>
              <w:bottom w:val="nil"/>
              <w:right w:val="nil"/>
            </w:tcBorders>
            <w:vAlign w:val="bottom"/>
          </w:tcPr>
          <w:p w:rsidR="00FD5242" w:rsidRPr="00C85F4F" w:rsidRDefault="00FD5242" w:rsidP="0077650E">
            <w:pPr>
              <w:autoSpaceDE w:val="0"/>
              <w:autoSpaceDN w:val="0"/>
              <w:adjustRightInd w:val="0"/>
              <w:spacing w:after="0" w:line="240" w:lineRule="auto"/>
              <w:ind w:right="10"/>
              <w:jc w:val="both"/>
              <w:rPr>
                <w:rFonts w:cs="Arial"/>
                <w:color w:val="000000"/>
              </w:rPr>
            </w:pPr>
            <w:r w:rsidRPr="00C85F4F">
              <w:rPr>
                <w:rFonts w:cs="Arial"/>
                <w:color w:val="000000"/>
              </w:rPr>
              <w:t>1.065959</w:t>
            </w:r>
          </w:p>
        </w:tc>
        <w:tc>
          <w:tcPr>
            <w:tcW w:w="973" w:type="dxa"/>
            <w:tcBorders>
              <w:top w:val="nil"/>
              <w:left w:val="nil"/>
              <w:bottom w:val="nil"/>
              <w:right w:val="double" w:sz="4" w:space="0" w:color="auto"/>
            </w:tcBorders>
            <w:vAlign w:val="bottom"/>
          </w:tcPr>
          <w:p w:rsidR="00FD5242" w:rsidRPr="00C85F4F" w:rsidRDefault="00FD5242" w:rsidP="0077650E">
            <w:pPr>
              <w:autoSpaceDE w:val="0"/>
              <w:autoSpaceDN w:val="0"/>
              <w:adjustRightInd w:val="0"/>
              <w:spacing w:after="0" w:line="240" w:lineRule="auto"/>
              <w:ind w:right="10"/>
              <w:jc w:val="both"/>
              <w:rPr>
                <w:rFonts w:cs="Arial"/>
                <w:color w:val="000000"/>
              </w:rPr>
            </w:pPr>
            <w:r w:rsidRPr="00C85F4F">
              <w:rPr>
                <w:rFonts w:cs="Arial"/>
                <w:color w:val="000000"/>
              </w:rPr>
              <w:t>0.2930</w:t>
            </w:r>
          </w:p>
        </w:tc>
      </w:tr>
      <w:tr w:rsidR="00FD5242" w:rsidRPr="00C85F4F" w:rsidTr="00C85F4F">
        <w:trPr>
          <w:trHeight w:val="225"/>
        </w:trPr>
        <w:tc>
          <w:tcPr>
            <w:tcW w:w="3119" w:type="dxa"/>
            <w:tcBorders>
              <w:top w:val="nil"/>
              <w:left w:val="double" w:sz="4" w:space="0" w:color="auto"/>
              <w:bottom w:val="nil"/>
              <w:right w:val="nil"/>
            </w:tcBorders>
            <w:vAlign w:val="bottom"/>
          </w:tcPr>
          <w:p w:rsidR="00FD5242" w:rsidRPr="00C85F4F" w:rsidRDefault="00FD5242" w:rsidP="0077650E">
            <w:pPr>
              <w:autoSpaceDE w:val="0"/>
              <w:autoSpaceDN w:val="0"/>
              <w:adjustRightInd w:val="0"/>
              <w:spacing w:after="0" w:line="240" w:lineRule="auto"/>
              <w:jc w:val="both"/>
              <w:rPr>
                <w:rFonts w:cs="Arial"/>
                <w:color w:val="000000"/>
              </w:rPr>
            </w:pPr>
            <w:r w:rsidRPr="00C85F4F">
              <w:rPr>
                <w:rFonts w:cs="Arial"/>
                <w:b/>
                <w:color w:val="000000"/>
              </w:rPr>
              <w:t>b</w:t>
            </w:r>
            <w:r w:rsidRPr="00C85F4F">
              <w:rPr>
                <w:rFonts w:cs="Arial"/>
                <w:b/>
                <w:color w:val="000000"/>
                <w:vertAlign w:val="subscript"/>
              </w:rPr>
              <w:t>5</w:t>
            </w:r>
            <w:r w:rsidRPr="00C85F4F">
              <w:rPr>
                <w:rFonts w:cs="Arial"/>
                <w:color w:val="000000"/>
              </w:rPr>
              <w:t xml:space="preserve"> (inv+rec/total assets-INVREC)</w:t>
            </w:r>
          </w:p>
        </w:tc>
        <w:tc>
          <w:tcPr>
            <w:tcW w:w="1276" w:type="dxa"/>
            <w:tcBorders>
              <w:top w:val="nil"/>
              <w:left w:val="nil"/>
              <w:bottom w:val="nil"/>
              <w:right w:val="nil"/>
            </w:tcBorders>
            <w:vAlign w:val="bottom"/>
          </w:tcPr>
          <w:p w:rsidR="00FD5242" w:rsidRPr="00C85F4F" w:rsidRDefault="00FD5242" w:rsidP="0077650E">
            <w:pPr>
              <w:autoSpaceDE w:val="0"/>
              <w:autoSpaceDN w:val="0"/>
              <w:adjustRightInd w:val="0"/>
              <w:spacing w:after="0" w:line="240" w:lineRule="auto"/>
              <w:ind w:right="10"/>
              <w:jc w:val="both"/>
              <w:rPr>
                <w:rFonts w:cs="Arial"/>
                <w:color w:val="000000"/>
              </w:rPr>
            </w:pPr>
            <w:r w:rsidRPr="00C85F4F">
              <w:rPr>
                <w:rFonts w:cs="Arial"/>
                <w:color w:val="000000"/>
              </w:rPr>
              <w:t>0.623401***</w:t>
            </w:r>
          </w:p>
        </w:tc>
        <w:tc>
          <w:tcPr>
            <w:tcW w:w="1322" w:type="dxa"/>
            <w:tcBorders>
              <w:top w:val="nil"/>
              <w:left w:val="nil"/>
              <w:bottom w:val="nil"/>
              <w:right w:val="nil"/>
            </w:tcBorders>
            <w:vAlign w:val="bottom"/>
          </w:tcPr>
          <w:p w:rsidR="00FD5242" w:rsidRPr="00C85F4F" w:rsidRDefault="00FD5242" w:rsidP="0077650E">
            <w:pPr>
              <w:autoSpaceDE w:val="0"/>
              <w:autoSpaceDN w:val="0"/>
              <w:adjustRightInd w:val="0"/>
              <w:spacing w:after="0" w:line="240" w:lineRule="auto"/>
              <w:ind w:right="10"/>
              <w:jc w:val="both"/>
              <w:rPr>
                <w:rFonts w:cs="Arial"/>
                <w:color w:val="000000"/>
              </w:rPr>
            </w:pPr>
            <w:r w:rsidRPr="00C85F4F">
              <w:rPr>
                <w:rFonts w:cs="Arial"/>
                <w:color w:val="000000"/>
              </w:rPr>
              <w:t>0.367060</w:t>
            </w:r>
          </w:p>
        </w:tc>
        <w:tc>
          <w:tcPr>
            <w:tcW w:w="1390" w:type="dxa"/>
            <w:tcBorders>
              <w:top w:val="nil"/>
              <w:left w:val="nil"/>
              <w:bottom w:val="nil"/>
              <w:right w:val="nil"/>
            </w:tcBorders>
            <w:vAlign w:val="bottom"/>
          </w:tcPr>
          <w:p w:rsidR="00FD5242" w:rsidRPr="00C85F4F" w:rsidRDefault="00FD5242" w:rsidP="0077650E">
            <w:pPr>
              <w:autoSpaceDE w:val="0"/>
              <w:autoSpaceDN w:val="0"/>
              <w:adjustRightInd w:val="0"/>
              <w:spacing w:after="0" w:line="240" w:lineRule="auto"/>
              <w:ind w:right="10"/>
              <w:jc w:val="both"/>
              <w:rPr>
                <w:rFonts w:cs="Arial"/>
                <w:color w:val="000000"/>
              </w:rPr>
            </w:pPr>
            <w:r w:rsidRPr="00C85F4F">
              <w:rPr>
                <w:rFonts w:cs="Arial"/>
                <w:color w:val="000000"/>
              </w:rPr>
              <w:t>1.698365</w:t>
            </w:r>
          </w:p>
        </w:tc>
        <w:tc>
          <w:tcPr>
            <w:tcW w:w="973" w:type="dxa"/>
            <w:tcBorders>
              <w:top w:val="nil"/>
              <w:left w:val="nil"/>
              <w:bottom w:val="nil"/>
              <w:right w:val="double" w:sz="4" w:space="0" w:color="auto"/>
            </w:tcBorders>
            <w:vAlign w:val="bottom"/>
          </w:tcPr>
          <w:p w:rsidR="00FD5242" w:rsidRPr="00C85F4F" w:rsidRDefault="00FD5242" w:rsidP="0077650E">
            <w:pPr>
              <w:autoSpaceDE w:val="0"/>
              <w:autoSpaceDN w:val="0"/>
              <w:adjustRightInd w:val="0"/>
              <w:spacing w:after="0" w:line="240" w:lineRule="auto"/>
              <w:ind w:right="10"/>
              <w:jc w:val="both"/>
              <w:rPr>
                <w:rFonts w:cs="Arial"/>
                <w:color w:val="000000"/>
              </w:rPr>
            </w:pPr>
            <w:r w:rsidRPr="00C85F4F">
              <w:rPr>
                <w:rFonts w:cs="Arial"/>
                <w:color w:val="000000"/>
              </w:rPr>
              <w:t>0.0974</w:t>
            </w:r>
          </w:p>
        </w:tc>
      </w:tr>
      <w:tr w:rsidR="00FD5242" w:rsidRPr="00C85F4F" w:rsidTr="00C85F4F">
        <w:trPr>
          <w:trHeight w:val="225"/>
        </w:trPr>
        <w:tc>
          <w:tcPr>
            <w:tcW w:w="3119" w:type="dxa"/>
            <w:tcBorders>
              <w:top w:val="nil"/>
              <w:left w:val="double" w:sz="4" w:space="0" w:color="auto"/>
              <w:bottom w:val="nil"/>
              <w:right w:val="nil"/>
            </w:tcBorders>
            <w:vAlign w:val="bottom"/>
          </w:tcPr>
          <w:p w:rsidR="00FD5242" w:rsidRPr="00C85F4F" w:rsidRDefault="00FD5242" w:rsidP="0077650E">
            <w:pPr>
              <w:autoSpaceDE w:val="0"/>
              <w:autoSpaceDN w:val="0"/>
              <w:adjustRightInd w:val="0"/>
              <w:spacing w:after="0" w:line="240" w:lineRule="auto"/>
              <w:jc w:val="both"/>
              <w:rPr>
                <w:rFonts w:cs="Arial"/>
                <w:color w:val="000000"/>
                <w:lang w:val="en-US"/>
              </w:rPr>
            </w:pPr>
            <w:r w:rsidRPr="00C85F4F">
              <w:rPr>
                <w:rFonts w:cs="Arial"/>
                <w:b/>
                <w:color w:val="000000"/>
                <w:lang w:val="en-US"/>
              </w:rPr>
              <w:t>B</w:t>
            </w:r>
            <w:r w:rsidRPr="00C85F4F">
              <w:rPr>
                <w:rFonts w:cs="Arial"/>
                <w:b/>
                <w:color w:val="000000"/>
                <w:vertAlign w:val="subscript"/>
                <w:lang w:val="en-US"/>
              </w:rPr>
              <w:t>6</w:t>
            </w:r>
            <w:r w:rsidRPr="00C85F4F">
              <w:rPr>
                <w:rFonts w:cs="Arial"/>
                <w:color w:val="000000"/>
                <w:lang w:val="en-US"/>
              </w:rPr>
              <w:t xml:space="preserve"> (return on investment-ROI)</w:t>
            </w:r>
          </w:p>
        </w:tc>
        <w:tc>
          <w:tcPr>
            <w:tcW w:w="1276" w:type="dxa"/>
            <w:tcBorders>
              <w:top w:val="nil"/>
              <w:left w:val="nil"/>
              <w:bottom w:val="nil"/>
              <w:right w:val="nil"/>
            </w:tcBorders>
            <w:vAlign w:val="bottom"/>
          </w:tcPr>
          <w:p w:rsidR="00FD5242" w:rsidRPr="00C85F4F" w:rsidRDefault="00FD5242" w:rsidP="0077650E">
            <w:pPr>
              <w:autoSpaceDE w:val="0"/>
              <w:autoSpaceDN w:val="0"/>
              <w:adjustRightInd w:val="0"/>
              <w:spacing w:after="0" w:line="240" w:lineRule="auto"/>
              <w:ind w:right="10"/>
              <w:jc w:val="both"/>
              <w:rPr>
                <w:rFonts w:cs="Arial"/>
                <w:color w:val="000000"/>
              </w:rPr>
            </w:pPr>
            <w:r w:rsidRPr="00C85F4F">
              <w:rPr>
                <w:rFonts w:cs="Arial"/>
                <w:color w:val="000000"/>
              </w:rPr>
              <w:t>-0.506234</w:t>
            </w:r>
          </w:p>
        </w:tc>
        <w:tc>
          <w:tcPr>
            <w:tcW w:w="1322" w:type="dxa"/>
            <w:tcBorders>
              <w:top w:val="nil"/>
              <w:left w:val="nil"/>
              <w:bottom w:val="nil"/>
              <w:right w:val="nil"/>
            </w:tcBorders>
            <w:vAlign w:val="bottom"/>
          </w:tcPr>
          <w:p w:rsidR="00FD5242" w:rsidRPr="00C85F4F" w:rsidRDefault="00FD5242" w:rsidP="0077650E">
            <w:pPr>
              <w:autoSpaceDE w:val="0"/>
              <w:autoSpaceDN w:val="0"/>
              <w:adjustRightInd w:val="0"/>
              <w:spacing w:after="0" w:line="240" w:lineRule="auto"/>
              <w:ind w:right="10"/>
              <w:jc w:val="both"/>
              <w:rPr>
                <w:rFonts w:cs="Arial"/>
                <w:color w:val="000000"/>
              </w:rPr>
            </w:pPr>
            <w:r w:rsidRPr="00C85F4F">
              <w:rPr>
                <w:rFonts w:cs="Arial"/>
                <w:color w:val="000000"/>
              </w:rPr>
              <w:t>1.008620</w:t>
            </w:r>
          </w:p>
        </w:tc>
        <w:tc>
          <w:tcPr>
            <w:tcW w:w="1390" w:type="dxa"/>
            <w:tcBorders>
              <w:top w:val="nil"/>
              <w:left w:val="nil"/>
              <w:bottom w:val="nil"/>
              <w:right w:val="nil"/>
            </w:tcBorders>
            <w:vAlign w:val="bottom"/>
          </w:tcPr>
          <w:p w:rsidR="00FD5242" w:rsidRPr="00C85F4F" w:rsidRDefault="00FD5242" w:rsidP="0077650E">
            <w:pPr>
              <w:autoSpaceDE w:val="0"/>
              <w:autoSpaceDN w:val="0"/>
              <w:adjustRightInd w:val="0"/>
              <w:spacing w:after="0" w:line="240" w:lineRule="auto"/>
              <w:ind w:right="10"/>
              <w:jc w:val="both"/>
              <w:rPr>
                <w:rFonts w:cs="Arial"/>
                <w:color w:val="000000"/>
              </w:rPr>
            </w:pPr>
            <w:r w:rsidRPr="00C85F4F">
              <w:rPr>
                <w:rFonts w:cs="Arial"/>
                <w:color w:val="000000"/>
              </w:rPr>
              <w:t>-0.501907</w:t>
            </w:r>
          </w:p>
        </w:tc>
        <w:tc>
          <w:tcPr>
            <w:tcW w:w="973" w:type="dxa"/>
            <w:tcBorders>
              <w:top w:val="nil"/>
              <w:left w:val="nil"/>
              <w:bottom w:val="nil"/>
              <w:right w:val="double" w:sz="4" w:space="0" w:color="auto"/>
            </w:tcBorders>
            <w:vAlign w:val="bottom"/>
          </w:tcPr>
          <w:p w:rsidR="00FD5242" w:rsidRPr="00C85F4F" w:rsidRDefault="00FD5242" w:rsidP="0077650E">
            <w:pPr>
              <w:autoSpaceDE w:val="0"/>
              <w:autoSpaceDN w:val="0"/>
              <w:adjustRightInd w:val="0"/>
              <w:spacing w:after="0" w:line="240" w:lineRule="auto"/>
              <w:ind w:right="10"/>
              <w:jc w:val="both"/>
              <w:rPr>
                <w:rFonts w:cs="Arial"/>
                <w:color w:val="000000"/>
              </w:rPr>
            </w:pPr>
            <w:r w:rsidRPr="00C85F4F">
              <w:rPr>
                <w:rFonts w:cs="Arial"/>
                <w:color w:val="000000"/>
              </w:rPr>
              <w:t>0.6186</w:t>
            </w:r>
          </w:p>
        </w:tc>
      </w:tr>
      <w:tr w:rsidR="00FD5242" w:rsidRPr="00C85F4F" w:rsidTr="00C85F4F">
        <w:trPr>
          <w:trHeight w:hRule="exact" w:val="90"/>
        </w:trPr>
        <w:tc>
          <w:tcPr>
            <w:tcW w:w="3119" w:type="dxa"/>
            <w:tcBorders>
              <w:top w:val="nil"/>
              <w:left w:val="double" w:sz="4" w:space="0" w:color="auto"/>
              <w:bottom w:val="double" w:sz="6" w:space="2" w:color="auto"/>
              <w:right w:val="nil"/>
            </w:tcBorders>
            <w:vAlign w:val="bottom"/>
          </w:tcPr>
          <w:p w:rsidR="00FD5242" w:rsidRPr="00C85F4F" w:rsidRDefault="00FD5242" w:rsidP="0077650E">
            <w:pPr>
              <w:autoSpaceDE w:val="0"/>
              <w:autoSpaceDN w:val="0"/>
              <w:adjustRightInd w:val="0"/>
              <w:spacing w:after="0" w:line="240" w:lineRule="auto"/>
              <w:jc w:val="both"/>
              <w:rPr>
                <w:rFonts w:cs="Arial"/>
                <w:color w:val="000000"/>
              </w:rPr>
            </w:pPr>
          </w:p>
        </w:tc>
        <w:tc>
          <w:tcPr>
            <w:tcW w:w="1276" w:type="dxa"/>
            <w:tcBorders>
              <w:top w:val="nil"/>
              <w:left w:val="nil"/>
              <w:bottom w:val="double" w:sz="6" w:space="2" w:color="auto"/>
              <w:right w:val="nil"/>
            </w:tcBorders>
            <w:vAlign w:val="bottom"/>
          </w:tcPr>
          <w:p w:rsidR="00FD5242" w:rsidRPr="00C85F4F" w:rsidRDefault="00FD5242" w:rsidP="0077650E">
            <w:pPr>
              <w:autoSpaceDE w:val="0"/>
              <w:autoSpaceDN w:val="0"/>
              <w:adjustRightInd w:val="0"/>
              <w:spacing w:after="0" w:line="240" w:lineRule="auto"/>
              <w:jc w:val="both"/>
              <w:rPr>
                <w:rFonts w:cs="Arial"/>
                <w:color w:val="000000"/>
              </w:rPr>
            </w:pPr>
          </w:p>
        </w:tc>
        <w:tc>
          <w:tcPr>
            <w:tcW w:w="1322" w:type="dxa"/>
            <w:tcBorders>
              <w:top w:val="nil"/>
              <w:left w:val="nil"/>
              <w:bottom w:val="double" w:sz="6" w:space="2" w:color="auto"/>
              <w:right w:val="nil"/>
            </w:tcBorders>
            <w:vAlign w:val="bottom"/>
          </w:tcPr>
          <w:p w:rsidR="00FD5242" w:rsidRPr="00C85F4F" w:rsidRDefault="00FD5242" w:rsidP="0077650E">
            <w:pPr>
              <w:autoSpaceDE w:val="0"/>
              <w:autoSpaceDN w:val="0"/>
              <w:adjustRightInd w:val="0"/>
              <w:spacing w:after="0" w:line="240" w:lineRule="auto"/>
              <w:jc w:val="both"/>
              <w:rPr>
                <w:rFonts w:cs="Arial"/>
                <w:color w:val="000000"/>
              </w:rPr>
            </w:pPr>
          </w:p>
        </w:tc>
        <w:tc>
          <w:tcPr>
            <w:tcW w:w="1390" w:type="dxa"/>
            <w:tcBorders>
              <w:top w:val="nil"/>
              <w:left w:val="nil"/>
              <w:bottom w:val="double" w:sz="6" w:space="2" w:color="auto"/>
              <w:right w:val="nil"/>
            </w:tcBorders>
            <w:vAlign w:val="bottom"/>
          </w:tcPr>
          <w:p w:rsidR="00FD5242" w:rsidRPr="00C85F4F" w:rsidRDefault="00FD5242" w:rsidP="0077650E">
            <w:pPr>
              <w:autoSpaceDE w:val="0"/>
              <w:autoSpaceDN w:val="0"/>
              <w:adjustRightInd w:val="0"/>
              <w:spacing w:after="0" w:line="240" w:lineRule="auto"/>
              <w:jc w:val="both"/>
              <w:rPr>
                <w:rFonts w:cs="Arial"/>
                <w:color w:val="000000"/>
              </w:rPr>
            </w:pPr>
          </w:p>
        </w:tc>
        <w:tc>
          <w:tcPr>
            <w:tcW w:w="973" w:type="dxa"/>
            <w:tcBorders>
              <w:top w:val="nil"/>
              <w:left w:val="nil"/>
              <w:bottom w:val="double" w:sz="6" w:space="2" w:color="auto"/>
              <w:right w:val="double" w:sz="4" w:space="0" w:color="auto"/>
            </w:tcBorders>
            <w:vAlign w:val="bottom"/>
          </w:tcPr>
          <w:p w:rsidR="00FD5242" w:rsidRPr="00C85F4F" w:rsidRDefault="00FD5242" w:rsidP="0077650E">
            <w:pPr>
              <w:autoSpaceDE w:val="0"/>
              <w:autoSpaceDN w:val="0"/>
              <w:adjustRightInd w:val="0"/>
              <w:spacing w:after="0" w:line="240" w:lineRule="auto"/>
              <w:jc w:val="both"/>
              <w:rPr>
                <w:rFonts w:cs="Arial"/>
                <w:color w:val="000000"/>
              </w:rPr>
            </w:pPr>
          </w:p>
        </w:tc>
      </w:tr>
      <w:tr w:rsidR="00FD5242" w:rsidRPr="00C85F4F" w:rsidTr="00C85F4F">
        <w:trPr>
          <w:trHeight w:hRule="exact" w:val="135"/>
        </w:trPr>
        <w:tc>
          <w:tcPr>
            <w:tcW w:w="3119" w:type="dxa"/>
            <w:tcBorders>
              <w:top w:val="nil"/>
              <w:left w:val="double" w:sz="4" w:space="0" w:color="auto"/>
              <w:bottom w:val="nil"/>
              <w:right w:val="nil"/>
            </w:tcBorders>
            <w:vAlign w:val="bottom"/>
          </w:tcPr>
          <w:p w:rsidR="00FD5242" w:rsidRPr="00C85F4F" w:rsidRDefault="00FD5242" w:rsidP="0077650E">
            <w:pPr>
              <w:autoSpaceDE w:val="0"/>
              <w:autoSpaceDN w:val="0"/>
              <w:adjustRightInd w:val="0"/>
              <w:spacing w:after="0" w:line="240" w:lineRule="auto"/>
              <w:jc w:val="both"/>
              <w:rPr>
                <w:rFonts w:cs="Arial"/>
                <w:color w:val="000000"/>
              </w:rPr>
            </w:pPr>
          </w:p>
        </w:tc>
        <w:tc>
          <w:tcPr>
            <w:tcW w:w="1276" w:type="dxa"/>
            <w:tcBorders>
              <w:top w:val="nil"/>
              <w:left w:val="nil"/>
              <w:bottom w:val="nil"/>
              <w:right w:val="nil"/>
            </w:tcBorders>
            <w:vAlign w:val="bottom"/>
          </w:tcPr>
          <w:p w:rsidR="00FD5242" w:rsidRPr="00C85F4F" w:rsidRDefault="00FD5242" w:rsidP="0077650E">
            <w:pPr>
              <w:autoSpaceDE w:val="0"/>
              <w:autoSpaceDN w:val="0"/>
              <w:adjustRightInd w:val="0"/>
              <w:spacing w:after="0" w:line="240" w:lineRule="auto"/>
              <w:jc w:val="both"/>
              <w:rPr>
                <w:rFonts w:cs="Arial"/>
                <w:color w:val="000000"/>
              </w:rPr>
            </w:pPr>
          </w:p>
        </w:tc>
        <w:tc>
          <w:tcPr>
            <w:tcW w:w="1322" w:type="dxa"/>
            <w:tcBorders>
              <w:top w:val="nil"/>
              <w:left w:val="nil"/>
              <w:bottom w:val="nil"/>
              <w:right w:val="nil"/>
            </w:tcBorders>
            <w:vAlign w:val="bottom"/>
          </w:tcPr>
          <w:p w:rsidR="00FD5242" w:rsidRPr="00C85F4F" w:rsidRDefault="00FD5242" w:rsidP="0077650E">
            <w:pPr>
              <w:autoSpaceDE w:val="0"/>
              <w:autoSpaceDN w:val="0"/>
              <w:adjustRightInd w:val="0"/>
              <w:spacing w:after="0" w:line="240" w:lineRule="auto"/>
              <w:jc w:val="both"/>
              <w:rPr>
                <w:rFonts w:cs="Arial"/>
                <w:color w:val="000000"/>
              </w:rPr>
            </w:pPr>
          </w:p>
        </w:tc>
        <w:tc>
          <w:tcPr>
            <w:tcW w:w="1390" w:type="dxa"/>
            <w:tcBorders>
              <w:top w:val="nil"/>
              <w:left w:val="nil"/>
              <w:bottom w:val="nil"/>
              <w:right w:val="nil"/>
            </w:tcBorders>
            <w:vAlign w:val="bottom"/>
          </w:tcPr>
          <w:p w:rsidR="00FD5242" w:rsidRPr="00C85F4F" w:rsidRDefault="00FD5242" w:rsidP="0077650E">
            <w:pPr>
              <w:autoSpaceDE w:val="0"/>
              <w:autoSpaceDN w:val="0"/>
              <w:adjustRightInd w:val="0"/>
              <w:spacing w:after="0" w:line="240" w:lineRule="auto"/>
              <w:jc w:val="both"/>
              <w:rPr>
                <w:rFonts w:cs="Arial"/>
                <w:color w:val="000000"/>
              </w:rPr>
            </w:pPr>
          </w:p>
        </w:tc>
        <w:tc>
          <w:tcPr>
            <w:tcW w:w="973" w:type="dxa"/>
            <w:tcBorders>
              <w:top w:val="nil"/>
              <w:left w:val="nil"/>
              <w:bottom w:val="nil"/>
              <w:right w:val="double" w:sz="4" w:space="0" w:color="auto"/>
            </w:tcBorders>
            <w:vAlign w:val="bottom"/>
          </w:tcPr>
          <w:p w:rsidR="00FD5242" w:rsidRPr="00C85F4F" w:rsidRDefault="00FD5242" w:rsidP="0077650E">
            <w:pPr>
              <w:autoSpaceDE w:val="0"/>
              <w:autoSpaceDN w:val="0"/>
              <w:adjustRightInd w:val="0"/>
              <w:spacing w:after="0" w:line="240" w:lineRule="auto"/>
              <w:jc w:val="both"/>
              <w:rPr>
                <w:rFonts w:cs="Arial"/>
                <w:color w:val="000000"/>
              </w:rPr>
            </w:pPr>
          </w:p>
        </w:tc>
      </w:tr>
      <w:tr w:rsidR="00FD5242" w:rsidRPr="00C85F4F" w:rsidTr="00C85F4F">
        <w:trPr>
          <w:trHeight w:val="225"/>
        </w:trPr>
        <w:tc>
          <w:tcPr>
            <w:tcW w:w="3119" w:type="dxa"/>
            <w:tcBorders>
              <w:top w:val="nil"/>
              <w:left w:val="double" w:sz="4" w:space="0" w:color="auto"/>
              <w:bottom w:val="nil"/>
              <w:right w:val="nil"/>
            </w:tcBorders>
            <w:vAlign w:val="bottom"/>
          </w:tcPr>
          <w:p w:rsidR="00FD5242" w:rsidRPr="00C85F4F" w:rsidRDefault="00FD5242" w:rsidP="0077650E">
            <w:pPr>
              <w:autoSpaceDE w:val="0"/>
              <w:autoSpaceDN w:val="0"/>
              <w:adjustRightInd w:val="0"/>
              <w:spacing w:after="0" w:line="240" w:lineRule="auto"/>
              <w:rPr>
                <w:rFonts w:cs="Arial"/>
                <w:b/>
                <w:color w:val="000000"/>
              </w:rPr>
            </w:pPr>
            <w:r w:rsidRPr="00C85F4F">
              <w:rPr>
                <w:rFonts w:cs="Arial"/>
                <w:b/>
                <w:color w:val="000000"/>
              </w:rPr>
              <w:t>Model Summary</w:t>
            </w:r>
          </w:p>
          <w:p w:rsidR="00FD5242" w:rsidRPr="00C85F4F" w:rsidRDefault="00FD5242" w:rsidP="0077650E">
            <w:pPr>
              <w:autoSpaceDE w:val="0"/>
              <w:autoSpaceDN w:val="0"/>
              <w:adjustRightInd w:val="0"/>
              <w:spacing w:after="0" w:line="240" w:lineRule="auto"/>
              <w:rPr>
                <w:rFonts w:cs="Arial"/>
                <w:color w:val="000000"/>
              </w:rPr>
            </w:pPr>
            <w:r w:rsidRPr="00C85F4F">
              <w:rPr>
                <w:rFonts w:cs="Arial"/>
                <w:color w:val="000000"/>
              </w:rPr>
              <w:t>R-squared</w:t>
            </w:r>
          </w:p>
        </w:tc>
        <w:tc>
          <w:tcPr>
            <w:tcW w:w="1276" w:type="dxa"/>
            <w:tcBorders>
              <w:top w:val="nil"/>
              <w:left w:val="nil"/>
              <w:bottom w:val="nil"/>
              <w:right w:val="nil"/>
            </w:tcBorders>
            <w:vAlign w:val="bottom"/>
          </w:tcPr>
          <w:p w:rsidR="00FD5242" w:rsidRPr="00C85F4F" w:rsidRDefault="00FD5242" w:rsidP="0077650E">
            <w:pPr>
              <w:autoSpaceDE w:val="0"/>
              <w:autoSpaceDN w:val="0"/>
              <w:adjustRightInd w:val="0"/>
              <w:spacing w:after="0" w:line="240" w:lineRule="auto"/>
              <w:ind w:right="10"/>
              <w:jc w:val="both"/>
              <w:rPr>
                <w:rFonts w:cs="Arial"/>
                <w:color w:val="000000"/>
              </w:rPr>
            </w:pPr>
            <w:r w:rsidRPr="00C85F4F">
              <w:rPr>
                <w:rFonts w:cs="Arial"/>
                <w:color w:val="000000"/>
              </w:rPr>
              <w:t>0.459104</w:t>
            </w:r>
          </w:p>
        </w:tc>
        <w:tc>
          <w:tcPr>
            <w:tcW w:w="2712" w:type="dxa"/>
            <w:gridSpan w:val="2"/>
            <w:tcBorders>
              <w:top w:val="nil"/>
              <w:left w:val="nil"/>
              <w:bottom w:val="nil"/>
              <w:right w:val="nil"/>
            </w:tcBorders>
            <w:vAlign w:val="bottom"/>
          </w:tcPr>
          <w:p w:rsidR="00FD5242" w:rsidRPr="00C85F4F" w:rsidRDefault="00FD5242" w:rsidP="0077650E">
            <w:pPr>
              <w:autoSpaceDE w:val="0"/>
              <w:autoSpaceDN w:val="0"/>
              <w:adjustRightInd w:val="0"/>
              <w:spacing w:after="0" w:line="240" w:lineRule="auto"/>
              <w:ind w:right="10"/>
              <w:jc w:val="both"/>
              <w:rPr>
                <w:rFonts w:cs="Arial"/>
                <w:color w:val="000000"/>
              </w:rPr>
            </w:pPr>
          </w:p>
        </w:tc>
        <w:tc>
          <w:tcPr>
            <w:tcW w:w="973" w:type="dxa"/>
            <w:tcBorders>
              <w:top w:val="nil"/>
              <w:left w:val="nil"/>
              <w:bottom w:val="nil"/>
              <w:right w:val="double" w:sz="4" w:space="0" w:color="auto"/>
            </w:tcBorders>
            <w:vAlign w:val="bottom"/>
          </w:tcPr>
          <w:p w:rsidR="00FD5242" w:rsidRPr="00C85F4F" w:rsidRDefault="00FD5242" w:rsidP="0077650E">
            <w:pPr>
              <w:autoSpaceDE w:val="0"/>
              <w:autoSpaceDN w:val="0"/>
              <w:adjustRightInd w:val="0"/>
              <w:spacing w:after="0" w:line="240" w:lineRule="auto"/>
              <w:ind w:right="10"/>
              <w:jc w:val="both"/>
              <w:rPr>
                <w:rFonts w:cs="Arial"/>
                <w:color w:val="000000"/>
              </w:rPr>
            </w:pPr>
          </w:p>
        </w:tc>
      </w:tr>
      <w:tr w:rsidR="00FD5242" w:rsidRPr="00C85F4F" w:rsidTr="00C85F4F">
        <w:trPr>
          <w:trHeight w:val="225"/>
        </w:trPr>
        <w:tc>
          <w:tcPr>
            <w:tcW w:w="3119" w:type="dxa"/>
            <w:tcBorders>
              <w:top w:val="nil"/>
              <w:left w:val="double" w:sz="4" w:space="0" w:color="auto"/>
              <w:bottom w:val="nil"/>
              <w:right w:val="nil"/>
            </w:tcBorders>
            <w:vAlign w:val="bottom"/>
          </w:tcPr>
          <w:p w:rsidR="00FD5242" w:rsidRPr="00C85F4F" w:rsidRDefault="00FD5242" w:rsidP="0077650E">
            <w:pPr>
              <w:autoSpaceDE w:val="0"/>
              <w:autoSpaceDN w:val="0"/>
              <w:adjustRightInd w:val="0"/>
              <w:spacing w:after="0" w:line="240" w:lineRule="auto"/>
              <w:rPr>
                <w:rFonts w:cs="Arial"/>
                <w:color w:val="000000"/>
              </w:rPr>
            </w:pPr>
            <w:r w:rsidRPr="00C85F4F">
              <w:rPr>
                <w:rFonts w:cs="Arial"/>
                <w:color w:val="000000"/>
              </w:rPr>
              <w:t>Adjusted R-squared</w:t>
            </w:r>
          </w:p>
        </w:tc>
        <w:tc>
          <w:tcPr>
            <w:tcW w:w="1276" w:type="dxa"/>
            <w:tcBorders>
              <w:top w:val="nil"/>
              <w:left w:val="nil"/>
              <w:bottom w:val="nil"/>
              <w:right w:val="nil"/>
            </w:tcBorders>
            <w:vAlign w:val="bottom"/>
          </w:tcPr>
          <w:p w:rsidR="00FD5242" w:rsidRPr="00C85F4F" w:rsidRDefault="00FD5242" w:rsidP="0077650E">
            <w:pPr>
              <w:autoSpaceDE w:val="0"/>
              <w:autoSpaceDN w:val="0"/>
              <w:adjustRightInd w:val="0"/>
              <w:spacing w:after="0" w:line="240" w:lineRule="auto"/>
              <w:ind w:right="10"/>
              <w:jc w:val="both"/>
              <w:rPr>
                <w:rFonts w:cs="Arial"/>
                <w:color w:val="000000"/>
              </w:rPr>
            </w:pPr>
            <w:r w:rsidRPr="00C85F4F">
              <w:rPr>
                <w:rFonts w:cs="Arial"/>
                <w:color w:val="000000"/>
              </w:rPr>
              <w:t>0.389759</w:t>
            </w:r>
          </w:p>
        </w:tc>
        <w:tc>
          <w:tcPr>
            <w:tcW w:w="2712" w:type="dxa"/>
            <w:gridSpan w:val="2"/>
            <w:tcBorders>
              <w:top w:val="nil"/>
              <w:left w:val="nil"/>
              <w:bottom w:val="nil"/>
              <w:right w:val="nil"/>
            </w:tcBorders>
            <w:vAlign w:val="bottom"/>
          </w:tcPr>
          <w:p w:rsidR="00FD5242" w:rsidRPr="00C85F4F" w:rsidRDefault="00FD5242" w:rsidP="0077650E">
            <w:pPr>
              <w:autoSpaceDE w:val="0"/>
              <w:autoSpaceDN w:val="0"/>
              <w:adjustRightInd w:val="0"/>
              <w:spacing w:after="0" w:line="240" w:lineRule="auto"/>
              <w:ind w:right="10"/>
              <w:jc w:val="both"/>
              <w:rPr>
                <w:rFonts w:cs="Arial"/>
                <w:color w:val="000000"/>
              </w:rPr>
            </w:pPr>
          </w:p>
        </w:tc>
        <w:tc>
          <w:tcPr>
            <w:tcW w:w="973" w:type="dxa"/>
            <w:tcBorders>
              <w:top w:val="nil"/>
              <w:left w:val="nil"/>
              <w:bottom w:val="nil"/>
              <w:right w:val="double" w:sz="4" w:space="0" w:color="auto"/>
            </w:tcBorders>
            <w:vAlign w:val="bottom"/>
          </w:tcPr>
          <w:p w:rsidR="00FD5242" w:rsidRPr="00C85F4F" w:rsidRDefault="00FD5242" w:rsidP="0077650E">
            <w:pPr>
              <w:autoSpaceDE w:val="0"/>
              <w:autoSpaceDN w:val="0"/>
              <w:adjustRightInd w:val="0"/>
              <w:spacing w:after="0" w:line="240" w:lineRule="auto"/>
              <w:ind w:right="10"/>
              <w:jc w:val="both"/>
              <w:rPr>
                <w:rFonts w:cs="Arial"/>
                <w:color w:val="000000"/>
              </w:rPr>
            </w:pPr>
          </w:p>
        </w:tc>
      </w:tr>
      <w:tr w:rsidR="00FD5242" w:rsidRPr="00C85F4F" w:rsidTr="00C85F4F">
        <w:trPr>
          <w:trHeight w:val="225"/>
        </w:trPr>
        <w:tc>
          <w:tcPr>
            <w:tcW w:w="3119" w:type="dxa"/>
            <w:tcBorders>
              <w:top w:val="nil"/>
              <w:left w:val="double" w:sz="4" w:space="0" w:color="auto"/>
              <w:bottom w:val="nil"/>
              <w:right w:val="nil"/>
            </w:tcBorders>
            <w:vAlign w:val="bottom"/>
          </w:tcPr>
          <w:p w:rsidR="00FD5242" w:rsidRPr="00C85F4F" w:rsidRDefault="00FD5242" w:rsidP="0077650E">
            <w:pPr>
              <w:autoSpaceDE w:val="0"/>
              <w:autoSpaceDN w:val="0"/>
              <w:adjustRightInd w:val="0"/>
              <w:spacing w:after="0" w:line="240" w:lineRule="auto"/>
              <w:rPr>
                <w:rFonts w:cs="Arial"/>
                <w:color w:val="000000"/>
              </w:rPr>
            </w:pPr>
            <w:r w:rsidRPr="00C85F4F">
              <w:rPr>
                <w:rFonts w:cs="Arial"/>
                <w:color w:val="000000"/>
              </w:rPr>
              <w:t>S.E. of regression</w:t>
            </w:r>
          </w:p>
        </w:tc>
        <w:tc>
          <w:tcPr>
            <w:tcW w:w="1276" w:type="dxa"/>
            <w:tcBorders>
              <w:top w:val="nil"/>
              <w:left w:val="nil"/>
              <w:bottom w:val="nil"/>
              <w:right w:val="nil"/>
            </w:tcBorders>
            <w:vAlign w:val="bottom"/>
          </w:tcPr>
          <w:p w:rsidR="00FD5242" w:rsidRPr="00C85F4F" w:rsidRDefault="00FD5242" w:rsidP="0077650E">
            <w:pPr>
              <w:autoSpaceDE w:val="0"/>
              <w:autoSpaceDN w:val="0"/>
              <w:adjustRightInd w:val="0"/>
              <w:spacing w:after="0" w:line="240" w:lineRule="auto"/>
              <w:ind w:right="10"/>
              <w:jc w:val="both"/>
              <w:rPr>
                <w:rFonts w:cs="Arial"/>
                <w:color w:val="000000"/>
              </w:rPr>
            </w:pPr>
            <w:r w:rsidRPr="00C85F4F">
              <w:rPr>
                <w:rFonts w:cs="Arial"/>
                <w:color w:val="000000"/>
              </w:rPr>
              <w:t>0.642270</w:t>
            </w:r>
          </w:p>
        </w:tc>
        <w:tc>
          <w:tcPr>
            <w:tcW w:w="2712" w:type="dxa"/>
            <w:gridSpan w:val="2"/>
            <w:tcBorders>
              <w:top w:val="nil"/>
              <w:left w:val="nil"/>
              <w:bottom w:val="nil"/>
              <w:right w:val="nil"/>
            </w:tcBorders>
            <w:vAlign w:val="bottom"/>
          </w:tcPr>
          <w:p w:rsidR="00FD5242" w:rsidRPr="00C85F4F" w:rsidRDefault="00FD5242" w:rsidP="0077650E">
            <w:pPr>
              <w:autoSpaceDE w:val="0"/>
              <w:autoSpaceDN w:val="0"/>
              <w:adjustRightInd w:val="0"/>
              <w:spacing w:after="0" w:line="240" w:lineRule="auto"/>
              <w:ind w:right="10"/>
              <w:jc w:val="both"/>
              <w:rPr>
                <w:rFonts w:cs="Arial"/>
                <w:color w:val="000000"/>
              </w:rPr>
            </w:pPr>
          </w:p>
        </w:tc>
        <w:tc>
          <w:tcPr>
            <w:tcW w:w="973" w:type="dxa"/>
            <w:tcBorders>
              <w:top w:val="nil"/>
              <w:left w:val="nil"/>
              <w:bottom w:val="nil"/>
              <w:right w:val="double" w:sz="4" w:space="0" w:color="auto"/>
            </w:tcBorders>
            <w:vAlign w:val="bottom"/>
          </w:tcPr>
          <w:p w:rsidR="00FD5242" w:rsidRPr="00C85F4F" w:rsidRDefault="00FD5242" w:rsidP="0077650E">
            <w:pPr>
              <w:autoSpaceDE w:val="0"/>
              <w:autoSpaceDN w:val="0"/>
              <w:adjustRightInd w:val="0"/>
              <w:spacing w:after="0" w:line="240" w:lineRule="auto"/>
              <w:ind w:right="10"/>
              <w:jc w:val="both"/>
              <w:rPr>
                <w:rFonts w:cs="Arial"/>
                <w:color w:val="000000"/>
              </w:rPr>
            </w:pPr>
          </w:p>
        </w:tc>
      </w:tr>
      <w:tr w:rsidR="00FD5242" w:rsidRPr="00C85F4F" w:rsidTr="00C85F4F">
        <w:trPr>
          <w:trHeight w:hRule="exact" w:val="90"/>
        </w:trPr>
        <w:tc>
          <w:tcPr>
            <w:tcW w:w="3119" w:type="dxa"/>
            <w:tcBorders>
              <w:top w:val="nil"/>
              <w:left w:val="double" w:sz="4" w:space="0" w:color="auto"/>
              <w:bottom w:val="double" w:sz="6" w:space="0" w:color="auto"/>
              <w:right w:val="nil"/>
            </w:tcBorders>
            <w:vAlign w:val="bottom"/>
          </w:tcPr>
          <w:p w:rsidR="00FD5242" w:rsidRPr="00C85F4F" w:rsidRDefault="00FD5242" w:rsidP="0077650E">
            <w:pPr>
              <w:autoSpaceDE w:val="0"/>
              <w:autoSpaceDN w:val="0"/>
              <w:adjustRightInd w:val="0"/>
              <w:spacing w:after="0" w:line="240" w:lineRule="auto"/>
              <w:jc w:val="center"/>
              <w:rPr>
                <w:rFonts w:cs="Arial"/>
                <w:color w:val="000000"/>
              </w:rPr>
            </w:pPr>
          </w:p>
        </w:tc>
        <w:tc>
          <w:tcPr>
            <w:tcW w:w="1276" w:type="dxa"/>
            <w:tcBorders>
              <w:top w:val="nil"/>
              <w:left w:val="nil"/>
              <w:bottom w:val="double" w:sz="6" w:space="0" w:color="auto"/>
              <w:right w:val="nil"/>
            </w:tcBorders>
            <w:vAlign w:val="bottom"/>
          </w:tcPr>
          <w:p w:rsidR="00FD5242" w:rsidRPr="00C85F4F" w:rsidRDefault="00FD5242" w:rsidP="0077650E">
            <w:pPr>
              <w:autoSpaceDE w:val="0"/>
              <w:autoSpaceDN w:val="0"/>
              <w:adjustRightInd w:val="0"/>
              <w:spacing w:after="0" w:line="240" w:lineRule="auto"/>
              <w:jc w:val="center"/>
              <w:rPr>
                <w:rFonts w:cs="Arial"/>
                <w:color w:val="000000"/>
              </w:rPr>
            </w:pPr>
          </w:p>
        </w:tc>
        <w:tc>
          <w:tcPr>
            <w:tcW w:w="1322" w:type="dxa"/>
            <w:tcBorders>
              <w:top w:val="nil"/>
              <w:left w:val="nil"/>
              <w:bottom w:val="double" w:sz="6" w:space="0" w:color="auto"/>
              <w:right w:val="nil"/>
            </w:tcBorders>
            <w:vAlign w:val="bottom"/>
          </w:tcPr>
          <w:p w:rsidR="00FD5242" w:rsidRPr="00C85F4F" w:rsidRDefault="00FD5242" w:rsidP="0077650E">
            <w:pPr>
              <w:autoSpaceDE w:val="0"/>
              <w:autoSpaceDN w:val="0"/>
              <w:adjustRightInd w:val="0"/>
              <w:spacing w:after="0" w:line="240" w:lineRule="auto"/>
              <w:jc w:val="center"/>
              <w:rPr>
                <w:rFonts w:cs="Arial"/>
                <w:color w:val="000000"/>
              </w:rPr>
            </w:pPr>
          </w:p>
        </w:tc>
        <w:tc>
          <w:tcPr>
            <w:tcW w:w="1390" w:type="dxa"/>
            <w:tcBorders>
              <w:top w:val="nil"/>
              <w:left w:val="nil"/>
              <w:bottom w:val="double" w:sz="6" w:space="0" w:color="auto"/>
              <w:right w:val="nil"/>
            </w:tcBorders>
            <w:vAlign w:val="bottom"/>
          </w:tcPr>
          <w:p w:rsidR="00FD5242" w:rsidRPr="00C85F4F" w:rsidRDefault="00FD5242" w:rsidP="0077650E">
            <w:pPr>
              <w:autoSpaceDE w:val="0"/>
              <w:autoSpaceDN w:val="0"/>
              <w:adjustRightInd w:val="0"/>
              <w:spacing w:after="0" w:line="240" w:lineRule="auto"/>
              <w:jc w:val="center"/>
              <w:rPr>
                <w:rFonts w:cs="Arial"/>
                <w:color w:val="000000"/>
              </w:rPr>
            </w:pPr>
          </w:p>
        </w:tc>
        <w:tc>
          <w:tcPr>
            <w:tcW w:w="973" w:type="dxa"/>
            <w:tcBorders>
              <w:top w:val="nil"/>
              <w:left w:val="nil"/>
              <w:bottom w:val="double" w:sz="6" w:space="0" w:color="auto"/>
              <w:right w:val="double" w:sz="4" w:space="0" w:color="auto"/>
            </w:tcBorders>
            <w:vAlign w:val="bottom"/>
          </w:tcPr>
          <w:p w:rsidR="00FD5242" w:rsidRPr="00C85F4F" w:rsidRDefault="00FD5242" w:rsidP="0077650E">
            <w:pPr>
              <w:autoSpaceDE w:val="0"/>
              <w:autoSpaceDN w:val="0"/>
              <w:adjustRightInd w:val="0"/>
              <w:spacing w:after="0" w:line="240" w:lineRule="auto"/>
              <w:jc w:val="center"/>
              <w:rPr>
                <w:rFonts w:cs="Arial"/>
                <w:color w:val="000000"/>
              </w:rPr>
            </w:pPr>
          </w:p>
        </w:tc>
      </w:tr>
      <w:tr w:rsidR="00FD5242" w:rsidRPr="00C85F4F" w:rsidTr="00C85F4F">
        <w:trPr>
          <w:trHeight w:hRule="exact" w:val="135"/>
        </w:trPr>
        <w:tc>
          <w:tcPr>
            <w:tcW w:w="3119" w:type="dxa"/>
            <w:tcBorders>
              <w:top w:val="nil"/>
              <w:left w:val="double" w:sz="4" w:space="0" w:color="auto"/>
              <w:bottom w:val="double" w:sz="4" w:space="0" w:color="auto"/>
              <w:right w:val="nil"/>
            </w:tcBorders>
            <w:vAlign w:val="bottom"/>
          </w:tcPr>
          <w:p w:rsidR="00FD5242" w:rsidRPr="00C85F4F" w:rsidRDefault="00FD5242" w:rsidP="0077650E">
            <w:pPr>
              <w:autoSpaceDE w:val="0"/>
              <w:autoSpaceDN w:val="0"/>
              <w:adjustRightInd w:val="0"/>
              <w:spacing w:after="0" w:line="240" w:lineRule="auto"/>
              <w:jc w:val="center"/>
              <w:rPr>
                <w:rFonts w:cs="Arial"/>
                <w:color w:val="000000"/>
              </w:rPr>
            </w:pPr>
          </w:p>
        </w:tc>
        <w:tc>
          <w:tcPr>
            <w:tcW w:w="1276" w:type="dxa"/>
            <w:tcBorders>
              <w:top w:val="nil"/>
              <w:left w:val="nil"/>
              <w:bottom w:val="double" w:sz="4" w:space="0" w:color="auto"/>
              <w:right w:val="nil"/>
            </w:tcBorders>
            <w:vAlign w:val="bottom"/>
          </w:tcPr>
          <w:p w:rsidR="00FD5242" w:rsidRPr="00C85F4F" w:rsidRDefault="00FD5242" w:rsidP="0077650E">
            <w:pPr>
              <w:autoSpaceDE w:val="0"/>
              <w:autoSpaceDN w:val="0"/>
              <w:adjustRightInd w:val="0"/>
              <w:spacing w:after="0" w:line="240" w:lineRule="auto"/>
              <w:jc w:val="center"/>
              <w:rPr>
                <w:rFonts w:cs="Arial"/>
                <w:color w:val="000000"/>
              </w:rPr>
            </w:pPr>
          </w:p>
        </w:tc>
        <w:tc>
          <w:tcPr>
            <w:tcW w:w="1322" w:type="dxa"/>
            <w:tcBorders>
              <w:top w:val="nil"/>
              <w:left w:val="nil"/>
              <w:bottom w:val="double" w:sz="4" w:space="0" w:color="auto"/>
              <w:right w:val="nil"/>
            </w:tcBorders>
            <w:vAlign w:val="bottom"/>
          </w:tcPr>
          <w:p w:rsidR="00FD5242" w:rsidRPr="00C85F4F" w:rsidRDefault="00FD5242" w:rsidP="0077650E">
            <w:pPr>
              <w:autoSpaceDE w:val="0"/>
              <w:autoSpaceDN w:val="0"/>
              <w:adjustRightInd w:val="0"/>
              <w:spacing w:after="0" w:line="240" w:lineRule="auto"/>
              <w:jc w:val="center"/>
              <w:rPr>
                <w:rFonts w:cs="Arial"/>
                <w:color w:val="000000"/>
              </w:rPr>
            </w:pPr>
          </w:p>
        </w:tc>
        <w:tc>
          <w:tcPr>
            <w:tcW w:w="1390" w:type="dxa"/>
            <w:tcBorders>
              <w:top w:val="nil"/>
              <w:left w:val="nil"/>
              <w:bottom w:val="double" w:sz="4" w:space="0" w:color="auto"/>
              <w:right w:val="nil"/>
            </w:tcBorders>
            <w:vAlign w:val="bottom"/>
          </w:tcPr>
          <w:p w:rsidR="00FD5242" w:rsidRPr="00C85F4F" w:rsidRDefault="00FD5242" w:rsidP="0077650E">
            <w:pPr>
              <w:autoSpaceDE w:val="0"/>
              <w:autoSpaceDN w:val="0"/>
              <w:adjustRightInd w:val="0"/>
              <w:spacing w:after="0" w:line="240" w:lineRule="auto"/>
              <w:jc w:val="center"/>
              <w:rPr>
                <w:rFonts w:cs="Arial"/>
                <w:color w:val="000000"/>
              </w:rPr>
            </w:pPr>
          </w:p>
        </w:tc>
        <w:tc>
          <w:tcPr>
            <w:tcW w:w="973" w:type="dxa"/>
            <w:tcBorders>
              <w:top w:val="nil"/>
              <w:left w:val="nil"/>
              <w:bottom w:val="double" w:sz="4" w:space="0" w:color="auto"/>
              <w:right w:val="double" w:sz="4" w:space="0" w:color="auto"/>
            </w:tcBorders>
            <w:vAlign w:val="bottom"/>
          </w:tcPr>
          <w:p w:rsidR="00FD5242" w:rsidRPr="00C85F4F" w:rsidRDefault="00FD5242" w:rsidP="0077650E">
            <w:pPr>
              <w:autoSpaceDE w:val="0"/>
              <w:autoSpaceDN w:val="0"/>
              <w:adjustRightInd w:val="0"/>
              <w:spacing w:after="0" w:line="240" w:lineRule="auto"/>
              <w:jc w:val="center"/>
              <w:rPr>
                <w:rFonts w:cs="Arial"/>
                <w:color w:val="000000"/>
              </w:rPr>
            </w:pPr>
          </w:p>
        </w:tc>
      </w:tr>
    </w:tbl>
    <w:p w:rsidR="00FD5242" w:rsidRPr="00C85F4F" w:rsidRDefault="00FD5242" w:rsidP="000F0E37">
      <w:pPr>
        <w:rPr>
          <w:rFonts w:cs="Arial"/>
        </w:rPr>
      </w:pPr>
      <w:r w:rsidRPr="00C85F4F">
        <w:rPr>
          <w:rFonts w:cs="Arial"/>
        </w:rPr>
        <w:t>*,**,*** indicate  significance at 0.01, 0.05, 0.10 significance level</w:t>
      </w:r>
    </w:p>
    <w:p w:rsidR="00FD5242" w:rsidRDefault="00FD5242" w:rsidP="000F0E37">
      <w:pPr>
        <w:jc w:val="both"/>
        <w:rPr>
          <w:rFonts w:cs="Arial"/>
          <w:lang w:val="en-US"/>
        </w:rPr>
      </w:pPr>
      <w:r>
        <w:rPr>
          <w:rFonts w:cs="Arial"/>
          <w:lang w:val="en-US"/>
        </w:rPr>
        <w:t xml:space="preserve">    </w:t>
      </w:r>
    </w:p>
    <w:p w:rsidR="00FD5242" w:rsidRDefault="00FD5242" w:rsidP="0059208D">
      <w:pPr>
        <w:rPr>
          <w:rFonts w:cs="Arial"/>
          <w:lang w:val="en-US"/>
        </w:rPr>
      </w:pPr>
      <w:r>
        <w:rPr>
          <w:rFonts w:cs="Arial"/>
          <w:lang w:val="en-US"/>
        </w:rPr>
        <w:t xml:space="preserve">   </w:t>
      </w:r>
    </w:p>
    <w:p w:rsidR="00FD5242" w:rsidRPr="00B82723" w:rsidRDefault="00FD5242" w:rsidP="0059208D">
      <w:pPr>
        <w:rPr>
          <w:rFonts w:cs="Arial"/>
          <w:lang w:val="en-US"/>
        </w:rPr>
      </w:pPr>
      <w:r>
        <w:rPr>
          <w:rFonts w:cs="Arial"/>
          <w:lang w:val="en-US"/>
        </w:rPr>
        <w:t xml:space="preserve"> According to the presented</w:t>
      </w:r>
      <w:r w:rsidRPr="00B82723">
        <w:rPr>
          <w:rFonts w:cs="Arial"/>
          <w:lang w:val="en-US"/>
        </w:rPr>
        <w:t xml:space="preserve"> findings,</w:t>
      </w:r>
      <w:r>
        <w:rPr>
          <w:rFonts w:cs="Arial"/>
          <w:lang w:val="en-US"/>
        </w:rPr>
        <w:t xml:space="preserve"> </w:t>
      </w:r>
      <w:r w:rsidRPr="00B82723">
        <w:rPr>
          <w:rFonts w:cs="Arial"/>
          <w:lang w:val="en-US"/>
        </w:rPr>
        <w:t xml:space="preserve">Model 3 is now formulated as: </w:t>
      </w:r>
    </w:p>
    <w:p w:rsidR="00FD5242" w:rsidRDefault="00FD5242" w:rsidP="0059208D">
      <w:pPr>
        <w:autoSpaceDE w:val="0"/>
        <w:autoSpaceDN w:val="0"/>
        <w:adjustRightInd w:val="0"/>
        <w:spacing w:after="0" w:line="400" w:lineRule="atLeast"/>
        <w:rPr>
          <w:rFonts w:ascii="Cambria" w:hAnsi="Cambria"/>
          <w:b/>
          <w:bCs/>
          <w:color w:val="000000"/>
          <w:lang w:val="en-US"/>
        </w:rPr>
      </w:pPr>
      <w:r w:rsidRPr="00AD41B0">
        <w:rPr>
          <w:rFonts w:ascii="Cambria" w:hAnsi="Cambria"/>
          <w:b/>
          <w:bCs/>
          <w:color w:val="000000"/>
          <w:lang w:val="en-US"/>
        </w:rPr>
        <w:t>LAF</w:t>
      </w:r>
      <w:r w:rsidRPr="00AD41B0">
        <w:rPr>
          <w:rFonts w:ascii="Cambria" w:hAnsi="Cambria"/>
          <w:b/>
          <w:bCs/>
          <w:color w:val="000000"/>
          <w:vertAlign w:val="subscript"/>
          <w:lang w:val="en-US"/>
        </w:rPr>
        <w:t>it</w:t>
      </w:r>
      <w:r w:rsidRPr="00AD41B0">
        <w:rPr>
          <w:rFonts w:ascii="Cambria" w:hAnsi="Cambria"/>
          <w:b/>
          <w:bCs/>
          <w:color w:val="000000"/>
          <w:lang w:val="en-US"/>
        </w:rPr>
        <w:t xml:space="preserve"> = b</w:t>
      </w:r>
      <w:r w:rsidRPr="00AD41B0">
        <w:rPr>
          <w:rFonts w:ascii="Cambria" w:hAnsi="Cambria"/>
          <w:b/>
          <w:bCs/>
          <w:color w:val="000000"/>
          <w:vertAlign w:val="subscript"/>
          <w:lang w:val="en-US"/>
        </w:rPr>
        <w:t>0</w:t>
      </w:r>
      <w:r w:rsidRPr="00AD41B0">
        <w:rPr>
          <w:rFonts w:ascii="Cambria" w:hAnsi="Cambria"/>
          <w:b/>
          <w:bCs/>
          <w:color w:val="000000"/>
          <w:lang w:val="en-US"/>
        </w:rPr>
        <w:t xml:space="preserve"> </w:t>
      </w:r>
      <w:r>
        <w:rPr>
          <w:rFonts w:ascii="Cambria" w:hAnsi="Cambria"/>
          <w:b/>
          <w:bCs/>
          <w:color w:val="000000"/>
          <w:lang w:val="en-US"/>
        </w:rPr>
        <w:t>-2,424</w:t>
      </w:r>
      <w:r w:rsidRPr="00AD41B0">
        <w:rPr>
          <w:rFonts w:ascii="Cambria" w:hAnsi="Cambria"/>
          <w:b/>
          <w:bCs/>
          <w:color w:val="000000"/>
          <w:lang w:val="en-US"/>
        </w:rPr>
        <w:t xml:space="preserve"> CSV</w:t>
      </w:r>
      <w:r w:rsidRPr="00AD41B0">
        <w:rPr>
          <w:rFonts w:ascii="Cambria" w:hAnsi="Cambria"/>
          <w:b/>
          <w:bCs/>
          <w:color w:val="000000"/>
          <w:vertAlign w:val="subscript"/>
          <w:lang w:val="en-US"/>
        </w:rPr>
        <w:t>it</w:t>
      </w:r>
      <w:r w:rsidRPr="00AD41B0">
        <w:rPr>
          <w:rFonts w:ascii="Cambria" w:hAnsi="Cambria"/>
          <w:b/>
          <w:bCs/>
          <w:color w:val="000000"/>
          <w:lang w:val="en-US"/>
        </w:rPr>
        <w:t xml:space="preserve"> + </w:t>
      </w:r>
      <w:r>
        <w:rPr>
          <w:rFonts w:ascii="Cambria" w:hAnsi="Cambria"/>
          <w:b/>
          <w:bCs/>
          <w:color w:val="000000"/>
          <w:lang w:val="en-US"/>
        </w:rPr>
        <w:t>0,697</w:t>
      </w:r>
      <w:r w:rsidRPr="00AD41B0">
        <w:rPr>
          <w:rFonts w:ascii="Cambria" w:hAnsi="Cambria"/>
          <w:b/>
          <w:bCs/>
          <w:color w:val="000000"/>
          <w:lang w:val="en-US"/>
        </w:rPr>
        <w:t xml:space="preserve"> SIZE</w:t>
      </w:r>
      <w:r w:rsidRPr="00AD41B0">
        <w:rPr>
          <w:rFonts w:ascii="Cambria" w:hAnsi="Cambria"/>
          <w:b/>
          <w:bCs/>
          <w:color w:val="000000"/>
          <w:vertAlign w:val="subscript"/>
          <w:lang w:val="en-US"/>
        </w:rPr>
        <w:t>it</w:t>
      </w:r>
      <w:r w:rsidRPr="00AD41B0">
        <w:rPr>
          <w:rFonts w:ascii="Cambria" w:hAnsi="Cambria"/>
          <w:b/>
          <w:bCs/>
          <w:color w:val="000000"/>
          <w:lang w:val="en-US"/>
        </w:rPr>
        <w:t xml:space="preserve"> +</w:t>
      </w:r>
      <w:r>
        <w:rPr>
          <w:rFonts w:ascii="Cambria" w:hAnsi="Cambria"/>
          <w:b/>
          <w:bCs/>
          <w:color w:val="000000"/>
          <w:lang w:val="en-US"/>
        </w:rPr>
        <w:t xml:space="preserve">0,082 </w:t>
      </w:r>
      <w:r w:rsidRPr="00AD41B0">
        <w:rPr>
          <w:rFonts w:ascii="Cambria" w:hAnsi="Cambria"/>
          <w:b/>
          <w:bCs/>
          <w:color w:val="000000"/>
          <w:lang w:val="en-US"/>
        </w:rPr>
        <w:t>QR</w:t>
      </w:r>
      <w:r w:rsidRPr="00AD41B0">
        <w:rPr>
          <w:rFonts w:ascii="Cambria" w:hAnsi="Cambria"/>
          <w:b/>
          <w:bCs/>
          <w:color w:val="000000"/>
          <w:vertAlign w:val="subscript"/>
          <w:lang w:val="en-US"/>
        </w:rPr>
        <w:t>it</w:t>
      </w:r>
      <w:r w:rsidRPr="00AD41B0">
        <w:rPr>
          <w:rFonts w:ascii="Cambria" w:hAnsi="Cambria"/>
          <w:b/>
          <w:bCs/>
          <w:color w:val="000000"/>
          <w:lang w:val="en-US"/>
        </w:rPr>
        <w:t xml:space="preserve"> + </w:t>
      </w:r>
      <w:r>
        <w:rPr>
          <w:rFonts w:ascii="Cambria" w:hAnsi="Cambria"/>
          <w:b/>
          <w:bCs/>
          <w:color w:val="000000"/>
          <w:lang w:val="en-US"/>
        </w:rPr>
        <w:t>0,130</w:t>
      </w:r>
      <w:r w:rsidRPr="00AD41B0">
        <w:rPr>
          <w:rFonts w:ascii="Cambria" w:hAnsi="Cambria"/>
          <w:b/>
          <w:bCs/>
          <w:color w:val="000000"/>
          <w:lang w:val="en-US"/>
        </w:rPr>
        <w:t xml:space="preserve"> LEV</w:t>
      </w:r>
      <w:r w:rsidRPr="00AD41B0">
        <w:rPr>
          <w:rFonts w:ascii="Cambria" w:hAnsi="Cambria"/>
          <w:b/>
          <w:bCs/>
          <w:color w:val="000000"/>
          <w:vertAlign w:val="subscript"/>
          <w:lang w:val="en-US"/>
        </w:rPr>
        <w:t>it</w:t>
      </w:r>
      <w:r w:rsidRPr="00AD41B0">
        <w:rPr>
          <w:rFonts w:ascii="Cambria" w:hAnsi="Cambria"/>
          <w:b/>
          <w:bCs/>
          <w:color w:val="000000"/>
          <w:lang w:val="en-US"/>
        </w:rPr>
        <w:t xml:space="preserve"> + </w:t>
      </w:r>
      <w:r>
        <w:rPr>
          <w:rFonts w:ascii="Cambria" w:hAnsi="Cambria"/>
          <w:b/>
          <w:bCs/>
          <w:color w:val="000000"/>
          <w:lang w:val="en-US"/>
        </w:rPr>
        <w:t xml:space="preserve">0,623 </w:t>
      </w:r>
      <w:r w:rsidRPr="00AD41B0">
        <w:rPr>
          <w:rFonts w:ascii="Cambria" w:hAnsi="Cambria"/>
          <w:b/>
          <w:bCs/>
          <w:color w:val="000000"/>
          <w:lang w:val="en-US"/>
        </w:rPr>
        <w:t>INVREC</w:t>
      </w:r>
      <w:r w:rsidRPr="00AD41B0">
        <w:rPr>
          <w:rFonts w:ascii="Cambria" w:hAnsi="Cambria"/>
          <w:b/>
          <w:bCs/>
          <w:color w:val="000000"/>
          <w:vertAlign w:val="subscript"/>
          <w:lang w:val="en-US"/>
        </w:rPr>
        <w:t>it</w:t>
      </w:r>
      <w:r w:rsidRPr="00AD41B0">
        <w:rPr>
          <w:rFonts w:ascii="Cambria" w:hAnsi="Cambria"/>
          <w:b/>
          <w:bCs/>
          <w:color w:val="000000"/>
          <w:lang w:val="en-US"/>
        </w:rPr>
        <w:t xml:space="preserve"> </w:t>
      </w:r>
    </w:p>
    <w:p w:rsidR="00FD5242" w:rsidRDefault="00FD5242" w:rsidP="0059208D">
      <w:pPr>
        <w:autoSpaceDE w:val="0"/>
        <w:autoSpaceDN w:val="0"/>
        <w:adjustRightInd w:val="0"/>
        <w:spacing w:after="0" w:line="400" w:lineRule="atLeast"/>
        <w:rPr>
          <w:bCs/>
          <w:lang w:val="en-US"/>
        </w:rPr>
      </w:pPr>
      <w:r>
        <w:rPr>
          <w:rFonts w:ascii="Cambria" w:hAnsi="Cambria"/>
          <w:b/>
          <w:bCs/>
          <w:color w:val="000000"/>
          <w:lang w:val="en-US"/>
        </w:rPr>
        <w:t xml:space="preserve"> -0,506</w:t>
      </w:r>
      <w:r w:rsidRPr="00AD41B0">
        <w:rPr>
          <w:rFonts w:ascii="Cambria" w:hAnsi="Cambria"/>
          <w:b/>
          <w:bCs/>
          <w:color w:val="000000"/>
          <w:lang w:val="en-US"/>
        </w:rPr>
        <w:t xml:space="preserve"> ROI</w:t>
      </w:r>
      <w:r w:rsidRPr="00AD41B0">
        <w:rPr>
          <w:rFonts w:ascii="Cambria" w:hAnsi="Cambria"/>
          <w:b/>
          <w:bCs/>
          <w:color w:val="000000"/>
          <w:vertAlign w:val="subscript"/>
          <w:lang w:val="en-US"/>
        </w:rPr>
        <w:t>it</w:t>
      </w:r>
    </w:p>
    <w:p w:rsidR="00FD5242" w:rsidRDefault="00FD5242" w:rsidP="000F0E37">
      <w:pPr>
        <w:jc w:val="both"/>
        <w:rPr>
          <w:rFonts w:cs="Arial"/>
          <w:lang w:val="en-US"/>
        </w:rPr>
      </w:pPr>
    </w:p>
    <w:p w:rsidR="00FD5242" w:rsidRDefault="00FD5242" w:rsidP="000F0E37">
      <w:pPr>
        <w:jc w:val="both"/>
        <w:rPr>
          <w:rFonts w:cs="Arial"/>
          <w:color w:val="000000"/>
          <w:lang w:val="en-US"/>
        </w:rPr>
      </w:pPr>
      <w:r>
        <w:rPr>
          <w:rFonts w:cs="Arial"/>
          <w:lang w:val="en-US"/>
        </w:rPr>
        <w:t xml:space="preserve">    </w:t>
      </w:r>
      <w:r w:rsidRPr="00460893">
        <w:rPr>
          <w:rFonts w:cs="Arial"/>
          <w:lang w:val="en-US"/>
        </w:rPr>
        <w:t>The results of 2009 are found similar to the ones of 2008.</w:t>
      </w:r>
      <w:r>
        <w:rPr>
          <w:rFonts w:cs="Arial"/>
          <w:lang w:val="en-US"/>
        </w:rPr>
        <w:t xml:space="preserve"> More specifically, a negative relation was proved concerning audit conservatism and the audit fees. The </w:t>
      </w:r>
      <w:r>
        <w:rPr>
          <w:color w:val="000000"/>
          <w:lang w:val="en-US"/>
        </w:rPr>
        <w:t xml:space="preserve">coefficient </w:t>
      </w:r>
      <w:r w:rsidRPr="002A6708">
        <w:rPr>
          <w:rFonts w:cs="Arial"/>
          <w:color w:val="000000"/>
          <w:lang w:val="en-US"/>
        </w:rPr>
        <w:t>b</w:t>
      </w:r>
      <w:r w:rsidRPr="002A6708">
        <w:rPr>
          <w:rFonts w:cs="Arial"/>
          <w:color w:val="000000"/>
          <w:vertAlign w:val="subscript"/>
          <w:lang w:val="en-US"/>
        </w:rPr>
        <w:t>1</w:t>
      </w:r>
      <w:r>
        <w:rPr>
          <w:rFonts w:cs="Arial"/>
          <w:color w:val="000000"/>
          <w:lang w:val="en-US"/>
        </w:rPr>
        <w:t xml:space="preserve"> = -2,424 that measures the effect of conservatism on the audit fees, is negative and significant in the 0.01 level (2-tailed). It is reduced compared to the 2008 value of -3,035, indicating a less negative relationship between the dependent and the independent variable in 2009. These results are found to be consistent with the findings of the prior research concerning the audit fees, which are commented in the previous analysis and in chapter 4.</w:t>
      </w:r>
    </w:p>
    <w:p w:rsidR="00FD5242" w:rsidRDefault="00FD5242" w:rsidP="00576616">
      <w:pPr>
        <w:spacing w:line="360" w:lineRule="auto"/>
        <w:jc w:val="both"/>
        <w:rPr>
          <w:rFonts w:cs="Arial"/>
          <w:color w:val="000000"/>
          <w:lang w:val="en-US"/>
        </w:rPr>
      </w:pPr>
      <w:r>
        <w:rPr>
          <w:rFonts w:cs="Arial"/>
          <w:color w:val="000000"/>
          <w:lang w:val="en-US"/>
        </w:rPr>
        <w:t xml:space="preserve">    The second strong relationship discovered was found between the SIZE variable and LAF. The coefficient </w:t>
      </w:r>
      <w:r w:rsidRPr="00F9232D">
        <w:rPr>
          <w:rFonts w:cs="Arial"/>
          <w:color w:val="000000"/>
          <w:lang w:val="en-US"/>
        </w:rPr>
        <w:t>b</w:t>
      </w:r>
      <w:r w:rsidRPr="00F9232D">
        <w:rPr>
          <w:rFonts w:cs="Arial"/>
          <w:color w:val="000000"/>
          <w:vertAlign w:val="subscript"/>
          <w:lang w:val="en-US"/>
        </w:rPr>
        <w:t>2</w:t>
      </w:r>
      <w:r>
        <w:rPr>
          <w:rFonts w:cs="Arial"/>
          <w:b/>
          <w:color w:val="000000"/>
          <w:vertAlign w:val="subscript"/>
          <w:lang w:val="en-US"/>
        </w:rPr>
        <w:t xml:space="preserve"> </w:t>
      </w:r>
      <w:r w:rsidRPr="00F9232D">
        <w:rPr>
          <w:rFonts w:cs="Arial"/>
          <w:color w:val="000000"/>
          <w:lang w:val="en-US"/>
        </w:rPr>
        <w:t>of</w:t>
      </w:r>
      <w:r>
        <w:rPr>
          <w:rFonts w:cs="Arial"/>
          <w:color w:val="000000"/>
          <w:lang w:val="en-US"/>
        </w:rPr>
        <w:t xml:space="preserve"> the SIZE variable is equal to +0,697, which is significant in the 0.01 level (2-tailed). Compared to the year 2008, the coefficient </w:t>
      </w:r>
      <w:r w:rsidRPr="00F9232D">
        <w:rPr>
          <w:rFonts w:cs="Arial"/>
          <w:color w:val="000000"/>
          <w:lang w:val="en-US"/>
        </w:rPr>
        <w:t>b</w:t>
      </w:r>
      <w:r w:rsidRPr="00F9232D">
        <w:rPr>
          <w:rFonts w:cs="Arial"/>
          <w:color w:val="000000"/>
          <w:vertAlign w:val="subscript"/>
          <w:lang w:val="en-US"/>
        </w:rPr>
        <w:t>2</w:t>
      </w:r>
      <w:r>
        <w:rPr>
          <w:rFonts w:cs="Arial"/>
          <w:color w:val="000000"/>
          <w:vertAlign w:val="subscript"/>
          <w:lang w:val="en-US"/>
        </w:rPr>
        <w:t xml:space="preserve"> </w:t>
      </w:r>
      <w:r>
        <w:rPr>
          <w:rFonts w:cs="Arial"/>
          <w:color w:val="000000"/>
          <w:lang w:val="en-US"/>
        </w:rPr>
        <w:t xml:space="preserve">has decreased, but in an insignificant degree. </w:t>
      </w:r>
    </w:p>
    <w:p w:rsidR="00FD5242" w:rsidRDefault="00FD5242" w:rsidP="00576616">
      <w:pPr>
        <w:spacing w:line="360" w:lineRule="auto"/>
        <w:jc w:val="both"/>
        <w:rPr>
          <w:rFonts w:cs="Arial"/>
          <w:color w:val="000000"/>
          <w:lang w:val="en-US"/>
        </w:rPr>
      </w:pPr>
      <w:r>
        <w:rPr>
          <w:rFonts w:cs="Arial"/>
          <w:color w:val="000000"/>
          <w:lang w:val="en-US"/>
        </w:rPr>
        <w:t xml:space="preserve">    In addition, the INVREC variable is positively associated with the dependent LAF variable. Its coefficient </w:t>
      </w:r>
      <w:r w:rsidRPr="002C167D">
        <w:rPr>
          <w:rFonts w:cs="Arial"/>
          <w:color w:val="000000"/>
          <w:lang w:val="en-US"/>
        </w:rPr>
        <w:t>b</w:t>
      </w:r>
      <w:r w:rsidRPr="002C167D">
        <w:rPr>
          <w:rFonts w:cs="Arial"/>
          <w:color w:val="000000"/>
          <w:vertAlign w:val="subscript"/>
          <w:lang w:val="en-US"/>
        </w:rPr>
        <w:t>5</w:t>
      </w:r>
      <w:r>
        <w:rPr>
          <w:rFonts w:cs="Arial"/>
          <w:color w:val="000000"/>
          <w:lang w:val="en-US"/>
        </w:rPr>
        <w:t xml:space="preserve"> is equal to +0,623 that is significant in the 0.10 level (2-tailed). In comparison with 2008, the coefficient of the INVREC variable has decreased, again though in an insignificant level.</w:t>
      </w:r>
    </w:p>
    <w:p w:rsidR="00FD5242" w:rsidRPr="00E76EE2" w:rsidRDefault="00FD5242" w:rsidP="00E76EE2">
      <w:pPr>
        <w:spacing w:line="360" w:lineRule="auto"/>
        <w:jc w:val="both"/>
        <w:rPr>
          <w:color w:val="000000"/>
          <w:lang w:val="en-US"/>
        </w:rPr>
      </w:pPr>
      <w:r>
        <w:rPr>
          <w:color w:val="000000"/>
          <w:lang w:val="en-US"/>
        </w:rPr>
        <w:t xml:space="preserve">    The coefficients of the variables of Model 3 are slightly increased in 2008, compared to the ones in 2009, except for the INVREC coefficient, which reduced in a minor scale. Combining the coefficient results with the average of the audit fee amounts demonstrated in the descriptive statistics table, it is argued that the amount of audit fees has decreased during the second year of the crisis. It is also argued that the decreased amount of audit fees relates to the media scrutiny and public criticism generated by the many bankruptcies of banks that had previously received an unqualified audit opinion.</w:t>
      </w:r>
    </w:p>
    <w:p w:rsidR="00FD5242" w:rsidRDefault="00FD5242" w:rsidP="0057008D">
      <w:pPr>
        <w:spacing w:line="360" w:lineRule="auto"/>
        <w:jc w:val="both"/>
        <w:rPr>
          <w:color w:val="000000"/>
          <w:lang w:val="en-US"/>
        </w:rPr>
      </w:pPr>
      <w:r>
        <w:rPr>
          <w:color w:val="000000"/>
          <w:lang w:val="en-US"/>
        </w:rPr>
        <w:t xml:space="preserve">    Overall, the two Hypotheses developed in this scientific research are rejected. Increased audit conservatism is indeed associated with higher audit fees; however, this was not the case concerning the investigated Dutch firms audited by the Big Four audit firms. Dutch auditors’ are found to be less conservative during the financial crisis period, and the Dutch audit fees are found to support negative tendencies through the years of the financial crisis instead of positive ones, as hypothesized. </w:t>
      </w:r>
    </w:p>
    <w:p w:rsidR="00FD5242" w:rsidRDefault="00FD5242" w:rsidP="00312F85">
      <w:pPr>
        <w:spacing w:line="360" w:lineRule="auto"/>
        <w:jc w:val="both"/>
        <w:rPr>
          <w:rFonts w:cs="Arial"/>
          <w:color w:val="000000"/>
          <w:lang w:val="en-US"/>
        </w:rPr>
      </w:pPr>
      <w:r>
        <w:rPr>
          <w:color w:val="000000"/>
          <w:lang w:val="en-US"/>
        </w:rPr>
        <w:t xml:space="preserve">    Since the auditing profession is an evolving organism that should adjust to the environmental changes, it can be argued that the financial crisis </w:t>
      </w:r>
      <w:r w:rsidRPr="00042001">
        <w:rPr>
          <w:i/>
          <w:color w:val="000000"/>
          <w:lang w:val="en-US"/>
        </w:rPr>
        <w:t>per se</w:t>
      </w:r>
      <w:r>
        <w:rPr>
          <w:color w:val="000000"/>
          <w:lang w:val="en-US"/>
        </w:rPr>
        <w:t xml:space="preserve"> has been partly involved with the lower amount of audit fees. </w:t>
      </w:r>
      <w:r w:rsidRPr="009379DC">
        <w:rPr>
          <w:color w:val="000000"/>
          <w:lang w:val="en-US"/>
        </w:rPr>
        <w:t xml:space="preserve">Furthermore, the small investigated period examined concerning the two first years of the financial downturn can comprise a bias in the </w:t>
      </w:r>
      <w:r>
        <w:rPr>
          <w:color w:val="000000"/>
          <w:lang w:val="en-US"/>
        </w:rPr>
        <w:t xml:space="preserve">procedure </w:t>
      </w:r>
      <w:r w:rsidRPr="009379DC">
        <w:rPr>
          <w:color w:val="000000"/>
          <w:lang w:val="en-US"/>
        </w:rPr>
        <w:t xml:space="preserve">of the </w:t>
      </w:r>
      <w:r>
        <w:rPr>
          <w:color w:val="000000"/>
          <w:lang w:val="en-US"/>
        </w:rPr>
        <w:t xml:space="preserve">research and the interpretation of its results. However </w:t>
      </w:r>
      <w:r>
        <w:rPr>
          <w:rFonts w:cs="Arial"/>
          <w:color w:val="000000"/>
          <w:lang w:val="en-US"/>
        </w:rPr>
        <w:t xml:space="preserve">the rejection of Hypothesis 1 &amp; and Hypothesis 2 is in accordance with the results of the research conducted by the Netherlands Authority for Financial Markets, which became available to the public in September 2010. The findings showed that Dutch Big Firm auditors were involved with low quality statutory audits during the financial crisis, specifically in 2008. It seems as if the auditors are currently more concerned with the commercial part of their profession resulting in lower and more competitive fees charged by using decreased levels of professional conservatism, which could lead to the inevitable sacrifice of the quality of their audit tasks. </w:t>
      </w:r>
    </w:p>
    <w:p w:rsidR="00FD5242" w:rsidRPr="007C63A2" w:rsidRDefault="00FD5242" w:rsidP="00312F85">
      <w:pPr>
        <w:spacing w:line="360" w:lineRule="auto"/>
        <w:jc w:val="both"/>
        <w:rPr>
          <w:color w:val="000000"/>
          <w:lang w:val="en-US"/>
        </w:rPr>
      </w:pPr>
      <w:r>
        <w:rPr>
          <w:rFonts w:cs="Arial"/>
          <w:color w:val="000000"/>
          <w:lang w:val="en-US"/>
        </w:rPr>
        <w:t xml:space="preserve">    In association with the Agency Theory, the results of this research can be attributed to the incentive contracts of both the managers and the auditors. In such negative financial circumstances as the current ones, managers are likely to support aggressive reporting practices to manipulate the firm’s financial statements in a more favorable and profitable way, motivated by self-interests. Auditors are additionally found weak and in fact, unwilling to prevent such opportunistic behavior as shown by the lower amounts of audit conservatism and audit fees charged. Furthermore, it is argued that the independent auditing profession in The Netherlands is going through a price competition phase, as shown by the lower amounts of fees charged and the findings of the Authority of Financial Markets concerning lower quality audits completed by the Big Four Auditors.</w:t>
      </w:r>
    </w:p>
    <w:p w:rsidR="00FD5242" w:rsidRDefault="00FD5242" w:rsidP="00BF603F">
      <w:pPr>
        <w:spacing w:line="360" w:lineRule="auto"/>
        <w:jc w:val="both"/>
        <w:rPr>
          <w:color w:val="000000"/>
          <w:lang w:val="en-US"/>
        </w:rPr>
      </w:pPr>
      <w:r>
        <w:rPr>
          <w:color w:val="000000"/>
          <w:lang w:val="en-US"/>
        </w:rPr>
        <w:t xml:space="preserve">    The analysis of the empirical investigation of the variables of this research has reached its end at this point. Additionally, a pooled regression analysis was also conducted in order to test the impacts of the current crisis in the audit fees, concerning the years 2008-2009, as a complementary statistical research. Since the R squared of the regression is very low, the interpretation of such a pooled analysis could be problematic. This in addition, is attributed to the fact that the examined period of 2008-2009, which is during the current financial crisis, cannot be compared with another period due to lack of data. Consequently, the results of the pooled regression analysis cannot be considered scientifically robust and will not be commented. Table C in the APENDIX section contains the results of this pooled regression analysis.</w:t>
      </w:r>
    </w:p>
    <w:p w:rsidR="00FD5242" w:rsidRDefault="00FD5242" w:rsidP="00BF603F">
      <w:pPr>
        <w:spacing w:line="360" w:lineRule="auto"/>
        <w:jc w:val="both"/>
        <w:rPr>
          <w:b/>
          <w:color w:val="000000"/>
          <w:lang w:val="en-US"/>
        </w:rPr>
      </w:pPr>
      <w:r>
        <w:rPr>
          <w:b/>
          <w:color w:val="000000"/>
          <w:lang w:val="en-US"/>
        </w:rPr>
        <w:t>7.3</w:t>
      </w:r>
      <w:r w:rsidRPr="00DD23BF">
        <w:rPr>
          <w:b/>
          <w:color w:val="000000"/>
          <w:lang w:val="en-US"/>
        </w:rPr>
        <w:t xml:space="preserve"> Summary</w:t>
      </w:r>
    </w:p>
    <w:p w:rsidR="00FD5242" w:rsidRDefault="00FD5242" w:rsidP="000F08C8">
      <w:pPr>
        <w:spacing w:line="360" w:lineRule="auto"/>
        <w:jc w:val="both"/>
        <w:rPr>
          <w:color w:val="000000"/>
          <w:lang w:val="en-US"/>
        </w:rPr>
      </w:pPr>
      <w:r>
        <w:rPr>
          <w:color w:val="000000"/>
          <w:lang w:val="en-US"/>
        </w:rPr>
        <w:t xml:space="preserve">    </w:t>
      </w:r>
      <w:r w:rsidRPr="00B43390">
        <w:rPr>
          <w:color w:val="000000"/>
          <w:lang w:val="en-US"/>
        </w:rPr>
        <w:t>This chapter was dedicated to the empirical investigation and analysis of the developed Hypotheses, concerning the impacts of the current financial crisis on auditors’ use conservatism and the audit fees.</w:t>
      </w:r>
      <w:r>
        <w:rPr>
          <w:color w:val="000000"/>
          <w:lang w:val="en-US"/>
        </w:rPr>
        <w:t xml:space="preserve"> The two developed statistical models were regressed, in order to demonstrate robust scientific results concerning the hypothesized claims. In order to provide more thorough analysis of the examined sample and to analyze the explanatory power of the statistical models used to determine the relationships between the dependent and the independent variables, descriptive statistics and Pearson correlation tests were conducted and presented.</w:t>
      </w:r>
    </w:p>
    <w:p w:rsidR="00FD5242" w:rsidRDefault="00FD5242" w:rsidP="00BF603F">
      <w:pPr>
        <w:spacing w:line="360" w:lineRule="auto"/>
        <w:jc w:val="both"/>
        <w:rPr>
          <w:color w:val="000000"/>
          <w:lang w:val="en-US"/>
        </w:rPr>
      </w:pPr>
      <w:r>
        <w:rPr>
          <w:color w:val="000000"/>
          <w:lang w:val="en-US"/>
        </w:rPr>
        <w:t>Descriptive statistics and Pearson correlation tests were conducted and presented    Model 2 tested the effect of the crisis on auditors’ level of professional conservatism. The testing was conducted by a pooled regression analysis between the periods of 2005-2006 and 2008-2009, prior to and during the emergence of the current crisis. The outcome of this analysis contradicted Hypothesis 1, by providing evidence of increased conservatism in the period 2005-2006. It was expected on the contrary, that auditors make use of increased conservatism during the financial crisis period of 2008-2009.</w:t>
      </w:r>
    </w:p>
    <w:p w:rsidR="00FD5242" w:rsidRDefault="00FD5242" w:rsidP="00BF603F">
      <w:pPr>
        <w:spacing w:line="360" w:lineRule="auto"/>
        <w:jc w:val="both"/>
        <w:rPr>
          <w:color w:val="000000"/>
          <w:lang w:val="en-US"/>
        </w:rPr>
      </w:pPr>
      <w:r>
        <w:rPr>
          <w:color w:val="000000"/>
          <w:lang w:val="en-US"/>
        </w:rPr>
        <w:t xml:space="preserve">    Concerning Hypothesis 2, Model 3 was tested in order to determine the effect of the crisis on the audit fees. Because of the increased levels of conservatism that were hypothesized, audit fees were expected to show increased amounts. Evidence generated by the coefficient results and analysis, signaled a negative relation of the auditors’ conservatism and audit fees, rejecting hypothesis 2. </w:t>
      </w:r>
    </w:p>
    <w:p w:rsidR="00FD5242" w:rsidRDefault="00FD5242" w:rsidP="00060553">
      <w:pPr>
        <w:spacing w:line="360" w:lineRule="auto"/>
        <w:jc w:val="both"/>
        <w:rPr>
          <w:color w:val="000000"/>
          <w:lang w:val="en-US"/>
        </w:rPr>
      </w:pPr>
      <w:r>
        <w:rPr>
          <w:color w:val="000000"/>
          <w:lang w:val="en-US"/>
        </w:rPr>
        <w:t xml:space="preserve">    A reasoning concerning the produced results was also demonstrated, in order to explain the rejected Hypotheses and the findings of the empirical research. A brief reference to the causes of these results along with a presentation of the limitations of the research and subjects arising for further research is provided in the subsequent concluding chapter.</w:t>
      </w:r>
    </w:p>
    <w:p w:rsidR="00FD5242" w:rsidRPr="00060553" w:rsidRDefault="00FD5242" w:rsidP="00060553">
      <w:pPr>
        <w:spacing w:line="360" w:lineRule="auto"/>
        <w:jc w:val="both"/>
        <w:rPr>
          <w:color w:val="000000"/>
          <w:lang w:val="en-US"/>
        </w:rPr>
      </w:pPr>
      <w:r>
        <w:rPr>
          <w:color w:val="000000"/>
          <w:lang w:val="en-US"/>
        </w:rPr>
        <w:br w:type="page"/>
      </w:r>
      <w:r w:rsidRPr="00043E75">
        <w:rPr>
          <w:b/>
          <w:color w:val="000000"/>
          <w:sz w:val="26"/>
          <w:szCs w:val="26"/>
          <w:lang w:val="en-US"/>
        </w:rPr>
        <w:t>CHAPTER 8 – Conclusion</w:t>
      </w:r>
      <w:r>
        <w:rPr>
          <w:b/>
          <w:color w:val="000000"/>
          <w:sz w:val="26"/>
          <w:szCs w:val="26"/>
          <w:lang w:val="en-US"/>
        </w:rPr>
        <w:t>,</w:t>
      </w:r>
      <w:r w:rsidRPr="00043E75">
        <w:rPr>
          <w:b/>
          <w:color w:val="000000"/>
          <w:sz w:val="26"/>
          <w:szCs w:val="26"/>
          <w:lang w:val="en-US"/>
        </w:rPr>
        <w:t xml:space="preserve"> Limitations</w:t>
      </w:r>
      <w:r>
        <w:rPr>
          <w:b/>
          <w:color w:val="000000"/>
          <w:sz w:val="26"/>
          <w:szCs w:val="26"/>
          <w:lang w:val="en-US"/>
        </w:rPr>
        <w:t>, and Further research suggestions</w:t>
      </w:r>
    </w:p>
    <w:p w:rsidR="00FD5242" w:rsidRPr="00763C01" w:rsidRDefault="00FD5242" w:rsidP="00DC0213">
      <w:pPr>
        <w:tabs>
          <w:tab w:val="left" w:pos="1870"/>
        </w:tabs>
        <w:spacing w:line="360" w:lineRule="auto"/>
        <w:jc w:val="both"/>
        <w:rPr>
          <w:b/>
          <w:color w:val="000000"/>
          <w:lang w:val="en-US"/>
        </w:rPr>
      </w:pPr>
      <w:r>
        <w:rPr>
          <w:b/>
          <w:color w:val="000000"/>
          <w:lang w:val="en-US"/>
        </w:rPr>
        <w:t>8.1 Conclusion</w:t>
      </w:r>
    </w:p>
    <w:p w:rsidR="00FD5242" w:rsidRDefault="00FD5242" w:rsidP="00DC0213">
      <w:pPr>
        <w:tabs>
          <w:tab w:val="left" w:pos="1870"/>
        </w:tabs>
        <w:spacing w:line="360" w:lineRule="auto"/>
        <w:jc w:val="both"/>
        <w:rPr>
          <w:color w:val="000000"/>
          <w:lang w:val="en-US"/>
        </w:rPr>
      </w:pPr>
      <w:r w:rsidRPr="005911BB">
        <w:rPr>
          <w:color w:val="000000"/>
          <w:lang w:val="en-US"/>
        </w:rPr>
        <w:t xml:space="preserve">    The goal of this research was to investigate potential differences in auditors’ conservatism and audit fees in The Netherlands, </w:t>
      </w:r>
      <w:r>
        <w:rPr>
          <w:color w:val="000000"/>
          <w:lang w:val="en-US"/>
        </w:rPr>
        <w:t xml:space="preserve">attributed to </w:t>
      </w:r>
      <w:r w:rsidRPr="005911BB">
        <w:rPr>
          <w:color w:val="000000"/>
          <w:lang w:val="en-US"/>
        </w:rPr>
        <w:t>the current global financial crisis</w:t>
      </w:r>
      <w:r>
        <w:rPr>
          <w:color w:val="000000"/>
          <w:lang w:val="en-US"/>
        </w:rPr>
        <w:t xml:space="preserve"> that emerged in 2008</w:t>
      </w:r>
      <w:r w:rsidRPr="005911BB">
        <w:rPr>
          <w:color w:val="000000"/>
          <w:lang w:val="en-US"/>
        </w:rPr>
        <w:t xml:space="preserve">. The results of the empirical investigation </w:t>
      </w:r>
      <w:r>
        <w:rPr>
          <w:color w:val="000000"/>
          <w:lang w:val="en-US"/>
        </w:rPr>
        <w:t xml:space="preserve">of the tested variables </w:t>
      </w:r>
      <w:r w:rsidRPr="005911BB">
        <w:rPr>
          <w:color w:val="000000"/>
          <w:lang w:val="en-US"/>
        </w:rPr>
        <w:t>found that Dutch auditors are found to be less conservative while performing their professional tasks during the financial crisis period between the years 2008 and 2009 in comparison with the period between the years 2005 and 2006, prior to the crisis’ boost. In addition, lower amounts of audit fees were charged in 2009 compared to the ones charged in 2008. This indicates that the external auditing profession in The Netherlands is experiencing nowadays a turbulent phase, emerging from price competition practices and lower quality audits. The research provides evidence regar</w:t>
      </w:r>
      <w:r>
        <w:rPr>
          <w:color w:val="000000"/>
          <w:lang w:val="en-US"/>
        </w:rPr>
        <w:t>ded to the Big Four audit firms, as the tested sample concerning 51 Dutch stock exchange quoted firms was audited exclusively by the Big Four audit firms.</w:t>
      </w:r>
    </w:p>
    <w:p w:rsidR="00FD5242" w:rsidRPr="00763C01" w:rsidRDefault="00FD5242" w:rsidP="00DC0213">
      <w:pPr>
        <w:tabs>
          <w:tab w:val="left" w:pos="1870"/>
        </w:tabs>
        <w:spacing w:line="360" w:lineRule="auto"/>
        <w:jc w:val="both"/>
        <w:rPr>
          <w:b/>
          <w:color w:val="000000"/>
          <w:lang w:val="en-US"/>
        </w:rPr>
      </w:pPr>
      <w:r w:rsidRPr="00763C01">
        <w:rPr>
          <w:b/>
          <w:color w:val="000000"/>
          <w:lang w:val="en-US"/>
        </w:rPr>
        <w:t>8.2 Limitations</w:t>
      </w:r>
    </w:p>
    <w:p w:rsidR="00FD5242" w:rsidRDefault="00FD5242" w:rsidP="00DC0213">
      <w:pPr>
        <w:tabs>
          <w:tab w:val="left" w:pos="1870"/>
        </w:tabs>
        <w:spacing w:line="360" w:lineRule="auto"/>
        <w:jc w:val="both"/>
        <w:rPr>
          <w:color w:val="000000"/>
          <w:lang w:val="en-US"/>
        </w:rPr>
      </w:pPr>
      <w:r>
        <w:rPr>
          <w:color w:val="000000"/>
          <w:lang w:val="en-US"/>
        </w:rPr>
        <w:t xml:space="preserve">    This research had faced certain limitations that can partly affect its findings, as every scientific study conducted. First, the sample was limited to 51 firms. The rest of the scientific studies investigating audit conservatism and audit fees in crisis periods were using samples of hundreds or even thousands of firms, as shown in the prior research part. Additionally, lack of data regarding the audit fees in the years prior to the crisis has limited the investigation of the audit fee development between the years during the current financial crisis. However, the overall validity of the research is considered as scientifically adequate to produce robust results.</w:t>
      </w:r>
    </w:p>
    <w:p w:rsidR="00FD5242" w:rsidRPr="00763C01" w:rsidRDefault="00FD5242" w:rsidP="00DC0213">
      <w:pPr>
        <w:tabs>
          <w:tab w:val="left" w:pos="1870"/>
        </w:tabs>
        <w:spacing w:line="360" w:lineRule="auto"/>
        <w:jc w:val="both"/>
        <w:rPr>
          <w:b/>
          <w:color w:val="000000"/>
          <w:lang w:val="en-US"/>
        </w:rPr>
      </w:pPr>
      <w:r w:rsidRPr="00763C01">
        <w:rPr>
          <w:b/>
          <w:color w:val="000000"/>
          <w:lang w:val="en-US"/>
        </w:rPr>
        <w:t>8.3 Further research suggestions</w:t>
      </w:r>
    </w:p>
    <w:p w:rsidR="00FD5242" w:rsidRDefault="00FD5242" w:rsidP="00504A54">
      <w:pPr>
        <w:tabs>
          <w:tab w:val="left" w:pos="1870"/>
        </w:tabs>
        <w:spacing w:line="360" w:lineRule="auto"/>
        <w:jc w:val="both"/>
        <w:rPr>
          <w:color w:val="000000"/>
          <w:lang w:val="en-US"/>
        </w:rPr>
      </w:pPr>
      <w:r>
        <w:rPr>
          <w:color w:val="000000"/>
          <w:lang w:val="en-US"/>
        </w:rPr>
        <w:t xml:space="preserve">    It is suggested that further research shall focus on the tendency of the audit conservatism and audit fees, through a bigger period, concerning all the financial crisis years. The association between audit quality and audit conservatism firstly, and audit quality and audit fees secondly is likely to produce interesting findings regarding the general scope of the external auditing profession. Additionally, in order to examine accounting policies and discover relevant auditing weaknesses, the common or recently introduced accounting and reporting practices used in the financial statements of the firms during the current crisis period shall be investigated.</w:t>
      </w:r>
    </w:p>
    <w:p w:rsidR="00FD5242" w:rsidRPr="00504A54" w:rsidRDefault="00FD5242" w:rsidP="00504A54">
      <w:pPr>
        <w:tabs>
          <w:tab w:val="left" w:pos="1870"/>
        </w:tabs>
        <w:spacing w:line="360" w:lineRule="auto"/>
        <w:jc w:val="both"/>
        <w:rPr>
          <w:color w:val="000000"/>
          <w:lang w:val="en-US"/>
        </w:rPr>
      </w:pPr>
      <w:r>
        <w:rPr>
          <w:color w:val="000000"/>
          <w:lang w:val="en-US"/>
        </w:rPr>
        <w:br w:type="page"/>
      </w:r>
      <w:r w:rsidRPr="006E77E9">
        <w:rPr>
          <w:b/>
          <w:sz w:val="26"/>
          <w:szCs w:val="26"/>
          <w:lang w:val="en-US"/>
        </w:rPr>
        <w:t>REFERENCES</w:t>
      </w:r>
    </w:p>
    <w:p w:rsidR="00FD5242" w:rsidRPr="00B56219" w:rsidRDefault="00FD5242" w:rsidP="00B56219">
      <w:pPr>
        <w:rPr>
          <w:lang w:val="en-US"/>
        </w:rPr>
      </w:pPr>
      <w:r w:rsidRPr="00B56219">
        <w:rPr>
          <w:lang w:val="en-US"/>
        </w:rPr>
        <w:t xml:space="preserve">Acharya, V. V., Philippon, T., Richardson, M., Roubini, N. (2009) “A Bird’s Eye View, The Financial Crisis of 2007-2009: Causes and Remedies” in: Acharya, V. V &amp; Richardson, M., </w:t>
      </w:r>
      <w:r w:rsidRPr="00B56219">
        <w:rPr>
          <w:i/>
          <w:lang w:val="en-US"/>
        </w:rPr>
        <w:t>Restoring Financial Stability: how to repair a failed system</w:t>
      </w:r>
      <w:r w:rsidRPr="00B56219">
        <w:rPr>
          <w:lang w:val="en-US"/>
        </w:rPr>
        <w:t>, pp. 1-56 (New York: Leonard N. Stern School of business).</w:t>
      </w:r>
    </w:p>
    <w:p w:rsidR="00FD5242" w:rsidRPr="00B56219" w:rsidRDefault="00FD5242" w:rsidP="00B56219">
      <w:pPr>
        <w:rPr>
          <w:lang w:val="en-US"/>
        </w:rPr>
      </w:pPr>
      <w:r w:rsidRPr="00B56219">
        <w:rPr>
          <w:lang w:val="en-US"/>
        </w:rPr>
        <w:t xml:space="preserve">Ajona, A.L., Dallo, L.F. &amp; Santiago, S.A. (2008) Discretionary </w:t>
      </w:r>
      <w:r w:rsidRPr="00B56219">
        <w:rPr>
          <w:bCs/>
          <w:lang w:val="en-US"/>
        </w:rPr>
        <w:t>Accruals and Auditor Behaviour in Code-Law Contexts: An Application to Failing Spanish Firms,</w:t>
      </w:r>
      <w:r w:rsidRPr="00B56219">
        <w:rPr>
          <w:i/>
          <w:lang w:val="en-US"/>
        </w:rPr>
        <w:t xml:space="preserve"> European Accounting Review</w:t>
      </w:r>
      <w:r w:rsidRPr="00B56219">
        <w:rPr>
          <w:lang w:val="en-US"/>
        </w:rPr>
        <w:t>, 17 (4), pp. 641-666.</w:t>
      </w:r>
    </w:p>
    <w:p w:rsidR="00FD5242" w:rsidRPr="00B56219" w:rsidRDefault="00FD5242" w:rsidP="00B56219">
      <w:pPr>
        <w:rPr>
          <w:lang w:val="en-US"/>
        </w:rPr>
      </w:pPr>
      <w:r w:rsidRPr="00B56219">
        <w:rPr>
          <w:lang w:val="en-US"/>
        </w:rPr>
        <w:t xml:space="preserve">Arnold, P. (2009) Global financial crisis: The challenge to accounting research, </w:t>
      </w:r>
      <w:r w:rsidRPr="00B56219">
        <w:rPr>
          <w:i/>
          <w:lang w:val="en-US"/>
        </w:rPr>
        <w:t>Accounting, Organizations and Society</w:t>
      </w:r>
      <w:r w:rsidRPr="00B56219">
        <w:rPr>
          <w:lang w:val="en-US"/>
        </w:rPr>
        <w:t>, 34, pp. 803-809.</w:t>
      </w:r>
    </w:p>
    <w:p w:rsidR="00FD5242" w:rsidRPr="00B56219" w:rsidRDefault="00FD5242" w:rsidP="00B56219">
      <w:pPr>
        <w:rPr>
          <w:lang w:val="en-US"/>
        </w:rPr>
      </w:pPr>
      <w:r w:rsidRPr="00B56219">
        <w:rPr>
          <w:lang w:val="en-US"/>
        </w:rPr>
        <w:t>Arrunanda, B. (2004) Audit Failure and the Crisis of Auditing, European Business Organization Review, 5(4), pp. 635-643.</w:t>
      </w:r>
    </w:p>
    <w:p w:rsidR="00FD5242" w:rsidRPr="00B56219" w:rsidRDefault="00FD5242" w:rsidP="00B56219">
      <w:pPr>
        <w:rPr>
          <w:lang w:val="en-US"/>
        </w:rPr>
      </w:pPr>
      <w:r w:rsidRPr="00B56219">
        <w:rPr>
          <w:lang w:val="en-US"/>
        </w:rPr>
        <w:t xml:space="preserve">Bachelier, L. (1964) Theory of speculation. In Cootner, P. (Ed) </w:t>
      </w:r>
      <w:r w:rsidRPr="00B56219">
        <w:rPr>
          <w:i/>
          <w:lang w:val="en-US"/>
        </w:rPr>
        <w:t xml:space="preserve">The Random Character of Stock Market Prices </w:t>
      </w:r>
      <w:r w:rsidRPr="00B56219">
        <w:rPr>
          <w:lang w:val="en-US"/>
        </w:rPr>
        <w:t>(Cambridge: Massachusetts Institute of Technology Press) pp. 17-78.</w:t>
      </w:r>
    </w:p>
    <w:p w:rsidR="00FD5242" w:rsidRPr="00B56219" w:rsidRDefault="00FD5242" w:rsidP="00B56219">
      <w:pPr>
        <w:rPr>
          <w:lang w:val="en-US"/>
        </w:rPr>
      </w:pPr>
      <w:r w:rsidRPr="00B56219">
        <w:rPr>
          <w:lang w:val="en-US"/>
        </w:rPr>
        <w:t xml:space="preserve">Ball, R., Kothari, P.S. &amp; Robin, A. (2000) The effect of international institutional factors on properties of accounting earnings, </w:t>
      </w:r>
      <w:r w:rsidRPr="00B56219">
        <w:rPr>
          <w:i/>
          <w:lang w:val="en-US"/>
        </w:rPr>
        <w:t>Journal of Accounting and Economics</w:t>
      </w:r>
      <w:r w:rsidRPr="00B56219">
        <w:rPr>
          <w:lang w:val="en-US"/>
        </w:rPr>
        <w:t xml:space="preserve">, 29, pp. 1-51. </w:t>
      </w:r>
    </w:p>
    <w:p w:rsidR="00FD5242" w:rsidRPr="00B56219" w:rsidRDefault="00FD5242" w:rsidP="00B56219">
      <w:pPr>
        <w:rPr>
          <w:lang w:val="en-US"/>
        </w:rPr>
      </w:pPr>
      <w:r w:rsidRPr="00B56219">
        <w:rPr>
          <w:lang w:val="en-US"/>
        </w:rPr>
        <w:t xml:space="preserve">Basu, S. “The conservatism principle and the asymmetric timeliness of earnings” </w:t>
      </w:r>
      <w:r w:rsidRPr="00B56219">
        <w:rPr>
          <w:i/>
          <w:lang w:val="en-US"/>
        </w:rPr>
        <w:t xml:space="preserve">Journal of Accounting and Economics </w:t>
      </w:r>
      <w:r w:rsidRPr="00B56219">
        <w:rPr>
          <w:lang w:val="en-US"/>
        </w:rPr>
        <w:t>24 (1997) pp. 3-37.</w:t>
      </w:r>
    </w:p>
    <w:p w:rsidR="00FD5242" w:rsidRPr="00B56219" w:rsidRDefault="00FD5242" w:rsidP="00B56219">
      <w:pPr>
        <w:rPr>
          <w:lang w:val="en-US"/>
        </w:rPr>
      </w:pPr>
      <w:r w:rsidRPr="00B56219">
        <w:rPr>
          <w:lang w:val="en-US"/>
        </w:rPr>
        <w:t>Basu, S., Hwang, L. &amp; Jan, C. (2001) Auditor Conservatism and Quarterly Earnings, Working papers, Baruch College, City University of New York.</w:t>
      </w:r>
    </w:p>
    <w:p w:rsidR="00FD5242" w:rsidRPr="00B56219" w:rsidRDefault="00FD5242" w:rsidP="00B56219">
      <w:pPr>
        <w:rPr>
          <w:lang w:val="en-US"/>
        </w:rPr>
      </w:pPr>
      <w:r w:rsidRPr="00B56219">
        <w:rPr>
          <w:lang w:val="en-US"/>
        </w:rPr>
        <w:t>Beaver, W.H. &amp; Ryan, S.G. (2005) Conditional and Unconditional Conservatism: Concepts and Modeling, Review of Accounting Studies, 10, pp. 269-309.</w:t>
      </w:r>
    </w:p>
    <w:p w:rsidR="00FD5242" w:rsidRPr="00B56219" w:rsidRDefault="00FD5242" w:rsidP="00B56219">
      <w:pPr>
        <w:rPr>
          <w:lang w:val="en-US"/>
        </w:rPr>
      </w:pPr>
      <w:r w:rsidRPr="00B56219">
        <w:rPr>
          <w:lang w:val="en-US"/>
        </w:rPr>
        <w:t>Bedard, J.C. &amp; Johnstone, K.M. (2005) Longitudinal comparisons of auditors’ response to client risk in the Sarbanes-Oxley era, Working paper, Bentley College.</w:t>
      </w:r>
    </w:p>
    <w:p w:rsidR="00FD5242" w:rsidRPr="00B56219" w:rsidRDefault="00FD5242" w:rsidP="00B56219">
      <w:pPr>
        <w:rPr>
          <w:lang w:val="en-US"/>
        </w:rPr>
      </w:pPr>
      <w:r w:rsidRPr="00B56219">
        <w:rPr>
          <w:lang w:val="en-US"/>
        </w:rPr>
        <w:t xml:space="preserve">Bhimani, A., Gulamhussen M. &amp; Lopes, S. (2009) The effectiveness of the auditor’s going-concern evaluation as an external governance mechanism: Evidence from loan defaults, </w:t>
      </w:r>
      <w:r w:rsidRPr="00B56219">
        <w:rPr>
          <w:i/>
          <w:lang w:val="en-US"/>
        </w:rPr>
        <w:t>The International Journal of Accounting,</w:t>
      </w:r>
      <w:r w:rsidRPr="00B56219">
        <w:rPr>
          <w:lang w:val="en-US"/>
        </w:rPr>
        <w:t xml:space="preserve"> 44, pp. 239-255.</w:t>
      </w:r>
    </w:p>
    <w:p w:rsidR="00FD5242" w:rsidRPr="00B56219" w:rsidRDefault="00FD5242" w:rsidP="00B56219">
      <w:pPr>
        <w:rPr>
          <w:b/>
          <w:lang w:val="en-US"/>
        </w:rPr>
      </w:pPr>
      <w:r w:rsidRPr="00B56219">
        <w:rPr>
          <w:lang w:val="en-US"/>
        </w:rPr>
        <w:t xml:space="preserve">Cano-Rodriguez, Manuel (2010) Big Auditors, Private Firms and Accounting Conservatism: Spanish Evidence, </w:t>
      </w:r>
      <w:r w:rsidRPr="00B56219">
        <w:rPr>
          <w:i/>
          <w:lang w:val="en-US"/>
        </w:rPr>
        <w:t>European Accounting Review</w:t>
      </w:r>
      <w:r w:rsidRPr="00B56219">
        <w:rPr>
          <w:lang w:val="en-US"/>
        </w:rPr>
        <w:t>, 19(1), pp. 131-159.</w:t>
      </w:r>
    </w:p>
    <w:p w:rsidR="00FD5242" w:rsidRPr="00B56219" w:rsidRDefault="00FD5242" w:rsidP="00B56219">
      <w:pPr>
        <w:rPr>
          <w:b/>
          <w:lang w:val="en-US"/>
        </w:rPr>
      </w:pPr>
      <w:r w:rsidRPr="00B56219">
        <w:rPr>
          <w:lang w:val="en-US"/>
        </w:rPr>
        <w:t>Carmassi, J., Gros, D., &amp; Micossi, S. (2009) The Global Financial Crisis:  Causes and Cures*, Journal of Common Market Studies, 47(5), pp. 977-996.</w:t>
      </w:r>
    </w:p>
    <w:p w:rsidR="00FD5242" w:rsidRPr="00B56219" w:rsidRDefault="00FD5242" w:rsidP="00B56219">
      <w:pPr>
        <w:rPr>
          <w:b/>
          <w:lang w:val="en-US"/>
        </w:rPr>
      </w:pPr>
      <w:r w:rsidRPr="00B56219">
        <w:rPr>
          <w:lang w:val="en-US"/>
        </w:rPr>
        <w:t xml:space="preserve">Citron, D.B. &amp; Taffler R.J. (2001) Ethical Behaviour in the U.K. Audit Profession: The Case of Self-Fulfilling Prophecy under Going-Concern Uncertainties, </w:t>
      </w:r>
      <w:r w:rsidRPr="00B56219">
        <w:rPr>
          <w:i/>
          <w:lang w:val="en-US"/>
        </w:rPr>
        <w:t>Journal of Business Ethics</w:t>
      </w:r>
      <w:r w:rsidRPr="00B56219">
        <w:rPr>
          <w:lang w:val="en-US"/>
        </w:rPr>
        <w:t>, 29, pp. 353-363.</w:t>
      </w:r>
    </w:p>
    <w:p w:rsidR="00FD5242" w:rsidRPr="00B56219" w:rsidRDefault="00FD5242" w:rsidP="00B56219">
      <w:pPr>
        <w:rPr>
          <w:lang w:val="en-US"/>
        </w:rPr>
      </w:pPr>
      <w:r w:rsidRPr="00B56219">
        <w:rPr>
          <w:lang w:val="en-US"/>
        </w:rPr>
        <w:t xml:space="preserve">Coates, J.C. (2009) The keynote Papers and the Current Financial Crisis, </w:t>
      </w:r>
      <w:r w:rsidRPr="00B56219">
        <w:rPr>
          <w:i/>
          <w:lang w:val="en-US"/>
        </w:rPr>
        <w:t>Journal of Accounting Research</w:t>
      </w:r>
      <w:r w:rsidRPr="00B56219">
        <w:rPr>
          <w:lang w:val="en-US"/>
        </w:rPr>
        <w:t>, 47(2), pp. 427-435.</w:t>
      </w:r>
    </w:p>
    <w:p w:rsidR="00FD5242" w:rsidRPr="00B56219" w:rsidRDefault="00FD5242" w:rsidP="00B56219">
      <w:pPr>
        <w:rPr>
          <w:lang w:val="en-US"/>
        </w:rPr>
      </w:pPr>
      <w:r w:rsidRPr="00B56219">
        <w:rPr>
          <w:lang w:val="en-US"/>
        </w:rPr>
        <w:t xml:space="preserve">Cobbin, P.E. (2002) International Dimensions of the Audit Fee Determinants, </w:t>
      </w:r>
      <w:r w:rsidRPr="00B56219">
        <w:rPr>
          <w:i/>
          <w:lang w:val="en-US"/>
        </w:rPr>
        <w:t>The</w:t>
      </w:r>
      <w:r w:rsidRPr="00B56219">
        <w:rPr>
          <w:lang w:val="en-US"/>
        </w:rPr>
        <w:t xml:space="preserve"> </w:t>
      </w:r>
      <w:r w:rsidRPr="00B56219">
        <w:rPr>
          <w:i/>
          <w:lang w:val="en-US"/>
        </w:rPr>
        <w:t>International Journal of accounting</w:t>
      </w:r>
      <w:r w:rsidRPr="00B56219">
        <w:rPr>
          <w:lang w:val="en-US"/>
        </w:rPr>
        <w:t>, pp. 53-77.</w:t>
      </w:r>
    </w:p>
    <w:p w:rsidR="00FD5242" w:rsidRPr="00B56219" w:rsidRDefault="00FD5242" w:rsidP="00B56219">
      <w:pPr>
        <w:rPr>
          <w:lang w:val="en-US"/>
        </w:rPr>
      </w:pPr>
      <w:r w:rsidRPr="00B56219">
        <w:rPr>
          <w:lang w:val="en-US"/>
        </w:rPr>
        <w:t xml:space="preserve">Crotty, J. (2009) Structural causes of the global financial crisis: a critical assessment of the ‘new financial architecture’, </w:t>
      </w:r>
      <w:r w:rsidRPr="00B56219">
        <w:rPr>
          <w:i/>
          <w:lang w:val="en-US"/>
        </w:rPr>
        <w:t>Cambridge Journal of Economics</w:t>
      </w:r>
      <w:r w:rsidRPr="00B56219">
        <w:rPr>
          <w:lang w:val="en-US"/>
        </w:rPr>
        <w:t>, 33(4), pp. 563-580.</w:t>
      </w:r>
    </w:p>
    <w:p w:rsidR="00FD5242" w:rsidRPr="00B56219" w:rsidRDefault="00FD5242" w:rsidP="00B56219">
      <w:pPr>
        <w:rPr>
          <w:b/>
          <w:lang w:val="en-US"/>
        </w:rPr>
      </w:pPr>
      <w:r w:rsidRPr="00B56219">
        <w:rPr>
          <w:lang w:val="en-US"/>
        </w:rPr>
        <w:t xml:space="preserve">Deegan, C. &amp; Unerman, J. (2006) </w:t>
      </w:r>
      <w:r w:rsidRPr="00B56219">
        <w:rPr>
          <w:i/>
          <w:lang w:val="en-US"/>
        </w:rPr>
        <w:t xml:space="preserve">Financial Accounting Theory </w:t>
      </w:r>
      <w:r w:rsidRPr="00B56219">
        <w:rPr>
          <w:lang w:val="en-US"/>
        </w:rPr>
        <w:t>(Berkshire: McGraw-Hill Education).</w:t>
      </w:r>
    </w:p>
    <w:p w:rsidR="00FD5242" w:rsidRPr="00B56219" w:rsidRDefault="00FD5242" w:rsidP="00B56219">
      <w:pPr>
        <w:rPr>
          <w:b/>
          <w:lang w:val="en-US"/>
        </w:rPr>
      </w:pPr>
      <w:r w:rsidRPr="00B56219">
        <w:rPr>
          <w:lang w:val="en-US"/>
        </w:rPr>
        <w:t xml:space="preserve">Diamond, D. &amp; Rajan, R., (2009)  The credit crisis: Conjectures about Causes and Remedies, </w:t>
      </w:r>
      <w:r w:rsidRPr="00B56219">
        <w:rPr>
          <w:i/>
          <w:lang w:val="en-US"/>
        </w:rPr>
        <w:t>American Economic Review: Papers &amp; Proceedings</w:t>
      </w:r>
      <w:r w:rsidRPr="00B56219">
        <w:rPr>
          <w:lang w:val="en-US"/>
        </w:rPr>
        <w:t>, 99(2), pp. 606-610.</w:t>
      </w:r>
    </w:p>
    <w:p w:rsidR="00FD5242" w:rsidRPr="00B56219" w:rsidRDefault="00FD5242" w:rsidP="00B56219">
      <w:pPr>
        <w:rPr>
          <w:b/>
          <w:lang w:val="en-US"/>
        </w:rPr>
      </w:pPr>
      <w:r w:rsidRPr="00B56219">
        <w:rPr>
          <w:lang w:val="en-US"/>
        </w:rPr>
        <w:t xml:space="preserve">Easton, P., &amp; Pae, J., (2004) Accounting Conservatism and the relation between Returns and Accounting Data, </w:t>
      </w:r>
      <w:r w:rsidRPr="00B56219">
        <w:rPr>
          <w:i/>
          <w:lang w:val="en-US"/>
        </w:rPr>
        <w:t>Review of Accounting Studies</w:t>
      </w:r>
      <w:r w:rsidRPr="00B56219">
        <w:rPr>
          <w:lang w:val="en-US"/>
        </w:rPr>
        <w:t>, 9, pp.495-521.</w:t>
      </w:r>
    </w:p>
    <w:p w:rsidR="00FD5242" w:rsidRPr="00B56219" w:rsidRDefault="00FD5242" w:rsidP="00B56219">
      <w:pPr>
        <w:rPr>
          <w:b/>
          <w:lang w:val="en-US"/>
        </w:rPr>
      </w:pPr>
      <w:r w:rsidRPr="00B56219">
        <w:rPr>
          <w:lang w:val="en-US"/>
        </w:rPr>
        <w:t xml:space="preserve">Elder, R., Arens, A., Beasley M. (2006) </w:t>
      </w:r>
      <w:r w:rsidRPr="00B56219">
        <w:rPr>
          <w:i/>
          <w:lang w:val="en-US"/>
        </w:rPr>
        <w:t>Auditing and assurance services-An integrated approach 13</w:t>
      </w:r>
      <w:r w:rsidRPr="00B56219">
        <w:rPr>
          <w:i/>
          <w:vertAlign w:val="superscript"/>
          <w:lang w:val="en-US"/>
        </w:rPr>
        <w:t>th</w:t>
      </w:r>
      <w:r w:rsidRPr="00B56219">
        <w:rPr>
          <w:i/>
          <w:lang w:val="en-US"/>
        </w:rPr>
        <w:t xml:space="preserve"> Edition</w:t>
      </w:r>
      <w:r w:rsidRPr="00B56219">
        <w:rPr>
          <w:lang w:val="en-US"/>
        </w:rPr>
        <w:t>; (New Jersey: Pearson), pp. 4.</w:t>
      </w:r>
    </w:p>
    <w:p w:rsidR="00FD5242" w:rsidRPr="00B56219" w:rsidRDefault="00FD5242" w:rsidP="00B56219">
      <w:pPr>
        <w:rPr>
          <w:b/>
          <w:lang w:val="en-US"/>
        </w:rPr>
      </w:pPr>
      <w:r w:rsidRPr="00B56219">
        <w:rPr>
          <w:lang w:val="en-US"/>
        </w:rPr>
        <w:t xml:space="preserve">Fargher, N. L. &amp; Jiang, L. (2008) Changes in the Audit Environment and Auditors’ Propensity to issue Going-Concern Opinions, </w:t>
      </w:r>
      <w:r w:rsidRPr="00B56219">
        <w:rPr>
          <w:i/>
          <w:lang w:val="en-US"/>
        </w:rPr>
        <w:t>Auditing: A Journal of Practice &amp; Theory</w:t>
      </w:r>
      <w:r w:rsidRPr="00B56219">
        <w:rPr>
          <w:lang w:val="en-US"/>
        </w:rPr>
        <w:t>, pp. 55-77.</w:t>
      </w:r>
    </w:p>
    <w:p w:rsidR="00FD5242" w:rsidRPr="00B56219" w:rsidRDefault="00FD5242" w:rsidP="00B56219">
      <w:pPr>
        <w:rPr>
          <w:b/>
          <w:lang w:val="en-US"/>
        </w:rPr>
      </w:pPr>
      <w:r w:rsidRPr="00B56219">
        <w:rPr>
          <w:lang w:val="en-US"/>
        </w:rPr>
        <w:t xml:space="preserve">Feltham, G. &amp; Olson, J. (1995) Valuation and clean surplus for Operating and financial activities, </w:t>
      </w:r>
      <w:r w:rsidRPr="00B56219">
        <w:rPr>
          <w:i/>
          <w:lang w:val="en-US"/>
        </w:rPr>
        <w:t>Contemporary Accounting Research</w:t>
      </w:r>
      <w:r w:rsidRPr="00B56219">
        <w:rPr>
          <w:lang w:val="en-US"/>
        </w:rPr>
        <w:t>, 11, pp. 689-731.</w:t>
      </w:r>
    </w:p>
    <w:p w:rsidR="00FD5242" w:rsidRPr="00B56219" w:rsidRDefault="00FD5242" w:rsidP="00B56219">
      <w:pPr>
        <w:rPr>
          <w:rFonts w:cs="Calibri"/>
          <w:b/>
          <w:lang w:val="en-US"/>
        </w:rPr>
      </w:pPr>
      <w:r w:rsidRPr="00B56219">
        <w:rPr>
          <w:rFonts w:cs="Calibri"/>
          <w:lang w:val="en-US"/>
        </w:rPr>
        <w:t>Ferguson, A., Lennox, C. &amp; Taylor, S. (2005) Audit fee rigidities in the presence of Market Frictions: Evidence and Explanations, Working Paper Series.</w:t>
      </w:r>
    </w:p>
    <w:p w:rsidR="00FD5242" w:rsidRPr="00B56219" w:rsidRDefault="00FD5242" w:rsidP="00B56219">
      <w:pPr>
        <w:rPr>
          <w:b/>
          <w:lang w:val="en-US"/>
        </w:rPr>
      </w:pPr>
      <w:r w:rsidRPr="00B56219">
        <w:rPr>
          <w:rFonts w:cs="Calibri"/>
          <w:lang w:val="en-US"/>
        </w:rPr>
        <w:t xml:space="preserve">Francis, J.R. &amp; Krishnan, J. (1999) </w:t>
      </w:r>
      <w:r w:rsidRPr="00B56219">
        <w:rPr>
          <w:lang w:val="en-US"/>
        </w:rPr>
        <w:t xml:space="preserve">Accounting Accruals and Auditor Reporting Conservatism, </w:t>
      </w:r>
      <w:r w:rsidRPr="00B56219">
        <w:rPr>
          <w:i/>
          <w:lang w:val="en-US"/>
        </w:rPr>
        <w:t>Contemporary Accounting Research</w:t>
      </w:r>
      <w:r w:rsidRPr="00B56219">
        <w:rPr>
          <w:lang w:val="en-US"/>
        </w:rPr>
        <w:t>, 16 (1), pp. 135-165.</w:t>
      </w:r>
    </w:p>
    <w:p w:rsidR="00FD5242" w:rsidRPr="00B56219" w:rsidRDefault="00FD5242" w:rsidP="00B56219">
      <w:pPr>
        <w:rPr>
          <w:rFonts w:cs="Calibri"/>
          <w:b/>
          <w:lang w:val="en-US"/>
        </w:rPr>
      </w:pPr>
      <w:r w:rsidRPr="00B56219">
        <w:rPr>
          <w:lang w:val="en-US"/>
        </w:rPr>
        <w:t>Francis, J.R. &amp; Wang, D. (2004</w:t>
      </w:r>
      <w:r w:rsidRPr="00B56219">
        <w:rPr>
          <w:rFonts w:cs="Calibri"/>
          <w:lang w:val="en-US"/>
        </w:rPr>
        <w:t>) Impact of the SEC’s Public Fee Disclosure Requirement</w:t>
      </w:r>
      <w:r w:rsidRPr="00B56219">
        <w:rPr>
          <w:lang w:val="en-US"/>
        </w:rPr>
        <w:t xml:space="preserve"> on Subsequent Period Fees and Implications for Market Efficiency, Working Paper Series.</w:t>
      </w:r>
    </w:p>
    <w:p w:rsidR="00FD5242" w:rsidRPr="00B56219" w:rsidRDefault="00FD5242" w:rsidP="00B56219">
      <w:pPr>
        <w:rPr>
          <w:b/>
          <w:lang w:val="en-US"/>
        </w:rPr>
      </w:pPr>
      <w:r w:rsidRPr="00B56219">
        <w:rPr>
          <w:lang w:val="en-US"/>
        </w:rPr>
        <w:t>Goh, B. W., Ng, J., &amp; Yong, K. O. (2009) Market Pricing of Banks’ Fair Value Assets Reported under SFAS 157 during the 2008 Economic crisis, Working Paper.</w:t>
      </w:r>
    </w:p>
    <w:p w:rsidR="00FD5242" w:rsidRPr="00B56219" w:rsidRDefault="00FD5242" w:rsidP="00B56219">
      <w:pPr>
        <w:rPr>
          <w:b/>
          <w:lang w:val="en-US"/>
        </w:rPr>
      </w:pPr>
      <w:r w:rsidRPr="00B56219">
        <w:rPr>
          <w:lang w:val="en-US"/>
        </w:rPr>
        <w:t xml:space="preserve">Gorton, G. (2009) The subprime panic*, </w:t>
      </w:r>
      <w:r w:rsidRPr="00B56219">
        <w:rPr>
          <w:i/>
          <w:lang w:val="en-US"/>
        </w:rPr>
        <w:t>European Financial Management</w:t>
      </w:r>
      <w:r w:rsidRPr="00B56219">
        <w:rPr>
          <w:lang w:val="en-US"/>
        </w:rPr>
        <w:t>, 15 (1), pp. 10-46.</w:t>
      </w:r>
    </w:p>
    <w:p w:rsidR="00FD5242" w:rsidRPr="00B56219" w:rsidRDefault="00FD5242" w:rsidP="00B56219">
      <w:pPr>
        <w:rPr>
          <w:lang w:val="en-US"/>
        </w:rPr>
      </w:pPr>
      <w:r w:rsidRPr="00B56219">
        <w:rPr>
          <w:lang w:val="en-US"/>
        </w:rPr>
        <w:t>Gul, F., Srinidhi, B. &amp; Shieh, T. (2003) The Asian financial crisis, Accounting conservatism and Audit fees: Evidence from Hong Kong, Working Paper Series (City University of Hong Kong).</w:t>
      </w:r>
    </w:p>
    <w:p w:rsidR="00FD5242" w:rsidRPr="00B56219" w:rsidRDefault="00FD5242" w:rsidP="00B56219">
      <w:pPr>
        <w:rPr>
          <w:b/>
          <w:lang w:val="en-US"/>
        </w:rPr>
      </w:pPr>
      <w:r w:rsidRPr="00B56219">
        <w:rPr>
          <w:lang w:val="en-US"/>
        </w:rPr>
        <w:t>Hall, J. (2008) Accounting Information Systems, 6</w:t>
      </w:r>
      <w:r w:rsidRPr="00B56219">
        <w:rPr>
          <w:vertAlign w:val="superscript"/>
          <w:lang w:val="en-US"/>
        </w:rPr>
        <w:t>th</w:t>
      </w:r>
      <w:r w:rsidRPr="00B56219">
        <w:rPr>
          <w:lang w:val="en-US"/>
        </w:rPr>
        <w:t xml:space="preserve"> edition (Mason: Cencage Learning).</w:t>
      </w:r>
    </w:p>
    <w:p w:rsidR="00FD5242" w:rsidRPr="00B56219" w:rsidRDefault="00FD5242" w:rsidP="00B56219">
      <w:pPr>
        <w:rPr>
          <w:lang w:val="en-US"/>
        </w:rPr>
      </w:pPr>
      <w:r w:rsidRPr="00B56219">
        <w:rPr>
          <w:lang w:val="en-US"/>
        </w:rPr>
        <w:t xml:space="preserve">Hay, D.C., Knechel, W.R. &amp; Wong, N. (2006) Audit Fees: A Meta-analysis of the Effect of Supply and Demand Attributes, </w:t>
      </w:r>
      <w:r w:rsidRPr="00B56219">
        <w:rPr>
          <w:i/>
          <w:lang w:val="en-US"/>
        </w:rPr>
        <w:t>Contemporary Accounting Research</w:t>
      </w:r>
      <w:r w:rsidRPr="00B56219">
        <w:rPr>
          <w:lang w:val="en-US"/>
        </w:rPr>
        <w:t>, 23(1), pp. 141-191.</w:t>
      </w:r>
    </w:p>
    <w:p w:rsidR="00FD5242" w:rsidRPr="00B56219" w:rsidRDefault="00FD5242" w:rsidP="00B56219">
      <w:pPr>
        <w:rPr>
          <w:b/>
          <w:lang w:val="en-US"/>
        </w:rPr>
      </w:pPr>
      <w:r w:rsidRPr="00B56219">
        <w:rPr>
          <w:lang w:val="en-US"/>
        </w:rPr>
        <w:t xml:space="preserve">Henderson, S., Peirson, G. &amp; Brown, R. (1992) Financial Accounting Theory: </w:t>
      </w:r>
      <w:r w:rsidRPr="00B56219">
        <w:rPr>
          <w:i/>
          <w:lang w:val="en-US"/>
        </w:rPr>
        <w:t>Its Nature and Development</w:t>
      </w:r>
      <w:r w:rsidRPr="00B56219">
        <w:rPr>
          <w:lang w:val="en-US"/>
        </w:rPr>
        <w:t>, 2</w:t>
      </w:r>
      <w:r w:rsidRPr="00B56219">
        <w:rPr>
          <w:vertAlign w:val="superscript"/>
          <w:lang w:val="en-US"/>
        </w:rPr>
        <w:t>nd</w:t>
      </w:r>
      <w:r w:rsidRPr="00B56219">
        <w:rPr>
          <w:lang w:val="en-US"/>
        </w:rPr>
        <w:t xml:space="preserve"> edition (Melbourne: Longman Chesire).</w:t>
      </w:r>
    </w:p>
    <w:p w:rsidR="00FD5242" w:rsidRPr="00B56219" w:rsidRDefault="00FD5242" w:rsidP="00B56219">
      <w:pPr>
        <w:rPr>
          <w:rFonts w:cs="Segoe UI"/>
          <w:color w:val="000000"/>
          <w:lang w:val="en-US"/>
        </w:rPr>
      </w:pPr>
      <w:r w:rsidRPr="00B56219">
        <w:rPr>
          <w:lang w:val="en-US"/>
        </w:rPr>
        <w:t xml:space="preserve">Henry, E. &amp; Holzman, O. J. (2009) FASB, IASB Respond to Financial Crisis, </w:t>
      </w:r>
      <w:r w:rsidRPr="00B56219">
        <w:rPr>
          <w:rFonts w:cs="Segoe UI"/>
          <w:i/>
          <w:color w:val="000000"/>
          <w:lang w:val="en-US"/>
        </w:rPr>
        <w:t>The Journal of Corporate Accounting &amp; Finance</w:t>
      </w:r>
      <w:r w:rsidRPr="00B56219">
        <w:rPr>
          <w:rFonts w:cs="Segoe UI"/>
          <w:color w:val="000000"/>
          <w:lang w:val="en-US"/>
        </w:rPr>
        <w:t>, March/April 2009, pp. 71-75.</w:t>
      </w:r>
    </w:p>
    <w:p w:rsidR="00FD5242" w:rsidRPr="00B56219" w:rsidRDefault="00FD5242" w:rsidP="00B56219">
      <w:pPr>
        <w:rPr>
          <w:lang w:val="en-US"/>
        </w:rPr>
      </w:pPr>
      <w:r w:rsidRPr="00B56219">
        <w:rPr>
          <w:lang w:val="en-US"/>
        </w:rPr>
        <w:t xml:space="preserve">Hermann, D., Pornupatham, S. &amp; Vichitsarawong, T., (2008) The impact of the Asian financial crisis on Auditors' Conservatism, </w:t>
      </w:r>
      <w:r w:rsidRPr="00B56219">
        <w:rPr>
          <w:i/>
          <w:lang w:val="en-US"/>
        </w:rPr>
        <w:t>Journal of Accounting Research</w:t>
      </w:r>
      <w:r w:rsidRPr="00B56219">
        <w:rPr>
          <w:lang w:val="en-US"/>
        </w:rPr>
        <w:t>, 7(2), pp. 43-63.</w:t>
      </w:r>
    </w:p>
    <w:p w:rsidR="00FD5242" w:rsidRPr="00F67B7B" w:rsidRDefault="00FD5242" w:rsidP="00B56219">
      <w:pPr>
        <w:rPr>
          <w:rFonts w:cs="Segoe UI"/>
          <w:color w:val="000000"/>
          <w:lang w:val="en-US"/>
        </w:rPr>
      </w:pPr>
      <w:r w:rsidRPr="00B56219">
        <w:rPr>
          <w:lang w:val="en-US"/>
        </w:rPr>
        <w:t>Humphrey, C., Loft, A. &amp; Woods, M. (2009) The global audit profession and the international financial architecture: Understanding the relationships at a time of financial crisis</w:t>
      </w:r>
      <w:r w:rsidRPr="00B56219">
        <w:rPr>
          <w:i/>
          <w:lang w:val="en-US"/>
        </w:rPr>
        <w:t>, Accounting Organizations and Society</w:t>
      </w:r>
      <w:r w:rsidRPr="00B56219">
        <w:rPr>
          <w:lang w:val="en-US"/>
        </w:rPr>
        <w:t>,</w:t>
      </w:r>
      <w:r w:rsidRPr="00B56219">
        <w:rPr>
          <w:i/>
          <w:lang w:val="en-US"/>
        </w:rPr>
        <w:t xml:space="preserve"> </w:t>
      </w:r>
      <w:r w:rsidRPr="00B56219">
        <w:rPr>
          <w:lang w:val="en-US"/>
        </w:rPr>
        <w:t>34,</w:t>
      </w:r>
      <w:r w:rsidRPr="00B56219">
        <w:rPr>
          <w:i/>
          <w:lang w:val="en-US"/>
        </w:rPr>
        <w:t xml:space="preserve"> </w:t>
      </w:r>
      <w:r w:rsidRPr="00B56219">
        <w:rPr>
          <w:lang w:val="en-US"/>
        </w:rPr>
        <w:t>pp. 810-825.</w:t>
      </w:r>
    </w:p>
    <w:p w:rsidR="00FD5242" w:rsidRPr="00B56219" w:rsidRDefault="00FD5242" w:rsidP="00B56219">
      <w:pPr>
        <w:rPr>
          <w:lang w:val="en-US"/>
        </w:rPr>
      </w:pPr>
      <w:r w:rsidRPr="00B56219">
        <w:rPr>
          <w:lang w:val="en-US"/>
        </w:rPr>
        <w:t xml:space="preserve">Jarva, H. (2010) Economic consequences of SFAS 142 goodwill write-offs, Working Paper Series. </w:t>
      </w:r>
    </w:p>
    <w:p w:rsidR="00FD5242" w:rsidRPr="00B56219" w:rsidRDefault="00FD5242" w:rsidP="00B56219">
      <w:pPr>
        <w:rPr>
          <w:b/>
          <w:lang w:val="en-US"/>
        </w:rPr>
      </w:pPr>
      <w:r w:rsidRPr="00B56219">
        <w:rPr>
          <w:lang w:val="en-US"/>
        </w:rPr>
        <w:t xml:space="preserve">Jensen, M. C. &amp; Meckling W. H. (1976) Theory of the firm: Managerial Behavior, agency costs and ownership structure, </w:t>
      </w:r>
      <w:r w:rsidRPr="00B56219">
        <w:rPr>
          <w:i/>
          <w:lang w:val="en-US"/>
        </w:rPr>
        <w:t>Journal of Financial Economics</w:t>
      </w:r>
      <w:r w:rsidRPr="00B56219">
        <w:rPr>
          <w:lang w:val="en-US"/>
        </w:rPr>
        <w:t>, 3 (October), pp. 105-360.</w:t>
      </w:r>
    </w:p>
    <w:p w:rsidR="00FD5242" w:rsidRPr="00B56219" w:rsidRDefault="00FD5242" w:rsidP="00B56219">
      <w:pPr>
        <w:rPr>
          <w:b/>
          <w:lang w:val="en-US"/>
        </w:rPr>
      </w:pPr>
      <w:r w:rsidRPr="00B56219">
        <w:rPr>
          <w:lang w:val="en-US"/>
        </w:rPr>
        <w:t xml:space="preserve">Kennedy, J. &amp; Peecher, M. (1997) Judging Auditors’ Technical Knowledge, </w:t>
      </w:r>
      <w:r w:rsidRPr="00B56219">
        <w:rPr>
          <w:i/>
          <w:lang w:val="en-US"/>
        </w:rPr>
        <w:t>Journal of Accounting Research</w:t>
      </w:r>
      <w:r w:rsidRPr="00B56219">
        <w:rPr>
          <w:lang w:val="en-US"/>
        </w:rPr>
        <w:t>, 35(2), pp. 279-293.</w:t>
      </w:r>
    </w:p>
    <w:p w:rsidR="00FD5242" w:rsidRPr="00B56219" w:rsidRDefault="00FD5242" w:rsidP="00B56219">
      <w:pPr>
        <w:rPr>
          <w:b/>
          <w:lang w:val="en-US"/>
        </w:rPr>
      </w:pPr>
      <w:r w:rsidRPr="00B56219">
        <w:rPr>
          <w:lang w:val="en-US"/>
        </w:rPr>
        <w:t xml:space="preserve">Krishnan, J. (1994) Auditor switching and conservatism, </w:t>
      </w:r>
      <w:r w:rsidRPr="00B56219">
        <w:rPr>
          <w:i/>
          <w:lang w:val="en-US"/>
        </w:rPr>
        <w:t>Accounting Review</w:t>
      </w:r>
      <w:r w:rsidRPr="00B56219">
        <w:rPr>
          <w:lang w:val="en-US"/>
        </w:rPr>
        <w:t>, 69, pp. 200-215.</w:t>
      </w:r>
    </w:p>
    <w:p w:rsidR="00FD5242" w:rsidRPr="00B56219" w:rsidRDefault="00FD5242" w:rsidP="00B56219">
      <w:pPr>
        <w:rPr>
          <w:b/>
          <w:lang w:val="en-US"/>
        </w:rPr>
      </w:pPr>
      <w:r w:rsidRPr="00B56219">
        <w:rPr>
          <w:lang w:val="en-US"/>
        </w:rPr>
        <w:t>Krishnan, J. &amp; Schauer P.C., (2000) The difference in quality among auditors: Evidence from the not-profit-sector</w:t>
      </w:r>
      <w:r w:rsidRPr="00B56219">
        <w:rPr>
          <w:i/>
          <w:lang w:val="en-US"/>
        </w:rPr>
        <w:t>, Auditing: A Journal of Practice and Theory (</w:t>
      </w:r>
      <w:r w:rsidRPr="00B56219">
        <w:rPr>
          <w:lang w:val="en-US"/>
        </w:rPr>
        <w:t>fall), pp. 9-25.</w:t>
      </w:r>
    </w:p>
    <w:p w:rsidR="00FD5242" w:rsidRPr="00B56219" w:rsidRDefault="00FD5242" w:rsidP="00B56219">
      <w:pPr>
        <w:rPr>
          <w:b/>
          <w:lang w:val="en-US"/>
        </w:rPr>
      </w:pPr>
      <w:r w:rsidRPr="00B56219">
        <w:rPr>
          <w:lang w:val="en-US"/>
        </w:rPr>
        <w:t>Lai, K. W. (2003) The Sarbanes-Oxley Act and Auditor Independence: Preliminary Evidence from Audit Opinion and Discretionary Accruals, Working Paper Series, Hong Kong Polytechnic University.</w:t>
      </w:r>
    </w:p>
    <w:p w:rsidR="00FD5242" w:rsidRPr="00B56219" w:rsidRDefault="00FD5242" w:rsidP="00B56219">
      <w:pPr>
        <w:rPr>
          <w:b/>
          <w:lang w:val="en-US"/>
        </w:rPr>
      </w:pPr>
      <w:r w:rsidRPr="00B56219">
        <w:rPr>
          <w:lang w:val="en-US"/>
        </w:rPr>
        <w:t xml:space="preserve">Lambert, R., (2001) Contracting theory and accounting, </w:t>
      </w:r>
      <w:r w:rsidRPr="00B56219">
        <w:rPr>
          <w:i/>
          <w:lang w:val="en-US"/>
        </w:rPr>
        <w:t>Journal of Accounting and Economics</w:t>
      </w:r>
      <w:r w:rsidRPr="00B56219">
        <w:rPr>
          <w:lang w:val="en-US"/>
        </w:rPr>
        <w:t>, 32, pp. 3-87.</w:t>
      </w:r>
    </w:p>
    <w:p w:rsidR="00FD5242" w:rsidRPr="00B56219" w:rsidRDefault="00FD5242" w:rsidP="00B56219">
      <w:pPr>
        <w:rPr>
          <w:b/>
          <w:lang w:val="en-US"/>
        </w:rPr>
      </w:pPr>
      <w:r w:rsidRPr="00B56219">
        <w:rPr>
          <w:lang w:val="en-US"/>
        </w:rPr>
        <w:t>Lang, M. &amp; Maffet, M. (2010) Transparency and Liquidity Uncertainty in Crisis Periods, Working Paper Series.</w:t>
      </w:r>
    </w:p>
    <w:p w:rsidR="00FD5242" w:rsidRPr="00B56219" w:rsidRDefault="00FD5242" w:rsidP="00B56219">
      <w:pPr>
        <w:rPr>
          <w:b/>
          <w:lang w:val="en-US"/>
        </w:rPr>
      </w:pPr>
      <w:r w:rsidRPr="00B56219">
        <w:rPr>
          <w:lang w:val="en-US"/>
        </w:rPr>
        <w:t>Laux, C. &amp; Leuz, C. (2009) Did Fair-value Accounting Contribute to the financial crisis?, Finance Working Paper No.266, European Corporate Governance Institute.</w:t>
      </w:r>
    </w:p>
    <w:p w:rsidR="00FD5242" w:rsidRPr="00B56219" w:rsidRDefault="00FD5242" w:rsidP="00B56219">
      <w:pPr>
        <w:rPr>
          <w:lang w:val="en-US"/>
        </w:rPr>
      </w:pPr>
      <w:r w:rsidRPr="00B56219">
        <w:rPr>
          <w:lang w:val="en-US"/>
        </w:rPr>
        <w:t>Li, S., Peasnell, K., Beekes W. (2007) Does Auditor Choice influence Earnings Conservatism? Working Paper, (Lancaster: Management School of Lancaster University).</w:t>
      </w:r>
    </w:p>
    <w:p w:rsidR="00FD5242" w:rsidRPr="00B56219" w:rsidRDefault="00FD5242" w:rsidP="00B56219">
      <w:pPr>
        <w:rPr>
          <w:lang w:val="en-US"/>
        </w:rPr>
      </w:pPr>
      <w:r w:rsidRPr="00B56219">
        <w:rPr>
          <w:lang w:val="en-US"/>
        </w:rPr>
        <w:t xml:space="preserve">Maher, M.W., Tiessen, P., Colson, R., Broman, A.J. (1992) Competition and Audit Fees, </w:t>
      </w:r>
      <w:r w:rsidRPr="00B56219">
        <w:rPr>
          <w:i/>
          <w:lang w:val="en-US"/>
        </w:rPr>
        <w:t>The Accounting Review</w:t>
      </w:r>
      <w:r w:rsidRPr="00B56219">
        <w:rPr>
          <w:lang w:val="en-US"/>
        </w:rPr>
        <w:t>, 67(1), pp. 199-211.</w:t>
      </w:r>
    </w:p>
    <w:p w:rsidR="00FD5242" w:rsidRPr="00B56219" w:rsidRDefault="00FD5242" w:rsidP="00B56219">
      <w:pPr>
        <w:rPr>
          <w:lang w:val="en-US"/>
        </w:rPr>
      </w:pPr>
      <w:r w:rsidRPr="00B56219">
        <w:rPr>
          <w:lang w:val="en-US"/>
        </w:rPr>
        <w:t xml:space="preserve">Morgan, J. (2009) The limits of central bank policy: economic crisis and the challenges of effective solutions, </w:t>
      </w:r>
      <w:r w:rsidRPr="00B56219">
        <w:rPr>
          <w:i/>
          <w:lang w:val="en-US"/>
        </w:rPr>
        <w:t>Cambridge Journal of Economics</w:t>
      </w:r>
      <w:r w:rsidRPr="00B56219">
        <w:rPr>
          <w:lang w:val="en-US"/>
        </w:rPr>
        <w:t>, 33(4), pp. 581-608.</w:t>
      </w:r>
    </w:p>
    <w:p w:rsidR="00FD5242" w:rsidRPr="00B56219" w:rsidRDefault="00FD5242" w:rsidP="00B56219">
      <w:pPr>
        <w:rPr>
          <w:lang w:val="en-US"/>
        </w:rPr>
      </w:pPr>
      <w:r w:rsidRPr="00B56219">
        <w:rPr>
          <w:lang w:val="en-US"/>
        </w:rPr>
        <w:t xml:space="preserve">Munro, L. &amp; Stewart, J. (2010) External auditors’ reliance on internal audit: the impact of sourcing arrangements and consulting services, </w:t>
      </w:r>
      <w:r w:rsidRPr="00B56219">
        <w:rPr>
          <w:i/>
          <w:lang w:val="en-US"/>
        </w:rPr>
        <w:t>Accounting and Finance</w:t>
      </w:r>
      <w:r w:rsidRPr="00B56219">
        <w:rPr>
          <w:lang w:val="en-US"/>
        </w:rPr>
        <w:t>, 50, pp. 371-387.</w:t>
      </w:r>
    </w:p>
    <w:p w:rsidR="00FD5242" w:rsidRPr="00B56219" w:rsidRDefault="00FD5242" w:rsidP="00B56219">
      <w:pPr>
        <w:rPr>
          <w:lang w:val="en-US"/>
        </w:rPr>
      </w:pPr>
      <w:r w:rsidRPr="00B56219">
        <w:rPr>
          <w:lang w:val="en-US"/>
        </w:rPr>
        <w:t>Myers, L.A., Schmidt, J. &amp; Wilkins, M. (2010) An investigation of recent changes in Going Concern Reporting Decisions Among Big and non-Big Auditors, Working Paper Series.</w:t>
      </w:r>
    </w:p>
    <w:p w:rsidR="00FD5242" w:rsidRPr="00B56219" w:rsidRDefault="00FD5242" w:rsidP="00B56219">
      <w:pPr>
        <w:rPr>
          <w:lang w:val="en-US"/>
        </w:rPr>
      </w:pPr>
      <w:r w:rsidRPr="00B56219">
        <w:rPr>
          <w:lang w:val="en-US"/>
        </w:rPr>
        <w:t>Murphy, A. (2008) An analysis of the Financial Crisis of 2008: Causes and Solutions, Working paper.</w:t>
      </w:r>
    </w:p>
    <w:p w:rsidR="00FD5242" w:rsidRPr="00B56219" w:rsidRDefault="00FD5242" w:rsidP="00B56219">
      <w:pPr>
        <w:rPr>
          <w:lang w:val="en-US"/>
        </w:rPr>
      </w:pPr>
      <w:r w:rsidRPr="00B56219">
        <w:rPr>
          <w:lang w:val="en-US"/>
        </w:rPr>
        <w:t xml:space="preserve">Owusu-Ansah, S., Leventis, S., &amp; Caramanis, C. (2010) The pricing of statutory audit services in Greece, </w:t>
      </w:r>
      <w:r w:rsidRPr="00B56219">
        <w:rPr>
          <w:i/>
          <w:lang w:val="en-US"/>
        </w:rPr>
        <w:t>Accounting Forum</w:t>
      </w:r>
      <w:r w:rsidRPr="00B56219">
        <w:rPr>
          <w:lang w:val="en-US"/>
        </w:rPr>
        <w:t>, 34, pp. 139-152.</w:t>
      </w:r>
    </w:p>
    <w:p w:rsidR="00FD5242" w:rsidRPr="00B56219" w:rsidRDefault="00FD5242" w:rsidP="00B56219">
      <w:pPr>
        <w:rPr>
          <w:lang w:val="en-US"/>
        </w:rPr>
      </w:pPr>
      <w:r w:rsidRPr="00B56219">
        <w:rPr>
          <w:lang w:val="en-US"/>
        </w:rPr>
        <w:t xml:space="preserve">Palma, G. (2009) The revenge of the market on rentiers: why neo-liberal reports of the end of history turned out to be premature, </w:t>
      </w:r>
      <w:r w:rsidRPr="00B56219">
        <w:rPr>
          <w:i/>
          <w:lang w:val="en-US"/>
        </w:rPr>
        <w:t>Cambridge Journal of Economics</w:t>
      </w:r>
      <w:r w:rsidRPr="00B56219">
        <w:rPr>
          <w:lang w:val="en-US"/>
        </w:rPr>
        <w:t xml:space="preserve">, 33(4), pp. 829-866. </w:t>
      </w:r>
    </w:p>
    <w:p w:rsidR="00FD5242" w:rsidRPr="00B56219" w:rsidRDefault="00FD5242" w:rsidP="00B56219">
      <w:pPr>
        <w:rPr>
          <w:lang w:val="en-US"/>
        </w:rPr>
      </w:pPr>
      <w:r w:rsidRPr="00B56219">
        <w:rPr>
          <w:lang w:val="en-US"/>
        </w:rPr>
        <w:t xml:space="preserve">Penman, S. &amp; Zhang, X. (2002) Accounting conservatism, the quality of earnings and stock </w:t>
      </w:r>
      <w:r>
        <w:rPr>
          <w:lang w:val="en-US"/>
        </w:rPr>
        <w:t>r</w:t>
      </w:r>
      <w:r w:rsidRPr="00B56219">
        <w:rPr>
          <w:lang w:val="en-US"/>
        </w:rPr>
        <w:t xml:space="preserve">eturns, </w:t>
      </w:r>
      <w:r w:rsidRPr="00B56219">
        <w:rPr>
          <w:i/>
          <w:lang w:val="en-US"/>
        </w:rPr>
        <w:t>The Accounting Review</w:t>
      </w:r>
      <w:r w:rsidRPr="00B56219">
        <w:rPr>
          <w:lang w:val="en-US"/>
        </w:rPr>
        <w:t>, 77(2), pp. 237-264.</w:t>
      </w:r>
    </w:p>
    <w:p w:rsidR="00FD5242" w:rsidRPr="00B56219" w:rsidRDefault="00FD5242" w:rsidP="00B56219">
      <w:pPr>
        <w:rPr>
          <w:lang w:val="en-US"/>
        </w:rPr>
      </w:pPr>
      <w:r w:rsidRPr="00B56219">
        <w:rPr>
          <w:lang w:val="en-US"/>
        </w:rPr>
        <w:t>Pope, P.F. &amp; Walker, M. (1999) International Differences in the Timeliness, Conservatism and Classification of Earnings, Journal of Accounting Research, 37, pp. 53-87.</w:t>
      </w:r>
    </w:p>
    <w:p w:rsidR="00FD5242" w:rsidRPr="00B56219" w:rsidRDefault="00FD5242" w:rsidP="00B56219">
      <w:pPr>
        <w:rPr>
          <w:lang w:val="en-US"/>
        </w:rPr>
      </w:pPr>
      <w:r w:rsidRPr="00B56219">
        <w:rPr>
          <w:lang w:val="en-US"/>
        </w:rPr>
        <w:t>Qiang, X. (2007) The effects of contracting, litigation, regulation and tax costs on conditional and unconditional conservatism: cross-sectional evidence at the firm level, The Accounting Review, 59(2), pp. 242-263.</w:t>
      </w:r>
    </w:p>
    <w:p w:rsidR="00FD5242" w:rsidRPr="00B56219" w:rsidRDefault="00FD5242" w:rsidP="00B56219">
      <w:pPr>
        <w:rPr>
          <w:lang w:val="en-US"/>
        </w:rPr>
      </w:pPr>
      <w:r w:rsidRPr="00B56219">
        <w:rPr>
          <w:lang w:val="en-US"/>
        </w:rPr>
        <w:t>Reinhart, C.M. &amp; Rogoff, K.S. (2008) Is the U.S. sub-prime financial crisis so different? - An international historical approach, NBER Working Paper Series, (Massachusetts: National Bureau of Economic Research).</w:t>
      </w:r>
    </w:p>
    <w:p w:rsidR="00FD5242" w:rsidRPr="00B56219" w:rsidRDefault="00FD5242" w:rsidP="00B56219">
      <w:pPr>
        <w:rPr>
          <w:lang w:val="en-US"/>
        </w:rPr>
      </w:pPr>
      <w:r w:rsidRPr="00B56219">
        <w:rPr>
          <w:lang w:val="en-US"/>
        </w:rPr>
        <w:t xml:space="preserve">Reynolds, J.K. &amp; Francis, J.R. (2001) Does size matter? The influence of large clients on office-level auditor decisions, </w:t>
      </w:r>
      <w:r w:rsidRPr="00B56219">
        <w:rPr>
          <w:i/>
          <w:lang w:val="en-US"/>
        </w:rPr>
        <w:t>Journal of accounting and Economics</w:t>
      </w:r>
      <w:r w:rsidRPr="00B56219">
        <w:rPr>
          <w:lang w:val="en-US"/>
        </w:rPr>
        <w:t>, 30, pp. 375-400.</w:t>
      </w:r>
    </w:p>
    <w:p w:rsidR="00FD5242" w:rsidRPr="00B56219" w:rsidRDefault="00FD5242" w:rsidP="00B56219">
      <w:pPr>
        <w:rPr>
          <w:lang w:val="en-US"/>
        </w:rPr>
      </w:pPr>
      <w:r w:rsidRPr="00B56219">
        <w:rPr>
          <w:lang w:val="en-US"/>
        </w:rPr>
        <w:t xml:space="preserve">Roberts M., (2010) Independence, Impartiality and Advocacy in client conflicts, </w:t>
      </w:r>
      <w:r w:rsidRPr="00B56219">
        <w:rPr>
          <w:i/>
          <w:lang w:val="en-US"/>
        </w:rPr>
        <w:t>Research in Accounting Regulation</w:t>
      </w:r>
      <w:r w:rsidRPr="00B56219">
        <w:rPr>
          <w:lang w:val="en-US"/>
        </w:rPr>
        <w:t>, 22, pp. 29-39.</w:t>
      </w:r>
    </w:p>
    <w:p w:rsidR="00FD5242" w:rsidRPr="00B56219" w:rsidRDefault="00FD5242" w:rsidP="00B56219">
      <w:pPr>
        <w:rPr>
          <w:lang w:val="en-US"/>
        </w:rPr>
      </w:pPr>
      <w:r w:rsidRPr="00B56219">
        <w:rPr>
          <w:lang w:val="en-US"/>
        </w:rPr>
        <w:t xml:space="preserve">Rouse, R. W. (2009) What caused the Financial Crisis?, </w:t>
      </w:r>
      <w:r w:rsidRPr="00B56219">
        <w:rPr>
          <w:i/>
          <w:lang w:val="en-US"/>
        </w:rPr>
        <w:t>The Journal of Corporate Accounting &amp; Finance</w:t>
      </w:r>
      <w:r w:rsidRPr="00B56219">
        <w:rPr>
          <w:lang w:val="en-US"/>
        </w:rPr>
        <w:t>, March/April 2009, pp. 3-4.</w:t>
      </w:r>
    </w:p>
    <w:p w:rsidR="00FD5242" w:rsidRPr="00B56219" w:rsidRDefault="00FD5242" w:rsidP="00B56219">
      <w:pPr>
        <w:rPr>
          <w:lang w:val="en-US"/>
        </w:rPr>
      </w:pPr>
      <w:r w:rsidRPr="00B56219">
        <w:rPr>
          <w:lang w:val="en-US"/>
        </w:rPr>
        <w:t xml:space="preserve">Sercu, P.H., Baumwhede, V. &amp; Willekens, M. (2006) Post-Enron implicit audit reporting standards: shifting through the evidence, </w:t>
      </w:r>
      <w:r w:rsidRPr="00B56219">
        <w:rPr>
          <w:i/>
          <w:lang w:val="en-US"/>
        </w:rPr>
        <w:t>De Economist</w:t>
      </w:r>
      <w:r w:rsidRPr="00B56219">
        <w:rPr>
          <w:lang w:val="en-US"/>
        </w:rPr>
        <w:t>, (154), pp. 389-403.</w:t>
      </w:r>
    </w:p>
    <w:p w:rsidR="00FD5242" w:rsidRPr="00B56219" w:rsidRDefault="00FD5242" w:rsidP="00B56219">
      <w:pPr>
        <w:rPr>
          <w:b/>
          <w:lang w:val="en-US"/>
        </w:rPr>
      </w:pPr>
      <w:r w:rsidRPr="00B56219">
        <w:rPr>
          <w:lang w:val="en-US"/>
        </w:rPr>
        <w:t>Shengupta, P. &amp; Shen, M.  (2007) Can Accruals Quality Explain Auditors' Decision Making? The Impact of Accruals Quality on Audit Fees, Going Concern Opinions and Auditor Change, Working Paper Series.</w:t>
      </w:r>
    </w:p>
    <w:p w:rsidR="00FD5242" w:rsidRPr="00B56219" w:rsidRDefault="00FD5242" w:rsidP="00B56219">
      <w:pPr>
        <w:rPr>
          <w:lang w:val="en-US"/>
        </w:rPr>
      </w:pPr>
      <w:r w:rsidRPr="00B56219">
        <w:rPr>
          <w:lang w:val="en-US"/>
        </w:rPr>
        <w:t xml:space="preserve">Sikka, P. (2009) The Financial crisis and the silence of the auditors, </w:t>
      </w:r>
      <w:r w:rsidRPr="00B56219">
        <w:rPr>
          <w:i/>
          <w:lang w:val="en-US"/>
        </w:rPr>
        <w:t xml:space="preserve">Accounting, Organizations and Society, </w:t>
      </w:r>
      <w:r w:rsidRPr="00B56219">
        <w:rPr>
          <w:lang w:val="en-US"/>
        </w:rPr>
        <w:t>34, pp. 868-873.</w:t>
      </w:r>
    </w:p>
    <w:p w:rsidR="00FD5242" w:rsidRPr="00B56219" w:rsidRDefault="00FD5242" w:rsidP="00B56219">
      <w:pPr>
        <w:rPr>
          <w:lang w:val="en-US"/>
        </w:rPr>
      </w:pPr>
      <w:r w:rsidRPr="00B56219">
        <w:rPr>
          <w:lang w:val="en-US"/>
        </w:rPr>
        <w:t xml:space="preserve">Simunic, D.A. (1980) The pricing of Audit Services: Theory and Evidence, </w:t>
      </w:r>
      <w:r w:rsidRPr="00B56219">
        <w:rPr>
          <w:i/>
          <w:lang w:val="en-US"/>
        </w:rPr>
        <w:t>Journal of accounting Research</w:t>
      </w:r>
      <w:r w:rsidRPr="00B56219">
        <w:rPr>
          <w:lang w:val="en-US"/>
        </w:rPr>
        <w:t>, 18(1), pp. 161-190.</w:t>
      </w:r>
    </w:p>
    <w:p w:rsidR="00FD5242" w:rsidRPr="00B56219" w:rsidRDefault="00FD5242" w:rsidP="00B56219">
      <w:pPr>
        <w:rPr>
          <w:b/>
          <w:lang w:val="en-US"/>
        </w:rPr>
      </w:pPr>
      <w:r w:rsidRPr="00B56219">
        <w:rPr>
          <w:lang w:val="en-US"/>
        </w:rPr>
        <w:t>Taylor, J. B. (2008) The financial Crisis and the Policy Responses: An empirical Analysis of What Went Wrong, Rock Center Working Paper No.30, Stanford University Hoover Institution.</w:t>
      </w:r>
    </w:p>
    <w:p w:rsidR="00FD5242" w:rsidRPr="00B56219" w:rsidRDefault="00FD5242" w:rsidP="00B56219">
      <w:pPr>
        <w:rPr>
          <w:b/>
          <w:lang w:val="en-US"/>
        </w:rPr>
      </w:pPr>
      <w:r w:rsidRPr="00B56219">
        <w:rPr>
          <w:lang w:val="en-US"/>
        </w:rPr>
        <w:t xml:space="preserve">Timmermann, A. &amp; Granger C.  (2004) Efficient Market Hypothesis and forecasting, </w:t>
      </w:r>
      <w:r w:rsidRPr="00B56219">
        <w:rPr>
          <w:i/>
          <w:lang w:val="en-US"/>
        </w:rPr>
        <w:t>International Journal of Forecasting</w:t>
      </w:r>
      <w:r w:rsidRPr="00B56219">
        <w:rPr>
          <w:lang w:val="en-US"/>
        </w:rPr>
        <w:t>, 20, pp. 15-27.</w:t>
      </w:r>
    </w:p>
    <w:p w:rsidR="00FD5242" w:rsidRPr="00B56219" w:rsidRDefault="00FD5242" w:rsidP="00B56219">
      <w:pPr>
        <w:rPr>
          <w:lang w:val="en-US"/>
        </w:rPr>
      </w:pPr>
      <w:r w:rsidRPr="00B56219">
        <w:rPr>
          <w:lang w:val="en-US"/>
        </w:rPr>
        <w:t xml:space="preserve">Tregenna, F. (2009) The fat years: the structure and profitability of the US banking sector in pre-crisis period, </w:t>
      </w:r>
      <w:r w:rsidRPr="00B56219">
        <w:rPr>
          <w:i/>
          <w:lang w:val="en-US"/>
        </w:rPr>
        <w:t>Cambridge Journal of Economics</w:t>
      </w:r>
      <w:r w:rsidRPr="00B56219">
        <w:rPr>
          <w:lang w:val="en-US"/>
        </w:rPr>
        <w:t>, 33(4), pp. 609-632.</w:t>
      </w:r>
    </w:p>
    <w:p w:rsidR="00FD5242" w:rsidRPr="00B56219" w:rsidRDefault="00FD5242" w:rsidP="00B56219">
      <w:pPr>
        <w:rPr>
          <w:lang w:val="en-US"/>
        </w:rPr>
      </w:pPr>
      <w:r w:rsidRPr="00B56219">
        <w:rPr>
          <w:lang w:val="en-US"/>
        </w:rPr>
        <w:t xml:space="preserve">Verschuren, P. &amp; Dooreward, H. (2007) </w:t>
      </w:r>
      <w:r w:rsidRPr="00B56219">
        <w:rPr>
          <w:i/>
          <w:lang w:val="en-US"/>
        </w:rPr>
        <w:t>Het ontwerpen van een onderzoek</w:t>
      </w:r>
      <w:r w:rsidRPr="00B56219">
        <w:rPr>
          <w:lang w:val="en-US"/>
        </w:rPr>
        <w:t xml:space="preserve">, (The Hague: Lemna). </w:t>
      </w:r>
    </w:p>
    <w:p w:rsidR="00FD5242" w:rsidRPr="00B56219" w:rsidRDefault="00FD5242" w:rsidP="00B56219">
      <w:pPr>
        <w:rPr>
          <w:b/>
          <w:lang w:val="en-US"/>
        </w:rPr>
      </w:pPr>
      <w:r w:rsidRPr="00B56219">
        <w:rPr>
          <w:lang w:val="en-US"/>
        </w:rPr>
        <w:t xml:space="preserve">Watts, R. L. &amp; Zimmerman, J. (1968) </w:t>
      </w:r>
      <w:r w:rsidRPr="00B56219">
        <w:rPr>
          <w:i/>
          <w:lang w:val="en-US"/>
        </w:rPr>
        <w:t>Positive Accounting Theory</w:t>
      </w:r>
      <w:r w:rsidRPr="00B56219">
        <w:rPr>
          <w:lang w:val="en-US"/>
        </w:rPr>
        <w:t>, Englewood Cliffs, (New Jersey: Prentice-Hall Inc.).</w:t>
      </w:r>
    </w:p>
    <w:p w:rsidR="00FD5242" w:rsidRPr="00B56219" w:rsidRDefault="00FD5242" w:rsidP="00B56219">
      <w:pPr>
        <w:rPr>
          <w:b/>
          <w:lang w:val="en-US"/>
        </w:rPr>
      </w:pPr>
      <w:r w:rsidRPr="00B56219">
        <w:rPr>
          <w:lang w:val="en-US"/>
        </w:rPr>
        <w:t xml:space="preserve">Watts, R. L. &amp; Zimmerman, J. (1978) Towards a positive theory of the determination of accounting standards, </w:t>
      </w:r>
      <w:r w:rsidRPr="00B56219">
        <w:rPr>
          <w:i/>
          <w:lang w:val="en-US"/>
        </w:rPr>
        <w:t xml:space="preserve">Accounting Review, </w:t>
      </w:r>
      <w:r w:rsidRPr="00B56219">
        <w:rPr>
          <w:lang w:val="en-US"/>
        </w:rPr>
        <w:t>53 (1), pp.112-134.</w:t>
      </w:r>
    </w:p>
    <w:p w:rsidR="00FD5242" w:rsidRPr="00B56219" w:rsidRDefault="00FD5242" w:rsidP="00B56219">
      <w:pPr>
        <w:rPr>
          <w:b/>
          <w:lang w:val="en-US"/>
        </w:rPr>
      </w:pPr>
      <w:r w:rsidRPr="00B56219">
        <w:rPr>
          <w:lang w:val="en-US"/>
        </w:rPr>
        <w:t>Whalen, R. C. (2008) The sub-prime Crisis – Causes, Effect and Consequences, Working Paper March 2008, (4), Networks Financial Institute at Indiana State University.</w:t>
      </w:r>
    </w:p>
    <w:p w:rsidR="00FD5242" w:rsidRPr="00B56219" w:rsidRDefault="00FD5242" w:rsidP="00B56219">
      <w:pPr>
        <w:rPr>
          <w:b/>
          <w:lang w:val="en-US"/>
        </w:rPr>
      </w:pPr>
      <w:r w:rsidRPr="00B56219">
        <w:rPr>
          <w:lang w:val="en-US"/>
        </w:rPr>
        <w:t xml:space="preserve">Willekens, M. &amp; Achmadi, C. (2003) Pricing and supplier concentration in the private client segment of the audit market: Market power of competition, </w:t>
      </w:r>
      <w:r w:rsidRPr="00B56219">
        <w:rPr>
          <w:i/>
          <w:lang w:val="en-US"/>
        </w:rPr>
        <w:t>The</w:t>
      </w:r>
      <w:r w:rsidRPr="00B56219">
        <w:rPr>
          <w:lang w:val="en-US"/>
        </w:rPr>
        <w:t xml:space="preserve"> </w:t>
      </w:r>
      <w:r w:rsidRPr="00B56219">
        <w:rPr>
          <w:i/>
          <w:lang w:val="en-US"/>
        </w:rPr>
        <w:t>International Journal of accounting</w:t>
      </w:r>
      <w:r w:rsidRPr="00B56219">
        <w:rPr>
          <w:lang w:val="en-US"/>
        </w:rPr>
        <w:t>, pp. 431-455</w:t>
      </w:r>
    </w:p>
    <w:p w:rsidR="00FD5242" w:rsidRPr="00B56219" w:rsidRDefault="00FD5242" w:rsidP="00B56219">
      <w:pPr>
        <w:rPr>
          <w:b/>
          <w:lang w:val="en-US"/>
        </w:rPr>
      </w:pPr>
    </w:p>
    <w:p w:rsidR="00FD5242" w:rsidRPr="00B56219" w:rsidRDefault="00FD5242" w:rsidP="00B56219">
      <w:pPr>
        <w:rPr>
          <w:lang w:val="en-US"/>
        </w:rPr>
      </w:pPr>
      <w:r>
        <w:rPr>
          <w:lang w:val="en-US"/>
        </w:rPr>
        <w:t>ONLINE SOURCES</w:t>
      </w:r>
      <w:r w:rsidRPr="00B56219">
        <w:rPr>
          <w:lang w:val="en-US"/>
        </w:rPr>
        <w:t>:</w:t>
      </w:r>
    </w:p>
    <w:p w:rsidR="00FD5242" w:rsidRPr="00B56219" w:rsidRDefault="00FD5242" w:rsidP="00B56219">
      <w:pPr>
        <w:rPr>
          <w:lang w:val="en-US"/>
        </w:rPr>
      </w:pPr>
      <w:hyperlink r:id="rId14" w:history="1">
        <w:r w:rsidRPr="00B56219">
          <w:rPr>
            <w:rStyle w:val="Hyperlink"/>
            <w:lang w:val="en-US"/>
          </w:rPr>
          <w:t>http://www.afm.nl</w:t>
        </w:r>
      </w:hyperlink>
      <w:r w:rsidRPr="00B56219">
        <w:rPr>
          <w:lang w:val="en-US"/>
        </w:rPr>
        <w:t xml:space="preserve"> ; accessed on 10 November 2020</w:t>
      </w:r>
    </w:p>
    <w:p w:rsidR="00FD5242" w:rsidRPr="00B56219" w:rsidRDefault="00FD5242" w:rsidP="00B56219">
      <w:pPr>
        <w:rPr>
          <w:lang w:val="en-US"/>
        </w:rPr>
      </w:pPr>
      <w:hyperlink r:id="rId15" w:history="1">
        <w:r w:rsidRPr="00B56219">
          <w:rPr>
            <w:rStyle w:val="Hyperlink"/>
            <w:lang w:val="en-US"/>
          </w:rPr>
          <w:t>http://www.annualreports.com</w:t>
        </w:r>
      </w:hyperlink>
      <w:r w:rsidRPr="00B56219">
        <w:rPr>
          <w:lang w:val="en-US"/>
        </w:rPr>
        <w:t xml:space="preserve"> ; accessed on 21 September 2010</w:t>
      </w:r>
    </w:p>
    <w:p w:rsidR="00FD5242" w:rsidRPr="00B56219" w:rsidRDefault="00FD5242" w:rsidP="00B56219">
      <w:pPr>
        <w:rPr>
          <w:lang w:val="en-US"/>
        </w:rPr>
      </w:pPr>
      <w:hyperlink r:id="rId16" w:history="1">
        <w:r w:rsidRPr="00B56219">
          <w:rPr>
            <w:rStyle w:val="Hyperlink"/>
            <w:lang w:val="en-US"/>
          </w:rPr>
          <w:t>http://www.ecb.int/pub/annual/html/index.en.html</w:t>
        </w:r>
      </w:hyperlink>
      <w:r>
        <w:rPr>
          <w:lang w:val="en-US"/>
        </w:rPr>
        <w:t xml:space="preserve"> ; accessed on 25 August</w:t>
      </w:r>
      <w:r w:rsidRPr="00B56219">
        <w:rPr>
          <w:lang w:val="en-US"/>
        </w:rPr>
        <w:t xml:space="preserve"> 2010</w:t>
      </w:r>
    </w:p>
    <w:p w:rsidR="00FD5242" w:rsidRPr="00B56219" w:rsidRDefault="00FD5242" w:rsidP="00B56219">
      <w:pPr>
        <w:rPr>
          <w:lang w:val="en-US"/>
        </w:rPr>
      </w:pPr>
      <w:hyperlink r:id="rId17" w:history="1">
        <w:r w:rsidRPr="00B56219">
          <w:rPr>
            <w:rStyle w:val="Hyperlink"/>
            <w:lang w:val="en-US"/>
          </w:rPr>
          <w:t>http://www.economist.com/opinion/displaystory.cfm?story_id=15545924</w:t>
        </w:r>
      </w:hyperlink>
      <w:r w:rsidRPr="00B56219">
        <w:rPr>
          <w:lang w:val="en-US"/>
        </w:rPr>
        <w:t xml:space="preserve"> ; accessed on 21 September 2010</w:t>
      </w:r>
    </w:p>
    <w:p w:rsidR="00FD5242" w:rsidRPr="00B56219" w:rsidRDefault="00FD5242" w:rsidP="00B56219">
      <w:pPr>
        <w:rPr>
          <w:lang w:val="en-US"/>
        </w:rPr>
      </w:pPr>
      <w:hyperlink r:id="rId18" w:history="1">
        <w:r w:rsidRPr="00B56219">
          <w:rPr>
            <w:rStyle w:val="Hyperlink"/>
            <w:lang w:val="en-US"/>
          </w:rPr>
          <w:t>http://www.iasb.org/Home.htm</w:t>
        </w:r>
      </w:hyperlink>
      <w:r w:rsidRPr="00B56219">
        <w:rPr>
          <w:lang w:val="en-US"/>
        </w:rPr>
        <w:t xml:space="preserve"> ; accessed on 22 September 2010</w:t>
      </w:r>
    </w:p>
    <w:p w:rsidR="00FD5242" w:rsidRPr="00464B30" w:rsidRDefault="00FD5242" w:rsidP="00F7620C">
      <w:pPr>
        <w:rPr>
          <w:lang w:val="en-US"/>
        </w:rPr>
      </w:pPr>
      <w:hyperlink r:id="rId19" w:history="1">
        <w:r w:rsidRPr="005B6DEF">
          <w:rPr>
            <w:rStyle w:val="Hyperlink"/>
            <w:lang w:val="en-US"/>
          </w:rPr>
          <w:t>http://www.ifrs.com</w:t>
        </w:r>
      </w:hyperlink>
      <w:r>
        <w:rPr>
          <w:lang w:val="en-US"/>
        </w:rPr>
        <w:t xml:space="preserve">  ; accessed on 13 September 2010</w:t>
      </w:r>
    </w:p>
    <w:p w:rsidR="00FD5242" w:rsidRPr="00CA261C" w:rsidRDefault="00FD5242" w:rsidP="00CA261C">
      <w:pPr>
        <w:rPr>
          <w:lang w:val="en-US"/>
        </w:rPr>
      </w:pPr>
      <w:hyperlink r:id="rId20" w:history="1">
        <w:r w:rsidRPr="00957B0C">
          <w:rPr>
            <w:rStyle w:val="Hyperlink"/>
            <w:lang w:val="en-US"/>
          </w:rPr>
          <w:t>http://pcaobus.org/Pages/default.aspx</w:t>
        </w:r>
      </w:hyperlink>
      <w:r>
        <w:rPr>
          <w:lang w:val="en-US"/>
        </w:rPr>
        <w:t xml:space="preserve"> ; accessed on 20 September 2010</w:t>
      </w:r>
    </w:p>
    <w:p w:rsidR="00FD5242" w:rsidRPr="00B80475" w:rsidRDefault="00FD5242" w:rsidP="00B80475">
      <w:pPr>
        <w:rPr>
          <w:b/>
          <w:sz w:val="26"/>
          <w:szCs w:val="26"/>
          <w:lang w:val="en-US"/>
        </w:rPr>
      </w:pPr>
      <w:r w:rsidRPr="00B80475">
        <w:rPr>
          <w:b/>
          <w:sz w:val="26"/>
          <w:szCs w:val="26"/>
          <w:lang w:val="en-US"/>
        </w:rPr>
        <w:t>APENDIX</w:t>
      </w:r>
    </w:p>
    <w:p w:rsidR="00FD5242" w:rsidRPr="00B80475" w:rsidRDefault="00FD5242" w:rsidP="00B80475">
      <w:pPr>
        <w:rPr>
          <w:lang w:val="en-US"/>
        </w:rPr>
      </w:pPr>
      <w:r>
        <w:rPr>
          <w:lang w:val="en-US"/>
        </w:rPr>
        <w:t>Table A*</w:t>
      </w:r>
    </w:p>
    <w:p w:rsidR="00FD5242" w:rsidRDefault="00FD5242" w:rsidP="00B80475">
      <w:pPr>
        <w:rPr>
          <w:b/>
          <w:sz w:val="24"/>
          <w:szCs w:val="24"/>
          <w:lang w:val="en-US"/>
        </w:rPr>
      </w:pPr>
      <w:r w:rsidRPr="00096D51">
        <w:rPr>
          <w:b/>
          <w:noProof/>
          <w:sz w:val="24"/>
          <w:szCs w:val="24"/>
          <w:lang w:val="en-US"/>
        </w:rPr>
        <w:pict>
          <v:shape id="Εικόνα 1" o:spid="_x0000_i1028" type="#_x0000_t75" style="width:417.75pt;height:352.5pt;visibility:visible" o:gfxdata="UEsDBBQABgAIAAAAIQBHPW7kCQEAABMCAAATAAAAW0NvbnRlbnRfVHlwZXNdLnhtbJSRQU7DMBBF&#10;90jcwfIWxQ5dIISSdEHKEhAqB7DsSWI1HlseE9rb47RlQQSVWNrWm//+uFrv3cgmiGQ91vxWlJwB&#10;am8s9jV/3z4V95xRUmjU6BFqfgDi6+b6qtoeAhDLNFLNh5TCg5SkB3CKhA+A+aXz0amUj7GXQemd&#10;6kGuyvJOao8JMBVpnsGb6iULRGuAvaqYnpXLOdJEkrDyrdcij+Ls8cTMsTVXIYxWq5Sl5YRGOCp8&#10;11kNoo20OVI3MyWbqoVOfYyJbfY58tQyYL+YZ93sNt//TkQYaYEsFX52Ls59RSaPmjTYQBecLnc8&#10;d/lrT8Z/YoTpv4tqM/YG07eVPH5p8wUAAP//AwBQSwMEFAAGAAgAAAAhADj9If/WAAAAlAEAAAsA&#10;AABfcmVscy8ucmVsc6SQwWrDMAyG74O9g9F9cZrDGKNOL6PQa+kewNiKYxpbRjLZ+vYzg8EyettR&#10;v9D3iX9/+EyLWpElUjaw63pQmB35mIOB98vx6QWUVJu9XSijgRsKHMbHh/0ZF1vbkcyxiGqULAbm&#10;Wsur1uJmTFY6KpjbZiJOtraRgy7WXW1APfT9s+bfDBg3THXyBvjkB1CXW2nmP+wUHZPQVDtHSdM0&#10;RXePqj195DOujWI5YDXgWb5DxrVrz4G+79390xvYljm6I9uEb+S2fhyoZT96vely/AIAAP//AwBQ&#10;SwMEFAAGAAgAAAAhADuqc6tsAgAAvgQAAA4AAABkcnMvZTJvRG9jLnhtbKRUUW/TMBB+R+I/WH5n&#10;SbN2a6KlE9oYQhpQMRDPru00Fo5tnd2m+w+87ofwCBJ/ofwlzk62dU9II1Wqs8/+7rvv7nJ2vus0&#10;2UrwypqaTo5ySqThViizrumXz1ev5pT4wIxg2hpZ01vp6fni5Yuz3lWysK3VQgJBEOOr3tW0DcFV&#10;WeZ5Kzvmj6yTBp2NhY4FXMI6E8B6RO90VuT5SdZbEA4sl97j7uXgpIuE3zSSh49N42UguqYneXlC&#10;SagpkoSaFtPJMVortIrpaUmzxRmr1sBcq/jIiD2DUMeUwfgPUJcsMLIB9Qwop3jYgEQ0tCp8R1po&#10;/Tea2S4VX8IAzT9sl0CUSNIY1mGh9nf7n/tff77vf+9/kEkUJ3KIB4drLPK5tvybJ8ZetMys5Wvv&#10;UG/sAvq4BWD7VjLh4zaCZE9R0vIJlZVW7kppHRWM9pgy1uvfrWGbRnF5afmmkyYM/QFSs4DN6Vvl&#10;PNa9kt1KYqLwTiBPjr0ZMFsHyoShAzzwT5hG6gYfQAbeRi4Nchr3M1Y9OFICj5xjdt6hlqv+vRUI&#10;zDbBpm7YNdBFHORIdknn2/ifwshdIBw3Z8VpeVxiT3L0TaezSTmfJdFYdX/dgQ9vpe1INDALZJrg&#10;2fbaR87I7f5IjGZs1DIF0Yb0NS1nxSxdOPB0KuAMatXVdJ7HZ2AVy/bGiHQ5MKUHGwNoE6Flmi6M&#10;mrLaIMRNK3oiVOR1PCsLlFeoOGenAyhheo3fCB4Ay2DDVxXam5Y5FClPjDysVxcayJbhrM7z+BuT&#10;t/foKb+DwEn9qPfYWCh/OjJOcRy9wzXah5+dxV8A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DBBQA&#10;BgAIAAAAIQB8WvHd3QAAAAUBAAAPAAAAZHJzL2Rvd25yZXYueG1sTI/NTsMwEITvSH0HaytxozY/&#10;KWkapyqVigTqhcKBoxMvSYS9jmw3DW+P4QKXlUYzmvm23EzWsBF96B1JuF4IYEiN0z21Et5e91c5&#10;sBAVaWUcoYQvDLCpZhelKrQ70wuOx9iyVEKhUBK6GIeC89B0aFVYuAEpeR/OWxWT9C3XXp1TuTX8&#10;Roglt6qntNCpAXcdNp/Hk5VweHi663er6ZCb+tG9b/1yP7pnKS/n03YNLOIU/8Lwg5/QoUpMtTuR&#10;DsxISI/E35u8/DbLgNUS7kUmgFcl/09ffQMAAP//AwBQSwMECgAAAAAAAAAhAIkmOzYX/QAAF/0A&#10;ABQAAABkcnMvbWVkaWEvaW1hZ2UxLnBuZ4lQTkcNChoKAAAADUlIRFIAAANsAAACXggCAAAAR8sR&#10;FAAAAAFzUkdCAK7OHOkAAAAJcEhZcwAADsMAAA7DAcdvqGQAAPy8SURBVHhe7J07buNI14bZ/x6s&#10;wF+gdAwJGKdegAVl3oNhbUCd9BKctDYgwXtwZsgLUNoDSNCkDsaBvAj/59SdZJEsUhRJia+Awbjp&#10;uj7nUqdOFa0ff/b/RfiAAAiAAAiAAAiAAAiAQBkCPyiI/Puv6zJVUPb8CPzz7yekXFlsoFcZXZMV&#10;IaYmabt9gXxb5Kv1C3lV45auBZJE4P/qool2QAAEQAAEQAAEQAAE+kMAQWR/ZI2ZggAIgAAIgAAI&#10;gEBtBBBE1oYSDYEACIAACIAACIBAfwggiOyPrDFTEAABEAABEAABEKiNAILI2lCiIRAAARAAARAA&#10;ARDoDwEEkf2RNWYKAiAAAiAAAiAAArURQBBZG0o0BAIgAAIgAAIgAAL9IXAeQeRu9UN9fr5/aeHY&#10;h/Q78/zr/acsutoZKeqSopApkCoWqXJOH6lHojY3LcqakvF/9UZ9ysolLiX5ryR0RTghJhbWz/ed&#10;Fq4ju54Iwj/NBKW4Pjr6mav2JARPOxly8RfujcZnTTTtOgRSj8Lnimz1HtdwqfbC5RW4u7Q364hM&#10;suYrh5fgFmL1rnt225AE0gtB/LGlcnqRcV/e5SbNJHtVCpW7F51ZLI9RhmZABYtSrexiVGKRz/ZU&#10;tky2BeVUPwZaTt1meMb1gc2iUOtSlhUIoPtBJE99PJuvD9/8efx41pGgffi9XS4mAydsnM/n0exF&#10;x5u7zSziJ85HNndYU7GxXXmp3HK5jBZvf5LGt5i82phUtDN6oMrq8df7C/Ww/nV/FUj9EopVkUvO&#10;vJOEr+5/s7xZRIRWCP/3/YAbcGVHTqQngsiZprYNJiQ1kDXep8kJdAlxpNuhAmnNl7V0YWF6Vb3P&#10;JdhBLvCsCWbSu/ap/VXc1tLuzvFmzt65Q3Sz5ptU1CKrl27AcbNBZJKVmhBZDL7X7tLmllqVgmYn&#10;V7HVwas5NehAljOpSbdNMyUm6/U3WZ5KdFDQeI6jq4FgvImmeLpe2hpNltalLKvEvDsfRH79eVs4&#10;AdroiX3I7nXiPpSBRDTbmEBvOrWxoBDadOqBcnU7dUJLUe7u6S4VRfJy7MSkqqGr+0f1WIxm+dir&#10;EDKqJpcMzfQTLlbj+ZDCyp4IosQ0MzXZISrQFX0C5DJ62pLBpPZYRS1f1u9DgHtnHEav0N3ZtoPE&#10;2h78xHwrc9MzKEEmMenKXYeJLBNxsYDsqlRidsXNVhV6U6DCJhtfsu2cCjxVUeMBjq4qv2S9pnjW&#10;Nd6AdroeRIpYJbq5juX4vj73NDX34dX1DT3Zf5oM4q2JBaXQbn0sYo2LfCWtrKNUFLkf3omso8iB&#10;Oh+VHBqMOQ35MAqgfTlFqsrFTyCLsLc0J51//BhMovVBJSV6IoisaUog9gZHtian0bmEk+2QQWVo&#10;fkwugyHtxBzTuxwlD51JNvDiFgLoFbq7fLEWj6HJEu58y3BLKyeNupBM5szKdJ1sJEBkiSpeAXln&#10;xJPSS17h7JqQe1OgCicrkXrXHV76cz1VYeNBjq4WM2mKZ9Zg01qXpYfh0+16EBk+k0RJtnQ+l5Yx&#10;ZDLC0+a3oOzuk/ilEO70loJVXdNpcHD/yx5e2+dX4jF9+paGrCyVzIoZhH3lOSHPRzhO+qsngsiY&#10;pjmhKNRkDzqHcKId8ZsScqlfKc6kxVzX0cQc8sXaxAgq9VGKm085i3vNWiBLdV3cTVEJr4DSM0qv&#10;SvkNNyD3hkHlzLcIzpGe6sjqRRqgf98wz7T+p7WummW5E+56EJlKMfLg0w89Ww0+qiaGlCZMx5Dm&#10;Rpe+KyBuNXJxkeOi3Gf6ih7Hi7Px81tMXeRIPB2EKtW5lqssl8wJywgpRdhfXp3t2vsLPRFE8TQD&#10;NFlcw7DoClSwUC6Hj/RZwbmqdYVxFwLPbzOAXoi705c6gsVaYaa1VDHzPZKbGEwhGf8CeWTXASLz&#10;oEq5rHQZM1p5wlI4O4FA3qo6jdwbBFU42QQcL+GsFaSwcUmyxAJUzRYa5CkHeHyAGDLRrgeRsfcm&#10;aEJ0QZZfpqAjZzfOU1ceYkfK5vZEQIinLvjJd3fU2xxJu5TWuljQiolP/MWiELkIO9avLEneIu/r&#10;fEoRFipwIt95xvIN0eSy6HLlslv18TaH1ZBM4AEKzy+WhtALcXdkkWdgEXa+IYpabIdhZBLtNCEy&#10;39BLCyhsdqWbLcaqSjQKKmyy+WPP9FRhjZdagIIpNusrKgzr6CqdDyJpg/CbDi9nY3nta/DxyId2&#10;oyc+0dQP6e3t5Tb+1h7vLORrM8ExpI1pZM1UhCKuVOOjCJSVC4lMvkQvk73LbewtS9loGcKn853n&#10;JmJzZvHj5+o1Hp37NTkDndNO8vZvWvN1Ya/pnRvB6uNNbocc4HkKX5JeiLvrdBSZmm8ON78wMpQz&#10;jEysyWZEVhxFZpubqRs2u1N5woZBhU22wFSzVpDAxsssQKWdRsM8Q+0oQA8Lpvrjz/6/v/+6Lg0E&#10;Fc6KwD//fkLKlSUGepXRNVkRYmqSttsXyLdFvlq/kFc1bulaIEkEup+JrEvcaAcEQAAEQAAEQAAE&#10;QKA2Aggia0OJhkAABEAABEAABECgPwQQRPZH1pgpCIAACIAACIAACNRHgO5E1tcYWgIBEAABEAAB&#10;EAABEOgFAbxY0wsxY5IgAAIgAAIgAAIgUDMBZCJrBormQAAEQAAEQAAEQKAHBJCJ7IGQo4j+NiP9&#10;EfVeTPUEkwS9E0Ctv0mIqX6mYS2CfBinrpSCvOqSBEjiT/zUpUtoBwRAAARAAARAAAT6RQBvZ/dL&#10;3pgtCIAACIAACIAACNRCAEFkLRjRCAiAAAiAAAiAAAj0iwCCyH7JG7MFARAAARAAARAAgVoIIIis&#10;BSMaAQEQAAEQAAEQAIF+ESgMInerH6tdkon34fmB+3r/+fP96/zGjRGDAAhcDgHyQ/SWJ3/gjk4u&#10;1RCnH1Lm5ANFBzECmTJR1lPKdC4kgOmIiqSDSOL7wxM31jxe0YuVe75QY/rDNdNhbc3DQ3OnIxCX&#10;NbsAKU77UxRRmVJO4XSjbadlG1YkOGRap1PjGPsV7SfDGfMwYbKqqB6iU0z8BlbqKk+mgL7enyc3&#10;W/oLXN+HdTR5VTv2eHFEmBXsUCJMaOHXn7doensl3U1G6G7KsB+qbA40Yq/hVJhJR6tkefKTD9eN&#10;AXavk2h9+P7+fX8leF+i1/GooVczDfhmFS8ZRH69v+yXy/lsk8o+1q4Z87l1mSUaHz19fz+NSlRA&#10;0TMjQO59HG3ZKfT1s3t9m5JfTMQV7Bk2d9tlFpU5+1JZaT+uFITvVi9D0QaHM88qSb9bjfeqZfvY&#10;95AtU39olMs7WGlcVGUEdHX/W8lyrqv12SLKewKKzd+m66SxcMghYki/iYlubJmjzIFCmpjh6O1B&#10;+amgRoJAIga4uVZLxWXGBlaPDtM3qUVeR+2EkM0qXiKIFHuwh4dpPIr81Js2NzuUfmj3dmI34GaT&#10;3CyTmet0upyNExsHN5she6Oqg8liMRmoNEgqLan2iroh3h696wE7D/W2s9LqCjNujMBuNaAIqt/b&#10;hNGTDhgOH4v5cCDhB7tICkC2y4VKaiWsUrqgjByM6ffqdjpXEt9tZstHFdBf3T8uF29/viLvQ6si&#10;tBWdIYbMNpmYgBjq7OX9ffUDil+blxEh5K/760SDVm/9Jiaswyh8XeZQ26zOpCHvEuy4HV6f5crs&#10;5jLNz+kYIDlvEwNQ0fEsmo09sUGe31ttzoQkD/Prcx+pMJn8hlwYfZrZ3pTiQaTK4wu3ZnORs7fo&#10;VzI9EaUeCrOVqZBtxLHh6E4uOMyBYtP1Qyoxcfu0Zffp3kp0shnbG5EMIXCHtdyNJ7binLGyOZL9&#10;2IS4s8nHoxiHCVLTzbaHHD1nEyB30PMkpGRjPGBVGmR80f7zixpKWCU7bmM1SYsygiGDXUjHxS7M&#10;+QyGHFx6H9pS4oQpbe5QfIeAFpCiuZhMoq0Qh3e/DXSlCKgQMnWUwfGhzo9nmZhbRndazRxGT5Q5&#10;otwHfQa0IPVqX5xegp182vBtssiRZ4nFmorymQddBknFBjl+7zDcz0rpU3uFZQpNhMneC0JWM13f&#10;0rDixYJIexeEXJyN7nQiQuQhPg5ytMmHPBuRLqQPbQ54ATNRpG03KY3Rg3MNKL58civ5H8rSpHMk&#10;YmxbFa/TSqo+dl9S2Gx7GoOel+t1I1cpuk5aH2Z+H4YvlVPnFAV6rJIWybk40Mv+yFt6VRc9kYbU&#10;ucuug251fCJMl5l3cQVB74JN7rnV0Z1t50J9fQoYiw8zTMwTQ1Y2B7Y+WowoB0JRwCXe1ctWkdQS&#10;7LgdjiNylev4xTrf7xUOoDuqL1NoIkymT9IlZ2lmw4rnBpGUQHDjQJ1GDCeqpsrTFRsDDhEpF5kd&#10;Q0aUZxRnOZ8m1tOXzPlelj5RCx2BuRuRrGDvrldpNrR7lAslwFsM/+f6/pezmoa2d7nlzAFyySmy&#10;z1bH4EmrLGiJ977Z9wlo45auH3vIXgRH2YXi0gLSiyuvFpS3+vnzWV3aK2wBBTIIsDqq1I0861TB&#10;uS/HSE3ETCxVpro5qN3B04jDVd4jXGIYme3JK6tnXYt1Sb9XebxtVczUzMYVzwki2Z3pq/niLFhH&#10;kTonySkGs0lOPuRbVKnXcehh9Pb6qt6H89MWyciJyjo6V8B4McqXDx2tmXRpbGypaqWabUsp+tIv&#10;J6jNS6jpkIPvi91MBpfocUMlHLsptJnpGzGh1cWJtUw3eqySrCZ7e0g988mbczYkWtBXToSVUbve&#10;h3J4wovgKLtAVkZAkSOOK9pARYsCpxeuBL0t6R6HirNOoc7xe7p+E0ve5T3eHLQQvJuvc5dQgSeP&#10;Tc/Rc6Zsf6eCBvuwjsU63+/FB3CWUkhrZs6O6tQztEFk8pjLXmlcTqNncbGDbjr90u/Mph6yC6SX&#10;QuN/EYGjyNlMvg+X9XGTy6MnDiDkmXi01ElvbsW8WGObUeGGvHRC52/Zby/6mz01W7SfsW14Eq8P&#10;SynTpdbUuSmJK/3KVY9o0r7KWBJditSnGPLCubpI7jnk1rdJ2HbUyklplqRVilBF2ViiEelcVRJH&#10;X8HxWlmW6eEoO09N/QISeyZpDRzAf4uLdH3eQ53E0hPX8r0mlihzpDk4i06GnzvJRJtslG595nty&#10;d7E2buc5muqVXXp6Vn37sJbFOtfvPUePpU85m8Tq9BW/E6l9slczzR84alzxfvzZ//f3X8mX2Gok&#10;Rivf5q5fl4prpFdXU6R9lFyuq7W+tQN6ZyFxiKktMXWfPC3Gz9Gv/D+SFFKmLcL19tu2vC4nKGib&#10;ZL16UaW1f/79LPzGmirt2jr4Wx/H8UNtEAABEACB4wjkXcvXLYeUOW4UqA0Cl0jg5JnIS4R2fnPC&#10;hukYmYHeMfQaqwsxNYY60RHIt0W+Wr+QVzVu6VogefpMZF2yQjsgAAIgAAIgAAIgAAJdIsCZyC6N&#10;B2M5CYHbm/9B0JXJgl5ldE1WhJiapO32BfJtka/WL+RVjVu6FkgSExxn16VOnW4HWfdjxAN6x9Br&#10;rC7E1BjqREcg3xb5av1CXtW4pWuBJI6z69IltAMCIAACIAACIAAC/SJw4rez+wUTswUBEAABEAAB&#10;EACBvhBAENkXSWOeIAACIAACIAACIFAjAQSRNcJEUyAAAiAAAiAAAiDQFwIIIvsiacwTBEAABEAA&#10;BEAABGokUBxE0pdB/Xz/kl26P9c4iFqboq9UwhfP1koUjYEACJyQALlV+d3Zni9EP2G3PW86ZDEL&#10;KdNzjE1NP1MUynpMkBIyIAQJIZRCy6SDSOL7IyQM43LnEa0Va8zRc4GzCVW4iL8n3tEbdgHyn/Yn&#10;UaaUUwjv/TxK2rAiwSHTOp0aYfbrByHaT4Yz5qEb5aQfOk9EE+fhHZpSiEwBfb0/T2629NX234d1&#10;NHkVtiCtIfHptUUEiSltHVYnk/Tstxx6dV4K4c9bNL29op+OsQu3+kXtE7I8eZCsjinkrte710m0&#10;Pnx/8/eiH72OHzOoE9b1aJ/XJ5sh5P+27pEmg0j6suv9cjmfbZQvy+5v9PT9/TSqezzttHdJc2mH&#10;YJ290vo5jrbsFPr62b2+TckvJuIK9gybu+0yi8qcfamstB9XCsJ3q5ehaIPDmWd1/rBbjfeqZfvY&#10;95CtSH9olMu7C/EOtWlhGQFd3f9Wspzran22iGIZeKxDOhKpktubycDd1XDsIeJDr87L7vLLBNsF&#10;dRGzIL1PKJ4TSvgJJNbrm2u1VFzmOm7V5zB9k8rj1T0nhGxW3xJBpNh6PTxMA6JIJ/nmpiDMho+3&#10;Ke96O23NN7U1tFvuZOaiUrOrTaHlpXuMJRKLR+hmCWjQ9M/BZLGYDNQ2M9U+N79acWYByYRC6exW&#10;A4qgLmV7Ujhdb4HRkw4YDh+L+XAgCwW7SApAtsuFSmp57CszPWP6vbqdztXIdpvZ8lEF9Ff3j8vF&#10;25+vyPvQToW2ojPEkNmyjwmIoc5e3t9XP6D41cwlwzpoMVsYLRzdLaP9p7qWRauw0WqfzqsYMrdM&#10;Fbs4YnrnVLVo6ee4QC72bi7T/Oxd92PzN+s1FR3PotnYrrzu1TuVyTdxhWk4IEjoDu+vz32kwmTy&#10;G2JhLHC/TY89HkSq9L1wa8W5SDNWJwVBGz6dwYii2eTjUewCl7OxVhoTI4v8MwVgzzrpso1UId1u&#10;lWYPw/0sn2Fej/EYP2uEtEGVx0/8IaGSaA9rmS+gOfnbX8wiRoFkQr5wyB30PAkp+ZjIryoNvWZ6&#10;tNHZxWbqI6+/0nGxC3M+gyEHl96HtpQ4YXpAHjJP152ghmkuJhPKmbF7cG91NL0aXFZ/V9c3kV3G&#10;SHMXHwdnZ5RMlFudtzFkdpkydjF6ohQSpRjoM6AVsQ8b5Lyl/zB8myxyVC1r3fdUoaJ85kGrcWJl&#10;zfV7xUFCZwxBJqhEmGwvCBW4X8o2NKtvsSDSXgEhF0ebY7NvK2Jqsx20L7Cf5VbaCztM8aEIei7v&#10;mKgPG65I4dGHqjpbxdhSyr8La5bj39zR5vcYNEKGQ0L1X/nKaH+ORbVIifj3y/U6IAke0tJ5l9GH&#10;md+H4Uvl9DVFgR5tTNlgmpS8pVd1rRNpSJ27PG8xnHj0IkyXmXdxBUFnUUzu+cT9X3rzoydOX6h8&#10;FK3FhitnchLxYUrnQ8qEAmQzpFCHUg0UDvTiqnDe0l+8Rpv7wLF1P5Q2lcv3e4UDKNHTiYvKBJUI&#10;k2XGKujTsL65QSQlENyITpxbhXzszXC+TKWPwUJqijIKEEOKbSeObDan/6wes6oky8ut0t0m6+2B&#10;su0Ho7qUgonNgjOt6/tfzmp6KfOtPg9zgFyyCQ4V1TF4SW3kvW/2fQI6Xk+PJPaQvQiOsgvFpQWk&#10;Y3peLShd9fPns7qrV9gCChQTcJNaS30oKE4DYzGkR+dDyjj959mF2iY8jXhryJuFCwojsz15sXAy&#10;StS17pf0e5XH23rFpO41rm9OEMnuTF/NF2fQoVGkc2+LV5AcqHykEAtN+e5V1sF5pWY5DZIr1bwe&#10;qWKJEZKDopA5OfqC9lvXuPYHQIlcfV9P3F1PhBx8XyxxCb79MTc7gthNoc3MLH7Bo6ATa5ny92hj&#10;SsPdVqlnPnBzNnOiBX0owdbF7XofynaEF8FRdoGojIBch3NFG6hokec/gxUABRMEGLgKHJMXdtM6&#10;z9dJ4pd6j7cLPR5vtHmm4irw5LFZOW4nvkarBdQ+DF/3s7Hl+73CIKHj8shxv6mRN6FvNohMHnOx&#10;hoTlIunUgFZ9eSQdLfNOk4WbVEXlKR0/oVdJfX8lrVKzz9GjLxdqDjV+vkfZPZIEAkbovFYz0Kd+&#10;JFYxL5pTzow6rptNDY+ubBiZ8xXZVJJeHkNd0H69JNnRg7UJfr1UAZL3wtVFcs8ht74XwmYo79f5&#10;7Cut4WZ00rkaW5EXNlRQL290kb6Ldr0PqTCOsvNE7ReQ2DNJB8gB/Le4z9Rf5S9pK6a4xzocT23N&#10;iO9sObscr86HlAm3C2chI9P0Obyqc267XqEntwN03M5zNNVBgr1wYB+Gr/s500+vwrEBeIOEtmn6&#10;+o/fidTXIv3uV/+Bo8b17cef/X9//3XdRX4YU30ESPsouVxfe/1qCfTOQt4QU1tiOiPytCo/R7/y&#10;X3AMKdMW6lr6bVteFO5s7oJv+NUy5RM10jbJE02rRLP//PtZ/I01JdpDURAAARAAARDoKAH77mj2&#10;AEPKdHR6GBYINE8AmcjmmbfQIzZMx0AHvWPoNVYXYmoMdaIjkG+LfLV+Ia9q3NK1QBKZyLp0Ce2A&#10;AAiAAAiAAAiAQL8IcCayXzPu5Wxvb/4HQVeWPOhVRtdkRYipSdpuXyDfFvlq/UJe1bila4EkMcFx&#10;dl3q1Ol2kHU/Rjygdwy9xupCTI2hTnQE8m2Rr9Yv5FWNW7oWSOI4uy5dQjsgAAIgAAIgAAIg0C8C&#10;eDu7X/LGbEEABEAABEAABECgFgIIImvBiEZAAARAAARAAARAoF8EEET2S96YLQiAAAiAAAiAAAjU&#10;QgBBZC0Y0QgIgAAIgAAIgAAI9IvAqYJI+uYo8d3Y+IAACIAACIBANwiErEwhZboxm/6MIlMm6hvS&#10;S4Ub9L2L+Hb62nTHDSKd76v/8aOUTGobDhq6fAJxA2alk/Zsf4oiKtNrBXRMMc6BwPzw+r+Y8Vb3&#10;kKJ9/rjdmofu4/RD54loAm7aGLPHtbrqLhTeRR7Tf8u11zYR7Blz9dB8p2GmiZEn+vMWTW+vqMNj&#10;zMGtfpnraZYnD5ZU1YIsFu1ddq+TaH34/uavQ3efV227K/U8qlegjT7v4HXddU8xkYmcszjoc1hH&#10;k1extOMDAg0TIPc+jrbsFPr62b2+TdOGyA5hc7ddZlHRxkvWux9XCsJ3q5eh6Jft/1mdJOxW473j&#10;FuRj38PRk/Ad4kOjXN6N+io/77yXW4XmZjKgFfDqdjrff6rDmq/PfRQtPg6q4m4zm8sohtdFMgZF&#10;9fFDCwVkswnk6SGHHIKs38REo7bMUeaQtBGsp7UpLUv4yXqXm2u1VCSe19Zf8w1Z/3qYvknN8Tln&#10;uVTG/Io7Vq/rrn8yGcfZh4/FfDhQTkzlJpzdFKeWV6ufNmGRt1l2N4YqWHY32npH7m7WkcOoX9Ln&#10;0uJuNaAIynER5zLwGsc5etIhtDXEKAp2kVf3v7fLhdoFWrsyVpVpraZfjnBsQLN8VAH91f3jcvH2&#10;5yuiKCf90AL4en+ZIYbMUIjR3TLi6PHq+kawpA+nvtbr5Wwj9+0UUqoYUoDcGmOwelGjsl1wUyk9&#10;tHrrNzGx4hndrsscLpiwd2qcoXynE6bEeYRxO/xL6YzcXKb52RMwJLoxR9u8xZpFs7GKTdwj7zy/&#10;t9p0XCS8qVShMTlzaf8ebSS/sTB+VvsVO7UCL10bg0QQuZgMhOTHZifsbOu2NyY7QdvmWfRIEbBY&#10;7JyAVz6IfTwt0Hxj/vNhxNu/G73hdncZtc0UDZ0BAXIHPU9CSiEZD1iVhvYoX+/POqm5jcbCc+db&#10;q+qfvJN0YiJHZj+DIQeX3oeO8+ITJrJpfDwEOLCRIaL1gocPSo/dDucyirSnqZG7hwDNsgTESaer&#10;h7yq6vx4lom5ZXSHvFiXN4fRE2WR5Ho6+Hjs16I2m9CMxYnETHodx+0chm+TRY4ss0IOTxUqymce&#10;FDgk4o5cv3cY7mdldanB8qSZAwLEobH3UpDVRtqHRnrnGUXkm+1hRrGXrm9GGcfZ3xQw8pmLu55x&#10;zG8/c2udzuGLd2B2T2BaMP7TOEx6wtSQg6xPtmfY0nK9VivpGQ6+xiHT9lOeURyGL5UOpnkstOyx&#10;v7EbQ5EAK7JWYfLPtKOrmgwW6R+du6yRybk3pRaFAaFVKx57QT7CJpGQrPT5tl0jzn3G7Y4/rYex&#10;+DDDxDwxZGVzYElShHNYzyki6NfKptPnvJkVH8ft8HlGrmp4AoaSqpTv9woHULK3mouTZrLKqOsv&#10;STcc08bRE0fp6qiYIk91fFzzgIqay3o728lkmAwhz6z8R05aLYmmhdHDOqKzHGfTLfcfdxtcyS/P&#10;+NxqmLtgqYFf3/+iC314gUCDMQfIJUXMPlveR9HOiK0r5J4p74Oz7xNQaiw9kthDSv/YI5aSo77o&#10;4vpOpJOS4p3zZqfjFooi2ScSTZMuSyYXLhpQvZNL66Evx0h9xkwsVaa6Och7OSRtDlf5mvIlhpHZ&#10;nryyNP0BQ/nmjL2F+b3yHbRQI62Nbtp2qY/AvSPzuu5a5pAVRJIxiRE55ylsld4+2dOpyz2e32e0&#10;IDzm66t+DU5XJCYUq9oUbS2TRCNdIsD5F/PWVtrV84U+kwbv0ribG0vsppAyxFK904m1PDLl7FbC&#10;mHKtlXrmkzcn2BQtvKh3bPRRrPehHCFHrzjKDpUWCWP28rJX8b64JfnsXicVoG30QWvIJUYiobTK&#10;lEvpYfx+pN/EkncojzcHPeTTreBloNRctsCTx3pz3A5Ttr9T7sk+DAk5iiaS7/fiAyhqqzO/T2uj&#10;OzT2+fF76DleuuY5/dn/p9+ojGUazaue9m3Q5XKpnlJJ83v5MqfJUXpK+FrQlezr4E6W09lD2Pc9&#10;8dMRBEhpjqhde9W0vih9MG+w0nlHd7SgcXquJVoM8feyYwYYM0EarsPOa5vaicQbSR41uNJQNbyj&#10;sQ+dY5jalaawwcbFVDgiUyCTi0BupSBEnFB8vzKE991Ayc6RT/POWbIM8ESZo83BNdiEuTYglJwu&#10;6pOX15Ora4piAPZnU3RO75AZ5pqR+9AbMLjCcX92O0uUSXg5ZwDb9bye5aU+klZcqRNfMVSvNmYv&#10;FGp6jgrWM+GUVlEA+YP++/uv65oj07DmKLLe3PXrvnEYmPpL0R0Bkn797fajRdA7CzlDTG2Jqfvk&#10;KYf7HP3Kv84RUqYtwvX227a8Lmflb5tkvXpRpbV//v081TfWFA8HfwakmBFKgAAIgAAIHEnAuXuf&#10;2VJImSOHgeogcIEE2sxEXiDOrk4JG6ZjJAN6x9BrrC7E1BjqREcg3xb5av1CXtW4pWuBZKuZyLrE&#10;iHZAAARAAARAAARAAAQaJ8CZyMY7RYdNE7i9+R8EXRk66FVG12RFiKlJ2m5fIN8W+Wr9Ql7VuKVr&#10;gSQxwXF2XerU6XaQdT9GPKB3DL3G6kJMjaFOdATybZGv1i/kVY1buhZI4ji7Ll1COyAAAiAAAiAA&#10;AiDQLwLtvZ3dL86YLQiAAAiAAAiAAAhcFAEEkRclTkwGBEAABEAABEAABJohgCCyGc7oBQRAAARA&#10;AARAAAQuigCCyIsSJyYDAiAAAiAAAiAAAs0QQBDZDGf0AgIgAAJeAvR9e/SWJ39+vn+BUUMEiHoh&#10;7pAyDQ23791kikJZT6EsXYD0vYurXdeJ0sS6P0iG6AaR1pfV6M5IXHH/CLvsuvKeZnxxu2VdUxaS&#10;0hDZv3h8HkZUPzDHFOPOMZNKzHirc/MKwzx0o5z0Q+eJMPm+Cs+vDpkC+np/ntxs6avtvw/raPKq&#10;1rZ4cUSYxTYWrrqirdi3HGaYlS0T3nigsRTPp/slMl36qYfOjLV32b1OovXh+5u/F919fuoxnLR9&#10;Yf2DyWI2dveVPiXMXCmc8ckyp3PHiUzknMWRcGfH0NqtxnvV5OOH9o/HNIi6F0YgQ0Pom9X3y+V8&#10;tun8fvEU8ti9vk3Thsg+ZHO3XWb1qI2XgpF9zPkED3G3ehmKfjmceVZZMUdC9rHv4ehJ+A7xoVEu&#10;70bBHfejYBkBXd3/Vp54rqvxMolPBoEQ1XUXII49prcMNNusTJmQxqW5hBgL1sFjtZg9zZP1LjfX&#10;yjASz4/tpq36dltJjvTm7Y88nfAroXeliA2cWnubrjNXjRommXGcffhYzIcDuWMzZy3JzJGbr+T8&#10;4mrFAW9WWnn0RGKnYhRfLyYDVa5S47wBetej0vG1u3M/XcxdA3E0kUVAaIj8iBTAw8O0p1Hk6EkH&#10;DI4hRsEukgKQ7XKhklopE1NJXl9yy/R7dTudK1HsNrPlowpfru4flwt2at6HVq60BZghhsy29JiA&#10;GOrs5f199WNAWwdnbYSnKEHAp7o51R0FzjQrW6Yuuygxn3Mu6l2gHbfDq7dco91cpvnZPdHwRxPm&#10;NJOKjmcR5etk2OGecub5vdXmbPDapcCr4f6VwpmdCCF/3V+fcsKJIFKEd/QZz+ZymybGIJMi22gs&#10;JO8kHLY3Jl8RRYtZ9EjFYvvl0RMV0REj1SXveVjLrTWVq974bPLBfVHCYyYHRZtGeSTEHzjiU6pM&#10;vW0nNcTGkLdXYnntZS7SeMBxtK2UgBrdLaP955fPfp1kSdxYXdfz520h9/dfn3tX4IMhB5feh7aY&#10;OGF6QB4yz1K0gBTNxWQSbYU4nIse9VpaT1qj/adSXV6qDtM3uaINaMGw6wLHh0WJcl8Z23gZu8gc&#10;xuWKJLVAOznaw/BtssiZelaA4alCRfnMg1b+hJf0hBbW7x2G+1mX0Yt1jwLjjIScq+E2x+ddKVQI&#10;eeITjIzjbMqiTgYUnfF4bWApliU3N0m7APuZe9cNoRHSlJO7iiMaX26lQ2BXLD70A2NHDrLLxuEf&#10;W1pD7FUkFutLD1820IeZ34fhS+W3LSgK9JgYrY1qg5ipKvI4pepWTKQhde7y/NSxwRGLMH234gSk&#10;uIKgHaQ+BGpwKJfSVUJ1Wf8pxqDEBaWr7OJQMYasbBcZw7gU6J55pBZox+1wjJQ7dZtEjAUYJXDl&#10;+73CAZTo6TRFZRztDZsSSpi3UoiiDXjirLeznY0yx/nqI3fK+h44X53Sh175LHmmdMCmT/edwjU0&#10;rqJIgf1ugxv9p1HrOlqVexDvx9UQSmS5Oxef2tQxmrNowxwglxwt+2x1HyVhYkUN8Y2T7GNVOl5P&#10;NxB7yNIrzPIUDeLyf68FpBdXPqOhrfbPn8/6rt7lM6h7hknVVfH504i9C0fp+kJWlTxkdbvIGkbd&#10;02+jvRyXXnU4VQIMX18l/V7V4Z6wXjpsylFCz0rBfllkNPlomX8q9QZ7+MSygkjybRFtlPluVOJA&#10;0bmlxetF0ZbC3FmkYzFzAVZWOrJxX88UwVNg288j0HCht1KStiX6mp64fSAjDefPGPABEWsIL6vq&#10;ZSx5Y6F3UWTsppA0xHIio5MbmW70mBgdSGcDpZ753M85GxIt6GQwJxm5Xe9DOUQhPRxlF8jLCChy&#10;xHF1/2sdLfI9ajk96FPptOrGZ292OiEXdpNljrcLPRjvLuxM5eR36f7JOHrOcG0htVjbh2UCjCxw&#10;+X4vPoDuwd+tTLTn3prwaHj+SuHeCxCH/pVuRgXw+bP/T+cZY3lF501Ck21Uz+z7oUt6gVau9/qm&#10;o0la2rc09SD0zkB1Iyo6XYY3rm5BmLdAKVMaG7qzBUkOp6//Jhl0YOppaYsg0WipEBz9240hPQ8a&#10;n0nj9Fx1ttocfy87DilxKOCYQBq6VwzKiGMeQ7eSFJG2vKRlSztszfwaF1MpRYyf2riQEnhFQfP7&#10;LMdaqu9TF26ffPJMTPFzTSZrpfKYVQJ6RuMp15VpF55hnFokue3XJ68sl2701y7Wpuh8Te8KJ32L&#10;+9AXYMQiDFc+bjTgPs/xe/P1dj2vx03VR9IVmKsvibApvljG3L7LPOmFXUr1qh4FkD/ov7//Oum7&#10;OwGRLIqcmAAltEl1TtzJxTYPemchWoipLTGdEXk6+niOfuWnZELKtIW6ln7blhcl0DZ3F/H+6+lI&#10;Ujry8+FUqcNatEg28s+/n/jGmhp5oikQAAEQAIHOEoj9ifGMUYaU6ewEMbDLIEDn2KVvMbU1c2Qi&#10;2yLfaL+n2zA1Oo2WOgO9lsCX6xZiKservtIgXx/LJlqCvOqiDJLIRNalS2gHBEAABEAABEAABPpF&#10;gDOR/ZpxL2d7e/M/CLqy5EGvMromK0JMTdJ2+wL5tshX6xfyqsYtXQskiQmOs+tSp063g6z7MeIB&#10;vWPoNVYXYmoMdaIjkG+LfLV+Ia9q3NK1QBLH2XXpEtoBARAAARAAARAAgX4RwNvZ/ZI3ZgsCIAAC&#10;IAACIAACtRBAEFkLRjQCAiAAAiAAAiAAAv0igCCyX/LGbEEABEAABEAABECgFgIIImvBiEZAAARA&#10;AARAAARAoF8Eag8ina8Ep2+PopeXfpgvEy8iW7Z8Znvu15IXdVry9zTG4PmUbBrFQQAEQAAEmiEQ&#10;4spDyjQz2t73kimKKmHDCSOEHgrKDSKVNDjwKxH6ZYdyr5Noffj+Dv3+x13J8mWk5Z8aqdKP1a5M&#10;Oyh7PIG4AbNkpAzsT1FEZXodqzv6GufAKuvV2ZiGV9dq0X7S/s1D1y2kHzpPRBM9Ny2vPnsdkXyY&#10;UHhJ0zJ0a/baNnI8UNo6vPosWrBfbli5TKBdUGfekse70pZbyPLkJx+Wu3C7YcOlLugeDS3SKOf3&#10;J/fDiUzknKM++hzW0eT1+PCq7Lc/li1fRls9Uxs9fV/Et8CXwXAGZWm5HEfb0L3HGUyo9BB3r2/T&#10;tCGyX9jcbZdZzWkNJ+vdjysF4bvVy1D0y/b//P4letqtxnvHLcjHvodsTvpDo1zejUpP/CIrJPV5&#10;uZWUtjeTgXbw8+UyevsjgUvqm9l8Pjf/Wv0YaJUg6UzfanDOF8baZx1efVZ8KWUxvb1iTfbofEiZ&#10;YLtIGgtkd6zqJRZuEzZc5oJuFc0Yvlf3HOex+kErqPbFT6f2wxnH2YePxXw4EBs2Or9drcxO2c02&#10;OPth83i1UfZH05hFs7HeYHsC41jL9PtYee1KdWLE3anzBuhdHpW7W/XUGPyqaqcm5mZWSl+bsdxK&#10;avtvcwNiKXCzZ24W4liL6Vn93YqXy5Mrfqepjp50CO1oaxTsIq/uf2+XC7ULTGipDAtVujEZaZp+&#10;r26nOoChaGb5eE+rLX2u7h+XC451vA8t0q/3lxliSO0Js/R5dLeM9p8qcBzeTZ19OwHcrx+niqjA&#10;6eyqSL79tg+f8fqsw6fPJkZXWl21TBW76LTTqW9whQs0rd5y9+TmMs3PGTGGMz6zcCfCBvfIO8/v&#10;6SilvimfsKWvz32kwmRt+AXul3+9bdBDJILIxWQg1pfxbC62aeKzmEWPFNWKdc3JNtBGWiUrnFB5&#10;uJ+JOlSOkxEUDVM13orbZMZ+bMIx23KsvJWItzv69WzywUOiPmZjrY66i4MeQ1yw3qm5RVJtCk8u&#10;EjM0lfn6l1pJjWd/1rmBbcSDoDVBLLD04aOS9cOpNwAnVNy2mqZdR8+TkJK88YBVaegA5es9oaWx&#10;JGLmVRNS4IV0XOzCnM9gyMGl96EtJU6YoP7sp3L0mUNDx8sOKG6fbeTpjzxqFZt4+a8FQvKjXJLV&#10;Z9kML7PJRHm5MmXsYvREKSS5sA5o3WpweT8K2jGV8xfot8kip/GsRd9TJSNsYAea4/cyIoRj5nuq&#10;urQQDAgWZ+NsxqzA/dKv5/sXnSdo4FZRxnF2/KjFXRBsgE+ZQ2OR2hlyqiLNk9Ip6WQGF5sXLjWe&#10;7riiDrR5rdReIX8M1Jc8IIxNzR1rqs1cxWCXY+NSkVEwUaS9bnMq3brUdpfrtVlJL3WOIfOiLadU&#10;1sPwpdLBNHdCUaBHS/mc1G4QvYMhDzy5qbyVFXkznbsMmewFl/Hqs1oRBsTYvbPBvlNGkRSE3/gB&#10;2tOW4+8aXTD2xNRS+uyJISuVCUXIZkhr1mE9p3Dg5FfUQkd1ynIVFmg7nIxFv8R48/2eP0op0Xxz&#10;RWkhYK1RN2CCtx+LG5Fji6XZTjforLezY0ctrnh5eVHrG02u4if07qO07KO7i48yY2rpqVxd36gw&#10;kZKciTykKK0vN5k07cOaLzYhhixSC3OIlyp4ff+LLvThxQENxhwgFyFN/J5DRXkfJaWlBS3x3jf7&#10;PgHtB9P1Yw8pAkLezDDy6bNxG8k1gTzT7OX9KxnikB+KVI5SJmmyr8WW1JI+FPfocyqGrFjGwZdn&#10;F/KCDiUgeWvI95UvKIzM9uSVdauuRT+5OlceUNcrenVPD9qk2U44i6wgkuxMH8S7vTtXtHixkL+i&#10;Iy5zjktZiPRoqQA7R/ELcYijlrfCeXm789YqHIOtlTG1dLO7jT6D9xz78a0xffpkqtLD6O31lc+i&#10;9F2Awjn2rgAnbM1bW+mQgy/0OW8c9A4PTTh2U8hviPlY6H6JTDd6tNSxFI/K0wscdODmJMhECzHj&#10;pXa9D2VrHL0Wni/0Sahl9FmYxoC2rPG7AKMHys9jZ1VBa8iSEvosVyD3LLtambJ2oQefu+JXmGGb&#10;VQo8eWxomQu0WkRZKrJC+KKfPfd8v2f7apNe9b5z3C836k6+VLhVdUQZdyJ/8AVDT/J09MQLvLw2&#10;GdELheJzRdmjSD59jh49+UnlR+WlkMQhTu7Avd15axSOIdJnz1lTSzc7GKpZef9gCfdIL8HKj06d&#10;cRQ5myGGLJCqeH1YapFPz0js5q5rVcU+53oUNBjN4rfslCHKs0z1/pnnkNtouHg1TwaCaS11LCX5&#10;Z2Wkc1WnrfoKjtd4sywaR9k+vQvXZw4Xo/RtA05hGccrbqyHbsPP2QzKjd1jHV59TtxXr1wm3C6c&#10;VSzD4ZWbaXdK02XPfE9uhxpboKf6zpu0DBk56Ifhi34OiFy/549SuoPVGUn8TmSuTxbvS4oktzP5&#10;UuFWVQI//uz/+/uv66rVL7keyYT++INKytA/NnchV6KDCzaKjrSPjsEa7fKCOgO9sxAmxNSWmM6I&#10;PK3Kz9Gv/L8fFlKmLdS19Nu2vLq5SFZB2zbJKmOut84//37W/o019Y6wzdYoK2AzkZTbCbnVir9t&#10;0qbE0DcIgAAI5BAIua8eUgaQQQAEFAFkInuhCtgwHSNm0DuGXmN1IabGUCc6Avm2yFfrF/Kqxi1d&#10;CySRiaxLl9AOCIAACIAACIAACPSLAGci+zXjXs729uZ/EHRlyYNeZXRNVoSYmqTt9gXybZGv1i/k&#10;VY1buhZIEhMcZ9elTp1uB1n3Y8QDesfQa6wuxNQY6kRHIN8W+Wr9Ql7VuKVrgSSOs+vSJbQDAiAA&#10;AiAAAiAAAv0igLez+yVvzBYEQAAEQAAEQAAEaiGAILIWjGgEBEAABEAABEAABPpFAEFkv+SN2YIA&#10;CIAACIAACIBALQQQRNaCEY2AAAiAAAiAAAiAQL8I1BNE0vdE6W+P9uDL/20rvDs4pFY4oFMQAAEQ&#10;6COBkDUgpEwf2bUw50xR0C/4y7dzApD0aOl7F8W3TF/Mp1VFTQaR8mvsSwulJmEc07v5+vEoqk70&#10;mAHUxCA2eGdSNTVfdzPKhFtTmbrn0432HKpx5ygU1Of/XDn4SwTNzBiA2621CsdVpx86T4Q6XJab&#10;DsKXVSgmHYmWH1lCzM5BTv+0/+qAUzpq8g1VTqturkLaLzf06rwYdEGZQLughrwlG+Jyum7ioVhc&#10;oU/Xq8KpbWf3OonWh+9v/jr07i+XVbEIBYq5hJh3jX9TZ+YiUbX3gnqxIJI6p++I/pafx49n4ewa&#10;+xzZ++jp+zvk662z53PkAE4B6vhJnWJUpk0iNnibkgWLz2H69npR27uTsstrfPeqqR7o+9s1VPYN&#10;m7vtMqvmnH2pEMR6Py63M1dN7lYvQ9EGd6vNf7ca71XL9rHvISur/tAol3ej1gB2seOl8qzbm8mA&#10;VoCr2+l8/6k87NfnPooWHwcth81sPr294n910Cl1ES5xSqtunkJy7CEQe3VeTjG/TLBdUBcxC4KT&#10;PFaDEsvizbUwlSjq+HJ53LTnc7sUJFoyisrPv95f9svlfLZpbi2mLzLRMcB6HmlHF1sNzIidVWo+&#10;p3HSL+Sjw3ouf6C1wy0k2zO/lT+r5hJd8S8Ce+cFaq3biY2Jx2B7EENx11xTNjak3OmLKemPHh9P&#10;yJm+fzxhFRNsE4OPj9MzkljXaXxGjNSNFWldP/lFJrXAjMX+nBJ9HkYHdRJ/oh2vytU1RdnOSeiF&#10;DdGdnazhwnXacI1MllIy8FicVSRrEYnh2Obi/anxeB/aJjI1I2zSFUu1KKaiEceAaJla2Qraa2M1&#10;Fn47IItmk/p9p8gnLEEMNsXRZ0XJivllStiFY8TdEGhN8oojsFPLWJWM2+HVWzp470pRvGS78YZa&#10;HoQnK4g07ACWzgpVWtvdCjWRLByDUCHyEMqpp5TPrv2SQXN6RgGkk4k8fCzmw0EyWnZ2c7SFtsnJ&#10;xSx6pKlzEtn5jO6Wi7c/YnvNGdb1QzwZ8fX+rFMs22gcS8iW6332Fv2SS6o7JjGQq/vfWpd4cFnj&#10;T+0KvAOgFL2zidyPTUI5Mf3UeIIqpseWGLwzyMwGZ5MPFgTZ4yxO9Lh9T3FtEvAiPNvkF30SY3Iu&#10;tMW60alxmWdOtVOgcsXz6GIJc/xJJwMJEwsbLlGJOM/lwe7kRZLma9pm2cr9vciR2c9gyJtA70Nb&#10;SJwwJUw/bNg9KEWJApVmtJp7+KCs2O1QZQ+csym/V+wBpepTtKqbo5C7zSzlupIV88uUsYvREx3S&#10;DMQVjwE56+POy6qTabJmelWybucwfJsscgYTvGSL1KOKpxJeMtfvHYb7WZMw6urr9okW+ZfU+XBM&#10;UZXzuLp/XDaWiyx+scZe5xm75Of+VcI4xvgpvcTIZrqYSGuixsxhTg7kjN6Xjyp45f7MKZC3nYwW&#10;wgRLTtx0xXLRETJtC2KLZGo8YRVLjC2zweVWOiUOG9r6mCs/mdfgMkSfxJicC01qNnZv13nayVW5&#10;togc2S9tJuTm9DB8qXQwzf1TFOjBRS5HH5VmDZI8MMXuVdc6jpKMPRzJ4ZKqsyJzGEFo1YqnnReJ&#10;hGSlz7d9UdAlcTjpXHyqm1ZIT3yYqhhSJnQqLFLKIXF6qOGdfugI6y6XWpUct8MLaW5/JZbFjHby&#10;/V7hAOqmUVt7owfnepNq1RdDynjAE3DWNhK3ISeIpCRDOh6TtqUWNHMUnTMUniblIn0xpKjlnLnG&#10;Ng/19J4aWPj4vQNItWeuX5SVhqdi+Nh8nVUeSdmRZ5W/ur6J1GZH7h3dYwhfpSzR5w1Itny3cV/U&#10;SLZTpHJ1TbiNdmI7lxIDYJ+tjhVKYicPzvdcM0JI2sukRxF7SGnIEgnqElM696JGDhYtO/rNTq8C&#10;FEWy6+Ttor5OGuaUzp1MXeP3q25aIVPxoadiSBln3Hl2sVuJi+NPI94a8n3lC3rjLCQRVFK8xy2L&#10;trOSfq/kKFsqLjKML++ftvuYorKuO2k6k/M67WidIJJ3ws4+iQyLlN05T+EBBgxGuMLX1zd5bTn2&#10;ET1k3Pcs17uOscXZUPoM3vYaPn7vAMiJm3A+r6/UeEIqho+N5hPSYIB06ixCwRspjP9PKygxMzPR&#10;ZZ7oi8dEoSTt4rlNbzs5KlfcdgdLuG89ko/glGK5UdLRkUw3enBxXKJunKQb5Tel6MDN2d6JFvQR&#10;ij6K9T6UrXH0iqPsUHEJq37ZKxdG27LF2zPlcc0rSV6nFNp4v8qlVTdDIUVi0nnpy1exuExZu9DC&#10;8EabZyopzqTb1/7yN4+O2zGLgph2cqWoEHKk8eX7vfgAzgy+SEZO9KFwXFGF89XvuXJWp5ko0j3O&#10;Fhfy6L1O+aHFhLbMoyd+mVAeQEd0HTXgw0v6bOaJIfm+4i/bQSL6KNX7cho9J86GnJHxCHjQ1EOJ&#10;8fsGQM/M/J1zqBSF1HhCKvrH5gze7SakwQDh1FqEd9YGD99QUIshTUycQv/48RxNlc7kiT5zUM5f&#10;RmH6nMLxtpOjcrVOuKHGyE8YM+Q/l6BSV/LSAN0DEWzTwbvegrKpblUgmMbFT4R18CfeiHSu6thV&#10;/40er+JlaSOOssupCC92i4XxlbwqL2J5XJ9TKtdFP0p7VZemnlbIxF19b8WQMuF24fh5Mk36SwdV&#10;L4p0TpR02dN4qoKJOW7HLgocXqRWihJLdjaQXL/3HD2GHKp2DrcckHsYH1fU5E0l53WBk87lB71c&#10;8/df1/X2Qavd5u5094dP3HxpFl0bj2cCFBHQqXDpmZ1PhZPK4OLpnY+c80YKMbUlxzMiT/vS5+hX&#10;/stqIWXaQl1Lv23L66TeuhZCoY20S7ILivrPv5/FL9aE4jTlkkcBpRtABRAoRwAqV44XSoNAPwlk&#10;3tV3cISU6Sc9zLpTBLqiqCfJRHaKNAZDBNrdMJ27CEDvLCQIMbUlJpBvi3y1fiGvatzStUDyNJnI&#10;uuSDdkAABEAABEAABEAABLpKgDORXR0bxlUbgdub/0HQlWmCXmV0TVaEmJqk7fYF8m2Rr9Yv5FWN&#10;W7oWSPI55ylerKlLQminLgLIuh9DEvSOoddYXYipMdSJjkC+LfLV+oW8qnFL1wJJHGfXpUtoBwRA&#10;AARAAARAAAT6ReAEb2f3CyBmCwIgAAIgAAIgAAJ9JIAgso9Sx5xBAARAAARAAARA4EgCCCKPBIjq&#10;IAACIAACIAACINBHAggi+yh1zBkEQAAEQAAEQKCrBOj7aFa7rg7OHReCyHOQEsYIAiAAAiBQIwFa&#10;o9PfP59oP6RMjUNCU9kEMkVBv6B3pH8UytJtmr53sdPxmZjTYLKYjd150aj1JzZb8dwzH6e8qHeq&#10;KSeDSNuvHiY/Ub3H5Og8h+6DQCGBuN2ylSitMioXdwNZllHY0SUUUI4x7RwzqTg1jnEXXmF4nVf6&#10;YVM+60wE7Kh4RGikdsfEpBVePkysgpKm9ftuzVIL5pngOnqY+aqbQma/My7DAbG0/rxF09sr+ukY&#10;u3Crlwx2joZy0gYyXfpJe1U4tWXsXifR+vD9zV+HfiExydf78+Rm+y0+25u3P+w4WAXHe54ofQ7r&#10;aPIqk5Q85c3ddulDPnqSbYh2ltHybnQawcSCSBrQOFKD/378eBZuj0fy5Ok96/lpxolWL5SAYxqP&#10;H8owxGL7sl8u57PNWeTz65bN7vVtmnIXuf6CRzBXLoZ8zD62gw0e3m71MhT9speS5p9yXvJxwqOJ&#10;h035rODpdKQghX/kVnmRk5+lWR8mA70UzpfLSK8WkvpmNp/P9QzIMw+0SpB0pm/WUjoyybaHkaG6&#10;Hn2WI+XYQ8SH3oohZXwm4LWLjOW/bWJn3H8i9ri5VqZ1gTHJ6Mk6Dp/EwqZMy+nsZDFk5ASRoqOt&#10;iRf16HX6kf5P+dXFZKA2U25aMpaD4D0f/3K1cvbXTgmzhXBSymZPwz+8y/z0RW3azthiGxv66Mko&#10;n0gBPDxMexpFWs9x+FjMhwMpgjB/QQWv7n9vlwu1V7UZLJPVSh83KBmbfq9upzqAoWhm+agCoKv7&#10;x+WCYx3vQ6sop/VZjSlkLR3tVhz+ebfhd8to/ykj9Wh4NzXZBbmHWj9O1QCkZ7aLCcnX114twz3X&#10;RnyqSxajoDn6rOJDo9VVy1Sxi3OFW3LcsUXc5tKN2+EVXj52c5luDOA/tjXDMLEHp71mER36yjy+&#10;G5Pk+b3VpuSMmi3ObpbnFD+cGD3R5pGiL/oMPh69ib2sYYps7cOJ8pCRG0S665VnNOS5Duu5yHYk&#10;YmPh8UQCg3Km8/UvueIsZtEjPeKyvBW3mdj9OP80ZvYW/VKZXJMNaVaI6K05AqOn7Y3ZmOhu1TGS&#10;MKZe5iKNB4ylsEpIZaQCFDoZ0RmsbTQWntvJoCQt2XrpP28Lub//+ty73Q6GHFx6H9piJ/ZZJTC0&#10;XZSWgkwJcmg4l4el/BlQ3K6VXeq/2jvwoeridGmEthHV3T/TMqkpx6HEHnIEmDzcS1bML1PGLo5Y&#10;/uum01R7swnFOSIimEmv47idw/BtssgZiHOiQWuDPhDxVqCifE5Lqf1UTJLj9w7D/awpENX6kQhk&#10;0GiiJVZQmitFYRQ2l7jfKPagOg9QbTz5tU73Ys3chr4UnqaTGZnjMkVpIVx8HE4xa7TZIQLCYGL2&#10;Yq8ikQrMXtSxaoeGfPKh0I5NXmU5DF/KXRl3hkZLKfsdcXhAH9qyc96Lz0lt6OKdibyTUzXZdXKf&#10;dXL69XWwXK/TyXSRZOB78zdOdpHzx3rLREH4jd/p22ROL695FAvGq7qph574sFKZ4vHIElWX/9D2&#10;u1dOH2nyZlZ8HLfDip47YptEJJ9V6ZPv9woHUKnP+ivxKkBHSvKaizzRoAQkP+ULS6FhJHmTE+9B&#10;nSCSkgzVYrar6xu1UFG+UeUh84mmdor1CwAtdo+AObtLD821F9Z6J/JRRtS96TQxInOAXLIz9tnq&#10;GFxfwVPHAkUN8bWVjPNXqkr7wXQDsYen91lFM+jS76/vf5G/jx+9GIEkw3S1ZUqGOORfI5WjlBkK&#10;/zX6Lk27nbF4VdfzMBVDVizjzDLPLiov/+1QLNVrjksv1Y5T2H2thLNuVT8l/V7Vbk5Qb7ey2cf4&#10;QZDuzKtu/pHwSnDCo2zu1Aki+d6IkyYN/ytFu40+q844HqPw1OSTxCGOvuWlXCM/swR00VjJE4gK&#10;TTZKgPPK+pUyvtYud0eOlvEBEe8uhNbL10rkitm7KDJ2U2gzE1RKfejEWqYbhU3HLwTwXjH2Cofb&#10;Mr/AQedQztmQaEEng/UJrPehbKcBn1UKReuF+YIqXdgIyhsIGxnQVjx+f2n0QPnMgktArc+z7QGk&#10;VZe1MaXP4r5p7Cy7WpmydlFh+W+baGH/fpfur+a4ncRyL92Tfehcq+NlonAUvgL5fi8+gEodnLTS&#10;6E7c8IofV+h7X/JUiSIuuQWVZxPqYqg6tHJeUm/mWOjP/j+zXvNbmTbyV5G8vggpX9oUvxZrvH0e&#10;3y6Iam4l/Ya55m53CHpHPV+v5cUG+SY6HQHJss5ewhkjfixPgGCWr1R7DUdRbJjopFWEvMW9WhtD&#10;eh7UPq6iBhun5zHDVAIqDilmuTHLSUP3isExb+MgzWvE9vQpbbwxO+WmW7PaxsWUrzcuC1Zy7RjT&#10;gBxvyZW0ZOMwY+nHhPCLFPjUv2+ffDJlZWC7q71vacqq6BL2lokbZL5duLLrgujqk1eWSzc81JVF&#10;Gzxw+GCWe5tVdx9aXEv6Cx3mz9rIFzKUozI/2w7iYUeO35uvt+t5PW6qPpJJG92amZ/aeo9rnwLI&#10;H/Tf339dHxNYU9xLf0hBJS/oH5u7Um8Oxbs+tv4xE7ngurRZIVW54AmedGqgd1K8dTUOMdVFsmw7&#10;Z0Sejj6eo1/5fzYlpExZRJ0q37a8LmeVPwVJajOtLZ1dvv/597OGF2vosCXS2Vd+F7HqhfxOmRkG&#10;AwIgAAIgcFkE7Dt72fMKKXNZVDCbLhHwZga7NMDkWGrIRHZ5ehibJHCKDVN/2ILeWcgaYmpLTCDf&#10;Fvlq/UJe1bila4FkPZnIuuSBdkAABEAABEAABEAABM6FAGciz2WsGGdlArc3/4OgQa8ygbOoCCVv&#10;S0wg3xb5av1CXtW4pWuBJJ9zHv9iTV3yQDunI4Cs+zFsQe8Yeo3VhZgaQ53oCOTbIl+tX8irGrd0&#10;LZDEcXZduoR2QAAEQAAEQAAEQKBfBGp4O7tfwDBbEAABEAABEAABEACB2DfWAAcIgAAIgAAIgAAI&#10;gAAIhBFAJjKME0qBAAiAAAiAAAiAAAg4BBBEQh1AAARAAARAAARAAARKE0AQWRoZKtRJgL5i7Of7&#10;V3CLJYsHt4uCIHBOBMgO6MVQ/pSxnlPMkL7CbnWKdk/eZogrCSlz8oGiAyaQKQplCqXsgJV2B641&#10;EXCDSOuY2DmVhExiKVulpimgmVoIxKRfyiKP6V5/xVg9vV+MEjo44qLgGXrt7CjjtRIU7SdjE/PQ&#10;DVnSD50noomSHuQYNbJ1PYrEj+xYeJQOU/qn/ZedQaYByPYTv5b1mpvv1/vz5GbLX492oK+cfc1a&#10;Dl0WjVl0PWKs0Eq46orGzZcbZtqaUyYKbzzQWCpMsHNV4qFY3MxOOljXz+9eJ9H68P3NX4d+Gf7f&#10;0SDHpaQ9v1fTXO45VWp1B4lM5JzFIZ3Tflxqkzt6+v7Gt2af1HRO3riRvrDIJj7sAaa3si/de+66&#10;mD+oS1HC3evbVBqiC4N9wuZuu8xiUN14dYu71ctQ9MvdPqsE8W413iu3YB/7HjJ9/aFRLu9GTaiQ&#10;p4+liK++v7c3kwG54avb6Xz/qbLdX5/7KFp8HFS13WY2VwpIeMeRqvn9+KGnL3IgsfhwvlxGb3+c&#10;7Dk3Mp+3NNmsbmk6A61FJNDpW2as2bGBVxtOiOq6BIzn8duaGIQtc5RdUGwTs6DLFkQ18ZWrlfDz&#10;N9dqtboA/0/OxlGW/UZsEH2e3+uWLUZ/FY97L0feWzrrOPvq/vd2uVCbXLtXk87U7t5tjtnJNrsZ&#10;iVoj3hrmiybCCbBIVyuTePGKlTej7/poLZ7uiWW0kiokR0Gr7/IxGa8ePhbz4UD83l/Lhjwqa2Yy&#10;Z3ElNMMxO+bd6uf7u8q10W/VjLqno6MnHcU7MKJgF5lrvMonec9CTb8cd9kwy8jo6v5xueD4yRWc&#10;eWg16+v9ZdZeDGnGMbpbRhw9Xl3fiFGzRv15i9br5Uw654hCShVDiiFvzTbYSsBjL8O7qZP/o5r7&#10;9ePUp5Vas5I5A68pJczNTSMmc5yMfPbCqsxxom/vLqdj94KkEqpYyqZCzDxRRi5rMt28CXcopyzp&#10;U92c/qwC+20t7p3qsotTAuhQ20WLAq8YJpLweWnr1/2+2fh53vjNotlYnQ24R96etaNzSpuUGW/8&#10;JotoMRmIgw1jtB7PX+CBvYtFSRsJ1qicO5HaBdPZid7RbqMxy3z0RHt82qmL3/xKJa2cjIQsFzwa&#10;FGyVgFRe92RuMYseKaUjFqMssc4mH1zme7ucCe3gFcZspmTVtAqZGNKmq3TvY50byqilEIm1W6TN&#10;KOs1X6fV0ItyMXkTuTYe7A+xLzsi8Xk6YRkPSLmxSlnhbONNS8czDYq1FnJ/LzJ39jMYcnDpfWgL&#10;iROmh7bykGYcHEjJEJFoqCjy8EGZ79vhXEaR5kgzitxovVCuA4qxTRxKYen0Vm56+OMzE/WMFVWO&#10;x+ZsYx7SMTdiKA+s+ZMKE1kAi8mEEqesHemDRJafN4r321SImbtlrIEfhvtZIa5GC1jVZc6UgZU+&#10;bUBOymLkJVh7nixbc8voGVSzi8xhNAqm0c7yFoXD8I0ipexPifiBivKZBxlKwkt69LzLSmt8x2E9&#10;F9PxGb1LrMADF8jatZEa1KLgxRpaSLhDu76Lnb0KIweDyU0qj8RjspsA2ibgczYE7HG2drdzNxbI&#10;EKvO33DcIj7OEaF84FUhmYd0jjxN7+oUMqPWkTRVVo2DIflj7LDzyMZrq057UHWtZPhS6laJOwK/&#10;8aakkx60vHJX9XKKSIJ5/UJteAoa4swExw00CbW2cBTJR9g0eaKiRV7kS5XCU3JAtWiyJiIVKOJQ&#10;Dvbik83yfmIRU3udjDKOudGIuVPvPcvdShxU85UjnanRufs0GZt+oeFm2FSImTtlHBViEE2JNaSf&#10;hOryfGlR5qVZ73CVh7KeJ8PWPDFkZbvIGEbIhM60TN6iUKgzx8cPHj3vsNI2LOPKapw1zpwgkqmr&#10;Y0V9yUgnpVK5CLd5e+ub0zxduyrUsMAup7sjxZpWId9OX+DSWTT6MV3LAOUzSpk5tWvz5dDWM/Gc&#10;FQdNMtd4c1sgD551Rkr1KGGXrh17SFGVPwkWNO5aChmtsXEwx2SbnVY5iiL5ViON28QStKuwNyXV&#10;KFR4QU4snRzgBl/ev1JKnGUmFEKapHKQKcl8zN0m/cqOXg5peJxo+/nz2V4s1iO/volUqlS249yk&#10;zbEpqh00tlqkVH8jSdVVwfbTiAXJIbcKyTM8T8zWPIKtahdZw6gfQPMtmrvG9XVdlwbm63l9462x&#10;JdIUytEmd6wBHXjdsrdevnsP6MpTJDOIJKcnz4J4266PbnQDSs6OXTpNOwdDvKBUGxdqdY1AuFh5&#10;PY69eOBXocxrc+S/I5UvSiqeA2W30a97ZL0GpCpzZqxrMPPH4771qGCUm0Ce8aak4zbNl3Lo3M85&#10;GxKyo2hJlNIHxN6Hsh2OcDpwlJ3iRdOevbzs1bZY3JJ8djVQTElHGemXadL8Obk5GdAGJn5u7zUT&#10;vi0f2dRuuCnxwTfFsHEzcCR4df9rHS08Pnb0QLVMntKM3meJ8amFjM0ZQHeMK626qYnJB/ELu35b&#10;S17qPd4u9GDCl/tyJt9GaWEC+jWhgs1jps6kvHSIBhbN1qPnnVTaxDyktatXTGkHvFtl/cWHHA+c&#10;w6bIRoqwZvw+EUTaW3H8oqJcS9hR0ava9ia+SYeKQx3reFUX4sakvIgyjuhFRnwugkC4WMXKpq9X&#10;ivO2lArJFxziy6/RPb5QyTmkdC0X5GBo+vD9eRUarjgP/PHjOZqemRJSBGAMju1QJdTkwaS6SO45&#10;5A4yXkE1Lh1DVUYEaiOsofJbOtqezQGx96FeoFs9ys6yNfa6FG3pPwXA698iljHlvJ7FTqF00XE+&#10;x2nqjqPTqc9MxGmmxkrLQoApOa/VMPTYWFz4Iubnd68HiZNvTr4ZubHWyPA536aoQMDYXBV6jh47&#10;cdjkVV1nLuK8QniVhOfx2lqizJF24R3GhawJ1mQ034yJOW7Hccg+Lx2igYX00noeG0A3lNY3i5hx&#10;jyN53cvj+f0e2P6NI08VrxoXkgwo8OPP/r+//7oOKIkiZ0yAIgI60+rOBGiNfI5+VXplRE2CjITe&#10;i1Et0D82d6f7C1Ndo9cdOXZqJBBTW+I4I/IhniekTFuoa+m3bXmd2F/XwiiskbZJho3ylKX++fcT&#10;31hzSsBo20/AeSu2KiLKINhMpHtWWLVB1AMBELh0AiGeJ6TMpXPC/EAgmAAykcGozrkgNkzHSA/0&#10;jqHXWF2IqTHUiY5Avi3y1fqFvKpxS9cCSWQi69IltAMCIAACIAACIAAC/SLAmch+zbiXs729+R8E&#10;XVnyoFcZXZMVIaYmabt9gXxb5Kv1C3lV45auBZLEBMfZdalTp9tB1v0Y8YDeMfQaqwsxNYY60RHI&#10;t0W+Wr+QVzVu6VogiePsunQJ7YAACIAACIAACIBAvwjg7ex+yRuzBQEQAAEQAAEQAIFaCCCIrAUj&#10;GgEBEAABEAABEACBfhFAENkveWO2IAACIAACIAACIFALAQSRtWBEIyAAAiAAAiAAAiBQCwH64qSs&#10;r86upf3aGkEQWRtKNAQCIAAC5QnYL8oW3zSPTyMEiHoh7pAyjQwWnWSKQllPoSxdhPS9i52Oz8Sc&#10;BpPFbPwjOS85XTt6+SXZ/PEQsJ7F99u6lMoNIp0evSMq36f9PvC8urLfBALJptOSLs+jzzXidssy&#10;V8I1VhDXAPG4r/LPNP5MKjHjrc7NKwzrpxwrTT90ngin1lfh+a08U0Bf78+Tmy19tf33gb7J83Un&#10;q8eLZy0SfXYoybnn+RG5ysYU0n65YUZFFsKft2h6e0U/HWMXbvWaFtZuyD3TpZ96eG5csXudROvD&#10;9/fv+yshpQvwOtYjfH9vb97+OBtL+tXbdL3UgMlL0Ff+su/gkpNBYvK717cpoUm4ltqlk8hEzlkc&#10;4sMyOfozevr+fhoFNDNfLqMYrN1mNp/PA2qiyHkT2K3Ge6V0jx96BeU19GW/XM5nG7Wmnvcky47e&#10;b/zsIjd3W+NBkq0a4z2s9+kdbMgYdquXoXAAHM48q6yYIyH72PeQrV1/aJTLuxDLDxnWpZQpI6Cr&#10;+9/K+891tVpc8qWwTIeQHtXlqMIssvGliGMPER96dV62nl8m2C6oC+Pj3H3CpYri9PNKxBU31ypW&#10;CY43Tj/EunoYPTlmL0LIX/fXJob887YwbnZ0t4z2n7GTDFv58LGYDwd1DSrRTv5xtptbMHki3n+8&#10;i+Shs7nzPuTttKlmt9a+vcLwbmp34SKEWD9O9Vi9w3D26hew+TiReM+q2dGT2XCIFMDDw7SnUaTf&#10;+INdJAUg2+VCJbU8dpd5AmL6vbqd6h0cbeeWj2pHeXX/uFzwZs/70Cob2e8MMWS28cUExFBnL+/v&#10;qx8DyhsE7bnPyqybGaxPdYWabr1ErQJ7K8oY0mh+XXbRDIrWe/EHAzaby+GDXLPdXKb52b/cu7My&#10;cQVvEmYRHfrKI5KCeMM0vNq0zihvAMIj0JwSp7MqhHSSe1fXN5HNswyG88XHIdawcf60lTrdHjQR&#10;RC4mA3XALoTs5BYoWapTE1E0m3w8igwqzdVEcN6HJmbmGFpmObeRrWNnPKBlS/OQpwg2bvYNQxDN&#10;a7DTaoLBaQKjJ07DJ+xFHSMJY+plLvJo49fbUo+ZOHmRzPMGEsBC7u+/PveuspKjynpoi4kTpgfk&#10;IfOs3MkbMOLFZELHUuznnYse8BIVCFjVZd2d71/0lTH3oJPjw2Si3KloYsjsMmXsYvR0mL7JhXVA&#10;C2cf9gnpYMC6ncPwbbLIkWxW1OGpQkX5zIMOdBMhUq7fOwz3swqa1WAViUBqjUrDiTNuvZt3Vk8Z&#10;bgrdmqSyjfo84/swfDndrcjM42yp6TaNQQG//ejtHXtC8/E+VL9lA9UBKrWUyLqKQjZioDUoQSs9&#10;jIAGG5Q5ujqCgDCYuL2Yq0ikYJSk6d/LBrUYP0WBHjPhiyLynlfmR97JqbrWiTRk0tsdoR+XW1WE&#10;6bsVJyDpAsF+rE9tTnfwdLks9UKTUN3Fjch2JBIenhgypfMhZUJxshlSqHNYzylr1otzs1Qw4Lgd&#10;XulzyWVEHaG0OW5JxxtlBlCip1MW5VWAjpTkPT86kBYpV/rI5Kv0Fm7EvYzMwX5yWOYM6RTjzT3O&#10;di94sgEc9+H9Qu6FSxUxpKw3axiFDR43XtSum4Bv76D6cO2FNhHujkMZUd2DOY/2qho/u0x1B6ak&#10;mZAHzzlWZVeW+sQesvRwlF2oXVpAem0jA+CN1M+fz+quXmELKJAkkKu6TsLDs8KkdD6kjNN/nl2o&#10;bcLTiJ0cbxYuKIzMcelV9bOuqKOk36s63BPU263sJUBzEBSPFmlyidwrZXqT2fXYZYHNLDvEPHIO&#10;uUGkcxuTl4YjuuI7VsUHk2TnlK6kS8jxozDfMMIaPGLEqFozASFc/eaMiTScv4XFB0S8k+Jl1bzf&#10;xVcmehdFHm387FBEutFjJnxzJvYOmytn6pkP3Bz/JFrQyWBOMnK73oeyHSE9HGUXGI8RUOSI4+r+&#10;1zpaHONmazbZs2ourbox7ReqK7ZVyQu7nooBZcrahWbpjTbPCrQdrN+l+yfj6DkLwBZSYYF9WEfU&#10;ke/34gPoHvzRnbjhJY+ob/IuMzp/w4FfIFOHR/ol9dEDv2EpP86v65/wn/1/Oj9IyUZ39ZZnALrH&#10;Jb0rK5d2dQlBnRGICwkZD2nbZVt0UpmJXpxSXEj/ln9WuwnfMLhxPbjksO1bovhJECBQHSDhlZjz&#10;trGQNv07Ls7Ug8Zn0jg9N+1vN9Tx97LTRuQ4B2cXnoaeaTjJ0wbdSlJE2vSNbzBnDI7NNi6ljih5&#10;1rzjcB0BOU5W+DtR0Pze45SbJ1vUY+MGkhpQluo6zxXSBFBvxZAysdXRyispzaStJJxbEdnT/L4+&#10;eWW5dKO/NlowRedr+hs1Sd/iPsxa7p2/bmDjCjccyY83nAFs13PXAqtTro9kcgxbHW9VH1wjNSmA&#10;/EH//f2XeWe8/iAVLXaBAG1FZCiJTwUCoFcBWvNVIKbmmcsez4g85W6eo1/5b6qGlGkLdS39ti0v&#10;SpVt7i7iBaNTkKQ201Lu7PL9z7+f+MaaWqwSjYAACIAACHScgP3z4dkDDSnT8WlieGdMwJtA7PJ8&#10;kInssnRqG9spNky1Da7zDYFe50V0Zvmws+AZPkgYSDirLpSEvOqSAkgiE1mXLqEdEAABEAABEAAB&#10;EOgXAc5E9mvGvZzt7c3/IOjKkge9yuiarAgxNUnb7Qvk2yJfrV/Iqxq3dC2QJCY4zq5LnTrdDrLu&#10;x4gH9I6h11hdiKkx1ImOQL4t8tX6hbyqcUvXAkkcZ9elS2gHBEAABEAABEAABPpFAG9n90vemC0I&#10;gAAIgAAIgAAI1EIAQWQtGNEICIAACIAACIAACPSLAILIfskbswUBEAABEAABEACBWgggiKwFIxoB&#10;ARAAARAAARAAgX4RQBDZL3mHzZa+lmq1Cyt6RKmKvdCXkv18/2q+3yN6RFUQCCFAqk2ve/LnOA0P&#10;6auvZULcR0iZvvJra96ZMlFGU8piKi49bc294/26QaR1YWW8WEy4JJwmwo+OQz2j4cVkXnn9YrE7&#10;616OicI9BymHI5a4cxSkfQF+XJCVtwCi/WQUYx4mhKyKask7xcRvKg8iCFEjhZiqngZNT8rC6yfl&#10;w8RKJolYDm7N9KL39f48udnyl54d1tHk1beL83TtDjGKuEenZTNmpmXlU2rBbQR07Z04yhjTQ/Od&#10;hpkmRgL+8xZNb69cZC6xQHOIEb/IXUHcz8cVsXaBug26YcbudRKtD9/f/HXolxd+eNQ43EUbZF6N&#10;rU9CiUzknMUhPvlfUZ81gNHT90V8r3p9gDve0tX9byHuw3quZV9N8vN5xrrXcQCdHN7u9W0qDdEN&#10;J9gVbO62y6whG+M9rPfjSqvWbvUyFP1yt88q3btbjffKLdjHvods/PpDo1zejToJt9KgaIUcR1tr&#10;GksR7H1/b28mAx2kzJfL6O2PkyPfbWZzsgv1IfENtFiJ8PTNGyYWjy7R9dXtdL7/VL1+fe6jaPFx&#10;0F3SAGQ0xOsrTUCJ5/FDC7e4u3MsEZtsbEHikEMQ8ZuYmKwtc5Q5EPKY4VQU9znyP/WYE2HGzbVQ&#10;8Si6sPCDnY51vfsNbyvDXbQTQnoceJ0iKjrO9kTCnExareS+e/f+czBZLCYDtf91Ek3upvkCchJ1&#10;Qj+Ltj710ZoRnpWoT57T6XI2Tv4iXoX+FdMW4hDQi6tviVNsN/dlcgW8P35PDd7mYVYbzb+zKjp6&#10;0uHK4WMxHw5KukjaGWyXC5XL8kgtMyVl+uXIxAYiy0fa5fPn6v5xueA4icKj9EOr1l/vL7NLiiF3&#10;Kw7/njxB8ehuGZkQbng3dXZSBGG/fpwqKgKJE4WSjJLtMd3Zy/u7DDZ9vcUch+766vpGyIQ+nEJb&#10;r5czsdzQPz/3KoaUvZsmrX6dhSsqO0jWTjtZt7bVW7+JiRjS6HZd5lB2/OdevtADk3uWK4WbyzQ/&#10;e716jIkJM3i3MItm43T44ZwXmEXJNGyXgO6i5j3nZBGJ2IoOM7S/CNZJG0Pm++oaCCSCSDlkfQaT&#10;iITHZp1ezKJHka0c3f/WOaxEAou2c/Johj+FDrGGmaCJWgnMJh8s4u+tDg3psE3nUbZRKlqkvm+f&#10;qOyLe1sxWYUMIaEtgb0YfVM7Tj1TJ/dFKSGbXUk162QFDsP9TNbvsIqayC+W/iohYB1heKTmJEgy&#10;zxsoGlnI/b3IbdnPYMjBpfehLSROmB4uJQ9JS1SmFDg407k+mv+AYm8TwYkzURX/c3i3KAyrGeti&#10;MqGEITvTguNB2zXJWkWRhw/q8naoxmBPZSN3L1JCi86zKMfO+xd918K9VcHxoc6PZ5mYW0bPv5o5&#10;jJ4o3SzX0wE5014tgvke+I2io+xPllf31KCifOZBgUYi/Mj1e3YJ6LCCk/as52Jq/gCqQCfNzAp8&#10;dR0EMo+zWeXJ9fjzDfPiJYI8G28QkIOsQ0ottKG38hyN8Id1Vm8xaPNnsi/u0EYPsbtcAVUCe8nU&#10;N5tmozHZT7JZzi7otZ7zPbJkh1VU3zL4PgxfKh1M8/woCvSIwEGRpVbycl7VRU9kvXTusgXNrbvL&#10;5XptIkPTNvs2Dg6Ik7t8iWSiPHaiTbQfgs2HxG89ynQn3STYm926SUK7c0p3zVEkH2GTaEnm+nzb&#10;rjJ1E+l+e4sbsQN2N8EsEyeGpKy6vMiTMDFPDFnZHFgCFAZwMJA+pOk+xGNGGOaBM3rI8OolxpPv&#10;9+wSUKLJbhWtrJOnmEbRcXa8T3P5IGAocj9xt7mQK/YBM774Ivo2lkhCJ5KCYvLqQO7TDefMNbnQ&#10;u5aFvZjW7ZsI4lJnaf5noKLmALnk5DhUVMfg4TxFH3znIPs0lfaV6ZHEHlL0VJxzKzmbdotf3/9y&#10;Ajs5FgM1GWrzzoTS8clYhM6cI5WjlFqXutqqg3tO11MC6+fPZ3V7Lzl5T9fc6Wan+6Qoku9mcgpA&#10;p90ogWxvSrZLs+He9SY4GUPaYcRMLBVDVjcHtSl4GnG4yluDS0yoeJMJx4n4WK+uey/p944bdP21&#10;SX0oX6t2jHHVqaCTZnxeB37k6HODSHI95nxSnJ7o21nhnZLHpOVdH/GE10PJjhHg/EaAGEUyciKz&#10;goFV3ImWq+Ic0nHokkOMF1F9b4wUOVayeyoauym0mXFKsZw20Im1zLx6eDoo0o3yRRw6eXPifdGC&#10;vqSgj1C9D2VrHAsVn1OUm07rpfmSqfMGTe54OC04GdBV9vh5PhnGfGYvBKWbcORyRVFrtMjT52R1&#10;4alf9spBi1uSz+61VCEwG8XQKnSJEY2i4iq9Xbbi93T9Jpa8y3u8OWhBnWLtbt0shKrr94UKNo+Z&#10;HlgtKoxeTijcq2cDyPd7tq/WEWYPQC5LkXxbkraqu5W5Rhriok3DOb66rtnnBpHKd3oPbtxBRubF&#10;GvPUeWeBj3yqHo3VNU20czQBXtnopd+iPwPkHhV4qnCWJK0tdnCBvcgKoyde2sWIxhG9GpvjVHhZ&#10;lkWfo0eZtOyuilLAYUjzK7XKeuQ5qLpI7jnktheauZIMBNM8RYSirz7H/9aLdK5q86v/No3XCWR5&#10;hks7yrYaRbrmeXHMp3EcLkbORUkd2lA+yqgrizGxJXeRikieX+AeBN4H4pWCok71JjZf1FgsYvlg&#10;cR3ZKBU1f8ke2VF6c99AvHNk43qviSXKHGkOjncicdNbtpeHnO/taaUqmKHjdp6jqfbV0qqkW9YP&#10;w716gcOPr1axAagl4OhF8bQNxFzCOOJjhXCdNH/vKCiKO2oiP/7s//v7r+uj2kDlzhMgK6X9TOeH&#10;2dEBgl5HBRMfFsTUlpi6T552jM/Rr/wbNSFl2iJcb79ty4u2w5u7i3jTqG2S9epFldb++fez3J3I&#10;Kp2gDgiAAAiAAAi0RsB5UT1zDCFlWpsAOgaBzhJAJrKzoqlzYNgwHUMT9I6h11hdiKkx1ImOQL4t&#10;8tX6hbyqcUvXAklkIuvSJbQDAiAAAiAAAiAAAv0iwJnIfs24l7O9vfkfBF1Z8qBXGV2TFSGmJmm7&#10;fYF8W+Sr9Qt5VeOWrgWSxATH2XWpU6fbQdb9GPGA3jH0GqsLMTWGOtERyLdFvlq/kFc1bulaIInj&#10;7Lp0Ce2AAAiAAAiAAAiAQL8I4O3sfskbswUBEAABEAABEACBWgggiKwFIxoBARAAARAAARAAgX4R&#10;QBDZL3ljtiAAAiAAAiAAAiBQCwEEkbVgRCMgAAIgAAIgAAIg0C8CNQaR7nfaG4jeh/1CjNmCAAiA&#10;AAh0iwB9y2H8q+M9wwsp061ZXexoMkVBv+Av3y6UpUvmLMISmthqdw7ydINIJQ2WSEmZhMyU5Paj&#10;mIkcQ0IhuGpI5ZBhoExLBOJ2y3JW2iClm5K6eFysMC3N5sTdOqYYt4VMKjHjrc7NKwzz0LXM9EPn&#10;iZBnX4XnD0aUkhs9dyyAKjA7R9L0T/svy7XUQnliFe1c82nVzVVI+y2HGQ6IJlhQJtAulHi9Xq5z&#10;FMsMKNOll2mkSlk3lti9TqL14fubvxc9LMao0mPDdYQ3H0wWs7HxAxnKnLlSOCOWZU7njhOZyDmL&#10;Q3zyv6u+AtPR03fYV67Pl8vo7c+X7WK3mc3n8wpdokr3CexW471SusePV7Px+np/2S+X89nmLLZi&#10;dWPevb5NpSEe1tFEU2E3srnbLrN6M8Z7WO+t8ykztt3qZSj65W6f36UNOhKyj30P2cL1h0a5vBuV&#10;6fviyy63Es72ZjIgh351O53vP5Wb+/rcR9Hi46AgsMeb3l5J+j/Gkar5/fihhXLxtMpO0Ke6eQrJ&#10;sYdA7NV52Xt+mWC7SFqQ9XJlJ4nykkAilri5FqaSen6uuL7enyc3xluoWMivzP6VIjZxau1tus5c&#10;NWqAlH+czSnk1crmBm3Ya8JaEyCvNnY4voduOtrTjjOX4d3UrpwRhxPrx6n+vRuQx7ful7fTq0G+&#10;59TE6OlJhx0iBfDwMO1pFDl60nu4w8diPhyUdJFX97+3y4UKPvNsNpnyN/1yhGMDmuUj7fL5c3X/&#10;uFywU6MoJ/3Q6hrZ7AwxZIbtje6WEUePV9c3giV9WN3X66XeMlFIqWJIAXJrzMLqxTnZdSNj9alu&#10;jkJaBc6umF/GawIFdtEIifY74QzluzxkdhNgNiqgX8oAws1lmp8zlnhnXiaW4C3WLKJ8nfRkBTGG&#10;N1ZpH1fuCDwm73pX/0oRQ0Uh5K/761NOMxFELiYDFYvpKHExix5VYlKEtDJBso3GooDdjR2G+5le&#10;dkxyyXmYnFe8nfgUB7SEGYfK4cStWkapmBOQ05ZebcydTWH9KdRT4kfboyfOzCRuMKhjJI5Z+pmL&#10;NJEfZaEqnQnoSCXXZrPPG0gAC7m/Fzky+xkMObj0PrSFxAnTA/KQXuvmJUCGiCQjFUUePsjH3Q6V&#10;07OHqJG7h4CvCCJgVTdHITnYSybKkxXzy5Sxi9HTYfomF9bBx2PYeVzQXLtbaDahiXKgsJzJSCEW&#10;KrxNFjlD9y7x/vJUlM88KGuX8JKhsUonCYp1jwJj/z3PuHfNXykEhl8qBXCyuWYeZ+vd79ysBmxk&#10;Osik8J83086xC09cjtL70I0h0+0kp2ejByJ2o/MgspTNrNAgUj2eDBQaPhUB4TOkl1WpZbuK0jo7&#10;e1HHqqfqv4vtUi5Rnn0ehi/lrow7s6EoMN9ms2Yuj1NM/qskILFRjttsyRYus7hYFvim043eF3AU&#10;yUfY5DFJVvp82xcFXSaRE8zKp7pphfTEh6mKIWVCJ8AipVDnsJ5T1ux0d9NCh9NAOZ0+581sUFTg&#10;jsmzxJcccmisUrLZxorLODq2KKq+k8qct1IInW7AE5d8O1vf6zn20mRhOyp6SFmye12AbRKfMyJg&#10;roClx8y2QEew4niPNg7ubkWf+Z3RROsbqjlALtkk7+TUMXihrcWbJg8+oAOHjBCSUmPpkcQesvRw&#10;lO0Rl5GDRctebrPTTo6iSL4MTjQNP0r82puSJVWgf8X9qptWSM+qktL5kDIO4Ty72K3YoCgByU6O&#10;7ytfUBiZ49Kr6l9dS3xJv1d1uCes5y6Kqpts7+pZKVgp1dZVHvqf6MW8EkEk75QTh4vs4/S1Hso/&#10;yIl6HzqoPe14BMG79MmAXrqIH4s55zvMM9XjCUWKpo8iIARq3hHRkYbzZwz4gIiPUDn+Me938YFI&#10;76LI2E2hzUxQKfWh6x3yyDTfZtNtUs984OacDYkWdDJYH8V6H8rWhPRwlB0oLvKVs5eXvYr3xS3J&#10;Z/c6qQBtg46z+aMfgdOvs1hadTMUMnlh11exuExZu9BT9UabdXJosC2/S/cPIDMqUCEFE5c1vUt8&#10;yVmFxiolm22o+G5lor3ErYmkd81fKdx7AeLQv9LNqIBJ/9n/p9+opMyeu3qLlzTjT5zcnyppnszX&#10;2/VcBf9ZD53XR00OMbtHbkX/ln9Wjdu3U5f0+q6KNtIDsy+K4qfvb1KEDmDwSsl521hImP4d14nU&#10;g8Zn0jg9N8duN9Tx97LThuNYu7MLz7HZKEE6mdo37xPbV/u8o7EPHTttXEodUXLvvDO5CORWlELE&#10;jvDkm/L2wCXxq+YZ+3ts3EBSw8hS3TT4xJrmrRhSRroq/cm3C9dyE3bbigjrk1eWSzc81JVFV4/n&#10;9A6ZUXKNxn2YtcS78YP52XYQj1cCY5Uj+ddH0h2Iqy8JVx7iHLh6opxL6cgpJ6pTAPmD/vv7r5O+&#10;uxMQyaLIiQnQXSyS/Yk7udjmQe8sRAsxtSWmMyJPydzn6Fd+SiakTFuoa+m3bXlRAm1zdxEvGJ2O&#10;JKUjPx9OlTqsRYtkI//8+1niOLvGjtEUCIAACIAACDRLwHnzPbPjkDLNjhq99Y4AnWOXvsXUFiRk&#10;Itsi32i/p9swNTqNljoDvZbAl+sWYirHq77SIF8fyyZagrzqogySyETWpUtoBwRAAARAAARAAAT6&#10;RYAzkf2acS9ne3vzPwi6suRBrzK6JitCTE3SdvsC+bbIV+sX8qrGLV0LJIkJjrPrUqdOt4Os+zHi&#10;Ab1j6DVWF2JqDHWiI5Bvi3y1fiGvatzStUASx9l16RLaAQEQAAEQAAEQAIF+EcDb2f2SN2YLAiAA&#10;AiAAAiAAArUQQBBZC0Y0AgIgAAIgAAIgAAL9IoAgsl/yxmxBAARAAARAAARAoBYCCCJrwYhGQAAE&#10;QAAEQAAEQKBfBIKCSPoaKPON4P3Cg9meksDReuV+//wpB4q2QQAELoxAiPcJKXNhWLo6nUxR0C/o&#10;HekfpSIULBx1ijkZRCqJsFT8YiH8P1Y7MYRiC3MK1zlotNVNAsUK0c1xd29UjhnGnSNblLa/2LBd&#10;w/WXCJqlaD9p/Oah6xPSD50nognlJoL6vfBCMelIifIjS4jZOZKmf9p/Wa6lFsoLR5qcXlmTiX25&#10;YYZZ2TLH2AWN1GtBZy+geCgWV+iTTs6NK3avk2h9+P7mr5k+33jDXTpTuuaSjXkGCzlLgUWA7Tpi&#10;RxNr88+xIJI6GLxNSSDic5i+vcpo0f2Mnr7Dvzm9VOGTqh0aB4HzIbB71WZ4WEcTbYVs/5u77TJr&#10;HnP2pcJy1/txuZ25anK3ehmKNrjbZxHr8AI43quW7WPfQ7Z2/aFRLu9G50O8gZEutxLO9mYyIP99&#10;dTud7z8l4oi+KTeKFh8HLYfNbD69vZL0f4wjVfP78UMLpYHxnlcXZU2GYw+JONusTJnj7CJpQZ5V&#10;9bxYtz7aRFxhvmT6EuINx7M+fiRUhaJJcgYcLrufTAX+en9+m66d9SLmTMLDuCJ5O0Hk1/vLbOmM&#10;8Or+91N6GdAhM/1/MFksJgO5g+ZNybvMKzuRrxNf84+rFRfAdrpIKBfx+1T+xKYKPFsgN4tlFMSv&#10;VHZbv9pcBKn0JEZP2lEcPhbz4UCWCHaRZLnb5UIFnx7smakt0y9HODagWT4qt3V1/7hcvP0hc9/M&#10;0g/tPIQrQQzp187R3TLi6PHq+kaw5Bjyz1u0Xi9nG3XE87lXMaT0ycYNW724UMWvPq2SJuMocKZZ&#10;2TJ12UX16Z1VzUK/TZGCXAPcXKb52bsWxACYuIKjolk0G6uows3n5fm9M1k4Rk+xAGy34hRfOibL&#10;UGARQv66v7bkWKGtM6lPpWwQSY5sUcLx00J1WM9F8kMteLPJx6PYaS9nY2+mdDGLuEAykK5vMmip&#10;MwSc/ZQUuFBpmSnbRmn9cLJYlKmx+Za0UtmWD8P9rDMTrncgxgN6Np5BPelIxYM9JRpPg+wM5P5e&#10;5MjsZzDk4NL70HFWfML0gDykV1IcF8oQkWSkosjDB2XFbodzGUU6B63uHiJI7v0tVMpkeDkt2uT4&#10;ylSzi9ETnepRtoU+A1ojPamZixNbvt9+myxyZpy1FniqUFE+86BMfSKqyPV7nV44Rk98VJHKtVGg&#10;XGotUCGkm7Mkrz3fv6jrSnXeNvK+WGO2AqVOzXWQy+uX9zPHwnJxziJjQuSA9XmcLMHeV6St6UN7&#10;R3OOZ+rbjSP92n5SSuW0zHmxCwVKWzR1Mj18qZy6pyjQgz0lmjRCckCTm8pbVpE907nLC5VPlWlx&#10;voTDCEKrVjyOIvkIm0RCstLn2zZQqdJLb+uUMZmKMWRlu2CRUqhDWRfKmpVaVM9VnEf57Yy1oASL&#10;fL/X8YVDBNFy22FPbZfrtdpjhmAQmurxwYsbkefLS/WFNJ8oY4NIOl2J1HmK3ApkX76q0A+qgIC+&#10;FObJRkv3rG/06ZNUIIvMAXJJFhwqqmPwHOy+RvmeivfURBSm1Fi6UuwhXSQrc6JRcl5nXNzIwWai&#10;KIokl6tDGooiIzrfJpomS0aJX3tT8ozn3uTQi02mUgxZ3S7kMSQlIDnO5fvKFxRGprMBR4u6rrWg&#10;pN87etz1NsC6QneS1H0Xavv6/hepTuBdQPbIatMqj/tT9TJTfRWm4WQiRw8U64aOskJXqNIfArz4&#10;Wf2neXOaRV/58mBwju04CMkB5bTMKa+LRBq7KbSZRebieOhs6cRaZoI92FOicRvlV+vowM05GxIt&#10;vKh3bPRRrPehbIejV5w4hAqKhDF7edmreF/cknx2r5MK0DbooEDmggKQUEgh5UqYTMiF3WSZ4+1C&#10;T8K7CwuZYQfLcCbdvvaXv3nM9NtqVbDOPHwtyEaS7/e6vHA4Js6XhlzXz1fd5Ut5hR/3RoA47meP&#10;7kIRnlxfti9srqCAe5wtgl9xHq9OHQt64Z2z5/T+2CGh/vkTuKJtk9AN89di+Am9M5z++zFisvoi&#10;CB92R8u8Q2qn5efokc6HLvBD2zmDil/NVakrectEXST3HHLr6wLMULoNCt5T2NOiMQSlc1U7WP2C&#10;nHJd8aNY70NqB0fZ5dSR/fpioV4TlrckF7E8rrh6bpSBAvw+XKgrx1A6kGCTES8xuRd2PWaVKHOk&#10;XTjOjUyT/tLBxciQLnsa5SyYWMxvT7WHJzT0BgX7ludIPwxfC3L0JNfvdXnhoDx6pJZJvviSUBXJ&#10;KxFGFq0LBpMDxblUU8HaElV+/Nn/9/dfzhs8xzeJFrpHgKyUzoq7N67zGBHonYWcIKa2xHRG5CnT&#10;8xz9yn+5M6RMW6hr6bdteVHYs7m7iBeM2iZZizoc1cg//34GfWPNUZ2gMgiAAAiAAAi0TyD2J8Yz&#10;hhNSpv2ZYAQg0BECyER2RBCnHQY2TMfwBb1j6DVWF2JqDHXyPAsHHW2hr9QvLKUSNk8lkEQmsi5d&#10;QjsgAAIgAAIgAAIg0C8CnIns14x7Odvbm/9B0JUlD3qV0TVZEWJqkrbbF8i3Rb5av5BXNW7pWiBJ&#10;THCcXZc6dbodZN2PEQ/oHUOvsboQU2OoEx2BfFvkq/ULeVXjlq4FkjjOrkuX0A4IgAAIgAAIgAAI&#10;9IsA3s7ul7wxWxAAARAAARAAARCohQCCyFowohEQAAEQAAEQAAEQ6BcBBJH9kjdmCwIgAAIgAAIg&#10;AAK1EEAQWQtGNAICIAACIAACIAAC/SKAILJf8sZsQQAEQAAE6Hvef/58/8oHEVIGKBshkCkK+gV/&#10;+XahLN1R0vcuJr6AupE5XGgnbhAZFxPLRoJWUmJJxWWV9Qv5jeBlBXuhhDGtBIG4AcfVTFs2lSnl&#10;FC4NsmNZcQ7CtHz+L2aL1T2k13TNQ9f80w+dJ8L6e+6mrWZHkdFnr8uUDxMKL2lahm7NXttGlq1n&#10;rDqOVsYU0n65YfZyVVAm0C5owN6SZ++0sjz5ySfGOM1S8TqJ1ofvb/46dPf5yQfRYAceDbUa5XMG&#10;zepbYCZyzmKiz2EdTV5FZMkCG7xN5WP6bG8mAzmd3Wq8V8UfP1ThBoGjq3MnQMvlONqyU+jrZ/eq&#10;LcsxOOEiN3fbZRYVbaRkpftxpSB8t3oZCovmbp9VmsaxZ/vY93D0pJ0BuYNltLwb9VV+8Xkn9Xm5&#10;tS5TL4Xz5TJ6++PkxXab2Xw+1w3Fne1h+ga/mtqaelSXTYZciVbLJ0chdxR7TG/JxXh1XjaeXybY&#10;LtwV0bVnWEdVAuxpHGHeXKulIvG8avMdq2cVTRu+9ChpL6IG7tXME04qMIjUIzh8LObDAf3r6/1l&#10;tnQX+tHTdrmIuUEqNXpy7faE00DTF0Ngt+K9Sb/1ZvSkQ2hjcMKaYq4zW+JX97/JGNVuz2awTCIm&#10;cxdr+r26neoAhqKZ5aMK6K/uH6WRex/aAQnvgBhSRiKZ+jy6W0b7TxU4Du+mZn8u3Ot+/ThVRJPO&#10;luTbb/vwqL5PdYWabr2orAJ7K0rJGc2vyy4uxknnT4QzlO/ykNnNpRu3w7+UzsjNZZqf3RMNf87d&#10;nJnyJmEWzcYqj++epeb5vdXmjCTx9bmPVJisDJ8S5AvjXmNeJKG3UWQ89iknnAgiF5OBOon+MZgs&#10;bMf6+Xg2F9u3yF3cVLHBcL74OPBax1nJkpcUTjlHtH02BMgd9DwJKUVlPGBVGtq1fL0/66TmNhoL&#10;z+3sU8UZkO/Dbko6LnZhzoeMPOuhLcUZnPUD8pARL2+ZEuTQUHlTRjeguH22kac88hiVN+vqX3bN&#10;OBtTbmugVnVZd+f7F72gudcrOD5MbnKcimYtzi5Txi5GT5RCkgvr4OPRzaG1Benk/c4mNFE+oFzO&#10;pNdx3M5h+ObGFqmxOCcaFEnoAxHvkKkon3lQUi7hyXL93mG4n52cQD0d0ELAgRiHyTYgv7q+ibSr&#10;IMeh4i7doVcz6xlNRiuJINKciPGJljlMiSLznOPDwrtOQguk3eD2zknFd2mNL9drs5Je2tzKzIe2&#10;nPKw4jB8qWxDFAXywmg3gCLvxeekciOY+SEPPLnxZ3ACJiHyZjp3GVD+kot49VmtCANi7C59nDSQ&#10;SwMF4Td+gDaZI6NNfBIEkqq7uBGxTCyckTnGRHyY0vmQMqH42Qwp1OElVcdUoVXPtJxOAPNmVnwc&#10;t8OKnjstm0SkNGOlT77fKxxApT5PUokWAtYadQNGJ9X52Fd5EdqXTNTp8EkGENJoyePsSGc4kuEv&#10;9ZVITvI66DnhDhkUylw4AXOIl5rn9f0vutCHrYcGU/U4gn22uHcSaQfEC2nIPVPe+2bfJyAjT+tm&#10;7CFFQMibGUY+fdZ3IlMpKXKus5f3r2T44iQeZJIm+1rshfuNgunlqq4JZzwxpKdiKoasbhfyQgNJ&#10;m5dEvq9cmIU5HzFme/LKc5DhvNpDu5mski0aMwvzeyVbb7m4m61d6tNu75i8Hrve0ZcNIsm2xJD5&#10;0pS7qeKrnjL/QD9pI3FO8+sdNVo7YwLkzfV9PZF0SYQcfKEvJN19xgSKhh67KaQMrqhO7Pd0Yi3T&#10;jcJM1RmpKsHbv+TdZVOZX+Cgcygn2BQtUGQjiugTWO9D2QhHrzjKdqRRRp+FaQzovcT4XYDRA+Xn&#10;sbPKN4G06sa0X6iuvc7v5CE9FeWV/9wyZe1CD76BNb2UqzimcIEnjzXtuB2Ga3+n3JN96CSjeHWo&#10;NMB8vxcfQKUOOlOJXX08q57jnE816j/7//TLa5Q3TRxny2Def7Cd/dzZKDu7AfvmJn5qnABpT+N9&#10;5nToaJTVOCdtL3It3dGdxum5FmcxxBNQjqmmjNRll2btpZ9uw0rAa9Deh64MG1e4xsWUP0OvPnsB&#10;OY6Xf2//FIY5x0qmHxPCbxx1osP2ycfWKBqOthrnuXoUX+Xii5uuGFImLhKvlZqHruV2QXT1ycvr&#10;S9Q1RXWLQMvCFJ2v1/Ieo5tVdx9aXMvl0rEG589P2EjF7cyVW47fm6+363k9y0t9JP02nNRryS17&#10;fVCzajAEowDyB/3391/XpwpR0W43CNClXNK9bozl/EYBemchM4ipLTGdEXk6KHuOfuXf6wgp0xbq&#10;WvptW16U/N3cXcQLRm2TrEUdjmrkn38/yx5nH9UfKoMACIAACIBASwTsnw/PHkBImZaGj25BoHsE&#10;kInsnkxOMCJsmI6BCnrH0GusLsTUGOpERyDfFvlq/UJe1bila4EkMpF16RLaAQEQAAEQAAEQAIF+&#10;EeBMZL9m3MvZ3t78D4KuLHnQq4yuyYoQU5O03b5Avi3y1fqFvKpxS9cCSWKC4+y61KnT7SDrfox4&#10;QO8Yeo3VhZgaQ53oCOTbIl+tX8irGrd0LZDEcXZduoR2QAAEQAAEQAAEQKBfBPB2dr/kjdmCAAiA&#10;AAiAAAiAQC0EEETWghGNgAAIgAAIgAAIgEC/CCCI7Je8MVsQAAEQAAEQAAEQqIUAgshaMKIREAAB&#10;EAABEAABEOgXgfMIIul7qH6+f/VLMpgtCIAACIDAiQiELCohZU40PDQbJ5ApCvoFvSP9o1SAQN+7&#10;uNqBcE0E3CAyLiaWTY2glahZ3OXknTVR0gPn4x9poQ8oLFAT5otupnbRXjStoMk5SOPOUWi9T9ld&#10;IfhLBHVsrMrt1jE1+zj9MG6RRwwiaKSdL+Q6UEIjycXEpGHKh4lVUNK0ooaVFUjco7p5RmG+3DDT&#10;1khaf96i6e0VdXyMXbjVa1r8uqH88VCs5oAhb4osDW0Zu9dJtD58f/PXobvPu4GotlE4zlXOPMjh&#10;y0I1hnHe+TSZiZyzrOmzvZkMapmXbpDafBrVJi40VIYAKffgbSoF+/19mL69YodXhp+37O5VIz2s&#10;o4kmyn5kc7ddZjVvzOGw3o8r7dR2q5ehECV3+6xy/7vVeK8s1z72PRw9KS1gG19GyzvYpBAVefJx&#10;tOVFTn6WW8nJ9YPz5TJ6++Mctuw2s/l8rkUNKyuyKa/qurQTawTHHiI+9Nua6M6WOcouKLaJWRA8&#10;ZJEwi37PnsZZ8W+ulWklnhc1cza/Zw9iffB+o5dY7Uky4p+v9+e36Tpzvaht+sVBpNlEq+iXwz/e&#10;grzLLLK7tUpFy/5hju7MvGw4raJKN5tRKkGdiM2pOWp7MFksJgM5xHTLiQJObF9LiFubjDrc0Nf7&#10;y2zprI9X97+Vcacky0nf1cqkXHarn+/vKplMuJV0tMi9ahDTOikin3J2GFfo0EZPOuQ4fCzmw4Gs&#10;F+wiSQrb5UIFnylBOGmVZKRp+r26neoAhqKZ5aMKgK7uH5cLjnW8D+3shFoghpSRyIo3Wb5NLvvB&#10;/acKHId3U7tdIFf0sl8/ThXRbCsLVajLL+dT3ZxZWwX225qQnNH8uuzi8sWgVN4JD+xaapw6xw7G&#10;f5vfm7xmcQxgDhCp6HgWzcYqCnEPFvP83mpzRpLgDeRkEYlAhpKKdoktmIMIIX/dX59+qokgUo5U&#10;fHjgYum6k+sGR2mU3V8/yPzC7C36pffTImeRiJbH2SEgb7LFwiimqbKT0Vhok5PNoI26ToZkcDCj&#10;FX3RvvFG7fFFZE60D+u5SM/wkpxuOV7AM5jT4z/zHkghFt5gwQ9zMYseSWdUgLSYvIm013ZJTkBk&#10;wGzaLUsNZpMPbkHUYX3JUM4zx+qcVcRSWCWmpQMUjyCcvIgWRaphFqzc33997t3fDoYcXHof2mLi&#10;hEn5iRJjvsCipNmZEuTQcC4PS/kzoLh9pnIM8hhV7R3Y7fqt7AKBHT8lq7qyLY4wxMfNDHB8qDc5&#10;JtpISMoto4dVzS5GT3RCIxfWAfmvPpyaJR01b6Z0Mu0wfFOxhV/aJWIAKspnHrTs20S/aDTX7x2G&#10;+9nxitZUC6Q967k+vojrjle35bhUCKm9y0kHmwginQNiHrn4mIXa3hChpyY7wb/+OEQR5UzSGYvY&#10;2HXMRwGDEDlbpH5G+wm5KbcbCHpU8DGjFc3RQBhqZhYxv2XvYIoGgN8bAnabSbFdBsx5PLJQ6sJx&#10;ifyR818qNZMhrOVWWpFJZvuV8+zlQvsbdT9g+FLpYJoJUBToEQRv4Wzo4iVFDoj2Y1XXOpE307nL&#10;s5fEcRNYrtcmMjQtKdc/IMbu0sdpXhlF8nbYDzBmZccN7TJrx1XXmJHddoppx+LDDFvzxJCV7YLN&#10;kMIAXlLl5vfiPylH7bgdVvRcAGViAH9D+X6vcADnIJ4s3RZjF5ramA8uPs6mFfthzfd1YjFkAGZz&#10;U0GXlTGfe93K3g9SCSpppmr91FFsQF+iiNzB3G2S206LtaBle8UgM0UTOpZ+lLu6volU9kTCdy7s&#10;HQOzhBpUVM5zkY85QC45YJPtT5lYUUN8ySPj/JWq0lYx3UDsIUVAyJsZRtf3v+iCavxUxlhGMkzn&#10;bfDL+1cyfMmzsiJp9ur3earr3h3w5RgJVMzWUmWq24W80EAJSF73+b7yBYWR5jpGfYpWwvnndnrM&#10;AlTfbI5vidSHErdq5+lVndi9GNEhe2RVQx73l70aWGrYIUEkZ4iit9dX/aaa6IC9nYx56VCGD6cp&#10;oaSf2YeesVyRW5W3fzjxpA9wVEHnChgvRqWmogpTNEM7vkS7Aqu+XOZt2TOYKr33rA6FcPNZ+ubC&#10;sTCLhOVS9innmUvBfeuRFjNOKZabER0dyXSjRxBkp/p6SrpRvn9DB25Ogky0oGxd2jW1630oW+Po&#10;FUfZDlm+oBr6JiHn1ScDOvaL3wXIsLJyOnHppdOqG5uxtaP4hV2/rSUv9R5vF3ow3l3YmcpGqKt5&#10;7S9/8+i4HYZrZ6xWavuwjPPPApfv9+ID6Dp8GdBEMgVH+87dKhlJptcI90aAOO5PnPbXO+egIFJE&#10;kbOZ+msHcgDLafQsr06qQxnlLNV9yvhJTXzM4tyG1yWOJ+k9Uuf9nNETO1zxYBzRC4v5H+cG52rn&#10;vPLOYxK7fB63erHG37JTID2YeklfZmu8uTYiI6Gp265HwiylBh7lPHPWFDQYs6CLWvoSlTzLVBfJ&#10;PXtLaw5cSbqNtCDkJk5dfY5vUKVzNRdt5M0Qr11nGTuOsn2qR+qs7vAWKSaHi1H6tkGGlRW11qPf&#10;e1XXfZnS2JF7sZ8AeW0tUeZIu3C8GZkvvWVb9aJI5+TJ1/W0pyqYmON2nqOpXtmlZbBbsw9LOf/M&#10;KDIVWsQG8Fj2lLNd9K67pcBI3OZ1Xj+ya0Q7f+Pox5/9f3//VfwGD41uc2euBMf/1S5g9B5AgKyU&#10;tjEBBc+yyKnV8bLpnaXIfYOGmNoS5RmRp1zDc/QrPzETUqYt1LX027a8Tu2wa4EU1EjbJIMGedJC&#10;//z7GZaJxJ/sOKkc0PgxBKCcx9BDXRDoEYGQi/0hZXqEDFMFgXwCoZlIcDxrAtgwHSM+0DuGXmN1&#10;IabGUCc6Avm2yFfrF/Kqxi1dCySDM5F1IUc7IAACIAACIAACIAACF0GAM5EXMRFMIo/A7c3/IOjK&#10;KgJ6ldE1WRFiapK22xfIt0W+Wr+QVzVu6VogSUxwnF2XOnW6HWTdjxEP6B1Dr7G6EFNjqBMdgXxb&#10;5Kv1C3lV45auBZI4zq5Ll9AOCIAACIAACIAACPSLQNjb2f1igtmCAAiAAAiAAAiAAAgUEEAQCRUB&#10;ARAAARAAARAAARAoTQBBZGlkqAACIAACIAACIAACIIAgEjoAAiAAAiAAAiAAAiBQmkDlINL94vrS&#10;vaICCIAACIBAFNF37PF3B9Mn/kXmYHNiAgS+kHhImRMPE81LApmiUAZUKEsX5NlFLzTJ1a6rqhAL&#10;ImEyXRXTBYwrbrds+coqzDfJx92AeNxdwzmtRGxkkQgtMqk4NY7h5hWGeegGOumHzhMRFPVVeEnV&#10;iHOJU/l6f57cbOl77b8P62jymlonHDuhZqmlUmvlaZW0Y62Hq64MSv68RdPbK0k1I4ovKBNoF24X&#10;F7VVyHTpp9YMBq/taPc6idaH72/+OnT3+anH0Fj7wrMPJovZ2Bp/rrdv3A9XzkQ2xhAdXTSB3Wq8&#10;Zx9An8cPu4jSF2Lvl8v5bNPZ7dcppbJ7fZtKJm5owc5hc7ddZvU8Vxyp0t5xOCUGulu9DEW/3O3z&#10;+5eo6kjIPvY9HD2JIYsPjXJ5NyrR9WUXNaL5/n4qReXq/nE5e5GSEF8S/0hrJT5pAiGq68boHHuI&#10;GNJbUbafXybYLpIWlN4qQKDlCLCncezo5lrZROJ5uUa7WdruMsmp3rz9kT6ZP0ux9+RPwqU07oez&#10;gkjeZLzrgxa7eTZB7mqj7MzZG+td82718/1d7e6oqqqjt9BunOxsq+1j7LW7qc4nH9XoyViDSAE8&#10;PEx7GkWOnnhfzZ/Dx2I+HEj0wS7y6v73drlQeS27aTVmnGlrpt+r2+lcyXu3sZELhzQLdmTeh1ZB&#10;RLiDGDLAYlSQSO5yQPsGX4A5elApSpFyeSgVggYM4FKK+FQ3Z25WgbMr5pepYheXArtgHoXBA0UW&#10;0hm5uUzzc0aE4HRqjkyp6HgWUY5OJunco9Q8v6ejlzOTh10WAgfekB/OyUTOJh+PMqkwG2uR66zR&#10;YbifyYXtTq4q9OGFXzm5xeRNZDS46g+R3LAZFSdO3t7odIezqxN5aXz6QmD0RFowSJzyqGMkscL2&#10;MhdpPOA42layB7LLaP/5RW71WSc1t5E04xBbIwEs5P7+63PvquJgyMGl96EthnAnab0LVnHvvUdG&#10;uZhMoq3we/HTa9nK1f2v9f5ltUIaMsgnWtXlbddh+ibJD2gxszE6R4DJTY5bUQQ4uWXK2EXmMIIm&#10;dJaF8oOHt8kiZ1beCMFfnorymQfl5BJeMtfvmejlDNCKNZCC5PQ9FvE099pQU344J4hcbqXR8Xok&#10;PmRVc3mLhBzbo3pookh7f4R+r05deMmRP3Jqgxc1XoHMTXLaRKRaPgO5Yoi1EhA+Qzp7lYS2qkTa&#10;pQ/zau2z641RLlGeVByGL5WvwVEUyAujDmDI2tgCHSvOoiCPUMqdu9q2cOqa5mqOsxNr3W7FCUhx&#10;/0AfwJjEs22FvO3NbFZdIl3X9hrHl1Bd1n+KMQ7rOaWrnAO1dHyY0nlPDFnZLjKGUeO8u9ZUWPCQ&#10;MWpPhFByfvl+z0YvJZttpbiMqWMLJMVfan1wc3yJ0TXnh4+/E8nHLZSLjMWQObDdM362bXz6Q0Dt&#10;InwTZqugI1iR1KYNlBv56Ex3fzg5MzUHyCVnz6GiOga3d2eCkvzkwbNOVmkMdLyeHknsIUsPR9lh&#10;4tIBPWk/LxI/fz6ri3rJ6rQb9wSXYZ30p1RSdVWI/jRi78KBun6VLxlDenQ+FUNWt4usYVyCYHJc&#10;etXp1RUhlPR7VYfbUD13gYx1qc+ckuNo0A+XCSLJk5mja7r0pEdNScbo7fVVv+tWANW55MXTlKWd&#10;lhuSCbppmgCnrM3rp0bDnT9dwAdEfITKK6t+RURciehdFBm7KbSZCSqlPnRiLQ8N+AAgcSEg19ao&#10;Zz73c/JlogX1Zod4tYPb9T6UIxTSw829MHE5suBD62iRd8oX1mRvS6VVN47C7HSSF8V8FYvLlLUL&#10;PRjvLuxMheZ36f7JZAQPUaTcExOXNb0RQklC+X7P9lWy2RaK8wsm6mWaxA0KNRhyuL4Fokk/XCaI&#10;FH5OXu55jh5tFpGjyNlM/b2EIs76Dhw1Mo6W6kzcafmi/gZCEYxe/Z5uBvFbw+LDd2vFcSll2iL1&#10;bCCPUJPHrc6t277gouS+BkVGstV3ueSFc3WR3HPIbS7eiUoyEBQX6vTlGeGOcmxNOldz10b+FQ1+&#10;S0fcWuWLZSQi0a73IRVu7gjlvHTBiib2h49cjCJ6l6dW+NtIpaXrVV1nrbEux7m6z714K4aUCbcL&#10;7zBKz7CLFbwu3T/QWPAw1X9hgtDIG38UUeiH3gih7Oxz/V4seinbcsPlR3fa+Vrv6/xVKo6i9ALh&#10;/IGjZv3wjz/7//7+6/pIMjT8zV3JP15xZJeoXoYAWSkl9crUQFlLAPTOQhsgprbEdEbk6ejjOfqV&#10;/7JaSJm2UNfSb9vyupx4oRmSlI78fKj0gmUt6pLbyD//fpbJRGa11dCL5KfngR5AAARAAAQulkDI&#10;1f2QMhcLCBPrHgE6xy59o6nJWdSTiWxyxOirAoFmNkwVBnYWVUAPYjoLAm0NEgbSFvlq/UJe1bil&#10;a4FkTZnIugSCdkAABEAABEAABEAABM6EAGciz2SoGGZ1Arc3/4OgK+MDvcromqwIMTVJ2+0L5Nsi&#10;X61fyKsat3QtkCQmOM6uS5063Q6y7seIB/SOoddYXYipMdSJjkC+LfLV+oW8qnFL1wJJHGfXpUto&#10;BwRAAARAAARAAAT6RaCOt7P7RQyzBQEQAAEQAAEQAAEQiBBEQglAAARAAARAAARAAARKE0AQWRoZ&#10;KoAACIAACIAACIAACCCIhA6AAAiAAAiAAAiAAAiUJoAgsjSyHlSgr6Vq4Pt7K/ZCX0pmvpO+kiwq&#10;9lupL1QCgXwCpM7y++Q934YOdickEOJHQsqccIho2hLIFIUyoFJrApaAOlUrFkQ6cuIv83a8Wgy6&#10;dXtwfHXKoo22XFlWX8vytCU+K3jlICk7Yok7R0HaF+DHBVl5CyDaT0Y05mHCJaii2k84xcRvKg8i&#10;CNH5FIpziVP5en+e3Gzpe+2/D+to8rpLzorFamtQS6XWyvNhVM9IE9aRq5Dmyw0zbS2K7BcgHmMX&#10;NDevBdUz5xZbiYdicVU96bAYp7aK3eskWh++v/mrpd3nJx1AY407ihNzA9r1Ggrab3tDshOrX04m&#10;cj73eTUaz+BtSkITn8P0Le34GiOMjo4mcHX/WwpyPZ+zKdKn2he9+7Xl6PH1s4HdqzYxN7RgV7C5&#10;2y6zmGgBkjD340rRxm71MhRKwN0+v3+Jnnar8V6phn3sezh6Ul6B/kejXN6N+ik9z6yNaL6/n0pR&#10;ubp/XM5epCS+3l9my0daK/HxEPBYR55CcuwxvSWWfluTmm/KHGUXSQvCinmsArNgHTsyXyydeH5s&#10;N23Xp7Dccb37jdhikp6PI7Ht5I+kkPDGCQXzOvA655Z3nD2dLmfj5MaZ/NjWhhkUg5RzinWOHW2d&#10;ksCnPmYzGmC37L4ck0dbeN3TZ3Vchf41mCwWk4HdLgX0wsnL1YrbSWVh3FSD+SXvj99Tg7fJgNVG&#10;Y3Ozd51Km42etIkdPhbz4UAOONhFklVulwuV1/JIzWJLEDX9Xt1O54rSbmMjFw5pFm9/viLvQ6uN&#10;ItxBDBlgnipIfJdbc58vHT2oFKVIuTyUCkEDBnAxRXKtI6WQVoH9tiaWZqP5ddnFxcDOn0ihByb3&#10;LP2tm8s0P3u9eqxHc57FEdUsmo3V2uCec+X5PbsEdFcinK2bLCKxWlLaVUdarJTbUjFXga+ugUDu&#10;ncjbp63ZBou+KL2/wOJQA/buNzGbfDzyVoc0QG4k6OBNp8e2UWJvIaaT0pZUFTIEnfFUQVJgL4tZ&#10;xINJ5UidVMP2xqTOoijVrLNXOwz3M4mfVmV5kmi3dF2Ri/GAtOmslBke3S2j/eeXT2rOxjQz68yG&#10;Lvf3X597F8pgyMGl96EthnAnqUdyKfDtgxjlYjKh3ALL2XckeHX/a71/Wa2QhqxsnSmF5IVVb3Ky&#10;bM0to3uuZhejJzqxkwowIK9aKgSoPOd2K+Z74DeKjrI/WV7dU4OK8pkHefGEl/SsVtbv2SWgXUi5&#10;vZPSrOdiaibhKD3vfP+iD7P1mX6eghX46joIFLxYY7bBqb7MdqFTKZw6kKANJqC3OxyN8Ifdp14K&#10;afPHAUrqk9CWgCqBvcyzMjB2u0ljsp9ks5xUmIvDqyji3I8sSVPjPWwXFVjfMvg+DF8qHUzz/CgK&#10;9IjAQZGl6fKiXtW1Dqeuaa7mODux1u1W4m4Q3z/QSWGTeLatkMrezGbVJdJzj5ZWyFh8mGFrnhiy&#10;sl2wGZJH5aggebZ3obIJ88AZk8/w6iVQ5fs9uwSUaLIzRRc3IrvjJnjE6tyeghW9na2OWz4lwqvr&#10;m2gmj+bldiH7glZnmGMgtRFQ26Lsi5NxbeF+C6ukBxdexb6VIC51lp6n1OG7TYffAjEHyCUnx6Gi&#10;OgYP5yn64DsHGSer9Fs6Xk+PJPaQsj44rQiUlg7oOUVPuaqfP5/VRb1kfUoAe4LLwF56XiytkL4c&#10;I69u+rIGA0uVqW4XaqfwNOJwlfcLXdy2VlQSbzKhYluq2rFeXfde0u8dN+j6a5PWUL6WsxyZ7yjq&#10;BE8ZBfM68CNHXxREUrTId3ImKs9D/5jPzKb5yL5R/YwI8C05tX/IG7WrLYFV3ObKVXEuDPJKkTMu&#10;WoTFXT4RJL24SUuxHaIINGBujUkrdlNoM+OUYrm+6eRGZl49PB0U6Ub5Ig4duDn5MtGCerNDsON2&#10;vQ9laxwX4eZeoLgcWfChdbTI0+HANlEsTiClkPH7kX5bS96hPN4u9KBOsYi3JXIKYvTNa3E5KG/z&#10;mOmBleO1bjncq2fPO9/vpZaAtgDmrqRiWYrkGQadCu1WvPdwJya8sb4wb5pKKliOr65r2sVBpHP+&#10;R53yZoqun6kbPnSrFRvkukTR8XbE1Sy5L8r7y07uUYGnCql05L5Yk5x0YC+y2ujJqOI4Wma+tSzU&#10;lpZoqbXP0aNMWjqv1QyOOL09gdgoEjek+U08dbAsb5Coi+SeQ25z8U68vicDwTRPB0VSjtK5qs2v&#10;3v/yWzra4JmTaNf7UEXoeIE4rRJWNLHbEy5GEb3zn7sYdPKCxQnUvN4m/daRPsrmP9vj7HK8tpYo&#10;c6RdOG6KzJf+0kHViyL1AquhNb63pz1VwcRiHniqfTWhEVeK2C3rh+FePWcGuX7PLAE1IDhlEzH3&#10;MI7EJV5nYsYb+xVM/72jLF9d38h//Nn/9/df1/U1iJa6SICslPYzXRzZOYwJ9M5BShHE1JaYzog8&#10;bR2fo1/5L6uFlGkLdS39ti0vim82dxfxglHbJGtRh6Ma+effz4BM5FFdoDIIgAAIgAAIdIGA/fPh&#10;2aMJKdOFuWAMINAJAshEdkIMpx4ENkzHEAa9Y+g1Vhdiagx1oiOQb4t8tX4hr2rc0rVAEpnIunQJ&#10;7YAACIAACIAACIBAvwhwJrJfM+7lbG9v/gdBV5Y86FVG12RFiKlJ2m5fIN8W+Wr9Ql7VuKVrgSQx&#10;wXF2XerU6XaQdT9GPKB3DL3G6kJMjaFOdATybZGv1i/kVY1buhZI4ji7Ll1COyAAAiAAAiAAAiDQ&#10;LwJ4O7tf8sZsQQAEQAAEQAAEQKAWAggia8GIRkAABEAABEAABECgXwQQRPZL3pgtCIAACIAACIAA&#10;CNRCAEFkLRjRCAiAAAiAAAiAAAj0i0CTQaT7XfddoNy18XSBSaNjoK8X+/n+dUSXkOAR8FAVBPpM&#10;IMT7hJTpM8MG554pCvoFf/l2qZUEC0edknODSJbGaidbJ8qlpJI1pmIr1N8TXmFWSn1YhUoqUYXO&#10;UKWQQLGwC5tAAUHA0ey4GbK1GCN1YcVswVsiCK1oP2lO5qFrZemHzhPRhPYlQR1fXiGvO/W6LPkw&#10;4W8lTcvQrVmLa74w4n6T8aquNLE/b9H09sosdz59tWWOsQu5nOrPBckuHoq5+n5i3XJjht3rJFof&#10;vr/569CPiCVOPOKi5t2lM6VrQYGZ1H/rL7waq1WxXtfszUTSeMbRNv9L6ouoBP9+9PR9xFexz1l/&#10;6HNYR5NXFQAHd42CINBJArvXt2lar9ktbO62y6wha1sgY9iPK+0Bd6uXoeiXzelZJYl3q/HesTL5&#10;2PeQLVl/aJTLu1En4TY+qKQ7XW4lpe3NZKC9+Xy5jN7+OFn53WY2n8/1WEn0A60SJJ3pG3xdQoxe&#10;k/GqrgobKfaQMWS2WXF8IsocZxdJY4HsjjXBRMxwc632AsfFEseOqp76js4+fiRUJTsw+3p/fpuu&#10;7dLg1dgcVT9q7J4gcrdif/WkVgA3vWA2Ue4WxPzMP7zL1LLaVtOcB5PFYjKw2+xPXcDEwk4MHmvB&#10;FIglOLL2cYePxXw4YBSZAzZjS4Xh57uBOUr2p61s5aBkZlMFnn1QGamZsqvNaafQWuujJ72Ds3od&#10;RcEu8ur+93a5UJsqD/aUaPRETb9Xt1MdwFA0s3ykXT5/ru4flwuOdbwPLa6v95cZYkgVrcTcqatS&#10;o7tltP9UgePwbupsgwngfv04VaUFTmdTT/LV7rk1Fe1axz6TydFS51eZZmXL1GUXXYN2ovH413G7&#10;MnOYINeArECiIG9rYgaqP55Fs7ENOEyAkOf3zmThGD3FzDwemLmyEyHkr/tr+8ynsSVWkHKKkQwi&#10;SR7xJKSTXqCds85OZHQye4t+6U02FSVnd1jPRYJELYqzycej2IQvZ2NvSjVVQLhTkR2h5MZ8/Ust&#10;Z3oAIkKlz3g2V2cTWQPO6pr1MNoekQwtB7wnpZ39lJS90HOZXdtGadmHS822fBjuZxeK03jAqicC&#10;OkDxYE+JxsOQzvEWcn//9bl3fz8YcnDpfWiLiROmB+QhI17eMiXIoaF2WsRuQHH7bCMPU+QxqtgT&#10;y38tEJIXWXraZHK0lOPDokS5r0w1uxg9Ue5YrlMDWv/6sAFIr7au336bLHLEWSLkoKJ85kGp/cS5&#10;aa7f6/TCMXriE4rU7ZYcT6JCSJWNTYC1GltkQNV/nwwil+u1cWXKhencIcf8BR+TsqA1bPFxSJde&#10;bqUF8Rrn/RQWSNQyR3j2bMhuQWID9rYsRdMLsy6SXa2/58M4c+FIL4Q24LcJGNNrqNScljkvVuuo&#10;u9MYbb/kkedh+FLpYJqnQlEgu5AE9pRo0rMmrzS5UZZanonIm+ncZfnqF1Uj7U5pepw44XiCGLtL&#10;H6uzjCIpCL/xA7RJeFzdSShKGZOpGENWtgs2Qwp1KKNCwq/3PlpHzSW12pbx2xlrQYmp5vu9ji8c&#10;IoiW2w578Or1JGJlZWed5W4ra2wJ1lGUOs6+vv9FN6qcpDCvJ2pBIxto/HN1faNWQbqZlcxDOqNx&#10;Ui8lBrzcZuZEG5/pxXeo74KRNiXv20plb1HNugrfHCCXHCD7bHm9Q+zT1SfkmjPfQXGusyT6peP1&#10;9EhiDykCQt7MMEq407hAkikp8mGzl/evZIhDLjBSOUqZpMm+FltSSy6yeJbJWC2tFENWtwt5DEmZ&#10;Co5z+b7yBYWR5jpGfapU11pQ0u/VN4FaWmJdoTtJ9p60z5NwT6zWalsqT/bdA/0cT17LKGUjnjuR&#10;fKPKXPl27mTx6mB7Vl6N0w7OQ3KBMjqmkxq1hh052N1G3+pPRR6xlskxcOqFmeqe4wPOGAcdNbhB&#10;85GjRXVJgE49Hf2nB3zJTh/WeSCFS81pOa57F4Q+dlNI6XWp6dHRkcwEe7CnROO2zC9w0IGbE2yK&#10;FpRZS7umdr0PZTscveIo22Eac6cFUuQDnMmAdsvxuwCjBzoeshv7UqrQk8I+k8nQ0pALu8kyx9uF&#10;loN3F3amQhLqqt/9KNg8ZvrtVCARvhZkY8v3e11eOGivovcYfB3DvDPEa6gbmJm5u4f/4mRfOu+0&#10;xp5Oyfx/J5LO5dWlRX1Cz9cOI3qDUH7k7/lM5jmaOkeKy2n0HD+pIWlGnhP+8AkNhqK++qT2cPqs&#10;7ge/Qco7e/+A8/qTsim47Rk+YJQU+v6L3u9VchNbI35C7ww7r125oMKl5rT8HD22kRs/vYApaDCo&#10;nNsW8ixTXST3HHIbWxBXNKQvSWNPi8ZMSDpXta3Vfy9Cua74Caz3IbWDo2yfdlh3WqQ7HC5G8Ysg&#10;XEWkJcRNKX0BvJ4detFwzuf3XpPxainfN40F6R6zSpQ50i4c50bmq9ap80GbM1KZgVFKmT+xmN82&#10;MYMvkAhfC3JGluv3urxwUB49UkT5vkvisCLUk3g1Vr90nL2CVFTKH3/2//39l/NaT8V2ZOy7uav7&#10;eiE1Sn91RGVGTtJD9QmfUU2yczoGO6MBd2qooNcpcWQNBmJqS0xnRJ4yPc/Rr/x7HSFl2kJdS79t&#10;y+tyFvK2SdaiDkc18s+/n01+Y02VsdIO02YiKcHShzfbqnBCHRAAARAAgXwCsT8xnlE0pAw4gwAI&#10;KAI1ZiLBtLsEsGE6Rjagdwy9xupCTI2hTnQE8m2Rr9Yv5FWNW7oWSJ5BJrIuYaMdEAABEAABEAAB&#10;EACBGglwJrLG5tBUNwnc3vwPgq4sGtCrjK7JihBTk7TdvkC+LfLV+oW8qnFL1wJJYoLj7LrUqdPt&#10;IOt+jHhA7xh6jdWFmBpDnegI5NsiX61fyKsat3QtkMRxdl26hHZAAARAAARAAARAoF8Euv52dr+k&#10;gdmCAAiAAAiAAAiAwJkQQBB5JoLCMEEABEAABEAABECgSwQQRHZJGhgLCIAACIAACIAACJwJAQSR&#10;ZyIoDBMEQAAEQAAEQAAEukSg9iCSvtEo9QXXasI5vwpBcmT1kC5QplEC9PVi4nu1K3+gEpXRoSII&#10;9JtAiPcJKdNvio3NPlMU9Av+9u5SKwkWjjrl5gaR50eWRpwZstZJCW0FEYDLDcIUUEg5xrRzZI33&#10;qrxTI6NEQLdRJNpPdmseuq46/dB5IprI2kwGDeSyCsWkI5c7fmQJMTtnGaR/2n9ZrqUWyssiWDyb&#10;cNUVbcW+3DDDrGyZ8MYDjaV4Pt0vEQ8Y4gp90tG76/7udRKtD9/f/HXo5xsPuEtnStdcsjHPYLNz&#10;SaedsRycxpXUnok8qfIkGx89fX/j27QbRY7OGiCwe32bkl+kz4G+Ov51J7tkD7C52y6zBjBnXyor&#10;7cfldubGG70MRRvc7bNKEu9W471q2T72PWRr1B8a5fJu1ACq8+liuZVwtjeTAUWPV7fT+f5T5eG/&#10;PvdRtPg4aDlsZvPp7ZUS+jhSNb8fP7RQzmfaDY10typWXW1IgivFHhJxtlmZMiGNS8mEGIs7jIbo&#10;XFg3iXX/5lqYShRdQjzgaNDjR0JVKDQkZ8DhsvPxKif/XjscHSPJ2jEnVI9e5ASRbmLBbIF58/Eu&#10;88duqsGUXW30uNxY2O64P3Vd3WKZXsxSp7tG6qseLThFK6lNj1UIT4qqjBp4lO0UE2ixzdGTdhSH&#10;j8V8OCjpIq/uf2+XCxV8erBn7kdNvxzh2IBm+ajc1tX943Lx9ucr2m1m6YcW2Nf7ywwxZIYCje6W&#10;EUePV9c3giV9OOO1Xi9nG7ldoJBSxZAC5Nbsk61etKic3ezap7o5I3UUODPysGXqsotuoqt9VIVB&#10;AkUQcg1wc5nmZ+9aEBukWfep6HgWzcYqje/GA3l+z0Yptc+9zgZHT7EM2W41oNxCKmkWqvnkZBbG&#10;KWsnVMtwc4JIJ7FAm2e7BZ5NPh7Fjno5G2tV0LmKw3A/k+OiXdyN3kDbbOHsLfoVz3SE96LaJbWh&#10;cBr5x1rEf7JGnP2UOGig07tnnV3bRkpvnN7D1cC2bJXtZNNoq2HjAdMbz7AhaSfhwZ4SjadFdjhy&#10;fy9yZPYzGHJw6X1oC4kTpgfkIb2i4rhQhogkIxVFHj4oK3Y7nMso0jlodfcQYYLvfSmrupyZOkzf&#10;BiLhMaBFyy4aHB8WJcp9ZarZReYwLldY+UHC22SRM/WstcBThYrymQcFGon0XK7f6/TCMXrio4rU&#10;HU8KlIvWAlfzmRXH1k6yjzatkd6mRhE5cnvycaQe5h1n21ieon370TtjXqdkvGgPXzhVIR/Sb3kS&#10;iaSTTl+IlIY8vQntRWFBBHmkxBup7qiE7I8VfMG2QR/SJnOOZ0YTqgZeZWtkTk12QrlEdTI9fKl0&#10;MM2DpSjQgz0lmvS8yAPTDrDqPk1kz3TuskloHe9L+fQBoVUrHkeR7ARJJCQrfb6dXAs6Pq1uDS+h&#10;usySYozDek5LqnMDtVoMWdkuMobRLXS1jiYsSMjoMmMtKDHAfL9no5QSTTZXVATRcvdjL0Ev12u1&#10;x8yE5jpts4A4yT4KT0VMJjdVE3vEdezUsoNIaTH6kpU+3ArvT+4n7jb5V+zL9bLc2vRn+EhQshsE&#10;7B2N5L6R85RHKVs3JniCUZgD5JJtc6iojsFzsPsaJQ/uPTWRZSk1lq4Ue0hpSHtqUnLUF13cyMFG&#10;57zT3ux0youiyIjOt4mmyZLVmS+4aLhicknVled/lIDkJZUvCqswslIesrpdZA3jEgSSzgYcPau6&#10;1oKSfu/ocdfbAKss3UlS912o7ev7X6TBGa/W5Smnc3Lt5niXnGSoZ8zZQaRzksLrQk537On05R7K&#10;QsRK0rBpG2iyqLMXeVtfnOnwIhfei2yWTgayUdaDBK0cT8BRCdkYp1lsLj3VQbga5Cnb8ePuRgux&#10;m0KbWXlrpxNreWTqwZ4SjTtn6pnP/ZyzIdGCslppttSu96Fsh6NXHGWH6hEJY/byslfxvrgl+exe&#10;JxWgbQqN1gq88p7BNq268YJmpxNyYTdZ5ni70IPx7sJC1aVj5TiTbl/7y988ZvpttSowcTm98LUg&#10;G0e+37N9dQyoiIyMifOlITfQ46vu8qW8+KdA88kjp1YQXiAK73MEw0kEkSbb+fN9oM7m+fwxWma+&#10;EsoBAsXIkTyqfI4e6eRAslB5U0qc2qOx5TR6lsnUaP2Lr8rpGwDFvegpSZR4SzFYxG0UdFRC5eT5&#10;Cb0znPxTBGpw4WrgU7Y2ZnjKPkcPFpVzfUNeOFcXyT2H3Pq6ABvsVgWCaexp0ZipSOdqfIC8i6Jc&#10;lzoDUUex3ofC7HGUXUYzeLFbLNRrwvKW5CKWxyXQ4l17dQb18Vj1kkGZUZ1hWa/qOl6FbIL+xADD&#10;Ey8xuRd2PWaVKHOkXXiHcYaM00OWKR2pm5pvxsRifnuqwwl7wvoc6Yfha0EOw1y/Z6KUDgqBjp4i&#10;RdQNnOw6ad5EUY+8ymn/VJtcDITXcGKyei8F/viz/+/vv647SBNDqpEAGTndLaixwV41BXpnIW6I&#10;qS0xnRF5Wkmfo1+J1zAS3ELKtIW6ln7blhfF7Zu7i3g5tm2StajDUY388+/nef+dyKNmj8ogAAIg&#10;AAI9IhD7E+MZ8w4p0yNkmCoI5BNAJrIXGoIN0zFiBr1j6DVWF2JqDHWiI5Bvi3y1fiGvatzStUAS&#10;mci6dAntgAAIgAAIgAAIgEC/CHAmsl8z7uVsb2/+B0FXljzoVUbXZEWIqUnabl8g3xb5av1CXtW4&#10;pWuBJDHBcXZd6tTpdpB1P0Y8oHcMvcbqQkyNoU50BPJtka/WL+RVjVu6FkjiOLsuXUI7IAACIAAC&#10;IAACINAvAng7u1/yxmxBAARAAARAAARAoBYCCCJrwYhGQAAEQAAEQAAEQKBfBBBE9kvemC0IgAAI&#10;gAAIgAAI1EIAQWQtGNEICIAACIAACIAACPSLQKkgkr6tKPXt3x3FdUZD7ShBDAsEQOD0BOw32v58&#10;/zp9d+hBEyDwhcRDyoBoIwQyRaEMqFCW7ijPIjygiZ1HuOUGkR0h63xP+I8fZVQDFt+INVfsJK5d&#10;LGRlIfQL+YnLWjw+DyOqSCSnmmMDgVRiVlOdm1cY5qEro/RD54mQZ1+Fl5RrnEucytf78+RmS99r&#10;/31YR5PXXbKuYyf0K2qpjEOsXy+73GK46opZxL7cMMPZ2DLhjQcaS5dJho4t06WHNlC1HDPWdrR7&#10;nUTrw/c3fx26+7xq252oJ7z5YLKYjV2DTythocv1amPdUyyViay788z25qwVmY61sWGgo9MT2K3G&#10;eyXtxw+7iH69v+yXy/lsk1pWTz+k9nvYvb5N0xbADmFzt11mjU9bDcUj+5jzCZ7QbvUyFP1yRPOs&#10;EmOOhOxj38PRkzBa8aFRLu9GwR1fekEjmu/vp1JUru4fl7MXKQmyidnykdZKfNIEQlTXjdE59pje&#10;MstsszJlQhqX5hJiLOmtAgRajgB7GseObq6VTSSel2u0O6XtzpIc6c3bH3lA4VPCApeb0MZTKV5e&#10;EGmTG87u+ZNjZDfPsFv9fH9XySQqp0JfvWF2Q2WzieYdzHuyHZ8MDx+L+XAgHejPn6sVd61acRoW&#10;o6MCFLkvJgObLUkNlQuprJeaUaJZN52DPErTVjV6Mo5BpAAeHqY9jSJHT7yv5o+1gCgKdpFX97+3&#10;y4XKa3ms2NpOIq9l+r26nc6V+HcbG7lwSLNgp+Z9aPVFhDuIIQMMSAWJ5EAHtG/wBZijB5WiFCmX&#10;h1IhaMAALqWIT3Vz5uYocKZZ2TJ12cWlwC6YR8b6btwOL/5yeXVzmeZnb8wQ69KcOVLR8SyifJ0M&#10;C9yzyDy/t9qcjSTsUpCv4W263OwgksJhnQ7ZRmMdUs0mH48y0zAzzxaTN5G/4Gc/RCrDHs04ofL2&#10;xiQ3osjXjhWsiAXpM57N5W6RP4tZxF3z8koKYvJXnHYhDaKF87Ceix2/WoBTXfhn5DRLbloeLfGn&#10;XMbgbJSyawMdPZFeOJG/GJ86RhIrbC9zkcYDjqOtjidLSW50t4z2n19kKSkrdran2lRSTZMAFnJ/&#10;//W5d387GHJw6X1oiyHcSQLVDi19Gs0oF5NJtNWOLXUL4Or+13r/slohDRlkAVZ1edt1mL7JpWRA&#10;65Z16RwfFm1yfGWq2UXmMIImdJaF0uu7dTuH4dtkkTOrrJjBU4WK8pkHLdoJL5nr9w7D/azLVMW6&#10;R4Fxxt0VV8P1NPwutyHFywwieaQ2lhMLEn+WW2mJvEiZjzpj4QVG/siJDFXDbghoy+BU8bVjfm1O&#10;fzjA0PHr3G7DKT9jznVMdiSpFsmhZszIaZYmxbJDDrJRCxM+Qzp7lRizV5FYIuowr9Extd0ZbYnk&#10;VuYwfKl8DY6iQI/O09ro7My8E5XHKVV3UTh1TUM1Di2x1u1WnIAU9w90UlgdvbhtkIu7mc2qS6Rt&#10;bW6w/4Tqsv7TmkXpBUpXWb9eMYasbBcZw2iQS9NdpeIEx+3wip07noyYocQc8v1e4QBK9HSaojKO&#10;ji2KuiOfEma63GYUL/dOJEf46lMpHcL5ZX1vnNOT+oQsHLxOqBTVMLciCgoWzEjK7m6D1wKKgFf6&#10;vd6JeCpz1ERHsOL+B+2q3P2LfNjTT+YWqYAH+2x5EUTs00tYMd8LyThZpcZo+5buOfaQpVeY5emp&#10;NJPT1isrH6PQLurnz2d9US9RkvbnnuASFOMEkqqrQvSnEXsXDtT1q3xV8pDV7SJrGJcgvhyXXnV6&#10;x8YMut+Sfq/qcE9Yz10UZTd+JcxyuU0pXmYQycnE448SnStdPNPSwMnLRp4AkXyqSVBxFB7kYINn&#10;RKEkBbzHT770bC+6Au0H9DU9GSeKSMP5MwZ8sMey5pVVvWojL070LoqM3RTyW0C+qtDRkUw3enSe&#10;bCcbKPXM537OllG0oJPBwtaoXe9DOSQhPdzcCzNlRxZ8aB0tynvIsI56UCqtuvFJm51OyO2xZJnj&#10;7UIPxrsLO1Px+F26fzKOqjNcW0its/bhsTEDN53v9+ID6B58fs1E5U3ci0NZGh7mck+oeIkgUpzE&#10;yz+3EvFVHPvPaskgfeON7zdGy/wktiNMc4WIbz56jtX4zQFxk44vu9DJm1z0SHOi1PU6p1VxuShn&#10;Rs5rNdxo1eO87illN0ZEFzQMfiNXyrRFSiSKefK4lT1Vz3KR9C6F0VO6FKnvcskL5+oiueeQ21gN&#10;2Zq8Ykc2kdJ5Ea0o20k0Ip2r8QHyXofX1vwGiBeIsyzNiiZ2WcbFKKJ3eYKF+zSlPZZXdZ3Vh+xG&#10;LSV8Vya2y/GYVaLMkXbhHUbpGXaxgtel+wfquJ3naKojAUIjb//9sA8rxgzxbnP93nP0WOFUtDkB&#10;jO50cONEN14lpDF5jrL1XzpqSvF+/Nn/9/df180BQk9tECArpaReGz1fQp+gdxZShJjaEtMZkadM&#10;wXP0K/92VkiZtlDX0m/b8qIoZ3N3Ea+uno4kpSM/HyreIqxFSQIb+effz27+ncjA8aMYCIAACIAA&#10;CAQSiP2J8Yw6IWUCu0MxEKhGgM6xQ1/0qNZBjbWQiawRZnebOt2Gqbtzrm9koFcfyxO2BDGdEG5u&#10;0yDfFvlq/UJe1bila4EkMpF16RLaAQEQAAEQAAEQAIF+EeBMZL9m3MvZ3t78D4KuLHnQq4yuyYoQ&#10;U5O03b5Avi3y1fqFvKpxS9cCSWKC4+y61KnT7SDrfox4QO8Yeo3VhZgaQ53oCOTbIl+tX8irGrd0&#10;LZDEcXZduoR2QAAEQAAEQAAEQKBfBPB2dr/kjdmCAAiAAAiAAAiAQC0EEETWghGNgAAIgAAIgAAI&#10;gEC/CCCI7Je8MVsQAAEQAAEQAAEQqIUAgshaMKIREAABEAABEAABEOgXgbwgkr79yXwReHkq9NVG&#10;+A7Y8thQAwRAAARA4NQEQpa3kDKnHifaFwQyRUG/4C/fLhWqIDipU6vcILJZskr2LH/9YT3gLw8X&#10;H60UsXKlNKVOTmirNgJxNWPxys2G/SliLei1qB2lj3MQ5uHbnMXNqfL2LWV+LBnz0HXV6YfOE2HB&#10;lQdRm6p1piGPE3PVXSJ2JB3Tf8u11zZRJEyv6mrtTeui/XLDrIrkkv68RdPbK9cEXBEE2kWWBRVN&#10;qPO/z/LkJx84g9cS3b1OovXh+5u/Ztp9fvJBnLgDv1am/H/mSmGGl7lk1DaB9o6zr+5/f/PnsJ7P&#10;WQno8/v+sBrv1T8eP15FbEEf/fvDOpqYh7UhQEMdI0B2MY62Z/Dd8yfjtnt9m0qTcFWevcHmbrvM&#10;6labCVXajysF4bvVy1D0y90+05ZOhpDGJu1j38PRkxiy+NAol3ejkwE6x4aXW4XmZjKgFfDqdjrf&#10;f0rEEX1TbhQtPg5qXrvNbC6DF14XyRgU1ccPLZRzBHDSMXtVV0QVfpPh2EMg9leUmp9bJtgukhaE&#10;JexYTWBP82S9i/mS6cTzY7tpsb5VrsP0TSmMT5n9K0UsgMxbMuqZYXAQ6ey65B7A3SzbXbUpttro&#10;Abq78BLJidGToyayrcPHYj4c1DNxtNJRArvVgCKolOw7OtrTDGv0pENoV+WDXSTtz7bLhdpvWfMz&#10;xpeZ2jL9coRjA5rlI+3y+XN1/7hcvP2h84LNLP3Qsvh6f5khhszQjdHdMuLo8er6RrCkD2e81uvl&#10;bCO3zRRSqhhSgNwaY7B6cRq9O+NWfaobRZkmYxXYX1GscEbJ67KLM+ZbZuicoXyXh8zueYSNDeiX&#10;JohwvZJ5GDucTHdtjrZ5izWLZmOVxnePvPP8ng1OykyrwbK8qVShMTlzZf8+ZfavFGakwUvGUXML&#10;CyI5N6QzhJzm4Jw++cKYD3ygnYETPw/3Mzkw2s7d6J20u33wDnv0tKV9evKCw4If0Wds9udHzRmV&#10;O0uA3EHPk5BSNMYDVqWhI5Wv92ed1NxGY+GknQyKOAPyfSiqWUgnJnJk9jMYcnDpfWgLiRMm9gf4&#10;+BbAF+XGrAc9fFBW7HY4l1GkPUTFtrm8BlnVzanL8WEyUZ6smF+mjF2MniidJJewwcdj4SJYfs7d&#10;qzGb0ETFicRMep1YbPA2WeQM2TnRoGggN/dORfnMg+KLhCfL9XsHE5x0D5x0/gMCxKFx8aWgo1eK&#10;GhCEBZGUD0knHowPNE7POYXhnIUcHhVjHKE5SKFB0ubM9RNzTscRZmhDNcBBE00TWK7XaiVtuudu&#10;9afvenwfhi+VDqZ5OhQF8sJot2AiAeYYadacyQPTxq9qMlhkz3TusltYWx2NWhQGhFateOxB+Qib&#10;REKy0ufbQVFQqzPpcOdhquuJD1MVQ8qEgmCRUqhDN7coNOjFAqbT57yZFR9vbJDBzyYRKc1Y6ZPv&#10;92xwUqnxU1ci58+aoq6/FLjhWlaKI2cUFkSmOhFZitHDOqLzGGfj7B2M3FjcbQLCal2fydCBnDrs&#10;sa3q/MqRk0b1lgmYu2CpcVzf/1KZ7paH2JHuzQFyyfGwz1Y3P/RdPHHp2J94dBvnfXD2fQLaTqZH&#10;EntIacgFjrI94jJysMsCb7A3Ox2uUBTJ/pR37DpLRolfe1OypAr0r3i+6loeqfjQUzGkjEM4zy7k&#10;BR1KQPKyxgd5FxRGZnvyyuonw3l5C5iDqaqfkn6vajddqVd1pahh/GFBJPmy2Yu6Z8+JBrU+Ca/3&#10;+qrfYIvY5elbPlQqNjwKJUkj9K2f7C2INjDnVkDM+vVVgRrmjiZaIcD5F/N+VDrk4At9PU84u289&#10;0mJWXuXpxFoemXJ2K2FzjpGmxU8984GbE2yKFmK2T+16H8rWOHrFUXaoYQnH+rLX/pRvST6710kF&#10;aBt0ULBzQQFIKKSwcmnVzVxk4hd2fRWTl3qPtws9GG+0GTbDzpUq8OSx8WbGBso9MXFZwbkGzqtD&#10;pVnn+z3bV6XGO1Tp6JWinrn82f/nvFFp2uQTZOe9afG6pf44Ib7YKZjTZmfnMF9v13MuGNtLODXN&#10;e5yxXjzdxBpwurJvguKnQgIkusIyDRZwZGol6qTwhRr4lKXBMTpdNU7P1XmLIf5edsIU4nv2pIlK&#10;01VVvPR9+37zPrHP9r0OwZVh47JqXEzhM8zkknCgAmpC8f3KEN53AyXbJ59MWSmGHpOJrzepXJeo&#10;GFJG/gmC9Jroe+gOowtLWH3y8voSdU3R/JkGmVY0Ref0DplRco3GfWhxLZdL+6dZzF9xicnH7cyV&#10;W3pkzgBUcHK8adRH0o4llX7NVuaY+hq/YVfP3CXj+NlzCxRA/qD//v7runJASqHw5q4XV4UrI+pC&#10;RbpKQPLuwkjOcQygdxZSg5jaEtMZkadk7nP0K/9eR0iZtlDX0m/b8rqcqKFtkrWow1GN/PPvZ9hx&#10;dlYv+FMeR/FHZRAAARAAgcYIFF3g54GElGlswOgIBLpO4NhMZNfnh/EJAtgwHaMIoHcMvcbqQkyN&#10;oU50BPJtka/WL+RVjVu6FkgenYmsSxRoBwRAAARAAARAAARA4KwIcCbyrAaMwVYhcHvzPwi6CjhR&#10;B/Qqo2uyIsTUJG23L5Bvi3y1fiGvatzStUCSmOA4uy516nQ7yLofIx7QO4ZeY3UhpsZQJzoC+bbI&#10;V+sX8qrGLV0LJHGcXZcuoR0QAAEQAAEQAAEQ6BeB497O7hcrzBYEQAAEQAAEQAAEQEARQBAJVQAB&#10;EAABEAABEAABEChNAEFkaWSoAAIgAAIgAAIgAAIggCASOgACIAACIAACIAACIFCawCmCSPdbwUsP&#10;6AQVujaeE0wRTYIACIAACIQToC83/Pn+lV8+pEx4jyh5BIFMUdAv6B3pH4WydPtGSHCEJFJV3SCS&#10;yLqyKAX61NamNIW1pZy61AkLbdVBIK5XLNjVjtu1P0URlSnlFOoYV5facNQ9zkHYqOQV/7gG4i8R&#10;ND/RftLIzMOEe1BFtaicYuI3vmEGDeLyCsWkIyXqqrtQeFfjY/pvufbaJoq0Iq26uQppv9zQq/Oi&#10;t4IyfbeLLE9eJKmjf8/gtXfZvU6i9eH7m78O3X1+dCcdasCvoZlrgfAtHj9+qhklMpHzeTR59SxR&#10;p+q+TLtzVhX6bG8mA6xPZcidWVkygXG0ZafQ18/u9W0qlf2wtgbJTmNzt11mUdEGQpX240pB+G71&#10;MhT9crfPKk2zW433yvTsY9/D0ZMYsjTSZbS8G/VVft55L7cKjfRfV7fT+f5TZcK+PvdRtPg4qIq7&#10;zWw+vRX6T0InY1BUHz+0UEA2QcCnunkKybGHQOzVedl4fhnYRWtKyIJ9st7l5lotFYnnrY2v3o6t&#10;oh2mbyo6y10L/MtHvYNyW0seZ0+ny9k4FaI5Wy79O049rlYc8P58373/HEwWi8nA7qY/dSxs2rLR&#10;sXrktkC+lLc176lanpmP7uwy6hmY3NWn0ynSISM9cjpdqqfl3WpAEZTjIupp9qxaGT3pEPrwsZgP&#10;B3LwwS7y6v73drlQu8GU3eUYiOmXIxwb0CwfVUB/df+4XLz9+Yooykk/tIi/3l9miCEzVI79F0eP&#10;V9c3giV9OOO1Xi9nG7l/p5BSxZAC5NYYg9WLs1LnJgbrU90chbQKnF0xv4zXBGAXIvj2L+VmXeZ1&#10;XgYBbi7T/OwmkP25d3PuyVusWTQbq8DDPQ/N83urTRMqWVMfvMFUYTI5duULctcC//JR03A8zaTu&#10;RN4+bZezF/euCCeGbCpiPzZyXcyiR9oi/74f3f8+rOciEaIWv9nkg39FCQkVkn69P+vkyjYyUapp&#10;Qe4kUrW88+ZtulhX/QNzNoh6NKIZtaXvd3RyOkWqp2VyBz1PQkqOxgNWpaEjFY/dZRmIK0GKahbS&#10;cYkcmf0Mhhxceh/aQuKE6QF5SK9NcFwoQ0SSkYoiDx+UFbsdzmUUaQ9RI3cPUY+FXXwrVnVzFJKD&#10;vWSiPFkxvwzsIleT0ku5k08bvk0WObWdBDKdOubm3qkon3lQpj5xcJXr9w7D/exM7IAWAsrPiTC5&#10;xAWho5ePcnQ8L9aMHpwjNGqNHJk/6zDPXij07llnDdlARaaSPrR10Mc4iRaSteJT0fXpxE1qjHdg&#10;zkmQU10GJ24KvBwmlG6GwHK9VitpM/11tRfacsoTzMPwpdLBNE+MokCP3fkNJAaCPPDkxua/SkIS&#10;2TOduyxZ95KLq4VgQGjVisdRJB9hk0hIVvp82xcFXTKXWufmU920Qnriw1TFkDKlht4ru0gt5Y7b&#10;4fOMXHI2iUixQqVPvt8rHEClPk9SiRYCys+JMJk+oRmwWpaP8Pn43s5mxpSM/MxqxVxBCO+GS+o7&#10;QSJ5WeG+m7zy5d7WSvafPbDl1uREyw0apU9BwNwFSzV+ff+LLvThBQINxhwglxSDSdeXtjve+2bf&#10;J6CNW3oksYeUhlzgKNsjLuP/7FJAUSQlH3W4QlFkROfbvDfWWTJK/NqbkiVVoH/F/aqbVshUfOip&#10;GFLGIdxXu8j25JXVT4bzag9NAVTVz7HxRtV+u1Sv6vJRbg7+P/EjkpETtQsgR2bOt8VZjL6jVaIn&#10;3mXrGz8lqnmKXlGUod418A6M3a66aRSrPXri1w0QnRxHv47anH8xb2+lPTxf6Ov5q1Oxm0Kbmb4R&#10;Ew6fjo7kkanH7rIMRLROPQ/oIoqzyRMt6Ost+ijW+1AOj6NXHGWHikq4sJe9cqniluSze51UgLZ3&#10;1CnYwSuFGWzTqpuhkMkLu76KxWVgF/I+Ro4njwnKcTsM1/5OhQX2oXOFg1eHUFOKlcv3e/EBVOqg&#10;y5WOXj5KT+7P/j/njUrzgidfNbBJDOeNUB3f60uQujInXenDDahbCuYtTbmrUAV0IfHAdiff59Rv&#10;Ibo/my1JbGzqH56BpTuyrdFPbpf2ZdJL/4mod2mKKV3QCmLeYCXtc3aSLY+9cXoOHwdD/L3shCK7&#10;VWLs0qy99BMmKvyIKw3lWKxQfKYnbK81uTUupnC1zOQiZJHhdVXzfmUI77uBku2Tj6u/Vd00+MSy&#10;460YUkbc+DfLbZftIq0A9cnL60sKAoA5vUOW8i3uQ8t1uVxq43Bl4v7sdpYoo6WjmjBjna+363k9&#10;bqo+kn4zTaqn5uZbC/iZmFWjHoMCyB/0399/XZeOPVHhrAjQVVRSrrMacocGC3odEkb2UCCmtsR0&#10;RuQpmfsc/cq/TxVSpi3UtfTbtrwoV7a5C77hV8uUT9RI2yRPNK0Szf7z7+cpvrGmxAhQFARAAARA&#10;AAQaIeC8+Z7ZX0iZRgaLTkDgHAggE3kOUjp6jNgwHYMQ9I6h11hdiKkx1ImOQL4t8tX6hbyqcUvX&#10;AklkIuvSJbQDAiAAAiAAAiAAAv0iwJnIfs24l7O9vfkfBF1Z8qBXGV2TFSGmJmm7fYF8W+Sr9Qt5&#10;VeOWrgWSxATH2XWpU6fbQdb9GPGA3jH0GqsLMTWGOtERyLdFvlq/kFc1bulaIInj7Lp0Ce2AAAiA&#10;AAiAAAiAQL8I4O3sfskbswUBEAABEAABEACBWgggiKwFIxoBARAAARAAARAAgX4RQBDZL3ljtiAA&#10;AiAAAiAAAiBQCwEEkbVgRCMgAAIgAAIgAAIg0C8Cpw0i6fujfr5/1UrU/XbxsIZpEPQO1Y+6BxJF&#10;R8+u/FzCZoxSIAAC50NAeaiTOKnzodD0SEPcd0iZpsfd0/4yRVFlfcfKW6cWuUGk9WWnCLn0qN1e&#10;ThDZpeDsXifR+vD9Hfu6VFIi+SkZWsKpHK98cQNmdVjtuFX7UxRRmZKSOX5cXWrBMZI4B6G4klf8&#10;EzMrb4mg+XkNwzx07SX90HkibMs3zKBBXGShTAF9vT9Pbrb01fbfh3U0eVWyjRev4qsukmLOpNKq&#10;m6uQ9ssNsxeDgjKBdkFj9pY8ewFlefKTT4xxau/iru/u85MP4sQd+LUy4f8LXW4jipfIRM453KLP&#10;9mYyON0aoHtxneYpRXJzfRVrfrca79VEHz+01z7lANB2GQK0fo6jbSzoL1P9AsruXt+m0hBdE2GH&#10;sLnbLrMmqM2KKu3HlYLw3eplKPrlbp/VGYJjLfax7+HoSQxZOpBltLwbXYAo6pxCGQFd3f9WCjDX&#10;1fpsEYVi8KlunkJy7DG9pXXBq/Oyu/wywXZBXZj1pqklr5DXWRdgwT5Z72LW98TzM56jVZnD9E2F&#10;KB7/X+ByvSpaP5WM4+zRnV2qnGBWxpVumkinj9yQODiHdPhYzIcD1aRKDTrJDt7ovMuzaE9aw7fr&#10;8A11PItm48yU4+hJK6Otq8efbI3mOpgsFpNBujXv9DPGb8quNvXL8/xb3K0GFEE5LuL8p1R6BqMn&#10;HTBYE4miYBdJAch2uVBJLZvSMrvCtKqrEZp+r26nc/Vst5ktH+/lLuzq/nG5ePvzFXkf2ml+vb/M&#10;EENmiz0mIIY6e3l/X/2A4pe2FFPBp7o5CmkVOLtifpkqdlF9emdVs3Dho1XdhBKuVzIP08FADIA5&#10;EKSe3PXdPSjM83udX3m/PveRCo3JV6jFMNf/+1xugZeuTacygkjqXoZ3nBXSWTtOcHCARRGmWEn4&#10;13/eovUD7QmckJiymDqJkTFMEYfRZzybi81gdvXZ5ONRJjZmYzczysoTbd3dSMZQn0ROhA6L3G38&#10;6IkzrbFQ0InZZVHPxEmch7XMCySTAlnTT4/f2WIM97Pa5HghDVG43/MkpBSk8YBVafAucP/5RQ09&#10;66TmNpImlFJ1j+6QXS+kE2N35nwGQw4uvQ9tKXHCxF4Bn0wCWkCK5mIyIX/GbsW91QF+5QlY1c1R&#10;SF5ek4nyZMX8MmXsYvRE6SS55A1oPevDBjl/4XubLHIEWyKWoKKe9V040By/d+j2yiuTVSL1FXwp&#10;yOdyC7x0edPKqpEIInV4R6daMk6iTEg6D2GiSHtnxC57vDUo+JhjHXtqbvcNserLrbQ4NzPKdFMR&#10;ZNZQM0Yi9FRatsg7ctCs4llVwzvx7HmFjt/piDMQRaT69vvlej2fbTxX/noGQh9mfh+GL5UOppkX&#10;RYG8MNotmwgr06qeYitv6VVd68SeWOcueya3ctMVYbrMvIsrCPoIRB3PlGsMpZmAT3XTCumJD1MV&#10;Q8qEMmczpFQGpSBo8TrdNbHQ4TRQLrVwl1n4MhbTEsPO93sdX3llskqkvugT4oZbdrneO5Hujaik&#10;5ITjGz2sI8pF2hjSXg7n+1T6JKxQ6k6+RN0tD6m+3CYTk/6Oklchk6V4paZjP5VULRpsXmsVp1/U&#10;5cX+noMZ/+f6/pezml4sgOCJmQPk4BqyoDlKiLQzYocUcquO98HZ9wlob5UeSewh7YkXOMouFJcW&#10;kF5ceeWgTe3Pn8/qrl5hCyiQJOBX3bRCpuJDT8WQMk7/eXahtglPI15weLNwQWFktievrJ51LaYq&#10;CAv1e5XH237FMJfrVdFaBu89zr6ilVy9J0jHV3RfRy75HO+qTTLdmYreXl/f5N1kkbDU22eeUejQ&#10;yFLF0X/Z6nQ+kA41MoaaHgu5DG3G+u4B1U0Ek8GtlZu+0xHjDAV1SeU4j21eQk3rP98XO+lrXd1n&#10;6b71qE2k1KjpxFpm1vluYyKzm1Z1p2nqmQ/cnGBTtBDzANSu96GNXnGUXSQtI6DIEYdwu4tg51nU&#10;R89+n1bdDIVM3h7zVSwuU9YutDROt5Q3L+8CTx4bUObCp9yTXQ3LBgO+eef7vQtbeXkf6nO5OV66&#10;Zl35s/9Pv1GpL/zp1yvVqbPzOqgT3It8ozmXFq9jqs9yubSvX5tXC817m7FEpT3Y9lRXtx3M254i&#10;vWsf0k9O/7qUGYVMBrsVYu+OJss5wzKvqNvTZjNxVUwUcXn5pu8dv03Uztfb9dwhaodX/0802/ob&#10;rd6iB7ZMQWscjLMhNAGzaJyeayMWQ/y97ITux/P/SUOV2q6qeOkzhuQZgisNbdzarByDdyTlyjAA&#10;bL1FGhdTqeFnCihJUhR0HU7Sy5XqtpHC7ZPPUt20QsZWuQydDykjl5bUcuN96FpuF6RZn7y8vqRw&#10;4VvL9xTU8qx8k31YGEskVl6vsaRHZp7UuPLWR9IaauooV83P7/89LtdZPf3BW51OgQLIH/Tf339d&#10;V4hMaQO3uQs6sa/QOKrUS4Au6JLi1Ntmf1oDvbOQNcTUlpjOiDwdQz1Hv/LvdYSUaQt1Lf22La/L&#10;iR3aJlmLOhzVyD//flb9xhr8EY+jyKMyCIAACIBAwwScV0Ezew4p0/Cw0R0IdJdA9Uxkd+eEkaUI&#10;YMN0jFKA3jH0GqsLMTWGOtERyLdFvlq/kFc1bulaIHlEJrIuIaAdEAABEAABEAABEACBMyTAmcgz&#10;HDaGXI7A7c3/IOhyyJzSoFcZXZMVIaYmabt9gXxb5Kv1C3lV45auBZLEBMfZdalTp9tB1v0Y8YDe&#10;MfQaqwsxNYY60RHIt0W+Wr+QVzVu6VogiePsunQJ7YAACIAACIAACIBAvwhUfTu7X5QwWxAAARAA&#10;ARAAARAAgRgBBJFQCBAAARAAARAAARAAgdIEEESWRoYKIAACIAACIAACIAACCCKhAyAAAiAAAiAA&#10;AiAAAqUJXHgQSV9g9fP9qzQVVAABEAABELhgAiFrQ0iZC0bUpallioJ+Qe9I/yi1ztP3Lq52XZqd&#10;byw0se4Pkgeug0glCZaG/iipEG/1UQ9iReOi8/yKq58MReXGU5PqukKd//jidsuaotTCyCKuS+Lx&#10;yTSn4zwdQwqkEjfgyty8wrDW4rjq9EPnifAYlQfRceEEDs9R8YjQSDl6nad8mFgFJU3L0K1ZasEM&#10;HO4lFMvwGRJdQh3tlxtmOCCW1p+3aHp7RT8dYxdu9ZLBTreFkunSTz1sd93fvU6i9eH7m78OvXI8&#10;cOoBl21faOxgspiNXbfg9cOm6XRM05RD1kHk1f3vb/4c1vM5i4Q+SirjaCv++f39+PGssnq6iCwU&#10;+yR/NXr6/n4alYUYWL5a48TWN6nAPlGsVgK71XivFO7x49XsDum72ffL5Xy26fx+sVYaqrHd69tU&#10;GuFhHU00FfYJm7vtMqtHY3qH9T7mfIKHuFu9DEW/3K02dkdC9rHvIVuj/tAol3enMvvg+XSjIK0I&#10;5G+sp1wqh7q9mQx0ZDNfLqO3P86ZyW4zm8/negIk+oFWCZLO9M1aSjfm2P4oMq3j6/35bbpOWg3H&#10;HiI+9Oq8nE5+mWC7oC6Mj3PtuX1m5zqCxLp/c62CkGrxQOcokMZOboyT0G7Bq2967NLHSO9r/EpT&#10;Djn3OJtW8tlya0LA0VMqZCzm72SheePyLnPPdl/oRstmg+0t6WwHdXgebzyZQ/UPLmtSzkC0Z+fm&#10;VyuTJYiNCsmAYtmXLDF6MqomUgAPD9OeRpHW0g4fi/lwIEEGu0jaEW6XCxV82gyWScVk5uFNv1e3&#10;Ux3AUDSzfFRbxav7x+WCnZr3oRW3sDHEkDISWXH459tHj+6W0f5TBY7Du6ndLlDC8mW/fpwqotJl&#10;WedL8j3ZvrykzXaneIZ1iBDy1/11YqBWgX06r2JIo/l12UV3aJ10JEXLN0cB0hm5uUzzszckiA3Y&#10;rPucD5pFlK+TEYF75J3n91abk86/zsaN6uW6XFovF8bhxvyKHMtpHXJuEOmuYDEwi8lARWypI6uc&#10;X1ETs8nHowiWl7OxrOpEyxRB6+yHr6QTiacToJntpATqnRQH8johxnkcEyIuZhEPWDvw2Vv0S0f7&#10;dqx1Kk3f2ho98cYpccqjjpE4ZulnLtJ4wFgKq4RuaEci1lCZ1NxG0uTy7Ug5HXJKcn//9bl3ux0M&#10;Obj0PrTFxAnTA/KQ5MXGfOjh33uzY5/Lw1L+DChu18ou9V/tHfhQ1a4QJXQARWnxFCFk4rSMbIDi&#10;w+QmhzGbnBbbSW6ZMnYxeqLcsVwxB7T+9WEDkF7ords5DN8mixzlzAoJPFWoKJ95UAouYWO5fu8w&#10;3M+6bBxi3aPA2D3Kzne5V9c3kV0pyUkvPg7ODE/skKu9WGPPrFMGkfMrmpXOa/Iapz52x0B7CvtJ&#10;leTzHety0zqQ0U6YslBkmU63cNV5fDE0hWgCcTmF9YNSaQLCZ0gvq2/dmqtIhHn20sM3o/Ttku/D&#10;8KXclXGHL62IvDDqbR2ZF+e9iuyIY0RxnFJ1rRO7Xp277LnCL9frdDJdrA985ekmFl7aLRP5/Bs/&#10;QJOk6fl90zC1EnrsA+mJD1M6H1ImbBjibuWC1j66K0bbil6ILm/5ZkXPJXfUUi5azvd7hQMIlevJ&#10;ysk4OrYo5vdFuRgZd0rPYo+vhDs/sUPODSJTEW390Nzjf7axqp/wdsIm5W5Jq44J9RIEzNldmgxH&#10;TXQEK+5/0BrqRj7yYU8/5gC55Pw5VFTH4PoKnpNQz2uMPHjW+StVo91WunLsIUsPR9ka0vX9L/dg&#10;Qzw2AkmG6WrLlAxfnDSDXFyyr8WW1JILL856qVZWeeip3xVN5hg9Op+KIavbhbzQQAlIdnJ8znVB&#10;YWSOS6+qXOFLeX4PJf1e1eGesJ67KCa6SfthN3+7jJz45fQOOTeI5JtRzs7pFK+cO4fLPNkciXDw&#10;lx1OhLfjnRQ1bjJe4phJ30NLDEgXyitzQq0656Y5d2vfEdGRhqNTnLBn3ef4R71qI1fM3kWRsZtC&#10;m5nrEcI0gI6OZNpeKHv85aRcO+IXOOjAzTkbEi3oZLA+gfU+lEMT0sNRtpUTX1B13qDJFaCwkQFd&#10;rIkDHD1QPtNesQnTAZSKXXESh55Cr5P3w9I6H1KmrF1ocXh3YWcqK79L90/GcTssAFtIuSf7MHwp&#10;z8aW7/fiA+ge/N3KXKczp9g5LjcxAXb+zi6+AYecf5xNDlC86amypB+PVY+4MgWlr8RRD+OI3lDM&#10;0Qva00f6LmbqtZbwdiLfpJSn9x4zuUNaTqNn31FU9xSxeyOim0FGl/gCqtAlyrRFSr/4eI+eJY9b&#10;2VP1LBdJQYMxOn7nTlmdPMtUF8k9h9z2OjJXkoHglciEKQMWVsNPMuxIOldzKiL/KIrXNLLs5eQn&#10;J91T64ARybOmkPwTh4tR+taOSEmIq8PiQzuEjE1uwGAutUiRdeh5831TJ0j36nxImXC7cNYmkp32&#10;fJcgB69L90/McTvP0VQv9PYU1j4ssZTnRwuZfu85ejzi0PP0ghvdGVu3d178Llf/USPnD4A5K0YD&#10;R9lM48ef/X9//5V8d+30nM6xBxLY5u48r0XTykNJvXOE3oUxg14XpFA4BoipENGJCpwReVptn6Nf&#10;+X9mJKTMiUg202zb8jrjlTQhoNORpHTk50OFP4fTjAbZXv7597PaizVNDxT9gQAIgAAIgMBxBOyf&#10;D89uJ6TMcaNAbRAoIEDn2GfzXgYykb1Q59NtmPqAD/TOQsoQU1tiAvm2yFfrF/Kqxi1dCySRiaxL&#10;l9AOCIAACIAACIAACPSLAGci+zXjXs729uZ/EHRlyYNeZXRNVoSYmqTt9gXybZGv1i/kVY1buhZI&#10;EhMcZ9elTp1uB1n3Y8QDesfQa6wuxNQY6kRHIN8W+Wr9Ql7VuKVrgSSOs+vSJbQDAiAAAiAAAiAA&#10;Av0igLez+yVvzBYEQAAEQAAEQAAEaiGAILIWjGgEBEAABEAABEAABPpFAEFkv+SN2YIACIAACIAA&#10;CIBALQQQRNaCEY2AAAiAAAiAAAiAQL8I5AeR9PVEId/4Gois3tYCO0UxEAABEAABEIgToC83FF8m&#10;n/cJKQOujRDIFIX62uhCWbqjPLtQhCZZYyRWs8B0EOl8gTe9tS4+paRS87CCm5PjTgyVv5X8R4nw&#10;F64imHf1gnG7Zbkpq5DSSklRPO6u4VQHEVLTMce4bmdSiRtwZW5eYZiHrqWlHzpPhDwrDyKEUPfL&#10;OCoeERopx5iYtGiDnJhb8yxcc9MSSqturkLaLzfMcEAsrT9v0fT2in46xi7c6meyrIbJLtOlh1Wv&#10;Xoqlob3L7nUSrQ/f3/w10+7z6q13rKYw/MFkMRu7cU620qrhN7h+6iDy6v73N38O6/mcRUKfM/jy&#10;b8FrvlxGb3+cLeVuM5vP5x1TBQzHT2C3Gu+Vwj1+vO50oa/3l/1yOZ9tzJM+Ady9vk2lER7W0URT&#10;Ybewudsus0how6VK+5jDCUa3W70MRb/c7bNK0zgSso99D0dPYsjiQ6Nc3o2CO77ogrQKjKOtdafL&#10;rWJ0MxnopbDAiZHoB1olSDrTN2spF40ufHI+1c1TSI49RHzo1XnZb36ZYLugLoyPc+05fHIoGSfA&#10;gn2y3sV8yXTi+SVg+3p/ntwYh6HjnBylFYpbsFLUDKb4TuSnyPXFEgvODk87QU7mrVYmK8h7lPd0&#10;xSgyrenNtLubMT8nWrP7QG+GdHg3tSst7fVf9uvHqeVUMNrd+08K8xeTgdokxravPEr3gU0BpIo5&#10;SYaep2CqqujoyTgGkQJ4eJj2NIocPemQ4/CxmA8Hkmiwi6Qd4Xa5UMGnzWAZtbS6m0hpmX6vbqd6&#10;F0ZbsuUj7fL5c3X/uFywI/M+tHInG5whhlSRyIrDP2fJM5hGd8to/6l2v3lOTOB0olCSr6+9qnZ3&#10;EfV8qpujkFaBsyvml6liFxdBungSGau/cTscGkhn5F39/Quu2605OqSi41lEOTqZpHOPFPP83mpT&#10;PIkOlrDLQr62h68U9UyyMIicTT4eZWphNhaC5321zh1xysOsQ4tZxCX18peqyAOevUW/kpkO/0Sc&#10;1kRYKBIklN+Yr3+pFc3WG9CSp3NW8gRCLbshox3d/9bpVxq6py9nP7u9UfmZdDHaMehUwTaSpPAJ&#10;IDB6Iqg6gNfl1TESxyz9zEUaDxhLYQXg1EV0gOJRSycvknnaQAJYyP391+fe7XYw5ODS+9AWEydM&#10;D8hDkr8b/8iUIIeGc3lYyp9sJ8bCQEgeqvxWdXMUkiPAZKI8WTG/TBm7GD1R7ph8HH0GtJr2YQOQ&#10;Xv2t2zkM3yaLHHH6FtyM4lSUzzwoU5c4N831e4fhfhaqTm2XE2sgBckZtwt92t74kAuDyOVW6jyv&#10;SuJDuZF0ZoJ/MY+vG6mKXEbXFCmNj0POdBOt5YOx0QatXzc6b1JmtHnt2z0N7XoyPixMkc2kD5Uy&#10;CYbGBXp+HQqfIb2s2pDYq0ikdbOXotvv5zflwhHr2yXfh+FL5cvJFAV61JIve9jQxTsSeYRSda0T&#10;eTPXBgtne7kFlut1Opku1gS+5nTjZBdlmldumZJOzImG9P1h7FL9SuNT3bRCeuLDVMWQMqGKy2ZI&#10;oQ4lK2hb0QvRpVZ/x+2woueSC1lw89Hn+73CAYTKtZFyMqaOLZC63+McdW2jLwwii3syNxKKi1Yr&#10;cXV9o+IzSoGm85CiURVt+HaP8U4LRpvuy72UwF5AfLxD0nedzug+aTWBVK2VE1pz1ERHsOLOB62h&#10;bkAuH/b0Yw6QS86ffbY6Bi+pluTBs85faQy0hUyPJPaQpYe8mYZ0ff/LPa0Rj41AkmF6hhMjZxOp&#10;hLxcULKvxZbUkgsr7lfdtEKmVglPxZAyDr48u9iJCw2UgGQnx4d3FxRGniBb4l1wK2hqSb9XoYcm&#10;q7gLpOw331E3ObbyQSQdaJnkkDiR0Ve2Qoata8YqKgfJz7xt7Db6+DznZR9ywBRpUpQZP0YrO9p0&#10;X86tNHZHcoSpYnyJrJ8nryFi5zJCQOYdER1pOH+6gA+IOMTn+Ee9aiNXzN5FkbGbQpuZoFLqQ0dH&#10;Mt3oUUuyiGyg/AIHHbg5Z0OiBZ0M1iew3ofaMkh6OMq24uILqs4bNLlyzHBiowfKZ9p7Q6VUoTeF&#10;06qboZDJC7u+isVlytqFloM32jxTIfldun8yjtuJL/Sp1d+74JYklO/3MiONkr00UXy3MvcF3RsU&#10;WdrexJBSfZQPIpVT9J7IFE5hOY2e5VFOpHKKdCdOnvn/eI6m/iz3YBipg+K8PxzCnjZKHdQFjZZU&#10;TvRA4kr3pS/t8Tl1RC+Ci0+62JVIOXj/WE0hlX4UoJtBhhDfqhV5GMq0RYoaH+/Rs+RxK3uqnuUi&#10;SZWNKtGVOn2JSl44VxfJPYfc+joFK+pWBYJpteQnxp7iL9ZI56pOW/WrdF4LyjIrHGX7bFn6uJD8&#10;k9+JkZVQnl5cHVb3ZUrt3PvgXryqSxNPKyTflXF2Od6KIWXC7cJZQcg0tee7BKl4Xbp/Yo7bcRZ6&#10;3+rvXXDL0sr1e8/Roz5SLNtu4+VHd8bu7f0Xv7bbP3BUtFLUPIsff/b//f3Xdc2t1tocEaE/PKKS&#10;I/SPzd3priYH9hVYrFYMRzVGaw8l9Y5qoseVQe8shA8xtSWmMyJPRx/P0a/8P18XUqYt1LX027a8&#10;TryK18IorJFmSFI68vOho39y8Z9/P8tnIsPg1liKduc2E0k5lqoX/kOGFNhXYLGQHlEGBEAABECg&#10;EQL2nb3s7kLKNDJYdAICTIDOsUvfaGqS3BlkIpvEcal9NbNhAr1LJXAW84KStyUmkG+LfLV+Ia9q&#10;3NK1QPI8MpF1yRvtgAAIgAAIgAAIgAAI1EWAM5F1tYV2Okvg9uZ/EHRl6YBeZXRNVoSYmqTt9gXy&#10;bZGv1i/kVY1buhZIEhMcZ9elTp1uB1n3Y8QDesfQa6wuxNQY6kRHIN8W+Wr9Ql7VuKVrgSSOs+vS&#10;JbQDAiAAAiAAAiAAAv0icAZvZ/dLIJgtCIAACIAACIAACJwDAQSR5yAljBEEQAAEQAAEQAAEOkYA&#10;QWTHBILhgAAIgAAIgAAIgMA5EEAQeQ5SwhhBAARAAARAAARAoGMEEER2TCAYTpwAfQVZ/AueywKi&#10;r9gK+dbiss2iPAjUQoAUXH0l9nF6XstgetBIiEMJKdMDVJ2aYqZMlAGVsh4sCnXK1g0i42RZNnL1&#10;tW6OvJ2RlfySb/dJneNCW90jUEri9tvgWX9KWXj3Zt74iByTi6MTMvAFxTEjrR42e2VsHjrmH6Uf&#10;Ok+EY0DsLvUmziVO5ev9eXKzpe+1/z7Ql7u+Cn/rfqwXVi3BksKM0YEeI26+0zDTxGjB+/MWTW+v&#10;XNG52APNIS75S5RbVsAQJqEjSjmLS7R7nUTrw/c3f7W0+/yI5hutarVJqUh8uSwKw8xY/QqftV7U&#10;6qsDM5FzFpPr6Xar8V49e/xI+75GxYDOmiBQUuKjp+/vU37LeRNTbq2P3evbNGFwakna3G2XWcPS&#10;RkrxyH5sd3slZrFbvQxFvxzRPL9/qRjImLp97GiDecgi1x8a5fJuVKLryy5qRFPWKK7uH5ezFymJ&#10;r/eX2fKR1kp8CgjQEjmORGjOH9cNccgh4kO/iUmFN2WOMgcKaWKGg1WyNr1NLC7mi6XPbtGJKerj&#10;h3a5hR5ehMzOx6vwHChmrRe1+urAIFKP9/CxmA8H8TmOnhAs1GYeZ9GQlLizY/KkHfVv6f+DyWIx&#10;GYgsVmoTb/MBKl/A9VYrPuFL7d3d3ZObEF+96xNBm3MwZVebs0CaNCntJFyDC3aRV/e/t8uFymul&#10;CLupsQTj0ZPq9+p2OldD2m1s5MIhzeLtz1fkfWjnIMIdxJABmqeCxPfVjwHtG3yOdPSgUpQi5fKA&#10;wLyYKmvn1rsoWb01qh4l1zRPmSPNoXjEl1WCM5S5Ppl+KV21m8s0P3v9fIyQWXo4eJpFs7FaLdwk&#10;Xp7f68iiINykVVSrkmXVwa/wYetFDb46MIgUQQB9xrO5zPOPnrY3KjAoO2OUP0sCKYlfXd+IgILC&#10;yc9oPt9/ih//vC3MxpDnSQHNYT0XmRgKUNQGiPJUQo/oME+n3LbRWIeAi1n0SAmExGaLdc4mum5M&#10;oiyKZpMPLv+9Xc5UGzYHcBjuZ2eI23hASqikOITMZ3S3jFgiHsJOgiTNWLVtxfj1uXf7Gww5uPQ+&#10;tMUQ7iRFpP1nemfEKBeTCeXNWM7x02vZytX9r/X+ZbVCGjJE8aV2zvcv6rJV7FYFL7Z6b5NlYm4Z&#10;3WE1cxg9HaZvct0ckIfqVaol3ye/TRY5sszy854qVJTPPCjpnPCSuX6vK4uCLyUnJmncBWmOi8o+&#10;j1/RyFT4Youpw1cHBpHmOIZDRzkBIWppJZd436MYf+9KJCVOgcri4yCvED0+3oiAkuyiMAUlophf&#10;vGRSxGm3JyLo4c88K99iN5e0/bQfvZnjwEl8aB1Qex1agR8zj387LEAKvWXAfBi+VDYvCuY9hB04&#10;WQDkRb2qix5OXdNcjf9MHUNxAlLcP9BONHXSw2Hk481sVl0iHVb0Ew1tcSO2lbGdpfAL1jllmJgn&#10;hqxsDmx9FOHQJpqSZf26IXyUT87w8yV0Jd/vdX5RcG6/sPKYj32edM5+hS8kVo+vTgSReh3P7F1n&#10;OFQBtkQ6OZMJKXx6QMCVOCnDbLOjwPHmbjS6u6GA0reNT0ChENLNrvEuUn0KUm72HQS+s+eY1iVT&#10;NwfIJSfJoaK6dxJOWPTB9w8yTlbpt7RJSI8k9pC2tsX7iJKzudTiOqDndD1tx3/+fFY39pITpgSw&#10;J7i8VCx1zsvsLBMxpO0jZmIpB1bdHHYrsUF4GrHL5G3CJYaRhQFDeVnW5edL+r3yAz26Blm1yMLU&#10;+nEUvrDdmny1G0RyZsm8IJjRPhlZxBkOfalBHm3FDjALh44CZ0jAK3ERRa42ew5XBsP95v1zn5+H&#10;pFYohNTbKL5qxFFo2MdJ/rNy5lRi41T7Gt5qhTXfoVKxm0LS4MqNjgJ1mYv1EHbgpBulnvnkzQnn&#10;RQvqzQ7xage3630oW+O4CDf3AsXlyIIPraNFnlYHtolirtILjRW7qfjdL7+JJe+HHW8OWhrezde5&#10;iyokYNBzzPTJagGwjjrcz2fzy/d7XVkUxCjt3sJZYstphl/hi9uozVf/2f9n36l0Mzw2derNqDov&#10;iTohv9MUfuwQAVKoo0fjlTg/VJoi1MTogr4IKc5kZd5wvt66CURR1NEt2YxbT9W1dynMyfRyuVRP&#10;1ZUYdXSl+zfNij6PVdA66JXC71qcHXz8vWznyMNhrDyHM+MUYb+Rp9uwwsyUfKo37uxY2qVIuYUb&#10;F1PgSONyS+BJsI0bkekgaRWBPTdVrHPkHaVXvD1+xayyWiSJMsnjDl0s2BxcwSfMtSnJ+PupT15p&#10;7yKuEFgnYH92fPLaFtCM5mv70HKzfj62MLiCcjvzLDpy4VF/ckIdX9WyKEiyR5NMu/q4FlqPmusD&#10;0govxOB8JAR+Zi2iDl9NAeQP+u/vv66Lo1aUOGcCdLdbajw+FQiAXgVozVeBmJpnLnvsPnnK8jxH&#10;v/IvzISUaYtwvf22LS/K8G7uLuJNo7ZJ1qsXVVr759/PwBdrqrSOOiAAAiAAAiDQNgH758OzRxJS&#10;pu15oH8Q6B4BZCK7J5MTjAgbpmOggt4x9BqrCzE1hjrREci3Rb5av5BXNW7pWiCJTGRduoR2QAAE&#10;QAAEQAAEQKBfBDgT2a8Z93K2tzf/g6ArSx70KqNrsiLE1CRtty+Qb4t8tX4hr2rc0rVAkpjgOLsu&#10;dep0O8i6HyMe0DuGXmN1IabGUCc6Avm2yFfrF/Kqxi1dCyRxnF2XLqEdEAABEAABEAABEOgXAbyd&#10;3S95Y7YgAAIgAAIgAAIgUAsBBJG1YEQjIAACIAACIAACINAvAggi+yVvzBYEQAAEQAAEQAAEaiGA&#10;ILIWjGgEBEAABEAABEAABPpFAEFkv+SN2YIACHSJAH3ZHr3iyZ+f719dGtilj4XAFxIPKXPpnDoy&#10;v0xRKAMqlKU7D/rexdWuIxMLGgZNsrsDdoPIOFmWjRo3/SLDzVkPCCcYpAz9LVRWu4TSdddwTitI&#10;x67izjGTSswSq3Pzmrp56AY66YfOE+Eu+iq8pGrEucSpfL0/T2629L3234d1NHlNLWyOF6ZmqaVS&#10;a+VplbRjrYerrhi4/ZbDnOXtz1s0vb2S5NNLYKBduNUvaquQ6dJPrRkMXtvR7nUSrQ/f3/y96O7z&#10;U4+hsfaFZx9MFrOxMf4CT1vTWhA8w4BM5G413rOU6PP4kXZzc/U7vxMMHggK9pNAhnZ9vb/sl8v5&#10;bHNW+8W6RLh7fZtKi3Otil3H5m67zOpFWyJV2luHU2ZMu9XLUPTL3T6rxJgjIfvY93D0JIYsPjTK&#10;5d2oTN8XXdaI5vv7qRSVq/vH5exFSoJsYrZ8pLUSnzSBcNWVdTn2EPGht2JImWC7oC7MCopVsg7l&#10;ZU/j2NHNtbKJxPM6umq7DbvLJKd68/ZHeIIAT7sUO1P+lHM4VeYbEEQ6zY6eskd0+FjMhwNhn3rX&#10;5mYnedfyrk9u7G7cltVbbKe2LsaZ7NWKT31EoVhT2JlXEXsn6zjaJdIEDw/TnkaRoyfeV/PHWpV0&#10;HUEe4er+93a5UHktuy01Vpc2OqUPpt+r2+lcPdttbOTCIc2CHZn3oVUqEe4ghgywMhUkvq9+DGjf&#10;4JPu6EGlKEXK5aFUCBowgEspEqy6Kj40Wu2rGFKmil1cCuyCeRSt9RwISGfk5jLNz974IdalOdqm&#10;ouNZRDk6GRm4R955fm+1OUtJ2GXBDL8TnjYgiBw9bW8mg8w8/IJ/R5/xbC4z/26cTDV1QiOKZpOP&#10;R5mlmI21DpktmkhHsxY4m7b92ISIi1nEdfXaOnuLfsmMh9vBWWpGzwft1S511CRW2F7mIo0HHEdb&#10;rfOlFGV0t4z2n19kUM86qbmNpNU5eRFjT8m2SQALub//+ty7vxwMObj0PrTFEO4keWonmT6NZpSL&#10;ySTaClnET69lK1f3v9b7l9UKacggCyhQXRsfJjc5tmJImTJ2MXo6TN/kKjmgJTBoIxg01+4Wylvr&#10;D8O3ySJn6E6erWh5p6J85kFZt4SXzPV7h+F+1l108ZGJNZCCZP89lmxPK+o0dKkoIIhUUaG0g3Ti&#10;z5zUcKgpY0O7CaBtgv0st9J8eIETH9rM6cBTlaLEizmwMWkP/t08vgc3haitxcfhXDQC4/QQED4j&#10;pl32uhKJVx/m9Yod5RLlWcRh+FL5GhxFgbww2l2eCCvTRpciK49Qqq51OHVNq6pxkom1brfiBKS4&#10;f6A9qzrOcdsgT3gzm1WXSI9MJ0x1OYuYiCFTFUPKhIJlM6RQ57CeU9asF1eF89Z6XthzyWXED6G0&#10;OQLJ9XuFAyjR0+mLypjaF35leVqzergJuxMONBFE8iqT8eGR0SGZOpX3BQM2+aHuivPdKn0qVnEO&#10;5rpDxfqo1iECgdpF2ys38slRuQ7N7URDie2kSvTBoaK8XCL26eoTktQkD551skqN0S4vPYrYQ5Ye&#10;jrLDRKUDevKtvEj8/PmsLuolq1MC2BNchnXSn1KhqpuKDz0VQ8o4ZPPsQu0Unka8hPJ+4YLCyByX&#10;XlXv3FuAx8QPJf1e1eE2VM8TfoV4Wn0iddJRukEkZ/XMC4JmhM7L5ZzCz47qyOzEb51rXNxIzvDJ&#10;NSYiBHpiMk8cZ2d5TveuObzrSTWkrsaDtYtXVvWylrz80LsoMnZTSFlVKTHQibXM8fPdxsSFgLTR&#10;OU1Tz3zg5gSbogX1Zod4tYPb9T6UzQjp4eZemLgcWfChdbTI85ZhTfa2VKDqqveTnDxkumJImbJ2&#10;oeXijTbPVGh+l+6fjKPq7EVsIeWe7MPw+CEbW77fiw+g2/B3K3P4m7hBEeRpdVB22kn+2f9n36l0&#10;M4d2IXfeB3Wie3na5mYa7cG2yVYv6Q1bGRCoqwvyIqO8xhCvr2t7eqNe4mFFtFzrjpMjciaDHw0B&#10;0qEO0HC0JVu7SP6usIW2xB80PpPG6blmZRU8/l52gkl8z+5YRRq6Vwwpa6ZJ61a8DsD7kJtuzSIb&#10;F1OgIsbllsCTwChkkyaY8ICBHTdWrH3yyZRVtuomUHorhpSR65j+eK3UPHQ1oGVfJnSiPnlluXR3&#10;6sm1fr5emwDAMHQfWlw2fuBQw/nzE/ZnN7BIlNHCUfXMWOfr7Xpej5uqj2SWsbq6k3DrHlciHmVU&#10;OY07oADyB/3391/Xpw1Ua26dto6bu15cT64NHN2wlb4DnwoEQK8CtOarQEzNM5c9nhF5Olh7jn7l&#10;3+sIKdMW6lr6bVtel7OCN0OS0pGfDyF3kWrRjnKN/PPvZ9CLNeVaRWkQAAEQAAEQ6BwB+85e9tBC&#10;ynRuYhjQ5RKgc+xOvxtyjpnIy9WWk82smQ3TyYbfcsOg17IAwrqHmMI41V8K5OtnesoWIa+66IIk&#10;MpF16RLaAQEQAAEQAAEQAIF+EeBMZL9m3MvZ3t78D4KuLHnQq4yuyYoQU5O03b5Avi3y1fqFvKpx&#10;S9cCSWKC4+y61KnT7SDrfox4QO8Yeo3VhZgaQ53oCOTbIl+tX8irGrd0LZDEcXZduoR2QAAEQAAE&#10;QAAEQKBfBPB2dr/kjdmCAAiAAAiAAAiAQC0EEETWghGNgAAIgAAIgAAIgEC/CCCI7Je8MVsQAAEQ&#10;AAEQAAEQqIUAgshaMKIREAABEAABEAABEOgXgRMFkfS9Rqtdv0hitiAAAiAAAmdCgL7c8Of7V/5g&#10;Q8qcyXTPfZiZoqBf0DvSPwpl6QI4i/iEJnYeQZQNIlkWdsxE2RUL/bOUkI7SWO77POgdNc2eVY7b&#10;raNtLG7xiWuYeNxXNVCOsQQVp8Yx3LzCMA9dGaUfOk+EPPsqPGXYrkM1/jMmJq3w8mHCwUqalqFb&#10;szlffEZOyqO6eUZhv9wwwwHR1AvKBNoFNeQteUZs/UPNdOmnnpkbIexeJ9H68P3NXy19MZGDUNzB&#10;ZDEbJ6Kw9EppVcvnFbJ1u0YZ2SDy6nY633+qnRl9W2MULT4OqqfdZjaf3l7V2G9eU6On7++nUUOd&#10;oZt2CexW4z37APo8frya7PXX+8t+uZzPNr3MZ+9e36aSyWEdTTQVdgibu+0yS2BzxZEq7WPOJ1jC&#10;u9XLUPTL3T6rNI0jIfvY95DtVn9olMs72LAgTyvCONryIic/y62ktL2ZDHSQOF8uo7c/Tl6MXe58&#10;riVHoh9olSDpTN+spQQL97ILelXXpZ1YUzj2EEtaZkX6VW6ZYLugLoyPc+35sgVyytklIgTzxdIX&#10;Ejl8vT9PboyT0G7Bp6jStaTdiY7bfP68fsE4x9lX1zcLNWDega3XS72EU0ipY0g32+BEvr5w+FOm&#10;md3dtFNbek83w2l27k7iOqO7+jmgxfYJjJ7M1kGkAB4epj2NIkdPOuQ4fCzmw4GUTbCLvLr/vV0u&#10;VPBpszEmq5W5eTX98o5SO6LNbPmoAqCr+8el8BEU4qQfWg2iLcAMMaTksVtx+OfbFI/ulpHZtg/v&#10;pna7QHHny379OFVEBU4nCiX5YpOd8Fc+1c1xaVaBsyvml/GaQIFdtO9jGxkBZyjfc1Z//qVZ/12v&#10;ZB6qs6msQ2oTIVBP41lE+TqZsHOPvPP83mrTCIc6OrFLgUdRaZlcGD8bcyd6xVDriOPP6xhUog33&#10;TiSNQkWRhw/apd0O1RJuk/pyIVMf2kirZIWz0xJZZfGZTT4exX57ORsL5eCoWSedOFfCYrddiqOD&#10;9UMieeHt7gQY0GRbBEZPnJBJeAulcRyz9DMXaTxgLIVVQkbao9CmVmewtpG0Q6+1Jppm7yT39+JM&#10;wn4GQw4uvQ9tIXHClDTlEoO/nKK0vGVKkEND53xnQHG72bXzHupW7R3YM9ql4nLYnGgmVnXVOkQR&#10;Rup2BQd7yUR5smJ+mTJ2MXqi3DH5OPoMaFHswwYgtfo7bucwfJsscqRfYtGnonzmQbk4m+gXLef6&#10;vcNwPzuR9tXSrFj3WG3911asolLeL7ILJPlme3gcH0hSt2sZpmkk9mINh3R8hE3mQyuIPt+OD8AG&#10;+LQFkB//YfdyK42FlzPxoaRKOnthokg3UnWm6OmuXgBorW0CwmdIL6uMxuoCqcfspej2e9sTOEH/&#10;lGuSW7XD8KXybWSyYbbdBcfo9CF75bxXwNUUeZxSda0TeTOduzwBm3Nqcrlep5PpYn3gK083TnYx&#10;iuyWiYLwGz9Ak0Pu+X3TTB2Iq64xIyeXoVasZAyZ0nlPDFnZLtgMKdQ5rOeUNeuF6FKrv+N2WNFz&#10;jfj4RT/f7xUOoHUXI+Po2KKoxxRTQkrByHBTOhR7ahWbQWW9DeQQfzub1+zNTpsPRZF8T4eDP71r&#10;c0/r2SSO+ohUh4oi/TFkrd0dNVZUroGAObtLt8Xuno5gxXUKWkPdyEffsahhAOfXhDlALjl09tnq&#10;GFxfwSOvlNiue9skD551/ip3gulasYcsPRxla0jX97/UoYvFZgSSDNPVlikZvjj5Brm4ZF+LLakl&#10;F1Y8T3Xdw75UfOipGFLGwZdnF/JCAyUg2cnxGdwFhZE5Lr2qctW16Jf0e1WHe8J67qIou0krqpu2&#10;XUbmdqgdVb4/r2X0iT/xQxnR2cvLXq0/4pbks3u9ybmixYuFHAKnUWOXwv0jE22rrJI4ypGL3Ohh&#10;Hb29vvL5TerNHW93tcwbjTRNgHcL9h0RHWk4f8aAD4jYCDj+0a+IiBUzRLmans1J+3PfeiQaPteQ&#10;3z+dWMuTUj5NSFwIyLVWfoGDDtycYFO0EDNbatf7UA5JSA9H2VY+fEHVeYMmV3DCRgZ06ScOkFzk&#10;fCau/+CTSSCturGi1o6SF3Z9FYvLlLULPRhvtHmmYvW79MzV37xxQYu/LaTcExOXD+tY9PP9nu2r&#10;m+B3K2Pr7q2JfA1nn5/avBcYRV3T/7P/z75Tya9lUnrRruFiz+uE9O4ueElvz6rF3klKykfqooJ8&#10;CVFeWkhsoZ1GE33yGMwI7Kbb6c4dMH4OIUBSDCl24jIpNfHpBEncjSGF/sQfnHiU6eYbp+cm+a2h&#10;xBNQCSbxc4GkdUlvoap4xSCOTxJnC7lm64zG9sYtxNxFk7JqXEz5k3NZMCzBxQvIcXj8e9erZki/&#10;ZYNITrx98n7VdS1Gk3RXlyydDykTzwh75WQeuuPogujqk1eWS3enrn42Ref0zm4qJHAfehd9VyaJ&#10;CMF0liijY6Sk35uvt+t5PW6qPpKuTWXobSzmM+5EP42rIP8ry5/X6pQpgPxB//3913VdISna6SYB&#10;ujFBmtPNsXV/VKDXfRnRCCGmtsR0RuTp6OM5+pV/ryOkTFuoa+m3bXlRgmxzdxEvGJ2OJKUjPx9C&#10;7h/VohHVG/nn388TfWNN9TGhJgiAAAiAAAicgEDG+5uxnkLKnGBoaBIELAE6x/ZccOwmIWQiuymX&#10;mkd1ug1TzQPtZHOg10mxJAcFMbUlJpBvi3y1fiGvatzStUASmci6dAntgAAIgAAIgAAIgEC/CHAm&#10;sl8z7uVsb2/+B0FXljzoVUbXZEWIqUnabl8g3xb5av1CXtW4pWuBJDHBcXZd6tTpdpB1P0Y8oHcM&#10;vcbqQkyNoU50BPJtka/WL+RVjVu6FkjiOLsuXUI7IAACIAACIAACINAvAng7u1/yxmxBAARAAARA&#10;AARAoBYCCCJrwYhGQAAEQAAEQAAEQKBfBBBE9kvemC0IgAAIgAAIgAAI1EIAQWQtGNEICIAACIAA&#10;CIAACPSLwImCSPpeo9WuXyQj+rIs873pPZs6pgsCIFCZAHkOesuTP3AglSGWrhjir0PKlO4YFaoQ&#10;yBSFsp5SpnMW8QlN7DyCKBtEsizsmImy69Hon6WE5NcSbrQcliONWOpXYuQ8itxxHNlpFQvpQZ24&#10;3TraJuWRkpN4XE5bLoeiDSsS2ptJxalxDDevMMxD15bSD50nQp59FZ5fDTMF9PX+PLnZ0lfbfx/W&#10;0eRV7b3jxRFhFtt2uOqKtuyXG2Y4oOIygXZBDXlLFk+p4yUyXfqpx+0GErvXSbQ+fH/z10yXDzBO&#10;PdKK7QvrH0wWs3Gh/89RraYcsg0ir26n8/3nl5w1fXNjFC0+DorBbjObT2+vKhIx1UZP341/6/p8&#10;uYze/qhp8Uh4LvP5sVNB/ZoI7FbjPfsA+jx+6BWUFPD9Zb9czmebvuWzBdbd69tUMnHjCvYJm7vt&#10;Mov8XHGkSvuk8wmT1m71MhT9crfP79JqHAnZx76HbN76Q6Nc3o3Ceu1NqTICurr/rRRgrqvxMolP&#10;BoEQ1bXuhU1sEoklzVtRdpJfJtgukhbkDgPyrEIgEUiYL5luI8CoMv6COnZb+f29vTHRi8//e5VQ&#10;N9+UQ3aOs6+ubxZqwLxLW6+XegmnkFLHkG5wazJ87q7Zph8+9SGNeeSk+HgT854qEAudf65WPykY&#10;X0wGOgHi/Fq36W/HFdLwbmr39yI4WT9OdQF3LyV/pjG6naYLiGVV5c5wAFWnCY2ennTYIdIEDw/T&#10;nkaRoycdMBw+FvPhQFIOdpEUgGyXC5XUssZp7NDqbyJJb/rlHaUSLW26lo8qfLm6f1wKH+F9aHWB&#10;rGyGGDLbNmICYqizl/f31Y8BbR2MCdRpWT1oy6e6OdO2CpxdMb9MFbvogRzkttO3uNtlk1d+6Ywq&#10;Lq8mkKD641lE+TqZsHPPEPP83mpzNpKwS4HP/xf4YTPL0zpk907k6E6uEFF0+KBd2u1QLeE28S8X&#10;MvXZ3qhkBW3Y5HEMf4wTnE0+HvnBdjkbew+2UgVEgCcSIZTHmK9/PT39PqzlPpzWVFIKk7PiVItZ&#10;/4o6GtCCaMJhDk5u1aLsVSTy706nfl3zQTgbrezYQEdPpEdmm6AGpzROLK+9zEUaDziOtpUSUGTL&#10;EZ8r0KZWJzW3kbRDZ/MqzoB8HxLAQu7vxZmE/QyGHFx6H9pC4oTpAXnIPFPTAlI0F5NJtBXiiF8r&#10;6pi1nsFwrOryanWYvpFzoc+AViMboPPim0yUuxVFgJNbpoxdZA7jDHBWHGJ6UbZu5zB8myxy2i2x&#10;vFJRPvOg6CPhyXL93mG4n1WcVyPVxLpHgXHhFcICP2wGe2KHHHuxhqNIPsIm86EVRJ9vx43LBvi0&#10;BZAfqsZTTkSKy620WfaW3k9hgXgtysmkMyJcpLAdG4twuKuzKseogwfCMc31u67wGdLZq42B3bWw&#10;ar2oY9U+UdKHmd+H4UuhK8kCQzbMtitS+fQhe+WwMuBqijxOqZoTE7veOqzs4gUuwvTdihOQ4gqC&#10;3heb3PPFE6h9ggnVZf2nBYLSApSucm78p+PDlM57YsjKdpExjNpn350GU4uy43Z4Pc4d6fHLa77f&#10;KxxA6xxlHB1bFKuP6eQOOf52Nq/Zm502H4oi+TohR2961+ae1rNlqihSTPluc+Rtej5PlwsepRx/&#10;FV4AMjchivGqWMS3tyyunCrhh1Chob5VMVdu0xPnqImOYEUinEJ9N/LRdyz6RkvM1xwgl5w9+2x1&#10;DM77dPUJSWryfY7sY1VyBumRxB6y9HCUXSguLSC9uPIJCG2kfv58Vnf1CltAgSSBpOqq+PxpxN6F&#10;o3QVRqbWAY/Oh5Rx+s+zi6xhXIIAc1x61enVtbyW9HtVh3vCeu6iGNKNVwnFcnpah5z4Ez90WjV7&#10;edmr9Ufcknx2rzc5V7R4bLGZUfRMceURx4+7jX7FwnfMJoamklIcW5farnOOdTKg2DR9yKYGzE36&#10;BZUqkAchRNb9LCNEoO+UG8V2/owB5+Z5Y8DLqn5FRFxt6F0UGbsptJkJKqU+dHQk34Tj04SERZId&#10;ZQOlnvnczwk2RQsxu6N2vQ/lCIX0cJRdIC4joMgRx9X9r3W0yDvoK6UEPSucVt04ALPCJu+H+SoW&#10;lylrF3ow/oX+PGXld+n+uTh6Hl9qT7K85vu97LW+G3LYrezrJvHbRInx5fhhU7IJh/xn/599p5Jf&#10;y6T0ol3DxaugTkgvriuqz5LenuXF3mYkbVl1UUG0bH/Wlw1jD22BWEOqV/VMjsh5MVWPyd+RnpHT&#10;ITek58U/Ow2I+czpRSL90NupWyANgZPP6v6mi7MrP9MEOzAUR8AJFZMqJWQi7sPKV5PlJ/Wg8Zk0&#10;Ts+1BGt98fey45DiVuiabBq6Vwzi+MScLTjy8Nud1xhlCzF30aSsGhdTqcn5vJtRcONTyQJEQQOx&#10;y17FzL998hmq65qMMpgEUG/FkDJl7MIzjFK6U3fh+uSV5dKN/sZWf6nm7kpq1vRSy6srHzcCcJ/n&#10;+L35erue1+Om6iPpytjVlyL/7w+K3FCmnplm6SAFkD/ov7//uu5CBE47QvoDIyoJQv/Y3DX+94C6&#10;gOEkY6ArAqQEJ2m6B42C3lkIGWJqS0xnRJ6OPp6jX/n3OkLKtIW6ln7bltflrO6nI0npyM+HkPtH&#10;tWhE9Ub++ffzRN9YU2VMowf643TyHQC6FRlVvthfpW/UAQEQAAEQuHAC7l8ayZpqSJkLx4TptU2A&#10;LneVvsXU1pg7lIlsC0Ef+j3dhgn0+kDgLOYIJW9LTCDfFvlq/UJe1bila4FktzKRdckV7YAACIAA&#10;CIAACIAACJycAN2JPHkf6AAEQAAEQAAEQAAEQOCyCOA4+7LkidmAAAiAAAiAAAiAQDMEkIlshjN6&#10;AQEQAAEQAAEQAIFLIoBM5CVJM3MudPu1I3/I6Rxxg95ZSA1iaktMIN8W+Wr9Ql7VuKVrgSRerKlL&#10;l9AOCIAACIAACIAACPSLQIf+TmS/wGO2IAACIAACIAACIHDOBBBEnrP0MHYQAAEQAAEQAAEQaIkA&#10;gsiWwKNbEAABEAABEAABEDhnAggiz1l6GDsIgAAIgAAIgAAItEQgFUTSl8+vds0Mhrr6+f4l+3J/&#10;bqZ39AICIAACIAACIAACIFCZgBtE7lY/fvx8/bgZftIPiUiSf1dHcBnSTkiZyhNGRRAAARAAARAA&#10;ARAAgeMJuEHk6On7+9dwP5t83H1/P41ijfPvEo8qdR7STkiZSp2jEgiAAAiAAAiAAAiAQD0EkpnI&#10;54+b5Xq4SaUdneNmShSu3t9//hCfVHZyt/r5/k5pS/VLzirSp9SxdexoWzXg9uUdAFWSnfoGVQ8r&#10;tAICIAACIAACIAACIKAIJDORvx+G+4/rorQjJSsfv+mzXc7GqTByMXkbHtQvf7zwj4d1NHmtctGS&#10;IsPxfs2NcSP7sYlFUwPYvU5utqIcfepImUJDQAAEQAAEQAAEQAAEsgmkXqy5uv9dHIMtt7LM6G7p&#10;aXr5eH9FjwfDeSR/vLqdzvef6hWaMtI4fCxUY9TI/eNy8fZHtpIaAI1kNq7n2maZAaIsCIAACIAA&#10;CIAACPSTwJn9iZ+baw5PfR++SPn9fUcH8Qgl+6nKmDUIgAAIgAAIgECTBLodRFIyc/ai/grQ1/vL&#10;bD4c5MOhUPKwns82Vc7Om8SOvkAABEAABEAABEDgvAl0O4iks/XtzWQg3pYZ0KXH3+Kc3PNxXqvh&#10;csUH8uctNYweBEAABEAABEAABFom8OPP/r+//7pueRTo/sQE/vn3E1KuzBj0KqNrsiLE1CRtty+Q&#10;b4t8tX4hr2rc0rVAkgh0OxP5/+3aMREAAAgDMf+uQcRPEAO9I106UFUthwABAgQIECBAIBUwIlNO&#10;YQQIECBAgACBHwJG5I+eXUmAAAECBAgQaAX2J7INlEaAAAECBAgQIHBeYAACLp1OoNM+WQAAAABJ&#10;RU5ErkJgglBLAQItABQABgAIAAAAIQBHPW7kCQEAABMCAAATAAAAAAAAAAAAAAAAAAAAAABbQ29u&#10;dGVudF9UeXBlc10ueG1sUEsBAi0AFAAGAAgAAAAhADj9If/WAAAAlAEAAAsAAAAAAAAAAAAAAAAA&#10;OgEAAF9yZWxzLy5yZWxzUEsBAi0AFAAGAAgAAAAhADuqc6tsAgAAvgQAAA4AAAAAAAAAAAAAAAAA&#10;OQIAAGRycy9lMm9Eb2MueG1sUEsBAi0AFAAGAAgAAAAhAKomDr68AAAAIQEAABkAAAAAAAAAAAAA&#10;AAAA0QQAAGRycy9fcmVscy9lMm9Eb2MueG1sLnJlbHNQSwECLQAUAAYACAAAACEAfFrx3d0AAAAF&#10;AQAADwAAAAAAAAAAAAAAAADEBQAAZHJzL2Rvd25yZXYueG1sUEsBAi0ACgAAAAAAAAAhAIkmOzYX&#10;/QAAF/0AABQAAAAAAAAAAAAAAAAAzgYAAGRycy9tZWRpYS9pbWFnZTEucG5nUEsFBgAAAAAGAAYA&#10;fAEAABcEAQAAAA==&#10;">
            <v:imagedata r:id="rId21" o:title=""/>
            <o:lock v:ext="edit" aspectratio="f"/>
          </v:shape>
        </w:pict>
      </w:r>
    </w:p>
    <w:p w:rsidR="00FD5242" w:rsidRPr="001606A4" w:rsidRDefault="00FD5242" w:rsidP="00B80475">
      <w:pPr>
        <w:rPr>
          <w:b/>
          <w:lang w:val="en-US"/>
        </w:rPr>
      </w:pPr>
    </w:p>
    <w:p w:rsidR="00FD5242" w:rsidRDefault="00FD5242" w:rsidP="00B80475">
      <w:pPr>
        <w:rPr>
          <w:lang w:val="en-US"/>
        </w:rPr>
      </w:pPr>
      <w:r w:rsidRPr="001606A4">
        <w:rPr>
          <w:b/>
          <w:lang w:val="en-US"/>
        </w:rPr>
        <w:t>*</w:t>
      </w:r>
      <w:r w:rsidRPr="001606A4">
        <w:rPr>
          <w:lang w:val="en-US"/>
        </w:rPr>
        <w:t>The table was originally published in Sikka’s paper</w:t>
      </w:r>
      <w:r>
        <w:rPr>
          <w:sz w:val="24"/>
          <w:szCs w:val="24"/>
          <w:lang w:val="en-US"/>
        </w:rPr>
        <w:t xml:space="preserve"> </w:t>
      </w:r>
      <w:r w:rsidRPr="00464B30">
        <w:rPr>
          <w:lang w:val="en-US"/>
        </w:rPr>
        <w:t xml:space="preserve">“Financial crisis and the silence of the auditors” </w:t>
      </w:r>
      <w:r w:rsidRPr="00464B30">
        <w:rPr>
          <w:i/>
          <w:lang w:val="en-US"/>
        </w:rPr>
        <w:t>Accounting, Organizations and Society</w:t>
      </w:r>
      <w:r>
        <w:rPr>
          <w:i/>
          <w:lang w:val="en-US"/>
        </w:rPr>
        <w:t xml:space="preserve">, </w:t>
      </w:r>
      <w:r w:rsidRPr="00464B30">
        <w:rPr>
          <w:lang w:val="en-US"/>
        </w:rPr>
        <w:t>pp.870</w:t>
      </w:r>
      <w:r>
        <w:rPr>
          <w:lang w:val="en-US"/>
        </w:rPr>
        <w:t>.</w:t>
      </w:r>
    </w:p>
    <w:p w:rsidR="00FD5242" w:rsidRDefault="00FD5242" w:rsidP="00661900">
      <w:pPr>
        <w:jc w:val="both"/>
        <w:rPr>
          <w:lang w:val="en-US"/>
        </w:rPr>
      </w:pPr>
    </w:p>
    <w:p w:rsidR="00FD5242" w:rsidRDefault="00FD5242" w:rsidP="00661900">
      <w:pPr>
        <w:jc w:val="both"/>
        <w:rPr>
          <w:lang w:val="en-US"/>
        </w:rPr>
      </w:pPr>
    </w:p>
    <w:p w:rsidR="00FD5242" w:rsidRDefault="00FD5242" w:rsidP="00661900">
      <w:pPr>
        <w:jc w:val="both"/>
        <w:rPr>
          <w:lang w:val="en-US"/>
        </w:rPr>
      </w:pPr>
    </w:p>
    <w:p w:rsidR="00FD5242" w:rsidRDefault="00FD5242" w:rsidP="00661900">
      <w:pPr>
        <w:jc w:val="both"/>
        <w:rPr>
          <w:lang w:val="en-US"/>
        </w:rPr>
      </w:pPr>
    </w:p>
    <w:p w:rsidR="00FD5242" w:rsidRDefault="00FD5242" w:rsidP="00661900">
      <w:pPr>
        <w:jc w:val="both"/>
        <w:rPr>
          <w:lang w:val="en-US"/>
        </w:rPr>
      </w:pPr>
    </w:p>
    <w:p w:rsidR="00FD5242" w:rsidRDefault="00FD5242" w:rsidP="00661900">
      <w:pPr>
        <w:jc w:val="both"/>
        <w:rPr>
          <w:lang w:val="en-US"/>
        </w:rPr>
      </w:pPr>
    </w:p>
    <w:p w:rsidR="00FD5242" w:rsidRDefault="00FD5242" w:rsidP="00661900">
      <w:pPr>
        <w:jc w:val="both"/>
        <w:rPr>
          <w:lang w:val="en-US"/>
        </w:rPr>
      </w:pPr>
    </w:p>
    <w:p w:rsidR="00FD5242" w:rsidRDefault="00FD5242" w:rsidP="00661900">
      <w:pPr>
        <w:jc w:val="both"/>
        <w:rPr>
          <w:lang w:val="en-US"/>
        </w:rPr>
      </w:pPr>
    </w:p>
    <w:p w:rsidR="00FD5242" w:rsidRDefault="00FD5242" w:rsidP="00661900">
      <w:pPr>
        <w:jc w:val="both"/>
        <w:rPr>
          <w:b/>
          <w:lang w:val="en-US"/>
        </w:rPr>
      </w:pPr>
      <w:r>
        <w:rPr>
          <w:b/>
          <w:lang w:val="en-US"/>
        </w:rPr>
        <w:t>Table B</w:t>
      </w:r>
      <w:r w:rsidRPr="00E76737">
        <w:rPr>
          <w:b/>
          <w:lang w:val="en-US"/>
        </w:rPr>
        <w:t>: Descriptive statistics concerning the elements of the financial statements used for the formation of the variables, concerning Model 3</w:t>
      </w:r>
    </w:p>
    <w:tbl>
      <w:tblPr>
        <w:tblW w:w="7417" w:type="dxa"/>
        <w:tblInd w:w="89" w:type="dxa"/>
        <w:tblLook w:val="00A0"/>
      </w:tblPr>
      <w:tblGrid>
        <w:gridCol w:w="2240"/>
        <w:gridCol w:w="1052"/>
        <w:gridCol w:w="972"/>
        <w:gridCol w:w="1165"/>
        <w:gridCol w:w="1080"/>
        <w:gridCol w:w="1275"/>
      </w:tblGrid>
      <w:tr w:rsidR="00FD5242" w:rsidRPr="00A937A0" w:rsidTr="00A937A0">
        <w:trPr>
          <w:trHeight w:val="300"/>
        </w:trPr>
        <w:tc>
          <w:tcPr>
            <w:tcW w:w="2240" w:type="dxa"/>
            <w:tcBorders>
              <w:top w:val="nil"/>
              <w:left w:val="nil"/>
              <w:bottom w:val="nil"/>
              <w:right w:val="nil"/>
            </w:tcBorders>
            <w:noWrap/>
            <w:vAlign w:val="bottom"/>
          </w:tcPr>
          <w:p w:rsidR="00FD5242" w:rsidRPr="00A937A0" w:rsidRDefault="00FD5242" w:rsidP="00A937A0">
            <w:pPr>
              <w:spacing w:after="0" w:line="240" w:lineRule="auto"/>
              <w:rPr>
                <w:color w:val="000000"/>
                <w:lang w:val="en-US" w:eastAsia="el-GR"/>
              </w:rPr>
            </w:pPr>
            <w:r>
              <w:rPr>
                <w:color w:val="000000"/>
                <w:lang w:val="en-US" w:eastAsia="el-GR"/>
              </w:rPr>
              <w:t>Years:</w:t>
            </w:r>
          </w:p>
        </w:tc>
        <w:tc>
          <w:tcPr>
            <w:tcW w:w="960" w:type="dxa"/>
            <w:tcBorders>
              <w:top w:val="nil"/>
              <w:left w:val="nil"/>
              <w:bottom w:val="nil"/>
              <w:right w:val="nil"/>
            </w:tcBorders>
            <w:noWrap/>
            <w:vAlign w:val="bottom"/>
          </w:tcPr>
          <w:p w:rsidR="00FD5242" w:rsidRPr="00A937A0" w:rsidRDefault="00FD5242" w:rsidP="00A937A0">
            <w:pPr>
              <w:spacing w:after="0" w:line="240" w:lineRule="auto"/>
              <w:rPr>
                <w:color w:val="000000"/>
                <w:lang w:eastAsia="el-GR"/>
              </w:rPr>
            </w:pPr>
          </w:p>
        </w:tc>
        <w:tc>
          <w:tcPr>
            <w:tcW w:w="960" w:type="dxa"/>
            <w:tcBorders>
              <w:top w:val="nil"/>
              <w:left w:val="nil"/>
              <w:bottom w:val="nil"/>
              <w:right w:val="nil"/>
            </w:tcBorders>
            <w:noWrap/>
            <w:vAlign w:val="bottom"/>
          </w:tcPr>
          <w:p w:rsidR="00FD5242" w:rsidRPr="00A937A0" w:rsidRDefault="00FD5242" w:rsidP="00A937A0">
            <w:pPr>
              <w:spacing w:after="0" w:line="240" w:lineRule="auto"/>
              <w:rPr>
                <w:color w:val="000000"/>
                <w:lang w:eastAsia="el-GR"/>
              </w:rPr>
            </w:pPr>
          </w:p>
        </w:tc>
        <w:tc>
          <w:tcPr>
            <w:tcW w:w="1080" w:type="dxa"/>
            <w:tcBorders>
              <w:top w:val="nil"/>
              <w:left w:val="nil"/>
              <w:bottom w:val="nil"/>
              <w:right w:val="nil"/>
            </w:tcBorders>
            <w:noWrap/>
            <w:vAlign w:val="bottom"/>
          </w:tcPr>
          <w:p w:rsidR="00FD5242" w:rsidRPr="00A937A0" w:rsidRDefault="00FD5242" w:rsidP="00A937A0">
            <w:pPr>
              <w:spacing w:after="0" w:line="240" w:lineRule="auto"/>
              <w:rPr>
                <w:b/>
                <w:bCs/>
                <w:color w:val="000000"/>
                <w:lang w:eastAsia="el-GR"/>
              </w:rPr>
            </w:pPr>
            <w:r>
              <w:rPr>
                <w:b/>
                <w:bCs/>
                <w:color w:val="000000"/>
                <w:lang w:eastAsia="el-GR"/>
              </w:rPr>
              <w:t>2008</w:t>
            </w:r>
            <w:r>
              <w:rPr>
                <w:b/>
                <w:bCs/>
                <w:color w:val="000000"/>
                <w:lang w:val="en-US" w:eastAsia="el-GR"/>
              </w:rPr>
              <w:t>,</w:t>
            </w:r>
            <w:r w:rsidRPr="00A937A0">
              <w:rPr>
                <w:b/>
                <w:bCs/>
                <w:color w:val="000000"/>
                <w:lang w:eastAsia="el-GR"/>
              </w:rPr>
              <w:t>2009</w:t>
            </w:r>
          </w:p>
        </w:tc>
        <w:tc>
          <w:tcPr>
            <w:tcW w:w="1080" w:type="dxa"/>
            <w:tcBorders>
              <w:top w:val="nil"/>
              <w:left w:val="nil"/>
              <w:bottom w:val="nil"/>
              <w:right w:val="nil"/>
            </w:tcBorders>
            <w:noWrap/>
            <w:vAlign w:val="bottom"/>
          </w:tcPr>
          <w:p w:rsidR="00FD5242" w:rsidRPr="00A937A0" w:rsidRDefault="00FD5242" w:rsidP="00A937A0">
            <w:pPr>
              <w:spacing w:after="0" w:line="240" w:lineRule="auto"/>
              <w:rPr>
                <w:color w:val="000000"/>
                <w:lang w:eastAsia="el-GR"/>
              </w:rPr>
            </w:pPr>
          </w:p>
        </w:tc>
        <w:tc>
          <w:tcPr>
            <w:tcW w:w="1097" w:type="dxa"/>
            <w:tcBorders>
              <w:top w:val="nil"/>
              <w:left w:val="nil"/>
              <w:bottom w:val="nil"/>
              <w:right w:val="nil"/>
            </w:tcBorders>
            <w:noWrap/>
            <w:vAlign w:val="bottom"/>
          </w:tcPr>
          <w:p w:rsidR="00FD5242" w:rsidRPr="00A937A0" w:rsidRDefault="00FD5242" w:rsidP="00A937A0">
            <w:pPr>
              <w:spacing w:after="0" w:line="240" w:lineRule="auto"/>
              <w:rPr>
                <w:color w:val="000000"/>
                <w:lang w:eastAsia="el-GR"/>
              </w:rPr>
            </w:pPr>
          </w:p>
        </w:tc>
      </w:tr>
      <w:tr w:rsidR="00FD5242" w:rsidRPr="00A937A0" w:rsidTr="00A937A0">
        <w:trPr>
          <w:trHeight w:val="300"/>
        </w:trPr>
        <w:tc>
          <w:tcPr>
            <w:tcW w:w="224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rPr>
                <w:color w:val="000000"/>
                <w:lang w:eastAsia="el-GR"/>
              </w:rPr>
            </w:pPr>
            <w:r w:rsidRPr="00A937A0">
              <w:rPr>
                <w:color w:val="000000"/>
                <w:lang w:eastAsia="el-GR"/>
              </w:rPr>
              <w:t>VARIABLES</w:t>
            </w:r>
          </w:p>
        </w:tc>
        <w:tc>
          <w:tcPr>
            <w:tcW w:w="960" w:type="dxa"/>
            <w:tcBorders>
              <w:top w:val="nil"/>
              <w:left w:val="nil"/>
              <w:bottom w:val="nil"/>
              <w:right w:val="nil"/>
            </w:tcBorders>
            <w:shd w:val="clear" w:color="000000" w:fill="FFFFFF"/>
            <w:noWrap/>
            <w:vAlign w:val="bottom"/>
          </w:tcPr>
          <w:p w:rsidR="00FD5242" w:rsidRPr="00A937A0" w:rsidRDefault="00FD5242" w:rsidP="00E60984">
            <w:pPr>
              <w:spacing w:after="0" w:line="240" w:lineRule="auto"/>
              <w:rPr>
                <w:color w:val="000000"/>
                <w:lang w:eastAsia="el-GR"/>
              </w:rPr>
            </w:pPr>
            <w:r w:rsidRPr="00A937A0">
              <w:rPr>
                <w:color w:val="000000"/>
                <w:lang w:eastAsia="el-GR"/>
              </w:rPr>
              <w:t>MEAN</w:t>
            </w:r>
          </w:p>
        </w:tc>
        <w:tc>
          <w:tcPr>
            <w:tcW w:w="960" w:type="dxa"/>
            <w:tcBorders>
              <w:top w:val="nil"/>
              <w:left w:val="nil"/>
              <w:bottom w:val="nil"/>
              <w:right w:val="nil"/>
            </w:tcBorders>
            <w:shd w:val="clear" w:color="000000" w:fill="FFFFFF"/>
            <w:noWrap/>
            <w:vAlign w:val="bottom"/>
          </w:tcPr>
          <w:p w:rsidR="00FD5242" w:rsidRPr="00A937A0" w:rsidRDefault="00FD5242" w:rsidP="00E60984">
            <w:pPr>
              <w:spacing w:after="0" w:line="240" w:lineRule="auto"/>
              <w:rPr>
                <w:color w:val="000000"/>
                <w:lang w:eastAsia="el-GR"/>
              </w:rPr>
            </w:pPr>
            <w:r w:rsidRPr="00A937A0">
              <w:rPr>
                <w:color w:val="000000"/>
                <w:lang w:eastAsia="el-GR"/>
              </w:rPr>
              <w:t>MEDIAN</w:t>
            </w:r>
          </w:p>
        </w:tc>
        <w:tc>
          <w:tcPr>
            <w:tcW w:w="1080" w:type="dxa"/>
            <w:tcBorders>
              <w:top w:val="nil"/>
              <w:left w:val="nil"/>
              <w:bottom w:val="nil"/>
              <w:right w:val="nil"/>
            </w:tcBorders>
            <w:shd w:val="clear" w:color="000000" w:fill="FFFFFF"/>
            <w:noWrap/>
            <w:vAlign w:val="bottom"/>
          </w:tcPr>
          <w:p w:rsidR="00FD5242" w:rsidRPr="00A937A0" w:rsidRDefault="00FD5242" w:rsidP="00E60984">
            <w:pPr>
              <w:spacing w:after="0" w:line="240" w:lineRule="auto"/>
              <w:rPr>
                <w:color w:val="000000"/>
                <w:lang w:eastAsia="el-GR"/>
              </w:rPr>
            </w:pPr>
            <w:r w:rsidRPr="00A937A0">
              <w:rPr>
                <w:color w:val="000000"/>
                <w:lang w:eastAsia="el-GR"/>
              </w:rPr>
              <w:t>ST.DEV</w:t>
            </w:r>
          </w:p>
        </w:tc>
        <w:tc>
          <w:tcPr>
            <w:tcW w:w="1080" w:type="dxa"/>
            <w:tcBorders>
              <w:top w:val="nil"/>
              <w:left w:val="nil"/>
              <w:bottom w:val="nil"/>
              <w:right w:val="nil"/>
            </w:tcBorders>
            <w:shd w:val="clear" w:color="000000" w:fill="FFFFFF"/>
            <w:noWrap/>
            <w:vAlign w:val="bottom"/>
          </w:tcPr>
          <w:p w:rsidR="00FD5242" w:rsidRPr="00A937A0" w:rsidRDefault="00FD5242" w:rsidP="00E60984">
            <w:pPr>
              <w:spacing w:after="0" w:line="240" w:lineRule="auto"/>
              <w:rPr>
                <w:color w:val="000000"/>
                <w:lang w:eastAsia="el-GR"/>
              </w:rPr>
            </w:pPr>
            <w:r w:rsidRPr="00A937A0">
              <w:rPr>
                <w:color w:val="000000"/>
                <w:lang w:eastAsia="el-GR"/>
              </w:rPr>
              <w:t>MIN</w:t>
            </w:r>
          </w:p>
        </w:tc>
        <w:tc>
          <w:tcPr>
            <w:tcW w:w="1097" w:type="dxa"/>
            <w:tcBorders>
              <w:top w:val="nil"/>
              <w:left w:val="nil"/>
              <w:bottom w:val="nil"/>
              <w:right w:val="nil"/>
            </w:tcBorders>
            <w:shd w:val="clear" w:color="000000" w:fill="FFFFFF"/>
            <w:noWrap/>
            <w:vAlign w:val="bottom"/>
          </w:tcPr>
          <w:p w:rsidR="00FD5242" w:rsidRPr="00A937A0" w:rsidRDefault="00FD5242" w:rsidP="00E60984">
            <w:pPr>
              <w:spacing w:after="0" w:line="240" w:lineRule="auto"/>
              <w:rPr>
                <w:color w:val="000000"/>
                <w:lang w:eastAsia="el-GR"/>
              </w:rPr>
            </w:pPr>
            <w:r w:rsidRPr="00A937A0">
              <w:rPr>
                <w:color w:val="000000"/>
                <w:lang w:eastAsia="el-GR"/>
              </w:rPr>
              <w:t>MAX</w:t>
            </w:r>
          </w:p>
        </w:tc>
      </w:tr>
      <w:tr w:rsidR="00FD5242" w:rsidRPr="00A937A0" w:rsidTr="00A937A0">
        <w:trPr>
          <w:trHeight w:val="300"/>
        </w:trPr>
        <w:tc>
          <w:tcPr>
            <w:tcW w:w="224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rPr>
                <w:b/>
                <w:bCs/>
                <w:lang w:eastAsia="el-GR"/>
              </w:rPr>
            </w:pPr>
            <w:r w:rsidRPr="00A937A0">
              <w:rPr>
                <w:b/>
                <w:bCs/>
                <w:lang w:eastAsia="el-GR"/>
              </w:rPr>
              <w:t>Debt</w:t>
            </w:r>
          </w:p>
        </w:tc>
        <w:tc>
          <w:tcPr>
            <w:tcW w:w="96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2130,46</w:t>
            </w:r>
          </w:p>
        </w:tc>
        <w:tc>
          <w:tcPr>
            <w:tcW w:w="96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415,45</w:t>
            </w:r>
          </w:p>
        </w:tc>
        <w:tc>
          <w:tcPr>
            <w:tcW w:w="108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4642,29</w:t>
            </w:r>
          </w:p>
        </w:tc>
        <w:tc>
          <w:tcPr>
            <w:tcW w:w="108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0,00</w:t>
            </w:r>
          </w:p>
        </w:tc>
        <w:tc>
          <w:tcPr>
            <w:tcW w:w="1097"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24466,57</w:t>
            </w:r>
          </w:p>
        </w:tc>
      </w:tr>
      <w:tr w:rsidR="00FD5242" w:rsidRPr="00A937A0" w:rsidTr="00A937A0">
        <w:trPr>
          <w:trHeight w:val="300"/>
        </w:trPr>
        <w:tc>
          <w:tcPr>
            <w:tcW w:w="224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rPr>
                <w:b/>
                <w:bCs/>
                <w:lang w:eastAsia="el-GR"/>
              </w:rPr>
            </w:pPr>
            <w:r w:rsidRPr="00A937A0">
              <w:rPr>
                <w:b/>
                <w:bCs/>
                <w:lang w:eastAsia="el-GR"/>
              </w:rPr>
              <w:t>Inventories</w:t>
            </w:r>
          </w:p>
        </w:tc>
        <w:tc>
          <w:tcPr>
            <w:tcW w:w="96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1017,68</w:t>
            </w:r>
          </w:p>
        </w:tc>
        <w:tc>
          <w:tcPr>
            <w:tcW w:w="96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141,35</w:t>
            </w:r>
          </w:p>
        </w:tc>
        <w:tc>
          <w:tcPr>
            <w:tcW w:w="108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3119,16</w:t>
            </w:r>
          </w:p>
        </w:tc>
        <w:tc>
          <w:tcPr>
            <w:tcW w:w="108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0,00</w:t>
            </w:r>
          </w:p>
        </w:tc>
        <w:tc>
          <w:tcPr>
            <w:tcW w:w="1097"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19132,18</w:t>
            </w:r>
          </w:p>
        </w:tc>
      </w:tr>
      <w:tr w:rsidR="00FD5242" w:rsidRPr="00A937A0" w:rsidTr="00A937A0">
        <w:trPr>
          <w:trHeight w:val="300"/>
        </w:trPr>
        <w:tc>
          <w:tcPr>
            <w:tcW w:w="224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rPr>
                <w:b/>
                <w:bCs/>
                <w:lang w:eastAsia="el-GR"/>
              </w:rPr>
            </w:pPr>
            <w:r w:rsidRPr="00A937A0">
              <w:rPr>
                <w:b/>
                <w:bCs/>
                <w:lang w:eastAsia="el-GR"/>
              </w:rPr>
              <w:t>Current Assets</w:t>
            </w:r>
          </w:p>
        </w:tc>
        <w:tc>
          <w:tcPr>
            <w:tcW w:w="96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3656,98</w:t>
            </w:r>
          </w:p>
        </w:tc>
        <w:tc>
          <w:tcPr>
            <w:tcW w:w="96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737,80</w:t>
            </w:r>
          </w:p>
        </w:tc>
        <w:tc>
          <w:tcPr>
            <w:tcW w:w="108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11196,98</w:t>
            </w:r>
          </w:p>
        </w:tc>
        <w:tc>
          <w:tcPr>
            <w:tcW w:w="108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5,00</w:t>
            </w:r>
          </w:p>
        </w:tc>
        <w:tc>
          <w:tcPr>
            <w:tcW w:w="1097"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83697,26</w:t>
            </w:r>
          </w:p>
        </w:tc>
      </w:tr>
      <w:tr w:rsidR="00FD5242" w:rsidRPr="00A937A0" w:rsidTr="00A937A0">
        <w:trPr>
          <w:trHeight w:val="300"/>
        </w:trPr>
        <w:tc>
          <w:tcPr>
            <w:tcW w:w="224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rPr>
                <w:b/>
                <w:bCs/>
                <w:lang w:eastAsia="el-GR"/>
              </w:rPr>
            </w:pPr>
            <w:r w:rsidRPr="00A937A0">
              <w:rPr>
                <w:b/>
                <w:bCs/>
                <w:lang w:eastAsia="el-GR"/>
              </w:rPr>
              <w:t>Current Liabilities</w:t>
            </w:r>
          </w:p>
        </w:tc>
        <w:tc>
          <w:tcPr>
            <w:tcW w:w="96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3123,61</w:t>
            </w:r>
          </w:p>
        </w:tc>
        <w:tc>
          <w:tcPr>
            <w:tcW w:w="96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539,34</w:t>
            </w:r>
          </w:p>
        </w:tc>
        <w:tc>
          <w:tcPr>
            <w:tcW w:w="108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9845,20</w:t>
            </w:r>
          </w:p>
        </w:tc>
        <w:tc>
          <w:tcPr>
            <w:tcW w:w="108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6,09</w:t>
            </w:r>
          </w:p>
        </w:tc>
        <w:tc>
          <w:tcPr>
            <w:tcW w:w="1097"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75769,82</w:t>
            </w:r>
          </w:p>
        </w:tc>
      </w:tr>
      <w:tr w:rsidR="00FD5242" w:rsidRPr="00A937A0" w:rsidTr="00A937A0">
        <w:trPr>
          <w:trHeight w:val="300"/>
        </w:trPr>
        <w:tc>
          <w:tcPr>
            <w:tcW w:w="224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rPr>
                <w:b/>
                <w:bCs/>
                <w:lang w:eastAsia="el-GR"/>
              </w:rPr>
            </w:pPr>
            <w:r w:rsidRPr="00A937A0">
              <w:rPr>
                <w:b/>
                <w:bCs/>
                <w:lang w:eastAsia="el-GR"/>
              </w:rPr>
              <w:t>Common Equity</w:t>
            </w:r>
          </w:p>
        </w:tc>
        <w:tc>
          <w:tcPr>
            <w:tcW w:w="96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4185,53</w:t>
            </w:r>
          </w:p>
        </w:tc>
        <w:tc>
          <w:tcPr>
            <w:tcW w:w="96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596,33</w:t>
            </w:r>
          </w:p>
        </w:tc>
        <w:tc>
          <w:tcPr>
            <w:tcW w:w="108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14104,14</w:t>
            </w:r>
          </w:p>
        </w:tc>
        <w:tc>
          <w:tcPr>
            <w:tcW w:w="108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12,53</w:t>
            </w:r>
          </w:p>
        </w:tc>
        <w:tc>
          <w:tcPr>
            <w:tcW w:w="1097"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95228,84</w:t>
            </w:r>
          </w:p>
        </w:tc>
      </w:tr>
      <w:tr w:rsidR="00FD5242" w:rsidRPr="00A937A0" w:rsidTr="00A937A0">
        <w:trPr>
          <w:trHeight w:val="300"/>
        </w:trPr>
        <w:tc>
          <w:tcPr>
            <w:tcW w:w="224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rPr>
                <w:b/>
                <w:bCs/>
                <w:lang w:eastAsia="el-GR"/>
              </w:rPr>
            </w:pPr>
            <w:r w:rsidRPr="00A937A0">
              <w:rPr>
                <w:b/>
                <w:bCs/>
                <w:lang w:eastAsia="el-GR"/>
              </w:rPr>
              <w:t>Book Value Per Share</w:t>
            </w:r>
          </w:p>
        </w:tc>
        <w:tc>
          <w:tcPr>
            <w:tcW w:w="96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11,77</w:t>
            </w:r>
          </w:p>
        </w:tc>
        <w:tc>
          <w:tcPr>
            <w:tcW w:w="96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7,48</w:t>
            </w:r>
          </w:p>
        </w:tc>
        <w:tc>
          <w:tcPr>
            <w:tcW w:w="108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15,94</w:t>
            </w:r>
          </w:p>
        </w:tc>
        <w:tc>
          <w:tcPr>
            <w:tcW w:w="108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0,09</w:t>
            </w:r>
          </w:p>
        </w:tc>
        <w:tc>
          <w:tcPr>
            <w:tcW w:w="1097"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135,56</w:t>
            </w:r>
          </w:p>
        </w:tc>
      </w:tr>
      <w:tr w:rsidR="00FD5242" w:rsidRPr="00A937A0" w:rsidTr="00A937A0">
        <w:trPr>
          <w:trHeight w:val="300"/>
        </w:trPr>
        <w:tc>
          <w:tcPr>
            <w:tcW w:w="224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rPr>
                <w:b/>
                <w:bCs/>
                <w:lang w:eastAsia="el-GR"/>
              </w:rPr>
            </w:pPr>
            <w:r w:rsidRPr="00A937A0">
              <w:rPr>
                <w:b/>
                <w:bCs/>
                <w:lang w:eastAsia="el-GR"/>
              </w:rPr>
              <w:t>Common Shares Out.</w:t>
            </w:r>
          </w:p>
        </w:tc>
        <w:tc>
          <w:tcPr>
            <w:tcW w:w="96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405,43</w:t>
            </w:r>
          </w:p>
        </w:tc>
        <w:tc>
          <w:tcPr>
            <w:tcW w:w="96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72,91</w:t>
            </w:r>
          </w:p>
        </w:tc>
        <w:tc>
          <w:tcPr>
            <w:tcW w:w="108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976,99</w:t>
            </w:r>
          </w:p>
        </w:tc>
        <w:tc>
          <w:tcPr>
            <w:tcW w:w="108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7,39</w:t>
            </w:r>
          </w:p>
        </w:tc>
        <w:tc>
          <w:tcPr>
            <w:tcW w:w="1097"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6157,37</w:t>
            </w:r>
          </w:p>
        </w:tc>
      </w:tr>
      <w:tr w:rsidR="00FD5242" w:rsidRPr="00FC700F" w:rsidTr="00A937A0">
        <w:trPr>
          <w:trHeight w:val="300"/>
        </w:trPr>
        <w:tc>
          <w:tcPr>
            <w:tcW w:w="2240" w:type="dxa"/>
            <w:tcBorders>
              <w:top w:val="nil"/>
              <w:left w:val="nil"/>
              <w:bottom w:val="nil"/>
              <w:right w:val="nil"/>
            </w:tcBorders>
            <w:shd w:val="clear" w:color="000000" w:fill="FFFFFF"/>
            <w:noWrap/>
            <w:vAlign w:val="bottom"/>
          </w:tcPr>
          <w:p w:rsidR="00FD5242" w:rsidRPr="00FC700F" w:rsidRDefault="00FD5242" w:rsidP="00A937A0">
            <w:pPr>
              <w:spacing w:after="0" w:line="240" w:lineRule="auto"/>
              <w:rPr>
                <w:b/>
                <w:bCs/>
                <w:lang w:val="en-US" w:eastAsia="el-GR"/>
              </w:rPr>
            </w:pPr>
            <w:r>
              <w:rPr>
                <w:b/>
                <w:bCs/>
                <w:lang w:val="en-US" w:eastAsia="el-GR"/>
              </w:rPr>
              <w:t>Income Bef.</w:t>
            </w:r>
            <w:r w:rsidRPr="00FC700F">
              <w:rPr>
                <w:b/>
                <w:bCs/>
                <w:lang w:val="en-US" w:eastAsia="el-GR"/>
              </w:rPr>
              <w:t>Ext</w:t>
            </w:r>
            <w:r>
              <w:rPr>
                <w:b/>
                <w:bCs/>
                <w:lang w:val="en-US" w:eastAsia="el-GR"/>
              </w:rPr>
              <w:t>.</w:t>
            </w:r>
            <w:r w:rsidRPr="00FC700F">
              <w:rPr>
                <w:b/>
                <w:bCs/>
                <w:lang w:val="en-US" w:eastAsia="el-GR"/>
              </w:rPr>
              <w:t xml:space="preserve"> Items</w:t>
            </w:r>
          </w:p>
        </w:tc>
        <w:tc>
          <w:tcPr>
            <w:tcW w:w="960" w:type="dxa"/>
            <w:tcBorders>
              <w:top w:val="nil"/>
              <w:left w:val="nil"/>
              <w:bottom w:val="nil"/>
              <w:right w:val="nil"/>
            </w:tcBorders>
            <w:shd w:val="clear" w:color="000000" w:fill="FFFFFF"/>
            <w:noWrap/>
            <w:vAlign w:val="bottom"/>
          </w:tcPr>
          <w:p w:rsidR="00FD5242" w:rsidRPr="00FC700F" w:rsidRDefault="00FD5242" w:rsidP="00A937A0">
            <w:pPr>
              <w:spacing w:after="0" w:line="240" w:lineRule="auto"/>
              <w:jc w:val="right"/>
              <w:rPr>
                <w:color w:val="000000"/>
                <w:lang w:val="en-US" w:eastAsia="el-GR"/>
              </w:rPr>
            </w:pPr>
            <w:r w:rsidRPr="00FC700F">
              <w:rPr>
                <w:color w:val="000000"/>
                <w:lang w:val="en-US" w:eastAsia="el-GR"/>
              </w:rPr>
              <w:t>557,01</w:t>
            </w:r>
          </w:p>
        </w:tc>
        <w:tc>
          <w:tcPr>
            <w:tcW w:w="960" w:type="dxa"/>
            <w:tcBorders>
              <w:top w:val="nil"/>
              <w:left w:val="nil"/>
              <w:bottom w:val="nil"/>
              <w:right w:val="nil"/>
            </w:tcBorders>
            <w:shd w:val="clear" w:color="000000" w:fill="FFFFFF"/>
            <w:noWrap/>
            <w:vAlign w:val="bottom"/>
          </w:tcPr>
          <w:p w:rsidR="00FD5242" w:rsidRPr="00FC700F" w:rsidRDefault="00FD5242" w:rsidP="00A937A0">
            <w:pPr>
              <w:spacing w:after="0" w:line="240" w:lineRule="auto"/>
              <w:jc w:val="right"/>
              <w:rPr>
                <w:color w:val="000000"/>
                <w:lang w:val="en-US" w:eastAsia="el-GR"/>
              </w:rPr>
            </w:pPr>
            <w:r w:rsidRPr="00FC700F">
              <w:rPr>
                <w:color w:val="000000"/>
                <w:lang w:val="en-US" w:eastAsia="el-GR"/>
              </w:rPr>
              <w:t>55,55</w:t>
            </w:r>
          </w:p>
        </w:tc>
        <w:tc>
          <w:tcPr>
            <w:tcW w:w="1080" w:type="dxa"/>
            <w:tcBorders>
              <w:top w:val="nil"/>
              <w:left w:val="nil"/>
              <w:bottom w:val="nil"/>
              <w:right w:val="nil"/>
            </w:tcBorders>
            <w:shd w:val="clear" w:color="000000" w:fill="FFFFFF"/>
            <w:noWrap/>
            <w:vAlign w:val="bottom"/>
          </w:tcPr>
          <w:p w:rsidR="00FD5242" w:rsidRPr="00FC700F" w:rsidRDefault="00FD5242" w:rsidP="00A937A0">
            <w:pPr>
              <w:spacing w:after="0" w:line="240" w:lineRule="auto"/>
              <w:jc w:val="right"/>
              <w:rPr>
                <w:color w:val="000000"/>
                <w:lang w:val="en-US" w:eastAsia="el-GR"/>
              </w:rPr>
            </w:pPr>
            <w:r w:rsidRPr="00FC700F">
              <w:rPr>
                <w:color w:val="000000"/>
                <w:lang w:val="en-US" w:eastAsia="el-GR"/>
              </w:rPr>
              <w:t>2191,02</w:t>
            </w:r>
          </w:p>
        </w:tc>
        <w:tc>
          <w:tcPr>
            <w:tcW w:w="1080" w:type="dxa"/>
            <w:tcBorders>
              <w:top w:val="nil"/>
              <w:left w:val="nil"/>
              <w:bottom w:val="nil"/>
              <w:right w:val="nil"/>
            </w:tcBorders>
            <w:shd w:val="clear" w:color="000000" w:fill="FFFFFF"/>
            <w:noWrap/>
            <w:vAlign w:val="bottom"/>
          </w:tcPr>
          <w:p w:rsidR="00FD5242" w:rsidRPr="00FC700F" w:rsidRDefault="00FD5242" w:rsidP="00A937A0">
            <w:pPr>
              <w:spacing w:after="0" w:line="240" w:lineRule="auto"/>
              <w:jc w:val="right"/>
              <w:rPr>
                <w:color w:val="000000"/>
                <w:lang w:val="en-US" w:eastAsia="el-GR"/>
              </w:rPr>
            </w:pPr>
            <w:r w:rsidRPr="00FC700F">
              <w:rPr>
                <w:color w:val="000000"/>
                <w:lang w:val="en-US" w:eastAsia="el-GR"/>
              </w:rPr>
              <w:t>-1044,00</w:t>
            </w:r>
          </w:p>
        </w:tc>
        <w:tc>
          <w:tcPr>
            <w:tcW w:w="1097" w:type="dxa"/>
            <w:tcBorders>
              <w:top w:val="nil"/>
              <w:left w:val="nil"/>
              <w:bottom w:val="nil"/>
              <w:right w:val="nil"/>
            </w:tcBorders>
            <w:shd w:val="clear" w:color="000000" w:fill="FFFFFF"/>
            <w:noWrap/>
            <w:vAlign w:val="bottom"/>
          </w:tcPr>
          <w:p w:rsidR="00FD5242" w:rsidRPr="00FC700F" w:rsidRDefault="00FD5242" w:rsidP="00A937A0">
            <w:pPr>
              <w:spacing w:after="0" w:line="240" w:lineRule="auto"/>
              <w:jc w:val="right"/>
              <w:rPr>
                <w:color w:val="000000"/>
                <w:lang w:val="en-US" w:eastAsia="el-GR"/>
              </w:rPr>
            </w:pPr>
            <w:r w:rsidRPr="00FC700F">
              <w:rPr>
                <w:color w:val="000000"/>
                <w:lang w:val="en-US" w:eastAsia="el-GR"/>
              </w:rPr>
              <w:t>18016,92</w:t>
            </w:r>
          </w:p>
        </w:tc>
      </w:tr>
      <w:tr w:rsidR="00FD5242" w:rsidRPr="00FC700F" w:rsidTr="00A937A0">
        <w:trPr>
          <w:trHeight w:val="300"/>
        </w:trPr>
        <w:tc>
          <w:tcPr>
            <w:tcW w:w="2240" w:type="dxa"/>
            <w:tcBorders>
              <w:top w:val="nil"/>
              <w:left w:val="nil"/>
              <w:bottom w:val="nil"/>
              <w:right w:val="nil"/>
            </w:tcBorders>
            <w:shd w:val="clear" w:color="000000" w:fill="FFFFFF"/>
            <w:noWrap/>
            <w:vAlign w:val="bottom"/>
          </w:tcPr>
          <w:p w:rsidR="00FD5242" w:rsidRPr="00FC700F" w:rsidRDefault="00FD5242" w:rsidP="00A937A0">
            <w:pPr>
              <w:spacing w:after="0" w:line="240" w:lineRule="auto"/>
              <w:rPr>
                <w:b/>
                <w:bCs/>
                <w:color w:val="000000"/>
                <w:lang w:val="en-US" w:eastAsia="el-GR"/>
              </w:rPr>
            </w:pPr>
            <w:r w:rsidRPr="00FC700F">
              <w:rPr>
                <w:b/>
                <w:bCs/>
                <w:color w:val="000000"/>
                <w:lang w:val="en-US" w:eastAsia="el-GR"/>
              </w:rPr>
              <w:t>Total assets 2008-2009</w:t>
            </w:r>
          </w:p>
        </w:tc>
        <w:tc>
          <w:tcPr>
            <w:tcW w:w="960" w:type="dxa"/>
            <w:tcBorders>
              <w:top w:val="nil"/>
              <w:left w:val="nil"/>
              <w:bottom w:val="nil"/>
              <w:right w:val="nil"/>
            </w:tcBorders>
            <w:shd w:val="clear" w:color="000000" w:fill="FFFFFF"/>
            <w:noWrap/>
            <w:vAlign w:val="bottom"/>
          </w:tcPr>
          <w:p w:rsidR="00FD5242" w:rsidRPr="00FC700F" w:rsidRDefault="00FD5242" w:rsidP="00A937A0">
            <w:pPr>
              <w:spacing w:after="0" w:line="240" w:lineRule="auto"/>
              <w:jc w:val="right"/>
              <w:rPr>
                <w:color w:val="000000"/>
                <w:lang w:val="en-US" w:eastAsia="el-GR"/>
              </w:rPr>
            </w:pPr>
            <w:r w:rsidRPr="00FC700F">
              <w:rPr>
                <w:color w:val="000000"/>
                <w:lang w:val="en-US" w:eastAsia="el-GR"/>
              </w:rPr>
              <w:t>27990,44</w:t>
            </w:r>
          </w:p>
        </w:tc>
        <w:tc>
          <w:tcPr>
            <w:tcW w:w="960" w:type="dxa"/>
            <w:tcBorders>
              <w:top w:val="nil"/>
              <w:left w:val="nil"/>
              <w:bottom w:val="nil"/>
              <w:right w:val="nil"/>
            </w:tcBorders>
            <w:shd w:val="clear" w:color="000000" w:fill="FFFFFF"/>
            <w:noWrap/>
            <w:vAlign w:val="bottom"/>
          </w:tcPr>
          <w:p w:rsidR="00FD5242" w:rsidRPr="00FC700F" w:rsidRDefault="00FD5242" w:rsidP="00A937A0">
            <w:pPr>
              <w:spacing w:after="0" w:line="240" w:lineRule="auto"/>
              <w:jc w:val="right"/>
              <w:rPr>
                <w:color w:val="000000"/>
                <w:lang w:val="en-US" w:eastAsia="el-GR"/>
              </w:rPr>
            </w:pPr>
            <w:r w:rsidRPr="00FC700F">
              <w:rPr>
                <w:color w:val="000000"/>
                <w:lang w:val="en-US" w:eastAsia="el-GR"/>
              </w:rPr>
              <w:t>1764,82</w:t>
            </w:r>
          </w:p>
        </w:tc>
        <w:tc>
          <w:tcPr>
            <w:tcW w:w="1080" w:type="dxa"/>
            <w:tcBorders>
              <w:top w:val="nil"/>
              <w:left w:val="nil"/>
              <w:bottom w:val="nil"/>
              <w:right w:val="nil"/>
            </w:tcBorders>
            <w:shd w:val="clear" w:color="000000" w:fill="FFFFFF"/>
            <w:noWrap/>
            <w:vAlign w:val="bottom"/>
          </w:tcPr>
          <w:p w:rsidR="00FD5242" w:rsidRPr="00FC700F" w:rsidRDefault="00FD5242" w:rsidP="00A937A0">
            <w:pPr>
              <w:spacing w:after="0" w:line="240" w:lineRule="auto"/>
              <w:jc w:val="right"/>
              <w:rPr>
                <w:color w:val="000000"/>
                <w:lang w:val="en-US" w:eastAsia="el-GR"/>
              </w:rPr>
            </w:pPr>
            <w:r w:rsidRPr="00FC700F">
              <w:rPr>
                <w:color w:val="000000"/>
                <w:lang w:val="en-US" w:eastAsia="el-GR"/>
              </w:rPr>
              <w:t>188835,27</w:t>
            </w:r>
          </w:p>
        </w:tc>
        <w:tc>
          <w:tcPr>
            <w:tcW w:w="1080" w:type="dxa"/>
            <w:tcBorders>
              <w:top w:val="nil"/>
              <w:left w:val="nil"/>
              <w:bottom w:val="nil"/>
              <w:right w:val="nil"/>
            </w:tcBorders>
            <w:shd w:val="clear" w:color="000000" w:fill="FFFFFF"/>
            <w:noWrap/>
            <w:vAlign w:val="bottom"/>
          </w:tcPr>
          <w:p w:rsidR="00FD5242" w:rsidRPr="00FC700F" w:rsidRDefault="00FD5242" w:rsidP="00A937A0">
            <w:pPr>
              <w:spacing w:after="0" w:line="240" w:lineRule="auto"/>
              <w:jc w:val="right"/>
              <w:rPr>
                <w:color w:val="000000"/>
                <w:lang w:val="en-US" w:eastAsia="el-GR"/>
              </w:rPr>
            </w:pPr>
            <w:r w:rsidRPr="00FC700F">
              <w:rPr>
                <w:color w:val="000000"/>
                <w:lang w:val="en-US" w:eastAsia="el-GR"/>
              </w:rPr>
              <w:t>55,88</w:t>
            </w:r>
          </w:p>
        </w:tc>
        <w:tc>
          <w:tcPr>
            <w:tcW w:w="1097" w:type="dxa"/>
            <w:tcBorders>
              <w:top w:val="nil"/>
              <w:left w:val="nil"/>
              <w:bottom w:val="nil"/>
              <w:right w:val="nil"/>
            </w:tcBorders>
            <w:shd w:val="clear" w:color="000000" w:fill="FFFFFF"/>
            <w:noWrap/>
            <w:vAlign w:val="bottom"/>
          </w:tcPr>
          <w:p w:rsidR="00FD5242" w:rsidRPr="00FC700F" w:rsidRDefault="00FD5242" w:rsidP="00A937A0">
            <w:pPr>
              <w:spacing w:after="0" w:line="240" w:lineRule="auto"/>
              <w:jc w:val="right"/>
              <w:rPr>
                <w:color w:val="000000"/>
                <w:lang w:val="en-US" w:eastAsia="el-GR"/>
              </w:rPr>
            </w:pPr>
            <w:r w:rsidRPr="00FC700F">
              <w:rPr>
                <w:color w:val="000000"/>
                <w:lang w:val="en-US" w:eastAsia="el-GR"/>
              </w:rPr>
              <w:t>1893994,00</w:t>
            </w:r>
          </w:p>
        </w:tc>
      </w:tr>
      <w:tr w:rsidR="00FD5242" w:rsidRPr="00A937A0" w:rsidTr="00A937A0">
        <w:trPr>
          <w:trHeight w:val="300"/>
        </w:trPr>
        <w:tc>
          <w:tcPr>
            <w:tcW w:w="2240" w:type="dxa"/>
            <w:tcBorders>
              <w:top w:val="nil"/>
              <w:left w:val="nil"/>
              <w:bottom w:val="nil"/>
              <w:right w:val="nil"/>
            </w:tcBorders>
            <w:shd w:val="clear" w:color="000000" w:fill="FFFFFF"/>
            <w:noWrap/>
            <w:vAlign w:val="bottom"/>
          </w:tcPr>
          <w:p w:rsidR="00FD5242" w:rsidRPr="00FC700F" w:rsidRDefault="00FD5242" w:rsidP="00A937A0">
            <w:pPr>
              <w:spacing w:after="0" w:line="240" w:lineRule="auto"/>
              <w:rPr>
                <w:b/>
                <w:bCs/>
                <w:lang w:val="en-US" w:eastAsia="el-GR"/>
              </w:rPr>
            </w:pPr>
            <w:r w:rsidRPr="00FC700F">
              <w:rPr>
                <w:b/>
                <w:bCs/>
                <w:lang w:val="en-US" w:eastAsia="el-GR"/>
              </w:rPr>
              <w:t>Audit Fees</w:t>
            </w:r>
          </w:p>
        </w:tc>
        <w:tc>
          <w:tcPr>
            <w:tcW w:w="960" w:type="dxa"/>
            <w:tcBorders>
              <w:top w:val="nil"/>
              <w:left w:val="nil"/>
              <w:bottom w:val="nil"/>
              <w:right w:val="nil"/>
            </w:tcBorders>
            <w:shd w:val="clear" w:color="000000" w:fill="FFFFFF"/>
            <w:noWrap/>
            <w:vAlign w:val="bottom"/>
          </w:tcPr>
          <w:p w:rsidR="00FD5242" w:rsidRPr="00FC700F" w:rsidRDefault="00FD5242" w:rsidP="00A937A0">
            <w:pPr>
              <w:spacing w:after="0" w:line="240" w:lineRule="auto"/>
              <w:jc w:val="right"/>
              <w:rPr>
                <w:color w:val="000000"/>
                <w:lang w:val="en-US" w:eastAsia="el-GR"/>
              </w:rPr>
            </w:pPr>
            <w:r w:rsidRPr="00FC700F">
              <w:rPr>
                <w:color w:val="000000"/>
                <w:lang w:val="en-US" w:eastAsia="el-GR"/>
              </w:rPr>
              <w:t>121,816</w:t>
            </w:r>
          </w:p>
        </w:tc>
        <w:tc>
          <w:tcPr>
            <w:tcW w:w="96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1,995</w:t>
            </w:r>
          </w:p>
        </w:tc>
        <w:tc>
          <w:tcPr>
            <w:tcW w:w="108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757,81364</w:t>
            </w:r>
          </w:p>
        </w:tc>
        <w:tc>
          <w:tcPr>
            <w:tcW w:w="108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0,048</w:t>
            </w:r>
          </w:p>
        </w:tc>
        <w:tc>
          <w:tcPr>
            <w:tcW w:w="1097"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5.189,000</w:t>
            </w:r>
          </w:p>
        </w:tc>
      </w:tr>
      <w:tr w:rsidR="00FD5242" w:rsidRPr="00A937A0" w:rsidTr="00A937A0">
        <w:trPr>
          <w:trHeight w:val="300"/>
        </w:trPr>
        <w:tc>
          <w:tcPr>
            <w:tcW w:w="224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rPr>
                <w:b/>
                <w:bCs/>
                <w:lang w:eastAsia="el-GR"/>
              </w:rPr>
            </w:pPr>
            <w:r w:rsidRPr="00A937A0">
              <w:rPr>
                <w:b/>
                <w:bCs/>
                <w:lang w:eastAsia="el-GR"/>
              </w:rPr>
              <w:t>Earnings Per Share</w:t>
            </w:r>
          </w:p>
        </w:tc>
        <w:tc>
          <w:tcPr>
            <w:tcW w:w="96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0,39</w:t>
            </w:r>
          </w:p>
        </w:tc>
        <w:tc>
          <w:tcPr>
            <w:tcW w:w="96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0,77</w:t>
            </w:r>
          </w:p>
        </w:tc>
        <w:tc>
          <w:tcPr>
            <w:tcW w:w="108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2,21</w:t>
            </w:r>
          </w:p>
        </w:tc>
        <w:tc>
          <w:tcPr>
            <w:tcW w:w="108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-9,43</w:t>
            </w:r>
          </w:p>
        </w:tc>
        <w:tc>
          <w:tcPr>
            <w:tcW w:w="1097"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4,63</w:t>
            </w:r>
          </w:p>
        </w:tc>
      </w:tr>
      <w:tr w:rsidR="00FD5242" w:rsidRPr="00A937A0" w:rsidTr="00A937A0">
        <w:trPr>
          <w:trHeight w:val="300"/>
        </w:trPr>
        <w:tc>
          <w:tcPr>
            <w:tcW w:w="224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rPr>
                <w:b/>
                <w:bCs/>
                <w:lang w:eastAsia="el-GR"/>
              </w:rPr>
            </w:pPr>
            <w:r w:rsidRPr="00A937A0">
              <w:rPr>
                <w:b/>
                <w:bCs/>
                <w:lang w:eastAsia="el-GR"/>
              </w:rPr>
              <w:t>Return On Equity</w:t>
            </w:r>
          </w:p>
        </w:tc>
        <w:tc>
          <w:tcPr>
            <w:tcW w:w="96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0,21</w:t>
            </w:r>
          </w:p>
        </w:tc>
        <w:tc>
          <w:tcPr>
            <w:tcW w:w="96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12,37</w:t>
            </w:r>
          </w:p>
        </w:tc>
        <w:tc>
          <w:tcPr>
            <w:tcW w:w="108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46,91</w:t>
            </w:r>
          </w:p>
        </w:tc>
        <w:tc>
          <w:tcPr>
            <w:tcW w:w="108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-240,82</w:t>
            </w:r>
          </w:p>
        </w:tc>
        <w:tc>
          <w:tcPr>
            <w:tcW w:w="1097"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59,88</w:t>
            </w:r>
          </w:p>
        </w:tc>
      </w:tr>
      <w:tr w:rsidR="00FD5242" w:rsidRPr="00A937A0" w:rsidTr="00A937A0">
        <w:trPr>
          <w:trHeight w:val="300"/>
        </w:trPr>
        <w:tc>
          <w:tcPr>
            <w:tcW w:w="224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rPr>
                <w:b/>
                <w:bCs/>
                <w:lang w:eastAsia="el-GR"/>
              </w:rPr>
            </w:pPr>
            <w:r w:rsidRPr="00A937A0">
              <w:rPr>
                <w:b/>
                <w:bCs/>
                <w:lang w:eastAsia="el-GR"/>
              </w:rPr>
              <w:t>Net Income</w:t>
            </w:r>
          </w:p>
        </w:tc>
        <w:tc>
          <w:tcPr>
            <w:tcW w:w="96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510,61</w:t>
            </w:r>
          </w:p>
        </w:tc>
        <w:tc>
          <w:tcPr>
            <w:tcW w:w="96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40,79</w:t>
            </w:r>
          </w:p>
        </w:tc>
        <w:tc>
          <w:tcPr>
            <w:tcW w:w="108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2145,32</w:t>
            </w:r>
          </w:p>
        </w:tc>
        <w:tc>
          <w:tcPr>
            <w:tcW w:w="108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-1113,00</w:t>
            </w:r>
          </w:p>
        </w:tc>
        <w:tc>
          <w:tcPr>
            <w:tcW w:w="1097"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17881,47</w:t>
            </w:r>
          </w:p>
        </w:tc>
      </w:tr>
      <w:tr w:rsidR="00FD5242" w:rsidRPr="00A937A0" w:rsidTr="00A937A0">
        <w:trPr>
          <w:trHeight w:val="300"/>
        </w:trPr>
        <w:tc>
          <w:tcPr>
            <w:tcW w:w="224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rPr>
                <w:b/>
                <w:bCs/>
                <w:lang w:eastAsia="el-GR"/>
              </w:rPr>
            </w:pPr>
            <w:r w:rsidRPr="00A937A0">
              <w:rPr>
                <w:b/>
                <w:bCs/>
                <w:lang w:eastAsia="el-GR"/>
              </w:rPr>
              <w:t>Total Receivables</w:t>
            </w:r>
          </w:p>
        </w:tc>
        <w:tc>
          <w:tcPr>
            <w:tcW w:w="96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1763,16</w:t>
            </w:r>
          </w:p>
        </w:tc>
        <w:tc>
          <w:tcPr>
            <w:tcW w:w="96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316,18</w:t>
            </w:r>
          </w:p>
        </w:tc>
        <w:tc>
          <w:tcPr>
            <w:tcW w:w="108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6746,79</w:t>
            </w:r>
          </w:p>
        </w:tc>
        <w:tc>
          <w:tcPr>
            <w:tcW w:w="1080"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0,66</w:t>
            </w:r>
          </w:p>
        </w:tc>
        <w:tc>
          <w:tcPr>
            <w:tcW w:w="1097" w:type="dxa"/>
            <w:tcBorders>
              <w:top w:val="nil"/>
              <w:left w:val="nil"/>
              <w:bottom w:val="nil"/>
              <w:right w:val="nil"/>
            </w:tcBorders>
            <w:shd w:val="clear" w:color="000000" w:fill="FFFFFF"/>
            <w:noWrap/>
            <w:vAlign w:val="bottom"/>
          </w:tcPr>
          <w:p w:rsidR="00FD5242" w:rsidRPr="00A937A0" w:rsidRDefault="00FD5242" w:rsidP="00A937A0">
            <w:pPr>
              <w:spacing w:after="0" w:line="240" w:lineRule="auto"/>
              <w:jc w:val="right"/>
              <w:rPr>
                <w:color w:val="000000"/>
                <w:lang w:eastAsia="el-GR"/>
              </w:rPr>
            </w:pPr>
            <w:r w:rsidRPr="00A937A0">
              <w:rPr>
                <w:color w:val="000000"/>
                <w:lang w:eastAsia="el-GR"/>
              </w:rPr>
              <w:t>55904,92</w:t>
            </w:r>
          </w:p>
        </w:tc>
      </w:tr>
    </w:tbl>
    <w:p w:rsidR="00FD5242" w:rsidRDefault="00FD5242" w:rsidP="00661900">
      <w:pPr>
        <w:jc w:val="both"/>
        <w:rPr>
          <w:b/>
          <w:lang w:val="en-US"/>
        </w:rPr>
      </w:pPr>
    </w:p>
    <w:p w:rsidR="00FD5242" w:rsidRPr="00152986" w:rsidRDefault="00FD5242" w:rsidP="00661900">
      <w:pPr>
        <w:jc w:val="both"/>
        <w:rPr>
          <w:b/>
          <w:lang w:val="en-US"/>
        </w:rPr>
      </w:pPr>
      <w:r>
        <w:rPr>
          <w:b/>
          <w:lang w:val="en-US"/>
        </w:rPr>
        <w:t>Table C</w:t>
      </w:r>
      <w:r w:rsidRPr="00152986">
        <w:rPr>
          <w:b/>
          <w:lang w:val="en-US"/>
        </w:rPr>
        <w:t>: Results o</w:t>
      </w:r>
      <w:r>
        <w:rPr>
          <w:b/>
          <w:lang w:val="en-US"/>
        </w:rPr>
        <w:t>f the pooled regression testing</w:t>
      </w:r>
      <w:r w:rsidRPr="00152986">
        <w:rPr>
          <w:b/>
          <w:lang w:val="en-US"/>
        </w:rPr>
        <w:t xml:space="preserve"> concerning the investigation of the audit fees in relation w</w:t>
      </w:r>
      <w:r>
        <w:rPr>
          <w:b/>
          <w:lang w:val="en-US"/>
        </w:rPr>
        <w:t>ith the emergence of the</w:t>
      </w:r>
      <w:r w:rsidRPr="00152986">
        <w:rPr>
          <w:b/>
          <w:lang w:val="en-US"/>
        </w:rPr>
        <w:t xml:space="preserve"> financial crisis in the years 2008-2009</w:t>
      </w:r>
    </w:p>
    <w:tbl>
      <w:tblPr>
        <w:tblW w:w="8364" w:type="dxa"/>
        <w:tblInd w:w="15" w:type="dxa"/>
        <w:tblLayout w:type="fixed"/>
        <w:tblCellMar>
          <w:left w:w="0" w:type="dxa"/>
          <w:right w:w="0" w:type="dxa"/>
        </w:tblCellMar>
        <w:tblLook w:val="0000"/>
      </w:tblPr>
      <w:tblGrid>
        <w:gridCol w:w="3261"/>
        <w:gridCol w:w="1403"/>
        <w:gridCol w:w="1210"/>
        <w:gridCol w:w="1211"/>
        <w:gridCol w:w="1279"/>
      </w:tblGrid>
      <w:tr w:rsidR="00FD5242" w:rsidRPr="00152986" w:rsidTr="00152986">
        <w:trPr>
          <w:trHeight w:val="231"/>
        </w:trPr>
        <w:tc>
          <w:tcPr>
            <w:tcW w:w="5874" w:type="dxa"/>
            <w:gridSpan w:val="3"/>
            <w:tcBorders>
              <w:top w:val="double" w:sz="4" w:space="0" w:color="auto"/>
              <w:left w:val="double" w:sz="4" w:space="0" w:color="auto"/>
              <w:bottom w:val="nil"/>
              <w:right w:val="nil"/>
            </w:tcBorders>
            <w:vAlign w:val="bottom"/>
          </w:tcPr>
          <w:p w:rsidR="00FD5242" w:rsidRPr="00152986" w:rsidRDefault="00FD5242" w:rsidP="0077650E">
            <w:pPr>
              <w:autoSpaceDE w:val="0"/>
              <w:autoSpaceDN w:val="0"/>
              <w:adjustRightInd w:val="0"/>
              <w:spacing w:after="0" w:line="240" w:lineRule="auto"/>
              <w:rPr>
                <w:rFonts w:cs="Arial"/>
                <w:color w:val="000000"/>
              </w:rPr>
            </w:pPr>
            <w:r w:rsidRPr="00152986">
              <w:rPr>
                <w:rFonts w:cs="Arial"/>
                <w:color w:val="000000"/>
              </w:rPr>
              <w:t>Dependent Variable: LAF</w:t>
            </w:r>
          </w:p>
        </w:tc>
        <w:tc>
          <w:tcPr>
            <w:tcW w:w="1211" w:type="dxa"/>
            <w:tcBorders>
              <w:top w:val="double" w:sz="4" w:space="0" w:color="auto"/>
              <w:left w:val="nil"/>
              <w:bottom w:val="nil"/>
              <w:right w:val="nil"/>
            </w:tcBorders>
            <w:vAlign w:val="bottom"/>
          </w:tcPr>
          <w:p w:rsidR="00FD5242" w:rsidRPr="00152986" w:rsidRDefault="00FD5242" w:rsidP="0077650E">
            <w:pPr>
              <w:autoSpaceDE w:val="0"/>
              <w:autoSpaceDN w:val="0"/>
              <w:adjustRightInd w:val="0"/>
              <w:spacing w:after="0" w:line="240" w:lineRule="auto"/>
              <w:jc w:val="center"/>
              <w:rPr>
                <w:rFonts w:cs="Arial"/>
                <w:color w:val="000000"/>
              </w:rPr>
            </w:pPr>
          </w:p>
        </w:tc>
        <w:tc>
          <w:tcPr>
            <w:tcW w:w="1279" w:type="dxa"/>
            <w:tcBorders>
              <w:top w:val="double" w:sz="4" w:space="0" w:color="auto"/>
              <w:left w:val="nil"/>
              <w:bottom w:val="nil"/>
              <w:right w:val="double" w:sz="4" w:space="0" w:color="auto"/>
            </w:tcBorders>
            <w:vAlign w:val="bottom"/>
          </w:tcPr>
          <w:p w:rsidR="00FD5242" w:rsidRPr="00152986" w:rsidRDefault="00FD5242" w:rsidP="0077650E">
            <w:pPr>
              <w:autoSpaceDE w:val="0"/>
              <w:autoSpaceDN w:val="0"/>
              <w:adjustRightInd w:val="0"/>
              <w:spacing w:after="0" w:line="240" w:lineRule="auto"/>
              <w:jc w:val="center"/>
              <w:rPr>
                <w:rFonts w:cs="Arial"/>
                <w:color w:val="000000"/>
              </w:rPr>
            </w:pPr>
          </w:p>
        </w:tc>
      </w:tr>
      <w:tr w:rsidR="00FD5242" w:rsidRPr="00152986" w:rsidTr="00152986">
        <w:trPr>
          <w:trHeight w:val="231"/>
        </w:trPr>
        <w:tc>
          <w:tcPr>
            <w:tcW w:w="5874" w:type="dxa"/>
            <w:gridSpan w:val="3"/>
            <w:tcBorders>
              <w:top w:val="nil"/>
              <w:left w:val="double" w:sz="4" w:space="0" w:color="auto"/>
              <w:bottom w:val="nil"/>
              <w:right w:val="nil"/>
            </w:tcBorders>
            <w:vAlign w:val="bottom"/>
          </w:tcPr>
          <w:p w:rsidR="00FD5242" w:rsidRPr="00152986" w:rsidRDefault="00FD5242" w:rsidP="0077650E">
            <w:pPr>
              <w:autoSpaceDE w:val="0"/>
              <w:autoSpaceDN w:val="0"/>
              <w:adjustRightInd w:val="0"/>
              <w:spacing w:after="0" w:line="240" w:lineRule="auto"/>
              <w:rPr>
                <w:rFonts w:cs="Arial"/>
                <w:color w:val="000000"/>
              </w:rPr>
            </w:pPr>
            <w:r w:rsidRPr="00152986">
              <w:rPr>
                <w:rFonts w:cs="Arial"/>
                <w:color w:val="000000"/>
              </w:rPr>
              <w:t>Method: Panel Least Squares</w:t>
            </w:r>
          </w:p>
        </w:tc>
        <w:tc>
          <w:tcPr>
            <w:tcW w:w="1211" w:type="dxa"/>
            <w:tcBorders>
              <w:top w:val="nil"/>
              <w:left w:val="nil"/>
              <w:bottom w:val="nil"/>
              <w:right w:val="nil"/>
            </w:tcBorders>
            <w:vAlign w:val="bottom"/>
          </w:tcPr>
          <w:p w:rsidR="00FD5242" w:rsidRPr="00152986" w:rsidRDefault="00FD5242" w:rsidP="0077650E">
            <w:pPr>
              <w:autoSpaceDE w:val="0"/>
              <w:autoSpaceDN w:val="0"/>
              <w:adjustRightInd w:val="0"/>
              <w:spacing w:after="0" w:line="240" w:lineRule="auto"/>
              <w:jc w:val="center"/>
              <w:rPr>
                <w:rFonts w:cs="Arial"/>
                <w:color w:val="000000"/>
              </w:rPr>
            </w:pPr>
          </w:p>
        </w:tc>
        <w:tc>
          <w:tcPr>
            <w:tcW w:w="1279" w:type="dxa"/>
            <w:tcBorders>
              <w:top w:val="nil"/>
              <w:left w:val="nil"/>
              <w:bottom w:val="nil"/>
              <w:right w:val="double" w:sz="4" w:space="0" w:color="auto"/>
            </w:tcBorders>
            <w:vAlign w:val="bottom"/>
          </w:tcPr>
          <w:p w:rsidR="00FD5242" w:rsidRPr="00152986" w:rsidRDefault="00FD5242" w:rsidP="0077650E">
            <w:pPr>
              <w:autoSpaceDE w:val="0"/>
              <w:autoSpaceDN w:val="0"/>
              <w:adjustRightInd w:val="0"/>
              <w:spacing w:after="0" w:line="240" w:lineRule="auto"/>
              <w:jc w:val="center"/>
              <w:rPr>
                <w:rFonts w:cs="Arial"/>
                <w:color w:val="000000"/>
              </w:rPr>
            </w:pPr>
          </w:p>
        </w:tc>
      </w:tr>
      <w:tr w:rsidR="00FD5242" w:rsidRPr="00152986" w:rsidTr="00152986">
        <w:trPr>
          <w:trHeight w:val="231"/>
        </w:trPr>
        <w:tc>
          <w:tcPr>
            <w:tcW w:w="5874" w:type="dxa"/>
            <w:gridSpan w:val="3"/>
            <w:tcBorders>
              <w:top w:val="nil"/>
              <w:left w:val="double" w:sz="4" w:space="0" w:color="auto"/>
              <w:bottom w:val="nil"/>
              <w:right w:val="nil"/>
            </w:tcBorders>
            <w:vAlign w:val="bottom"/>
          </w:tcPr>
          <w:p w:rsidR="00FD5242" w:rsidRPr="00152986" w:rsidRDefault="00FD5242" w:rsidP="0077650E">
            <w:pPr>
              <w:autoSpaceDE w:val="0"/>
              <w:autoSpaceDN w:val="0"/>
              <w:adjustRightInd w:val="0"/>
              <w:spacing w:after="0" w:line="240" w:lineRule="auto"/>
              <w:rPr>
                <w:rFonts w:cs="Arial"/>
                <w:color w:val="000000"/>
              </w:rPr>
            </w:pPr>
            <w:r w:rsidRPr="00152986">
              <w:rPr>
                <w:rFonts w:cs="Arial"/>
                <w:color w:val="000000"/>
              </w:rPr>
              <w:t>Periods included: 2</w:t>
            </w:r>
          </w:p>
        </w:tc>
        <w:tc>
          <w:tcPr>
            <w:tcW w:w="1211" w:type="dxa"/>
            <w:tcBorders>
              <w:top w:val="nil"/>
              <w:left w:val="nil"/>
              <w:bottom w:val="nil"/>
              <w:right w:val="nil"/>
            </w:tcBorders>
            <w:vAlign w:val="bottom"/>
          </w:tcPr>
          <w:p w:rsidR="00FD5242" w:rsidRPr="00152986" w:rsidRDefault="00FD5242" w:rsidP="0077650E">
            <w:pPr>
              <w:autoSpaceDE w:val="0"/>
              <w:autoSpaceDN w:val="0"/>
              <w:adjustRightInd w:val="0"/>
              <w:spacing w:after="0" w:line="240" w:lineRule="auto"/>
              <w:jc w:val="center"/>
              <w:rPr>
                <w:rFonts w:cs="Arial"/>
                <w:color w:val="000000"/>
              </w:rPr>
            </w:pPr>
          </w:p>
        </w:tc>
        <w:tc>
          <w:tcPr>
            <w:tcW w:w="1279" w:type="dxa"/>
            <w:tcBorders>
              <w:top w:val="nil"/>
              <w:left w:val="nil"/>
              <w:bottom w:val="nil"/>
              <w:right w:val="double" w:sz="4" w:space="0" w:color="auto"/>
            </w:tcBorders>
            <w:vAlign w:val="bottom"/>
          </w:tcPr>
          <w:p w:rsidR="00FD5242" w:rsidRPr="00152986" w:rsidRDefault="00FD5242" w:rsidP="0077650E">
            <w:pPr>
              <w:autoSpaceDE w:val="0"/>
              <w:autoSpaceDN w:val="0"/>
              <w:adjustRightInd w:val="0"/>
              <w:spacing w:after="0" w:line="240" w:lineRule="auto"/>
              <w:jc w:val="center"/>
              <w:rPr>
                <w:rFonts w:cs="Arial"/>
                <w:color w:val="000000"/>
              </w:rPr>
            </w:pPr>
          </w:p>
        </w:tc>
      </w:tr>
      <w:tr w:rsidR="00FD5242" w:rsidRPr="00152986" w:rsidTr="00152986">
        <w:trPr>
          <w:trHeight w:val="231"/>
        </w:trPr>
        <w:tc>
          <w:tcPr>
            <w:tcW w:w="5874" w:type="dxa"/>
            <w:gridSpan w:val="3"/>
            <w:tcBorders>
              <w:top w:val="nil"/>
              <w:left w:val="double" w:sz="4" w:space="0" w:color="auto"/>
              <w:bottom w:val="nil"/>
              <w:right w:val="nil"/>
            </w:tcBorders>
            <w:vAlign w:val="bottom"/>
          </w:tcPr>
          <w:p w:rsidR="00FD5242" w:rsidRPr="00152986" w:rsidRDefault="00FD5242" w:rsidP="0077650E">
            <w:pPr>
              <w:autoSpaceDE w:val="0"/>
              <w:autoSpaceDN w:val="0"/>
              <w:adjustRightInd w:val="0"/>
              <w:spacing w:after="0" w:line="240" w:lineRule="auto"/>
              <w:rPr>
                <w:rFonts w:cs="Arial"/>
                <w:color w:val="000000"/>
              </w:rPr>
            </w:pPr>
            <w:r w:rsidRPr="00152986">
              <w:rPr>
                <w:rFonts w:cs="Arial"/>
                <w:color w:val="000000"/>
              </w:rPr>
              <w:t>Cross-sections included: 49</w:t>
            </w:r>
          </w:p>
        </w:tc>
        <w:tc>
          <w:tcPr>
            <w:tcW w:w="1211" w:type="dxa"/>
            <w:tcBorders>
              <w:top w:val="nil"/>
              <w:left w:val="nil"/>
              <w:bottom w:val="nil"/>
              <w:right w:val="nil"/>
            </w:tcBorders>
            <w:vAlign w:val="bottom"/>
          </w:tcPr>
          <w:p w:rsidR="00FD5242" w:rsidRPr="00152986" w:rsidRDefault="00FD5242" w:rsidP="0077650E">
            <w:pPr>
              <w:autoSpaceDE w:val="0"/>
              <w:autoSpaceDN w:val="0"/>
              <w:adjustRightInd w:val="0"/>
              <w:spacing w:after="0" w:line="240" w:lineRule="auto"/>
              <w:jc w:val="center"/>
              <w:rPr>
                <w:rFonts w:cs="Arial"/>
                <w:color w:val="000000"/>
              </w:rPr>
            </w:pPr>
          </w:p>
        </w:tc>
        <w:tc>
          <w:tcPr>
            <w:tcW w:w="1279" w:type="dxa"/>
            <w:tcBorders>
              <w:top w:val="nil"/>
              <w:left w:val="nil"/>
              <w:bottom w:val="nil"/>
              <w:right w:val="double" w:sz="4" w:space="0" w:color="auto"/>
            </w:tcBorders>
            <w:vAlign w:val="bottom"/>
          </w:tcPr>
          <w:p w:rsidR="00FD5242" w:rsidRPr="00152986" w:rsidRDefault="00FD5242" w:rsidP="0077650E">
            <w:pPr>
              <w:autoSpaceDE w:val="0"/>
              <w:autoSpaceDN w:val="0"/>
              <w:adjustRightInd w:val="0"/>
              <w:spacing w:after="0" w:line="240" w:lineRule="auto"/>
              <w:jc w:val="center"/>
              <w:rPr>
                <w:rFonts w:cs="Arial"/>
                <w:color w:val="000000"/>
              </w:rPr>
            </w:pPr>
          </w:p>
        </w:tc>
      </w:tr>
      <w:tr w:rsidR="00FD5242" w:rsidRPr="009E2EF6" w:rsidTr="00152986">
        <w:trPr>
          <w:trHeight w:val="231"/>
        </w:trPr>
        <w:tc>
          <w:tcPr>
            <w:tcW w:w="8364" w:type="dxa"/>
            <w:gridSpan w:val="5"/>
            <w:tcBorders>
              <w:top w:val="nil"/>
              <w:left w:val="double" w:sz="4" w:space="0" w:color="auto"/>
              <w:bottom w:val="nil"/>
              <w:right w:val="double" w:sz="4" w:space="0" w:color="auto"/>
            </w:tcBorders>
            <w:vAlign w:val="bottom"/>
          </w:tcPr>
          <w:p w:rsidR="00FD5242" w:rsidRPr="00152986" w:rsidRDefault="00FD5242" w:rsidP="0077650E">
            <w:pPr>
              <w:autoSpaceDE w:val="0"/>
              <w:autoSpaceDN w:val="0"/>
              <w:adjustRightInd w:val="0"/>
              <w:spacing w:after="0" w:line="240" w:lineRule="auto"/>
              <w:rPr>
                <w:rFonts w:cs="Arial"/>
                <w:color w:val="000000"/>
                <w:lang w:val="en-US"/>
              </w:rPr>
            </w:pPr>
            <w:r w:rsidRPr="00152986">
              <w:rPr>
                <w:rFonts w:cs="Arial"/>
                <w:color w:val="000000"/>
                <w:lang w:val="en-US"/>
              </w:rPr>
              <w:t>LAF=b</w:t>
            </w:r>
            <w:r w:rsidRPr="00152986">
              <w:rPr>
                <w:rFonts w:cs="Arial"/>
                <w:color w:val="000000"/>
                <w:vertAlign w:val="subscript"/>
                <w:lang w:val="en-US"/>
              </w:rPr>
              <w:t>1</w:t>
            </w:r>
            <w:r w:rsidRPr="00152986">
              <w:rPr>
                <w:rFonts w:cs="Arial"/>
                <w:color w:val="000000"/>
                <w:lang w:val="en-US"/>
              </w:rPr>
              <w:t>*CSV+b</w:t>
            </w:r>
            <w:r w:rsidRPr="00152986">
              <w:rPr>
                <w:rFonts w:cs="Arial"/>
                <w:color w:val="000000"/>
                <w:vertAlign w:val="subscript"/>
                <w:lang w:val="en-US"/>
              </w:rPr>
              <w:t>2</w:t>
            </w:r>
            <w:r w:rsidRPr="00152986">
              <w:rPr>
                <w:rFonts w:cs="Arial"/>
                <w:color w:val="000000"/>
                <w:lang w:val="en-US"/>
              </w:rPr>
              <w:t>*SIZE+b</w:t>
            </w:r>
            <w:r w:rsidRPr="00152986">
              <w:rPr>
                <w:rFonts w:cs="Arial"/>
                <w:color w:val="000000"/>
                <w:vertAlign w:val="subscript"/>
                <w:lang w:val="en-US"/>
              </w:rPr>
              <w:t>3</w:t>
            </w:r>
            <w:r w:rsidRPr="00152986">
              <w:rPr>
                <w:rFonts w:cs="Arial"/>
                <w:color w:val="000000"/>
                <w:lang w:val="en-US"/>
              </w:rPr>
              <w:t>*QR+b</w:t>
            </w:r>
            <w:r w:rsidRPr="00152986">
              <w:rPr>
                <w:rFonts w:cs="Arial"/>
                <w:color w:val="000000"/>
                <w:vertAlign w:val="subscript"/>
                <w:lang w:val="en-US"/>
              </w:rPr>
              <w:t>4</w:t>
            </w:r>
            <w:r w:rsidRPr="00152986">
              <w:rPr>
                <w:rFonts w:cs="Arial"/>
                <w:color w:val="000000"/>
                <w:lang w:val="en-US"/>
              </w:rPr>
              <w:t>*LEV+b</w:t>
            </w:r>
            <w:r w:rsidRPr="00152986">
              <w:rPr>
                <w:rFonts w:cs="Arial"/>
                <w:color w:val="000000"/>
                <w:vertAlign w:val="subscript"/>
                <w:lang w:val="en-US"/>
              </w:rPr>
              <w:t>5</w:t>
            </w:r>
            <w:r w:rsidRPr="00152986">
              <w:rPr>
                <w:rFonts w:cs="Arial"/>
                <w:color w:val="000000"/>
                <w:lang w:val="en-US"/>
              </w:rPr>
              <w:t>*INVREC+b</w:t>
            </w:r>
            <w:r w:rsidRPr="00152986">
              <w:rPr>
                <w:rFonts w:cs="Arial"/>
                <w:color w:val="000000"/>
                <w:vertAlign w:val="subscript"/>
                <w:lang w:val="en-US"/>
              </w:rPr>
              <w:t>6</w:t>
            </w:r>
            <w:r w:rsidRPr="00152986">
              <w:rPr>
                <w:rFonts w:cs="Arial"/>
                <w:color w:val="000000"/>
                <w:lang w:val="en-US"/>
              </w:rPr>
              <w:t>*ROI (no constant term)</w:t>
            </w:r>
          </w:p>
        </w:tc>
      </w:tr>
      <w:tr w:rsidR="00FD5242" w:rsidRPr="009E2EF6" w:rsidTr="00152986">
        <w:trPr>
          <w:trHeight w:val="231"/>
        </w:trPr>
        <w:tc>
          <w:tcPr>
            <w:tcW w:w="8364" w:type="dxa"/>
            <w:gridSpan w:val="5"/>
            <w:tcBorders>
              <w:top w:val="nil"/>
              <w:left w:val="double" w:sz="4" w:space="0" w:color="auto"/>
              <w:bottom w:val="nil"/>
              <w:right w:val="double" w:sz="4" w:space="0" w:color="auto"/>
            </w:tcBorders>
            <w:vAlign w:val="bottom"/>
          </w:tcPr>
          <w:p w:rsidR="00FD5242" w:rsidRPr="00152986" w:rsidRDefault="00FD5242" w:rsidP="0077650E">
            <w:pPr>
              <w:autoSpaceDE w:val="0"/>
              <w:autoSpaceDN w:val="0"/>
              <w:adjustRightInd w:val="0"/>
              <w:spacing w:after="0" w:line="240" w:lineRule="auto"/>
              <w:rPr>
                <w:rFonts w:cs="Arial"/>
                <w:color w:val="000000"/>
                <w:lang w:val="en-US"/>
              </w:rPr>
            </w:pPr>
          </w:p>
        </w:tc>
      </w:tr>
      <w:tr w:rsidR="00FD5242" w:rsidRPr="009E2EF6" w:rsidTr="00152986">
        <w:trPr>
          <w:trHeight w:hRule="exact" w:val="93"/>
        </w:trPr>
        <w:tc>
          <w:tcPr>
            <w:tcW w:w="3261" w:type="dxa"/>
            <w:tcBorders>
              <w:top w:val="nil"/>
              <w:left w:val="double" w:sz="4" w:space="0" w:color="auto"/>
              <w:bottom w:val="double" w:sz="6" w:space="2" w:color="auto"/>
              <w:right w:val="nil"/>
            </w:tcBorders>
            <w:vAlign w:val="bottom"/>
          </w:tcPr>
          <w:p w:rsidR="00FD5242" w:rsidRPr="00152986" w:rsidRDefault="00FD5242" w:rsidP="0077650E">
            <w:pPr>
              <w:autoSpaceDE w:val="0"/>
              <w:autoSpaceDN w:val="0"/>
              <w:adjustRightInd w:val="0"/>
              <w:spacing w:after="0" w:line="240" w:lineRule="auto"/>
              <w:jc w:val="center"/>
              <w:rPr>
                <w:rFonts w:cs="Arial"/>
                <w:color w:val="000000"/>
                <w:lang w:val="en-US"/>
              </w:rPr>
            </w:pPr>
          </w:p>
        </w:tc>
        <w:tc>
          <w:tcPr>
            <w:tcW w:w="1403" w:type="dxa"/>
            <w:tcBorders>
              <w:top w:val="nil"/>
              <w:left w:val="nil"/>
              <w:bottom w:val="double" w:sz="6" w:space="2" w:color="auto"/>
              <w:right w:val="nil"/>
            </w:tcBorders>
            <w:vAlign w:val="bottom"/>
          </w:tcPr>
          <w:p w:rsidR="00FD5242" w:rsidRPr="00152986" w:rsidRDefault="00FD5242" w:rsidP="0077650E">
            <w:pPr>
              <w:autoSpaceDE w:val="0"/>
              <w:autoSpaceDN w:val="0"/>
              <w:adjustRightInd w:val="0"/>
              <w:spacing w:after="0" w:line="240" w:lineRule="auto"/>
              <w:jc w:val="center"/>
              <w:rPr>
                <w:rFonts w:cs="Arial"/>
                <w:color w:val="000000"/>
                <w:lang w:val="en-US"/>
              </w:rPr>
            </w:pPr>
          </w:p>
        </w:tc>
        <w:tc>
          <w:tcPr>
            <w:tcW w:w="1210" w:type="dxa"/>
            <w:tcBorders>
              <w:top w:val="nil"/>
              <w:left w:val="nil"/>
              <w:bottom w:val="double" w:sz="6" w:space="2" w:color="auto"/>
              <w:right w:val="nil"/>
            </w:tcBorders>
            <w:vAlign w:val="bottom"/>
          </w:tcPr>
          <w:p w:rsidR="00FD5242" w:rsidRPr="00152986" w:rsidRDefault="00FD5242" w:rsidP="0077650E">
            <w:pPr>
              <w:autoSpaceDE w:val="0"/>
              <w:autoSpaceDN w:val="0"/>
              <w:adjustRightInd w:val="0"/>
              <w:spacing w:after="0" w:line="240" w:lineRule="auto"/>
              <w:jc w:val="center"/>
              <w:rPr>
                <w:rFonts w:cs="Arial"/>
                <w:color w:val="000000"/>
                <w:lang w:val="en-US"/>
              </w:rPr>
            </w:pPr>
          </w:p>
        </w:tc>
        <w:tc>
          <w:tcPr>
            <w:tcW w:w="1211" w:type="dxa"/>
            <w:tcBorders>
              <w:top w:val="nil"/>
              <w:left w:val="nil"/>
              <w:bottom w:val="double" w:sz="6" w:space="2" w:color="auto"/>
              <w:right w:val="nil"/>
            </w:tcBorders>
            <w:vAlign w:val="bottom"/>
          </w:tcPr>
          <w:p w:rsidR="00FD5242" w:rsidRPr="00152986" w:rsidRDefault="00FD5242" w:rsidP="0077650E">
            <w:pPr>
              <w:autoSpaceDE w:val="0"/>
              <w:autoSpaceDN w:val="0"/>
              <w:adjustRightInd w:val="0"/>
              <w:spacing w:after="0" w:line="240" w:lineRule="auto"/>
              <w:jc w:val="center"/>
              <w:rPr>
                <w:rFonts w:cs="Arial"/>
                <w:color w:val="000000"/>
                <w:lang w:val="en-US"/>
              </w:rPr>
            </w:pPr>
          </w:p>
        </w:tc>
        <w:tc>
          <w:tcPr>
            <w:tcW w:w="1279" w:type="dxa"/>
            <w:tcBorders>
              <w:top w:val="nil"/>
              <w:left w:val="nil"/>
              <w:bottom w:val="double" w:sz="6" w:space="2" w:color="auto"/>
              <w:right w:val="double" w:sz="4" w:space="0" w:color="auto"/>
            </w:tcBorders>
            <w:vAlign w:val="bottom"/>
          </w:tcPr>
          <w:p w:rsidR="00FD5242" w:rsidRPr="00152986" w:rsidRDefault="00FD5242" w:rsidP="0077650E">
            <w:pPr>
              <w:autoSpaceDE w:val="0"/>
              <w:autoSpaceDN w:val="0"/>
              <w:adjustRightInd w:val="0"/>
              <w:spacing w:after="0" w:line="240" w:lineRule="auto"/>
              <w:jc w:val="center"/>
              <w:rPr>
                <w:rFonts w:cs="Arial"/>
                <w:color w:val="000000"/>
                <w:lang w:val="en-US"/>
              </w:rPr>
            </w:pPr>
          </w:p>
        </w:tc>
      </w:tr>
      <w:tr w:rsidR="00FD5242" w:rsidRPr="009E2EF6" w:rsidTr="00152986">
        <w:trPr>
          <w:trHeight w:hRule="exact" w:val="139"/>
        </w:trPr>
        <w:tc>
          <w:tcPr>
            <w:tcW w:w="3261" w:type="dxa"/>
            <w:tcBorders>
              <w:top w:val="nil"/>
              <w:left w:val="double" w:sz="4" w:space="0" w:color="auto"/>
              <w:bottom w:val="nil"/>
              <w:right w:val="nil"/>
            </w:tcBorders>
            <w:vAlign w:val="bottom"/>
          </w:tcPr>
          <w:p w:rsidR="00FD5242" w:rsidRPr="00152986" w:rsidRDefault="00FD5242" w:rsidP="0077650E">
            <w:pPr>
              <w:autoSpaceDE w:val="0"/>
              <w:autoSpaceDN w:val="0"/>
              <w:adjustRightInd w:val="0"/>
              <w:spacing w:after="0" w:line="240" w:lineRule="auto"/>
              <w:jc w:val="center"/>
              <w:rPr>
                <w:rFonts w:cs="Arial"/>
                <w:color w:val="000000"/>
                <w:lang w:val="en-US"/>
              </w:rPr>
            </w:pPr>
          </w:p>
        </w:tc>
        <w:tc>
          <w:tcPr>
            <w:tcW w:w="1403" w:type="dxa"/>
            <w:tcBorders>
              <w:top w:val="nil"/>
              <w:left w:val="nil"/>
              <w:bottom w:val="nil"/>
              <w:right w:val="nil"/>
            </w:tcBorders>
            <w:vAlign w:val="bottom"/>
          </w:tcPr>
          <w:p w:rsidR="00FD5242" w:rsidRPr="00152986" w:rsidRDefault="00FD5242" w:rsidP="0077650E">
            <w:pPr>
              <w:autoSpaceDE w:val="0"/>
              <w:autoSpaceDN w:val="0"/>
              <w:adjustRightInd w:val="0"/>
              <w:spacing w:after="0" w:line="240" w:lineRule="auto"/>
              <w:jc w:val="center"/>
              <w:rPr>
                <w:rFonts w:cs="Arial"/>
                <w:color w:val="000000"/>
                <w:lang w:val="en-US"/>
              </w:rPr>
            </w:pPr>
          </w:p>
        </w:tc>
        <w:tc>
          <w:tcPr>
            <w:tcW w:w="1210" w:type="dxa"/>
            <w:tcBorders>
              <w:top w:val="nil"/>
              <w:left w:val="nil"/>
              <w:bottom w:val="nil"/>
              <w:right w:val="nil"/>
            </w:tcBorders>
            <w:vAlign w:val="bottom"/>
          </w:tcPr>
          <w:p w:rsidR="00FD5242" w:rsidRPr="00152986" w:rsidRDefault="00FD5242" w:rsidP="0077650E">
            <w:pPr>
              <w:autoSpaceDE w:val="0"/>
              <w:autoSpaceDN w:val="0"/>
              <w:adjustRightInd w:val="0"/>
              <w:spacing w:after="0" w:line="240" w:lineRule="auto"/>
              <w:jc w:val="center"/>
              <w:rPr>
                <w:rFonts w:cs="Arial"/>
                <w:color w:val="000000"/>
                <w:lang w:val="en-US"/>
              </w:rPr>
            </w:pPr>
          </w:p>
        </w:tc>
        <w:tc>
          <w:tcPr>
            <w:tcW w:w="1211" w:type="dxa"/>
            <w:tcBorders>
              <w:top w:val="nil"/>
              <w:left w:val="nil"/>
              <w:bottom w:val="nil"/>
              <w:right w:val="nil"/>
            </w:tcBorders>
            <w:vAlign w:val="bottom"/>
          </w:tcPr>
          <w:p w:rsidR="00FD5242" w:rsidRPr="00152986" w:rsidRDefault="00FD5242" w:rsidP="0077650E">
            <w:pPr>
              <w:autoSpaceDE w:val="0"/>
              <w:autoSpaceDN w:val="0"/>
              <w:adjustRightInd w:val="0"/>
              <w:spacing w:after="0" w:line="240" w:lineRule="auto"/>
              <w:jc w:val="center"/>
              <w:rPr>
                <w:rFonts w:cs="Arial"/>
                <w:color w:val="000000"/>
                <w:lang w:val="en-US"/>
              </w:rPr>
            </w:pPr>
          </w:p>
        </w:tc>
        <w:tc>
          <w:tcPr>
            <w:tcW w:w="1279" w:type="dxa"/>
            <w:tcBorders>
              <w:top w:val="nil"/>
              <w:left w:val="nil"/>
              <w:bottom w:val="nil"/>
              <w:right w:val="double" w:sz="4" w:space="0" w:color="auto"/>
            </w:tcBorders>
            <w:vAlign w:val="bottom"/>
          </w:tcPr>
          <w:p w:rsidR="00FD5242" w:rsidRPr="00152986" w:rsidRDefault="00FD5242" w:rsidP="0077650E">
            <w:pPr>
              <w:autoSpaceDE w:val="0"/>
              <w:autoSpaceDN w:val="0"/>
              <w:adjustRightInd w:val="0"/>
              <w:spacing w:after="0" w:line="240" w:lineRule="auto"/>
              <w:jc w:val="center"/>
              <w:rPr>
                <w:rFonts w:cs="Arial"/>
                <w:color w:val="000000"/>
                <w:lang w:val="en-US"/>
              </w:rPr>
            </w:pPr>
          </w:p>
        </w:tc>
      </w:tr>
      <w:tr w:rsidR="00FD5242" w:rsidRPr="00152986" w:rsidTr="00152986">
        <w:trPr>
          <w:trHeight w:val="231"/>
        </w:trPr>
        <w:tc>
          <w:tcPr>
            <w:tcW w:w="3261" w:type="dxa"/>
            <w:tcBorders>
              <w:top w:val="nil"/>
              <w:left w:val="double" w:sz="4" w:space="0" w:color="auto"/>
              <w:bottom w:val="nil"/>
              <w:right w:val="nil"/>
            </w:tcBorders>
            <w:vAlign w:val="bottom"/>
          </w:tcPr>
          <w:p w:rsidR="00FD5242" w:rsidRPr="00152986" w:rsidRDefault="00FD5242" w:rsidP="0077650E">
            <w:pPr>
              <w:autoSpaceDE w:val="0"/>
              <w:autoSpaceDN w:val="0"/>
              <w:adjustRightInd w:val="0"/>
              <w:spacing w:after="0" w:line="240" w:lineRule="auto"/>
              <w:jc w:val="center"/>
              <w:rPr>
                <w:rFonts w:cs="Arial"/>
                <w:color w:val="000000"/>
                <w:lang w:val="en-US"/>
              </w:rPr>
            </w:pPr>
          </w:p>
        </w:tc>
        <w:tc>
          <w:tcPr>
            <w:tcW w:w="1403" w:type="dxa"/>
            <w:tcBorders>
              <w:top w:val="nil"/>
              <w:left w:val="nil"/>
              <w:bottom w:val="nil"/>
              <w:right w:val="nil"/>
            </w:tcBorders>
            <w:vAlign w:val="bottom"/>
          </w:tcPr>
          <w:p w:rsidR="00FD5242" w:rsidRPr="00152986" w:rsidRDefault="00FD5242" w:rsidP="0077650E">
            <w:pPr>
              <w:autoSpaceDE w:val="0"/>
              <w:autoSpaceDN w:val="0"/>
              <w:adjustRightInd w:val="0"/>
              <w:spacing w:after="0" w:line="240" w:lineRule="auto"/>
              <w:ind w:right="10"/>
              <w:jc w:val="both"/>
              <w:rPr>
                <w:rFonts w:cs="Arial"/>
                <w:color w:val="000000"/>
              </w:rPr>
            </w:pPr>
            <w:r w:rsidRPr="00152986">
              <w:rPr>
                <w:rFonts w:cs="Arial"/>
                <w:color w:val="000000"/>
              </w:rPr>
              <w:t>Coefficient</w:t>
            </w:r>
          </w:p>
        </w:tc>
        <w:tc>
          <w:tcPr>
            <w:tcW w:w="1210" w:type="dxa"/>
            <w:tcBorders>
              <w:top w:val="nil"/>
              <w:left w:val="nil"/>
              <w:bottom w:val="nil"/>
              <w:right w:val="nil"/>
            </w:tcBorders>
            <w:vAlign w:val="bottom"/>
          </w:tcPr>
          <w:p w:rsidR="00FD5242" w:rsidRPr="00152986" w:rsidRDefault="00FD5242" w:rsidP="0077650E">
            <w:pPr>
              <w:autoSpaceDE w:val="0"/>
              <w:autoSpaceDN w:val="0"/>
              <w:adjustRightInd w:val="0"/>
              <w:spacing w:after="0" w:line="240" w:lineRule="auto"/>
              <w:ind w:right="10"/>
              <w:jc w:val="both"/>
              <w:rPr>
                <w:rFonts w:cs="Arial"/>
                <w:color w:val="000000"/>
              </w:rPr>
            </w:pPr>
            <w:r w:rsidRPr="00152986">
              <w:rPr>
                <w:rFonts w:cs="Arial"/>
                <w:color w:val="000000"/>
              </w:rPr>
              <w:t>Std. Error</w:t>
            </w:r>
          </w:p>
        </w:tc>
        <w:tc>
          <w:tcPr>
            <w:tcW w:w="1211" w:type="dxa"/>
            <w:tcBorders>
              <w:top w:val="nil"/>
              <w:left w:val="nil"/>
              <w:bottom w:val="nil"/>
              <w:right w:val="nil"/>
            </w:tcBorders>
            <w:vAlign w:val="bottom"/>
          </w:tcPr>
          <w:p w:rsidR="00FD5242" w:rsidRPr="00152986" w:rsidRDefault="00FD5242" w:rsidP="0077650E">
            <w:pPr>
              <w:autoSpaceDE w:val="0"/>
              <w:autoSpaceDN w:val="0"/>
              <w:adjustRightInd w:val="0"/>
              <w:spacing w:after="0" w:line="240" w:lineRule="auto"/>
              <w:ind w:right="10"/>
              <w:jc w:val="both"/>
              <w:rPr>
                <w:rFonts w:cs="Arial"/>
                <w:color w:val="000000"/>
              </w:rPr>
            </w:pPr>
            <w:r w:rsidRPr="00152986">
              <w:rPr>
                <w:rFonts w:cs="Arial"/>
                <w:color w:val="000000"/>
              </w:rPr>
              <w:t>t-Statistic</w:t>
            </w:r>
          </w:p>
        </w:tc>
        <w:tc>
          <w:tcPr>
            <w:tcW w:w="1279" w:type="dxa"/>
            <w:tcBorders>
              <w:top w:val="nil"/>
              <w:left w:val="nil"/>
              <w:bottom w:val="nil"/>
              <w:right w:val="double" w:sz="4" w:space="0" w:color="auto"/>
            </w:tcBorders>
            <w:vAlign w:val="bottom"/>
          </w:tcPr>
          <w:p w:rsidR="00FD5242" w:rsidRPr="00152986" w:rsidRDefault="00FD5242" w:rsidP="0077650E">
            <w:pPr>
              <w:autoSpaceDE w:val="0"/>
              <w:autoSpaceDN w:val="0"/>
              <w:adjustRightInd w:val="0"/>
              <w:spacing w:after="0" w:line="240" w:lineRule="auto"/>
              <w:ind w:right="10"/>
              <w:jc w:val="both"/>
              <w:rPr>
                <w:rFonts w:cs="Arial"/>
                <w:color w:val="000000"/>
              </w:rPr>
            </w:pPr>
            <w:r w:rsidRPr="00152986">
              <w:rPr>
                <w:rFonts w:cs="Arial"/>
                <w:color w:val="000000"/>
              </w:rPr>
              <w:t>Prob.  </w:t>
            </w:r>
          </w:p>
        </w:tc>
      </w:tr>
      <w:tr w:rsidR="00FD5242" w:rsidRPr="00152986" w:rsidTr="00152986">
        <w:trPr>
          <w:trHeight w:hRule="exact" w:val="93"/>
        </w:trPr>
        <w:tc>
          <w:tcPr>
            <w:tcW w:w="3261" w:type="dxa"/>
            <w:tcBorders>
              <w:top w:val="nil"/>
              <w:left w:val="double" w:sz="4" w:space="0" w:color="auto"/>
              <w:bottom w:val="double" w:sz="6" w:space="2" w:color="auto"/>
              <w:right w:val="nil"/>
            </w:tcBorders>
            <w:vAlign w:val="bottom"/>
          </w:tcPr>
          <w:p w:rsidR="00FD5242" w:rsidRPr="00152986" w:rsidRDefault="00FD5242" w:rsidP="0077650E">
            <w:pPr>
              <w:autoSpaceDE w:val="0"/>
              <w:autoSpaceDN w:val="0"/>
              <w:adjustRightInd w:val="0"/>
              <w:spacing w:after="0" w:line="240" w:lineRule="auto"/>
              <w:jc w:val="center"/>
              <w:rPr>
                <w:rFonts w:cs="Arial"/>
                <w:color w:val="000000"/>
              </w:rPr>
            </w:pPr>
          </w:p>
        </w:tc>
        <w:tc>
          <w:tcPr>
            <w:tcW w:w="1403" w:type="dxa"/>
            <w:tcBorders>
              <w:top w:val="nil"/>
              <w:left w:val="nil"/>
              <w:bottom w:val="double" w:sz="6" w:space="2" w:color="auto"/>
              <w:right w:val="nil"/>
            </w:tcBorders>
            <w:vAlign w:val="bottom"/>
          </w:tcPr>
          <w:p w:rsidR="00FD5242" w:rsidRPr="00152986" w:rsidRDefault="00FD5242" w:rsidP="0077650E">
            <w:pPr>
              <w:autoSpaceDE w:val="0"/>
              <w:autoSpaceDN w:val="0"/>
              <w:adjustRightInd w:val="0"/>
              <w:spacing w:after="0" w:line="240" w:lineRule="auto"/>
              <w:jc w:val="both"/>
              <w:rPr>
                <w:rFonts w:cs="Arial"/>
                <w:color w:val="000000"/>
              </w:rPr>
            </w:pPr>
          </w:p>
        </w:tc>
        <w:tc>
          <w:tcPr>
            <w:tcW w:w="1210" w:type="dxa"/>
            <w:tcBorders>
              <w:top w:val="nil"/>
              <w:left w:val="nil"/>
              <w:bottom w:val="double" w:sz="6" w:space="2" w:color="auto"/>
              <w:right w:val="nil"/>
            </w:tcBorders>
            <w:vAlign w:val="bottom"/>
          </w:tcPr>
          <w:p w:rsidR="00FD5242" w:rsidRPr="00152986" w:rsidRDefault="00FD5242" w:rsidP="0077650E">
            <w:pPr>
              <w:autoSpaceDE w:val="0"/>
              <w:autoSpaceDN w:val="0"/>
              <w:adjustRightInd w:val="0"/>
              <w:spacing w:after="0" w:line="240" w:lineRule="auto"/>
              <w:jc w:val="both"/>
              <w:rPr>
                <w:rFonts w:cs="Arial"/>
                <w:color w:val="000000"/>
              </w:rPr>
            </w:pPr>
          </w:p>
        </w:tc>
        <w:tc>
          <w:tcPr>
            <w:tcW w:w="1211" w:type="dxa"/>
            <w:tcBorders>
              <w:top w:val="nil"/>
              <w:left w:val="nil"/>
              <w:bottom w:val="double" w:sz="6" w:space="2" w:color="auto"/>
              <w:right w:val="nil"/>
            </w:tcBorders>
            <w:vAlign w:val="bottom"/>
          </w:tcPr>
          <w:p w:rsidR="00FD5242" w:rsidRPr="00152986" w:rsidRDefault="00FD5242" w:rsidP="0077650E">
            <w:pPr>
              <w:autoSpaceDE w:val="0"/>
              <w:autoSpaceDN w:val="0"/>
              <w:adjustRightInd w:val="0"/>
              <w:spacing w:after="0" w:line="240" w:lineRule="auto"/>
              <w:jc w:val="both"/>
              <w:rPr>
                <w:rFonts w:cs="Arial"/>
                <w:color w:val="000000"/>
              </w:rPr>
            </w:pPr>
          </w:p>
        </w:tc>
        <w:tc>
          <w:tcPr>
            <w:tcW w:w="1279" w:type="dxa"/>
            <w:tcBorders>
              <w:top w:val="nil"/>
              <w:left w:val="nil"/>
              <w:bottom w:val="double" w:sz="6" w:space="2" w:color="auto"/>
              <w:right w:val="double" w:sz="4" w:space="0" w:color="auto"/>
            </w:tcBorders>
            <w:vAlign w:val="bottom"/>
          </w:tcPr>
          <w:p w:rsidR="00FD5242" w:rsidRPr="00152986" w:rsidRDefault="00FD5242" w:rsidP="0077650E">
            <w:pPr>
              <w:autoSpaceDE w:val="0"/>
              <w:autoSpaceDN w:val="0"/>
              <w:adjustRightInd w:val="0"/>
              <w:spacing w:after="0" w:line="240" w:lineRule="auto"/>
              <w:jc w:val="both"/>
              <w:rPr>
                <w:rFonts w:cs="Arial"/>
                <w:color w:val="000000"/>
              </w:rPr>
            </w:pPr>
          </w:p>
        </w:tc>
      </w:tr>
      <w:tr w:rsidR="00FD5242" w:rsidRPr="00152986" w:rsidTr="00152986">
        <w:trPr>
          <w:trHeight w:hRule="exact" w:val="139"/>
        </w:trPr>
        <w:tc>
          <w:tcPr>
            <w:tcW w:w="3261" w:type="dxa"/>
            <w:tcBorders>
              <w:top w:val="nil"/>
              <w:left w:val="double" w:sz="4" w:space="0" w:color="auto"/>
              <w:bottom w:val="nil"/>
              <w:right w:val="nil"/>
            </w:tcBorders>
            <w:vAlign w:val="bottom"/>
          </w:tcPr>
          <w:p w:rsidR="00FD5242" w:rsidRPr="00152986" w:rsidRDefault="00FD5242" w:rsidP="0077650E">
            <w:pPr>
              <w:autoSpaceDE w:val="0"/>
              <w:autoSpaceDN w:val="0"/>
              <w:adjustRightInd w:val="0"/>
              <w:spacing w:after="0" w:line="240" w:lineRule="auto"/>
              <w:jc w:val="center"/>
              <w:rPr>
                <w:rFonts w:cs="Arial"/>
                <w:color w:val="000000"/>
              </w:rPr>
            </w:pPr>
          </w:p>
        </w:tc>
        <w:tc>
          <w:tcPr>
            <w:tcW w:w="1403" w:type="dxa"/>
            <w:tcBorders>
              <w:top w:val="nil"/>
              <w:left w:val="nil"/>
              <w:bottom w:val="nil"/>
              <w:right w:val="nil"/>
            </w:tcBorders>
            <w:vAlign w:val="bottom"/>
          </w:tcPr>
          <w:p w:rsidR="00FD5242" w:rsidRPr="00152986" w:rsidRDefault="00FD5242" w:rsidP="0077650E">
            <w:pPr>
              <w:autoSpaceDE w:val="0"/>
              <w:autoSpaceDN w:val="0"/>
              <w:adjustRightInd w:val="0"/>
              <w:spacing w:after="0" w:line="240" w:lineRule="auto"/>
              <w:jc w:val="both"/>
              <w:rPr>
                <w:rFonts w:cs="Arial"/>
                <w:color w:val="000000"/>
              </w:rPr>
            </w:pPr>
          </w:p>
        </w:tc>
        <w:tc>
          <w:tcPr>
            <w:tcW w:w="1210" w:type="dxa"/>
            <w:tcBorders>
              <w:top w:val="nil"/>
              <w:left w:val="nil"/>
              <w:bottom w:val="nil"/>
              <w:right w:val="nil"/>
            </w:tcBorders>
            <w:vAlign w:val="bottom"/>
          </w:tcPr>
          <w:p w:rsidR="00FD5242" w:rsidRPr="00152986" w:rsidRDefault="00FD5242" w:rsidP="0077650E">
            <w:pPr>
              <w:autoSpaceDE w:val="0"/>
              <w:autoSpaceDN w:val="0"/>
              <w:adjustRightInd w:val="0"/>
              <w:spacing w:after="0" w:line="240" w:lineRule="auto"/>
              <w:jc w:val="both"/>
              <w:rPr>
                <w:rFonts w:cs="Arial"/>
                <w:color w:val="000000"/>
              </w:rPr>
            </w:pPr>
          </w:p>
        </w:tc>
        <w:tc>
          <w:tcPr>
            <w:tcW w:w="1211" w:type="dxa"/>
            <w:tcBorders>
              <w:top w:val="nil"/>
              <w:left w:val="nil"/>
              <w:bottom w:val="nil"/>
              <w:right w:val="nil"/>
            </w:tcBorders>
            <w:vAlign w:val="bottom"/>
          </w:tcPr>
          <w:p w:rsidR="00FD5242" w:rsidRPr="00152986" w:rsidRDefault="00FD5242" w:rsidP="0077650E">
            <w:pPr>
              <w:autoSpaceDE w:val="0"/>
              <w:autoSpaceDN w:val="0"/>
              <w:adjustRightInd w:val="0"/>
              <w:spacing w:after="0" w:line="240" w:lineRule="auto"/>
              <w:jc w:val="both"/>
              <w:rPr>
                <w:rFonts w:cs="Arial"/>
                <w:color w:val="000000"/>
              </w:rPr>
            </w:pPr>
          </w:p>
        </w:tc>
        <w:tc>
          <w:tcPr>
            <w:tcW w:w="1279" w:type="dxa"/>
            <w:tcBorders>
              <w:top w:val="nil"/>
              <w:left w:val="nil"/>
              <w:bottom w:val="nil"/>
              <w:right w:val="double" w:sz="4" w:space="0" w:color="auto"/>
            </w:tcBorders>
            <w:vAlign w:val="bottom"/>
          </w:tcPr>
          <w:p w:rsidR="00FD5242" w:rsidRPr="00152986" w:rsidRDefault="00FD5242" w:rsidP="0077650E">
            <w:pPr>
              <w:autoSpaceDE w:val="0"/>
              <w:autoSpaceDN w:val="0"/>
              <w:adjustRightInd w:val="0"/>
              <w:spacing w:after="0" w:line="240" w:lineRule="auto"/>
              <w:jc w:val="both"/>
              <w:rPr>
                <w:rFonts w:cs="Arial"/>
                <w:color w:val="000000"/>
              </w:rPr>
            </w:pPr>
          </w:p>
        </w:tc>
      </w:tr>
      <w:tr w:rsidR="00FD5242" w:rsidRPr="00152986" w:rsidTr="00152986">
        <w:trPr>
          <w:trHeight w:val="231"/>
        </w:trPr>
        <w:tc>
          <w:tcPr>
            <w:tcW w:w="3261" w:type="dxa"/>
            <w:tcBorders>
              <w:top w:val="nil"/>
              <w:left w:val="double" w:sz="4" w:space="0" w:color="auto"/>
              <w:bottom w:val="nil"/>
              <w:right w:val="nil"/>
            </w:tcBorders>
            <w:vAlign w:val="bottom"/>
          </w:tcPr>
          <w:p w:rsidR="00FD5242" w:rsidRPr="00152986" w:rsidRDefault="00FD5242" w:rsidP="0077650E">
            <w:pPr>
              <w:autoSpaceDE w:val="0"/>
              <w:autoSpaceDN w:val="0"/>
              <w:adjustRightInd w:val="0"/>
              <w:spacing w:after="0" w:line="240" w:lineRule="auto"/>
              <w:jc w:val="both"/>
              <w:rPr>
                <w:rFonts w:cs="Arial"/>
                <w:color w:val="000000"/>
              </w:rPr>
            </w:pPr>
            <w:r w:rsidRPr="00152986">
              <w:rPr>
                <w:rFonts w:cs="Arial"/>
                <w:b/>
                <w:color w:val="000000"/>
              </w:rPr>
              <w:t>b</w:t>
            </w:r>
            <w:r w:rsidRPr="00152986">
              <w:rPr>
                <w:rFonts w:cs="Arial"/>
                <w:b/>
                <w:color w:val="000000"/>
                <w:vertAlign w:val="subscript"/>
              </w:rPr>
              <w:t>1</w:t>
            </w:r>
            <w:r w:rsidRPr="00152986">
              <w:rPr>
                <w:rFonts w:cs="Arial"/>
                <w:color w:val="000000"/>
              </w:rPr>
              <w:t xml:space="preserve"> (conservatism dummy-CSV)</w:t>
            </w:r>
          </w:p>
        </w:tc>
        <w:tc>
          <w:tcPr>
            <w:tcW w:w="1403" w:type="dxa"/>
            <w:tcBorders>
              <w:top w:val="nil"/>
              <w:left w:val="nil"/>
              <w:bottom w:val="nil"/>
              <w:right w:val="nil"/>
            </w:tcBorders>
            <w:vAlign w:val="bottom"/>
          </w:tcPr>
          <w:p w:rsidR="00FD5242" w:rsidRPr="00152986" w:rsidRDefault="00FD5242" w:rsidP="0077650E">
            <w:pPr>
              <w:autoSpaceDE w:val="0"/>
              <w:autoSpaceDN w:val="0"/>
              <w:adjustRightInd w:val="0"/>
              <w:spacing w:after="0" w:line="240" w:lineRule="auto"/>
              <w:ind w:right="10"/>
              <w:jc w:val="both"/>
              <w:rPr>
                <w:rFonts w:cs="Arial"/>
                <w:color w:val="000000"/>
              </w:rPr>
            </w:pPr>
            <w:r w:rsidRPr="00152986">
              <w:rPr>
                <w:rFonts w:cs="Arial"/>
                <w:color w:val="000000"/>
              </w:rPr>
              <w:t>0.129445</w:t>
            </w:r>
          </w:p>
        </w:tc>
        <w:tc>
          <w:tcPr>
            <w:tcW w:w="1210" w:type="dxa"/>
            <w:tcBorders>
              <w:top w:val="nil"/>
              <w:left w:val="nil"/>
              <w:bottom w:val="nil"/>
              <w:right w:val="nil"/>
            </w:tcBorders>
            <w:vAlign w:val="bottom"/>
          </w:tcPr>
          <w:p w:rsidR="00FD5242" w:rsidRPr="00152986" w:rsidRDefault="00FD5242" w:rsidP="0077650E">
            <w:pPr>
              <w:autoSpaceDE w:val="0"/>
              <w:autoSpaceDN w:val="0"/>
              <w:adjustRightInd w:val="0"/>
              <w:spacing w:after="0" w:line="240" w:lineRule="auto"/>
              <w:ind w:right="10"/>
              <w:jc w:val="both"/>
              <w:rPr>
                <w:rFonts w:cs="Arial"/>
                <w:color w:val="000000"/>
              </w:rPr>
            </w:pPr>
            <w:r w:rsidRPr="00152986">
              <w:rPr>
                <w:rFonts w:cs="Arial"/>
                <w:color w:val="000000"/>
              </w:rPr>
              <w:t>0.435818</w:t>
            </w:r>
          </w:p>
        </w:tc>
        <w:tc>
          <w:tcPr>
            <w:tcW w:w="1211" w:type="dxa"/>
            <w:tcBorders>
              <w:top w:val="nil"/>
              <w:left w:val="nil"/>
              <w:bottom w:val="nil"/>
              <w:right w:val="nil"/>
            </w:tcBorders>
            <w:vAlign w:val="bottom"/>
          </w:tcPr>
          <w:p w:rsidR="00FD5242" w:rsidRPr="00152986" w:rsidRDefault="00FD5242" w:rsidP="0077650E">
            <w:pPr>
              <w:autoSpaceDE w:val="0"/>
              <w:autoSpaceDN w:val="0"/>
              <w:adjustRightInd w:val="0"/>
              <w:spacing w:after="0" w:line="240" w:lineRule="auto"/>
              <w:ind w:right="10"/>
              <w:jc w:val="both"/>
              <w:rPr>
                <w:rFonts w:cs="Arial"/>
                <w:color w:val="000000"/>
              </w:rPr>
            </w:pPr>
            <w:r w:rsidRPr="00152986">
              <w:rPr>
                <w:rFonts w:cs="Arial"/>
                <w:color w:val="000000"/>
              </w:rPr>
              <w:t>0.297015</w:t>
            </w:r>
          </w:p>
        </w:tc>
        <w:tc>
          <w:tcPr>
            <w:tcW w:w="1279" w:type="dxa"/>
            <w:tcBorders>
              <w:top w:val="nil"/>
              <w:left w:val="nil"/>
              <w:bottom w:val="nil"/>
              <w:right w:val="double" w:sz="4" w:space="0" w:color="auto"/>
            </w:tcBorders>
            <w:vAlign w:val="bottom"/>
          </w:tcPr>
          <w:p w:rsidR="00FD5242" w:rsidRPr="00152986" w:rsidRDefault="00FD5242" w:rsidP="0077650E">
            <w:pPr>
              <w:autoSpaceDE w:val="0"/>
              <w:autoSpaceDN w:val="0"/>
              <w:adjustRightInd w:val="0"/>
              <w:spacing w:after="0" w:line="240" w:lineRule="auto"/>
              <w:ind w:right="10"/>
              <w:jc w:val="both"/>
              <w:rPr>
                <w:rFonts w:cs="Arial"/>
                <w:color w:val="000000"/>
              </w:rPr>
            </w:pPr>
            <w:r w:rsidRPr="00152986">
              <w:rPr>
                <w:rFonts w:cs="Arial"/>
                <w:color w:val="000000"/>
              </w:rPr>
              <w:t>0.7672</w:t>
            </w:r>
          </w:p>
        </w:tc>
      </w:tr>
      <w:tr w:rsidR="00FD5242" w:rsidRPr="00152986" w:rsidTr="00152986">
        <w:trPr>
          <w:trHeight w:val="231"/>
        </w:trPr>
        <w:tc>
          <w:tcPr>
            <w:tcW w:w="3261" w:type="dxa"/>
            <w:tcBorders>
              <w:top w:val="nil"/>
              <w:left w:val="double" w:sz="4" w:space="0" w:color="auto"/>
              <w:bottom w:val="nil"/>
              <w:right w:val="nil"/>
            </w:tcBorders>
            <w:vAlign w:val="bottom"/>
          </w:tcPr>
          <w:p w:rsidR="00FD5242" w:rsidRPr="00152986" w:rsidRDefault="00FD5242" w:rsidP="0077650E">
            <w:pPr>
              <w:autoSpaceDE w:val="0"/>
              <w:autoSpaceDN w:val="0"/>
              <w:adjustRightInd w:val="0"/>
              <w:spacing w:after="0" w:line="240" w:lineRule="auto"/>
              <w:jc w:val="both"/>
              <w:rPr>
                <w:rFonts w:cs="Arial"/>
                <w:color w:val="000000"/>
              </w:rPr>
            </w:pPr>
            <w:r w:rsidRPr="00152986">
              <w:rPr>
                <w:rFonts w:cs="Arial"/>
                <w:b/>
                <w:color w:val="000000"/>
              </w:rPr>
              <w:t>b</w:t>
            </w:r>
            <w:r w:rsidRPr="00152986">
              <w:rPr>
                <w:rFonts w:cs="Arial"/>
                <w:b/>
                <w:color w:val="000000"/>
                <w:vertAlign w:val="subscript"/>
              </w:rPr>
              <w:t xml:space="preserve">2 </w:t>
            </w:r>
            <w:r w:rsidRPr="00152986">
              <w:rPr>
                <w:rFonts w:cs="Arial"/>
                <w:color w:val="000000"/>
                <w:vertAlign w:val="subscript"/>
              </w:rPr>
              <w:t xml:space="preserve"> </w:t>
            </w:r>
            <w:r w:rsidRPr="00152986">
              <w:rPr>
                <w:rFonts w:cs="Arial"/>
                <w:color w:val="000000"/>
              </w:rPr>
              <w:t>(auditee’s size-SIZE)</w:t>
            </w:r>
          </w:p>
        </w:tc>
        <w:tc>
          <w:tcPr>
            <w:tcW w:w="1403" w:type="dxa"/>
            <w:tcBorders>
              <w:top w:val="nil"/>
              <w:left w:val="nil"/>
              <w:bottom w:val="nil"/>
              <w:right w:val="nil"/>
            </w:tcBorders>
            <w:vAlign w:val="bottom"/>
          </w:tcPr>
          <w:p w:rsidR="00FD5242" w:rsidRPr="00152986" w:rsidRDefault="00FD5242" w:rsidP="0077650E">
            <w:pPr>
              <w:autoSpaceDE w:val="0"/>
              <w:autoSpaceDN w:val="0"/>
              <w:adjustRightInd w:val="0"/>
              <w:spacing w:after="0" w:line="240" w:lineRule="auto"/>
              <w:ind w:right="10"/>
              <w:jc w:val="both"/>
              <w:rPr>
                <w:rFonts w:cs="Arial"/>
                <w:color w:val="000000"/>
              </w:rPr>
            </w:pPr>
            <w:r w:rsidRPr="00152986">
              <w:rPr>
                <w:rFonts w:cs="Arial"/>
                <w:color w:val="000000"/>
              </w:rPr>
              <w:t>0.121406</w:t>
            </w:r>
          </w:p>
        </w:tc>
        <w:tc>
          <w:tcPr>
            <w:tcW w:w="1210" w:type="dxa"/>
            <w:tcBorders>
              <w:top w:val="nil"/>
              <w:left w:val="nil"/>
              <w:bottom w:val="nil"/>
              <w:right w:val="nil"/>
            </w:tcBorders>
            <w:vAlign w:val="bottom"/>
          </w:tcPr>
          <w:p w:rsidR="00FD5242" w:rsidRPr="00152986" w:rsidRDefault="00FD5242" w:rsidP="0077650E">
            <w:pPr>
              <w:autoSpaceDE w:val="0"/>
              <w:autoSpaceDN w:val="0"/>
              <w:adjustRightInd w:val="0"/>
              <w:spacing w:after="0" w:line="240" w:lineRule="auto"/>
              <w:ind w:right="10"/>
              <w:jc w:val="both"/>
              <w:rPr>
                <w:rFonts w:cs="Arial"/>
                <w:color w:val="000000"/>
              </w:rPr>
            </w:pPr>
            <w:r w:rsidRPr="00152986">
              <w:rPr>
                <w:rFonts w:cs="Arial"/>
                <w:color w:val="000000"/>
              </w:rPr>
              <w:t>0.103419</w:t>
            </w:r>
          </w:p>
        </w:tc>
        <w:tc>
          <w:tcPr>
            <w:tcW w:w="1211" w:type="dxa"/>
            <w:tcBorders>
              <w:top w:val="nil"/>
              <w:left w:val="nil"/>
              <w:bottom w:val="nil"/>
              <w:right w:val="nil"/>
            </w:tcBorders>
            <w:vAlign w:val="bottom"/>
          </w:tcPr>
          <w:p w:rsidR="00FD5242" w:rsidRPr="00152986" w:rsidRDefault="00FD5242" w:rsidP="0077650E">
            <w:pPr>
              <w:autoSpaceDE w:val="0"/>
              <w:autoSpaceDN w:val="0"/>
              <w:adjustRightInd w:val="0"/>
              <w:spacing w:after="0" w:line="240" w:lineRule="auto"/>
              <w:ind w:right="10"/>
              <w:jc w:val="both"/>
              <w:rPr>
                <w:rFonts w:cs="Arial"/>
                <w:color w:val="000000"/>
              </w:rPr>
            </w:pPr>
            <w:r w:rsidRPr="00152986">
              <w:rPr>
                <w:rFonts w:cs="Arial"/>
                <w:color w:val="000000"/>
              </w:rPr>
              <w:t>1.173919</w:t>
            </w:r>
          </w:p>
        </w:tc>
        <w:tc>
          <w:tcPr>
            <w:tcW w:w="1279" w:type="dxa"/>
            <w:tcBorders>
              <w:top w:val="nil"/>
              <w:left w:val="nil"/>
              <w:bottom w:val="nil"/>
              <w:right w:val="double" w:sz="4" w:space="0" w:color="auto"/>
            </w:tcBorders>
            <w:vAlign w:val="bottom"/>
          </w:tcPr>
          <w:p w:rsidR="00FD5242" w:rsidRPr="00152986" w:rsidRDefault="00FD5242" w:rsidP="0077650E">
            <w:pPr>
              <w:autoSpaceDE w:val="0"/>
              <w:autoSpaceDN w:val="0"/>
              <w:adjustRightInd w:val="0"/>
              <w:spacing w:after="0" w:line="240" w:lineRule="auto"/>
              <w:ind w:right="10"/>
              <w:jc w:val="both"/>
              <w:rPr>
                <w:rFonts w:cs="Arial"/>
                <w:color w:val="000000"/>
              </w:rPr>
            </w:pPr>
            <w:r w:rsidRPr="00152986">
              <w:rPr>
                <w:rFonts w:cs="Arial"/>
                <w:color w:val="000000"/>
              </w:rPr>
              <w:t>0.2438</w:t>
            </w:r>
          </w:p>
        </w:tc>
      </w:tr>
      <w:tr w:rsidR="00FD5242" w:rsidRPr="00152986" w:rsidTr="00152986">
        <w:trPr>
          <w:trHeight w:val="231"/>
        </w:trPr>
        <w:tc>
          <w:tcPr>
            <w:tcW w:w="3261" w:type="dxa"/>
            <w:tcBorders>
              <w:top w:val="nil"/>
              <w:left w:val="double" w:sz="4" w:space="0" w:color="auto"/>
              <w:bottom w:val="nil"/>
              <w:right w:val="nil"/>
            </w:tcBorders>
            <w:vAlign w:val="bottom"/>
          </w:tcPr>
          <w:p w:rsidR="00FD5242" w:rsidRPr="00152986" w:rsidRDefault="00FD5242" w:rsidP="0077650E">
            <w:pPr>
              <w:autoSpaceDE w:val="0"/>
              <w:autoSpaceDN w:val="0"/>
              <w:adjustRightInd w:val="0"/>
              <w:spacing w:after="0" w:line="240" w:lineRule="auto"/>
              <w:jc w:val="both"/>
              <w:rPr>
                <w:rFonts w:cs="Arial"/>
                <w:color w:val="000000"/>
              </w:rPr>
            </w:pPr>
            <w:r w:rsidRPr="00152986">
              <w:rPr>
                <w:rFonts w:cs="Arial"/>
                <w:b/>
                <w:color w:val="000000"/>
              </w:rPr>
              <w:t>b</w:t>
            </w:r>
            <w:r w:rsidRPr="00152986">
              <w:rPr>
                <w:rFonts w:cs="Arial"/>
                <w:b/>
                <w:color w:val="000000"/>
                <w:vertAlign w:val="subscript"/>
              </w:rPr>
              <w:t>3</w:t>
            </w:r>
            <w:r w:rsidRPr="00152986">
              <w:rPr>
                <w:rFonts w:cs="Arial"/>
                <w:color w:val="000000"/>
                <w:vertAlign w:val="subscript"/>
              </w:rPr>
              <w:t xml:space="preserve">  </w:t>
            </w:r>
            <w:r w:rsidRPr="00152986">
              <w:rPr>
                <w:rFonts w:cs="Arial"/>
                <w:color w:val="000000"/>
              </w:rPr>
              <w:t>(quick ratio-QR)</w:t>
            </w:r>
          </w:p>
        </w:tc>
        <w:tc>
          <w:tcPr>
            <w:tcW w:w="1403" w:type="dxa"/>
            <w:tcBorders>
              <w:top w:val="nil"/>
              <w:left w:val="nil"/>
              <w:bottom w:val="nil"/>
              <w:right w:val="nil"/>
            </w:tcBorders>
            <w:vAlign w:val="bottom"/>
          </w:tcPr>
          <w:p w:rsidR="00FD5242" w:rsidRPr="00152986" w:rsidRDefault="00FD5242" w:rsidP="0077650E">
            <w:pPr>
              <w:autoSpaceDE w:val="0"/>
              <w:autoSpaceDN w:val="0"/>
              <w:adjustRightInd w:val="0"/>
              <w:spacing w:after="0" w:line="240" w:lineRule="auto"/>
              <w:ind w:right="10"/>
              <w:jc w:val="both"/>
              <w:rPr>
                <w:rFonts w:cs="Arial"/>
                <w:color w:val="000000"/>
              </w:rPr>
            </w:pPr>
            <w:r w:rsidRPr="00152986">
              <w:rPr>
                <w:rFonts w:cs="Arial"/>
                <w:color w:val="000000"/>
              </w:rPr>
              <w:t>-0.160031***</w:t>
            </w:r>
          </w:p>
        </w:tc>
        <w:tc>
          <w:tcPr>
            <w:tcW w:w="1210" w:type="dxa"/>
            <w:tcBorders>
              <w:top w:val="nil"/>
              <w:left w:val="nil"/>
              <w:bottom w:val="nil"/>
              <w:right w:val="nil"/>
            </w:tcBorders>
            <w:vAlign w:val="bottom"/>
          </w:tcPr>
          <w:p w:rsidR="00FD5242" w:rsidRPr="00152986" w:rsidRDefault="00FD5242" w:rsidP="0077650E">
            <w:pPr>
              <w:autoSpaceDE w:val="0"/>
              <w:autoSpaceDN w:val="0"/>
              <w:adjustRightInd w:val="0"/>
              <w:spacing w:after="0" w:line="240" w:lineRule="auto"/>
              <w:ind w:right="10"/>
              <w:jc w:val="both"/>
              <w:rPr>
                <w:rFonts w:cs="Arial"/>
                <w:color w:val="000000"/>
              </w:rPr>
            </w:pPr>
            <w:r w:rsidRPr="00152986">
              <w:rPr>
                <w:rFonts w:cs="Arial"/>
                <w:color w:val="000000"/>
              </w:rPr>
              <w:t>0.090709</w:t>
            </w:r>
          </w:p>
        </w:tc>
        <w:tc>
          <w:tcPr>
            <w:tcW w:w="1211" w:type="dxa"/>
            <w:tcBorders>
              <w:top w:val="nil"/>
              <w:left w:val="nil"/>
              <w:bottom w:val="nil"/>
              <w:right w:val="nil"/>
            </w:tcBorders>
            <w:vAlign w:val="bottom"/>
          </w:tcPr>
          <w:p w:rsidR="00FD5242" w:rsidRPr="00152986" w:rsidRDefault="00FD5242" w:rsidP="0077650E">
            <w:pPr>
              <w:autoSpaceDE w:val="0"/>
              <w:autoSpaceDN w:val="0"/>
              <w:adjustRightInd w:val="0"/>
              <w:spacing w:after="0" w:line="240" w:lineRule="auto"/>
              <w:ind w:right="10"/>
              <w:jc w:val="both"/>
              <w:rPr>
                <w:rFonts w:cs="Arial"/>
                <w:color w:val="000000"/>
              </w:rPr>
            </w:pPr>
            <w:r w:rsidRPr="00152986">
              <w:rPr>
                <w:rFonts w:cs="Arial"/>
                <w:color w:val="000000"/>
              </w:rPr>
              <w:t>-1.764222</w:t>
            </w:r>
          </w:p>
        </w:tc>
        <w:tc>
          <w:tcPr>
            <w:tcW w:w="1279" w:type="dxa"/>
            <w:tcBorders>
              <w:top w:val="nil"/>
              <w:left w:val="nil"/>
              <w:bottom w:val="nil"/>
              <w:right w:val="double" w:sz="4" w:space="0" w:color="auto"/>
            </w:tcBorders>
            <w:vAlign w:val="bottom"/>
          </w:tcPr>
          <w:p w:rsidR="00FD5242" w:rsidRPr="00152986" w:rsidRDefault="00FD5242" w:rsidP="0077650E">
            <w:pPr>
              <w:autoSpaceDE w:val="0"/>
              <w:autoSpaceDN w:val="0"/>
              <w:adjustRightInd w:val="0"/>
              <w:spacing w:after="0" w:line="240" w:lineRule="auto"/>
              <w:ind w:right="10"/>
              <w:jc w:val="both"/>
              <w:rPr>
                <w:rFonts w:cs="Arial"/>
                <w:color w:val="000000"/>
              </w:rPr>
            </w:pPr>
            <w:r w:rsidRPr="00152986">
              <w:rPr>
                <w:rFonts w:cs="Arial"/>
                <w:color w:val="000000"/>
              </w:rPr>
              <w:t>0.0814</w:t>
            </w:r>
          </w:p>
        </w:tc>
      </w:tr>
      <w:tr w:rsidR="00FD5242" w:rsidRPr="00152986" w:rsidTr="00152986">
        <w:trPr>
          <w:trHeight w:val="231"/>
        </w:trPr>
        <w:tc>
          <w:tcPr>
            <w:tcW w:w="3261" w:type="dxa"/>
            <w:tcBorders>
              <w:top w:val="nil"/>
              <w:left w:val="double" w:sz="4" w:space="0" w:color="auto"/>
              <w:bottom w:val="nil"/>
              <w:right w:val="nil"/>
            </w:tcBorders>
            <w:vAlign w:val="bottom"/>
          </w:tcPr>
          <w:p w:rsidR="00FD5242" w:rsidRPr="00152986" w:rsidRDefault="00FD5242" w:rsidP="0077650E">
            <w:pPr>
              <w:autoSpaceDE w:val="0"/>
              <w:autoSpaceDN w:val="0"/>
              <w:adjustRightInd w:val="0"/>
              <w:spacing w:after="0" w:line="240" w:lineRule="auto"/>
              <w:jc w:val="both"/>
              <w:rPr>
                <w:rFonts w:cs="Arial"/>
                <w:color w:val="000000"/>
                <w:lang w:val="en-US"/>
              </w:rPr>
            </w:pPr>
            <w:r w:rsidRPr="00152986">
              <w:rPr>
                <w:rFonts w:cs="Arial"/>
                <w:b/>
                <w:color w:val="000000"/>
                <w:lang w:val="en-US"/>
              </w:rPr>
              <w:t>b</w:t>
            </w:r>
            <w:r w:rsidRPr="00152986">
              <w:rPr>
                <w:rFonts w:cs="Arial"/>
                <w:b/>
                <w:color w:val="000000"/>
                <w:vertAlign w:val="subscript"/>
                <w:lang w:val="en-US"/>
              </w:rPr>
              <w:t>4</w:t>
            </w:r>
            <w:r w:rsidRPr="00152986">
              <w:rPr>
                <w:rFonts w:cs="Arial"/>
                <w:color w:val="000000"/>
                <w:lang w:val="en-US"/>
              </w:rPr>
              <w:t xml:space="preserve"> (debt/equity ratio-LEV)</w:t>
            </w:r>
          </w:p>
        </w:tc>
        <w:tc>
          <w:tcPr>
            <w:tcW w:w="1403" w:type="dxa"/>
            <w:tcBorders>
              <w:top w:val="nil"/>
              <w:left w:val="nil"/>
              <w:bottom w:val="nil"/>
              <w:right w:val="nil"/>
            </w:tcBorders>
            <w:vAlign w:val="bottom"/>
          </w:tcPr>
          <w:p w:rsidR="00FD5242" w:rsidRPr="00152986" w:rsidRDefault="00FD5242" w:rsidP="0077650E">
            <w:pPr>
              <w:autoSpaceDE w:val="0"/>
              <w:autoSpaceDN w:val="0"/>
              <w:adjustRightInd w:val="0"/>
              <w:spacing w:after="0" w:line="240" w:lineRule="auto"/>
              <w:ind w:right="10"/>
              <w:jc w:val="both"/>
              <w:rPr>
                <w:rFonts w:cs="Arial"/>
                <w:color w:val="000000"/>
              </w:rPr>
            </w:pPr>
            <w:r w:rsidRPr="00152986">
              <w:rPr>
                <w:rFonts w:cs="Arial"/>
                <w:color w:val="000000"/>
              </w:rPr>
              <w:t>-0.238801*</w:t>
            </w:r>
          </w:p>
        </w:tc>
        <w:tc>
          <w:tcPr>
            <w:tcW w:w="1210" w:type="dxa"/>
            <w:tcBorders>
              <w:top w:val="nil"/>
              <w:left w:val="nil"/>
              <w:bottom w:val="nil"/>
              <w:right w:val="nil"/>
            </w:tcBorders>
            <w:vAlign w:val="bottom"/>
          </w:tcPr>
          <w:p w:rsidR="00FD5242" w:rsidRPr="00152986" w:rsidRDefault="00FD5242" w:rsidP="0077650E">
            <w:pPr>
              <w:autoSpaceDE w:val="0"/>
              <w:autoSpaceDN w:val="0"/>
              <w:adjustRightInd w:val="0"/>
              <w:spacing w:after="0" w:line="240" w:lineRule="auto"/>
              <w:ind w:right="10"/>
              <w:jc w:val="both"/>
              <w:rPr>
                <w:rFonts w:cs="Arial"/>
                <w:color w:val="000000"/>
              </w:rPr>
            </w:pPr>
            <w:r w:rsidRPr="00152986">
              <w:rPr>
                <w:rFonts w:cs="Arial"/>
                <w:color w:val="000000"/>
              </w:rPr>
              <w:t>0.090662</w:t>
            </w:r>
          </w:p>
        </w:tc>
        <w:tc>
          <w:tcPr>
            <w:tcW w:w="1211" w:type="dxa"/>
            <w:tcBorders>
              <w:top w:val="nil"/>
              <w:left w:val="nil"/>
              <w:bottom w:val="nil"/>
              <w:right w:val="nil"/>
            </w:tcBorders>
            <w:vAlign w:val="bottom"/>
          </w:tcPr>
          <w:p w:rsidR="00FD5242" w:rsidRPr="00152986" w:rsidRDefault="00FD5242" w:rsidP="0077650E">
            <w:pPr>
              <w:autoSpaceDE w:val="0"/>
              <w:autoSpaceDN w:val="0"/>
              <w:adjustRightInd w:val="0"/>
              <w:spacing w:after="0" w:line="240" w:lineRule="auto"/>
              <w:ind w:right="10"/>
              <w:jc w:val="both"/>
              <w:rPr>
                <w:rFonts w:cs="Arial"/>
                <w:color w:val="000000"/>
              </w:rPr>
            </w:pPr>
            <w:r w:rsidRPr="00152986">
              <w:rPr>
                <w:rFonts w:cs="Arial"/>
                <w:color w:val="000000"/>
              </w:rPr>
              <w:t>-2.633954</w:t>
            </w:r>
          </w:p>
        </w:tc>
        <w:tc>
          <w:tcPr>
            <w:tcW w:w="1279" w:type="dxa"/>
            <w:tcBorders>
              <w:top w:val="nil"/>
              <w:left w:val="nil"/>
              <w:bottom w:val="nil"/>
              <w:right w:val="double" w:sz="4" w:space="0" w:color="auto"/>
            </w:tcBorders>
            <w:vAlign w:val="bottom"/>
          </w:tcPr>
          <w:p w:rsidR="00FD5242" w:rsidRPr="00152986" w:rsidRDefault="00FD5242" w:rsidP="0077650E">
            <w:pPr>
              <w:autoSpaceDE w:val="0"/>
              <w:autoSpaceDN w:val="0"/>
              <w:adjustRightInd w:val="0"/>
              <w:spacing w:after="0" w:line="240" w:lineRule="auto"/>
              <w:ind w:right="10"/>
              <w:jc w:val="both"/>
              <w:rPr>
                <w:rFonts w:cs="Arial"/>
                <w:color w:val="000000"/>
              </w:rPr>
            </w:pPr>
            <w:r w:rsidRPr="00152986">
              <w:rPr>
                <w:rFonts w:cs="Arial"/>
                <w:color w:val="000000"/>
              </w:rPr>
              <w:t>0.01</w:t>
            </w:r>
          </w:p>
        </w:tc>
      </w:tr>
      <w:tr w:rsidR="00FD5242" w:rsidRPr="00152986" w:rsidTr="00152986">
        <w:trPr>
          <w:trHeight w:val="231"/>
        </w:trPr>
        <w:tc>
          <w:tcPr>
            <w:tcW w:w="3261" w:type="dxa"/>
            <w:tcBorders>
              <w:top w:val="nil"/>
              <w:left w:val="double" w:sz="4" w:space="0" w:color="auto"/>
              <w:bottom w:val="nil"/>
              <w:right w:val="nil"/>
            </w:tcBorders>
            <w:vAlign w:val="bottom"/>
          </w:tcPr>
          <w:p w:rsidR="00FD5242" w:rsidRPr="00152986" w:rsidRDefault="00FD5242" w:rsidP="0077650E">
            <w:pPr>
              <w:autoSpaceDE w:val="0"/>
              <w:autoSpaceDN w:val="0"/>
              <w:adjustRightInd w:val="0"/>
              <w:spacing w:after="0" w:line="240" w:lineRule="auto"/>
              <w:jc w:val="both"/>
              <w:rPr>
                <w:rFonts w:cs="Arial"/>
                <w:color w:val="000000"/>
              </w:rPr>
            </w:pPr>
            <w:r w:rsidRPr="00152986">
              <w:rPr>
                <w:rFonts w:cs="Arial"/>
                <w:b/>
                <w:color w:val="000000"/>
              </w:rPr>
              <w:t>b</w:t>
            </w:r>
            <w:r w:rsidRPr="00152986">
              <w:rPr>
                <w:rFonts w:cs="Arial"/>
                <w:b/>
                <w:color w:val="000000"/>
                <w:vertAlign w:val="subscript"/>
              </w:rPr>
              <w:t>5</w:t>
            </w:r>
            <w:r w:rsidRPr="00152986">
              <w:rPr>
                <w:rFonts w:cs="Arial"/>
                <w:color w:val="000000"/>
              </w:rPr>
              <w:t xml:space="preserve"> (inv+rec/total assets-INVREC)</w:t>
            </w:r>
          </w:p>
        </w:tc>
        <w:tc>
          <w:tcPr>
            <w:tcW w:w="1403" w:type="dxa"/>
            <w:tcBorders>
              <w:top w:val="nil"/>
              <w:left w:val="nil"/>
              <w:bottom w:val="nil"/>
              <w:right w:val="nil"/>
            </w:tcBorders>
            <w:vAlign w:val="bottom"/>
          </w:tcPr>
          <w:p w:rsidR="00FD5242" w:rsidRPr="00152986" w:rsidRDefault="00FD5242" w:rsidP="0077650E">
            <w:pPr>
              <w:autoSpaceDE w:val="0"/>
              <w:autoSpaceDN w:val="0"/>
              <w:adjustRightInd w:val="0"/>
              <w:spacing w:after="0" w:line="240" w:lineRule="auto"/>
              <w:ind w:right="10"/>
              <w:jc w:val="both"/>
              <w:rPr>
                <w:rFonts w:cs="Arial"/>
                <w:color w:val="000000"/>
              </w:rPr>
            </w:pPr>
            <w:r w:rsidRPr="00152986">
              <w:rPr>
                <w:rFonts w:cs="Arial"/>
                <w:color w:val="000000"/>
              </w:rPr>
              <w:t>-0.061332</w:t>
            </w:r>
          </w:p>
        </w:tc>
        <w:tc>
          <w:tcPr>
            <w:tcW w:w="1210" w:type="dxa"/>
            <w:tcBorders>
              <w:top w:val="nil"/>
              <w:left w:val="nil"/>
              <w:bottom w:val="nil"/>
              <w:right w:val="nil"/>
            </w:tcBorders>
            <w:vAlign w:val="bottom"/>
          </w:tcPr>
          <w:p w:rsidR="00FD5242" w:rsidRPr="00152986" w:rsidRDefault="00FD5242" w:rsidP="0077650E">
            <w:pPr>
              <w:autoSpaceDE w:val="0"/>
              <w:autoSpaceDN w:val="0"/>
              <w:adjustRightInd w:val="0"/>
              <w:spacing w:after="0" w:line="240" w:lineRule="auto"/>
              <w:ind w:right="10"/>
              <w:jc w:val="both"/>
              <w:rPr>
                <w:rFonts w:cs="Arial"/>
                <w:color w:val="000000"/>
              </w:rPr>
            </w:pPr>
            <w:r w:rsidRPr="00152986">
              <w:rPr>
                <w:rFonts w:cs="Arial"/>
                <w:color w:val="000000"/>
              </w:rPr>
              <w:t>0.168829</w:t>
            </w:r>
          </w:p>
        </w:tc>
        <w:tc>
          <w:tcPr>
            <w:tcW w:w="1211" w:type="dxa"/>
            <w:tcBorders>
              <w:top w:val="nil"/>
              <w:left w:val="nil"/>
              <w:bottom w:val="nil"/>
              <w:right w:val="nil"/>
            </w:tcBorders>
            <w:vAlign w:val="bottom"/>
          </w:tcPr>
          <w:p w:rsidR="00FD5242" w:rsidRPr="00152986" w:rsidRDefault="00FD5242" w:rsidP="0077650E">
            <w:pPr>
              <w:autoSpaceDE w:val="0"/>
              <w:autoSpaceDN w:val="0"/>
              <w:adjustRightInd w:val="0"/>
              <w:spacing w:after="0" w:line="240" w:lineRule="auto"/>
              <w:ind w:right="10"/>
              <w:jc w:val="both"/>
              <w:rPr>
                <w:rFonts w:cs="Arial"/>
                <w:color w:val="000000"/>
              </w:rPr>
            </w:pPr>
            <w:r w:rsidRPr="00152986">
              <w:rPr>
                <w:rFonts w:cs="Arial"/>
                <w:color w:val="000000"/>
              </w:rPr>
              <w:t>-0.363279</w:t>
            </w:r>
          </w:p>
        </w:tc>
        <w:tc>
          <w:tcPr>
            <w:tcW w:w="1279" w:type="dxa"/>
            <w:tcBorders>
              <w:top w:val="nil"/>
              <w:left w:val="nil"/>
              <w:bottom w:val="nil"/>
              <w:right w:val="double" w:sz="4" w:space="0" w:color="auto"/>
            </w:tcBorders>
            <w:vAlign w:val="bottom"/>
          </w:tcPr>
          <w:p w:rsidR="00FD5242" w:rsidRPr="00152986" w:rsidRDefault="00FD5242" w:rsidP="0077650E">
            <w:pPr>
              <w:autoSpaceDE w:val="0"/>
              <w:autoSpaceDN w:val="0"/>
              <w:adjustRightInd w:val="0"/>
              <w:spacing w:after="0" w:line="240" w:lineRule="auto"/>
              <w:ind w:right="10"/>
              <w:jc w:val="both"/>
              <w:rPr>
                <w:rFonts w:cs="Arial"/>
                <w:color w:val="000000"/>
              </w:rPr>
            </w:pPr>
            <w:r w:rsidRPr="00152986">
              <w:rPr>
                <w:rFonts w:cs="Arial"/>
                <w:color w:val="000000"/>
              </w:rPr>
              <w:t>0.7173</w:t>
            </w:r>
          </w:p>
        </w:tc>
      </w:tr>
      <w:tr w:rsidR="00FD5242" w:rsidRPr="00152986" w:rsidTr="00152986">
        <w:trPr>
          <w:trHeight w:val="231"/>
        </w:trPr>
        <w:tc>
          <w:tcPr>
            <w:tcW w:w="3261" w:type="dxa"/>
            <w:tcBorders>
              <w:top w:val="nil"/>
              <w:left w:val="double" w:sz="4" w:space="0" w:color="auto"/>
              <w:bottom w:val="nil"/>
              <w:right w:val="nil"/>
            </w:tcBorders>
            <w:vAlign w:val="bottom"/>
          </w:tcPr>
          <w:p w:rsidR="00FD5242" w:rsidRPr="00152986" w:rsidRDefault="00FD5242" w:rsidP="0077650E">
            <w:pPr>
              <w:autoSpaceDE w:val="0"/>
              <w:autoSpaceDN w:val="0"/>
              <w:adjustRightInd w:val="0"/>
              <w:spacing w:after="0" w:line="240" w:lineRule="auto"/>
              <w:jc w:val="both"/>
              <w:rPr>
                <w:rFonts w:cs="Arial"/>
                <w:color w:val="000000"/>
                <w:lang w:val="en-US"/>
              </w:rPr>
            </w:pPr>
            <w:r w:rsidRPr="00152986">
              <w:rPr>
                <w:rFonts w:cs="Arial"/>
                <w:b/>
                <w:color w:val="000000"/>
                <w:lang w:val="en-US"/>
              </w:rPr>
              <w:t>b</w:t>
            </w:r>
            <w:r w:rsidRPr="00152986">
              <w:rPr>
                <w:rFonts w:cs="Arial"/>
                <w:b/>
                <w:color w:val="000000"/>
                <w:vertAlign w:val="subscript"/>
                <w:lang w:val="en-US"/>
              </w:rPr>
              <w:t>6</w:t>
            </w:r>
            <w:r w:rsidRPr="00152986">
              <w:rPr>
                <w:rFonts w:cs="Arial"/>
                <w:color w:val="000000"/>
                <w:lang w:val="en-US"/>
              </w:rPr>
              <w:t xml:space="preserve"> (return on investment-ROI)</w:t>
            </w:r>
          </w:p>
        </w:tc>
        <w:tc>
          <w:tcPr>
            <w:tcW w:w="1403" w:type="dxa"/>
            <w:tcBorders>
              <w:top w:val="nil"/>
              <w:left w:val="nil"/>
              <w:bottom w:val="nil"/>
              <w:right w:val="nil"/>
            </w:tcBorders>
            <w:vAlign w:val="bottom"/>
          </w:tcPr>
          <w:p w:rsidR="00FD5242" w:rsidRPr="00152986" w:rsidRDefault="00FD5242" w:rsidP="0077650E">
            <w:pPr>
              <w:autoSpaceDE w:val="0"/>
              <w:autoSpaceDN w:val="0"/>
              <w:adjustRightInd w:val="0"/>
              <w:spacing w:after="0" w:line="240" w:lineRule="auto"/>
              <w:ind w:right="10"/>
              <w:jc w:val="both"/>
              <w:rPr>
                <w:rFonts w:cs="Arial"/>
                <w:color w:val="000000"/>
              </w:rPr>
            </w:pPr>
            <w:r w:rsidRPr="00152986">
              <w:rPr>
                <w:rFonts w:cs="Arial"/>
                <w:color w:val="000000"/>
              </w:rPr>
              <w:t>0.207141</w:t>
            </w:r>
          </w:p>
        </w:tc>
        <w:tc>
          <w:tcPr>
            <w:tcW w:w="1210" w:type="dxa"/>
            <w:tcBorders>
              <w:top w:val="nil"/>
              <w:left w:val="nil"/>
              <w:bottom w:val="nil"/>
              <w:right w:val="nil"/>
            </w:tcBorders>
            <w:vAlign w:val="bottom"/>
          </w:tcPr>
          <w:p w:rsidR="00FD5242" w:rsidRPr="00152986" w:rsidRDefault="00FD5242" w:rsidP="0077650E">
            <w:pPr>
              <w:autoSpaceDE w:val="0"/>
              <w:autoSpaceDN w:val="0"/>
              <w:adjustRightInd w:val="0"/>
              <w:spacing w:after="0" w:line="240" w:lineRule="auto"/>
              <w:ind w:right="10"/>
              <w:jc w:val="both"/>
              <w:rPr>
                <w:rFonts w:cs="Arial"/>
                <w:color w:val="000000"/>
              </w:rPr>
            </w:pPr>
            <w:r w:rsidRPr="00152986">
              <w:rPr>
                <w:rFonts w:cs="Arial"/>
                <w:color w:val="000000"/>
              </w:rPr>
              <w:t>0.708222</w:t>
            </w:r>
          </w:p>
        </w:tc>
        <w:tc>
          <w:tcPr>
            <w:tcW w:w="1211" w:type="dxa"/>
            <w:tcBorders>
              <w:top w:val="nil"/>
              <w:left w:val="nil"/>
              <w:bottom w:val="nil"/>
              <w:right w:val="nil"/>
            </w:tcBorders>
            <w:vAlign w:val="bottom"/>
          </w:tcPr>
          <w:p w:rsidR="00FD5242" w:rsidRPr="00152986" w:rsidRDefault="00FD5242" w:rsidP="0077650E">
            <w:pPr>
              <w:autoSpaceDE w:val="0"/>
              <w:autoSpaceDN w:val="0"/>
              <w:adjustRightInd w:val="0"/>
              <w:spacing w:after="0" w:line="240" w:lineRule="auto"/>
              <w:ind w:right="10"/>
              <w:jc w:val="both"/>
              <w:rPr>
                <w:rFonts w:cs="Arial"/>
                <w:color w:val="000000"/>
              </w:rPr>
            </w:pPr>
            <w:r w:rsidRPr="00152986">
              <w:rPr>
                <w:rFonts w:cs="Arial"/>
                <w:color w:val="000000"/>
              </w:rPr>
              <w:t>0.292481</w:t>
            </w:r>
          </w:p>
        </w:tc>
        <w:tc>
          <w:tcPr>
            <w:tcW w:w="1279" w:type="dxa"/>
            <w:tcBorders>
              <w:top w:val="nil"/>
              <w:left w:val="nil"/>
              <w:bottom w:val="nil"/>
              <w:right w:val="double" w:sz="4" w:space="0" w:color="auto"/>
            </w:tcBorders>
            <w:vAlign w:val="bottom"/>
          </w:tcPr>
          <w:p w:rsidR="00FD5242" w:rsidRPr="00152986" w:rsidRDefault="00FD5242" w:rsidP="0077650E">
            <w:pPr>
              <w:autoSpaceDE w:val="0"/>
              <w:autoSpaceDN w:val="0"/>
              <w:adjustRightInd w:val="0"/>
              <w:spacing w:after="0" w:line="240" w:lineRule="auto"/>
              <w:ind w:right="10"/>
              <w:jc w:val="both"/>
              <w:rPr>
                <w:rFonts w:cs="Arial"/>
                <w:color w:val="000000"/>
              </w:rPr>
            </w:pPr>
            <w:r w:rsidRPr="00152986">
              <w:rPr>
                <w:rFonts w:cs="Arial"/>
                <w:color w:val="000000"/>
              </w:rPr>
              <w:t>0.7706</w:t>
            </w:r>
          </w:p>
        </w:tc>
      </w:tr>
      <w:tr w:rsidR="00FD5242" w:rsidRPr="00152986" w:rsidTr="00152986">
        <w:trPr>
          <w:trHeight w:hRule="exact" w:val="93"/>
        </w:trPr>
        <w:tc>
          <w:tcPr>
            <w:tcW w:w="3261" w:type="dxa"/>
            <w:tcBorders>
              <w:top w:val="nil"/>
              <w:left w:val="double" w:sz="4" w:space="0" w:color="auto"/>
              <w:bottom w:val="double" w:sz="6" w:space="2" w:color="auto"/>
              <w:right w:val="nil"/>
            </w:tcBorders>
            <w:vAlign w:val="bottom"/>
          </w:tcPr>
          <w:p w:rsidR="00FD5242" w:rsidRPr="00152986" w:rsidRDefault="00FD5242" w:rsidP="0077650E">
            <w:pPr>
              <w:autoSpaceDE w:val="0"/>
              <w:autoSpaceDN w:val="0"/>
              <w:adjustRightInd w:val="0"/>
              <w:spacing w:after="0" w:line="240" w:lineRule="auto"/>
              <w:jc w:val="center"/>
              <w:rPr>
                <w:rFonts w:cs="Arial"/>
                <w:color w:val="000000"/>
              </w:rPr>
            </w:pPr>
          </w:p>
        </w:tc>
        <w:tc>
          <w:tcPr>
            <w:tcW w:w="1403" w:type="dxa"/>
            <w:tcBorders>
              <w:top w:val="nil"/>
              <w:left w:val="nil"/>
              <w:bottom w:val="double" w:sz="6" w:space="2" w:color="auto"/>
              <w:right w:val="nil"/>
            </w:tcBorders>
            <w:vAlign w:val="bottom"/>
          </w:tcPr>
          <w:p w:rsidR="00FD5242" w:rsidRPr="00152986" w:rsidRDefault="00FD5242" w:rsidP="0077650E">
            <w:pPr>
              <w:autoSpaceDE w:val="0"/>
              <w:autoSpaceDN w:val="0"/>
              <w:adjustRightInd w:val="0"/>
              <w:spacing w:after="0" w:line="240" w:lineRule="auto"/>
              <w:jc w:val="both"/>
              <w:rPr>
                <w:rFonts w:cs="Arial"/>
                <w:color w:val="000000"/>
              </w:rPr>
            </w:pPr>
          </w:p>
        </w:tc>
        <w:tc>
          <w:tcPr>
            <w:tcW w:w="1210" w:type="dxa"/>
            <w:tcBorders>
              <w:top w:val="nil"/>
              <w:left w:val="nil"/>
              <w:bottom w:val="double" w:sz="6" w:space="2" w:color="auto"/>
              <w:right w:val="nil"/>
            </w:tcBorders>
            <w:vAlign w:val="bottom"/>
          </w:tcPr>
          <w:p w:rsidR="00FD5242" w:rsidRPr="00152986" w:rsidRDefault="00FD5242" w:rsidP="0077650E">
            <w:pPr>
              <w:autoSpaceDE w:val="0"/>
              <w:autoSpaceDN w:val="0"/>
              <w:adjustRightInd w:val="0"/>
              <w:spacing w:after="0" w:line="240" w:lineRule="auto"/>
              <w:jc w:val="both"/>
              <w:rPr>
                <w:rFonts w:cs="Arial"/>
                <w:color w:val="000000"/>
              </w:rPr>
            </w:pPr>
          </w:p>
        </w:tc>
        <w:tc>
          <w:tcPr>
            <w:tcW w:w="1211" w:type="dxa"/>
            <w:tcBorders>
              <w:top w:val="nil"/>
              <w:left w:val="nil"/>
              <w:bottom w:val="double" w:sz="6" w:space="2" w:color="auto"/>
              <w:right w:val="nil"/>
            </w:tcBorders>
            <w:vAlign w:val="bottom"/>
          </w:tcPr>
          <w:p w:rsidR="00FD5242" w:rsidRPr="00152986" w:rsidRDefault="00FD5242" w:rsidP="0077650E">
            <w:pPr>
              <w:autoSpaceDE w:val="0"/>
              <w:autoSpaceDN w:val="0"/>
              <w:adjustRightInd w:val="0"/>
              <w:spacing w:after="0" w:line="240" w:lineRule="auto"/>
              <w:jc w:val="both"/>
              <w:rPr>
                <w:rFonts w:cs="Arial"/>
                <w:color w:val="000000"/>
              </w:rPr>
            </w:pPr>
          </w:p>
        </w:tc>
        <w:tc>
          <w:tcPr>
            <w:tcW w:w="1279" w:type="dxa"/>
            <w:tcBorders>
              <w:top w:val="nil"/>
              <w:left w:val="nil"/>
              <w:bottom w:val="double" w:sz="6" w:space="2" w:color="auto"/>
              <w:right w:val="double" w:sz="4" w:space="0" w:color="auto"/>
            </w:tcBorders>
            <w:vAlign w:val="bottom"/>
          </w:tcPr>
          <w:p w:rsidR="00FD5242" w:rsidRPr="00152986" w:rsidRDefault="00FD5242" w:rsidP="0077650E">
            <w:pPr>
              <w:autoSpaceDE w:val="0"/>
              <w:autoSpaceDN w:val="0"/>
              <w:adjustRightInd w:val="0"/>
              <w:spacing w:after="0" w:line="240" w:lineRule="auto"/>
              <w:jc w:val="both"/>
              <w:rPr>
                <w:rFonts w:cs="Arial"/>
                <w:color w:val="000000"/>
              </w:rPr>
            </w:pPr>
          </w:p>
        </w:tc>
      </w:tr>
      <w:tr w:rsidR="00FD5242" w:rsidRPr="00152986" w:rsidTr="00152986">
        <w:trPr>
          <w:trHeight w:hRule="exact" w:val="139"/>
        </w:trPr>
        <w:tc>
          <w:tcPr>
            <w:tcW w:w="3261" w:type="dxa"/>
            <w:tcBorders>
              <w:top w:val="nil"/>
              <w:left w:val="double" w:sz="4" w:space="0" w:color="auto"/>
              <w:bottom w:val="nil"/>
              <w:right w:val="nil"/>
            </w:tcBorders>
            <w:vAlign w:val="bottom"/>
          </w:tcPr>
          <w:p w:rsidR="00FD5242" w:rsidRPr="00152986" w:rsidRDefault="00FD5242" w:rsidP="0077650E">
            <w:pPr>
              <w:autoSpaceDE w:val="0"/>
              <w:autoSpaceDN w:val="0"/>
              <w:adjustRightInd w:val="0"/>
              <w:spacing w:after="0" w:line="240" w:lineRule="auto"/>
              <w:jc w:val="center"/>
              <w:rPr>
                <w:rFonts w:cs="Arial"/>
                <w:color w:val="000000"/>
              </w:rPr>
            </w:pPr>
          </w:p>
        </w:tc>
        <w:tc>
          <w:tcPr>
            <w:tcW w:w="1403" w:type="dxa"/>
            <w:tcBorders>
              <w:top w:val="nil"/>
              <w:left w:val="nil"/>
              <w:bottom w:val="nil"/>
              <w:right w:val="nil"/>
            </w:tcBorders>
            <w:vAlign w:val="bottom"/>
          </w:tcPr>
          <w:p w:rsidR="00FD5242" w:rsidRPr="00152986" w:rsidRDefault="00FD5242" w:rsidP="0077650E">
            <w:pPr>
              <w:autoSpaceDE w:val="0"/>
              <w:autoSpaceDN w:val="0"/>
              <w:adjustRightInd w:val="0"/>
              <w:spacing w:after="0" w:line="240" w:lineRule="auto"/>
              <w:jc w:val="both"/>
              <w:rPr>
                <w:rFonts w:cs="Arial"/>
                <w:color w:val="000000"/>
              </w:rPr>
            </w:pPr>
          </w:p>
        </w:tc>
        <w:tc>
          <w:tcPr>
            <w:tcW w:w="1210" w:type="dxa"/>
            <w:tcBorders>
              <w:top w:val="nil"/>
              <w:left w:val="nil"/>
              <w:bottom w:val="nil"/>
              <w:right w:val="nil"/>
            </w:tcBorders>
            <w:vAlign w:val="bottom"/>
          </w:tcPr>
          <w:p w:rsidR="00FD5242" w:rsidRPr="00152986" w:rsidRDefault="00FD5242" w:rsidP="0077650E">
            <w:pPr>
              <w:autoSpaceDE w:val="0"/>
              <w:autoSpaceDN w:val="0"/>
              <w:adjustRightInd w:val="0"/>
              <w:spacing w:after="0" w:line="240" w:lineRule="auto"/>
              <w:jc w:val="both"/>
              <w:rPr>
                <w:rFonts w:cs="Arial"/>
                <w:color w:val="000000"/>
              </w:rPr>
            </w:pPr>
          </w:p>
        </w:tc>
        <w:tc>
          <w:tcPr>
            <w:tcW w:w="1211" w:type="dxa"/>
            <w:tcBorders>
              <w:top w:val="nil"/>
              <w:left w:val="nil"/>
              <w:bottom w:val="nil"/>
              <w:right w:val="nil"/>
            </w:tcBorders>
            <w:vAlign w:val="bottom"/>
          </w:tcPr>
          <w:p w:rsidR="00FD5242" w:rsidRPr="00152986" w:rsidRDefault="00FD5242" w:rsidP="0077650E">
            <w:pPr>
              <w:autoSpaceDE w:val="0"/>
              <w:autoSpaceDN w:val="0"/>
              <w:adjustRightInd w:val="0"/>
              <w:spacing w:after="0" w:line="240" w:lineRule="auto"/>
              <w:jc w:val="both"/>
              <w:rPr>
                <w:rFonts w:cs="Arial"/>
                <w:color w:val="000000"/>
              </w:rPr>
            </w:pPr>
          </w:p>
        </w:tc>
        <w:tc>
          <w:tcPr>
            <w:tcW w:w="1279" w:type="dxa"/>
            <w:tcBorders>
              <w:top w:val="nil"/>
              <w:left w:val="nil"/>
              <w:bottom w:val="nil"/>
              <w:right w:val="double" w:sz="4" w:space="0" w:color="auto"/>
            </w:tcBorders>
            <w:vAlign w:val="bottom"/>
          </w:tcPr>
          <w:p w:rsidR="00FD5242" w:rsidRPr="00152986" w:rsidRDefault="00FD5242" w:rsidP="0077650E">
            <w:pPr>
              <w:autoSpaceDE w:val="0"/>
              <w:autoSpaceDN w:val="0"/>
              <w:adjustRightInd w:val="0"/>
              <w:spacing w:after="0" w:line="240" w:lineRule="auto"/>
              <w:jc w:val="both"/>
              <w:rPr>
                <w:rFonts w:cs="Arial"/>
                <w:color w:val="000000"/>
              </w:rPr>
            </w:pPr>
          </w:p>
        </w:tc>
      </w:tr>
      <w:tr w:rsidR="00FD5242" w:rsidRPr="00152986" w:rsidTr="00152986">
        <w:trPr>
          <w:trHeight w:val="231"/>
        </w:trPr>
        <w:tc>
          <w:tcPr>
            <w:tcW w:w="3261" w:type="dxa"/>
            <w:tcBorders>
              <w:top w:val="nil"/>
              <w:left w:val="double" w:sz="4" w:space="0" w:color="auto"/>
              <w:bottom w:val="nil"/>
              <w:right w:val="nil"/>
            </w:tcBorders>
            <w:vAlign w:val="bottom"/>
          </w:tcPr>
          <w:p w:rsidR="00FD5242" w:rsidRPr="00152986" w:rsidRDefault="00FD5242" w:rsidP="0077650E">
            <w:pPr>
              <w:autoSpaceDE w:val="0"/>
              <w:autoSpaceDN w:val="0"/>
              <w:adjustRightInd w:val="0"/>
              <w:spacing w:after="0" w:line="240" w:lineRule="auto"/>
              <w:rPr>
                <w:rFonts w:cs="Arial"/>
                <w:b/>
                <w:color w:val="000000"/>
              </w:rPr>
            </w:pPr>
            <w:r w:rsidRPr="00152986">
              <w:rPr>
                <w:rFonts w:cs="Arial"/>
                <w:b/>
                <w:color w:val="000000"/>
              </w:rPr>
              <w:t>Model Summary</w:t>
            </w:r>
          </w:p>
          <w:p w:rsidR="00FD5242" w:rsidRPr="00152986" w:rsidRDefault="00FD5242" w:rsidP="0077650E">
            <w:pPr>
              <w:autoSpaceDE w:val="0"/>
              <w:autoSpaceDN w:val="0"/>
              <w:adjustRightInd w:val="0"/>
              <w:spacing w:after="0" w:line="240" w:lineRule="auto"/>
              <w:rPr>
                <w:rFonts w:cs="Arial"/>
                <w:color w:val="000000"/>
              </w:rPr>
            </w:pPr>
            <w:r w:rsidRPr="00152986">
              <w:rPr>
                <w:rFonts w:cs="Arial"/>
                <w:color w:val="000000"/>
              </w:rPr>
              <w:t>R-squared</w:t>
            </w:r>
          </w:p>
        </w:tc>
        <w:tc>
          <w:tcPr>
            <w:tcW w:w="1403" w:type="dxa"/>
            <w:tcBorders>
              <w:top w:val="nil"/>
              <w:left w:val="nil"/>
              <w:bottom w:val="nil"/>
              <w:right w:val="nil"/>
            </w:tcBorders>
            <w:vAlign w:val="bottom"/>
          </w:tcPr>
          <w:p w:rsidR="00FD5242" w:rsidRPr="00152986" w:rsidRDefault="00FD5242" w:rsidP="0077650E">
            <w:pPr>
              <w:autoSpaceDE w:val="0"/>
              <w:autoSpaceDN w:val="0"/>
              <w:adjustRightInd w:val="0"/>
              <w:spacing w:after="0" w:line="240" w:lineRule="auto"/>
              <w:ind w:right="10"/>
              <w:jc w:val="both"/>
              <w:rPr>
                <w:rFonts w:cs="Arial"/>
                <w:color w:val="000000"/>
              </w:rPr>
            </w:pPr>
            <w:r w:rsidRPr="00152986">
              <w:rPr>
                <w:rFonts w:cs="Arial"/>
                <w:color w:val="000000"/>
              </w:rPr>
              <w:t>0.122648</w:t>
            </w:r>
          </w:p>
        </w:tc>
        <w:tc>
          <w:tcPr>
            <w:tcW w:w="2421" w:type="dxa"/>
            <w:gridSpan w:val="2"/>
            <w:tcBorders>
              <w:top w:val="nil"/>
              <w:left w:val="nil"/>
              <w:bottom w:val="nil"/>
              <w:right w:val="nil"/>
            </w:tcBorders>
            <w:vAlign w:val="bottom"/>
          </w:tcPr>
          <w:p w:rsidR="00FD5242" w:rsidRPr="00152986" w:rsidRDefault="00FD5242" w:rsidP="0077650E">
            <w:pPr>
              <w:autoSpaceDE w:val="0"/>
              <w:autoSpaceDN w:val="0"/>
              <w:adjustRightInd w:val="0"/>
              <w:spacing w:after="0" w:line="240" w:lineRule="auto"/>
              <w:ind w:right="10"/>
              <w:jc w:val="both"/>
              <w:rPr>
                <w:rFonts w:cs="Arial"/>
                <w:color w:val="000000"/>
              </w:rPr>
            </w:pPr>
          </w:p>
        </w:tc>
        <w:tc>
          <w:tcPr>
            <w:tcW w:w="1279" w:type="dxa"/>
            <w:tcBorders>
              <w:top w:val="nil"/>
              <w:left w:val="nil"/>
              <w:bottom w:val="nil"/>
              <w:right w:val="double" w:sz="4" w:space="0" w:color="auto"/>
            </w:tcBorders>
            <w:vAlign w:val="bottom"/>
          </w:tcPr>
          <w:p w:rsidR="00FD5242" w:rsidRPr="00152986" w:rsidRDefault="00FD5242" w:rsidP="0077650E">
            <w:pPr>
              <w:autoSpaceDE w:val="0"/>
              <w:autoSpaceDN w:val="0"/>
              <w:adjustRightInd w:val="0"/>
              <w:spacing w:after="0" w:line="240" w:lineRule="auto"/>
              <w:ind w:right="10"/>
              <w:jc w:val="both"/>
              <w:rPr>
                <w:rFonts w:cs="Arial"/>
                <w:color w:val="000000"/>
              </w:rPr>
            </w:pPr>
          </w:p>
        </w:tc>
      </w:tr>
      <w:tr w:rsidR="00FD5242" w:rsidRPr="00152986" w:rsidTr="00152986">
        <w:trPr>
          <w:trHeight w:val="231"/>
        </w:trPr>
        <w:tc>
          <w:tcPr>
            <w:tcW w:w="3261" w:type="dxa"/>
            <w:tcBorders>
              <w:top w:val="nil"/>
              <w:left w:val="double" w:sz="4" w:space="0" w:color="auto"/>
              <w:bottom w:val="nil"/>
              <w:right w:val="nil"/>
            </w:tcBorders>
            <w:vAlign w:val="bottom"/>
          </w:tcPr>
          <w:p w:rsidR="00FD5242" w:rsidRPr="00152986" w:rsidRDefault="00FD5242" w:rsidP="0077650E">
            <w:pPr>
              <w:autoSpaceDE w:val="0"/>
              <w:autoSpaceDN w:val="0"/>
              <w:adjustRightInd w:val="0"/>
              <w:spacing w:after="0" w:line="240" w:lineRule="auto"/>
              <w:rPr>
                <w:rFonts w:cs="Arial"/>
                <w:color w:val="000000"/>
              </w:rPr>
            </w:pPr>
            <w:r w:rsidRPr="00152986">
              <w:rPr>
                <w:rFonts w:cs="Arial"/>
                <w:color w:val="000000"/>
              </w:rPr>
              <w:t>Adjusted R-squared</w:t>
            </w:r>
          </w:p>
        </w:tc>
        <w:tc>
          <w:tcPr>
            <w:tcW w:w="1403" w:type="dxa"/>
            <w:tcBorders>
              <w:top w:val="nil"/>
              <w:left w:val="nil"/>
              <w:bottom w:val="nil"/>
              <w:right w:val="nil"/>
            </w:tcBorders>
            <w:vAlign w:val="bottom"/>
          </w:tcPr>
          <w:p w:rsidR="00FD5242" w:rsidRPr="00152986" w:rsidRDefault="00FD5242" w:rsidP="0077650E">
            <w:pPr>
              <w:autoSpaceDE w:val="0"/>
              <w:autoSpaceDN w:val="0"/>
              <w:adjustRightInd w:val="0"/>
              <w:spacing w:after="0" w:line="240" w:lineRule="auto"/>
              <w:ind w:right="10"/>
              <w:jc w:val="both"/>
              <w:rPr>
                <w:rFonts w:cs="Arial"/>
                <w:color w:val="000000"/>
              </w:rPr>
            </w:pPr>
            <w:r w:rsidRPr="00152986">
              <w:rPr>
                <w:rFonts w:cs="Arial"/>
                <w:color w:val="000000"/>
              </w:rPr>
              <w:t>0.069795</w:t>
            </w:r>
          </w:p>
        </w:tc>
        <w:tc>
          <w:tcPr>
            <w:tcW w:w="2421" w:type="dxa"/>
            <w:gridSpan w:val="2"/>
            <w:tcBorders>
              <w:top w:val="nil"/>
              <w:left w:val="nil"/>
              <w:bottom w:val="nil"/>
              <w:right w:val="nil"/>
            </w:tcBorders>
            <w:vAlign w:val="bottom"/>
          </w:tcPr>
          <w:p w:rsidR="00FD5242" w:rsidRPr="00152986" w:rsidRDefault="00FD5242" w:rsidP="0077650E">
            <w:pPr>
              <w:autoSpaceDE w:val="0"/>
              <w:autoSpaceDN w:val="0"/>
              <w:adjustRightInd w:val="0"/>
              <w:spacing w:after="0" w:line="240" w:lineRule="auto"/>
              <w:ind w:right="10"/>
              <w:jc w:val="both"/>
              <w:rPr>
                <w:rFonts w:cs="Arial"/>
                <w:color w:val="000000"/>
              </w:rPr>
            </w:pPr>
          </w:p>
        </w:tc>
        <w:tc>
          <w:tcPr>
            <w:tcW w:w="1279" w:type="dxa"/>
            <w:tcBorders>
              <w:top w:val="nil"/>
              <w:left w:val="nil"/>
              <w:bottom w:val="nil"/>
              <w:right w:val="double" w:sz="4" w:space="0" w:color="auto"/>
            </w:tcBorders>
            <w:vAlign w:val="bottom"/>
          </w:tcPr>
          <w:p w:rsidR="00FD5242" w:rsidRPr="00152986" w:rsidRDefault="00FD5242" w:rsidP="0077650E">
            <w:pPr>
              <w:autoSpaceDE w:val="0"/>
              <w:autoSpaceDN w:val="0"/>
              <w:adjustRightInd w:val="0"/>
              <w:spacing w:after="0" w:line="240" w:lineRule="auto"/>
              <w:ind w:right="10"/>
              <w:jc w:val="both"/>
              <w:rPr>
                <w:rFonts w:cs="Arial"/>
                <w:color w:val="000000"/>
              </w:rPr>
            </w:pPr>
          </w:p>
        </w:tc>
      </w:tr>
      <w:tr w:rsidR="00FD5242" w:rsidRPr="00152986" w:rsidTr="00152986">
        <w:trPr>
          <w:trHeight w:val="231"/>
        </w:trPr>
        <w:tc>
          <w:tcPr>
            <w:tcW w:w="3261" w:type="dxa"/>
            <w:tcBorders>
              <w:top w:val="nil"/>
              <w:left w:val="double" w:sz="4" w:space="0" w:color="auto"/>
              <w:bottom w:val="nil"/>
              <w:right w:val="nil"/>
            </w:tcBorders>
            <w:vAlign w:val="bottom"/>
          </w:tcPr>
          <w:p w:rsidR="00FD5242" w:rsidRPr="00152986" w:rsidRDefault="00FD5242" w:rsidP="0077650E">
            <w:pPr>
              <w:autoSpaceDE w:val="0"/>
              <w:autoSpaceDN w:val="0"/>
              <w:adjustRightInd w:val="0"/>
              <w:spacing w:after="0" w:line="240" w:lineRule="auto"/>
              <w:rPr>
                <w:rFonts w:cs="Arial"/>
                <w:color w:val="000000"/>
              </w:rPr>
            </w:pPr>
            <w:r w:rsidRPr="00152986">
              <w:rPr>
                <w:rFonts w:cs="Arial"/>
                <w:color w:val="000000"/>
              </w:rPr>
              <w:t>S.E. of regression</w:t>
            </w:r>
          </w:p>
        </w:tc>
        <w:tc>
          <w:tcPr>
            <w:tcW w:w="1403" w:type="dxa"/>
            <w:tcBorders>
              <w:top w:val="nil"/>
              <w:left w:val="nil"/>
              <w:bottom w:val="nil"/>
              <w:right w:val="nil"/>
            </w:tcBorders>
            <w:vAlign w:val="bottom"/>
          </w:tcPr>
          <w:p w:rsidR="00FD5242" w:rsidRPr="00152986" w:rsidRDefault="00FD5242" w:rsidP="0077650E">
            <w:pPr>
              <w:autoSpaceDE w:val="0"/>
              <w:autoSpaceDN w:val="0"/>
              <w:adjustRightInd w:val="0"/>
              <w:spacing w:after="0" w:line="240" w:lineRule="auto"/>
              <w:ind w:right="10"/>
              <w:jc w:val="both"/>
              <w:rPr>
                <w:rFonts w:cs="Arial"/>
                <w:color w:val="000000"/>
              </w:rPr>
            </w:pPr>
            <w:r w:rsidRPr="00152986">
              <w:rPr>
                <w:rFonts w:cs="Arial"/>
                <w:color w:val="000000"/>
              </w:rPr>
              <w:t>0.637069</w:t>
            </w:r>
          </w:p>
        </w:tc>
        <w:tc>
          <w:tcPr>
            <w:tcW w:w="2421" w:type="dxa"/>
            <w:gridSpan w:val="2"/>
            <w:tcBorders>
              <w:top w:val="nil"/>
              <w:left w:val="nil"/>
              <w:bottom w:val="nil"/>
              <w:right w:val="nil"/>
            </w:tcBorders>
            <w:vAlign w:val="bottom"/>
          </w:tcPr>
          <w:p w:rsidR="00FD5242" w:rsidRPr="00152986" w:rsidRDefault="00FD5242" w:rsidP="0077650E">
            <w:pPr>
              <w:autoSpaceDE w:val="0"/>
              <w:autoSpaceDN w:val="0"/>
              <w:adjustRightInd w:val="0"/>
              <w:spacing w:after="0" w:line="240" w:lineRule="auto"/>
              <w:ind w:right="10"/>
              <w:jc w:val="both"/>
              <w:rPr>
                <w:rFonts w:cs="Arial"/>
                <w:color w:val="000000"/>
              </w:rPr>
            </w:pPr>
          </w:p>
        </w:tc>
        <w:tc>
          <w:tcPr>
            <w:tcW w:w="1279" w:type="dxa"/>
            <w:tcBorders>
              <w:top w:val="nil"/>
              <w:left w:val="nil"/>
              <w:bottom w:val="nil"/>
              <w:right w:val="double" w:sz="4" w:space="0" w:color="auto"/>
            </w:tcBorders>
            <w:vAlign w:val="bottom"/>
          </w:tcPr>
          <w:p w:rsidR="00FD5242" w:rsidRPr="00152986" w:rsidRDefault="00FD5242" w:rsidP="0077650E">
            <w:pPr>
              <w:autoSpaceDE w:val="0"/>
              <w:autoSpaceDN w:val="0"/>
              <w:adjustRightInd w:val="0"/>
              <w:spacing w:after="0" w:line="240" w:lineRule="auto"/>
              <w:ind w:right="10"/>
              <w:jc w:val="both"/>
              <w:rPr>
                <w:rFonts w:cs="Arial"/>
                <w:color w:val="000000"/>
              </w:rPr>
            </w:pPr>
          </w:p>
        </w:tc>
      </w:tr>
      <w:tr w:rsidR="00FD5242" w:rsidRPr="00152986" w:rsidTr="00152986">
        <w:trPr>
          <w:trHeight w:hRule="exact" w:val="93"/>
        </w:trPr>
        <w:tc>
          <w:tcPr>
            <w:tcW w:w="3261" w:type="dxa"/>
            <w:tcBorders>
              <w:top w:val="nil"/>
              <w:left w:val="double" w:sz="4" w:space="0" w:color="auto"/>
              <w:bottom w:val="double" w:sz="4" w:space="0" w:color="auto"/>
              <w:right w:val="nil"/>
            </w:tcBorders>
            <w:vAlign w:val="bottom"/>
          </w:tcPr>
          <w:p w:rsidR="00FD5242" w:rsidRPr="00152986" w:rsidRDefault="00FD5242" w:rsidP="0077650E">
            <w:pPr>
              <w:autoSpaceDE w:val="0"/>
              <w:autoSpaceDN w:val="0"/>
              <w:adjustRightInd w:val="0"/>
              <w:spacing w:after="0" w:line="240" w:lineRule="auto"/>
              <w:jc w:val="center"/>
              <w:rPr>
                <w:rFonts w:cs="Arial"/>
                <w:color w:val="000000"/>
              </w:rPr>
            </w:pPr>
          </w:p>
        </w:tc>
        <w:tc>
          <w:tcPr>
            <w:tcW w:w="1403" w:type="dxa"/>
            <w:tcBorders>
              <w:top w:val="nil"/>
              <w:left w:val="nil"/>
              <w:bottom w:val="double" w:sz="4" w:space="0" w:color="auto"/>
              <w:right w:val="nil"/>
            </w:tcBorders>
            <w:vAlign w:val="bottom"/>
          </w:tcPr>
          <w:p w:rsidR="00FD5242" w:rsidRPr="00152986" w:rsidRDefault="00FD5242" w:rsidP="0077650E">
            <w:pPr>
              <w:autoSpaceDE w:val="0"/>
              <w:autoSpaceDN w:val="0"/>
              <w:adjustRightInd w:val="0"/>
              <w:spacing w:after="0" w:line="240" w:lineRule="auto"/>
              <w:jc w:val="center"/>
              <w:rPr>
                <w:rFonts w:cs="Arial"/>
                <w:color w:val="000000"/>
              </w:rPr>
            </w:pPr>
          </w:p>
        </w:tc>
        <w:tc>
          <w:tcPr>
            <w:tcW w:w="1210" w:type="dxa"/>
            <w:tcBorders>
              <w:top w:val="nil"/>
              <w:left w:val="nil"/>
              <w:bottom w:val="double" w:sz="4" w:space="0" w:color="auto"/>
              <w:right w:val="nil"/>
            </w:tcBorders>
            <w:vAlign w:val="bottom"/>
          </w:tcPr>
          <w:p w:rsidR="00FD5242" w:rsidRPr="00152986" w:rsidRDefault="00FD5242" w:rsidP="0077650E">
            <w:pPr>
              <w:autoSpaceDE w:val="0"/>
              <w:autoSpaceDN w:val="0"/>
              <w:adjustRightInd w:val="0"/>
              <w:spacing w:after="0" w:line="240" w:lineRule="auto"/>
              <w:jc w:val="center"/>
              <w:rPr>
                <w:rFonts w:cs="Arial"/>
                <w:color w:val="000000"/>
              </w:rPr>
            </w:pPr>
          </w:p>
        </w:tc>
        <w:tc>
          <w:tcPr>
            <w:tcW w:w="1211" w:type="dxa"/>
            <w:tcBorders>
              <w:top w:val="nil"/>
              <w:left w:val="nil"/>
              <w:bottom w:val="double" w:sz="4" w:space="0" w:color="auto"/>
              <w:right w:val="nil"/>
            </w:tcBorders>
            <w:vAlign w:val="bottom"/>
          </w:tcPr>
          <w:p w:rsidR="00FD5242" w:rsidRPr="00152986" w:rsidRDefault="00FD5242" w:rsidP="0077650E">
            <w:pPr>
              <w:autoSpaceDE w:val="0"/>
              <w:autoSpaceDN w:val="0"/>
              <w:adjustRightInd w:val="0"/>
              <w:spacing w:after="0" w:line="240" w:lineRule="auto"/>
              <w:jc w:val="center"/>
              <w:rPr>
                <w:rFonts w:cs="Arial"/>
                <w:color w:val="000000"/>
              </w:rPr>
            </w:pPr>
          </w:p>
        </w:tc>
        <w:tc>
          <w:tcPr>
            <w:tcW w:w="1279" w:type="dxa"/>
            <w:tcBorders>
              <w:top w:val="nil"/>
              <w:left w:val="nil"/>
              <w:bottom w:val="double" w:sz="4" w:space="0" w:color="auto"/>
              <w:right w:val="double" w:sz="4" w:space="0" w:color="auto"/>
            </w:tcBorders>
            <w:vAlign w:val="bottom"/>
          </w:tcPr>
          <w:p w:rsidR="00FD5242" w:rsidRPr="00152986" w:rsidRDefault="00FD5242" w:rsidP="0077650E">
            <w:pPr>
              <w:autoSpaceDE w:val="0"/>
              <w:autoSpaceDN w:val="0"/>
              <w:adjustRightInd w:val="0"/>
              <w:spacing w:after="0" w:line="240" w:lineRule="auto"/>
              <w:jc w:val="center"/>
              <w:rPr>
                <w:rFonts w:cs="Arial"/>
                <w:color w:val="000000"/>
              </w:rPr>
            </w:pPr>
          </w:p>
        </w:tc>
      </w:tr>
    </w:tbl>
    <w:p w:rsidR="00FD5242" w:rsidRPr="00D038A0" w:rsidRDefault="00FD5242" w:rsidP="00152986">
      <w:pPr>
        <w:rPr>
          <w:rFonts w:cs="Arial"/>
          <w:lang w:val="en-US"/>
        </w:rPr>
      </w:pPr>
      <w:r w:rsidRPr="00D038A0">
        <w:rPr>
          <w:rFonts w:cs="Arial"/>
          <w:lang w:val="en-US"/>
        </w:rPr>
        <w:t>*,**,*** indicate  significance at 0.01, 0.05, 0.10 significance level</w:t>
      </w:r>
    </w:p>
    <w:p w:rsidR="00FD5242" w:rsidRPr="00152986" w:rsidRDefault="00FD5242" w:rsidP="00661900">
      <w:pPr>
        <w:jc w:val="both"/>
        <w:rPr>
          <w:lang w:val="en-US"/>
        </w:rPr>
      </w:pPr>
    </w:p>
    <w:sectPr w:rsidR="00FD5242" w:rsidRPr="00152986" w:rsidSect="00643E08">
      <w:headerReference w:type="default" r:id="rId22"/>
      <w:footerReference w:type="default" r:id="rId23"/>
      <w:pgSz w:w="11906" w:h="16838"/>
      <w:pgMar w:top="1440" w:right="1797" w:bottom="1440" w:left="1985"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D5242" w:rsidRDefault="00FD5242" w:rsidP="007D085E">
      <w:pPr>
        <w:spacing w:after="0" w:line="240" w:lineRule="auto"/>
      </w:pPr>
      <w:r>
        <w:separator/>
      </w:r>
    </w:p>
  </w:endnote>
  <w:endnote w:type="continuationSeparator" w:id="1">
    <w:p w:rsidR="00FD5242" w:rsidRDefault="00FD5242" w:rsidP="007D085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Segoe UI">
    <w:panose1 w:val="00000000000000000000"/>
    <w:charset w:val="A1"/>
    <w:family w:val="swiss"/>
    <w:notTrueType/>
    <w:pitch w:val="variable"/>
    <w:sig w:usb0="00000083" w:usb1="00000000" w:usb2="00000000" w:usb3="00000000" w:csb0="00000009"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5242" w:rsidRDefault="00FD5242">
    <w:pPr>
      <w:pStyle w:val="Footer"/>
      <w:jc w:val="right"/>
    </w:pPr>
    <w:fldSimple w:instr=" PAGE   \* MERGEFORMAT ">
      <w:r>
        <w:rPr>
          <w:noProof/>
        </w:rPr>
        <w:t>85</w:t>
      </w:r>
    </w:fldSimple>
  </w:p>
  <w:p w:rsidR="00FD5242" w:rsidRDefault="00FD524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D5242" w:rsidRDefault="00FD5242" w:rsidP="007D085E">
      <w:pPr>
        <w:spacing w:after="0" w:line="240" w:lineRule="auto"/>
      </w:pPr>
      <w:r>
        <w:separator/>
      </w:r>
    </w:p>
  </w:footnote>
  <w:footnote w:type="continuationSeparator" w:id="1">
    <w:p w:rsidR="00FD5242" w:rsidRDefault="00FD5242" w:rsidP="007D085E">
      <w:pPr>
        <w:spacing w:after="0" w:line="240" w:lineRule="auto"/>
      </w:pPr>
      <w:r>
        <w:continuationSeparator/>
      </w:r>
    </w:p>
  </w:footnote>
  <w:footnote w:id="2">
    <w:p w:rsidR="00FD5242" w:rsidRDefault="00FD5242" w:rsidP="0076249E">
      <w:pPr>
        <w:pStyle w:val="FootnoteText"/>
        <w:ind w:left="108" w:hanging="108"/>
      </w:pPr>
      <w:r w:rsidRPr="00BD54B0">
        <w:rPr>
          <w:rStyle w:val="FootnoteReference"/>
          <w:sz w:val="18"/>
          <w:szCs w:val="18"/>
        </w:rPr>
        <w:footnoteRef/>
      </w:r>
      <w:r w:rsidRPr="00BD54B0">
        <w:rPr>
          <w:sz w:val="18"/>
          <w:szCs w:val="18"/>
          <w:lang w:val="en-US"/>
        </w:rPr>
        <w:t xml:space="preserve"> </w:t>
      </w:r>
      <w:hyperlink r:id="rId1" w:history="1">
        <w:r w:rsidRPr="00BD54B0">
          <w:rPr>
            <w:rStyle w:val="Hyperlink"/>
            <w:sz w:val="18"/>
            <w:szCs w:val="18"/>
            <w:lang w:val="en-US"/>
          </w:rPr>
          <w:t>http://www.brainyquote.com/quotes/authors/w/warren_buffett_3.html</w:t>
        </w:r>
      </w:hyperlink>
      <w:r w:rsidRPr="00BD54B0">
        <w:rPr>
          <w:sz w:val="18"/>
          <w:szCs w:val="18"/>
          <w:lang w:val="en-US"/>
        </w:rPr>
        <w:t>, accessed on 11th of October 2010</w:t>
      </w:r>
    </w:p>
  </w:footnote>
  <w:footnote w:id="3">
    <w:p w:rsidR="00FD5242" w:rsidRDefault="00FD5242" w:rsidP="003B65A6">
      <w:pPr>
        <w:pStyle w:val="FootnoteText"/>
        <w:ind w:left="136" w:hanging="108"/>
      </w:pPr>
      <w:r w:rsidRPr="00BD54B0">
        <w:rPr>
          <w:rStyle w:val="FootnoteReference"/>
          <w:sz w:val="18"/>
          <w:szCs w:val="18"/>
        </w:rPr>
        <w:footnoteRef/>
      </w:r>
      <w:r w:rsidRPr="00BD54B0">
        <w:rPr>
          <w:sz w:val="18"/>
          <w:szCs w:val="18"/>
          <w:lang w:val="en-US"/>
        </w:rPr>
        <w:t xml:space="preserve"> </w:t>
      </w:r>
      <w:hyperlink r:id="rId2" w:history="1">
        <w:r w:rsidRPr="00BD54B0">
          <w:rPr>
            <w:rStyle w:val="Hyperlink"/>
            <w:sz w:val="18"/>
            <w:szCs w:val="18"/>
            <w:lang w:val="en-US"/>
          </w:rPr>
          <w:t>http://web.ifac.org/clarity-center/isa-200</w:t>
        </w:r>
      </w:hyperlink>
      <w:r w:rsidRPr="00BD54B0">
        <w:rPr>
          <w:sz w:val="18"/>
          <w:szCs w:val="18"/>
          <w:lang w:val="en-US"/>
        </w:rPr>
        <w:t xml:space="preserve"> accessed on 12</w:t>
      </w:r>
      <w:r w:rsidRPr="00BD54B0">
        <w:rPr>
          <w:sz w:val="18"/>
          <w:szCs w:val="18"/>
          <w:vertAlign w:val="superscript"/>
          <w:lang w:val="en-US"/>
        </w:rPr>
        <w:t>th</w:t>
      </w:r>
      <w:r w:rsidRPr="00BD54B0">
        <w:rPr>
          <w:sz w:val="18"/>
          <w:szCs w:val="18"/>
          <w:lang w:val="en-US"/>
        </w:rPr>
        <w:t xml:space="preserve"> October 2010. </w:t>
      </w:r>
    </w:p>
  </w:footnote>
  <w:footnote w:id="4">
    <w:p w:rsidR="00FD5242" w:rsidRDefault="00FD5242" w:rsidP="0094256C">
      <w:pPr>
        <w:pStyle w:val="FootnoteText"/>
        <w:ind w:left="96" w:hanging="96"/>
      </w:pPr>
      <w:r w:rsidRPr="00BD54B0">
        <w:rPr>
          <w:rStyle w:val="FootnoteReference"/>
          <w:sz w:val="18"/>
          <w:szCs w:val="18"/>
        </w:rPr>
        <w:footnoteRef/>
      </w:r>
      <w:r w:rsidRPr="00BD54B0">
        <w:rPr>
          <w:sz w:val="18"/>
          <w:szCs w:val="18"/>
          <w:lang w:val="en-US"/>
        </w:rPr>
        <w:t xml:space="preserve"> “The PCAOB is a private-sector, nonprofit corporation created by the Sarbanes-Oxley Act of 2002 to oversee the auditors of public companies in order to protect investors and the public interest by promoting informative, fair, and independent audit reports.  The Securities and Exchange Commission (SEC) has oversight authority over the</w:t>
      </w:r>
      <w:r w:rsidRPr="00A9525E">
        <w:rPr>
          <w:sz w:val="18"/>
          <w:szCs w:val="18"/>
          <w:lang w:val="en-US"/>
        </w:rPr>
        <w:t xml:space="preserve"> PCAOB, including the approval of the Board’s rules, standards, and budget”. </w:t>
      </w:r>
      <w:hyperlink r:id="rId3" w:history="1">
        <w:r w:rsidRPr="00A9525E">
          <w:rPr>
            <w:rStyle w:val="Hyperlink"/>
            <w:sz w:val="18"/>
            <w:szCs w:val="18"/>
            <w:lang w:val="en-US"/>
          </w:rPr>
          <w:t>http://pcaobus.org/Pages/default.aspx</w:t>
        </w:r>
      </w:hyperlink>
      <w:r w:rsidRPr="00A9525E">
        <w:rPr>
          <w:sz w:val="18"/>
          <w:szCs w:val="18"/>
          <w:lang w:val="en-US"/>
        </w:rPr>
        <w:t xml:space="preserve"> accessed on 10</w:t>
      </w:r>
      <w:r w:rsidRPr="00A9525E">
        <w:rPr>
          <w:sz w:val="18"/>
          <w:szCs w:val="18"/>
          <w:vertAlign w:val="superscript"/>
          <w:lang w:val="en-US"/>
        </w:rPr>
        <w:t>th</w:t>
      </w:r>
      <w:r w:rsidRPr="00A9525E">
        <w:rPr>
          <w:sz w:val="18"/>
          <w:szCs w:val="18"/>
          <w:lang w:val="en-US"/>
        </w:rPr>
        <w:t xml:space="preserve"> October 2010.</w:t>
      </w:r>
    </w:p>
  </w:footnote>
  <w:footnote w:id="5">
    <w:p w:rsidR="00FD5242" w:rsidRDefault="00FD5242" w:rsidP="00A9525E">
      <w:pPr>
        <w:pStyle w:val="FootnoteText"/>
        <w:ind w:left="80" w:hanging="108"/>
      </w:pPr>
      <w:r w:rsidRPr="00A9525E">
        <w:rPr>
          <w:rStyle w:val="FootnoteReference"/>
          <w:sz w:val="18"/>
          <w:szCs w:val="18"/>
        </w:rPr>
        <w:footnoteRef/>
      </w:r>
      <w:r w:rsidRPr="00A9525E">
        <w:rPr>
          <w:sz w:val="18"/>
          <w:szCs w:val="18"/>
          <w:lang w:val="en-US"/>
        </w:rPr>
        <w:t xml:space="preserve"> International Financial Reporting Standards (IFRS), (2004), </w:t>
      </w:r>
      <w:r w:rsidRPr="00A9525E">
        <w:rPr>
          <w:i/>
          <w:sz w:val="18"/>
          <w:szCs w:val="18"/>
          <w:lang w:val="en-US"/>
        </w:rPr>
        <w:t>Framework for the Preparation and Presentation of Financial Statements</w:t>
      </w:r>
      <w:r w:rsidRPr="00A9525E">
        <w:rPr>
          <w:sz w:val="18"/>
          <w:szCs w:val="18"/>
          <w:lang w:val="en-US"/>
        </w:rPr>
        <w:t>, (London, U.K.: IASCF).</w:t>
      </w:r>
    </w:p>
  </w:footnote>
  <w:footnote w:id="6">
    <w:p w:rsidR="00FD5242" w:rsidRDefault="00FD5242" w:rsidP="00453367">
      <w:pPr>
        <w:pStyle w:val="FootnoteText"/>
        <w:ind w:left="80" w:hanging="108"/>
      </w:pPr>
      <w:r w:rsidRPr="00453367">
        <w:rPr>
          <w:rStyle w:val="FootnoteReference"/>
          <w:sz w:val="18"/>
          <w:szCs w:val="18"/>
        </w:rPr>
        <w:footnoteRef/>
      </w:r>
      <w:r w:rsidRPr="00453367">
        <w:rPr>
          <w:sz w:val="18"/>
          <w:szCs w:val="18"/>
          <w:lang w:val="en-US"/>
        </w:rPr>
        <w:t xml:space="preserve"> Davis &amp; Ashton (1997) suggest in a more cynical way that conservative thresholds are an easy way for auditors t</w:t>
      </w:r>
      <w:r>
        <w:rPr>
          <w:sz w:val="18"/>
          <w:szCs w:val="18"/>
          <w:lang w:val="en-US"/>
        </w:rPr>
        <w:t>o be prudent and play it “safe.”</w:t>
      </w:r>
    </w:p>
  </w:footnote>
  <w:footnote w:id="7">
    <w:p w:rsidR="00FD5242" w:rsidRDefault="00FD5242" w:rsidP="003B65A6">
      <w:pPr>
        <w:pStyle w:val="FootnoteText"/>
        <w:ind w:left="136" w:hanging="108"/>
      </w:pPr>
      <w:r w:rsidRPr="00D90E5C">
        <w:rPr>
          <w:rStyle w:val="FootnoteReference"/>
          <w:sz w:val="18"/>
          <w:szCs w:val="18"/>
        </w:rPr>
        <w:footnoteRef/>
      </w:r>
      <w:r w:rsidRPr="00D90E5C">
        <w:rPr>
          <w:sz w:val="18"/>
          <w:szCs w:val="18"/>
          <w:lang w:val="en-US"/>
        </w:rPr>
        <w:t xml:space="preserve"> </w:t>
      </w:r>
      <w:hyperlink r:id="rId4" w:history="1">
        <w:r w:rsidRPr="00D90E5C">
          <w:rPr>
            <w:rStyle w:val="Hyperlink"/>
            <w:sz w:val="18"/>
            <w:szCs w:val="18"/>
            <w:lang w:val="en-US"/>
          </w:rPr>
          <w:t>http://www.afm.nl/~/media/Files/wetten-regels/wta/engels/en-wta_act_on_the_supervision_of_audit_firms.ashx</w:t>
        </w:r>
      </w:hyperlink>
      <w:r w:rsidRPr="00D90E5C">
        <w:rPr>
          <w:sz w:val="18"/>
          <w:szCs w:val="18"/>
          <w:lang w:val="en-US"/>
        </w:rPr>
        <w:t xml:space="preserve"> , accessed on 10</w:t>
      </w:r>
      <w:r w:rsidRPr="00D90E5C">
        <w:rPr>
          <w:sz w:val="18"/>
          <w:szCs w:val="18"/>
          <w:vertAlign w:val="superscript"/>
          <w:lang w:val="en-US"/>
        </w:rPr>
        <w:t>th</w:t>
      </w:r>
      <w:r w:rsidRPr="00D90E5C">
        <w:rPr>
          <w:sz w:val="18"/>
          <w:szCs w:val="18"/>
          <w:lang w:val="en-US"/>
        </w:rPr>
        <w:t xml:space="preserve"> November</w:t>
      </w:r>
    </w:p>
  </w:footnote>
  <w:footnote w:id="8">
    <w:p w:rsidR="00FD5242" w:rsidRDefault="00FD5242" w:rsidP="00A47775">
      <w:pPr>
        <w:pStyle w:val="NoSpacing"/>
        <w:ind w:left="80" w:hanging="108"/>
      </w:pPr>
      <w:r w:rsidRPr="009F1AC3">
        <w:rPr>
          <w:rStyle w:val="FootnoteReference"/>
          <w:sz w:val="18"/>
          <w:szCs w:val="18"/>
        </w:rPr>
        <w:footnoteRef/>
      </w:r>
      <w:r w:rsidRPr="007C274E">
        <w:rPr>
          <w:sz w:val="18"/>
          <w:szCs w:val="18"/>
          <w:lang w:val="en-US"/>
        </w:rPr>
        <w:t xml:space="preserve"> Gul et al. </w:t>
      </w:r>
      <w:r w:rsidRPr="009F1AC3">
        <w:rPr>
          <w:sz w:val="18"/>
          <w:szCs w:val="18"/>
          <w:lang w:val="en-US"/>
        </w:rPr>
        <w:t>(2003)</w:t>
      </w:r>
      <w:r>
        <w:rPr>
          <w:sz w:val="18"/>
          <w:szCs w:val="18"/>
          <w:lang w:val="en-US"/>
        </w:rPr>
        <w:t xml:space="preserve"> also signaled</w:t>
      </w:r>
      <w:r w:rsidRPr="009F1AC3">
        <w:rPr>
          <w:sz w:val="18"/>
          <w:szCs w:val="18"/>
          <w:lang w:val="en-US"/>
        </w:rPr>
        <w:t xml:space="preserve"> other possible costs like the reduced credibility of financ</w:t>
      </w:r>
      <w:r>
        <w:rPr>
          <w:sz w:val="18"/>
          <w:szCs w:val="18"/>
          <w:lang w:val="en-US"/>
        </w:rPr>
        <w:t xml:space="preserve">ial reports, increased cynicism, </w:t>
      </w:r>
      <w:r w:rsidRPr="009F1AC3">
        <w:rPr>
          <w:sz w:val="18"/>
          <w:szCs w:val="18"/>
          <w:lang w:val="en-US"/>
        </w:rPr>
        <w:t>and loss of faith in accounting based systems and increased regulatory constraints,</w:t>
      </w:r>
      <w:r>
        <w:rPr>
          <w:sz w:val="18"/>
          <w:szCs w:val="18"/>
          <w:lang w:val="en-US"/>
        </w:rPr>
        <w:t xml:space="preserve"> that are related with auditors</w:t>
      </w:r>
      <w:r w:rsidRPr="009F1AC3">
        <w:rPr>
          <w:sz w:val="18"/>
          <w:szCs w:val="18"/>
          <w:lang w:val="en-US"/>
        </w:rPr>
        <w:t xml:space="preserve"> and accountants’ conservatism.</w:t>
      </w:r>
    </w:p>
  </w:footnote>
  <w:footnote w:id="9">
    <w:p w:rsidR="00FD5242" w:rsidRDefault="00FD5242" w:rsidP="00DF79A8">
      <w:pPr>
        <w:pStyle w:val="FootnoteText"/>
        <w:ind w:firstLine="108"/>
      </w:pPr>
      <w:r w:rsidRPr="00BD54B0">
        <w:rPr>
          <w:rStyle w:val="FootnoteReference"/>
          <w:sz w:val="18"/>
          <w:szCs w:val="18"/>
        </w:rPr>
        <w:footnoteRef/>
      </w:r>
      <w:r w:rsidRPr="00BD54B0">
        <w:rPr>
          <w:sz w:val="18"/>
          <w:szCs w:val="18"/>
          <w:lang w:val="en-US"/>
        </w:rPr>
        <w:t xml:space="preserve"> More precisely, Myers et al. (2008) compared Big and non-Big audit firms’ going concern opinions after the enactment of the SOX-Act of 2002. Their findings were consistent with increased conservatism from the non-Big audit firms and higher levels of accuracy from the Big audit firms. Their tests were based on the number of both Type 1 (i.e. auditors a issue going concern opinion to a firm that does not declare bankruptcy after all) and Type 2 misclassifications (i.e. auditors fail to predict and report a going concern modified opinion to a firm that subsequently declares bankruptcy) of going concern modified opinions.</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5242" w:rsidRDefault="00FD5242" w:rsidP="00D61B0D">
    <w:pPr>
      <w:pStyle w:val="Header"/>
      <w:jc w:val="right"/>
    </w:pPr>
    <w:r w:rsidRPr="00096D51">
      <w:rPr>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i1026" type="#_x0000_t75" style="width:153pt;height:58.5pt;visibility:visible">
          <v:imagedata r:id="rId1" o:titl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B4BDE"/>
    <w:multiLevelType w:val="hybridMultilevel"/>
    <w:tmpl w:val="E38615D4"/>
    <w:lvl w:ilvl="0" w:tplc="60A4F5F2">
      <w:start w:val="1"/>
      <w:numFmt w:val="bullet"/>
      <w:lvlText w:val="-"/>
      <w:lvlJc w:val="left"/>
      <w:pPr>
        <w:ind w:left="720" w:hanging="360"/>
      </w:pPr>
      <w:rPr>
        <w:rFonts w:ascii="Calibri" w:eastAsia="Times New Roman" w:hAnsi="Calibri"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nsid w:val="03870ACA"/>
    <w:multiLevelType w:val="multilevel"/>
    <w:tmpl w:val="23DAAD58"/>
    <w:lvl w:ilvl="0">
      <w:start w:val="1"/>
      <w:numFmt w:val="decimal"/>
      <w:lvlText w:val="%1"/>
      <w:lvlJc w:val="left"/>
      <w:pPr>
        <w:ind w:left="480" w:hanging="480"/>
      </w:pPr>
      <w:rPr>
        <w:rFonts w:cs="Times New Roman" w:hint="default"/>
      </w:rPr>
    </w:lvl>
    <w:lvl w:ilvl="1">
      <w:start w:val="1"/>
      <w:numFmt w:val="decimal"/>
      <w:lvlText w:val="%1.%2"/>
      <w:lvlJc w:val="left"/>
      <w:pPr>
        <w:ind w:left="622" w:hanging="48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2">
    <w:nsid w:val="145957E8"/>
    <w:multiLevelType w:val="hybridMultilevel"/>
    <w:tmpl w:val="74789916"/>
    <w:lvl w:ilvl="0" w:tplc="8F74FBFC">
      <w:start w:val="1"/>
      <w:numFmt w:val="lowerLetter"/>
      <w:lvlText w:val="%1."/>
      <w:lvlJc w:val="left"/>
      <w:pPr>
        <w:ind w:left="405" w:hanging="360"/>
      </w:pPr>
      <w:rPr>
        <w:rFonts w:cs="Times New Roman" w:hint="default"/>
        <w:i w:val="0"/>
      </w:rPr>
    </w:lvl>
    <w:lvl w:ilvl="1" w:tplc="04080019" w:tentative="1">
      <w:start w:val="1"/>
      <w:numFmt w:val="lowerLetter"/>
      <w:lvlText w:val="%2."/>
      <w:lvlJc w:val="left"/>
      <w:pPr>
        <w:ind w:left="1125" w:hanging="360"/>
      </w:pPr>
      <w:rPr>
        <w:rFonts w:cs="Times New Roman"/>
      </w:rPr>
    </w:lvl>
    <w:lvl w:ilvl="2" w:tplc="0408001B" w:tentative="1">
      <w:start w:val="1"/>
      <w:numFmt w:val="lowerRoman"/>
      <w:lvlText w:val="%3."/>
      <w:lvlJc w:val="right"/>
      <w:pPr>
        <w:ind w:left="1845" w:hanging="180"/>
      </w:pPr>
      <w:rPr>
        <w:rFonts w:cs="Times New Roman"/>
      </w:rPr>
    </w:lvl>
    <w:lvl w:ilvl="3" w:tplc="0408000F" w:tentative="1">
      <w:start w:val="1"/>
      <w:numFmt w:val="decimal"/>
      <w:lvlText w:val="%4."/>
      <w:lvlJc w:val="left"/>
      <w:pPr>
        <w:ind w:left="2565" w:hanging="360"/>
      </w:pPr>
      <w:rPr>
        <w:rFonts w:cs="Times New Roman"/>
      </w:rPr>
    </w:lvl>
    <w:lvl w:ilvl="4" w:tplc="04080019" w:tentative="1">
      <w:start w:val="1"/>
      <w:numFmt w:val="lowerLetter"/>
      <w:lvlText w:val="%5."/>
      <w:lvlJc w:val="left"/>
      <w:pPr>
        <w:ind w:left="3285" w:hanging="360"/>
      </w:pPr>
      <w:rPr>
        <w:rFonts w:cs="Times New Roman"/>
      </w:rPr>
    </w:lvl>
    <w:lvl w:ilvl="5" w:tplc="0408001B" w:tentative="1">
      <w:start w:val="1"/>
      <w:numFmt w:val="lowerRoman"/>
      <w:lvlText w:val="%6."/>
      <w:lvlJc w:val="right"/>
      <w:pPr>
        <w:ind w:left="4005" w:hanging="180"/>
      </w:pPr>
      <w:rPr>
        <w:rFonts w:cs="Times New Roman"/>
      </w:rPr>
    </w:lvl>
    <w:lvl w:ilvl="6" w:tplc="0408000F" w:tentative="1">
      <w:start w:val="1"/>
      <w:numFmt w:val="decimal"/>
      <w:lvlText w:val="%7."/>
      <w:lvlJc w:val="left"/>
      <w:pPr>
        <w:ind w:left="4725" w:hanging="360"/>
      </w:pPr>
      <w:rPr>
        <w:rFonts w:cs="Times New Roman"/>
      </w:rPr>
    </w:lvl>
    <w:lvl w:ilvl="7" w:tplc="04080019" w:tentative="1">
      <w:start w:val="1"/>
      <w:numFmt w:val="lowerLetter"/>
      <w:lvlText w:val="%8."/>
      <w:lvlJc w:val="left"/>
      <w:pPr>
        <w:ind w:left="5445" w:hanging="360"/>
      </w:pPr>
      <w:rPr>
        <w:rFonts w:cs="Times New Roman"/>
      </w:rPr>
    </w:lvl>
    <w:lvl w:ilvl="8" w:tplc="0408001B" w:tentative="1">
      <w:start w:val="1"/>
      <w:numFmt w:val="lowerRoman"/>
      <w:lvlText w:val="%9."/>
      <w:lvlJc w:val="right"/>
      <w:pPr>
        <w:ind w:left="6165" w:hanging="180"/>
      </w:pPr>
      <w:rPr>
        <w:rFonts w:cs="Times New Roman"/>
      </w:rPr>
    </w:lvl>
  </w:abstractNum>
  <w:abstractNum w:abstractNumId="3">
    <w:nsid w:val="19E35CBD"/>
    <w:multiLevelType w:val="multilevel"/>
    <w:tmpl w:val="FA08D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0416C6D"/>
    <w:multiLevelType w:val="hybridMultilevel"/>
    <w:tmpl w:val="6B3411CA"/>
    <w:lvl w:ilvl="0" w:tplc="CDEA0548">
      <w:start w:val="1"/>
      <w:numFmt w:val="lowerLetter"/>
      <w:lvlText w:val="%1."/>
      <w:lvlJc w:val="left"/>
      <w:pPr>
        <w:ind w:left="720" w:hanging="360"/>
      </w:pPr>
      <w:rPr>
        <w:rFonts w:cs="Times New Roman" w:hint="default"/>
        <w:i w:val="0"/>
      </w:rPr>
    </w:lvl>
    <w:lvl w:ilvl="1" w:tplc="04080019" w:tentative="1">
      <w:start w:val="1"/>
      <w:numFmt w:val="lowerLetter"/>
      <w:lvlText w:val="%2."/>
      <w:lvlJc w:val="left"/>
      <w:pPr>
        <w:ind w:left="1440" w:hanging="360"/>
      </w:pPr>
      <w:rPr>
        <w:rFonts w:cs="Times New Roman"/>
      </w:rPr>
    </w:lvl>
    <w:lvl w:ilvl="2" w:tplc="0408001B" w:tentative="1">
      <w:start w:val="1"/>
      <w:numFmt w:val="lowerRoman"/>
      <w:lvlText w:val="%3."/>
      <w:lvlJc w:val="right"/>
      <w:pPr>
        <w:ind w:left="2160" w:hanging="180"/>
      </w:pPr>
      <w:rPr>
        <w:rFonts w:cs="Times New Roman"/>
      </w:rPr>
    </w:lvl>
    <w:lvl w:ilvl="3" w:tplc="0408000F" w:tentative="1">
      <w:start w:val="1"/>
      <w:numFmt w:val="decimal"/>
      <w:lvlText w:val="%4."/>
      <w:lvlJc w:val="left"/>
      <w:pPr>
        <w:ind w:left="2880" w:hanging="360"/>
      </w:pPr>
      <w:rPr>
        <w:rFonts w:cs="Times New Roman"/>
      </w:rPr>
    </w:lvl>
    <w:lvl w:ilvl="4" w:tplc="04080019" w:tentative="1">
      <w:start w:val="1"/>
      <w:numFmt w:val="lowerLetter"/>
      <w:lvlText w:val="%5."/>
      <w:lvlJc w:val="left"/>
      <w:pPr>
        <w:ind w:left="3600" w:hanging="360"/>
      </w:pPr>
      <w:rPr>
        <w:rFonts w:cs="Times New Roman"/>
      </w:rPr>
    </w:lvl>
    <w:lvl w:ilvl="5" w:tplc="0408001B" w:tentative="1">
      <w:start w:val="1"/>
      <w:numFmt w:val="lowerRoman"/>
      <w:lvlText w:val="%6."/>
      <w:lvlJc w:val="right"/>
      <w:pPr>
        <w:ind w:left="4320" w:hanging="180"/>
      </w:pPr>
      <w:rPr>
        <w:rFonts w:cs="Times New Roman"/>
      </w:rPr>
    </w:lvl>
    <w:lvl w:ilvl="6" w:tplc="0408000F" w:tentative="1">
      <w:start w:val="1"/>
      <w:numFmt w:val="decimal"/>
      <w:lvlText w:val="%7."/>
      <w:lvlJc w:val="left"/>
      <w:pPr>
        <w:ind w:left="5040" w:hanging="360"/>
      </w:pPr>
      <w:rPr>
        <w:rFonts w:cs="Times New Roman"/>
      </w:rPr>
    </w:lvl>
    <w:lvl w:ilvl="7" w:tplc="04080019" w:tentative="1">
      <w:start w:val="1"/>
      <w:numFmt w:val="lowerLetter"/>
      <w:lvlText w:val="%8."/>
      <w:lvlJc w:val="left"/>
      <w:pPr>
        <w:ind w:left="5760" w:hanging="360"/>
      </w:pPr>
      <w:rPr>
        <w:rFonts w:cs="Times New Roman"/>
      </w:rPr>
    </w:lvl>
    <w:lvl w:ilvl="8" w:tplc="0408001B" w:tentative="1">
      <w:start w:val="1"/>
      <w:numFmt w:val="lowerRoman"/>
      <w:lvlText w:val="%9."/>
      <w:lvlJc w:val="right"/>
      <w:pPr>
        <w:ind w:left="6480" w:hanging="180"/>
      </w:pPr>
      <w:rPr>
        <w:rFonts w:cs="Times New Roman"/>
      </w:rPr>
    </w:lvl>
  </w:abstractNum>
  <w:abstractNum w:abstractNumId="5">
    <w:nsid w:val="3967541D"/>
    <w:multiLevelType w:val="multilevel"/>
    <w:tmpl w:val="6240C84C"/>
    <w:lvl w:ilvl="0">
      <w:start w:val="1"/>
      <w:numFmt w:val="decimal"/>
      <w:lvlText w:val="%1"/>
      <w:lvlJc w:val="left"/>
      <w:pPr>
        <w:ind w:left="480" w:hanging="480"/>
      </w:pPr>
      <w:rPr>
        <w:rFonts w:cs="Times New Roman" w:hint="default"/>
      </w:rPr>
    </w:lvl>
    <w:lvl w:ilvl="1">
      <w:start w:val="1"/>
      <w:numFmt w:val="decimal"/>
      <w:lvlText w:val="%1.%2"/>
      <w:lvlJc w:val="left"/>
      <w:pPr>
        <w:ind w:left="480" w:hanging="48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6">
    <w:nsid w:val="40110553"/>
    <w:multiLevelType w:val="multilevel"/>
    <w:tmpl w:val="D9A88A4A"/>
    <w:lvl w:ilvl="0">
      <w:start w:val="2"/>
      <w:numFmt w:val="decimal"/>
      <w:lvlText w:val="%1"/>
      <w:lvlJc w:val="left"/>
      <w:pPr>
        <w:ind w:left="360" w:hanging="360"/>
      </w:pPr>
      <w:rPr>
        <w:rFonts w:cs="Times New Roman" w:hint="default"/>
      </w:rPr>
    </w:lvl>
    <w:lvl w:ilvl="1">
      <w:start w:val="2"/>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7">
    <w:nsid w:val="414F3979"/>
    <w:multiLevelType w:val="multilevel"/>
    <w:tmpl w:val="AAAC2288"/>
    <w:lvl w:ilvl="0">
      <w:start w:val="1"/>
      <w:numFmt w:val="decimal"/>
      <w:lvlText w:val="%1"/>
      <w:lvlJc w:val="left"/>
      <w:pPr>
        <w:ind w:left="480" w:hanging="480"/>
      </w:pPr>
      <w:rPr>
        <w:rFonts w:cs="Times New Roman" w:hint="default"/>
      </w:rPr>
    </w:lvl>
    <w:lvl w:ilvl="1">
      <w:start w:val="1"/>
      <w:numFmt w:val="decimal"/>
      <w:lvlText w:val="%1.%2"/>
      <w:lvlJc w:val="left"/>
      <w:pPr>
        <w:ind w:left="480" w:hanging="480"/>
      </w:pPr>
      <w:rPr>
        <w:rFonts w:cs="Times New Roman" w:hint="default"/>
        <w:u w:val="none"/>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8">
    <w:nsid w:val="61BB0442"/>
    <w:multiLevelType w:val="multilevel"/>
    <w:tmpl w:val="1FC082F6"/>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9">
    <w:nsid w:val="70151B6F"/>
    <w:multiLevelType w:val="multilevel"/>
    <w:tmpl w:val="2E8065C4"/>
    <w:lvl w:ilvl="0">
      <w:start w:val="1"/>
      <w:numFmt w:val="decimal"/>
      <w:lvlText w:val="%1."/>
      <w:lvlJc w:val="left"/>
      <w:pPr>
        <w:ind w:left="510" w:hanging="510"/>
      </w:pPr>
      <w:rPr>
        <w:rFonts w:cs="Times New Roman" w:hint="default"/>
      </w:rPr>
    </w:lvl>
    <w:lvl w:ilvl="1">
      <w:start w:val="1"/>
      <w:numFmt w:val="decimal"/>
      <w:lvlText w:val="%1.%2."/>
      <w:lvlJc w:val="left"/>
      <w:pPr>
        <w:ind w:left="510" w:hanging="510"/>
      </w:pPr>
      <w:rPr>
        <w:rFonts w:cs="Times New Roman" w:hint="default"/>
      </w:rPr>
    </w:lvl>
    <w:lvl w:ilvl="2">
      <w:start w:val="3"/>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0">
    <w:nsid w:val="714B1E2D"/>
    <w:multiLevelType w:val="multilevel"/>
    <w:tmpl w:val="D56632F4"/>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11">
    <w:nsid w:val="76AA3C36"/>
    <w:multiLevelType w:val="multilevel"/>
    <w:tmpl w:val="D9A88A4A"/>
    <w:lvl w:ilvl="0">
      <w:start w:val="2"/>
      <w:numFmt w:val="decimal"/>
      <w:lvlText w:val="%1"/>
      <w:lvlJc w:val="left"/>
      <w:pPr>
        <w:ind w:left="360" w:hanging="360"/>
      </w:pPr>
      <w:rPr>
        <w:rFonts w:cs="Times New Roman" w:hint="default"/>
      </w:rPr>
    </w:lvl>
    <w:lvl w:ilvl="1">
      <w:start w:val="2"/>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12">
    <w:nsid w:val="7B4D17DF"/>
    <w:multiLevelType w:val="hybridMultilevel"/>
    <w:tmpl w:val="8DFEE1E4"/>
    <w:lvl w:ilvl="0" w:tplc="F424CF12">
      <w:start w:val="1"/>
      <w:numFmt w:val="lowerLetter"/>
      <w:lvlText w:val="%1)"/>
      <w:lvlJc w:val="left"/>
      <w:pPr>
        <w:ind w:left="720" w:hanging="360"/>
      </w:pPr>
      <w:rPr>
        <w:rFonts w:cs="Arial" w:hint="default"/>
        <w:color w:val="000000"/>
      </w:rPr>
    </w:lvl>
    <w:lvl w:ilvl="1" w:tplc="04080019" w:tentative="1">
      <w:start w:val="1"/>
      <w:numFmt w:val="lowerLetter"/>
      <w:lvlText w:val="%2."/>
      <w:lvlJc w:val="left"/>
      <w:pPr>
        <w:ind w:left="1440" w:hanging="360"/>
      </w:pPr>
      <w:rPr>
        <w:rFonts w:cs="Times New Roman"/>
      </w:rPr>
    </w:lvl>
    <w:lvl w:ilvl="2" w:tplc="0408001B" w:tentative="1">
      <w:start w:val="1"/>
      <w:numFmt w:val="lowerRoman"/>
      <w:lvlText w:val="%3."/>
      <w:lvlJc w:val="right"/>
      <w:pPr>
        <w:ind w:left="2160" w:hanging="180"/>
      </w:pPr>
      <w:rPr>
        <w:rFonts w:cs="Times New Roman"/>
      </w:rPr>
    </w:lvl>
    <w:lvl w:ilvl="3" w:tplc="0408000F" w:tentative="1">
      <w:start w:val="1"/>
      <w:numFmt w:val="decimal"/>
      <w:lvlText w:val="%4."/>
      <w:lvlJc w:val="left"/>
      <w:pPr>
        <w:ind w:left="2880" w:hanging="360"/>
      </w:pPr>
      <w:rPr>
        <w:rFonts w:cs="Times New Roman"/>
      </w:rPr>
    </w:lvl>
    <w:lvl w:ilvl="4" w:tplc="04080019" w:tentative="1">
      <w:start w:val="1"/>
      <w:numFmt w:val="lowerLetter"/>
      <w:lvlText w:val="%5."/>
      <w:lvlJc w:val="left"/>
      <w:pPr>
        <w:ind w:left="3600" w:hanging="360"/>
      </w:pPr>
      <w:rPr>
        <w:rFonts w:cs="Times New Roman"/>
      </w:rPr>
    </w:lvl>
    <w:lvl w:ilvl="5" w:tplc="0408001B" w:tentative="1">
      <w:start w:val="1"/>
      <w:numFmt w:val="lowerRoman"/>
      <w:lvlText w:val="%6."/>
      <w:lvlJc w:val="right"/>
      <w:pPr>
        <w:ind w:left="4320" w:hanging="180"/>
      </w:pPr>
      <w:rPr>
        <w:rFonts w:cs="Times New Roman"/>
      </w:rPr>
    </w:lvl>
    <w:lvl w:ilvl="6" w:tplc="0408000F" w:tentative="1">
      <w:start w:val="1"/>
      <w:numFmt w:val="decimal"/>
      <w:lvlText w:val="%7."/>
      <w:lvlJc w:val="left"/>
      <w:pPr>
        <w:ind w:left="5040" w:hanging="360"/>
      </w:pPr>
      <w:rPr>
        <w:rFonts w:cs="Times New Roman"/>
      </w:rPr>
    </w:lvl>
    <w:lvl w:ilvl="7" w:tplc="04080019" w:tentative="1">
      <w:start w:val="1"/>
      <w:numFmt w:val="lowerLetter"/>
      <w:lvlText w:val="%8."/>
      <w:lvlJc w:val="left"/>
      <w:pPr>
        <w:ind w:left="5760" w:hanging="360"/>
      </w:pPr>
      <w:rPr>
        <w:rFonts w:cs="Times New Roman"/>
      </w:rPr>
    </w:lvl>
    <w:lvl w:ilvl="8" w:tplc="0408001B" w:tentative="1">
      <w:start w:val="1"/>
      <w:numFmt w:val="lowerRoman"/>
      <w:lvlText w:val="%9."/>
      <w:lvlJc w:val="right"/>
      <w:pPr>
        <w:ind w:left="6480" w:hanging="180"/>
      </w:pPr>
      <w:rPr>
        <w:rFonts w:cs="Times New Roman"/>
      </w:rPr>
    </w:lvl>
  </w:abstractNum>
  <w:abstractNum w:abstractNumId="13">
    <w:nsid w:val="7C244EB8"/>
    <w:multiLevelType w:val="multilevel"/>
    <w:tmpl w:val="2E8065C4"/>
    <w:lvl w:ilvl="0">
      <w:start w:val="1"/>
      <w:numFmt w:val="decimal"/>
      <w:lvlText w:val="%1."/>
      <w:lvlJc w:val="left"/>
      <w:pPr>
        <w:ind w:left="510" w:hanging="510"/>
      </w:pPr>
      <w:rPr>
        <w:rFonts w:cs="Times New Roman" w:hint="default"/>
      </w:rPr>
    </w:lvl>
    <w:lvl w:ilvl="1">
      <w:start w:val="1"/>
      <w:numFmt w:val="decimal"/>
      <w:lvlText w:val="%1.%2."/>
      <w:lvlJc w:val="left"/>
      <w:pPr>
        <w:ind w:left="510" w:hanging="510"/>
      </w:pPr>
      <w:rPr>
        <w:rFonts w:cs="Times New Roman" w:hint="default"/>
      </w:rPr>
    </w:lvl>
    <w:lvl w:ilvl="2">
      <w:start w:val="3"/>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num w:numId="1">
    <w:abstractNumId w:val="7"/>
  </w:num>
  <w:num w:numId="2">
    <w:abstractNumId w:val="1"/>
  </w:num>
  <w:num w:numId="3">
    <w:abstractNumId w:val="4"/>
  </w:num>
  <w:num w:numId="4">
    <w:abstractNumId w:val="0"/>
  </w:num>
  <w:num w:numId="5">
    <w:abstractNumId w:val="2"/>
  </w:num>
  <w:num w:numId="6">
    <w:abstractNumId w:val="9"/>
  </w:num>
  <w:num w:numId="7">
    <w:abstractNumId w:val="13"/>
  </w:num>
  <w:num w:numId="8">
    <w:abstractNumId w:val="5"/>
  </w:num>
  <w:num w:numId="9">
    <w:abstractNumId w:val="6"/>
  </w:num>
  <w:num w:numId="10">
    <w:abstractNumId w:val="11"/>
  </w:num>
  <w:num w:numId="11">
    <w:abstractNumId w:val="8"/>
  </w:num>
  <w:num w:numId="12">
    <w:abstractNumId w:val="3"/>
  </w:num>
  <w:num w:numId="13">
    <w:abstractNumId w:val="12"/>
  </w:num>
  <w:num w:numId="14">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200"/>
  <w:defaultTabStop w:val="720"/>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D085E"/>
    <w:rsid w:val="0000547D"/>
    <w:rsid w:val="000061B4"/>
    <w:rsid w:val="00006AC8"/>
    <w:rsid w:val="0001297E"/>
    <w:rsid w:val="00016EFA"/>
    <w:rsid w:val="00017FC3"/>
    <w:rsid w:val="00020A50"/>
    <w:rsid w:val="00020FBB"/>
    <w:rsid w:val="000256EB"/>
    <w:rsid w:val="00025FF9"/>
    <w:rsid w:val="00031BF3"/>
    <w:rsid w:val="00036131"/>
    <w:rsid w:val="00042001"/>
    <w:rsid w:val="00043E3F"/>
    <w:rsid w:val="00043E75"/>
    <w:rsid w:val="0004500E"/>
    <w:rsid w:val="000461E0"/>
    <w:rsid w:val="0005282B"/>
    <w:rsid w:val="00053A06"/>
    <w:rsid w:val="00055502"/>
    <w:rsid w:val="00060553"/>
    <w:rsid w:val="00061A91"/>
    <w:rsid w:val="00062605"/>
    <w:rsid w:val="00063B53"/>
    <w:rsid w:val="0006427B"/>
    <w:rsid w:val="00065AE0"/>
    <w:rsid w:val="000662D5"/>
    <w:rsid w:val="00066C40"/>
    <w:rsid w:val="000718A7"/>
    <w:rsid w:val="000729B6"/>
    <w:rsid w:val="00072CD6"/>
    <w:rsid w:val="0007456A"/>
    <w:rsid w:val="00076875"/>
    <w:rsid w:val="000808D1"/>
    <w:rsid w:val="0008135F"/>
    <w:rsid w:val="000845C3"/>
    <w:rsid w:val="00084F92"/>
    <w:rsid w:val="00085809"/>
    <w:rsid w:val="00096D51"/>
    <w:rsid w:val="0009738C"/>
    <w:rsid w:val="00097A3B"/>
    <w:rsid w:val="000A0484"/>
    <w:rsid w:val="000A04DC"/>
    <w:rsid w:val="000A4E96"/>
    <w:rsid w:val="000B0C97"/>
    <w:rsid w:val="000B2475"/>
    <w:rsid w:val="000B2D54"/>
    <w:rsid w:val="000C1E50"/>
    <w:rsid w:val="000C2338"/>
    <w:rsid w:val="000C3B98"/>
    <w:rsid w:val="000C48B3"/>
    <w:rsid w:val="000D155F"/>
    <w:rsid w:val="000D5A62"/>
    <w:rsid w:val="000D6C84"/>
    <w:rsid w:val="000D7EC9"/>
    <w:rsid w:val="000E2E26"/>
    <w:rsid w:val="000E4869"/>
    <w:rsid w:val="000F08C8"/>
    <w:rsid w:val="000F0E37"/>
    <w:rsid w:val="000F1F82"/>
    <w:rsid w:val="000F275D"/>
    <w:rsid w:val="000F29E0"/>
    <w:rsid w:val="000F36D9"/>
    <w:rsid w:val="000F71EA"/>
    <w:rsid w:val="000F7A45"/>
    <w:rsid w:val="001027E9"/>
    <w:rsid w:val="00102875"/>
    <w:rsid w:val="00102FFE"/>
    <w:rsid w:val="00106451"/>
    <w:rsid w:val="001102E7"/>
    <w:rsid w:val="00111C78"/>
    <w:rsid w:val="00116EDB"/>
    <w:rsid w:val="001173EB"/>
    <w:rsid w:val="00121BF1"/>
    <w:rsid w:val="001224AB"/>
    <w:rsid w:val="0012561E"/>
    <w:rsid w:val="001256FC"/>
    <w:rsid w:val="00126138"/>
    <w:rsid w:val="00126F6C"/>
    <w:rsid w:val="00132D9C"/>
    <w:rsid w:val="00134335"/>
    <w:rsid w:val="0013498D"/>
    <w:rsid w:val="00137C2B"/>
    <w:rsid w:val="00137EDE"/>
    <w:rsid w:val="001425CF"/>
    <w:rsid w:val="00144902"/>
    <w:rsid w:val="00146337"/>
    <w:rsid w:val="0014706A"/>
    <w:rsid w:val="0015017F"/>
    <w:rsid w:val="00151502"/>
    <w:rsid w:val="00151C34"/>
    <w:rsid w:val="00152986"/>
    <w:rsid w:val="001606A4"/>
    <w:rsid w:val="00163F2C"/>
    <w:rsid w:val="00165861"/>
    <w:rsid w:val="001679DA"/>
    <w:rsid w:val="00172F45"/>
    <w:rsid w:val="0017355B"/>
    <w:rsid w:val="00174634"/>
    <w:rsid w:val="001746BA"/>
    <w:rsid w:val="00174E18"/>
    <w:rsid w:val="00177D76"/>
    <w:rsid w:val="001846CD"/>
    <w:rsid w:val="00185F26"/>
    <w:rsid w:val="00187890"/>
    <w:rsid w:val="0019026A"/>
    <w:rsid w:val="0019361E"/>
    <w:rsid w:val="00195FD8"/>
    <w:rsid w:val="001A0443"/>
    <w:rsid w:val="001A28E8"/>
    <w:rsid w:val="001B573C"/>
    <w:rsid w:val="001B5795"/>
    <w:rsid w:val="001B77D0"/>
    <w:rsid w:val="001C4634"/>
    <w:rsid w:val="001C628E"/>
    <w:rsid w:val="001C6842"/>
    <w:rsid w:val="001C6A6A"/>
    <w:rsid w:val="001D035F"/>
    <w:rsid w:val="001D13E7"/>
    <w:rsid w:val="001D16F0"/>
    <w:rsid w:val="001D360D"/>
    <w:rsid w:val="001D4C22"/>
    <w:rsid w:val="001E0B9C"/>
    <w:rsid w:val="001E25B6"/>
    <w:rsid w:val="001E2FC8"/>
    <w:rsid w:val="001E56B4"/>
    <w:rsid w:val="001E788D"/>
    <w:rsid w:val="001F5F44"/>
    <w:rsid w:val="001F69AB"/>
    <w:rsid w:val="001F74C1"/>
    <w:rsid w:val="001F7A7D"/>
    <w:rsid w:val="00205100"/>
    <w:rsid w:val="00206032"/>
    <w:rsid w:val="002060D0"/>
    <w:rsid w:val="00206C00"/>
    <w:rsid w:val="002134B6"/>
    <w:rsid w:val="00214FDC"/>
    <w:rsid w:val="0021592F"/>
    <w:rsid w:val="002205DA"/>
    <w:rsid w:val="00221BF5"/>
    <w:rsid w:val="002275E6"/>
    <w:rsid w:val="00232356"/>
    <w:rsid w:val="002340C1"/>
    <w:rsid w:val="00234F59"/>
    <w:rsid w:val="002358D3"/>
    <w:rsid w:val="0023621A"/>
    <w:rsid w:val="00236EC3"/>
    <w:rsid w:val="00241C5E"/>
    <w:rsid w:val="00242EDF"/>
    <w:rsid w:val="00244F3E"/>
    <w:rsid w:val="00245730"/>
    <w:rsid w:val="00245948"/>
    <w:rsid w:val="0024791A"/>
    <w:rsid w:val="00253B88"/>
    <w:rsid w:val="00253EEB"/>
    <w:rsid w:val="002573FE"/>
    <w:rsid w:val="002578B0"/>
    <w:rsid w:val="00257BF9"/>
    <w:rsid w:val="00257C5F"/>
    <w:rsid w:val="0026032B"/>
    <w:rsid w:val="00261274"/>
    <w:rsid w:val="00265A77"/>
    <w:rsid w:val="00273BA7"/>
    <w:rsid w:val="002745D7"/>
    <w:rsid w:val="00280B1B"/>
    <w:rsid w:val="002811DF"/>
    <w:rsid w:val="00281721"/>
    <w:rsid w:val="00286AE1"/>
    <w:rsid w:val="002902B9"/>
    <w:rsid w:val="00290C2E"/>
    <w:rsid w:val="00290C70"/>
    <w:rsid w:val="002944E8"/>
    <w:rsid w:val="00295293"/>
    <w:rsid w:val="002971AA"/>
    <w:rsid w:val="00297D99"/>
    <w:rsid w:val="002A0233"/>
    <w:rsid w:val="002A1DE1"/>
    <w:rsid w:val="002A33AA"/>
    <w:rsid w:val="002A470C"/>
    <w:rsid w:val="002A5081"/>
    <w:rsid w:val="002A52CA"/>
    <w:rsid w:val="002A6708"/>
    <w:rsid w:val="002B53F8"/>
    <w:rsid w:val="002B629A"/>
    <w:rsid w:val="002C167D"/>
    <w:rsid w:val="002C1A2E"/>
    <w:rsid w:val="002C1B1F"/>
    <w:rsid w:val="002C47E4"/>
    <w:rsid w:val="002C5987"/>
    <w:rsid w:val="002C5D33"/>
    <w:rsid w:val="002C5DFF"/>
    <w:rsid w:val="002D4FDA"/>
    <w:rsid w:val="002D54B0"/>
    <w:rsid w:val="002D5506"/>
    <w:rsid w:val="002D5651"/>
    <w:rsid w:val="002D6EB2"/>
    <w:rsid w:val="002E22DD"/>
    <w:rsid w:val="002E34F5"/>
    <w:rsid w:val="002E3EFF"/>
    <w:rsid w:val="002E4C3A"/>
    <w:rsid w:val="002E5060"/>
    <w:rsid w:val="002E57E6"/>
    <w:rsid w:val="002E7408"/>
    <w:rsid w:val="002E7EFC"/>
    <w:rsid w:val="002F0138"/>
    <w:rsid w:val="002F0252"/>
    <w:rsid w:val="002F68F9"/>
    <w:rsid w:val="00300F5D"/>
    <w:rsid w:val="00301535"/>
    <w:rsid w:val="003068A6"/>
    <w:rsid w:val="0030712E"/>
    <w:rsid w:val="00307B0F"/>
    <w:rsid w:val="003127E8"/>
    <w:rsid w:val="00312F85"/>
    <w:rsid w:val="00316A3A"/>
    <w:rsid w:val="003237EF"/>
    <w:rsid w:val="0032424A"/>
    <w:rsid w:val="0032551D"/>
    <w:rsid w:val="003258EF"/>
    <w:rsid w:val="00326B44"/>
    <w:rsid w:val="003301FE"/>
    <w:rsid w:val="0033288F"/>
    <w:rsid w:val="00337B23"/>
    <w:rsid w:val="00341FFF"/>
    <w:rsid w:val="00345818"/>
    <w:rsid w:val="00346DDA"/>
    <w:rsid w:val="0035205C"/>
    <w:rsid w:val="003524EE"/>
    <w:rsid w:val="00352964"/>
    <w:rsid w:val="003539DD"/>
    <w:rsid w:val="00353D2A"/>
    <w:rsid w:val="003610C0"/>
    <w:rsid w:val="003623CE"/>
    <w:rsid w:val="00372D7C"/>
    <w:rsid w:val="00373AE9"/>
    <w:rsid w:val="003748AB"/>
    <w:rsid w:val="003748DC"/>
    <w:rsid w:val="00376F14"/>
    <w:rsid w:val="00377231"/>
    <w:rsid w:val="00385D2D"/>
    <w:rsid w:val="00386109"/>
    <w:rsid w:val="00387233"/>
    <w:rsid w:val="00387E39"/>
    <w:rsid w:val="003900C5"/>
    <w:rsid w:val="00392684"/>
    <w:rsid w:val="0039278D"/>
    <w:rsid w:val="00395E17"/>
    <w:rsid w:val="0039633B"/>
    <w:rsid w:val="003971E5"/>
    <w:rsid w:val="0039724F"/>
    <w:rsid w:val="00397C07"/>
    <w:rsid w:val="003A00C0"/>
    <w:rsid w:val="003A23DA"/>
    <w:rsid w:val="003A24E2"/>
    <w:rsid w:val="003A757C"/>
    <w:rsid w:val="003B3FEE"/>
    <w:rsid w:val="003B514B"/>
    <w:rsid w:val="003B65A6"/>
    <w:rsid w:val="003B6645"/>
    <w:rsid w:val="003B6F77"/>
    <w:rsid w:val="003C043F"/>
    <w:rsid w:val="003D0B6D"/>
    <w:rsid w:val="003D13CF"/>
    <w:rsid w:val="003D29E5"/>
    <w:rsid w:val="003D2E1A"/>
    <w:rsid w:val="003D3256"/>
    <w:rsid w:val="003E11E9"/>
    <w:rsid w:val="003F48E3"/>
    <w:rsid w:val="003F63D2"/>
    <w:rsid w:val="004028B6"/>
    <w:rsid w:val="004066CA"/>
    <w:rsid w:val="00407E6F"/>
    <w:rsid w:val="00411641"/>
    <w:rsid w:val="00413B02"/>
    <w:rsid w:val="00414F6A"/>
    <w:rsid w:val="00415A2E"/>
    <w:rsid w:val="00415BB5"/>
    <w:rsid w:val="00417066"/>
    <w:rsid w:val="00417FDF"/>
    <w:rsid w:val="0042440C"/>
    <w:rsid w:val="004244ED"/>
    <w:rsid w:val="00425AD4"/>
    <w:rsid w:val="00431997"/>
    <w:rsid w:val="004323BD"/>
    <w:rsid w:val="0043553B"/>
    <w:rsid w:val="00436EAF"/>
    <w:rsid w:val="0044029D"/>
    <w:rsid w:val="0044064F"/>
    <w:rsid w:val="00443A64"/>
    <w:rsid w:val="00447A0E"/>
    <w:rsid w:val="004508E0"/>
    <w:rsid w:val="00451394"/>
    <w:rsid w:val="00453367"/>
    <w:rsid w:val="0045550D"/>
    <w:rsid w:val="004568E9"/>
    <w:rsid w:val="00456996"/>
    <w:rsid w:val="00457E9F"/>
    <w:rsid w:val="00460893"/>
    <w:rsid w:val="00464B30"/>
    <w:rsid w:val="00473645"/>
    <w:rsid w:val="0047377E"/>
    <w:rsid w:val="0048246F"/>
    <w:rsid w:val="00482689"/>
    <w:rsid w:val="0048590D"/>
    <w:rsid w:val="0048637E"/>
    <w:rsid w:val="004918AA"/>
    <w:rsid w:val="0049249E"/>
    <w:rsid w:val="0049701B"/>
    <w:rsid w:val="004979D2"/>
    <w:rsid w:val="004A14F7"/>
    <w:rsid w:val="004A27BD"/>
    <w:rsid w:val="004B0D1F"/>
    <w:rsid w:val="004B42D1"/>
    <w:rsid w:val="004B696E"/>
    <w:rsid w:val="004C1D18"/>
    <w:rsid w:val="004C21AE"/>
    <w:rsid w:val="004C2E8C"/>
    <w:rsid w:val="004C301F"/>
    <w:rsid w:val="004C393D"/>
    <w:rsid w:val="004C3D49"/>
    <w:rsid w:val="004C5AF0"/>
    <w:rsid w:val="004C7A55"/>
    <w:rsid w:val="004D2625"/>
    <w:rsid w:val="004D334E"/>
    <w:rsid w:val="004D525A"/>
    <w:rsid w:val="004E0338"/>
    <w:rsid w:val="004E12B7"/>
    <w:rsid w:val="004E51A5"/>
    <w:rsid w:val="004E5EF8"/>
    <w:rsid w:val="004E75F7"/>
    <w:rsid w:val="004F0212"/>
    <w:rsid w:val="004F27AB"/>
    <w:rsid w:val="004F2F19"/>
    <w:rsid w:val="004F3CC4"/>
    <w:rsid w:val="004F6A6A"/>
    <w:rsid w:val="004F778D"/>
    <w:rsid w:val="004F7F72"/>
    <w:rsid w:val="005024E1"/>
    <w:rsid w:val="00503136"/>
    <w:rsid w:val="00503441"/>
    <w:rsid w:val="00504A54"/>
    <w:rsid w:val="00506468"/>
    <w:rsid w:val="005065B2"/>
    <w:rsid w:val="00506896"/>
    <w:rsid w:val="0050774B"/>
    <w:rsid w:val="0050781B"/>
    <w:rsid w:val="00512526"/>
    <w:rsid w:val="005150AC"/>
    <w:rsid w:val="005152AD"/>
    <w:rsid w:val="00515F7C"/>
    <w:rsid w:val="00516F39"/>
    <w:rsid w:val="00522EFC"/>
    <w:rsid w:val="00527017"/>
    <w:rsid w:val="00530085"/>
    <w:rsid w:val="00531CE5"/>
    <w:rsid w:val="0053437B"/>
    <w:rsid w:val="005360AD"/>
    <w:rsid w:val="00541075"/>
    <w:rsid w:val="00543812"/>
    <w:rsid w:val="00551CED"/>
    <w:rsid w:val="00552DDD"/>
    <w:rsid w:val="00554081"/>
    <w:rsid w:val="00554BC2"/>
    <w:rsid w:val="00556498"/>
    <w:rsid w:val="005573C6"/>
    <w:rsid w:val="00562284"/>
    <w:rsid w:val="005626DF"/>
    <w:rsid w:val="005652C2"/>
    <w:rsid w:val="005672A1"/>
    <w:rsid w:val="0057008D"/>
    <w:rsid w:val="0057092F"/>
    <w:rsid w:val="00570945"/>
    <w:rsid w:val="005757EC"/>
    <w:rsid w:val="00576616"/>
    <w:rsid w:val="00581ED9"/>
    <w:rsid w:val="00585130"/>
    <w:rsid w:val="005861FB"/>
    <w:rsid w:val="005911BB"/>
    <w:rsid w:val="0059208D"/>
    <w:rsid w:val="005920E5"/>
    <w:rsid w:val="005941A8"/>
    <w:rsid w:val="005A0730"/>
    <w:rsid w:val="005A07D0"/>
    <w:rsid w:val="005A3DC6"/>
    <w:rsid w:val="005B05E8"/>
    <w:rsid w:val="005B0F1C"/>
    <w:rsid w:val="005B15DB"/>
    <w:rsid w:val="005B3F19"/>
    <w:rsid w:val="005B6DEF"/>
    <w:rsid w:val="005B7858"/>
    <w:rsid w:val="005B7BAA"/>
    <w:rsid w:val="005C1E74"/>
    <w:rsid w:val="005C4442"/>
    <w:rsid w:val="005C6C9B"/>
    <w:rsid w:val="005D1C3B"/>
    <w:rsid w:val="005D2A5F"/>
    <w:rsid w:val="005D3881"/>
    <w:rsid w:val="005D78A6"/>
    <w:rsid w:val="005E12A6"/>
    <w:rsid w:val="005E22D6"/>
    <w:rsid w:val="005E3BBB"/>
    <w:rsid w:val="005E437F"/>
    <w:rsid w:val="005F11BC"/>
    <w:rsid w:val="005F2BA5"/>
    <w:rsid w:val="005F3BE7"/>
    <w:rsid w:val="005F4056"/>
    <w:rsid w:val="005F527C"/>
    <w:rsid w:val="005F6837"/>
    <w:rsid w:val="0060388F"/>
    <w:rsid w:val="00613306"/>
    <w:rsid w:val="00613F5F"/>
    <w:rsid w:val="00615DD5"/>
    <w:rsid w:val="00616C04"/>
    <w:rsid w:val="00616D66"/>
    <w:rsid w:val="0061718F"/>
    <w:rsid w:val="0061789E"/>
    <w:rsid w:val="00620837"/>
    <w:rsid w:val="006209F8"/>
    <w:rsid w:val="00620F11"/>
    <w:rsid w:val="00621547"/>
    <w:rsid w:val="006237FD"/>
    <w:rsid w:val="006240ED"/>
    <w:rsid w:val="00625CBB"/>
    <w:rsid w:val="00626CFB"/>
    <w:rsid w:val="0062738C"/>
    <w:rsid w:val="00630913"/>
    <w:rsid w:val="00630C84"/>
    <w:rsid w:val="006312C2"/>
    <w:rsid w:val="00632666"/>
    <w:rsid w:val="0063290E"/>
    <w:rsid w:val="00633C2B"/>
    <w:rsid w:val="0063652E"/>
    <w:rsid w:val="006370B5"/>
    <w:rsid w:val="00637175"/>
    <w:rsid w:val="006376F7"/>
    <w:rsid w:val="0064136B"/>
    <w:rsid w:val="00641993"/>
    <w:rsid w:val="00643E08"/>
    <w:rsid w:val="0064664F"/>
    <w:rsid w:val="00654C2D"/>
    <w:rsid w:val="006560C1"/>
    <w:rsid w:val="00661900"/>
    <w:rsid w:val="00662D21"/>
    <w:rsid w:val="00664265"/>
    <w:rsid w:val="00665CEF"/>
    <w:rsid w:val="0066780B"/>
    <w:rsid w:val="00671C71"/>
    <w:rsid w:val="006770AC"/>
    <w:rsid w:val="006820A4"/>
    <w:rsid w:val="00684F52"/>
    <w:rsid w:val="006902FE"/>
    <w:rsid w:val="006929F2"/>
    <w:rsid w:val="00693657"/>
    <w:rsid w:val="00693CAB"/>
    <w:rsid w:val="00694A74"/>
    <w:rsid w:val="00694CBD"/>
    <w:rsid w:val="006955A7"/>
    <w:rsid w:val="00696154"/>
    <w:rsid w:val="006A0439"/>
    <w:rsid w:val="006A0605"/>
    <w:rsid w:val="006A6F50"/>
    <w:rsid w:val="006B2794"/>
    <w:rsid w:val="006B626A"/>
    <w:rsid w:val="006C2A75"/>
    <w:rsid w:val="006C45C6"/>
    <w:rsid w:val="006C48C8"/>
    <w:rsid w:val="006C7093"/>
    <w:rsid w:val="006D4C9C"/>
    <w:rsid w:val="006E41FA"/>
    <w:rsid w:val="006E77E9"/>
    <w:rsid w:val="006F001A"/>
    <w:rsid w:val="006F1E2A"/>
    <w:rsid w:val="006F4F62"/>
    <w:rsid w:val="006F767E"/>
    <w:rsid w:val="006F76D3"/>
    <w:rsid w:val="006F7B38"/>
    <w:rsid w:val="006F7C88"/>
    <w:rsid w:val="00703A83"/>
    <w:rsid w:val="00705EE1"/>
    <w:rsid w:val="00706343"/>
    <w:rsid w:val="00706D01"/>
    <w:rsid w:val="00712A57"/>
    <w:rsid w:val="00713AD4"/>
    <w:rsid w:val="007146E4"/>
    <w:rsid w:val="00715A57"/>
    <w:rsid w:val="00715A76"/>
    <w:rsid w:val="00716ECD"/>
    <w:rsid w:val="00732DC5"/>
    <w:rsid w:val="00736545"/>
    <w:rsid w:val="00737971"/>
    <w:rsid w:val="007419C1"/>
    <w:rsid w:val="007449D4"/>
    <w:rsid w:val="0076249E"/>
    <w:rsid w:val="00763C01"/>
    <w:rsid w:val="00764838"/>
    <w:rsid w:val="00764D80"/>
    <w:rsid w:val="00772476"/>
    <w:rsid w:val="00773C32"/>
    <w:rsid w:val="0077650E"/>
    <w:rsid w:val="00777DE8"/>
    <w:rsid w:val="00781BC8"/>
    <w:rsid w:val="007878D6"/>
    <w:rsid w:val="007911CB"/>
    <w:rsid w:val="007A15A7"/>
    <w:rsid w:val="007A2E90"/>
    <w:rsid w:val="007A5A42"/>
    <w:rsid w:val="007A72A9"/>
    <w:rsid w:val="007A7401"/>
    <w:rsid w:val="007B0D8B"/>
    <w:rsid w:val="007B3091"/>
    <w:rsid w:val="007B5173"/>
    <w:rsid w:val="007B52C6"/>
    <w:rsid w:val="007B6EA2"/>
    <w:rsid w:val="007C05CA"/>
    <w:rsid w:val="007C274E"/>
    <w:rsid w:val="007C2B73"/>
    <w:rsid w:val="007C398C"/>
    <w:rsid w:val="007C63A2"/>
    <w:rsid w:val="007C66D1"/>
    <w:rsid w:val="007C6CB3"/>
    <w:rsid w:val="007C7462"/>
    <w:rsid w:val="007C7A92"/>
    <w:rsid w:val="007D085E"/>
    <w:rsid w:val="007D18F2"/>
    <w:rsid w:val="007D37C5"/>
    <w:rsid w:val="007D3C55"/>
    <w:rsid w:val="007D4F83"/>
    <w:rsid w:val="007D53DE"/>
    <w:rsid w:val="007D6B72"/>
    <w:rsid w:val="007E0E20"/>
    <w:rsid w:val="007E4A09"/>
    <w:rsid w:val="007E4AF7"/>
    <w:rsid w:val="007E56E0"/>
    <w:rsid w:val="007E68C2"/>
    <w:rsid w:val="007F205B"/>
    <w:rsid w:val="007F2979"/>
    <w:rsid w:val="007F37A7"/>
    <w:rsid w:val="007F6425"/>
    <w:rsid w:val="00800A35"/>
    <w:rsid w:val="008108D3"/>
    <w:rsid w:val="00815408"/>
    <w:rsid w:val="00815AA8"/>
    <w:rsid w:val="008174E4"/>
    <w:rsid w:val="008209BE"/>
    <w:rsid w:val="00821134"/>
    <w:rsid w:val="0082593F"/>
    <w:rsid w:val="008264C4"/>
    <w:rsid w:val="008316D1"/>
    <w:rsid w:val="0083180C"/>
    <w:rsid w:val="008318A5"/>
    <w:rsid w:val="0083286F"/>
    <w:rsid w:val="00833707"/>
    <w:rsid w:val="00833FCC"/>
    <w:rsid w:val="008341F8"/>
    <w:rsid w:val="008344CF"/>
    <w:rsid w:val="00834EC8"/>
    <w:rsid w:val="00835B4C"/>
    <w:rsid w:val="00836145"/>
    <w:rsid w:val="00836696"/>
    <w:rsid w:val="00836F2F"/>
    <w:rsid w:val="008411DE"/>
    <w:rsid w:val="00844661"/>
    <w:rsid w:val="008459E5"/>
    <w:rsid w:val="00850D21"/>
    <w:rsid w:val="00851527"/>
    <w:rsid w:val="008516D6"/>
    <w:rsid w:val="008540B1"/>
    <w:rsid w:val="00854BBF"/>
    <w:rsid w:val="00855BF3"/>
    <w:rsid w:val="0085780A"/>
    <w:rsid w:val="00861AB6"/>
    <w:rsid w:val="00862CB3"/>
    <w:rsid w:val="0086352D"/>
    <w:rsid w:val="00863857"/>
    <w:rsid w:val="00865A13"/>
    <w:rsid w:val="00867A84"/>
    <w:rsid w:val="0087010D"/>
    <w:rsid w:val="00874342"/>
    <w:rsid w:val="00876DEC"/>
    <w:rsid w:val="008776FF"/>
    <w:rsid w:val="00881662"/>
    <w:rsid w:val="0088281E"/>
    <w:rsid w:val="00883A4C"/>
    <w:rsid w:val="008842EC"/>
    <w:rsid w:val="00885FB3"/>
    <w:rsid w:val="00887EE1"/>
    <w:rsid w:val="008917E2"/>
    <w:rsid w:val="00895783"/>
    <w:rsid w:val="008A3E4E"/>
    <w:rsid w:val="008A3FDA"/>
    <w:rsid w:val="008A6543"/>
    <w:rsid w:val="008A65D6"/>
    <w:rsid w:val="008B1737"/>
    <w:rsid w:val="008B1BB3"/>
    <w:rsid w:val="008C2617"/>
    <w:rsid w:val="008C56BF"/>
    <w:rsid w:val="008C71B7"/>
    <w:rsid w:val="008D0800"/>
    <w:rsid w:val="008D2CEE"/>
    <w:rsid w:val="008D3405"/>
    <w:rsid w:val="008D4848"/>
    <w:rsid w:val="008D78D0"/>
    <w:rsid w:val="008E6D62"/>
    <w:rsid w:val="008E74C4"/>
    <w:rsid w:val="008F1794"/>
    <w:rsid w:val="008F34C3"/>
    <w:rsid w:val="008F38D4"/>
    <w:rsid w:val="00900117"/>
    <w:rsid w:val="00907C50"/>
    <w:rsid w:val="0091166E"/>
    <w:rsid w:val="00915050"/>
    <w:rsid w:val="009215E7"/>
    <w:rsid w:val="009224E9"/>
    <w:rsid w:val="00922581"/>
    <w:rsid w:val="009231EE"/>
    <w:rsid w:val="009252BF"/>
    <w:rsid w:val="00927DA2"/>
    <w:rsid w:val="00931C20"/>
    <w:rsid w:val="009379DC"/>
    <w:rsid w:val="00940F82"/>
    <w:rsid w:val="00941438"/>
    <w:rsid w:val="0094174E"/>
    <w:rsid w:val="0094256C"/>
    <w:rsid w:val="00942DE4"/>
    <w:rsid w:val="00943DEB"/>
    <w:rsid w:val="0094470A"/>
    <w:rsid w:val="00945118"/>
    <w:rsid w:val="00950107"/>
    <w:rsid w:val="00950C79"/>
    <w:rsid w:val="0095165B"/>
    <w:rsid w:val="009531C7"/>
    <w:rsid w:val="00957AB0"/>
    <w:rsid w:val="00957B0C"/>
    <w:rsid w:val="009669A8"/>
    <w:rsid w:val="00970713"/>
    <w:rsid w:val="0097332B"/>
    <w:rsid w:val="009761C5"/>
    <w:rsid w:val="00976C60"/>
    <w:rsid w:val="0098432B"/>
    <w:rsid w:val="009857E7"/>
    <w:rsid w:val="00987B3F"/>
    <w:rsid w:val="009921DC"/>
    <w:rsid w:val="00995625"/>
    <w:rsid w:val="009A157C"/>
    <w:rsid w:val="009A1D96"/>
    <w:rsid w:val="009A1F4C"/>
    <w:rsid w:val="009A37D6"/>
    <w:rsid w:val="009A658C"/>
    <w:rsid w:val="009A668E"/>
    <w:rsid w:val="009B2E62"/>
    <w:rsid w:val="009B5619"/>
    <w:rsid w:val="009B5CEC"/>
    <w:rsid w:val="009B695D"/>
    <w:rsid w:val="009B768A"/>
    <w:rsid w:val="009B7D1C"/>
    <w:rsid w:val="009C257B"/>
    <w:rsid w:val="009C3C4A"/>
    <w:rsid w:val="009C5CDD"/>
    <w:rsid w:val="009D1454"/>
    <w:rsid w:val="009D519A"/>
    <w:rsid w:val="009D6623"/>
    <w:rsid w:val="009D7E51"/>
    <w:rsid w:val="009E00D4"/>
    <w:rsid w:val="009E2D35"/>
    <w:rsid w:val="009E2EF6"/>
    <w:rsid w:val="009E4813"/>
    <w:rsid w:val="009E758D"/>
    <w:rsid w:val="009F1AC3"/>
    <w:rsid w:val="009F2ECF"/>
    <w:rsid w:val="009F329B"/>
    <w:rsid w:val="009F3DB0"/>
    <w:rsid w:val="009F4A52"/>
    <w:rsid w:val="00A002CE"/>
    <w:rsid w:val="00A021DB"/>
    <w:rsid w:val="00A06A82"/>
    <w:rsid w:val="00A111CD"/>
    <w:rsid w:val="00A11C4A"/>
    <w:rsid w:val="00A13586"/>
    <w:rsid w:val="00A15CD5"/>
    <w:rsid w:val="00A16516"/>
    <w:rsid w:val="00A21C7E"/>
    <w:rsid w:val="00A22FD0"/>
    <w:rsid w:val="00A251D0"/>
    <w:rsid w:val="00A25B62"/>
    <w:rsid w:val="00A27020"/>
    <w:rsid w:val="00A317BE"/>
    <w:rsid w:val="00A32E33"/>
    <w:rsid w:val="00A33CE6"/>
    <w:rsid w:val="00A36A58"/>
    <w:rsid w:val="00A401E9"/>
    <w:rsid w:val="00A4314C"/>
    <w:rsid w:val="00A45518"/>
    <w:rsid w:val="00A46784"/>
    <w:rsid w:val="00A46FEF"/>
    <w:rsid w:val="00A47775"/>
    <w:rsid w:val="00A55992"/>
    <w:rsid w:val="00A56CB4"/>
    <w:rsid w:val="00A60C53"/>
    <w:rsid w:val="00A6169C"/>
    <w:rsid w:val="00A61F6C"/>
    <w:rsid w:val="00A61FAC"/>
    <w:rsid w:val="00A6289A"/>
    <w:rsid w:val="00A672E4"/>
    <w:rsid w:val="00A70A8F"/>
    <w:rsid w:val="00A70C1F"/>
    <w:rsid w:val="00A76F3B"/>
    <w:rsid w:val="00A8127C"/>
    <w:rsid w:val="00A82824"/>
    <w:rsid w:val="00A83606"/>
    <w:rsid w:val="00A90555"/>
    <w:rsid w:val="00A920AB"/>
    <w:rsid w:val="00A92E1B"/>
    <w:rsid w:val="00A92E8B"/>
    <w:rsid w:val="00A937A0"/>
    <w:rsid w:val="00A94D3B"/>
    <w:rsid w:val="00A9525E"/>
    <w:rsid w:val="00A973BF"/>
    <w:rsid w:val="00AA0851"/>
    <w:rsid w:val="00AA0F57"/>
    <w:rsid w:val="00AA19D4"/>
    <w:rsid w:val="00AA1E07"/>
    <w:rsid w:val="00AA721A"/>
    <w:rsid w:val="00AA76E0"/>
    <w:rsid w:val="00AA7D6F"/>
    <w:rsid w:val="00AB0BB6"/>
    <w:rsid w:val="00AB1A64"/>
    <w:rsid w:val="00AB3D00"/>
    <w:rsid w:val="00AB4CA2"/>
    <w:rsid w:val="00AC3948"/>
    <w:rsid w:val="00AC75AA"/>
    <w:rsid w:val="00AD12C2"/>
    <w:rsid w:val="00AD291F"/>
    <w:rsid w:val="00AD2AC4"/>
    <w:rsid w:val="00AD41B0"/>
    <w:rsid w:val="00AD4B7B"/>
    <w:rsid w:val="00AD5362"/>
    <w:rsid w:val="00AD730D"/>
    <w:rsid w:val="00AE008A"/>
    <w:rsid w:val="00AE268E"/>
    <w:rsid w:val="00AE5036"/>
    <w:rsid w:val="00AE7CB6"/>
    <w:rsid w:val="00AF03B7"/>
    <w:rsid w:val="00AF0CF0"/>
    <w:rsid w:val="00AF216E"/>
    <w:rsid w:val="00AF4522"/>
    <w:rsid w:val="00B00B03"/>
    <w:rsid w:val="00B00B39"/>
    <w:rsid w:val="00B00E47"/>
    <w:rsid w:val="00B01017"/>
    <w:rsid w:val="00B04827"/>
    <w:rsid w:val="00B05920"/>
    <w:rsid w:val="00B05C65"/>
    <w:rsid w:val="00B05CE2"/>
    <w:rsid w:val="00B13198"/>
    <w:rsid w:val="00B13CE8"/>
    <w:rsid w:val="00B150F3"/>
    <w:rsid w:val="00B15A8A"/>
    <w:rsid w:val="00B15BEF"/>
    <w:rsid w:val="00B1656F"/>
    <w:rsid w:val="00B1771D"/>
    <w:rsid w:val="00B17989"/>
    <w:rsid w:val="00B20406"/>
    <w:rsid w:val="00B2098C"/>
    <w:rsid w:val="00B220D8"/>
    <w:rsid w:val="00B23657"/>
    <w:rsid w:val="00B23D13"/>
    <w:rsid w:val="00B24DD6"/>
    <w:rsid w:val="00B27D27"/>
    <w:rsid w:val="00B337BA"/>
    <w:rsid w:val="00B35525"/>
    <w:rsid w:val="00B35E38"/>
    <w:rsid w:val="00B40B56"/>
    <w:rsid w:val="00B41BDA"/>
    <w:rsid w:val="00B43390"/>
    <w:rsid w:val="00B46B35"/>
    <w:rsid w:val="00B4719B"/>
    <w:rsid w:val="00B54821"/>
    <w:rsid w:val="00B56219"/>
    <w:rsid w:val="00B60146"/>
    <w:rsid w:val="00B61179"/>
    <w:rsid w:val="00B615BD"/>
    <w:rsid w:val="00B616F5"/>
    <w:rsid w:val="00B61CB7"/>
    <w:rsid w:val="00B62C0F"/>
    <w:rsid w:val="00B63F2A"/>
    <w:rsid w:val="00B64BE4"/>
    <w:rsid w:val="00B74C24"/>
    <w:rsid w:val="00B80384"/>
    <w:rsid w:val="00B80475"/>
    <w:rsid w:val="00B81399"/>
    <w:rsid w:val="00B82723"/>
    <w:rsid w:val="00B856D3"/>
    <w:rsid w:val="00B92EA3"/>
    <w:rsid w:val="00B960A9"/>
    <w:rsid w:val="00BA07E0"/>
    <w:rsid w:val="00BA3B10"/>
    <w:rsid w:val="00BB1E38"/>
    <w:rsid w:val="00BB204D"/>
    <w:rsid w:val="00BB3529"/>
    <w:rsid w:val="00BB5675"/>
    <w:rsid w:val="00BB7794"/>
    <w:rsid w:val="00BB797B"/>
    <w:rsid w:val="00BC0D5A"/>
    <w:rsid w:val="00BC13F6"/>
    <w:rsid w:val="00BC283A"/>
    <w:rsid w:val="00BC486B"/>
    <w:rsid w:val="00BC4A44"/>
    <w:rsid w:val="00BC6880"/>
    <w:rsid w:val="00BC74DD"/>
    <w:rsid w:val="00BD0E25"/>
    <w:rsid w:val="00BD2C46"/>
    <w:rsid w:val="00BD54B0"/>
    <w:rsid w:val="00BD7848"/>
    <w:rsid w:val="00BE1A97"/>
    <w:rsid w:val="00BE74B6"/>
    <w:rsid w:val="00BF5389"/>
    <w:rsid w:val="00BF603F"/>
    <w:rsid w:val="00BF7B6E"/>
    <w:rsid w:val="00C0031B"/>
    <w:rsid w:val="00C00977"/>
    <w:rsid w:val="00C00E1F"/>
    <w:rsid w:val="00C03D27"/>
    <w:rsid w:val="00C10F3E"/>
    <w:rsid w:val="00C12260"/>
    <w:rsid w:val="00C13552"/>
    <w:rsid w:val="00C1709C"/>
    <w:rsid w:val="00C1761E"/>
    <w:rsid w:val="00C21250"/>
    <w:rsid w:val="00C213DB"/>
    <w:rsid w:val="00C218B4"/>
    <w:rsid w:val="00C42811"/>
    <w:rsid w:val="00C43194"/>
    <w:rsid w:val="00C43A0A"/>
    <w:rsid w:val="00C47E11"/>
    <w:rsid w:val="00C50E91"/>
    <w:rsid w:val="00C51545"/>
    <w:rsid w:val="00C5198F"/>
    <w:rsid w:val="00C52300"/>
    <w:rsid w:val="00C53726"/>
    <w:rsid w:val="00C540DB"/>
    <w:rsid w:val="00C54EE5"/>
    <w:rsid w:val="00C550ED"/>
    <w:rsid w:val="00C56A7B"/>
    <w:rsid w:val="00C5736B"/>
    <w:rsid w:val="00C602F7"/>
    <w:rsid w:val="00C638AE"/>
    <w:rsid w:val="00C6425C"/>
    <w:rsid w:val="00C64C32"/>
    <w:rsid w:val="00C64F9A"/>
    <w:rsid w:val="00C661B9"/>
    <w:rsid w:val="00C734F4"/>
    <w:rsid w:val="00C74606"/>
    <w:rsid w:val="00C75E0D"/>
    <w:rsid w:val="00C77394"/>
    <w:rsid w:val="00C7741B"/>
    <w:rsid w:val="00C80F1C"/>
    <w:rsid w:val="00C8124F"/>
    <w:rsid w:val="00C81487"/>
    <w:rsid w:val="00C84B93"/>
    <w:rsid w:val="00C85F4F"/>
    <w:rsid w:val="00C932B9"/>
    <w:rsid w:val="00C93D69"/>
    <w:rsid w:val="00C94A78"/>
    <w:rsid w:val="00C95256"/>
    <w:rsid w:val="00C96E6F"/>
    <w:rsid w:val="00C979F6"/>
    <w:rsid w:val="00C97A6F"/>
    <w:rsid w:val="00CA261C"/>
    <w:rsid w:val="00CA697E"/>
    <w:rsid w:val="00CB0441"/>
    <w:rsid w:val="00CB0908"/>
    <w:rsid w:val="00CB375E"/>
    <w:rsid w:val="00CB468C"/>
    <w:rsid w:val="00CB4CAE"/>
    <w:rsid w:val="00CB53A5"/>
    <w:rsid w:val="00CB7463"/>
    <w:rsid w:val="00CC184F"/>
    <w:rsid w:val="00CC1B80"/>
    <w:rsid w:val="00CC32CE"/>
    <w:rsid w:val="00CC65CF"/>
    <w:rsid w:val="00CC6CEF"/>
    <w:rsid w:val="00CD0114"/>
    <w:rsid w:val="00CD1212"/>
    <w:rsid w:val="00CD30BD"/>
    <w:rsid w:val="00CD4BC7"/>
    <w:rsid w:val="00CD4CCF"/>
    <w:rsid w:val="00CD5D09"/>
    <w:rsid w:val="00CD634C"/>
    <w:rsid w:val="00CD71EA"/>
    <w:rsid w:val="00CE2BD4"/>
    <w:rsid w:val="00CE2C23"/>
    <w:rsid w:val="00CE41DA"/>
    <w:rsid w:val="00CE50E6"/>
    <w:rsid w:val="00CE6A51"/>
    <w:rsid w:val="00CF0923"/>
    <w:rsid w:val="00D0015D"/>
    <w:rsid w:val="00D038A0"/>
    <w:rsid w:val="00D03A8D"/>
    <w:rsid w:val="00D03FD4"/>
    <w:rsid w:val="00D04E8B"/>
    <w:rsid w:val="00D0669F"/>
    <w:rsid w:val="00D06CD1"/>
    <w:rsid w:val="00D077CC"/>
    <w:rsid w:val="00D07E9E"/>
    <w:rsid w:val="00D12B76"/>
    <w:rsid w:val="00D14882"/>
    <w:rsid w:val="00D168C5"/>
    <w:rsid w:val="00D233E5"/>
    <w:rsid w:val="00D24456"/>
    <w:rsid w:val="00D25456"/>
    <w:rsid w:val="00D2578E"/>
    <w:rsid w:val="00D2669C"/>
    <w:rsid w:val="00D27AE6"/>
    <w:rsid w:val="00D30303"/>
    <w:rsid w:val="00D30F26"/>
    <w:rsid w:val="00D31135"/>
    <w:rsid w:val="00D343BB"/>
    <w:rsid w:val="00D344CF"/>
    <w:rsid w:val="00D377C3"/>
    <w:rsid w:val="00D37BD1"/>
    <w:rsid w:val="00D41117"/>
    <w:rsid w:val="00D4252B"/>
    <w:rsid w:val="00D44703"/>
    <w:rsid w:val="00D51B34"/>
    <w:rsid w:val="00D5232D"/>
    <w:rsid w:val="00D52412"/>
    <w:rsid w:val="00D543AB"/>
    <w:rsid w:val="00D61B0D"/>
    <w:rsid w:val="00D63DC2"/>
    <w:rsid w:val="00D70707"/>
    <w:rsid w:val="00D7173F"/>
    <w:rsid w:val="00D73047"/>
    <w:rsid w:val="00D76416"/>
    <w:rsid w:val="00D76B71"/>
    <w:rsid w:val="00D76FAD"/>
    <w:rsid w:val="00D771C1"/>
    <w:rsid w:val="00D778DA"/>
    <w:rsid w:val="00D80C8A"/>
    <w:rsid w:val="00D82CA9"/>
    <w:rsid w:val="00D82D0A"/>
    <w:rsid w:val="00D843DE"/>
    <w:rsid w:val="00D84958"/>
    <w:rsid w:val="00D84BBC"/>
    <w:rsid w:val="00D84BFA"/>
    <w:rsid w:val="00D90E5C"/>
    <w:rsid w:val="00D913BF"/>
    <w:rsid w:val="00D91D07"/>
    <w:rsid w:val="00D93CC8"/>
    <w:rsid w:val="00D94175"/>
    <w:rsid w:val="00DA01C5"/>
    <w:rsid w:val="00DA0F91"/>
    <w:rsid w:val="00DA337D"/>
    <w:rsid w:val="00DA639E"/>
    <w:rsid w:val="00DA71DC"/>
    <w:rsid w:val="00DB27C4"/>
    <w:rsid w:val="00DB517C"/>
    <w:rsid w:val="00DB5232"/>
    <w:rsid w:val="00DB65BB"/>
    <w:rsid w:val="00DB6A1E"/>
    <w:rsid w:val="00DB7DBD"/>
    <w:rsid w:val="00DC0213"/>
    <w:rsid w:val="00DC02DE"/>
    <w:rsid w:val="00DC0DBB"/>
    <w:rsid w:val="00DC11DE"/>
    <w:rsid w:val="00DC22A1"/>
    <w:rsid w:val="00DC42B9"/>
    <w:rsid w:val="00DC5DC5"/>
    <w:rsid w:val="00DC669B"/>
    <w:rsid w:val="00DD23BF"/>
    <w:rsid w:val="00DD667E"/>
    <w:rsid w:val="00DE4AE3"/>
    <w:rsid w:val="00DF15E9"/>
    <w:rsid w:val="00DF2F27"/>
    <w:rsid w:val="00DF3EEF"/>
    <w:rsid w:val="00DF6D7D"/>
    <w:rsid w:val="00DF79A8"/>
    <w:rsid w:val="00E00685"/>
    <w:rsid w:val="00E009C4"/>
    <w:rsid w:val="00E0213D"/>
    <w:rsid w:val="00E02CEB"/>
    <w:rsid w:val="00E02E87"/>
    <w:rsid w:val="00E05227"/>
    <w:rsid w:val="00E07848"/>
    <w:rsid w:val="00E07BA3"/>
    <w:rsid w:val="00E1149E"/>
    <w:rsid w:val="00E118FD"/>
    <w:rsid w:val="00E1195E"/>
    <w:rsid w:val="00E136EF"/>
    <w:rsid w:val="00E14CF2"/>
    <w:rsid w:val="00E1507D"/>
    <w:rsid w:val="00E222F6"/>
    <w:rsid w:val="00E24514"/>
    <w:rsid w:val="00E2672A"/>
    <w:rsid w:val="00E30992"/>
    <w:rsid w:val="00E327D6"/>
    <w:rsid w:val="00E34BB2"/>
    <w:rsid w:val="00E35BBA"/>
    <w:rsid w:val="00E36CF7"/>
    <w:rsid w:val="00E41ABD"/>
    <w:rsid w:val="00E41E71"/>
    <w:rsid w:val="00E43179"/>
    <w:rsid w:val="00E4453F"/>
    <w:rsid w:val="00E44A76"/>
    <w:rsid w:val="00E4516D"/>
    <w:rsid w:val="00E46E67"/>
    <w:rsid w:val="00E47280"/>
    <w:rsid w:val="00E47EFD"/>
    <w:rsid w:val="00E55270"/>
    <w:rsid w:val="00E57B41"/>
    <w:rsid w:val="00E608B0"/>
    <w:rsid w:val="00E60984"/>
    <w:rsid w:val="00E64C11"/>
    <w:rsid w:val="00E65F1F"/>
    <w:rsid w:val="00E70636"/>
    <w:rsid w:val="00E72AD0"/>
    <w:rsid w:val="00E73D19"/>
    <w:rsid w:val="00E74CCF"/>
    <w:rsid w:val="00E76208"/>
    <w:rsid w:val="00E76737"/>
    <w:rsid w:val="00E76EE2"/>
    <w:rsid w:val="00E7754E"/>
    <w:rsid w:val="00E80CD6"/>
    <w:rsid w:val="00E8432E"/>
    <w:rsid w:val="00E864E0"/>
    <w:rsid w:val="00E87DDB"/>
    <w:rsid w:val="00E9143B"/>
    <w:rsid w:val="00E9147C"/>
    <w:rsid w:val="00E95BEA"/>
    <w:rsid w:val="00E97E1E"/>
    <w:rsid w:val="00EA04E6"/>
    <w:rsid w:val="00EA1017"/>
    <w:rsid w:val="00EA2192"/>
    <w:rsid w:val="00EB2C26"/>
    <w:rsid w:val="00EB7A28"/>
    <w:rsid w:val="00EC2A22"/>
    <w:rsid w:val="00EC39EB"/>
    <w:rsid w:val="00ED12B2"/>
    <w:rsid w:val="00ED298F"/>
    <w:rsid w:val="00ED2EE7"/>
    <w:rsid w:val="00ED4C82"/>
    <w:rsid w:val="00ED4FF7"/>
    <w:rsid w:val="00ED5EAC"/>
    <w:rsid w:val="00ED7B6E"/>
    <w:rsid w:val="00EE0D36"/>
    <w:rsid w:val="00EE3C0F"/>
    <w:rsid w:val="00EE5E39"/>
    <w:rsid w:val="00EF15FC"/>
    <w:rsid w:val="00EF1DF7"/>
    <w:rsid w:val="00EF31BF"/>
    <w:rsid w:val="00EF7E4D"/>
    <w:rsid w:val="00F00F3A"/>
    <w:rsid w:val="00F01F70"/>
    <w:rsid w:val="00F0306D"/>
    <w:rsid w:val="00F050E2"/>
    <w:rsid w:val="00F0577B"/>
    <w:rsid w:val="00F07551"/>
    <w:rsid w:val="00F11A3A"/>
    <w:rsid w:val="00F11B90"/>
    <w:rsid w:val="00F12FB1"/>
    <w:rsid w:val="00F20283"/>
    <w:rsid w:val="00F20783"/>
    <w:rsid w:val="00F25BED"/>
    <w:rsid w:val="00F2646D"/>
    <w:rsid w:val="00F32ADF"/>
    <w:rsid w:val="00F3553E"/>
    <w:rsid w:val="00F375AC"/>
    <w:rsid w:val="00F405F6"/>
    <w:rsid w:val="00F440F1"/>
    <w:rsid w:val="00F457CD"/>
    <w:rsid w:val="00F5090B"/>
    <w:rsid w:val="00F548A9"/>
    <w:rsid w:val="00F566AA"/>
    <w:rsid w:val="00F56C9D"/>
    <w:rsid w:val="00F571F7"/>
    <w:rsid w:val="00F57C7A"/>
    <w:rsid w:val="00F61655"/>
    <w:rsid w:val="00F616E6"/>
    <w:rsid w:val="00F662E3"/>
    <w:rsid w:val="00F662F6"/>
    <w:rsid w:val="00F6692D"/>
    <w:rsid w:val="00F67B7B"/>
    <w:rsid w:val="00F67D94"/>
    <w:rsid w:val="00F7620C"/>
    <w:rsid w:val="00F82232"/>
    <w:rsid w:val="00F82E4F"/>
    <w:rsid w:val="00F85B8B"/>
    <w:rsid w:val="00F86C94"/>
    <w:rsid w:val="00F87481"/>
    <w:rsid w:val="00F875A1"/>
    <w:rsid w:val="00F87FBE"/>
    <w:rsid w:val="00F9232D"/>
    <w:rsid w:val="00F94A6D"/>
    <w:rsid w:val="00F94F54"/>
    <w:rsid w:val="00F952AF"/>
    <w:rsid w:val="00F96654"/>
    <w:rsid w:val="00F96A41"/>
    <w:rsid w:val="00FA1436"/>
    <w:rsid w:val="00FA3628"/>
    <w:rsid w:val="00FA3CBB"/>
    <w:rsid w:val="00FA49D1"/>
    <w:rsid w:val="00FA6DA1"/>
    <w:rsid w:val="00FB10AE"/>
    <w:rsid w:val="00FB2887"/>
    <w:rsid w:val="00FB4004"/>
    <w:rsid w:val="00FB4872"/>
    <w:rsid w:val="00FC1891"/>
    <w:rsid w:val="00FC3AE1"/>
    <w:rsid w:val="00FC41E9"/>
    <w:rsid w:val="00FC508D"/>
    <w:rsid w:val="00FC6224"/>
    <w:rsid w:val="00FC700F"/>
    <w:rsid w:val="00FD011F"/>
    <w:rsid w:val="00FD1053"/>
    <w:rsid w:val="00FD2A8C"/>
    <w:rsid w:val="00FD5242"/>
    <w:rsid w:val="00FE1E4B"/>
    <w:rsid w:val="00FE755F"/>
    <w:rsid w:val="00FF429C"/>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PlaceName"/>
  <w:smartTagType w:namespaceuri="urn:schemas-microsoft-com:office:smarttags" w:name="PlaceType"/>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085E"/>
    <w:pPr>
      <w:spacing w:after="200" w:line="276" w:lineRule="auto"/>
    </w:pPr>
    <w:rPr>
      <w:lang w:val="el-GR"/>
    </w:rPr>
  </w:style>
  <w:style w:type="paragraph" w:styleId="Heading1">
    <w:name w:val="heading 1"/>
    <w:basedOn w:val="Normal"/>
    <w:next w:val="Normal"/>
    <w:link w:val="Heading1Char"/>
    <w:uiPriority w:val="99"/>
    <w:qFormat/>
    <w:rsid w:val="00F7620C"/>
    <w:pPr>
      <w:keepNext/>
      <w:spacing w:before="240" w:after="60"/>
      <w:outlineLvl w:val="0"/>
    </w:pPr>
    <w:rPr>
      <w:rFonts w:ascii="Cambria" w:eastAsia="Times New Roman" w:hAnsi="Cambria"/>
      <w:b/>
      <w:bCs/>
      <w:kern w:val="32"/>
      <w:sz w:val="32"/>
      <w:szCs w:val="32"/>
    </w:rPr>
  </w:style>
  <w:style w:type="paragraph" w:styleId="Heading3">
    <w:name w:val="heading 3"/>
    <w:basedOn w:val="Normal"/>
    <w:link w:val="Heading3Char"/>
    <w:uiPriority w:val="99"/>
    <w:qFormat/>
    <w:rsid w:val="007D085E"/>
    <w:pPr>
      <w:spacing w:before="100" w:beforeAutospacing="1" w:after="100" w:afterAutospacing="1" w:line="240" w:lineRule="auto"/>
      <w:outlineLvl w:val="2"/>
    </w:pPr>
    <w:rPr>
      <w:rFonts w:ascii="Times New Roman" w:eastAsia="Times New Roman" w:hAnsi="Times New Roman"/>
      <w:b/>
      <w:bCs/>
      <w:sz w:val="27"/>
      <w:szCs w:val="27"/>
      <w:lang w:val="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F7620C"/>
    <w:rPr>
      <w:rFonts w:ascii="Cambria" w:hAnsi="Cambria" w:cs="Times New Roman"/>
      <w:b/>
      <w:bCs/>
      <w:kern w:val="32"/>
      <w:sz w:val="32"/>
      <w:szCs w:val="32"/>
      <w:lang w:eastAsia="en-US"/>
    </w:rPr>
  </w:style>
  <w:style w:type="character" w:customStyle="1" w:styleId="Heading3Char">
    <w:name w:val="Heading 3 Char"/>
    <w:basedOn w:val="DefaultParagraphFont"/>
    <w:link w:val="Heading3"/>
    <w:uiPriority w:val="99"/>
    <w:locked/>
    <w:rsid w:val="007D085E"/>
    <w:rPr>
      <w:rFonts w:ascii="Times New Roman" w:hAnsi="Times New Roman" w:cs="Times New Roman"/>
      <w:b/>
      <w:bCs/>
      <w:sz w:val="27"/>
      <w:szCs w:val="27"/>
      <w:lang w:val="en-US"/>
    </w:rPr>
  </w:style>
  <w:style w:type="paragraph" w:styleId="NoSpacing">
    <w:name w:val="No Spacing"/>
    <w:uiPriority w:val="99"/>
    <w:qFormat/>
    <w:rsid w:val="007D085E"/>
    <w:rPr>
      <w:lang w:val="el-GR"/>
    </w:rPr>
  </w:style>
  <w:style w:type="paragraph" w:styleId="FootnoteText">
    <w:name w:val="footnote text"/>
    <w:basedOn w:val="Normal"/>
    <w:link w:val="FootnoteTextChar"/>
    <w:uiPriority w:val="99"/>
    <w:rsid w:val="007D085E"/>
    <w:pPr>
      <w:spacing w:after="0" w:line="240" w:lineRule="auto"/>
    </w:pPr>
    <w:rPr>
      <w:sz w:val="20"/>
      <w:szCs w:val="20"/>
    </w:rPr>
  </w:style>
  <w:style w:type="character" w:customStyle="1" w:styleId="FootnoteTextChar">
    <w:name w:val="Footnote Text Char"/>
    <w:basedOn w:val="DefaultParagraphFont"/>
    <w:link w:val="FootnoteText"/>
    <w:uiPriority w:val="99"/>
    <w:locked/>
    <w:rsid w:val="007D085E"/>
    <w:rPr>
      <w:rFonts w:cs="Times New Roman"/>
      <w:sz w:val="20"/>
      <w:szCs w:val="20"/>
    </w:rPr>
  </w:style>
  <w:style w:type="character" w:styleId="FootnoteReference">
    <w:name w:val="footnote reference"/>
    <w:basedOn w:val="DefaultParagraphFont"/>
    <w:uiPriority w:val="99"/>
    <w:semiHidden/>
    <w:rsid w:val="007D085E"/>
    <w:rPr>
      <w:rFonts w:cs="Times New Roman"/>
      <w:vertAlign w:val="superscript"/>
    </w:rPr>
  </w:style>
  <w:style w:type="paragraph" w:styleId="ListParagraph">
    <w:name w:val="List Paragraph"/>
    <w:basedOn w:val="Normal"/>
    <w:uiPriority w:val="99"/>
    <w:qFormat/>
    <w:rsid w:val="007D085E"/>
    <w:pPr>
      <w:ind w:left="720"/>
      <w:contextualSpacing/>
    </w:pPr>
  </w:style>
  <w:style w:type="character" w:styleId="Hyperlink">
    <w:name w:val="Hyperlink"/>
    <w:basedOn w:val="DefaultParagraphFont"/>
    <w:uiPriority w:val="99"/>
    <w:rsid w:val="007D085E"/>
    <w:rPr>
      <w:rFonts w:cs="Times New Roman"/>
      <w:color w:val="0000FF"/>
      <w:u w:val="single"/>
    </w:rPr>
  </w:style>
  <w:style w:type="paragraph" w:styleId="NormalWeb">
    <w:name w:val="Normal (Web)"/>
    <w:basedOn w:val="Normal"/>
    <w:uiPriority w:val="99"/>
    <w:rsid w:val="007D085E"/>
    <w:pPr>
      <w:spacing w:before="100" w:beforeAutospacing="1" w:after="100" w:afterAutospacing="1" w:line="240" w:lineRule="auto"/>
    </w:pPr>
    <w:rPr>
      <w:rFonts w:ascii="Times New Roman" w:eastAsia="Times New Roman" w:hAnsi="Times New Roman"/>
      <w:sz w:val="24"/>
      <w:szCs w:val="24"/>
      <w:lang w:eastAsia="el-GR"/>
    </w:rPr>
  </w:style>
  <w:style w:type="table" w:styleId="TableGrid">
    <w:name w:val="Table Grid"/>
    <w:basedOn w:val="TableNormal"/>
    <w:uiPriority w:val="99"/>
    <w:rsid w:val="007D085E"/>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semiHidden/>
    <w:rsid w:val="007D085E"/>
    <w:pPr>
      <w:tabs>
        <w:tab w:val="center" w:pos="4153"/>
        <w:tab w:val="right" w:pos="8306"/>
      </w:tabs>
      <w:spacing w:after="0" w:line="240" w:lineRule="auto"/>
    </w:pPr>
  </w:style>
  <w:style w:type="character" w:customStyle="1" w:styleId="HeaderChar">
    <w:name w:val="Header Char"/>
    <w:basedOn w:val="DefaultParagraphFont"/>
    <w:link w:val="Header"/>
    <w:uiPriority w:val="99"/>
    <w:semiHidden/>
    <w:locked/>
    <w:rsid w:val="007D085E"/>
    <w:rPr>
      <w:rFonts w:cs="Times New Roman"/>
    </w:rPr>
  </w:style>
  <w:style w:type="paragraph" w:styleId="Footer">
    <w:name w:val="footer"/>
    <w:basedOn w:val="Normal"/>
    <w:link w:val="FooterChar"/>
    <w:uiPriority w:val="99"/>
    <w:rsid w:val="007D085E"/>
    <w:pPr>
      <w:tabs>
        <w:tab w:val="center" w:pos="4153"/>
        <w:tab w:val="right" w:pos="8306"/>
      </w:tabs>
      <w:spacing w:after="0" w:line="240" w:lineRule="auto"/>
    </w:pPr>
  </w:style>
  <w:style w:type="character" w:customStyle="1" w:styleId="FooterChar">
    <w:name w:val="Footer Char"/>
    <w:basedOn w:val="DefaultParagraphFont"/>
    <w:link w:val="Footer"/>
    <w:uiPriority w:val="99"/>
    <w:locked/>
    <w:rsid w:val="007D085E"/>
    <w:rPr>
      <w:rFonts w:cs="Times New Roman"/>
    </w:rPr>
  </w:style>
  <w:style w:type="table" w:styleId="LightGrid-Accent5">
    <w:name w:val="Light Grid Accent 5"/>
    <w:basedOn w:val="TableNormal"/>
    <w:uiPriority w:val="99"/>
    <w:rsid w:val="007D085E"/>
    <w:rPr>
      <w:sz w:val="20"/>
      <w:szCs w:val="2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blStylePr w:type="firstRow">
      <w:pPr>
        <w:spacing w:before="0" w:after="0"/>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rPr>
        <w:rFonts w:cs="Times New Roman"/>
      </w:rPr>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rPr>
        <w:rFonts w:cs="Times New Roman"/>
      </w:rPr>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rPr>
        <w:rFonts w:cs="Times New Roman"/>
      </w:rPr>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character" w:customStyle="1" w:styleId="mw-headline">
    <w:name w:val="mw-headline"/>
    <w:basedOn w:val="DefaultParagraphFont"/>
    <w:uiPriority w:val="99"/>
    <w:rsid w:val="007D085E"/>
    <w:rPr>
      <w:rFonts w:cs="Times New Roman"/>
    </w:rPr>
  </w:style>
  <w:style w:type="paragraph" w:styleId="BalloonText">
    <w:name w:val="Balloon Text"/>
    <w:basedOn w:val="Normal"/>
    <w:link w:val="BalloonTextChar"/>
    <w:uiPriority w:val="99"/>
    <w:semiHidden/>
    <w:rsid w:val="007C274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7C274E"/>
    <w:rPr>
      <w:rFonts w:ascii="Tahoma" w:hAnsi="Tahoma" w:cs="Tahoma"/>
      <w:sz w:val="16"/>
      <w:szCs w:val="16"/>
      <w:lang w:eastAsia="en-US"/>
    </w:rPr>
  </w:style>
</w:styles>
</file>

<file path=word/webSettings.xml><?xml version="1.0" encoding="utf-8"?>
<w:webSettings xmlns:r="http://schemas.openxmlformats.org/officeDocument/2006/relationships" xmlns:w="http://schemas.openxmlformats.org/wordprocessingml/2006/main">
  <w:divs>
    <w:div w:id="424040803">
      <w:marLeft w:val="0"/>
      <w:marRight w:val="0"/>
      <w:marTop w:val="0"/>
      <w:marBottom w:val="0"/>
      <w:divBdr>
        <w:top w:val="none" w:sz="0" w:space="0" w:color="auto"/>
        <w:left w:val="none" w:sz="0" w:space="0" w:color="auto"/>
        <w:bottom w:val="none" w:sz="0" w:space="0" w:color="auto"/>
        <w:right w:val="none" w:sz="0" w:space="0" w:color="auto"/>
      </w:divBdr>
    </w:div>
    <w:div w:id="424040804">
      <w:marLeft w:val="0"/>
      <w:marRight w:val="0"/>
      <w:marTop w:val="0"/>
      <w:marBottom w:val="0"/>
      <w:divBdr>
        <w:top w:val="none" w:sz="0" w:space="0" w:color="auto"/>
        <w:left w:val="none" w:sz="0" w:space="0" w:color="auto"/>
        <w:bottom w:val="none" w:sz="0" w:space="0" w:color="auto"/>
        <w:right w:val="none" w:sz="0" w:space="0" w:color="auto"/>
      </w:divBdr>
    </w:div>
    <w:div w:id="424040805">
      <w:marLeft w:val="0"/>
      <w:marRight w:val="0"/>
      <w:marTop w:val="0"/>
      <w:marBottom w:val="0"/>
      <w:divBdr>
        <w:top w:val="none" w:sz="0" w:space="0" w:color="auto"/>
        <w:left w:val="none" w:sz="0" w:space="0" w:color="auto"/>
        <w:bottom w:val="none" w:sz="0" w:space="0" w:color="auto"/>
        <w:right w:val="none" w:sz="0" w:space="0" w:color="auto"/>
      </w:divBdr>
    </w:div>
    <w:div w:id="424040806">
      <w:marLeft w:val="0"/>
      <w:marRight w:val="0"/>
      <w:marTop w:val="0"/>
      <w:marBottom w:val="0"/>
      <w:divBdr>
        <w:top w:val="none" w:sz="0" w:space="0" w:color="auto"/>
        <w:left w:val="none" w:sz="0" w:space="0" w:color="auto"/>
        <w:bottom w:val="none" w:sz="0" w:space="0" w:color="auto"/>
        <w:right w:val="none" w:sz="0" w:space="0" w:color="auto"/>
      </w:divBdr>
    </w:div>
    <w:div w:id="424040807">
      <w:marLeft w:val="0"/>
      <w:marRight w:val="0"/>
      <w:marTop w:val="0"/>
      <w:marBottom w:val="0"/>
      <w:divBdr>
        <w:top w:val="none" w:sz="0" w:space="0" w:color="auto"/>
        <w:left w:val="none" w:sz="0" w:space="0" w:color="auto"/>
        <w:bottom w:val="none" w:sz="0" w:space="0" w:color="auto"/>
        <w:right w:val="none" w:sz="0" w:space="0" w:color="auto"/>
      </w:divBdr>
    </w:div>
    <w:div w:id="424040808">
      <w:marLeft w:val="0"/>
      <w:marRight w:val="0"/>
      <w:marTop w:val="0"/>
      <w:marBottom w:val="0"/>
      <w:divBdr>
        <w:top w:val="none" w:sz="0" w:space="0" w:color="auto"/>
        <w:left w:val="none" w:sz="0" w:space="0" w:color="auto"/>
        <w:bottom w:val="none" w:sz="0" w:space="0" w:color="auto"/>
        <w:right w:val="none" w:sz="0" w:space="0" w:color="auto"/>
      </w:divBdr>
    </w:div>
    <w:div w:id="424040809">
      <w:marLeft w:val="0"/>
      <w:marRight w:val="0"/>
      <w:marTop w:val="0"/>
      <w:marBottom w:val="0"/>
      <w:divBdr>
        <w:top w:val="none" w:sz="0" w:space="0" w:color="auto"/>
        <w:left w:val="none" w:sz="0" w:space="0" w:color="auto"/>
        <w:bottom w:val="none" w:sz="0" w:space="0" w:color="auto"/>
        <w:right w:val="none" w:sz="0" w:space="0" w:color="auto"/>
      </w:divBdr>
    </w:div>
    <w:div w:id="424040810">
      <w:marLeft w:val="0"/>
      <w:marRight w:val="0"/>
      <w:marTop w:val="0"/>
      <w:marBottom w:val="0"/>
      <w:divBdr>
        <w:top w:val="none" w:sz="0" w:space="0" w:color="auto"/>
        <w:left w:val="none" w:sz="0" w:space="0" w:color="auto"/>
        <w:bottom w:val="none" w:sz="0" w:space="0" w:color="auto"/>
        <w:right w:val="none" w:sz="0" w:space="0" w:color="auto"/>
      </w:divBdr>
    </w:div>
    <w:div w:id="424040811">
      <w:marLeft w:val="0"/>
      <w:marRight w:val="0"/>
      <w:marTop w:val="0"/>
      <w:marBottom w:val="0"/>
      <w:divBdr>
        <w:top w:val="none" w:sz="0" w:space="0" w:color="auto"/>
        <w:left w:val="none" w:sz="0" w:space="0" w:color="auto"/>
        <w:bottom w:val="none" w:sz="0" w:space="0" w:color="auto"/>
        <w:right w:val="none" w:sz="0" w:space="0" w:color="auto"/>
      </w:divBdr>
    </w:div>
    <w:div w:id="424040812">
      <w:marLeft w:val="0"/>
      <w:marRight w:val="0"/>
      <w:marTop w:val="0"/>
      <w:marBottom w:val="0"/>
      <w:divBdr>
        <w:top w:val="none" w:sz="0" w:space="0" w:color="auto"/>
        <w:left w:val="none" w:sz="0" w:space="0" w:color="auto"/>
        <w:bottom w:val="none" w:sz="0" w:space="0" w:color="auto"/>
        <w:right w:val="none" w:sz="0" w:space="0" w:color="auto"/>
      </w:divBdr>
    </w:div>
    <w:div w:id="424040813">
      <w:marLeft w:val="0"/>
      <w:marRight w:val="0"/>
      <w:marTop w:val="0"/>
      <w:marBottom w:val="0"/>
      <w:divBdr>
        <w:top w:val="none" w:sz="0" w:space="0" w:color="auto"/>
        <w:left w:val="none" w:sz="0" w:space="0" w:color="auto"/>
        <w:bottom w:val="none" w:sz="0" w:space="0" w:color="auto"/>
        <w:right w:val="none" w:sz="0" w:space="0" w:color="auto"/>
      </w:divBdr>
    </w:div>
    <w:div w:id="424040814">
      <w:marLeft w:val="0"/>
      <w:marRight w:val="0"/>
      <w:marTop w:val="0"/>
      <w:marBottom w:val="0"/>
      <w:divBdr>
        <w:top w:val="none" w:sz="0" w:space="0" w:color="auto"/>
        <w:left w:val="none" w:sz="0" w:space="0" w:color="auto"/>
        <w:bottom w:val="none" w:sz="0" w:space="0" w:color="auto"/>
        <w:right w:val="none" w:sz="0" w:space="0" w:color="auto"/>
      </w:divBdr>
    </w:div>
    <w:div w:id="424040815">
      <w:marLeft w:val="0"/>
      <w:marRight w:val="0"/>
      <w:marTop w:val="0"/>
      <w:marBottom w:val="0"/>
      <w:divBdr>
        <w:top w:val="none" w:sz="0" w:space="0" w:color="auto"/>
        <w:left w:val="none" w:sz="0" w:space="0" w:color="auto"/>
        <w:bottom w:val="none" w:sz="0" w:space="0" w:color="auto"/>
        <w:right w:val="none" w:sz="0" w:space="0" w:color="auto"/>
      </w:divBdr>
    </w:div>
    <w:div w:id="424040816">
      <w:marLeft w:val="0"/>
      <w:marRight w:val="0"/>
      <w:marTop w:val="0"/>
      <w:marBottom w:val="0"/>
      <w:divBdr>
        <w:top w:val="none" w:sz="0" w:space="0" w:color="auto"/>
        <w:left w:val="none" w:sz="0" w:space="0" w:color="auto"/>
        <w:bottom w:val="none" w:sz="0" w:space="0" w:color="auto"/>
        <w:right w:val="none" w:sz="0" w:space="0" w:color="auto"/>
      </w:divBdr>
    </w:div>
    <w:div w:id="424040817">
      <w:marLeft w:val="0"/>
      <w:marRight w:val="0"/>
      <w:marTop w:val="0"/>
      <w:marBottom w:val="0"/>
      <w:divBdr>
        <w:top w:val="none" w:sz="0" w:space="0" w:color="auto"/>
        <w:left w:val="none" w:sz="0" w:space="0" w:color="auto"/>
        <w:bottom w:val="none" w:sz="0" w:space="0" w:color="auto"/>
        <w:right w:val="none" w:sz="0" w:space="0" w:color="auto"/>
      </w:divBdr>
    </w:div>
    <w:div w:id="424040818">
      <w:marLeft w:val="0"/>
      <w:marRight w:val="0"/>
      <w:marTop w:val="0"/>
      <w:marBottom w:val="0"/>
      <w:divBdr>
        <w:top w:val="none" w:sz="0" w:space="0" w:color="auto"/>
        <w:left w:val="none" w:sz="0" w:space="0" w:color="auto"/>
        <w:bottom w:val="none" w:sz="0" w:space="0" w:color="auto"/>
        <w:right w:val="none" w:sz="0" w:space="0" w:color="auto"/>
      </w:divBdr>
    </w:div>
    <w:div w:id="424040819">
      <w:marLeft w:val="0"/>
      <w:marRight w:val="0"/>
      <w:marTop w:val="0"/>
      <w:marBottom w:val="0"/>
      <w:divBdr>
        <w:top w:val="none" w:sz="0" w:space="0" w:color="auto"/>
        <w:left w:val="none" w:sz="0" w:space="0" w:color="auto"/>
        <w:bottom w:val="none" w:sz="0" w:space="0" w:color="auto"/>
        <w:right w:val="none" w:sz="0" w:space="0" w:color="auto"/>
      </w:divBdr>
    </w:div>
    <w:div w:id="42404082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annualreports.com" TargetMode="External"/><Relationship Id="rId13" Type="http://schemas.openxmlformats.org/officeDocument/2006/relationships/hyperlink" Target="http://en.wikipedia.org/wiki/Homoscedasticity" TargetMode="External"/><Relationship Id="rId18" Type="http://schemas.openxmlformats.org/officeDocument/2006/relationships/hyperlink" Target="http://www.iasb.org/Home.htm" TargetMode="External"/><Relationship Id="rId3" Type="http://schemas.openxmlformats.org/officeDocument/2006/relationships/settings" Target="settings.xml"/><Relationship Id="rId21" Type="http://schemas.openxmlformats.org/officeDocument/2006/relationships/image" Target="media/image2.png"/><Relationship Id="rId7" Type="http://schemas.openxmlformats.org/officeDocument/2006/relationships/image" Target="media/image1.wmf"/><Relationship Id="rId12" Type="http://schemas.openxmlformats.org/officeDocument/2006/relationships/hyperlink" Target="http://en.wikipedia.org/wiki/Correlation" TargetMode="External"/><Relationship Id="rId17" Type="http://schemas.openxmlformats.org/officeDocument/2006/relationships/hyperlink" Target="http://www.economist.com/opinion/displaystory.cfm?story_id=15545924"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ecb.int/pub/annual/html/index.en.html" TargetMode="External"/><Relationship Id="rId20" Type="http://schemas.openxmlformats.org/officeDocument/2006/relationships/hyperlink" Target="http://pcaobus.org/Pages/default.aspx"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en.wikipedia.org/wiki/Data"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www.annualreports.com" TargetMode="External"/><Relationship Id="rId23" Type="http://schemas.openxmlformats.org/officeDocument/2006/relationships/footer" Target="footer1.xml"/><Relationship Id="rId10" Type="http://schemas.openxmlformats.org/officeDocument/2006/relationships/hyperlink" Target="http://en.wikipedia.org/wiki/Random_assignment" TargetMode="External"/><Relationship Id="rId19" Type="http://schemas.openxmlformats.org/officeDocument/2006/relationships/hyperlink" Target="http://www.ifrs.com" TargetMode="External"/><Relationship Id="rId4" Type="http://schemas.openxmlformats.org/officeDocument/2006/relationships/webSettings" Target="webSettings.xml"/><Relationship Id="rId9" Type="http://schemas.openxmlformats.org/officeDocument/2006/relationships/hyperlink" Target="http://www.ecb.int/pub/annual/html/index.en.html" TargetMode="External"/><Relationship Id="rId14" Type="http://schemas.openxmlformats.org/officeDocument/2006/relationships/hyperlink" Target="http://www.afm.nl" TargetMode="External"/><Relationship Id="rId22" Type="http://schemas.openxmlformats.org/officeDocument/2006/relationships/header" Target="header1.xml"/></Relationships>
</file>

<file path=word/_rels/footnotes.xml.rels><?xml version="1.0" encoding="UTF-8" standalone="yes"?>
<Relationships xmlns="http://schemas.openxmlformats.org/package/2006/relationships"><Relationship Id="rId3" Type="http://schemas.openxmlformats.org/officeDocument/2006/relationships/hyperlink" Target="http://pcaobus.org/Pages/default.aspx" TargetMode="External"/><Relationship Id="rId2" Type="http://schemas.openxmlformats.org/officeDocument/2006/relationships/hyperlink" Target="http://web.ifac.org/clarity-center/isa-200" TargetMode="External"/><Relationship Id="rId1" Type="http://schemas.openxmlformats.org/officeDocument/2006/relationships/hyperlink" Target="http://www.brainyquote.com/quotes/authors/w/warren_buffett_3.html" TargetMode="External"/><Relationship Id="rId4" Type="http://schemas.openxmlformats.org/officeDocument/2006/relationships/hyperlink" Target="http://www.afm.nl/~/media/Files/wetten-regels/wta/engels/en-wta_act_on_the_supervision_of_audit_firms.ash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94</Pages>
  <Words>29617</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ERASMUS UNIVERSITY ROTTERDAM</dc:title>
  <dc:subject/>
  <dc:creator>Windows User</dc:creator>
  <cp:keywords/>
  <dc:description/>
  <cp:lastModifiedBy>Evert  A. de Knecht</cp:lastModifiedBy>
  <cp:revision>2</cp:revision>
  <dcterms:created xsi:type="dcterms:W3CDTF">2010-11-15T10:01:00Z</dcterms:created>
  <dcterms:modified xsi:type="dcterms:W3CDTF">2010-11-15T10:01:00Z</dcterms:modified>
</cp:coreProperties>
</file>