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7" w:rightFromText="187" w:vertAnchor="page" w:horzAnchor="page" w:tblpYSpec="top"/>
        <w:tblW w:w="0" w:type="auto"/>
        <w:tblLook w:val="00A0"/>
      </w:tblPr>
      <w:tblGrid>
        <w:gridCol w:w="1440"/>
        <w:gridCol w:w="2520"/>
      </w:tblGrid>
      <w:tr w:rsidR="00977FC8" w:rsidRPr="006A75D7">
        <w:trPr>
          <w:trHeight w:val="1440"/>
        </w:trPr>
        <w:tc>
          <w:tcPr>
            <w:tcW w:w="1440" w:type="dxa"/>
            <w:tcBorders>
              <w:right w:val="single" w:sz="4" w:space="0" w:color="FFFFFF"/>
            </w:tcBorders>
            <w:shd w:val="clear" w:color="auto" w:fill="943634"/>
          </w:tcPr>
          <w:p w:rsidR="00977FC8" w:rsidRPr="006A75D7" w:rsidRDefault="00EA313D">
            <w:pPr>
              <w:rPr>
                <w:lang w:val="en-GB"/>
              </w:rPr>
            </w:pPr>
            <w:r>
              <w:rPr>
                <w:lang w:val="en-GB"/>
              </w:rPr>
              <w:t xml:space="preserve"> </w:t>
            </w:r>
          </w:p>
        </w:tc>
        <w:tc>
          <w:tcPr>
            <w:tcW w:w="2520" w:type="dxa"/>
            <w:tcBorders>
              <w:left w:val="single" w:sz="4" w:space="0" w:color="FFFFFF"/>
            </w:tcBorders>
            <w:shd w:val="clear" w:color="auto" w:fill="943634"/>
            <w:vAlign w:val="bottom"/>
          </w:tcPr>
          <w:p w:rsidR="00977FC8" w:rsidRPr="00213E5B" w:rsidRDefault="00977FC8" w:rsidP="00213E5B">
            <w:pPr>
              <w:pStyle w:val="NoSpacing"/>
              <w:jc w:val="center"/>
              <w:rPr>
                <w:rFonts w:asciiTheme="majorHAnsi" w:hAnsiTheme="majorHAnsi"/>
                <w:b/>
                <w:bCs/>
                <w:color w:val="FFFFFF" w:themeColor="background1"/>
                <w:sz w:val="72"/>
                <w:szCs w:val="72"/>
                <w:lang w:val="en-GB"/>
              </w:rPr>
            </w:pPr>
            <w:r w:rsidRPr="00213E5B">
              <w:rPr>
                <w:rFonts w:asciiTheme="majorHAnsi" w:hAnsiTheme="majorHAnsi"/>
                <w:b/>
                <w:bCs/>
                <w:color w:val="FFFFFF" w:themeColor="background1"/>
                <w:sz w:val="72"/>
                <w:szCs w:val="72"/>
                <w:lang w:val="en-GB"/>
              </w:rPr>
              <w:t>2010</w:t>
            </w:r>
          </w:p>
        </w:tc>
      </w:tr>
      <w:tr w:rsidR="00977FC8" w:rsidRPr="008B2DB1">
        <w:trPr>
          <w:trHeight w:val="2880"/>
        </w:trPr>
        <w:tc>
          <w:tcPr>
            <w:tcW w:w="1440" w:type="dxa"/>
            <w:tcBorders>
              <w:right w:val="single" w:sz="4" w:space="0" w:color="000000"/>
            </w:tcBorders>
          </w:tcPr>
          <w:p w:rsidR="00977FC8" w:rsidRPr="006A75D7" w:rsidRDefault="00977FC8">
            <w:pPr>
              <w:rPr>
                <w:lang w:val="en-GB"/>
              </w:rPr>
            </w:pPr>
          </w:p>
        </w:tc>
        <w:tc>
          <w:tcPr>
            <w:tcW w:w="2520" w:type="dxa"/>
            <w:tcBorders>
              <w:left w:val="single" w:sz="4" w:space="0" w:color="000000"/>
            </w:tcBorders>
            <w:vAlign w:val="center"/>
          </w:tcPr>
          <w:p w:rsidR="00977FC8" w:rsidRPr="00067B3E" w:rsidRDefault="00977FC8">
            <w:pPr>
              <w:pStyle w:val="NoSpacing"/>
            </w:pPr>
          </w:p>
        </w:tc>
      </w:tr>
    </w:tbl>
    <w:p w:rsidR="00977FC8" w:rsidRPr="006A75D7" w:rsidRDefault="00977FC8" w:rsidP="00A72945">
      <w:pPr>
        <w:jc w:val="center"/>
        <w:rPr>
          <w:lang w:val="en-GB"/>
        </w:rPr>
      </w:pPr>
    </w:p>
    <w:tbl>
      <w:tblPr>
        <w:tblpPr w:leftFromText="187" w:rightFromText="187" w:vertAnchor="page" w:horzAnchor="margin" w:tblpY="12743"/>
        <w:tblW w:w="5000" w:type="pct"/>
        <w:tblLook w:val="00A0"/>
      </w:tblPr>
      <w:tblGrid>
        <w:gridCol w:w="9287"/>
      </w:tblGrid>
      <w:tr w:rsidR="0006600A" w:rsidRPr="006A75D7" w:rsidTr="00FF0448">
        <w:tc>
          <w:tcPr>
            <w:tcW w:w="0" w:type="auto"/>
          </w:tcPr>
          <w:p w:rsidR="0006600A" w:rsidRPr="006A75D7" w:rsidRDefault="0006600A" w:rsidP="001678A0">
            <w:pPr>
              <w:pStyle w:val="NoSpacing"/>
              <w:rPr>
                <w:b/>
                <w:bCs/>
                <w:caps/>
                <w:sz w:val="72"/>
                <w:szCs w:val="72"/>
                <w:lang w:val="en-GB"/>
              </w:rPr>
            </w:pPr>
            <w:r w:rsidRPr="0006600A">
              <w:rPr>
                <w:b/>
                <w:bCs/>
                <w:caps/>
                <w:color w:val="943634" w:themeColor="accent2" w:themeShade="BF"/>
                <w:sz w:val="72"/>
                <w:szCs w:val="72"/>
                <w:lang w:val="en-GB"/>
              </w:rPr>
              <w:t>[</w:t>
            </w:r>
            <w:r w:rsidRPr="006A75D7">
              <w:rPr>
                <w:b/>
                <w:bCs/>
                <w:caps/>
                <w:sz w:val="72"/>
                <w:szCs w:val="72"/>
                <w:lang w:val="en-GB"/>
              </w:rPr>
              <w:t>equity incentives and earnings management</w:t>
            </w:r>
          </w:p>
          <w:p w:rsidR="0006600A" w:rsidRPr="006A75D7" w:rsidRDefault="0006600A" w:rsidP="00FF0448">
            <w:pPr>
              <w:pStyle w:val="NoSpacing"/>
              <w:rPr>
                <w:b/>
                <w:bCs/>
                <w:caps/>
                <w:sz w:val="72"/>
                <w:szCs w:val="72"/>
                <w:lang w:val="en-GB"/>
              </w:rPr>
            </w:pPr>
            <w:r w:rsidRPr="006A75D7">
              <w:rPr>
                <w:b/>
                <w:bCs/>
                <w:caps/>
                <w:sz w:val="72"/>
                <w:szCs w:val="72"/>
                <w:lang w:val="en-GB"/>
              </w:rPr>
              <w:t>in the u</w:t>
            </w:r>
            <w:r>
              <w:rPr>
                <w:b/>
                <w:bCs/>
                <w:caps/>
                <w:sz w:val="72"/>
                <w:szCs w:val="72"/>
                <w:lang w:val="en-GB"/>
              </w:rPr>
              <w:t xml:space="preserve">nited </w:t>
            </w:r>
            <w:r w:rsidRPr="006A75D7">
              <w:rPr>
                <w:b/>
                <w:bCs/>
                <w:caps/>
                <w:sz w:val="72"/>
                <w:szCs w:val="72"/>
                <w:lang w:val="en-GB"/>
              </w:rPr>
              <w:t>k</w:t>
            </w:r>
            <w:r>
              <w:rPr>
                <w:b/>
                <w:bCs/>
                <w:caps/>
                <w:sz w:val="72"/>
                <w:szCs w:val="72"/>
                <w:lang w:val="en-GB"/>
              </w:rPr>
              <w:t>ingdom</w:t>
            </w:r>
            <w:r w:rsidRPr="0006600A">
              <w:rPr>
                <w:b/>
                <w:bCs/>
                <w:caps/>
                <w:color w:val="943634" w:themeColor="accent2" w:themeShade="BF"/>
                <w:sz w:val="72"/>
                <w:szCs w:val="72"/>
                <w:lang w:val="en-GB"/>
              </w:rPr>
              <w:t>]</w:t>
            </w:r>
          </w:p>
        </w:tc>
      </w:tr>
      <w:tr w:rsidR="0006600A" w:rsidRPr="006A75D7" w:rsidTr="00FF0448">
        <w:trPr>
          <w:trHeight w:val="479"/>
        </w:trPr>
        <w:tc>
          <w:tcPr>
            <w:tcW w:w="0" w:type="auto"/>
          </w:tcPr>
          <w:p w:rsidR="0006600A" w:rsidRDefault="0006600A" w:rsidP="00FF0448">
            <w:pPr>
              <w:pStyle w:val="NoSpacing"/>
              <w:rPr>
                <w:b/>
                <w:lang w:val="en-US"/>
              </w:rPr>
            </w:pPr>
          </w:p>
          <w:p w:rsidR="0006600A" w:rsidRPr="006A75D7" w:rsidRDefault="0006600A" w:rsidP="00FF0448">
            <w:pPr>
              <w:pStyle w:val="NoSpacing"/>
              <w:jc w:val="both"/>
              <w:rPr>
                <w:color w:val="7F7F7F"/>
                <w:lang w:val="en-GB"/>
              </w:rPr>
            </w:pPr>
          </w:p>
        </w:tc>
      </w:tr>
      <w:tr w:rsidR="0006600A" w:rsidRPr="006A75D7" w:rsidTr="00FF0448">
        <w:trPr>
          <w:trHeight w:val="479"/>
        </w:trPr>
        <w:tc>
          <w:tcPr>
            <w:tcW w:w="0" w:type="auto"/>
          </w:tcPr>
          <w:p w:rsidR="0006600A" w:rsidRDefault="0006600A" w:rsidP="00FF0448">
            <w:pPr>
              <w:pStyle w:val="NoSpacing"/>
              <w:rPr>
                <w:b/>
                <w:lang w:val="en-US"/>
              </w:rPr>
            </w:pPr>
          </w:p>
        </w:tc>
      </w:tr>
    </w:tbl>
    <w:p w:rsidR="00D02A95" w:rsidRPr="0006600A" w:rsidRDefault="00D02A95" w:rsidP="005B057B">
      <w:pPr>
        <w:pStyle w:val="Heading1"/>
        <w:numPr>
          <w:ilvl w:val="0"/>
          <w:numId w:val="0"/>
        </w:numPr>
        <w:rPr>
          <w:lang w:val="en-US"/>
        </w:rPr>
        <w:sectPr w:rsidR="00D02A95" w:rsidRPr="0006600A" w:rsidSect="00D02A95">
          <w:headerReference w:type="default" r:id="rId9"/>
          <w:headerReference w:type="first" r:id="rId10"/>
          <w:pgSz w:w="11907" w:h="16840" w:code="77"/>
          <w:pgMar w:top="1418" w:right="1418" w:bottom="1418" w:left="1418" w:header="709" w:footer="709" w:gutter="0"/>
          <w:lnNumType w:countBy="5"/>
          <w:cols w:space="708"/>
          <w:titlePg/>
          <w:docGrid w:linePitch="360"/>
        </w:sect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Default="000750B5">
      <w:pPr>
        <w:spacing w:line="240" w:lineRule="auto"/>
        <w:jc w:val="left"/>
        <w:rPr>
          <w:lang w:val="en-GB"/>
        </w:rPr>
      </w:pPr>
    </w:p>
    <w:p w:rsidR="000750B5" w:rsidRPr="001678A0" w:rsidRDefault="000750B5" w:rsidP="001678A0">
      <w:pPr>
        <w:jc w:val="center"/>
        <w:rPr>
          <w:rFonts w:ascii="Calibri" w:hAnsi="Calibri"/>
          <w:b/>
          <w:sz w:val="56"/>
          <w:szCs w:val="56"/>
          <w:lang w:val="en-GB"/>
        </w:rPr>
      </w:pPr>
      <w:r w:rsidRPr="001678A0">
        <w:rPr>
          <w:rFonts w:ascii="Calibri" w:hAnsi="Calibri"/>
          <w:b/>
          <w:sz w:val="56"/>
          <w:szCs w:val="56"/>
          <w:lang w:val="en-GB"/>
        </w:rPr>
        <w:t xml:space="preserve">Equity incentives </w:t>
      </w:r>
    </w:p>
    <w:p w:rsidR="000750B5" w:rsidRPr="001678A0" w:rsidRDefault="000750B5" w:rsidP="001678A0">
      <w:pPr>
        <w:jc w:val="center"/>
        <w:rPr>
          <w:rFonts w:ascii="Calibri" w:hAnsi="Calibri"/>
          <w:b/>
          <w:sz w:val="56"/>
          <w:szCs w:val="56"/>
          <w:lang w:val="en-GB"/>
        </w:rPr>
      </w:pPr>
      <w:r w:rsidRPr="001678A0">
        <w:rPr>
          <w:rFonts w:ascii="Calibri" w:hAnsi="Calibri"/>
          <w:b/>
          <w:sz w:val="56"/>
          <w:szCs w:val="56"/>
          <w:lang w:val="en-GB"/>
        </w:rPr>
        <w:t xml:space="preserve">and earnings management </w:t>
      </w:r>
    </w:p>
    <w:p w:rsidR="000750B5" w:rsidRPr="001678A0" w:rsidRDefault="000750B5" w:rsidP="001678A0">
      <w:pPr>
        <w:jc w:val="center"/>
        <w:rPr>
          <w:rFonts w:ascii="Calibri" w:hAnsi="Calibri"/>
          <w:b/>
          <w:sz w:val="56"/>
          <w:szCs w:val="56"/>
          <w:lang w:val="en-GB"/>
        </w:rPr>
      </w:pPr>
      <w:r w:rsidRPr="001678A0">
        <w:rPr>
          <w:rFonts w:ascii="Calibri" w:hAnsi="Calibri"/>
          <w:b/>
          <w:sz w:val="56"/>
          <w:szCs w:val="56"/>
          <w:lang w:val="en-GB"/>
        </w:rPr>
        <w:t>in the United Kingdom</w:t>
      </w:r>
    </w:p>
    <w:p w:rsidR="000750B5" w:rsidRPr="002179EB" w:rsidRDefault="000750B5">
      <w:pPr>
        <w:spacing w:line="240" w:lineRule="auto"/>
        <w:jc w:val="left"/>
        <w:rPr>
          <w:rFonts w:ascii="Calibri" w:hAnsi="Calibri"/>
          <w:lang w:val="en-GB"/>
        </w:rPr>
      </w:pPr>
    </w:p>
    <w:p w:rsidR="000750B5" w:rsidRPr="002179EB" w:rsidRDefault="000750B5">
      <w:pPr>
        <w:spacing w:line="240" w:lineRule="auto"/>
        <w:jc w:val="left"/>
        <w:rPr>
          <w:rFonts w:ascii="Calibri" w:hAnsi="Calibri"/>
          <w:lang w:val="en-GB"/>
        </w:rPr>
      </w:pPr>
    </w:p>
    <w:p w:rsidR="000750B5" w:rsidRPr="002179EB" w:rsidRDefault="000750B5">
      <w:pPr>
        <w:spacing w:line="240" w:lineRule="auto"/>
        <w:jc w:val="left"/>
        <w:rPr>
          <w:rFonts w:ascii="Calibri" w:hAnsi="Calibri"/>
          <w:b/>
          <w:sz w:val="28"/>
          <w:szCs w:val="28"/>
          <w:lang w:val="en-GB"/>
        </w:rPr>
      </w:pPr>
    </w:p>
    <w:p w:rsidR="000750B5" w:rsidRPr="002179EB" w:rsidRDefault="000750B5">
      <w:pPr>
        <w:spacing w:line="240" w:lineRule="auto"/>
        <w:jc w:val="left"/>
        <w:rPr>
          <w:rFonts w:ascii="Calibri" w:hAnsi="Calibri"/>
          <w:b/>
          <w:sz w:val="28"/>
          <w:szCs w:val="28"/>
          <w:lang w:val="en-GB"/>
        </w:rPr>
      </w:pPr>
    </w:p>
    <w:p w:rsidR="000750B5" w:rsidRPr="002179EB" w:rsidRDefault="000750B5">
      <w:pPr>
        <w:spacing w:line="240" w:lineRule="auto"/>
        <w:jc w:val="left"/>
        <w:rPr>
          <w:rFonts w:ascii="Calibri" w:hAnsi="Calibri"/>
          <w:b/>
          <w:sz w:val="28"/>
          <w:szCs w:val="28"/>
          <w:lang w:val="en-GB"/>
        </w:rPr>
      </w:pPr>
    </w:p>
    <w:p w:rsidR="000750B5" w:rsidRPr="002179EB" w:rsidRDefault="000750B5">
      <w:pPr>
        <w:spacing w:line="240" w:lineRule="auto"/>
        <w:jc w:val="left"/>
        <w:rPr>
          <w:rFonts w:ascii="Calibri" w:hAnsi="Calibri"/>
          <w:b/>
          <w:sz w:val="28"/>
          <w:szCs w:val="28"/>
          <w:lang w:val="en-GB"/>
        </w:rPr>
      </w:pPr>
    </w:p>
    <w:p w:rsidR="000750B5" w:rsidRPr="002179EB" w:rsidRDefault="000750B5">
      <w:pPr>
        <w:spacing w:line="240" w:lineRule="auto"/>
        <w:jc w:val="left"/>
        <w:rPr>
          <w:rFonts w:ascii="Calibri" w:hAnsi="Calibri"/>
          <w:b/>
          <w:sz w:val="28"/>
          <w:szCs w:val="28"/>
          <w:lang w:val="en-GB"/>
        </w:rPr>
      </w:pPr>
    </w:p>
    <w:p w:rsidR="000750B5" w:rsidRPr="002179EB" w:rsidRDefault="000750B5">
      <w:pPr>
        <w:spacing w:line="240" w:lineRule="auto"/>
        <w:jc w:val="left"/>
        <w:rPr>
          <w:rFonts w:ascii="Calibri" w:hAnsi="Calibri"/>
          <w:b/>
          <w:sz w:val="28"/>
          <w:szCs w:val="28"/>
          <w:lang w:val="en-GB"/>
        </w:rPr>
      </w:pPr>
    </w:p>
    <w:p w:rsidR="000750B5" w:rsidRPr="002179EB" w:rsidRDefault="000750B5">
      <w:pPr>
        <w:spacing w:line="240" w:lineRule="auto"/>
        <w:jc w:val="left"/>
        <w:rPr>
          <w:rFonts w:ascii="Calibri" w:hAnsi="Calibri"/>
          <w:b/>
          <w:sz w:val="28"/>
          <w:szCs w:val="28"/>
          <w:lang w:val="en-GB"/>
        </w:rPr>
      </w:pPr>
    </w:p>
    <w:p w:rsidR="000750B5" w:rsidRPr="002179EB" w:rsidRDefault="000750B5">
      <w:pPr>
        <w:spacing w:line="240" w:lineRule="auto"/>
        <w:jc w:val="left"/>
        <w:rPr>
          <w:rFonts w:ascii="Calibri" w:hAnsi="Calibri"/>
          <w:b/>
          <w:sz w:val="28"/>
          <w:szCs w:val="28"/>
          <w:lang w:val="en-GB"/>
        </w:rPr>
      </w:pPr>
    </w:p>
    <w:p w:rsidR="000750B5" w:rsidRPr="002179EB" w:rsidRDefault="000750B5">
      <w:pPr>
        <w:spacing w:line="240" w:lineRule="auto"/>
        <w:jc w:val="left"/>
        <w:rPr>
          <w:rFonts w:ascii="Calibri" w:hAnsi="Calibri"/>
          <w:b/>
          <w:sz w:val="28"/>
          <w:szCs w:val="28"/>
          <w:lang w:val="en-GB"/>
        </w:rPr>
      </w:pPr>
    </w:p>
    <w:p w:rsidR="000750B5" w:rsidRDefault="000750B5">
      <w:pPr>
        <w:spacing w:line="240" w:lineRule="auto"/>
        <w:jc w:val="left"/>
        <w:rPr>
          <w:rFonts w:ascii="Calibri" w:hAnsi="Calibri"/>
          <w:b/>
          <w:sz w:val="28"/>
          <w:szCs w:val="28"/>
          <w:lang w:val="en-GB"/>
        </w:rPr>
      </w:pPr>
    </w:p>
    <w:p w:rsidR="001678A0" w:rsidRDefault="001678A0" w:rsidP="001678A0">
      <w:pPr>
        <w:spacing w:line="240" w:lineRule="auto"/>
        <w:jc w:val="left"/>
        <w:rPr>
          <w:rFonts w:ascii="Calibri" w:hAnsi="Calibri"/>
          <w:b/>
          <w:sz w:val="28"/>
          <w:szCs w:val="28"/>
          <w:lang w:val="en-GB"/>
        </w:rPr>
      </w:pPr>
    </w:p>
    <w:p w:rsidR="001678A0" w:rsidRPr="002179EB" w:rsidRDefault="001678A0" w:rsidP="001678A0">
      <w:pPr>
        <w:spacing w:line="240" w:lineRule="auto"/>
        <w:jc w:val="left"/>
        <w:rPr>
          <w:rFonts w:ascii="Calibri" w:hAnsi="Calibri"/>
          <w:b/>
          <w:sz w:val="28"/>
          <w:szCs w:val="28"/>
          <w:lang w:val="en-GB"/>
        </w:rPr>
      </w:pPr>
      <w:r w:rsidRPr="002179EB">
        <w:rPr>
          <w:rFonts w:ascii="Calibri" w:hAnsi="Calibri"/>
          <w:b/>
          <w:sz w:val="28"/>
          <w:szCs w:val="28"/>
          <w:lang w:val="en-GB"/>
        </w:rPr>
        <w:t>Erasmus University Rotterdam</w:t>
      </w:r>
    </w:p>
    <w:p w:rsidR="000750B5" w:rsidRPr="002179EB" w:rsidRDefault="000750B5">
      <w:pPr>
        <w:spacing w:line="240" w:lineRule="auto"/>
        <w:jc w:val="left"/>
        <w:rPr>
          <w:rFonts w:ascii="Calibri" w:hAnsi="Calibri"/>
          <w:b/>
          <w:sz w:val="28"/>
          <w:szCs w:val="28"/>
          <w:lang w:val="en-GB"/>
        </w:rPr>
      </w:pPr>
      <w:r w:rsidRPr="002179EB">
        <w:rPr>
          <w:rFonts w:ascii="Calibri" w:hAnsi="Calibri"/>
          <w:b/>
          <w:sz w:val="28"/>
          <w:szCs w:val="28"/>
          <w:lang w:val="en-GB"/>
        </w:rPr>
        <w:t>Erasmus School of Economics</w:t>
      </w:r>
    </w:p>
    <w:p w:rsidR="001678A0" w:rsidRPr="001678A0" w:rsidRDefault="001678A0" w:rsidP="001678A0">
      <w:pPr>
        <w:spacing w:line="240" w:lineRule="auto"/>
        <w:jc w:val="left"/>
        <w:rPr>
          <w:rFonts w:ascii="Calibri" w:hAnsi="Calibri"/>
          <w:b/>
          <w:sz w:val="28"/>
          <w:szCs w:val="28"/>
          <w:lang w:val="en-GB"/>
        </w:rPr>
      </w:pPr>
      <w:r w:rsidRPr="001678A0">
        <w:rPr>
          <w:rFonts w:ascii="Calibri" w:hAnsi="Calibri"/>
          <w:b/>
          <w:sz w:val="28"/>
          <w:szCs w:val="28"/>
          <w:lang w:val="en-GB"/>
        </w:rPr>
        <w:t>Rotterdam, 2010</w:t>
      </w:r>
    </w:p>
    <w:p w:rsidR="000750B5" w:rsidRDefault="000750B5">
      <w:pPr>
        <w:spacing w:line="240" w:lineRule="auto"/>
        <w:jc w:val="left"/>
        <w:rPr>
          <w:rFonts w:ascii="Calibri" w:hAnsi="Calibri"/>
          <w:b/>
          <w:sz w:val="28"/>
          <w:szCs w:val="28"/>
          <w:lang w:val="en-GB"/>
        </w:rPr>
      </w:pPr>
    </w:p>
    <w:p w:rsidR="001678A0" w:rsidRPr="002179EB" w:rsidRDefault="001678A0">
      <w:pPr>
        <w:spacing w:line="240" w:lineRule="auto"/>
        <w:jc w:val="left"/>
        <w:rPr>
          <w:rFonts w:ascii="Calibri" w:hAnsi="Calibri"/>
          <w:b/>
          <w:sz w:val="28"/>
          <w:szCs w:val="28"/>
          <w:lang w:val="en-GB"/>
        </w:rPr>
      </w:pPr>
    </w:p>
    <w:p w:rsidR="000750B5" w:rsidRPr="00202887" w:rsidRDefault="000750B5">
      <w:pPr>
        <w:spacing w:line="240" w:lineRule="auto"/>
        <w:jc w:val="left"/>
        <w:rPr>
          <w:rFonts w:ascii="Calibri" w:hAnsi="Calibri"/>
          <w:sz w:val="28"/>
          <w:szCs w:val="28"/>
          <w:lang w:val="en-US"/>
        </w:rPr>
      </w:pPr>
      <w:r w:rsidRPr="006D1D46">
        <w:rPr>
          <w:rFonts w:ascii="Calibri" w:hAnsi="Calibri"/>
          <w:sz w:val="28"/>
          <w:szCs w:val="28"/>
          <w:lang w:val="en-US"/>
        </w:rPr>
        <w:t>Author</w:t>
      </w:r>
      <w:r w:rsidRPr="006D1D46">
        <w:rPr>
          <w:rFonts w:ascii="Calibri" w:hAnsi="Calibri"/>
          <w:sz w:val="28"/>
          <w:szCs w:val="28"/>
          <w:lang w:val="en-US"/>
        </w:rPr>
        <w:tab/>
      </w:r>
      <w:r w:rsidRPr="00202887">
        <w:rPr>
          <w:rFonts w:ascii="Calibri" w:hAnsi="Calibri"/>
          <w:sz w:val="28"/>
          <w:szCs w:val="28"/>
          <w:lang w:val="en-US"/>
        </w:rPr>
        <w:tab/>
        <w:t>L.J.P.</w:t>
      </w:r>
      <w:r w:rsidR="006D1D46" w:rsidRPr="00202887">
        <w:rPr>
          <w:rFonts w:ascii="Calibri" w:hAnsi="Calibri"/>
          <w:sz w:val="28"/>
          <w:szCs w:val="28"/>
          <w:lang w:val="en-US"/>
        </w:rPr>
        <w:t xml:space="preserve"> (John)</w:t>
      </w:r>
      <w:r w:rsidRPr="00202887">
        <w:rPr>
          <w:rFonts w:ascii="Calibri" w:hAnsi="Calibri"/>
          <w:sz w:val="28"/>
          <w:szCs w:val="28"/>
          <w:lang w:val="en-US"/>
        </w:rPr>
        <w:t xml:space="preserve"> de Vos (315695)</w:t>
      </w:r>
    </w:p>
    <w:p w:rsidR="000750B5" w:rsidRPr="00202887" w:rsidRDefault="000750B5">
      <w:pPr>
        <w:spacing w:line="240" w:lineRule="auto"/>
        <w:jc w:val="left"/>
        <w:rPr>
          <w:rFonts w:ascii="Calibri" w:hAnsi="Calibri"/>
          <w:sz w:val="28"/>
          <w:szCs w:val="28"/>
          <w:lang w:val="en-US"/>
        </w:rPr>
      </w:pPr>
      <w:r w:rsidRPr="00202887">
        <w:rPr>
          <w:rFonts w:ascii="Calibri" w:hAnsi="Calibri"/>
          <w:sz w:val="28"/>
          <w:szCs w:val="28"/>
          <w:lang w:val="en-US"/>
        </w:rPr>
        <w:t>Coach</w:t>
      </w:r>
      <w:r w:rsidRPr="00202887">
        <w:rPr>
          <w:rFonts w:ascii="Calibri" w:hAnsi="Calibri"/>
          <w:sz w:val="28"/>
          <w:szCs w:val="28"/>
          <w:lang w:val="en-US"/>
        </w:rPr>
        <w:tab/>
      </w:r>
      <w:r w:rsidRPr="00202887">
        <w:rPr>
          <w:rFonts w:ascii="Calibri" w:hAnsi="Calibri"/>
          <w:sz w:val="28"/>
          <w:szCs w:val="28"/>
          <w:lang w:val="en-US"/>
        </w:rPr>
        <w:tab/>
      </w:r>
      <w:r w:rsidR="006D1D46" w:rsidRPr="00202887">
        <w:rPr>
          <w:rFonts w:ascii="Calibri" w:hAnsi="Calibri"/>
          <w:sz w:val="28"/>
          <w:szCs w:val="28"/>
          <w:lang w:val="en-US"/>
        </w:rPr>
        <w:tab/>
      </w:r>
      <w:r w:rsidRPr="00202887">
        <w:rPr>
          <w:rFonts w:ascii="Calibri" w:hAnsi="Calibri"/>
          <w:sz w:val="28"/>
          <w:szCs w:val="28"/>
          <w:lang w:val="en-US"/>
        </w:rPr>
        <w:t>Dr. Y. Wang</w:t>
      </w:r>
    </w:p>
    <w:p w:rsidR="001678A0" w:rsidRPr="00905DFA" w:rsidRDefault="000750B5">
      <w:pPr>
        <w:spacing w:line="240" w:lineRule="auto"/>
        <w:jc w:val="left"/>
        <w:rPr>
          <w:rFonts w:ascii="Bell MT" w:hAnsi="Bell MT"/>
          <w:sz w:val="28"/>
          <w:szCs w:val="28"/>
          <w:lang w:val="en-GB"/>
        </w:rPr>
        <w:sectPr w:rsidR="001678A0" w:rsidRPr="00905DFA" w:rsidSect="000750B5">
          <w:headerReference w:type="default" r:id="rId11"/>
          <w:footerReference w:type="default" r:id="rId12"/>
          <w:pgSz w:w="11907" w:h="16840" w:code="77"/>
          <w:pgMar w:top="1418" w:right="1418" w:bottom="1418" w:left="1418" w:header="709" w:footer="709" w:gutter="0"/>
          <w:cols w:space="708"/>
          <w:docGrid w:linePitch="360"/>
        </w:sectPr>
      </w:pPr>
      <w:r w:rsidRPr="00905DFA">
        <w:rPr>
          <w:rFonts w:ascii="Calibri" w:hAnsi="Calibri"/>
          <w:sz w:val="28"/>
          <w:szCs w:val="28"/>
          <w:lang w:val="en-GB"/>
        </w:rPr>
        <w:t>Co-reader</w:t>
      </w:r>
      <w:r w:rsidR="00080050" w:rsidRPr="00905DFA">
        <w:rPr>
          <w:rFonts w:ascii="Calibri" w:hAnsi="Calibri"/>
          <w:sz w:val="28"/>
          <w:szCs w:val="28"/>
          <w:lang w:val="en-GB"/>
        </w:rPr>
        <w:tab/>
      </w:r>
      <w:r w:rsidR="00080050" w:rsidRPr="00905DFA">
        <w:rPr>
          <w:rFonts w:ascii="Calibri" w:hAnsi="Calibri"/>
          <w:sz w:val="28"/>
          <w:szCs w:val="28"/>
          <w:lang w:val="en-GB"/>
        </w:rPr>
        <w:tab/>
        <w:t>Drs. R. van der Wal RA</w:t>
      </w:r>
      <w:r w:rsidRPr="00905DFA">
        <w:rPr>
          <w:rFonts w:ascii="Calibri" w:hAnsi="Calibri"/>
          <w:sz w:val="28"/>
          <w:szCs w:val="28"/>
          <w:lang w:val="en-GB"/>
        </w:rPr>
        <w:tab/>
      </w:r>
      <w:r w:rsidRPr="00905DFA">
        <w:rPr>
          <w:rFonts w:ascii="Bell MT" w:hAnsi="Bell MT"/>
          <w:sz w:val="28"/>
          <w:szCs w:val="28"/>
          <w:lang w:val="en-GB"/>
        </w:rPr>
        <w:tab/>
      </w:r>
    </w:p>
    <w:p w:rsidR="00D8569F" w:rsidRDefault="00D8569F" w:rsidP="00D8569F">
      <w:pPr>
        <w:pStyle w:val="Heading1"/>
        <w:numPr>
          <w:ilvl w:val="0"/>
          <w:numId w:val="0"/>
        </w:numPr>
        <w:rPr>
          <w:lang w:val="en-GB"/>
        </w:rPr>
      </w:pPr>
      <w:bookmarkStart w:id="0" w:name="_Toc274485423"/>
      <w:r>
        <w:rPr>
          <w:lang w:val="en-GB"/>
        </w:rPr>
        <w:lastRenderedPageBreak/>
        <w:t>Preface</w:t>
      </w:r>
      <w:bookmarkEnd w:id="0"/>
    </w:p>
    <w:p w:rsidR="00D8569F" w:rsidRDefault="00D8569F" w:rsidP="00D8569F">
      <w:pPr>
        <w:rPr>
          <w:lang w:val="en-GB" w:eastAsia="en-US" w:bidi="ar-SA"/>
        </w:rPr>
      </w:pPr>
      <w:r>
        <w:rPr>
          <w:lang w:val="en-GB" w:eastAsia="en-US" w:bidi="ar-SA"/>
        </w:rPr>
        <w:t xml:space="preserve">This thesis </w:t>
      </w:r>
      <w:r w:rsidR="001A520C">
        <w:rPr>
          <w:rFonts w:cs="Arial"/>
          <w:lang w:val="en-GB" w:eastAsia="en-US" w:bidi="ar-SA"/>
        </w:rPr>
        <w:t>is written as the</w:t>
      </w:r>
      <w:r w:rsidRPr="001026CF">
        <w:rPr>
          <w:rFonts w:cs="Arial"/>
          <w:lang w:val="en-GB" w:eastAsia="en-US" w:bidi="ar-SA"/>
        </w:rPr>
        <w:t xml:space="preserve"> final assignment of my study Accounting, Auditing &amp; Control at the Erasmus University of Rotterdam. While writing this thesis earnings management and the incentives for CEO’s to engage in earnings management were of special interest to me. This period has come to an end with the conclusion of this thesis. First of all I want to thank my family and friends for their support during my master study. Secondly I would like to thank N. El-</w:t>
      </w:r>
      <w:r>
        <w:rPr>
          <w:lang w:val="en-GB" w:eastAsia="en-US" w:bidi="ar-SA"/>
        </w:rPr>
        <w:t xml:space="preserve">Haloush and R. van der Linden for their support and comments on my thesis. Finally I would like to thank Dr. Y. Wang for her support and critical review while writing this thesis. </w:t>
      </w:r>
    </w:p>
    <w:p w:rsidR="00D8569F" w:rsidRDefault="00D8569F" w:rsidP="00D8569F">
      <w:pPr>
        <w:rPr>
          <w:lang w:val="en-GB" w:eastAsia="en-US" w:bidi="ar-SA"/>
        </w:rPr>
      </w:pPr>
    </w:p>
    <w:p w:rsidR="00D8569F" w:rsidRDefault="00D8569F" w:rsidP="00D8569F">
      <w:pPr>
        <w:rPr>
          <w:lang w:val="en-GB" w:eastAsia="en-US" w:bidi="ar-SA"/>
        </w:rPr>
      </w:pPr>
      <w:r>
        <w:rPr>
          <w:lang w:val="en-GB" w:eastAsia="en-US" w:bidi="ar-SA"/>
        </w:rPr>
        <w:t>John de Vos</w:t>
      </w:r>
    </w:p>
    <w:p w:rsidR="00D8569F" w:rsidRPr="00D74088" w:rsidRDefault="00D8569F" w:rsidP="00D8569F">
      <w:pPr>
        <w:rPr>
          <w:lang w:val="en-GB" w:eastAsia="en-US" w:bidi="ar-SA"/>
        </w:rPr>
      </w:pPr>
      <w:r>
        <w:rPr>
          <w:lang w:val="en-GB" w:eastAsia="en-US" w:bidi="ar-SA"/>
        </w:rPr>
        <w:t>Rotterdam, 2010</w:t>
      </w:r>
    </w:p>
    <w:p w:rsidR="00D8569F" w:rsidRDefault="00D8569F">
      <w:pPr>
        <w:spacing w:line="240" w:lineRule="auto"/>
        <w:jc w:val="left"/>
        <w:rPr>
          <w:rFonts w:cs="Times New Roman"/>
          <w:b/>
          <w:bCs/>
          <w:sz w:val="32"/>
          <w:szCs w:val="28"/>
          <w:lang w:val="en-GB" w:eastAsia="en-US" w:bidi="ar-SA"/>
        </w:rPr>
      </w:pPr>
      <w:r>
        <w:rPr>
          <w:lang w:val="en-GB"/>
        </w:rPr>
        <w:br w:type="page"/>
      </w:r>
    </w:p>
    <w:p w:rsidR="0011204C" w:rsidRDefault="0011204C" w:rsidP="0011204C">
      <w:pPr>
        <w:pStyle w:val="Heading1"/>
        <w:numPr>
          <w:ilvl w:val="0"/>
          <w:numId w:val="0"/>
        </w:numPr>
        <w:rPr>
          <w:lang w:val="en-GB"/>
        </w:rPr>
      </w:pPr>
      <w:bookmarkStart w:id="1" w:name="_Toc274485424"/>
      <w:r>
        <w:rPr>
          <w:lang w:val="en-GB"/>
        </w:rPr>
        <w:lastRenderedPageBreak/>
        <w:t>Abstract</w:t>
      </w:r>
      <w:bookmarkEnd w:id="1"/>
    </w:p>
    <w:p w:rsidR="00C07554" w:rsidRDefault="00B66B46" w:rsidP="00CE17C3">
      <w:pPr>
        <w:rPr>
          <w:rFonts w:cs="Arial"/>
          <w:lang w:val="en-GB" w:eastAsia="en-US" w:bidi="ar-SA"/>
        </w:rPr>
      </w:pPr>
      <w:r w:rsidRPr="007C484B">
        <w:rPr>
          <w:rFonts w:cs="Arial"/>
          <w:lang w:val="en-GB" w:eastAsia="en-US" w:bidi="ar-SA"/>
        </w:rPr>
        <w:t xml:space="preserve">The past two decades have shown an enormous increase in stock-based compensation. </w:t>
      </w:r>
      <w:r w:rsidR="00C07554">
        <w:rPr>
          <w:lang w:val="en-GB"/>
        </w:rPr>
        <w:t xml:space="preserve">In the light of the credit crunch, the global financial crisis and the following economic recession, </w:t>
      </w:r>
      <w:r w:rsidR="00E51980">
        <w:rPr>
          <w:lang w:val="en-GB"/>
        </w:rPr>
        <w:t>variable</w:t>
      </w:r>
      <w:r w:rsidR="00C07554">
        <w:rPr>
          <w:lang w:val="en-GB"/>
        </w:rPr>
        <w:t xml:space="preserve"> compensation was a eyesore for a lot of people. </w:t>
      </w:r>
      <w:r w:rsidR="00C07554">
        <w:rPr>
          <w:rFonts w:cs="Arial"/>
          <w:lang w:val="en-GB" w:eastAsia="en-US" w:bidi="ar-SA"/>
        </w:rPr>
        <w:t xml:space="preserve">Some companies even asked their employees to hand in their bonuses. This shows the importance of variable compensation in today’s world. </w:t>
      </w:r>
    </w:p>
    <w:p w:rsidR="00AB044F" w:rsidRPr="00C07554" w:rsidRDefault="00D8569F" w:rsidP="00CE17C3">
      <w:pPr>
        <w:rPr>
          <w:rFonts w:cs="Arial"/>
          <w:lang w:val="en-GB" w:eastAsia="en-US" w:bidi="ar-SA"/>
        </w:rPr>
      </w:pPr>
      <w:r>
        <w:rPr>
          <w:lang w:val="en-GB"/>
        </w:rPr>
        <w:t xml:space="preserve">The use of </w:t>
      </w:r>
      <w:r w:rsidR="00267EFC">
        <w:rPr>
          <w:lang w:val="en-GB"/>
        </w:rPr>
        <w:t>stock-based compensation</w:t>
      </w:r>
      <w:r>
        <w:rPr>
          <w:lang w:val="en-GB"/>
        </w:rPr>
        <w:t xml:space="preserve"> should make managers pay more attention to share price and should provide better alignment between </w:t>
      </w:r>
      <w:r w:rsidR="00E51980">
        <w:rPr>
          <w:lang w:val="en-GB"/>
        </w:rPr>
        <w:t xml:space="preserve">the </w:t>
      </w:r>
      <w:r w:rsidR="006014C4">
        <w:rPr>
          <w:lang w:val="en-GB"/>
        </w:rPr>
        <w:t>stakeholders</w:t>
      </w:r>
      <w:r>
        <w:rPr>
          <w:lang w:val="en-GB"/>
        </w:rPr>
        <w:t xml:space="preserve"> and the managers of a company. However, recent </w:t>
      </w:r>
      <w:r w:rsidR="001026CF">
        <w:rPr>
          <w:lang w:val="en-GB"/>
        </w:rPr>
        <w:t>s</w:t>
      </w:r>
      <w:r w:rsidR="00504FDA">
        <w:rPr>
          <w:lang w:val="en-GB"/>
        </w:rPr>
        <w:t>tudies (e.g.</w:t>
      </w:r>
      <w:r w:rsidR="001026CF">
        <w:rPr>
          <w:lang w:val="en-GB"/>
        </w:rPr>
        <w:t xml:space="preserve"> </w:t>
      </w:r>
      <w:r w:rsidR="001026CF" w:rsidRPr="006B6B83">
        <w:rPr>
          <w:rFonts w:cs="Arial"/>
          <w:lang w:val="en-GB" w:eastAsia="en-US" w:bidi="ar-SA"/>
        </w:rPr>
        <w:t xml:space="preserve">O’Connell and </w:t>
      </w:r>
      <w:r w:rsidR="00964788">
        <w:rPr>
          <w:lang w:val="en-GB"/>
        </w:rPr>
        <w:t>Brendan</w:t>
      </w:r>
      <w:r w:rsidR="001026CF" w:rsidRPr="006B6B83">
        <w:rPr>
          <w:rFonts w:cs="Arial"/>
          <w:lang w:val="en-GB" w:eastAsia="en-US" w:bidi="ar-SA"/>
        </w:rPr>
        <w:t xml:space="preserve"> 2004</w:t>
      </w:r>
      <w:r w:rsidR="00964788">
        <w:rPr>
          <w:rFonts w:cs="Arial"/>
          <w:lang w:val="en-GB" w:eastAsia="en-US" w:bidi="ar-SA"/>
        </w:rPr>
        <w:t>)</w:t>
      </w:r>
      <w:r>
        <w:rPr>
          <w:lang w:val="en-GB"/>
        </w:rPr>
        <w:t xml:space="preserve"> show that the incentives coming from </w:t>
      </w:r>
      <w:r w:rsidR="00E51980">
        <w:rPr>
          <w:lang w:val="en-GB"/>
        </w:rPr>
        <w:t>variable</w:t>
      </w:r>
      <w:r>
        <w:rPr>
          <w:lang w:val="en-GB"/>
        </w:rPr>
        <w:t xml:space="preserve"> compensation are not always the right ones</w:t>
      </w:r>
      <w:r w:rsidR="00504FDA">
        <w:rPr>
          <w:rFonts w:cs="Arial"/>
          <w:lang w:val="en-GB" w:eastAsia="en-US" w:bidi="ar-SA"/>
        </w:rPr>
        <w:t xml:space="preserve">. </w:t>
      </w:r>
      <w:r>
        <w:rPr>
          <w:lang w:val="en-GB"/>
        </w:rPr>
        <w:t>A possible issue is their incentive to engage in earnings management.</w:t>
      </w:r>
    </w:p>
    <w:p w:rsidR="00E0378D" w:rsidRDefault="00E0378D" w:rsidP="00CE17C3">
      <w:pPr>
        <w:rPr>
          <w:lang w:val="en-GB"/>
        </w:rPr>
      </w:pPr>
    </w:p>
    <w:p w:rsidR="0011204C" w:rsidRDefault="00CE17C3" w:rsidP="001026CF">
      <w:pPr>
        <w:rPr>
          <w:lang w:val="en-GB"/>
        </w:rPr>
      </w:pPr>
      <w:r w:rsidRPr="006C5CF3">
        <w:rPr>
          <w:lang w:val="en-GB"/>
        </w:rPr>
        <w:t xml:space="preserve">This paper examines the relation between equity incentives and earnings management in the United Kingdom (U.K.). </w:t>
      </w:r>
      <w:r w:rsidR="006C5CF3">
        <w:rPr>
          <w:lang w:val="en-GB"/>
        </w:rPr>
        <w:t>T</w:t>
      </w:r>
      <w:r w:rsidRPr="006C5CF3">
        <w:rPr>
          <w:lang w:val="en-GB"/>
        </w:rPr>
        <w:t>hree types of compensation (i.e. fixed salary, bonus and stock-based)</w:t>
      </w:r>
      <w:r w:rsidR="00AB044F">
        <w:rPr>
          <w:lang w:val="en-GB"/>
        </w:rPr>
        <w:t xml:space="preserve"> are distinguished. </w:t>
      </w:r>
      <w:r w:rsidR="001026CF">
        <w:rPr>
          <w:lang w:val="en-GB"/>
        </w:rPr>
        <w:t>H</w:t>
      </w:r>
      <w:r w:rsidR="00AB044F" w:rsidRPr="006C5CF3">
        <w:rPr>
          <w:lang w:val="en-GB"/>
        </w:rPr>
        <w:t>ypothesize</w:t>
      </w:r>
      <w:r w:rsidR="00AB044F">
        <w:rPr>
          <w:lang w:val="en-GB"/>
        </w:rPr>
        <w:t>d is</w:t>
      </w:r>
      <w:r w:rsidRPr="006C5CF3">
        <w:rPr>
          <w:lang w:val="en-GB"/>
        </w:rPr>
        <w:t xml:space="preserve"> that fixed salary has a negative re</w:t>
      </w:r>
      <w:r w:rsidR="00AB044F">
        <w:rPr>
          <w:lang w:val="en-GB"/>
        </w:rPr>
        <w:t xml:space="preserve">lation </w:t>
      </w:r>
      <w:r w:rsidRPr="006C5CF3">
        <w:rPr>
          <w:lang w:val="en-GB"/>
        </w:rPr>
        <w:t xml:space="preserve">and that bonus and stock-based compensation have a positive relation with </w:t>
      </w:r>
      <w:r w:rsidR="00AB044F">
        <w:rPr>
          <w:lang w:val="en-GB"/>
        </w:rPr>
        <w:t xml:space="preserve">discretionary accruals as a tool for </w:t>
      </w:r>
      <w:r w:rsidRPr="006C5CF3">
        <w:rPr>
          <w:lang w:val="en-GB"/>
        </w:rPr>
        <w:t xml:space="preserve">earnings </w:t>
      </w:r>
      <w:r w:rsidRPr="00AB044F">
        <w:rPr>
          <w:lang w:val="en-GB"/>
        </w:rPr>
        <w:t xml:space="preserve">management. </w:t>
      </w:r>
      <w:r w:rsidR="00AB044F" w:rsidRPr="00AB044F">
        <w:rPr>
          <w:lang w:val="en-GB"/>
        </w:rPr>
        <w:t>To test this</w:t>
      </w:r>
      <w:r w:rsidR="001026CF">
        <w:rPr>
          <w:lang w:val="en-GB"/>
        </w:rPr>
        <w:t>,</w:t>
      </w:r>
      <w:r w:rsidR="00AB044F" w:rsidRPr="00AB044F">
        <w:rPr>
          <w:lang w:val="en-GB"/>
        </w:rPr>
        <w:t xml:space="preserve"> accrual and compensation data from FTSE listed firms is used</w:t>
      </w:r>
      <w:r w:rsidRPr="00AB044F">
        <w:rPr>
          <w:lang w:val="en-GB"/>
        </w:rPr>
        <w:t>. The</w:t>
      </w:r>
      <w:r w:rsidRPr="006C5CF3">
        <w:rPr>
          <w:lang w:val="en-GB"/>
        </w:rPr>
        <w:t xml:space="preserve"> accrual approach will be used in measuring earnings management and the relative size of the compensation type</w:t>
      </w:r>
      <w:r w:rsidR="00AB044F">
        <w:rPr>
          <w:lang w:val="en-GB"/>
        </w:rPr>
        <w:t>s will be used</w:t>
      </w:r>
      <w:r w:rsidRPr="006C5CF3">
        <w:rPr>
          <w:lang w:val="en-GB"/>
        </w:rPr>
        <w:t xml:space="preserve"> to measure the compensation</w:t>
      </w:r>
      <w:r w:rsidR="00B66B46">
        <w:rPr>
          <w:lang w:val="en-GB"/>
        </w:rPr>
        <w:t xml:space="preserve"> variables.</w:t>
      </w:r>
    </w:p>
    <w:p w:rsidR="00AB044F" w:rsidRDefault="00AB044F" w:rsidP="001026CF">
      <w:pPr>
        <w:rPr>
          <w:lang w:val="en-GB"/>
        </w:rPr>
      </w:pPr>
    </w:p>
    <w:p w:rsidR="006D0DF2" w:rsidRDefault="006014C4" w:rsidP="006D0DF2">
      <w:pPr>
        <w:rPr>
          <w:lang w:val="en-GB"/>
        </w:rPr>
      </w:pPr>
      <w:r>
        <w:rPr>
          <w:lang w:val="en-GB"/>
        </w:rPr>
        <w:t>The results from this research show that</w:t>
      </w:r>
      <w:r w:rsidR="00267EFC">
        <w:rPr>
          <w:lang w:val="en-GB"/>
        </w:rPr>
        <w:t xml:space="preserve"> fixed salary </w:t>
      </w:r>
      <w:r w:rsidR="009D054B">
        <w:rPr>
          <w:lang w:val="en-GB"/>
        </w:rPr>
        <w:t>has</w:t>
      </w:r>
      <w:r w:rsidR="00267EFC">
        <w:rPr>
          <w:lang w:val="en-GB"/>
        </w:rPr>
        <w:t xml:space="preserve"> a positive </w:t>
      </w:r>
      <w:r w:rsidR="00F31DFC">
        <w:rPr>
          <w:lang w:val="en-GB"/>
        </w:rPr>
        <w:t xml:space="preserve">relationship with discretionary accruals. </w:t>
      </w:r>
      <w:r w:rsidR="009D054B">
        <w:rPr>
          <w:lang w:val="en-US"/>
        </w:rPr>
        <w:t>For bonus compensation no linear relationship with discretionary accruals is found and f</w:t>
      </w:r>
      <w:r w:rsidR="00F31DFC">
        <w:rPr>
          <w:lang w:val="en-GB"/>
        </w:rPr>
        <w:t>or</w:t>
      </w:r>
      <w:r w:rsidR="00267EFC">
        <w:rPr>
          <w:lang w:val="en-GB"/>
        </w:rPr>
        <w:t xml:space="preserve"> </w:t>
      </w:r>
      <w:r w:rsidR="00267EFC">
        <w:rPr>
          <w:rFonts w:cs="Arial"/>
          <w:lang w:val="en-GB" w:eastAsia="en-US" w:bidi="ar-SA"/>
        </w:rPr>
        <w:t>stock-based compensation a negative relationship with discretionary accruals</w:t>
      </w:r>
      <w:r w:rsidR="00F31DFC">
        <w:rPr>
          <w:rFonts w:cs="Arial"/>
          <w:lang w:val="en-GB" w:eastAsia="en-US" w:bidi="ar-SA"/>
        </w:rPr>
        <w:t xml:space="preserve"> is found</w:t>
      </w:r>
      <w:r w:rsidR="00267EFC">
        <w:rPr>
          <w:rFonts w:cs="Arial"/>
          <w:lang w:val="en-GB" w:eastAsia="en-US" w:bidi="ar-SA"/>
        </w:rPr>
        <w:t xml:space="preserve">. </w:t>
      </w:r>
      <w:r w:rsidR="001026CF">
        <w:rPr>
          <w:rFonts w:cs="Arial"/>
          <w:lang w:val="en-GB" w:eastAsia="en-US" w:bidi="ar-SA"/>
        </w:rPr>
        <w:t xml:space="preserve">Moreover, this research has proven that </w:t>
      </w:r>
      <w:r w:rsidR="00267EFC">
        <w:rPr>
          <w:lang w:val="en-US"/>
        </w:rPr>
        <w:t>lo</w:t>
      </w:r>
      <w:r w:rsidR="008229F0">
        <w:rPr>
          <w:lang w:val="en-US"/>
        </w:rPr>
        <w:t xml:space="preserve">w equity incentive CEO’s have </w:t>
      </w:r>
      <w:r w:rsidR="005F107F">
        <w:rPr>
          <w:lang w:val="en-US"/>
        </w:rPr>
        <w:t>significant higher mean score</w:t>
      </w:r>
      <w:r w:rsidR="008229F0">
        <w:rPr>
          <w:lang w:val="en-US"/>
        </w:rPr>
        <w:t>s</w:t>
      </w:r>
      <w:r w:rsidR="005F107F">
        <w:rPr>
          <w:lang w:val="en-US"/>
        </w:rPr>
        <w:t xml:space="preserve"> of</w:t>
      </w:r>
      <w:r w:rsidR="00267EFC">
        <w:rPr>
          <w:lang w:val="en-US"/>
        </w:rPr>
        <w:t xml:space="preserve"> discretionary accruals than high equity incentive CEO’s. </w:t>
      </w:r>
      <w:r w:rsidR="001026CF">
        <w:rPr>
          <w:rFonts w:cs="Arial"/>
          <w:lang w:val="en-GB" w:eastAsia="en-US" w:bidi="ar-SA"/>
        </w:rPr>
        <w:t xml:space="preserve">Therefore, the results seem to </w:t>
      </w:r>
      <w:r w:rsidR="00267EFC">
        <w:rPr>
          <w:rFonts w:cs="Arial"/>
          <w:lang w:val="en-GB" w:eastAsia="en-US" w:bidi="ar-SA"/>
        </w:rPr>
        <w:t>oppose the results of</w:t>
      </w:r>
      <w:r w:rsidR="001026CF">
        <w:rPr>
          <w:rFonts w:cs="Arial"/>
          <w:lang w:val="en-GB" w:eastAsia="en-US" w:bidi="ar-SA"/>
        </w:rPr>
        <w:t xml:space="preserve"> studies from </w:t>
      </w:r>
      <w:r w:rsidR="001026CF" w:rsidRPr="00255A23">
        <w:rPr>
          <w:rFonts w:cs="Arial"/>
          <w:lang w:val="en-GB"/>
        </w:rPr>
        <w:t>Bergstresser and Philippon (2006)</w:t>
      </w:r>
      <w:r w:rsidR="001026CF">
        <w:rPr>
          <w:rFonts w:cs="Arial"/>
          <w:lang w:val="en-GB"/>
        </w:rPr>
        <w:t xml:space="preserve">, </w:t>
      </w:r>
      <w:r w:rsidR="001026CF" w:rsidRPr="00255A23">
        <w:rPr>
          <w:rFonts w:cs="Arial"/>
          <w:lang w:val="en-GB"/>
        </w:rPr>
        <w:t>Cheng and Warfield (2005)</w:t>
      </w:r>
      <w:r w:rsidR="001026CF">
        <w:rPr>
          <w:rFonts w:cs="Arial"/>
          <w:lang w:val="en-GB"/>
        </w:rPr>
        <w:t xml:space="preserve"> and </w:t>
      </w:r>
      <w:r w:rsidR="001026CF" w:rsidRPr="00255A23">
        <w:rPr>
          <w:rFonts w:cs="Arial"/>
          <w:lang w:val="en-GB"/>
        </w:rPr>
        <w:t>Gao and Shrieves</w:t>
      </w:r>
      <w:r w:rsidR="001026CF">
        <w:rPr>
          <w:rFonts w:cs="Arial"/>
          <w:lang w:val="en-GB"/>
        </w:rPr>
        <w:t xml:space="preserve"> (2002) who all found evidence that </w:t>
      </w:r>
      <w:r w:rsidR="001026CF" w:rsidRPr="00255A23">
        <w:rPr>
          <w:rFonts w:cs="Arial"/>
          <w:lang w:val="en-GB"/>
        </w:rPr>
        <w:t xml:space="preserve">high equity incentive CEO’s engage more in earnings management </w:t>
      </w:r>
      <w:r w:rsidR="0053218D">
        <w:rPr>
          <w:rFonts w:cs="Arial"/>
          <w:lang w:val="en-GB"/>
        </w:rPr>
        <w:t xml:space="preserve">(through the use of discretionary accruals) </w:t>
      </w:r>
      <w:r w:rsidR="001026CF" w:rsidRPr="00255A23">
        <w:rPr>
          <w:rFonts w:cs="Arial"/>
          <w:lang w:val="en-GB"/>
        </w:rPr>
        <w:t>than low equity incentive CEO’s</w:t>
      </w:r>
      <w:r w:rsidR="001026CF">
        <w:rPr>
          <w:rFonts w:cs="Arial"/>
          <w:lang w:val="en-GB"/>
        </w:rPr>
        <w:t>.</w:t>
      </w:r>
      <w:r w:rsidR="006D0DF2">
        <w:rPr>
          <w:rFonts w:cs="Arial"/>
          <w:lang w:val="en-GB"/>
        </w:rPr>
        <w:t xml:space="preserve"> </w:t>
      </w:r>
    </w:p>
    <w:p w:rsidR="007D7615" w:rsidRDefault="007D7615">
      <w:pPr>
        <w:spacing w:line="240" w:lineRule="auto"/>
        <w:jc w:val="left"/>
        <w:rPr>
          <w:rFonts w:cs="Arial"/>
          <w:sz w:val="32"/>
          <w:szCs w:val="32"/>
        </w:rPr>
      </w:pPr>
      <w:r>
        <w:rPr>
          <w:rFonts w:cs="Arial"/>
          <w:sz w:val="32"/>
          <w:szCs w:val="32"/>
        </w:rPr>
        <w:br w:type="page"/>
      </w:r>
    </w:p>
    <w:p w:rsidR="00977FC8" w:rsidRPr="007D7615" w:rsidRDefault="00977FC8" w:rsidP="006D0DF2">
      <w:pPr>
        <w:rPr>
          <w:rFonts w:cs="Arial"/>
          <w:b/>
          <w:sz w:val="32"/>
          <w:szCs w:val="32"/>
        </w:rPr>
      </w:pPr>
      <w:r w:rsidRPr="007D7615">
        <w:rPr>
          <w:rFonts w:cs="Arial"/>
          <w:b/>
          <w:sz w:val="32"/>
          <w:szCs w:val="32"/>
        </w:rPr>
        <w:lastRenderedPageBreak/>
        <w:t>Table of Contents</w:t>
      </w:r>
    </w:p>
    <w:p w:rsidR="00977FC8" w:rsidRPr="006A75D7" w:rsidRDefault="00977FC8" w:rsidP="004730AB">
      <w:pPr>
        <w:rPr>
          <w:lang w:val="en-GB" w:eastAsia="en-US" w:bidi="ar-SA"/>
        </w:rPr>
      </w:pPr>
    </w:p>
    <w:p w:rsidR="00F81B0D" w:rsidRDefault="006D6941">
      <w:pPr>
        <w:pStyle w:val="TOC1"/>
        <w:rPr>
          <w:rFonts w:asciiTheme="minorHAnsi" w:eastAsiaTheme="minorEastAsia" w:hAnsiTheme="minorHAnsi" w:cstheme="minorBidi"/>
          <w:b w:val="0"/>
          <w:sz w:val="22"/>
          <w:szCs w:val="22"/>
          <w:lang w:val="nl-NL" w:eastAsia="nl-NL" w:bidi="ar-SA"/>
        </w:rPr>
      </w:pPr>
      <w:r w:rsidRPr="006A75D7">
        <w:fldChar w:fldCharType="begin"/>
      </w:r>
      <w:r w:rsidR="00977FC8" w:rsidRPr="006A75D7">
        <w:instrText xml:space="preserve"> TOC \o "1-3" \h \z \u </w:instrText>
      </w:r>
      <w:r w:rsidRPr="006A75D7">
        <w:fldChar w:fldCharType="separate"/>
      </w:r>
      <w:hyperlink w:anchor="_Toc274485423" w:history="1">
        <w:r w:rsidR="00F81B0D" w:rsidRPr="00BE277E">
          <w:rPr>
            <w:rStyle w:val="Hyperlink"/>
          </w:rPr>
          <w:t>Preface</w:t>
        </w:r>
        <w:r w:rsidR="00F81B0D">
          <w:rPr>
            <w:webHidden/>
          </w:rPr>
          <w:tab/>
        </w:r>
        <w:r w:rsidR="00F81B0D">
          <w:rPr>
            <w:webHidden/>
          </w:rPr>
          <w:fldChar w:fldCharType="begin"/>
        </w:r>
        <w:r w:rsidR="00F81B0D">
          <w:rPr>
            <w:webHidden/>
          </w:rPr>
          <w:instrText xml:space="preserve"> PAGEREF _Toc274485423 \h </w:instrText>
        </w:r>
        <w:r w:rsidR="00F81B0D">
          <w:rPr>
            <w:webHidden/>
          </w:rPr>
        </w:r>
        <w:r w:rsidR="00F81B0D">
          <w:rPr>
            <w:webHidden/>
          </w:rPr>
          <w:fldChar w:fldCharType="separate"/>
        </w:r>
        <w:r w:rsidR="00437F6B">
          <w:rPr>
            <w:webHidden/>
          </w:rPr>
          <w:t>3</w:t>
        </w:r>
        <w:r w:rsidR="00F81B0D">
          <w:rPr>
            <w:webHidden/>
          </w:rPr>
          <w:fldChar w:fldCharType="end"/>
        </w:r>
      </w:hyperlink>
    </w:p>
    <w:p w:rsidR="00F81B0D" w:rsidRDefault="00F81B0D">
      <w:pPr>
        <w:pStyle w:val="TOC1"/>
        <w:rPr>
          <w:rStyle w:val="Hyperlink"/>
        </w:rPr>
      </w:pPr>
      <w:hyperlink w:anchor="_Toc274485424" w:history="1">
        <w:r w:rsidRPr="00BE277E">
          <w:rPr>
            <w:rStyle w:val="Hyperlink"/>
          </w:rPr>
          <w:t>Abstract</w:t>
        </w:r>
        <w:r>
          <w:rPr>
            <w:webHidden/>
          </w:rPr>
          <w:tab/>
        </w:r>
        <w:r>
          <w:rPr>
            <w:webHidden/>
          </w:rPr>
          <w:fldChar w:fldCharType="begin"/>
        </w:r>
        <w:r>
          <w:rPr>
            <w:webHidden/>
          </w:rPr>
          <w:instrText xml:space="preserve"> PAGEREF _Toc274485424 \h </w:instrText>
        </w:r>
        <w:r>
          <w:rPr>
            <w:webHidden/>
          </w:rPr>
        </w:r>
        <w:r>
          <w:rPr>
            <w:webHidden/>
          </w:rPr>
          <w:fldChar w:fldCharType="separate"/>
        </w:r>
        <w:r w:rsidR="00437F6B">
          <w:rPr>
            <w:webHidden/>
          </w:rPr>
          <w:t>4</w:t>
        </w:r>
        <w:r>
          <w:rPr>
            <w:webHidden/>
          </w:rPr>
          <w:fldChar w:fldCharType="end"/>
        </w:r>
      </w:hyperlink>
    </w:p>
    <w:p w:rsidR="00F81B0D" w:rsidRPr="00F81B0D" w:rsidRDefault="00F81B0D" w:rsidP="00F81B0D">
      <w:pPr>
        <w:rPr>
          <w:rFonts w:eastAsiaTheme="minorEastAsia"/>
          <w:lang w:val="en-GB"/>
        </w:rPr>
      </w:pPr>
    </w:p>
    <w:p w:rsidR="00F81B0D" w:rsidRDefault="00F81B0D">
      <w:pPr>
        <w:pStyle w:val="TOC1"/>
        <w:rPr>
          <w:rFonts w:asciiTheme="minorHAnsi" w:eastAsiaTheme="minorEastAsia" w:hAnsiTheme="minorHAnsi" w:cstheme="minorBidi"/>
          <w:b w:val="0"/>
          <w:sz w:val="22"/>
          <w:szCs w:val="22"/>
          <w:lang w:val="nl-NL" w:eastAsia="nl-NL" w:bidi="ar-SA"/>
        </w:rPr>
      </w:pPr>
      <w:hyperlink w:anchor="_Toc274485425" w:history="1">
        <w:r w:rsidRPr="00BE277E">
          <w:rPr>
            <w:rStyle w:val="Hyperlink"/>
          </w:rPr>
          <w:t>1</w:t>
        </w:r>
        <w:r>
          <w:rPr>
            <w:rFonts w:asciiTheme="minorHAnsi" w:eastAsiaTheme="minorEastAsia" w:hAnsiTheme="minorHAnsi" w:cstheme="minorBidi"/>
            <w:b w:val="0"/>
            <w:sz w:val="22"/>
            <w:szCs w:val="22"/>
            <w:lang w:val="nl-NL" w:eastAsia="nl-NL" w:bidi="ar-SA"/>
          </w:rPr>
          <w:tab/>
        </w:r>
        <w:r w:rsidRPr="00BE277E">
          <w:rPr>
            <w:rStyle w:val="Hyperlink"/>
          </w:rPr>
          <w:t>Introduction</w:t>
        </w:r>
        <w:r>
          <w:rPr>
            <w:webHidden/>
          </w:rPr>
          <w:tab/>
        </w:r>
        <w:r>
          <w:rPr>
            <w:webHidden/>
          </w:rPr>
          <w:fldChar w:fldCharType="begin"/>
        </w:r>
        <w:r>
          <w:rPr>
            <w:webHidden/>
          </w:rPr>
          <w:instrText xml:space="preserve"> PAGEREF _Toc274485425 \h </w:instrText>
        </w:r>
        <w:r>
          <w:rPr>
            <w:webHidden/>
          </w:rPr>
        </w:r>
        <w:r>
          <w:rPr>
            <w:webHidden/>
          </w:rPr>
          <w:fldChar w:fldCharType="separate"/>
        </w:r>
        <w:r w:rsidR="00437F6B">
          <w:rPr>
            <w:webHidden/>
          </w:rPr>
          <w:t>7</w:t>
        </w:r>
        <w:r>
          <w:rPr>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26" w:history="1">
        <w:r w:rsidRPr="00BE277E">
          <w:rPr>
            <w:rStyle w:val="Hyperlink"/>
            <w:noProof/>
          </w:rPr>
          <w:t>1.1</w:t>
        </w:r>
        <w:r>
          <w:rPr>
            <w:rFonts w:asciiTheme="minorHAnsi" w:eastAsiaTheme="minorEastAsia" w:hAnsiTheme="minorHAnsi" w:cstheme="minorBidi"/>
            <w:noProof/>
            <w:sz w:val="22"/>
            <w:szCs w:val="22"/>
            <w:lang w:val="nl-NL" w:eastAsia="nl-NL" w:bidi="ar-SA"/>
          </w:rPr>
          <w:tab/>
        </w:r>
        <w:r w:rsidRPr="00BE277E">
          <w:rPr>
            <w:rStyle w:val="Hyperlink"/>
            <w:noProof/>
          </w:rPr>
          <w:t>Problem statement</w:t>
        </w:r>
        <w:r>
          <w:rPr>
            <w:noProof/>
            <w:webHidden/>
          </w:rPr>
          <w:tab/>
        </w:r>
        <w:r>
          <w:rPr>
            <w:noProof/>
            <w:webHidden/>
          </w:rPr>
          <w:fldChar w:fldCharType="begin"/>
        </w:r>
        <w:r>
          <w:rPr>
            <w:noProof/>
            <w:webHidden/>
          </w:rPr>
          <w:instrText xml:space="preserve"> PAGEREF _Toc274485426 \h </w:instrText>
        </w:r>
        <w:r>
          <w:rPr>
            <w:noProof/>
            <w:webHidden/>
          </w:rPr>
        </w:r>
        <w:r>
          <w:rPr>
            <w:noProof/>
            <w:webHidden/>
          </w:rPr>
          <w:fldChar w:fldCharType="separate"/>
        </w:r>
        <w:r w:rsidR="00437F6B">
          <w:rPr>
            <w:noProof/>
            <w:webHidden/>
          </w:rPr>
          <w:t>7</w:t>
        </w:r>
        <w:r>
          <w:rPr>
            <w:noProof/>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27" w:history="1">
        <w:r w:rsidRPr="00BE277E">
          <w:rPr>
            <w:rStyle w:val="Hyperlink"/>
            <w:noProof/>
          </w:rPr>
          <w:t>1.2</w:t>
        </w:r>
        <w:r>
          <w:rPr>
            <w:rFonts w:asciiTheme="minorHAnsi" w:eastAsiaTheme="minorEastAsia" w:hAnsiTheme="minorHAnsi" w:cstheme="minorBidi"/>
            <w:noProof/>
            <w:sz w:val="22"/>
            <w:szCs w:val="22"/>
            <w:lang w:val="nl-NL" w:eastAsia="nl-NL" w:bidi="ar-SA"/>
          </w:rPr>
          <w:tab/>
        </w:r>
        <w:r w:rsidRPr="00BE277E">
          <w:rPr>
            <w:rStyle w:val="Hyperlink"/>
            <w:noProof/>
          </w:rPr>
          <w:t>Research question</w:t>
        </w:r>
        <w:r>
          <w:rPr>
            <w:noProof/>
            <w:webHidden/>
          </w:rPr>
          <w:tab/>
        </w:r>
        <w:r>
          <w:rPr>
            <w:noProof/>
            <w:webHidden/>
          </w:rPr>
          <w:fldChar w:fldCharType="begin"/>
        </w:r>
        <w:r>
          <w:rPr>
            <w:noProof/>
            <w:webHidden/>
          </w:rPr>
          <w:instrText xml:space="preserve"> PAGEREF _Toc274485427 \h </w:instrText>
        </w:r>
        <w:r>
          <w:rPr>
            <w:noProof/>
            <w:webHidden/>
          </w:rPr>
        </w:r>
        <w:r>
          <w:rPr>
            <w:noProof/>
            <w:webHidden/>
          </w:rPr>
          <w:fldChar w:fldCharType="separate"/>
        </w:r>
        <w:r w:rsidR="00437F6B">
          <w:rPr>
            <w:noProof/>
            <w:webHidden/>
          </w:rPr>
          <w:t>8</w:t>
        </w:r>
        <w:r>
          <w:rPr>
            <w:noProof/>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28" w:history="1">
        <w:r w:rsidRPr="00BE277E">
          <w:rPr>
            <w:rStyle w:val="Hyperlink"/>
            <w:noProof/>
          </w:rPr>
          <w:t>1.3</w:t>
        </w:r>
        <w:r>
          <w:rPr>
            <w:rFonts w:asciiTheme="minorHAnsi" w:eastAsiaTheme="minorEastAsia" w:hAnsiTheme="minorHAnsi" w:cstheme="minorBidi"/>
            <w:noProof/>
            <w:sz w:val="22"/>
            <w:szCs w:val="22"/>
            <w:lang w:val="nl-NL" w:eastAsia="nl-NL" w:bidi="ar-SA"/>
          </w:rPr>
          <w:tab/>
        </w:r>
        <w:r w:rsidRPr="00BE277E">
          <w:rPr>
            <w:rStyle w:val="Hyperlink"/>
            <w:noProof/>
          </w:rPr>
          <w:t>Contribution</w:t>
        </w:r>
        <w:r>
          <w:rPr>
            <w:noProof/>
            <w:webHidden/>
          </w:rPr>
          <w:tab/>
        </w:r>
        <w:r>
          <w:rPr>
            <w:noProof/>
            <w:webHidden/>
          </w:rPr>
          <w:fldChar w:fldCharType="begin"/>
        </w:r>
        <w:r>
          <w:rPr>
            <w:noProof/>
            <w:webHidden/>
          </w:rPr>
          <w:instrText xml:space="preserve"> PAGEREF _Toc274485428 \h </w:instrText>
        </w:r>
        <w:r>
          <w:rPr>
            <w:noProof/>
            <w:webHidden/>
          </w:rPr>
        </w:r>
        <w:r>
          <w:rPr>
            <w:noProof/>
            <w:webHidden/>
          </w:rPr>
          <w:fldChar w:fldCharType="separate"/>
        </w:r>
        <w:r w:rsidR="00437F6B">
          <w:rPr>
            <w:noProof/>
            <w:webHidden/>
          </w:rPr>
          <w:t>9</w:t>
        </w:r>
        <w:r>
          <w:rPr>
            <w:noProof/>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29" w:history="1">
        <w:r w:rsidRPr="00BE277E">
          <w:rPr>
            <w:rStyle w:val="Hyperlink"/>
            <w:noProof/>
          </w:rPr>
          <w:t>1.4</w:t>
        </w:r>
        <w:r>
          <w:rPr>
            <w:rFonts w:asciiTheme="minorHAnsi" w:eastAsiaTheme="minorEastAsia" w:hAnsiTheme="minorHAnsi" w:cstheme="minorBidi"/>
            <w:noProof/>
            <w:sz w:val="22"/>
            <w:szCs w:val="22"/>
            <w:lang w:val="nl-NL" w:eastAsia="nl-NL" w:bidi="ar-SA"/>
          </w:rPr>
          <w:tab/>
        </w:r>
        <w:r w:rsidRPr="00BE277E">
          <w:rPr>
            <w:rStyle w:val="Hyperlink"/>
            <w:noProof/>
          </w:rPr>
          <w:t>Literature</w:t>
        </w:r>
        <w:r>
          <w:rPr>
            <w:noProof/>
            <w:webHidden/>
          </w:rPr>
          <w:tab/>
        </w:r>
        <w:r>
          <w:rPr>
            <w:noProof/>
            <w:webHidden/>
          </w:rPr>
          <w:fldChar w:fldCharType="begin"/>
        </w:r>
        <w:r>
          <w:rPr>
            <w:noProof/>
            <w:webHidden/>
          </w:rPr>
          <w:instrText xml:space="preserve"> PAGEREF _Toc274485429 \h </w:instrText>
        </w:r>
        <w:r>
          <w:rPr>
            <w:noProof/>
            <w:webHidden/>
          </w:rPr>
        </w:r>
        <w:r>
          <w:rPr>
            <w:noProof/>
            <w:webHidden/>
          </w:rPr>
          <w:fldChar w:fldCharType="separate"/>
        </w:r>
        <w:r w:rsidR="00437F6B">
          <w:rPr>
            <w:noProof/>
            <w:webHidden/>
          </w:rPr>
          <w:t>9</w:t>
        </w:r>
        <w:r>
          <w:rPr>
            <w:noProof/>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30" w:history="1">
        <w:r w:rsidRPr="00BE277E">
          <w:rPr>
            <w:rStyle w:val="Hyperlink"/>
            <w:noProof/>
          </w:rPr>
          <w:t>1.5</w:t>
        </w:r>
        <w:r>
          <w:rPr>
            <w:rFonts w:asciiTheme="minorHAnsi" w:eastAsiaTheme="minorEastAsia" w:hAnsiTheme="minorHAnsi" w:cstheme="minorBidi"/>
            <w:noProof/>
            <w:sz w:val="22"/>
            <w:szCs w:val="22"/>
            <w:lang w:val="nl-NL" w:eastAsia="nl-NL" w:bidi="ar-SA"/>
          </w:rPr>
          <w:tab/>
        </w:r>
        <w:r w:rsidRPr="00BE277E">
          <w:rPr>
            <w:rStyle w:val="Hyperlink"/>
            <w:noProof/>
          </w:rPr>
          <w:t>Sample and methods</w:t>
        </w:r>
        <w:r>
          <w:rPr>
            <w:noProof/>
            <w:webHidden/>
          </w:rPr>
          <w:tab/>
        </w:r>
        <w:r>
          <w:rPr>
            <w:noProof/>
            <w:webHidden/>
          </w:rPr>
          <w:fldChar w:fldCharType="begin"/>
        </w:r>
        <w:r>
          <w:rPr>
            <w:noProof/>
            <w:webHidden/>
          </w:rPr>
          <w:instrText xml:space="preserve"> PAGEREF _Toc274485430 \h </w:instrText>
        </w:r>
        <w:r>
          <w:rPr>
            <w:noProof/>
            <w:webHidden/>
          </w:rPr>
        </w:r>
        <w:r>
          <w:rPr>
            <w:noProof/>
            <w:webHidden/>
          </w:rPr>
          <w:fldChar w:fldCharType="separate"/>
        </w:r>
        <w:r w:rsidR="00437F6B">
          <w:rPr>
            <w:noProof/>
            <w:webHidden/>
          </w:rPr>
          <w:t>10</w:t>
        </w:r>
        <w:r>
          <w:rPr>
            <w:noProof/>
            <w:webHidden/>
          </w:rPr>
          <w:fldChar w:fldCharType="end"/>
        </w:r>
      </w:hyperlink>
    </w:p>
    <w:p w:rsidR="00F81B0D" w:rsidRDefault="00F81B0D">
      <w:pPr>
        <w:pStyle w:val="TOC2"/>
        <w:tabs>
          <w:tab w:val="left" w:pos="880"/>
          <w:tab w:val="right" w:leader="dot" w:pos="9061"/>
        </w:tabs>
        <w:rPr>
          <w:rStyle w:val="Hyperlink"/>
          <w:noProof/>
        </w:rPr>
      </w:pPr>
      <w:hyperlink w:anchor="_Toc274485431" w:history="1">
        <w:r w:rsidRPr="00BE277E">
          <w:rPr>
            <w:rStyle w:val="Hyperlink"/>
            <w:noProof/>
          </w:rPr>
          <w:t>1.6</w:t>
        </w:r>
        <w:r>
          <w:rPr>
            <w:rFonts w:asciiTheme="minorHAnsi" w:eastAsiaTheme="minorEastAsia" w:hAnsiTheme="minorHAnsi" w:cstheme="minorBidi"/>
            <w:noProof/>
            <w:sz w:val="22"/>
            <w:szCs w:val="22"/>
            <w:lang w:val="nl-NL" w:eastAsia="nl-NL" w:bidi="ar-SA"/>
          </w:rPr>
          <w:tab/>
        </w:r>
        <w:r w:rsidRPr="00BE277E">
          <w:rPr>
            <w:rStyle w:val="Hyperlink"/>
            <w:noProof/>
          </w:rPr>
          <w:t>Results</w:t>
        </w:r>
        <w:r>
          <w:rPr>
            <w:noProof/>
            <w:webHidden/>
          </w:rPr>
          <w:tab/>
        </w:r>
        <w:r>
          <w:rPr>
            <w:noProof/>
            <w:webHidden/>
          </w:rPr>
          <w:fldChar w:fldCharType="begin"/>
        </w:r>
        <w:r>
          <w:rPr>
            <w:noProof/>
            <w:webHidden/>
          </w:rPr>
          <w:instrText xml:space="preserve"> PAGEREF _Toc274485431 \h </w:instrText>
        </w:r>
        <w:r>
          <w:rPr>
            <w:noProof/>
            <w:webHidden/>
          </w:rPr>
        </w:r>
        <w:r>
          <w:rPr>
            <w:noProof/>
            <w:webHidden/>
          </w:rPr>
          <w:fldChar w:fldCharType="separate"/>
        </w:r>
        <w:r w:rsidR="00437F6B">
          <w:rPr>
            <w:noProof/>
            <w:webHidden/>
          </w:rPr>
          <w:t>11</w:t>
        </w:r>
        <w:r>
          <w:rPr>
            <w:noProof/>
            <w:webHidden/>
          </w:rPr>
          <w:fldChar w:fldCharType="end"/>
        </w:r>
      </w:hyperlink>
    </w:p>
    <w:p w:rsidR="00F81B0D" w:rsidRPr="00F81B0D" w:rsidRDefault="00F81B0D" w:rsidP="00F81B0D">
      <w:pPr>
        <w:rPr>
          <w:rFonts w:eastAsiaTheme="minorEastAsia"/>
        </w:rPr>
      </w:pPr>
    </w:p>
    <w:p w:rsidR="00F81B0D" w:rsidRDefault="00F81B0D">
      <w:pPr>
        <w:pStyle w:val="TOC1"/>
        <w:rPr>
          <w:rFonts w:asciiTheme="minorHAnsi" w:eastAsiaTheme="minorEastAsia" w:hAnsiTheme="minorHAnsi" w:cstheme="minorBidi"/>
          <w:b w:val="0"/>
          <w:sz w:val="22"/>
          <w:szCs w:val="22"/>
          <w:lang w:val="nl-NL" w:eastAsia="nl-NL" w:bidi="ar-SA"/>
        </w:rPr>
      </w:pPr>
      <w:hyperlink w:anchor="_Toc274485432" w:history="1">
        <w:r w:rsidRPr="00BE277E">
          <w:rPr>
            <w:rStyle w:val="Hyperlink"/>
          </w:rPr>
          <w:t>2</w:t>
        </w:r>
        <w:r>
          <w:rPr>
            <w:rFonts w:asciiTheme="minorHAnsi" w:eastAsiaTheme="minorEastAsia" w:hAnsiTheme="minorHAnsi" w:cstheme="minorBidi"/>
            <w:b w:val="0"/>
            <w:sz w:val="22"/>
            <w:szCs w:val="22"/>
            <w:lang w:val="nl-NL" w:eastAsia="nl-NL" w:bidi="ar-SA"/>
          </w:rPr>
          <w:tab/>
        </w:r>
        <w:r w:rsidRPr="00BE277E">
          <w:rPr>
            <w:rStyle w:val="Hyperlink"/>
          </w:rPr>
          <w:t>Literature review</w:t>
        </w:r>
        <w:r>
          <w:rPr>
            <w:webHidden/>
          </w:rPr>
          <w:tab/>
        </w:r>
        <w:r>
          <w:rPr>
            <w:webHidden/>
          </w:rPr>
          <w:fldChar w:fldCharType="begin"/>
        </w:r>
        <w:r>
          <w:rPr>
            <w:webHidden/>
          </w:rPr>
          <w:instrText xml:space="preserve"> PAGEREF _Toc274485432 \h </w:instrText>
        </w:r>
        <w:r>
          <w:rPr>
            <w:webHidden/>
          </w:rPr>
        </w:r>
        <w:r>
          <w:rPr>
            <w:webHidden/>
          </w:rPr>
          <w:fldChar w:fldCharType="separate"/>
        </w:r>
        <w:r w:rsidR="00437F6B">
          <w:rPr>
            <w:webHidden/>
          </w:rPr>
          <w:t>12</w:t>
        </w:r>
        <w:r>
          <w:rPr>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33" w:history="1">
        <w:r w:rsidRPr="00BE277E">
          <w:rPr>
            <w:rStyle w:val="Hyperlink"/>
            <w:noProof/>
          </w:rPr>
          <w:t>2.1</w:t>
        </w:r>
        <w:r>
          <w:rPr>
            <w:rFonts w:asciiTheme="minorHAnsi" w:eastAsiaTheme="minorEastAsia" w:hAnsiTheme="minorHAnsi" w:cstheme="minorBidi"/>
            <w:noProof/>
            <w:sz w:val="22"/>
            <w:szCs w:val="22"/>
            <w:lang w:val="nl-NL" w:eastAsia="nl-NL" w:bidi="ar-SA"/>
          </w:rPr>
          <w:tab/>
        </w:r>
        <w:r w:rsidRPr="00BE277E">
          <w:rPr>
            <w:rStyle w:val="Hyperlink"/>
            <w:noProof/>
          </w:rPr>
          <w:t>Earnings management</w:t>
        </w:r>
        <w:r>
          <w:rPr>
            <w:noProof/>
            <w:webHidden/>
          </w:rPr>
          <w:tab/>
        </w:r>
        <w:r>
          <w:rPr>
            <w:noProof/>
            <w:webHidden/>
          </w:rPr>
          <w:fldChar w:fldCharType="begin"/>
        </w:r>
        <w:r>
          <w:rPr>
            <w:noProof/>
            <w:webHidden/>
          </w:rPr>
          <w:instrText xml:space="preserve"> PAGEREF _Toc274485433 \h </w:instrText>
        </w:r>
        <w:r>
          <w:rPr>
            <w:noProof/>
            <w:webHidden/>
          </w:rPr>
        </w:r>
        <w:r>
          <w:rPr>
            <w:noProof/>
            <w:webHidden/>
          </w:rPr>
          <w:fldChar w:fldCharType="separate"/>
        </w:r>
        <w:r w:rsidR="00437F6B">
          <w:rPr>
            <w:noProof/>
            <w:webHidden/>
          </w:rPr>
          <w:t>13</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34" w:history="1">
        <w:r w:rsidRPr="00BE277E">
          <w:rPr>
            <w:rStyle w:val="Hyperlink"/>
            <w:noProof/>
            <w:lang w:val="en-GB"/>
          </w:rPr>
          <w:t>2.1.1</w:t>
        </w:r>
        <w:r>
          <w:rPr>
            <w:rFonts w:asciiTheme="minorHAnsi" w:eastAsiaTheme="minorEastAsia" w:hAnsiTheme="minorHAnsi" w:cstheme="minorBidi"/>
            <w:noProof/>
            <w:sz w:val="22"/>
            <w:szCs w:val="22"/>
            <w:lang w:val="nl-NL" w:eastAsia="nl-NL" w:bidi="ar-SA"/>
          </w:rPr>
          <w:tab/>
        </w:r>
        <w:r w:rsidRPr="00BE277E">
          <w:rPr>
            <w:rStyle w:val="Hyperlink"/>
            <w:noProof/>
            <w:lang w:val="en-GB"/>
          </w:rPr>
          <w:t>What is earnings management?</w:t>
        </w:r>
        <w:r>
          <w:rPr>
            <w:noProof/>
            <w:webHidden/>
          </w:rPr>
          <w:tab/>
        </w:r>
        <w:r>
          <w:rPr>
            <w:noProof/>
            <w:webHidden/>
          </w:rPr>
          <w:fldChar w:fldCharType="begin"/>
        </w:r>
        <w:r>
          <w:rPr>
            <w:noProof/>
            <w:webHidden/>
          </w:rPr>
          <w:instrText xml:space="preserve"> PAGEREF _Toc274485434 \h </w:instrText>
        </w:r>
        <w:r>
          <w:rPr>
            <w:noProof/>
            <w:webHidden/>
          </w:rPr>
        </w:r>
        <w:r>
          <w:rPr>
            <w:noProof/>
            <w:webHidden/>
          </w:rPr>
          <w:fldChar w:fldCharType="separate"/>
        </w:r>
        <w:r w:rsidR="00437F6B">
          <w:rPr>
            <w:noProof/>
            <w:webHidden/>
          </w:rPr>
          <w:t>13</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35" w:history="1">
        <w:r w:rsidRPr="00BE277E">
          <w:rPr>
            <w:rStyle w:val="Hyperlink"/>
            <w:noProof/>
            <w:lang w:val="en-GB"/>
          </w:rPr>
          <w:t>2.1.2</w:t>
        </w:r>
        <w:r>
          <w:rPr>
            <w:rFonts w:asciiTheme="minorHAnsi" w:eastAsiaTheme="minorEastAsia" w:hAnsiTheme="minorHAnsi" w:cstheme="minorBidi"/>
            <w:noProof/>
            <w:sz w:val="22"/>
            <w:szCs w:val="22"/>
            <w:lang w:val="nl-NL" w:eastAsia="nl-NL" w:bidi="ar-SA"/>
          </w:rPr>
          <w:tab/>
        </w:r>
        <w:r w:rsidRPr="00BE277E">
          <w:rPr>
            <w:rStyle w:val="Hyperlink"/>
            <w:noProof/>
            <w:lang w:val="en-GB"/>
          </w:rPr>
          <w:t>How are earnings managed?</w:t>
        </w:r>
        <w:r>
          <w:rPr>
            <w:noProof/>
            <w:webHidden/>
          </w:rPr>
          <w:tab/>
        </w:r>
        <w:r>
          <w:rPr>
            <w:noProof/>
            <w:webHidden/>
          </w:rPr>
          <w:fldChar w:fldCharType="begin"/>
        </w:r>
        <w:r>
          <w:rPr>
            <w:noProof/>
            <w:webHidden/>
          </w:rPr>
          <w:instrText xml:space="preserve"> PAGEREF _Toc274485435 \h </w:instrText>
        </w:r>
        <w:r>
          <w:rPr>
            <w:noProof/>
            <w:webHidden/>
          </w:rPr>
        </w:r>
        <w:r>
          <w:rPr>
            <w:noProof/>
            <w:webHidden/>
          </w:rPr>
          <w:fldChar w:fldCharType="separate"/>
        </w:r>
        <w:r w:rsidR="00437F6B">
          <w:rPr>
            <w:noProof/>
            <w:webHidden/>
          </w:rPr>
          <w:t>14</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36" w:history="1">
        <w:r w:rsidRPr="00BE277E">
          <w:rPr>
            <w:rStyle w:val="Hyperlink"/>
            <w:noProof/>
            <w:lang w:val="en-GB"/>
          </w:rPr>
          <w:t>2.1.3</w:t>
        </w:r>
        <w:r>
          <w:rPr>
            <w:rFonts w:asciiTheme="minorHAnsi" w:eastAsiaTheme="minorEastAsia" w:hAnsiTheme="minorHAnsi" w:cstheme="minorBidi"/>
            <w:noProof/>
            <w:sz w:val="22"/>
            <w:szCs w:val="22"/>
            <w:lang w:val="nl-NL" w:eastAsia="nl-NL" w:bidi="ar-SA"/>
          </w:rPr>
          <w:tab/>
        </w:r>
        <w:r w:rsidRPr="00BE277E">
          <w:rPr>
            <w:rStyle w:val="Hyperlink"/>
            <w:noProof/>
            <w:lang w:val="en-GB"/>
          </w:rPr>
          <w:t>Why do firms engage in earnings management?</w:t>
        </w:r>
        <w:r>
          <w:rPr>
            <w:noProof/>
            <w:webHidden/>
          </w:rPr>
          <w:tab/>
        </w:r>
        <w:r>
          <w:rPr>
            <w:noProof/>
            <w:webHidden/>
          </w:rPr>
          <w:fldChar w:fldCharType="begin"/>
        </w:r>
        <w:r>
          <w:rPr>
            <w:noProof/>
            <w:webHidden/>
          </w:rPr>
          <w:instrText xml:space="preserve"> PAGEREF _Toc274485436 \h </w:instrText>
        </w:r>
        <w:r>
          <w:rPr>
            <w:noProof/>
            <w:webHidden/>
          </w:rPr>
        </w:r>
        <w:r>
          <w:rPr>
            <w:noProof/>
            <w:webHidden/>
          </w:rPr>
          <w:fldChar w:fldCharType="separate"/>
        </w:r>
        <w:r w:rsidR="00437F6B">
          <w:rPr>
            <w:noProof/>
            <w:webHidden/>
          </w:rPr>
          <w:t>16</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37" w:history="1">
        <w:r w:rsidRPr="00BE277E">
          <w:rPr>
            <w:rStyle w:val="Hyperlink"/>
            <w:noProof/>
            <w:lang w:val="en-GB"/>
          </w:rPr>
          <w:t>2.1.4</w:t>
        </w:r>
        <w:r>
          <w:rPr>
            <w:rFonts w:asciiTheme="minorHAnsi" w:eastAsiaTheme="minorEastAsia" w:hAnsiTheme="minorHAnsi" w:cstheme="minorBidi"/>
            <w:noProof/>
            <w:sz w:val="22"/>
            <w:szCs w:val="22"/>
            <w:lang w:val="nl-NL" w:eastAsia="nl-NL" w:bidi="ar-SA"/>
          </w:rPr>
          <w:tab/>
        </w:r>
        <w:r w:rsidRPr="00BE277E">
          <w:rPr>
            <w:rStyle w:val="Hyperlink"/>
            <w:noProof/>
            <w:lang w:val="en-GB"/>
          </w:rPr>
          <w:t>How to detect earnings management?</w:t>
        </w:r>
        <w:r>
          <w:rPr>
            <w:noProof/>
            <w:webHidden/>
          </w:rPr>
          <w:tab/>
        </w:r>
        <w:r>
          <w:rPr>
            <w:noProof/>
            <w:webHidden/>
          </w:rPr>
          <w:fldChar w:fldCharType="begin"/>
        </w:r>
        <w:r>
          <w:rPr>
            <w:noProof/>
            <w:webHidden/>
          </w:rPr>
          <w:instrText xml:space="preserve"> PAGEREF _Toc274485437 \h </w:instrText>
        </w:r>
        <w:r>
          <w:rPr>
            <w:noProof/>
            <w:webHidden/>
          </w:rPr>
        </w:r>
        <w:r>
          <w:rPr>
            <w:noProof/>
            <w:webHidden/>
          </w:rPr>
          <w:fldChar w:fldCharType="separate"/>
        </w:r>
        <w:r w:rsidR="00437F6B">
          <w:rPr>
            <w:noProof/>
            <w:webHidden/>
          </w:rPr>
          <w:t>18</w:t>
        </w:r>
        <w:r>
          <w:rPr>
            <w:noProof/>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38" w:history="1">
        <w:r w:rsidRPr="00BE277E">
          <w:rPr>
            <w:rStyle w:val="Hyperlink"/>
            <w:noProof/>
          </w:rPr>
          <w:t>2.2</w:t>
        </w:r>
        <w:r>
          <w:rPr>
            <w:rFonts w:asciiTheme="minorHAnsi" w:eastAsiaTheme="minorEastAsia" w:hAnsiTheme="minorHAnsi" w:cstheme="minorBidi"/>
            <w:noProof/>
            <w:sz w:val="22"/>
            <w:szCs w:val="22"/>
            <w:lang w:val="nl-NL" w:eastAsia="nl-NL" w:bidi="ar-SA"/>
          </w:rPr>
          <w:tab/>
        </w:r>
        <w:r w:rsidRPr="00BE277E">
          <w:rPr>
            <w:rStyle w:val="Hyperlink"/>
            <w:noProof/>
          </w:rPr>
          <w:t>Compensation contracts</w:t>
        </w:r>
        <w:r>
          <w:rPr>
            <w:noProof/>
            <w:webHidden/>
          </w:rPr>
          <w:tab/>
        </w:r>
        <w:r>
          <w:rPr>
            <w:noProof/>
            <w:webHidden/>
          </w:rPr>
          <w:fldChar w:fldCharType="begin"/>
        </w:r>
        <w:r>
          <w:rPr>
            <w:noProof/>
            <w:webHidden/>
          </w:rPr>
          <w:instrText xml:space="preserve"> PAGEREF _Toc274485438 \h </w:instrText>
        </w:r>
        <w:r>
          <w:rPr>
            <w:noProof/>
            <w:webHidden/>
          </w:rPr>
        </w:r>
        <w:r>
          <w:rPr>
            <w:noProof/>
            <w:webHidden/>
          </w:rPr>
          <w:fldChar w:fldCharType="separate"/>
        </w:r>
        <w:r w:rsidR="00437F6B">
          <w:rPr>
            <w:noProof/>
            <w:webHidden/>
          </w:rPr>
          <w:t>23</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39" w:history="1">
        <w:r w:rsidRPr="00BE277E">
          <w:rPr>
            <w:rStyle w:val="Hyperlink"/>
            <w:noProof/>
            <w:lang w:val="en-GB"/>
          </w:rPr>
          <w:t>2.2.1</w:t>
        </w:r>
        <w:r>
          <w:rPr>
            <w:rFonts w:asciiTheme="minorHAnsi" w:eastAsiaTheme="minorEastAsia" w:hAnsiTheme="minorHAnsi" w:cstheme="minorBidi"/>
            <w:noProof/>
            <w:sz w:val="22"/>
            <w:szCs w:val="22"/>
            <w:lang w:val="nl-NL" w:eastAsia="nl-NL" w:bidi="ar-SA"/>
          </w:rPr>
          <w:tab/>
        </w:r>
        <w:r w:rsidRPr="00BE277E">
          <w:rPr>
            <w:rStyle w:val="Hyperlink"/>
            <w:noProof/>
            <w:lang w:val="en-GB"/>
          </w:rPr>
          <w:t>Fixed salaries</w:t>
        </w:r>
        <w:r>
          <w:rPr>
            <w:noProof/>
            <w:webHidden/>
          </w:rPr>
          <w:tab/>
        </w:r>
        <w:r>
          <w:rPr>
            <w:noProof/>
            <w:webHidden/>
          </w:rPr>
          <w:fldChar w:fldCharType="begin"/>
        </w:r>
        <w:r>
          <w:rPr>
            <w:noProof/>
            <w:webHidden/>
          </w:rPr>
          <w:instrText xml:space="preserve"> PAGEREF _Toc274485439 \h </w:instrText>
        </w:r>
        <w:r>
          <w:rPr>
            <w:noProof/>
            <w:webHidden/>
          </w:rPr>
        </w:r>
        <w:r>
          <w:rPr>
            <w:noProof/>
            <w:webHidden/>
          </w:rPr>
          <w:fldChar w:fldCharType="separate"/>
        </w:r>
        <w:r w:rsidR="00437F6B">
          <w:rPr>
            <w:noProof/>
            <w:webHidden/>
          </w:rPr>
          <w:t>24</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40" w:history="1">
        <w:r w:rsidRPr="00BE277E">
          <w:rPr>
            <w:rStyle w:val="Hyperlink"/>
            <w:noProof/>
            <w:lang w:val="en-GB"/>
          </w:rPr>
          <w:t>2.2.2</w:t>
        </w:r>
        <w:r>
          <w:rPr>
            <w:rFonts w:asciiTheme="minorHAnsi" w:eastAsiaTheme="minorEastAsia" w:hAnsiTheme="minorHAnsi" w:cstheme="minorBidi"/>
            <w:noProof/>
            <w:sz w:val="22"/>
            <w:szCs w:val="22"/>
            <w:lang w:val="nl-NL" w:eastAsia="nl-NL" w:bidi="ar-SA"/>
          </w:rPr>
          <w:tab/>
        </w:r>
        <w:r w:rsidRPr="00BE277E">
          <w:rPr>
            <w:rStyle w:val="Hyperlink"/>
            <w:noProof/>
            <w:lang w:val="en-GB"/>
          </w:rPr>
          <w:t>Short-term incentives</w:t>
        </w:r>
        <w:r>
          <w:rPr>
            <w:noProof/>
            <w:webHidden/>
          </w:rPr>
          <w:tab/>
        </w:r>
        <w:r>
          <w:rPr>
            <w:noProof/>
            <w:webHidden/>
          </w:rPr>
          <w:fldChar w:fldCharType="begin"/>
        </w:r>
        <w:r>
          <w:rPr>
            <w:noProof/>
            <w:webHidden/>
          </w:rPr>
          <w:instrText xml:space="preserve"> PAGEREF _Toc274485440 \h </w:instrText>
        </w:r>
        <w:r>
          <w:rPr>
            <w:noProof/>
            <w:webHidden/>
          </w:rPr>
        </w:r>
        <w:r>
          <w:rPr>
            <w:noProof/>
            <w:webHidden/>
          </w:rPr>
          <w:fldChar w:fldCharType="separate"/>
        </w:r>
        <w:r w:rsidR="00437F6B">
          <w:rPr>
            <w:noProof/>
            <w:webHidden/>
          </w:rPr>
          <w:t>24</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41" w:history="1">
        <w:r w:rsidRPr="00BE277E">
          <w:rPr>
            <w:rStyle w:val="Hyperlink"/>
            <w:noProof/>
            <w:lang w:val="en-GB"/>
          </w:rPr>
          <w:t>2.2.3</w:t>
        </w:r>
        <w:r>
          <w:rPr>
            <w:rFonts w:asciiTheme="minorHAnsi" w:eastAsiaTheme="minorEastAsia" w:hAnsiTheme="minorHAnsi" w:cstheme="minorBidi"/>
            <w:noProof/>
            <w:sz w:val="22"/>
            <w:szCs w:val="22"/>
            <w:lang w:val="nl-NL" w:eastAsia="nl-NL" w:bidi="ar-SA"/>
          </w:rPr>
          <w:tab/>
        </w:r>
        <w:r w:rsidRPr="00BE277E">
          <w:rPr>
            <w:rStyle w:val="Hyperlink"/>
            <w:noProof/>
            <w:lang w:val="en-GB"/>
          </w:rPr>
          <w:t>Long-term incentives</w:t>
        </w:r>
        <w:r>
          <w:rPr>
            <w:noProof/>
            <w:webHidden/>
          </w:rPr>
          <w:tab/>
        </w:r>
        <w:r>
          <w:rPr>
            <w:noProof/>
            <w:webHidden/>
          </w:rPr>
          <w:fldChar w:fldCharType="begin"/>
        </w:r>
        <w:r>
          <w:rPr>
            <w:noProof/>
            <w:webHidden/>
          </w:rPr>
          <w:instrText xml:space="preserve"> PAGEREF _Toc274485441 \h </w:instrText>
        </w:r>
        <w:r>
          <w:rPr>
            <w:noProof/>
            <w:webHidden/>
          </w:rPr>
        </w:r>
        <w:r>
          <w:rPr>
            <w:noProof/>
            <w:webHidden/>
          </w:rPr>
          <w:fldChar w:fldCharType="separate"/>
        </w:r>
        <w:r w:rsidR="00437F6B">
          <w:rPr>
            <w:noProof/>
            <w:webHidden/>
          </w:rPr>
          <w:t>25</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42" w:history="1">
        <w:r w:rsidRPr="00BE277E">
          <w:rPr>
            <w:rStyle w:val="Hyperlink"/>
            <w:noProof/>
            <w:lang w:val="en-GB"/>
          </w:rPr>
          <w:t>2.2.4</w:t>
        </w:r>
        <w:r>
          <w:rPr>
            <w:rFonts w:asciiTheme="minorHAnsi" w:eastAsiaTheme="minorEastAsia" w:hAnsiTheme="minorHAnsi" w:cstheme="minorBidi"/>
            <w:noProof/>
            <w:sz w:val="22"/>
            <w:szCs w:val="22"/>
            <w:lang w:val="nl-NL" w:eastAsia="nl-NL" w:bidi="ar-SA"/>
          </w:rPr>
          <w:tab/>
        </w:r>
        <w:r w:rsidRPr="00BE277E">
          <w:rPr>
            <w:rStyle w:val="Hyperlink"/>
            <w:noProof/>
            <w:lang w:val="en-GB"/>
          </w:rPr>
          <w:t>Why do managers receive stock compensation?</w:t>
        </w:r>
        <w:r>
          <w:rPr>
            <w:noProof/>
            <w:webHidden/>
          </w:rPr>
          <w:tab/>
        </w:r>
        <w:r>
          <w:rPr>
            <w:noProof/>
            <w:webHidden/>
          </w:rPr>
          <w:fldChar w:fldCharType="begin"/>
        </w:r>
        <w:r>
          <w:rPr>
            <w:noProof/>
            <w:webHidden/>
          </w:rPr>
          <w:instrText xml:space="preserve"> PAGEREF _Toc274485442 \h </w:instrText>
        </w:r>
        <w:r>
          <w:rPr>
            <w:noProof/>
            <w:webHidden/>
          </w:rPr>
        </w:r>
        <w:r>
          <w:rPr>
            <w:noProof/>
            <w:webHidden/>
          </w:rPr>
          <w:fldChar w:fldCharType="separate"/>
        </w:r>
        <w:r w:rsidR="00437F6B">
          <w:rPr>
            <w:noProof/>
            <w:webHidden/>
          </w:rPr>
          <w:t>25</w:t>
        </w:r>
        <w:r>
          <w:rPr>
            <w:noProof/>
            <w:webHidden/>
          </w:rPr>
          <w:fldChar w:fldCharType="end"/>
        </w:r>
      </w:hyperlink>
    </w:p>
    <w:p w:rsidR="00F81B0D" w:rsidRDefault="00F81B0D">
      <w:pPr>
        <w:pStyle w:val="TOC2"/>
        <w:tabs>
          <w:tab w:val="left" w:pos="880"/>
          <w:tab w:val="right" w:leader="dot" w:pos="9061"/>
        </w:tabs>
        <w:rPr>
          <w:rStyle w:val="Hyperlink"/>
          <w:noProof/>
        </w:rPr>
      </w:pPr>
      <w:hyperlink w:anchor="_Toc274485443" w:history="1">
        <w:r w:rsidRPr="00BE277E">
          <w:rPr>
            <w:rStyle w:val="Hyperlink"/>
            <w:noProof/>
          </w:rPr>
          <w:t>2.3</w:t>
        </w:r>
        <w:r>
          <w:rPr>
            <w:rFonts w:asciiTheme="minorHAnsi" w:eastAsiaTheme="minorEastAsia" w:hAnsiTheme="minorHAnsi" w:cstheme="minorBidi"/>
            <w:noProof/>
            <w:sz w:val="22"/>
            <w:szCs w:val="22"/>
            <w:lang w:val="nl-NL" w:eastAsia="nl-NL" w:bidi="ar-SA"/>
          </w:rPr>
          <w:tab/>
        </w:r>
        <w:r w:rsidRPr="00BE277E">
          <w:rPr>
            <w:rStyle w:val="Hyperlink"/>
            <w:noProof/>
          </w:rPr>
          <w:t>Earnings management and equity compensation</w:t>
        </w:r>
        <w:r>
          <w:rPr>
            <w:noProof/>
            <w:webHidden/>
          </w:rPr>
          <w:tab/>
        </w:r>
        <w:r>
          <w:rPr>
            <w:noProof/>
            <w:webHidden/>
          </w:rPr>
          <w:fldChar w:fldCharType="begin"/>
        </w:r>
        <w:r>
          <w:rPr>
            <w:noProof/>
            <w:webHidden/>
          </w:rPr>
          <w:instrText xml:space="preserve"> PAGEREF _Toc274485443 \h </w:instrText>
        </w:r>
        <w:r>
          <w:rPr>
            <w:noProof/>
            <w:webHidden/>
          </w:rPr>
        </w:r>
        <w:r>
          <w:rPr>
            <w:noProof/>
            <w:webHidden/>
          </w:rPr>
          <w:fldChar w:fldCharType="separate"/>
        </w:r>
        <w:r w:rsidR="00437F6B">
          <w:rPr>
            <w:noProof/>
            <w:webHidden/>
          </w:rPr>
          <w:t>26</w:t>
        </w:r>
        <w:r>
          <w:rPr>
            <w:noProof/>
            <w:webHidden/>
          </w:rPr>
          <w:fldChar w:fldCharType="end"/>
        </w:r>
      </w:hyperlink>
    </w:p>
    <w:p w:rsidR="00F81B0D" w:rsidRPr="00F81B0D" w:rsidRDefault="00F81B0D" w:rsidP="00F81B0D">
      <w:pPr>
        <w:rPr>
          <w:rFonts w:eastAsiaTheme="minorEastAsia"/>
        </w:rPr>
      </w:pPr>
    </w:p>
    <w:p w:rsidR="00F81B0D" w:rsidRDefault="00F81B0D">
      <w:pPr>
        <w:pStyle w:val="TOC1"/>
        <w:rPr>
          <w:rStyle w:val="Hyperlink"/>
        </w:rPr>
      </w:pPr>
      <w:hyperlink w:anchor="_Toc274485444" w:history="1">
        <w:r w:rsidRPr="00BE277E">
          <w:rPr>
            <w:rStyle w:val="Hyperlink"/>
          </w:rPr>
          <w:t>3</w:t>
        </w:r>
        <w:r>
          <w:rPr>
            <w:rFonts w:asciiTheme="minorHAnsi" w:eastAsiaTheme="minorEastAsia" w:hAnsiTheme="minorHAnsi" w:cstheme="minorBidi"/>
            <w:b w:val="0"/>
            <w:sz w:val="22"/>
            <w:szCs w:val="22"/>
            <w:lang w:val="nl-NL" w:eastAsia="nl-NL" w:bidi="ar-SA"/>
          </w:rPr>
          <w:tab/>
        </w:r>
        <w:r w:rsidRPr="00BE277E">
          <w:rPr>
            <w:rStyle w:val="Hyperlink"/>
          </w:rPr>
          <w:t>Hypotheses</w:t>
        </w:r>
        <w:r>
          <w:rPr>
            <w:webHidden/>
          </w:rPr>
          <w:tab/>
        </w:r>
        <w:r>
          <w:rPr>
            <w:webHidden/>
          </w:rPr>
          <w:fldChar w:fldCharType="begin"/>
        </w:r>
        <w:r>
          <w:rPr>
            <w:webHidden/>
          </w:rPr>
          <w:instrText xml:space="preserve"> PAGEREF _Toc274485444 \h </w:instrText>
        </w:r>
        <w:r>
          <w:rPr>
            <w:webHidden/>
          </w:rPr>
        </w:r>
        <w:r>
          <w:rPr>
            <w:webHidden/>
          </w:rPr>
          <w:fldChar w:fldCharType="separate"/>
        </w:r>
        <w:r w:rsidR="00437F6B">
          <w:rPr>
            <w:webHidden/>
          </w:rPr>
          <w:t>28</w:t>
        </w:r>
        <w:r>
          <w:rPr>
            <w:webHidden/>
          </w:rPr>
          <w:fldChar w:fldCharType="end"/>
        </w:r>
      </w:hyperlink>
    </w:p>
    <w:p w:rsidR="00F81B0D" w:rsidRPr="00F81B0D" w:rsidRDefault="00F81B0D" w:rsidP="00F81B0D">
      <w:pPr>
        <w:rPr>
          <w:rFonts w:eastAsiaTheme="minorEastAsia"/>
          <w:lang w:val="en-GB"/>
        </w:rPr>
      </w:pPr>
    </w:p>
    <w:p w:rsidR="00F81B0D" w:rsidRDefault="00F81B0D">
      <w:pPr>
        <w:pStyle w:val="TOC1"/>
        <w:rPr>
          <w:rFonts w:asciiTheme="minorHAnsi" w:eastAsiaTheme="minorEastAsia" w:hAnsiTheme="minorHAnsi" w:cstheme="minorBidi"/>
          <w:b w:val="0"/>
          <w:sz w:val="22"/>
          <w:szCs w:val="22"/>
          <w:lang w:val="nl-NL" w:eastAsia="nl-NL" w:bidi="ar-SA"/>
        </w:rPr>
      </w:pPr>
      <w:hyperlink w:anchor="_Toc274485445" w:history="1">
        <w:r w:rsidRPr="00BE277E">
          <w:rPr>
            <w:rStyle w:val="Hyperlink"/>
          </w:rPr>
          <w:t>4</w:t>
        </w:r>
        <w:r>
          <w:rPr>
            <w:rFonts w:asciiTheme="minorHAnsi" w:eastAsiaTheme="minorEastAsia" w:hAnsiTheme="minorHAnsi" w:cstheme="minorBidi"/>
            <w:b w:val="0"/>
            <w:sz w:val="22"/>
            <w:szCs w:val="22"/>
            <w:lang w:val="nl-NL" w:eastAsia="nl-NL" w:bidi="ar-SA"/>
          </w:rPr>
          <w:tab/>
        </w:r>
        <w:r w:rsidRPr="00BE277E">
          <w:rPr>
            <w:rStyle w:val="Hyperlink"/>
          </w:rPr>
          <w:t>Research design</w:t>
        </w:r>
        <w:r>
          <w:rPr>
            <w:webHidden/>
          </w:rPr>
          <w:tab/>
        </w:r>
        <w:r>
          <w:rPr>
            <w:webHidden/>
          </w:rPr>
          <w:fldChar w:fldCharType="begin"/>
        </w:r>
        <w:r>
          <w:rPr>
            <w:webHidden/>
          </w:rPr>
          <w:instrText xml:space="preserve"> PAGEREF _Toc274485445 \h </w:instrText>
        </w:r>
        <w:r>
          <w:rPr>
            <w:webHidden/>
          </w:rPr>
        </w:r>
        <w:r>
          <w:rPr>
            <w:webHidden/>
          </w:rPr>
          <w:fldChar w:fldCharType="separate"/>
        </w:r>
        <w:r w:rsidR="00437F6B">
          <w:rPr>
            <w:webHidden/>
          </w:rPr>
          <w:t>31</w:t>
        </w:r>
        <w:r>
          <w:rPr>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46" w:history="1">
        <w:r w:rsidRPr="00BE277E">
          <w:rPr>
            <w:rStyle w:val="Hyperlink"/>
            <w:noProof/>
          </w:rPr>
          <w:t>4.1</w:t>
        </w:r>
        <w:r>
          <w:rPr>
            <w:rFonts w:asciiTheme="minorHAnsi" w:eastAsiaTheme="minorEastAsia" w:hAnsiTheme="minorHAnsi" w:cstheme="minorBidi"/>
            <w:noProof/>
            <w:sz w:val="22"/>
            <w:szCs w:val="22"/>
            <w:lang w:val="nl-NL" w:eastAsia="nl-NL" w:bidi="ar-SA"/>
          </w:rPr>
          <w:tab/>
        </w:r>
        <w:r w:rsidRPr="00BE277E">
          <w:rPr>
            <w:rStyle w:val="Hyperlink"/>
            <w:noProof/>
          </w:rPr>
          <w:t>Data and sample</w:t>
        </w:r>
        <w:r>
          <w:rPr>
            <w:noProof/>
            <w:webHidden/>
          </w:rPr>
          <w:tab/>
        </w:r>
        <w:r>
          <w:rPr>
            <w:noProof/>
            <w:webHidden/>
          </w:rPr>
          <w:fldChar w:fldCharType="begin"/>
        </w:r>
        <w:r>
          <w:rPr>
            <w:noProof/>
            <w:webHidden/>
          </w:rPr>
          <w:instrText xml:space="preserve"> PAGEREF _Toc274485446 \h </w:instrText>
        </w:r>
        <w:r>
          <w:rPr>
            <w:noProof/>
            <w:webHidden/>
          </w:rPr>
        </w:r>
        <w:r>
          <w:rPr>
            <w:noProof/>
            <w:webHidden/>
          </w:rPr>
          <w:fldChar w:fldCharType="separate"/>
        </w:r>
        <w:r w:rsidR="00437F6B">
          <w:rPr>
            <w:noProof/>
            <w:webHidden/>
          </w:rPr>
          <w:t>31</w:t>
        </w:r>
        <w:r>
          <w:rPr>
            <w:noProof/>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47" w:history="1">
        <w:r w:rsidRPr="00BE277E">
          <w:rPr>
            <w:rStyle w:val="Hyperlink"/>
            <w:noProof/>
          </w:rPr>
          <w:t>4.2</w:t>
        </w:r>
        <w:r>
          <w:rPr>
            <w:rFonts w:asciiTheme="minorHAnsi" w:eastAsiaTheme="minorEastAsia" w:hAnsiTheme="minorHAnsi" w:cstheme="minorBidi"/>
            <w:noProof/>
            <w:sz w:val="22"/>
            <w:szCs w:val="22"/>
            <w:lang w:val="nl-NL" w:eastAsia="nl-NL" w:bidi="ar-SA"/>
          </w:rPr>
          <w:tab/>
        </w:r>
        <w:r w:rsidRPr="00BE277E">
          <w:rPr>
            <w:rStyle w:val="Hyperlink"/>
            <w:noProof/>
          </w:rPr>
          <w:t>Dependant variable</w:t>
        </w:r>
        <w:r>
          <w:rPr>
            <w:noProof/>
            <w:webHidden/>
          </w:rPr>
          <w:tab/>
        </w:r>
        <w:r>
          <w:rPr>
            <w:noProof/>
            <w:webHidden/>
          </w:rPr>
          <w:fldChar w:fldCharType="begin"/>
        </w:r>
        <w:r>
          <w:rPr>
            <w:noProof/>
            <w:webHidden/>
          </w:rPr>
          <w:instrText xml:space="preserve"> PAGEREF _Toc274485447 \h </w:instrText>
        </w:r>
        <w:r>
          <w:rPr>
            <w:noProof/>
            <w:webHidden/>
          </w:rPr>
        </w:r>
        <w:r>
          <w:rPr>
            <w:noProof/>
            <w:webHidden/>
          </w:rPr>
          <w:fldChar w:fldCharType="separate"/>
        </w:r>
        <w:r w:rsidR="00437F6B">
          <w:rPr>
            <w:noProof/>
            <w:webHidden/>
          </w:rPr>
          <w:t>32</w:t>
        </w:r>
        <w:r>
          <w:rPr>
            <w:noProof/>
            <w:webHidden/>
          </w:rPr>
          <w:fldChar w:fldCharType="end"/>
        </w:r>
      </w:hyperlink>
    </w:p>
    <w:p w:rsidR="00F81B0D" w:rsidRDefault="00F81B0D">
      <w:pPr>
        <w:pStyle w:val="TOC2"/>
        <w:tabs>
          <w:tab w:val="left" w:pos="880"/>
          <w:tab w:val="right" w:leader="dot" w:pos="9061"/>
        </w:tabs>
        <w:rPr>
          <w:rStyle w:val="Hyperlink"/>
          <w:noProof/>
        </w:rPr>
      </w:pPr>
      <w:hyperlink w:anchor="_Toc274485448" w:history="1">
        <w:r w:rsidRPr="00BE277E">
          <w:rPr>
            <w:rStyle w:val="Hyperlink"/>
            <w:noProof/>
          </w:rPr>
          <w:t>4.3</w:t>
        </w:r>
        <w:r>
          <w:rPr>
            <w:rFonts w:asciiTheme="minorHAnsi" w:eastAsiaTheme="minorEastAsia" w:hAnsiTheme="minorHAnsi" w:cstheme="minorBidi"/>
            <w:noProof/>
            <w:sz w:val="22"/>
            <w:szCs w:val="22"/>
            <w:lang w:val="nl-NL" w:eastAsia="nl-NL" w:bidi="ar-SA"/>
          </w:rPr>
          <w:tab/>
        </w:r>
        <w:r w:rsidRPr="00BE277E">
          <w:rPr>
            <w:rStyle w:val="Hyperlink"/>
            <w:noProof/>
          </w:rPr>
          <w:t>Independent variable</w:t>
        </w:r>
        <w:r>
          <w:rPr>
            <w:noProof/>
            <w:webHidden/>
          </w:rPr>
          <w:tab/>
        </w:r>
        <w:r>
          <w:rPr>
            <w:noProof/>
            <w:webHidden/>
          </w:rPr>
          <w:fldChar w:fldCharType="begin"/>
        </w:r>
        <w:r>
          <w:rPr>
            <w:noProof/>
            <w:webHidden/>
          </w:rPr>
          <w:instrText xml:space="preserve"> PAGEREF _Toc274485448 \h </w:instrText>
        </w:r>
        <w:r>
          <w:rPr>
            <w:noProof/>
            <w:webHidden/>
          </w:rPr>
        </w:r>
        <w:r>
          <w:rPr>
            <w:noProof/>
            <w:webHidden/>
          </w:rPr>
          <w:fldChar w:fldCharType="separate"/>
        </w:r>
        <w:r w:rsidR="00437F6B">
          <w:rPr>
            <w:noProof/>
            <w:webHidden/>
          </w:rPr>
          <w:t>32</w:t>
        </w:r>
        <w:r>
          <w:rPr>
            <w:noProof/>
            <w:webHidden/>
          </w:rPr>
          <w:fldChar w:fldCharType="end"/>
        </w:r>
      </w:hyperlink>
    </w:p>
    <w:p w:rsidR="00F81B0D" w:rsidRPr="00F81B0D" w:rsidRDefault="00F81B0D" w:rsidP="00F81B0D">
      <w:pPr>
        <w:rPr>
          <w:rFonts w:eastAsiaTheme="minorEastAsia"/>
        </w:rPr>
      </w:pPr>
    </w:p>
    <w:p w:rsidR="00F81B0D" w:rsidRDefault="00F81B0D">
      <w:pPr>
        <w:pStyle w:val="TOC1"/>
        <w:rPr>
          <w:rFonts w:asciiTheme="minorHAnsi" w:eastAsiaTheme="minorEastAsia" w:hAnsiTheme="minorHAnsi" w:cstheme="minorBidi"/>
          <w:b w:val="0"/>
          <w:sz w:val="22"/>
          <w:szCs w:val="22"/>
          <w:lang w:val="nl-NL" w:eastAsia="nl-NL" w:bidi="ar-SA"/>
        </w:rPr>
      </w:pPr>
      <w:hyperlink w:anchor="_Toc274485449" w:history="1">
        <w:r w:rsidRPr="00BE277E">
          <w:rPr>
            <w:rStyle w:val="Hyperlink"/>
            <w:lang w:val="en-US"/>
          </w:rPr>
          <w:t>5</w:t>
        </w:r>
        <w:r>
          <w:rPr>
            <w:rFonts w:asciiTheme="minorHAnsi" w:eastAsiaTheme="minorEastAsia" w:hAnsiTheme="minorHAnsi" w:cstheme="minorBidi"/>
            <w:b w:val="0"/>
            <w:sz w:val="22"/>
            <w:szCs w:val="22"/>
            <w:lang w:val="nl-NL" w:eastAsia="nl-NL" w:bidi="ar-SA"/>
          </w:rPr>
          <w:tab/>
        </w:r>
        <w:r w:rsidRPr="00BE277E">
          <w:rPr>
            <w:rStyle w:val="Hyperlink"/>
            <w:lang w:val="en-US"/>
          </w:rPr>
          <w:t>Data analysis and results</w:t>
        </w:r>
        <w:r>
          <w:rPr>
            <w:webHidden/>
          </w:rPr>
          <w:tab/>
        </w:r>
        <w:r>
          <w:rPr>
            <w:webHidden/>
          </w:rPr>
          <w:fldChar w:fldCharType="begin"/>
        </w:r>
        <w:r>
          <w:rPr>
            <w:webHidden/>
          </w:rPr>
          <w:instrText xml:space="preserve"> PAGEREF _Toc274485449 \h </w:instrText>
        </w:r>
        <w:r>
          <w:rPr>
            <w:webHidden/>
          </w:rPr>
        </w:r>
        <w:r>
          <w:rPr>
            <w:webHidden/>
          </w:rPr>
          <w:fldChar w:fldCharType="separate"/>
        </w:r>
        <w:r w:rsidR="00437F6B">
          <w:rPr>
            <w:webHidden/>
          </w:rPr>
          <w:t>32</w:t>
        </w:r>
        <w:r>
          <w:rPr>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50" w:history="1">
        <w:r w:rsidRPr="00BE277E">
          <w:rPr>
            <w:rStyle w:val="Hyperlink"/>
            <w:noProof/>
            <w:lang w:val="en-US"/>
          </w:rPr>
          <w:t>5.1</w:t>
        </w:r>
        <w:r>
          <w:rPr>
            <w:rFonts w:asciiTheme="minorHAnsi" w:eastAsiaTheme="minorEastAsia" w:hAnsiTheme="minorHAnsi" w:cstheme="minorBidi"/>
            <w:noProof/>
            <w:sz w:val="22"/>
            <w:szCs w:val="22"/>
            <w:lang w:val="nl-NL" w:eastAsia="nl-NL" w:bidi="ar-SA"/>
          </w:rPr>
          <w:tab/>
        </w:r>
        <w:r w:rsidRPr="00BE277E">
          <w:rPr>
            <w:rStyle w:val="Hyperlink"/>
            <w:noProof/>
          </w:rPr>
          <w:t>Discretionary accruals and descriptive statistics</w:t>
        </w:r>
        <w:r>
          <w:rPr>
            <w:noProof/>
            <w:webHidden/>
          </w:rPr>
          <w:tab/>
        </w:r>
        <w:r>
          <w:rPr>
            <w:noProof/>
            <w:webHidden/>
          </w:rPr>
          <w:fldChar w:fldCharType="begin"/>
        </w:r>
        <w:r>
          <w:rPr>
            <w:noProof/>
            <w:webHidden/>
          </w:rPr>
          <w:instrText xml:space="preserve"> PAGEREF _Toc274485450 \h </w:instrText>
        </w:r>
        <w:r>
          <w:rPr>
            <w:noProof/>
            <w:webHidden/>
          </w:rPr>
        </w:r>
        <w:r>
          <w:rPr>
            <w:noProof/>
            <w:webHidden/>
          </w:rPr>
          <w:fldChar w:fldCharType="separate"/>
        </w:r>
        <w:r w:rsidR="00437F6B">
          <w:rPr>
            <w:noProof/>
            <w:webHidden/>
          </w:rPr>
          <w:t>32</w:t>
        </w:r>
        <w:r>
          <w:rPr>
            <w:noProof/>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51" w:history="1">
        <w:r w:rsidRPr="00BE277E">
          <w:rPr>
            <w:rStyle w:val="Hyperlink"/>
            <w:noProof/>
            <w:lang w:val="en-US"/>
          </w:rPr>
          <w:t>5.2</w:t>
        </w:r>
        <w:r>
          <w:rPr>
            <w:rFonts w:asciiTheme="minorHAnsi" w:eastAsiaTheme="minorEastAsia" w:hAnsiTheme="minorHAnsi" w:cstheme="minorBidi"/>
            <w:noProof/>
            <w:sz w:val="22"/>
            <w:szCs w:val="22"/>
            <w:lang w:val="nl-NL" w:eastAsia="nl-NL" w:bidi="ar-SA"/>
          </w:rPr>
          <w:tab/>
        </w:r>
        <w:r w:rsidRPr="00BE277E">
          <w:rPr>
            <w:rStyle w:val="Hyperlink"/>
            <w:noProof/>
            <w:lang w:val="en-US"/>
          </w:rPr>
          <w:t>Results</w:t>
        </w:r>
        <w:r>
          <w:rPr>
            <w:noProof/>
            <w:webHidden/>
          </w:rPr>
          <w:tab/>
        </w:r>
        <w:r>
          <w:rPr>
            <w:noProof/>
            <w:webHidden/>
          </w:rPr>
          <w:fldChar w:fldCharType="begin"/>
        </w:r>
        <w:r>
          <w:rPr>
            <w:noProof/>
            <w:webHidden/>
          </w:rPr>
          <w:instrText xml:space="preserve"> PAGEREF _Toc274485451 \h </w:instrText>
        </w:r>
        <w:r>
          <w:rPr>
            <w:noProof/>
            <w:webHidden/>
          </w:rPr>
        </w:r>
        <w:r>
          <w:rPr>
            <w:noProof/>
            <w:webHidden/>
          </w:rPr>
          <w:fldChar w:fldCharType="separate"/>
        </w:r>
        <w:r w:rsidR="00437F6B">
          <w:rPr>
            <w:noProof/>
            <w:webHidden/>
          </w:rPr>
          <w:t>32</w:t>
        </w:r>
        <w:r>
          <w:rPr>
            <w:noProof/>
            <w:webHidden/>
          </w:rPr>
          <w:fldChar w:fldCharType="end"/>
        </w:r>
      </w:hyperlink>
    </w:p>
    <w:p w:rsidR="00F81B0D" w:rsidRDefault="00F81B0D">
      <w:pPr>
        <w:pStyle w:val="TOC3"/>
        <w:tabs>
          <w:tab w:val="left" w:pos="1320"/>
          <w:tab w:val="right" w:leader="dot" w:pos="9061"/>
        </w:tabs>
        <w:rPr>
          <w:rFonts w:asciiTheme="minorHAnsi" w:eastAsiaTheme="minorEastAsia" w:hAnsiTheme="minorHAnsi" w:cstheme="minorBidi"/>
          <w:noProof/>
          <w:sz w:val="22"/>
          <w:szCs w:val="22"/>
          <w:lang w:val="nl-NL" w:eastAsia="nl-NL" w:bidi="ar-SA"/>
        </w:rPr>
      </w:pPr>
      <w:hyperlink w:anchor="_Toc274485452" w:history="1">
        <w:r w:rsidRPr="00BE277E">
          <w:rPr>
            <w:rStyle w:val="Hyperlink"/>
            <w:noProof/>
            <w:lang w:val="en-US"/>
          </w:rPr>
          <w:t>5.2.1</w:t>
        </w:r>
        <w:r>
          <w:rPr>
            <w:rFonts w:asciiTheme="minorHAnsi" w:eastAsiaTheme="minorEastAsia" w:hAnsiTheme="minorHAnsi" w:cstheme="minorBidi"/>
            <w:noProof/>
            <w:sz w:val="22"/>
            <w:szCs w:val="22"/>
            <w:lang w:val="nl-NL" w:eastAsia="nl-NL" w:bidi="ar-SA"/>
          </w:rPr>
          <w:tab/>
        </w:r>
        <w:r w:rsidRPr="00BE277E">
          <w:rPr>
            <w:rStyle w:val="Hyperlink"/>
            <w:noProof/>
            <w:lang w:val="en-GB"/>
          </w:rPr>
          <w:t>Correlation testing</w:t>
        </w:r>
        <w:r>
          <w:rPr>
            <w:noProof/>
            <w:webHidden/>
          </w:rPr>
          <w:tab/>
        </w:r>
        <w:r>
          <w:rPr>
            <w:noProof/>
            <w:webHidden/>
          </w:rPr>
          <w:fldChar w:fldCharType="begin"/>
        </w:r>
        <w:r>
          <w:rPr>
            <w:noProof/>
            <w:webHidden/>
          </w:rPr>
          <w:instrText xml:space="preserve"> PAGEREF _Toc274485452 \h </w:instrText>
        </w:r>
        <w:r>
          <w:rPr>
            <w:noProof/>
            <w:webHidden/>
          </w:rPr>
        </w:r>
        <w:r>
          <w:rPr>
            <w:noProof/>
            <w:webHidden/>
          </w:rPr>
          <w:fldChar w:fldCharType="separate"/>
        </w:r>
        <w:r w:rsidR="00437F6B">
          <w:rPr>
            <w:noProof/>
            <w:webHidden/>
          </w:rPr>
          <w:t>32</w:t>
        </w:r>
        <w:r>
          <w:rPr>
            <w:noProof/>
            <w:webHidden/>
          </w:rPr>
          <w:fldChar w:fldCharType="end"/>
        </w:r>
      </w:hyperlink>
    </w:p>
    <w:p w:rsidR="00F81B0D" w:rsidRDefault="00F81B0D">
      <w:pPr>
        <w:pStyle w:val="TOC3"/>
        <w:tabs>
          <w:tab w:val="left" w:pos="1320"/>
          <w:tab w:val="right" w:leader="dot" w:pos="9061"/>
        </w:tabs>
        <w:rPr>
          <w:rStyle w:val="Hyperlink"/>
          <w:noProof/>
        </w:rPr>
      </w:pPr>
      <w:hyperlink w:anchor="_Toc274485453" w:history="1">
        <w:r w:rsidRPr="00BE277E">
          <w:rPr>
            <w:rStyle w:val="Hyperlink"/>
            <w:noProof/>
            <w:lang w:val="en-US"/>
          </w:rPr>
          <w:t>5.2.2</w:t>
        </w:r>
        <w:r>
          <w:rPr>
            <w:rFonts w:asciiTheme="minorHAnsi" w:eastAsiaTheme="minorEastAsia" w:hAnsiTheme="minorHAnsi" w:cstheme="minorBidi"/>
            <w:noProof/>
            <w:sz w:val="22"/>
            <w:szCs w:val="22"/>
            <w:lang w:val="nl-NL" w:eastAsia="nl-NL" w:bidi="ar-SA"/>
          </w:rPr>
          <w:tab/>
        </w:r>
        <w:r w:rsidRPr="00BE277E">
          <w:rPr>
            <w:rStyle w:val="Hyperlink"/>
            <w:noProof/>
            <w:lang w:val="en-GB"/>
          </w:rPr>
          <w:t>Independent-Samples T-Test</w:t>
        </w:r>
        <w:r>
          <w:rPr>
            <w:noProof/>
            <w:webHidden/>
          </w:rPr>
          <w:tab/>
        </w:r>
        <w:r>
          <w:rPr>
            <w:noProof/>
            <w:webHidden/>
          </w:rPr>
          <w:fldChar w:fldCharType="begin"/>
        </w:r>
        <w:r>
          <w:rPr>
            <w:noProof/>
            <w:webHidden/>
          </w:rPr>
          <w:instrText xml:space="preserve"> PAGEREF _Toc274485453 \h </w:instrText>
        </w:r>
        <w:r>
          <w:rPr>
            <w:noProof/>
            <w:webHidden/>
          </w:rPr>
        </w:r>
        <w:r>
          <w:rPr>
            <w:noProof/>
            <w:webHidden/>
          </w:rPr>
          <w:fldChar w:fldCharType="separate"/>
        </w:r>
        <w:r w:rsidR="00437F6B">
          <w:rPr>
            <w:noProof/>
            <w:webHidden/>
          </w:rPr>
          <w:t>32</w:t>
        </w:r>
        <w:r>
          <w:rPr>
            <w:noProof/>
            <w:webHidden/>
          </w:rPr>
          <w:fldChar w:fldCharType="end"/>
        </w:r>
      </w:hyperlink>
    </w:p>
    <w:p w:rsidR="00F81B0D" w:rsidRPr="00F81B0D" w:rsidRDefault="00F81B0D" w:rsidP="00F81B0D">
      <w:pPr>
        <w:rPr>
          <w:rFonts w:eastAsiaTheme="minorEastAsia"/>
        </w:rPr>
      </w:pPr>
    </w:p>
    <w:p w:rsidR="00F81B0D" w:rsidRDefault="00F81B0D">
      <w:pPr>
        <w:pStyle w:val="TOC1"/>
        <w:rPr>
          <w:rFonts w:asciiTheme="minorHAnsi" w:eastAsiaTheme="minorEastAsia" w:hAnsiTheme="minorHAnsi" w:cstheme="minorBidi"/>
          <w:b w:val="0"/>
          <w:sz w:val="22"/>
          <w:szCs w:val="22"/>
          <w:lang w:val="nl-NL" w:eastAsia="nl-NL" w:bidi="ar-SA"/>
        </w:rPr>
      </w:pPr>
      <w:hyperlink w:anchor="_Toc274485454" w:history="1">
        <w:r w:rsidRPr="00BE277E">
          <w:rPr>
            <w:rStyle w:val="Hyperlink"/>
            <w:lang w:val="en-US"/>
          </w:rPr>
          <w:t>6</w:t>
        </w:r>
        <w:r>
          <w:rPr>
            <w:rFonts w:asciiTheme="minorHAnsi" w:eastAsiaTheme="minorEastAsia" w:hAnsiTheme="minorHAnsi" w:cstheme="minorBidi"/>
            <w:b w:val="0"/>
            <w:sz w:val="22"/>
            <w:szCs w:val="22"/>
            <w:lang w:val="nl-NL" w:eastAsia="nl-NL" w:bidi="ar-SA"/>
          </w:rPr>
          <w:tab/>
        </w:r>
        <w:r w:rsidRPr="00BE277E">
          <w:rPr>
            <w:rStyle w:val="Hyperlink"/>
            <w:lang w:val="en-US"/>
          </w:rPr>
          <w:t>Conclusion, limitations and future research</w:t>
        </w:r>
        <w:r>
          <w:rPr>
            <w:webHidden/>
          </w:rPr>
          <w:tab/>
        </w:r>
        <w:r>
          <w:rPr>
            <w:webHidden/>
          </w:rPr>
          <w:fldChar w:fldCharType="begin"/>
        </w:r>
        <w:r>
          <w:rPr>
            <w:webHidden/>
          </w:rPr>
          <w:instrText xml:space="preserve"> PAGEREF _Toc274485454 \h </w:instrText>
        </w:r>
        <w:r>
          <w:rPr>
            <w:webHidden/>
          </w:rPr>
        </w:r>
        <w:r>
          <w:rPr>
            <w:webHidden/>
          </w:rPr>
          <w:fldChar w:fldCharType="separate"/>
        </w:r>
        <w:r w:rsidR="00437F6B">
          <w:rPr>
            <w:webHidden/>
          </w:rPr>
          <w:t>32</w:t>
        </w:r>
        <w:r>
          <w:rPr>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55" w:history="1">
        <w:r w:rsidRPr="00BE277E">
          <w:rPr>
            <w:rStyle w:val="Hyperlink"/>
            <w:noProof/>
          </w:rPr>
          <w:t>6.1</w:t>
        </w:r>
        <w:r>
          <w:rPr>
            <w:rFonts w:asciiTheme="minorHAnsi" w:eastAsiaTheme="minorEastAsia" w:hAnsiTheme="minorHAnsi" w:cstheme="minorBidi"/>
            <w:noProof/>
            <w:sz w:val="22"/>
            <w:szCs w:val="22"/>
            <w:lang w:val="nl-NL" w:eastAsia="nl-NL" w:bidi="ar-SA"/>
          </w:rPr>
          <w:tab/>
        </w:r>
        <w:r w:rsidRPr="00BE277E">
          <w:rPr>
            <w:rStyle w:val="Hyperlink"/>
            <w:noProof/>
          </w:rPr>
          <w:t>Research question</w:t>
        </w:r>
        <w:r>
          <w:rPr>
            <w:noProof/>
            <w:webHidden/>
          </w:rPr>
          <w:tab/>
        </w:r>
        <w:r>
          <w:rPr>
            <w:noProof/>
            <w:webHidden/>
          </w:rPr>
          <w:fldChar w:fldCharType="begin"/>
        </w:r>
        <w:r>
          <w:rPr>
            <w:noProof/>
            <w:webHidden/>
          </w:rPr>
          <w:instrText xml:space="preserve"> PAGEREF _Toc274485455 \h </w:instrText>
        </w:r>
        <w:r>
          <w:rPr>
            <w:noProof/>
            <w:webHidden/>
          </w:rPr>
        </w:r>
        <w:r>
          <w:rPr>
            <w:noProof/>
            <w:webHidden/>
          </w:rPr>
          <w:fldChar w:fldCharType="separate"/>
        </w:r>
        <w:r w:rsidR="00437F6B">
          <w:rPr>
            <w:noProof/>
            <w:webHidden/>
          </w:rPr>
          <w:t>32</w:t>
        </w:r>
        <w:r>
          <w:rPr>
            <w:noProof/>
            <w:webHidden/>
          </w:rPr>
          <w:fldChar w:fldCharType="end"/>
        </w:r>
      </w:hyperlink>
    </w:p>
    <w:p w:rsidR="00F81B0D" w:rsidRDefault="00F81B0D">
      <w:pPr>
        <w:pStyle w:val="TOC2"/>
        <w:tabs>
          <w:tab w:val="left" w:pos="880"/>
          <w:tab w:val="right" w:leader="dot" w:pos="9061"/>
        </w:tabs>
        <w:rPr>
          <w:rFonts w:asciiTheme="minorHAnsi" w:eastAsiaTheme="minorEastAsia" w:hAnsiTheme="minorHAnsi" w:cstheme="minorBidi"/>
          <w:noProof/>
          <w:sz w:val="22"/>
          <w:szCs w:val="22"/>
          <w:lang w:val="nl-NL" w:eastAsia="nl-NL" w:bidi="ar-SA"/>
        </w:rPr>
      </w:pPr>
      <w:hyperlink w:anchor="_Toc274485456" w:history="1">
        <w:r w:rsidRPr="00BE277E">
          <w:rPr>
            <w:rStyle w:val="Hyperlink"/>
            <w:noProof/>
          </w:rPr>
          <w:t>6.2</w:t>
        </w:r>
        <w:r>
          <w:rPr>
            <w:rFonts w:asciiTheme="minorHAnsi" w:eastAsiaTheme="minorEastAsia" w:hAnsiTheme="minorHAnsi" w:cstheme="minorBidi"/>
            <w:noProof/>
            <w:sz w:val="22"/>
            <w:szCs w:val="22"/>
            <w:lang w:val="nl-NL" w:eastAsia="nl-NL" w:bidi="ar-SA"/>
          </w:rPr>
          <w:tab/>
        </w:r>
        <w:r w:rsidRPr="00BE277E">
          <w:rPr>
            <w:rStyle w:val="Hyperlink"/>
            <w:noProof/>
          </w:rPr>
          <w:t>Theoretical and empirical conclusions</w:t>
        </w:r>
        <w:r>
          <w:rPr>
            <w:noProof/>
            <w:webHidden/>
          </w:rPr>
          <w:tab/>
        </w:r>
        <w:r>
          <w:rPr>
            <w:noProof/>
            <w:webHidden/>
          </w:rPr>
          <w:fldChar w:fldCharType="begin"/>
        </w:r>
        <w:r>
          <w:rPr>
            <w:noProof/>
            <w:webHidden/>
          </w:rPr>
          <w:instrText xml:space="preserve"> PAGEREF _Toc274485456 \h </w:instrText>
        </w:r>
        <w:r>
          <w:rPr>
            <w:noProof/>
            <w:webHidden/>
          </w:rPr>
        </w:r>
        <w:r>
          <w:rPr>
            <w:noProof/>
            <w:webHidden/>
          </w:rPr>
          <w:fldChar w:fldCharType="separate"/>
        </w:r>
        <w:r w:rsidR="00437F6B">
          <w:rPr>
            <w:noProof/>
            <w:webHidden/>
          </w:rPr>
          <w:t>32</w:t>
        </w:r>
        <w:r>
          <w:rPr>
            <w:noProof/>
            <w:webHidden/>
          </w:rPr>
          <w:fldChar w:fldCharType="end"/>
        </w:r>
      </w:hyperlink>
    </w:p>
    <w:p w:rsidR="00F81B0D" w:rsidRDefault="00F81B0D">
      <w:pPr>
        <w:pStyle w:val="TOC2"/>
        <w:tabs>
          <w:tab w:val="left" w:pos="880"/>
          <w:tab w:val="right" w:leader="dot" w:pos="9061"/>
        </w:tabs>
        <w:rPr>
          <w:rStyle w:val="Hyperlink"/>
          <w:noProof/>
        </w:rPr>
      </w:pPr>
      <w:hyperlink w:anchor="_Toc274485457" w:history="1">
        <w:r w:rsidRPr="00BE277E">
          <w:rPr>
            <w:rStyle w:val="Hyperlink"/>
            <w:noProof/>
          </w:rPr>
          <w:t>6.3</w:t>
        </w:r>
        <w:r>
          <w:rPr>
            <w:rFonts w:asciiTheme="minorHAnsi" w:eastAsiaTheme="minorEastAsia" w:hAnsiTheme="minorHAnsi" w:cstheme="minorBidi"/>
            <w:noProof/>
            <w:sz w:val="22"/>
            <w:szCs w:val="22"/>
            <w:lang w:val="nl-NL" w:eastAsia="nl-NL" w:bidi="ar-SA"/>
          </w:rPr>
          <w:tab/>
        </w:r>
        <w:r w:rsidRPr="00BE277E">
          <w:rPr>
            <w:rStyle w:val="Hyperlink"/>
            <w:noProof/>
          </w:rPr>
          <w:t>Limitations and directions for future research</w:t>
        </w:r>
        <w:r>
          <w:rPr>
            <w:noProof/>
            <w:webHidden/>
          </w:rPr>
          <w:tab/>
        </w:r>
        <w:r>
          <w:rPr>
            <w:noProof/>
            <w:webHidden/>
          </w:rPr>
          <w:fldChar w:fldCharType="begin"/>
        </w:r>
        <w:r>
          <w:rPr>
            <w:noProof/>
            <w:webHidden/>
          </w:rPr>
          <w:instrText xml:space="preserve"> PAGEREF _Toc274485457 \h </w:instrText>
        </w:r>
        <w:r>
          <w:rPr>
            <w:noProof/>
            <w:webHidden/>
          </w:rPr>
        </w:r>
        <w:r>
          <w:rPr>
            <w:noProof/>
            <w:webHidden/>
          </w:rPr>
          <w:fldChar w:fldCharType="separate"/>
        </w:r>
        <w:r w:rsidR="00437F6B">
          <w:rPr>
            <w:noProof/>
            <w:webHidden/>
          </w:rPr>
          <w:t>32</w:t>
        </w:r>
        <w:r>
          <w:rPr>
            <w:noProof/>
            <w:webHidden/>
          </w:rPr>
          <w:fldChar w:fldCharType="end"/>
        </w:r>
      </w:hyperlink>
    </w:p>
    <w:p w:rsidR="00F81B0D" w:rsidRPr="00F81B0D" w:rsidRDefault="00F81B0D" w:rsidP="00F81B0D">
      <w:pPr>
        <w:rPr>
          <w:rFonts w:eastAsiaTheme="minorEastAsia"/>
        </w:rPr>
      </w:pPr>
    </w:p>
    <w:p w:rsidR="00F81B0D" w:rsidRDefault="00F81B0D">
      <w:pPr>
        <w:pStyle w:val="TOC1"/>
        <w:rPr>
          <w:rStyle w:val="Hyperlink"/>
        </w:rPr>
      </w:pPr>
      <w:hyperlink w:anchor="_Toc274485458" w:history="1">
        <w:r w:rsidRPr="00BE277E">
          <w:rPr>
            <w:rStyle w:val="Hyperlink"/>
            <w:lang w:val="en-US"/>
          </w:rPr>
          <w:t>References</w:t>
        </w:r>
        <w:r>
          <w:rPr>
            <w:webHidden/>
          </w:rPr>
          <w:tab/>
        </w:r>
        <w:r>
          <w:rPr>
            <w:webHidden/>
          </w:rPr>
          <w:fldChar w:fldCharType="begin"/>
        </w:r>
        <w:r>
          <w:rPr>
            <w:webHidden/>
          </w:rPr>
          <w:instrText xml:space="preserve"> PAGEREF _Toc274485458 \h </w:instrText>
        </w:r>
        <w:r>
          <w:rPr>
            <w:webHidden/>
          </w:rPr>
        </w:r>
        <w:r>
          <w:rPr>
            <w:webHidden/>
          </w:rPr>
          <w:fldChar w:fldCharType="separate"/>
        </w:r>
        <w:r w:rsidR="00437F6B">
          <w:rPr>
            <w:webHidden/>
          </w:rPr>
          <w:t>32</w:t>
        </w:r>
        <w:r>
          <w:rPr>
            <w:webHidden/>
          </w:rPr>
          <w:fldChar w:fldCharType="end"/>
        </w:r>
      </w:hyperlink>
    </w:p>
    <w:p w:rsidR="00F81B0D" w:rsidRPr="00F81B0D" w:rsidRDefault="00F81B0D" w:rsidP="00F81B0D">
      <w:pPr>
        <w:rPr>
          <w:rFonts w:eastAsiaTheme="minorEastAsia"/>
          <w:lang w:val="en-GB"/>
        </w:rPr>
      </w:pPr>
    </w:p>
    <w:p w:rsidR="00F81B0D" w:rsidRDefault="00F81B0D">
      <w:pPr>
        <w:pStyle w:val="TOC1"/>
        <w:rPr>
          <w:rFonts w:asciiTheme="minorHAnsi" w:eastAsiaTheme="minorEastAsia" w:hAnsiTheme="minorHAnsi" w:cstheme="minorBidi"/>
          <w:b w:val="0"/>
          <w:sz w:val="22"/>
          <w:szCs w:val="22"/>
          <w:lang w:val="nl-NL" w:eastAsia="nl-NL" w:bidi="ar-SA"/>
        </w:rPr>
      </w:pPr>
      <w:hyperlink w:anchor="_Toc274485459" w:history="1">
        <w:r w:rsidRPr="00BE277E">
          <w:rPr>
            <w:rStyle w:val="Hyperlink"/>
          </w:rPr>
          <w:t>Appendix A</w:t>
        </w:r>
        <w:r>
          <w:rPr>
            <w:webHidden/>
          </w:rPr>
          <w:tab/>
        </w:r>
        <w:r>
          <w:rPr>
            <w:webHidden/>
          </w:rPr>
          <w:fldChar w:fldCharType="begin"/>
        </w:r>
        <w:r>
          <w:rPr>
            <w:webHidden/>
          </w:rPr>
          <w:instrText xml:space="preserve"> PAGEREF _Toc274485459 \h </w:instrText>
        </w:r>
        <w:r>
          <w:rPr>
            <w:webHidden/>
          </w:rPr>
        </w:r>
        <w:r>
          <w:rPr>
            <w:webHidden/>
          </w:rPr>
          <w:fldChar w:fldCharType="separate"/>
        </w:r>
        <w:r w:rsidR="00437F6B">
          <w:rPr>
            <w:webHidden/>
          </w:rPr>
          <w:t>32</w:t>
        </w:r>
        <w:r>
          <w:rPr>
            <w:webHidden/>
          </w:rPr>
          <w:fldChar w:fldCharType="end"/>
        </w:r>
      </w:hyperlink>
    </w:p>
    <w:p w:rsidR="00F81B0D" w:rsidRDefault="00F81B0D">
      <w:pPr>
        <w:pStyle w:val="TOC1"/>
        <w:rPr>
          <w:rFonts w:asciiTheme="minorHAnsi" w:eastAsiaTheme="minorEastAsia" w:hAnsiTheme="minorHAnsi" w:cstheme="minorBidi"/>
          <w:b w:val="0"/>
          <w:sz w:val="22"/>
          <w:szCs w:val="22"/>
          <w:lang w:val="nl-NL" w:eastAsia="nl-NL" w:bidi="ar-SA"/>
        </w:rPr>
      </w:pPr>
      <w:hyperlink w:anchor="_Toc274485460" w:history="1">
        <w:r w:rsidRPr="00BE277E">
          <w:rPr>
            <w:rStyle w:val="Hyperlink"/>
          </w:rPr>
          <w:t>Appendix B</w:t>
        </w:r>
        <w:r>
          <w:rPr>
            <w:webHidden/>
          </w:rPr>
          <w:tab/>
        </w:r>
        <w:r>
          <w:rPr>
            <w:webHidden/>
          </w:rPr>
          <w:fldChar w:fldCharType="begin"/>
        </w:r>
        <w:r>
          <w:rPr>
            <w:webHidden/>
          </w:rPr>
          <w:instrText xml:space="preserve"> PAGEREF _Toc274485460 \h </w:instrText>
        </w:r>
        <w:r>
          <w:rPr>
            <w:webHidden/>
          </w:rPr>
        </w:r>
        <w:r>
          <w:rPr>
            <w:webHidden/>
          </w:rPr>
          <w:fldChar w:fldCharType="separate"/>
        </w:r>
        <w:r w:rsidR="00437F6B">
          <w:rPr>
            <w:webHidden/>
          </w:rPr>
          <w:t>32</w:t>
        </w:r>
        <w:r>
          <w:rPr>
            <w:webHidden/>
          </w:rPr>
          <w:fldChar w:fldCharType="end"/>
        </w:r>
      </w:hyperlink>
    </w:p>
    <w:p w:rsidR="006014C4" w:rsidRDefault="006D6941" w:rsidP="004730AB">
      <w:pPr>
        <w:pStyle w:val="TOC1"/>
        <w:sectPr w:rsidR="006014C4" w:rsidSect="006014C4">
          <w:headerReference w:type="default" r:id="rId13"/>
          <w:footerReference w:type="default" r:id="rId14"/>
          <w:pgSz w:w="11907" w:h="16840" w:code="9"/>
          <w:pgMar w:top="1418" w:right="1418" w:bottom="1418" w:left="1418" w:header="709" w:footer="709" w:gutter="0"/>
          <w:cols w:space="708"/>
          <w:docGrid w:linePitch="360"/>
        </w:sectPr>
      </w:pPr>
      <w:r w:rsidRPr="006A75D7">
        <w:fldChar w:fldCharType="end"/>
      </w:r>
      <w:bookmarkStart w:id="2" w:name="_Toc223236581"/>
      <w:r w:rsidR="004730AB">
        <w:br w:type="page"/>
      </w:r>
    </w:p>
    <w:p w:rsidR="00977FC8" w:rsidRDefault="00977FC8" w:rsidP="006B6B83">
      <w:pPr>
        <w:pStyle w:val="Heading1"/>
        <w:rPr>
          <w:lang w:val="en-GB"/>
        </w:rPr>
      </w:pPr>
      <w:bookmarkStart w:id="3" w:name="_Toc274485425"/>
      <w:r w:rsidRPr="006A75D7">
        <w:rPr>
          <w:lang w:val="en-GB"/>
        </w:rPr>
        <w:lastRenderedPageBreak/>
        <w:t>Introduction</w:t>
      </w:r>
      <w:bookmarkEnd w:id="2"/>
      <w:bookmarkEnd w:id="3"/>
    </w:p>
    <w:p w:rsidR="00977FC8" w:rsidRPr="006A75D7" w:rsidRDefault="00977FC8" w:rsidP="006B6B83">
      <w:pPr>
        <w:pStyle w:val="Heading2"/>
      </w:pPr>
      <w:bookmarkStart w:id="4" w:name="_Toc223236582"/>
      <w:bookmarkStart w:id="5" w:name="_Toc274485426"/>
      <w:r>
        <w:t>Problem statement</w:t>
      </w:r>
      <w:bookmarkEnd w:id="4"/>
      <w:bookmarkEnd w:id="5"/>
    </w:p>
    <w:p w:rsidR="00977FC8" w:rsidRDefault="00977FC8" w:rsidP="005718CA">
      <w:pPr>
        <w:autoSpaceDE w:val="0"/>
        <w:autoSpaceDN w:val="0"/>
        <w:adjustRightInd w:val="0"/>
        <w:rPr>
          <w:rFonts w:cs="Arial"/>
          <w:lang w:val="en-GB" w:eastAsia="en-US" w:bidi="ar-SA"/>
        </w:rPr>
      </w:pPr>
      <w:r>
        <w:rPr>
          <w:rFonts w:cs="Arial"/>
          <w:lang w:val="en-GB" w:eastAsia="en-US" w:bidi="ar-SA"/>
        </w:rPr>
        <w:t xml:space="preserve">Stock-based compensation, like </w:t>
      </w:r>
      <w:r w:rsidR="00504FDA">
        <w:rPr>
          <w:rFonts w:cs="Arial"/>
          <w:lang w:val="en-GB" w:eastAsia="en-US" w:bidi="ar-SA"/>
        </w:rPr>
        <w:t>stock options and shares</w:t>
      </w:r>
      <w:r>
        <w:rPr>
          <w:rFonts w:cs="Arial"/>
          <w:lang w:val="en-GB" w:eastAsia="en-US" w:bidi="ar-SA"/>
        </w:rPr>
        <w:t xml:space="preserve"> for example, </w:t>
      </w:r>
      <w:r w:rsidR="00814C95">
        <w:rPr>
          <w:rFonts w:cs="Arial"/>
          <w:lang w:val="en-GB" w:eastAsia="en-US" w:bidi="ar-SA"/>
        </w:rPr>
        <w:t>has been</w:t>
      </w:r>
      <w:r>
        <w:rPr>
          <w:rFonts w:cs="Arial"/>
          <w:lang w:val="en-GB" w:eastAsia="en-US" w:bidi="ar-SA"/>
        </w:rPr>
        <w:t xml:space="preserve"> </w:t>
      </w:r>
      <w:r w:rsidR="00043413">
        <w:rPr>
          <w:rFonts w:cs="Arial"/>
          <w:lang w:val="en-GB" w:eastAsia="en-US" w:bidi="ar-SA"/>
        </w:rPr>
        <w:t>frequently</w:t>
      </w:r>
      <w:r>
        <w:rPr>
          <w:rFonts w:cs="Arial"/>
          <w:lang w:val="en-GB" w:eastAsia="en-US" w:bidi="ar-SA"/>
        </w:rPr>
        <w:t xml:space="preserve"> in the news </w:t>
      </w:r>
      <w:r w:rsidR="00043413">
        <w:rPr>
          <w:rFonts w:cs="Arial"/>
          <w:lang w:val="en-GB" w:eastAsia="en-US" w:bidi="ar-SA"/>
        </w:rPr>
        <w:t xml:space="preserve">the </w:t>
      </w:r>
      <w:r>
        <w:rPr>
          <w:rFonts w:cs="Arial"/>
          <w:lang w:val="en-GB" w:eastAsia="en-US" w:bidi="ar-SA"/>
        </w:rPr>
        <w:t>last</w:t>
      </w:r>
      <w:r w:rsidR="00043413">
        <w:rPr>
          <w:rFonts w:cs="Arial"/>
          <w:lang w:val="en-GB" w:eastAsia="en-US" w:bidi="ar-SA"/>
        </w:rPr>
        <w:t xml:space="preserve"> couple of</w:t>
      </w:r>
      <w:r>
        <w:rPr>
          <w:rFonts w:cs="Arial"/>
          <w:lang w:val="en-GB" w:eastAsia="en-US" w:bidi="ar-SA"/>
        </w:rPr>
        <w:t xml:space="preserve"> year</w:t>
      </w:r>
      <w:r w:rsidR="00043413">
        <w:rPr>
          <w:rFonts w:cs="Arial"/>
          <w:lang w:val="en-GB" w:eastAsia="en-US" w:bidi="ar-SA"/>
        </w:rPr>
        <w:t>s</w:t>
      </w:r>
      <w:r>
        <w:rPr>
          <w:rFonts w:cs="Arial"/>
          <w:lang w:val="en-GB" w:eastAsia="en-US" w:bidi="ar-SA"/>
        </w:rPr>
        <w:t xml:space="preserve">. </w:t>
      </w:r>
      <w:r w:rsidR="00E644D5">
        <w:rPr>
          <w:rFonts w:cs="Arial"/>
          <w:lang w:val="en-GB" w:eastAsia="en-US" w:bidi="ar-SA"/>
        </w:rPr>
        <w:t>Des</w:t>
      </w:r>
      <w:r w:rsidR="00E0378D">
        <w:rPr>
          <w:rFonts w:cs="Arial"/>
          <w:lang w:val="en-GB" w:eastAsia="en-US" w:bidi="ar-SA"/>
        </w:rPr>
        <w:t>pite the credit crunch,</w:t>
      </w:r>
      <w:r>
        <w:rPr>
          <w:rFonts w:cs="Arial"/>
          <w:lang w:val="en-GB" w:eastAsia="en-US" w:bidi="ar-SA"/>
        </w:rPr>
        <w:t xml:space="preserve"> the </w:t>
      </w:r>
      <w:r w:rsidR="00E0378D">
        <w:rPr>
          <w:rFonts w:cs="Arial"/>
          <w:lang w:val="en-GB" w:eastAsia="en-US" w:bidi="ar-SA"/>
        </w:rPr>
        <w:t>global</w:t>
      </w:r>
      <w:r>
        <w:rPr>
          <w:rFonts w:cs="Arial"/>
          <w:lang w:val="en-GB" w:eastAsia="en-US" w:bidi="ar-SA"/>
        </w:rPr>
        <w:t xml:space="preserve"> financial crisis</w:t>
      </w:r>
      <w:r w:rsidR="00E0378D">
        <w:rPr>
          <w:rFonts w:cs="Arial"/>
          <w:lang w:val="en-GB" w:eastAsia="en-US" w:bidi="ar-SA"/>
        </w:rPr>
        <w:t xml:space="preserve"> and the following economic recession</w:t>
      </w:r>
      <w:r>
        <w:rPr>
          <w:rFonts w:cs="Arial"/>
          <w:lang w:val="en-GB" w:eastAsia="en-US" w:bidi="ar-SA"/>
        </w:rPr>
        <w:t xml:space="preserve">, a lot of companies, also financial institutions, gave their executives big bonuses. </w:t>
      </w:r>
      <w:r w:rsidR="00E644D5">
        <w:rPr>
          <w:rFonts w:cs="Arial"/>
          <w:lang w:val="en-GB" w:eastAsia="en-US" w:bidi="ar-SA"/>
        </w:rPr>
        <w:t>There were</w:t>
      </w:r>
      <w:r>
        <w:rPr>
          <w:rFonts w:cs="Arial"/>
          <w:lang w:val="en-GB" w:eastAsia="en-US" w:bidi="ar-SA"/>
        </w:rPr>
        <w:t xml:space="preserve"> people</w:t>
      </w:r>
      <w:r w:rsidR="00E644D5">
        <w:rPr>
          <w:rFonts w:cs="Arial"/>
          <w:lang w:val="en-GB" w:eastAsia="en-US" w:bidi="ar-SA"/>
        </w:rPr>
        <w:t xml:space="preserve"> who even</w:t>
      </w:r>
      <w:r>
        <w:rPr>
          <w:rFonts w:cs="Arial"/>
          <w:lang w:val="en-GB" w:eastAsia="en-US" w:bidi="ar-SA"/>
        </w:rPr>
        <w:t xml:space="preserve"> argued that executives should hand in their bonuses, because they </w:t>
      </w:r>
      <w:r w:rsidR="00E644D5">
        <w:rPr>
          <w:rFonts w:cs="Arial"/>
          <w:lang w:val="en-GB" w:eastAsia="en-US" w:bidi="ar-SA"/>
        </w:rPr>
        <w:t xml:space="preserve">thought executives </w:t>
      </w:r>
      <w:r>
        <w:rPr>
          <w:rFonts w:cs="Arial"/>
          <w:lang w:val="en-GB" w:eastAsia="en-US" w:bidi="ar-SA"/>
        </w:rPr>
        <w:t xml:space="preserve">are responsible for the bad performances. </w:t>
      </w:r>
      <w:r w:rsidR="00937337">
        <w:rPr>
          <w:rFonts w:cs="Arial"/>
          <w:lang w:val="en-GB" w:eastAsia="en-US" w:bidi="ar-SA"/>
        </w:rPr>
        <w:t>Moreover here were companies who</w:t>
      </w:r>
      <w:r>
        <w:rPr>
          <w:rFonts w:cs="Arial"/>
          <w:lang w:val="en-GB" w:eastAsia="en-US" w:bidi="ar-SA"/>
        </w:rPr>
        <w:t xml:space="preserve"> asked their employees to hand in their bonuses, and in the United States, the House passed legislation that significantly controls bonuses for employees of financial institutions who received support from the government’s financial rescue program</w:t>
      </w:r>
      <w:r>
        <w:rPr>
          <w:rStyle w:val="FootnoteReference"/>
          <w:lang w:val="en-GB" w:eastAsia="en-US" w:bidi="ar-SA"/>
        </w:rPr>
        <w:footnoteReference w:id="1"/>
      </w:r>
      <w:r>
        <w:rPr>
          <w:rFonts w:cs="Arial"/>
          <w:lang w:val="en-GB" w:eastAsia="en-US" w:bidi="ar-SA"/>
        </w:rPr>
        <w:t xml:space="preserve">. </w:t>
      </w:r>
      <w:r w:rsidR="00E644D5">
        <w:rPr>
          <w:rFonts w:cs="Arial"/>
          <w:lang w:val="en-GB" w:eastAsia="en-US" w:bidi="ar-SA"/>
        </w:rPr>
        <w:t xml:space="preserve">For employees who earn more than $ 250,000, a 90% surtax is granted on their bonuses. </w:t>
      </w:r>
      <w:r>
        <w:rPr>
          <w:rFonts w:cs="Arial"/>
          <w:lang w:val="en-GB" w:eastAsia="en-US" w:bidi="ar-SA"/>
        </w:rPr>
        <w:t>This example</w:t>
      </w:r>
      <w:r w:rsidRPr="007C484B">
        <w:rPr>
          <w:rFonts w:cs="Arial"/>
          <w:lang w:val="en-GB" w:eastAsia="en-US" w:bidi="ar-SA"/>
        </w:rPr>
        <w:t xml:space="preserve"> shows the importance of variable compensation, and especially stock-based compensation, in today’s world. </w:t>
      </w:r>
    </w:p>
    <w:p w:rsidR="00977FC8" w:rsidRDefault="00977FC8" w:rsidP="005718CA">
      <w:pPr>
        <w:autoSpaceDE w:val="0"/>
        <w:autoSpaceDN w:val="0"/>
        <w:adjustRightInd w:val="0"/>
        <w:rPr>
          <w:rFonts w:cs="Arial"/>
          <w:lang w:val="en-GB" w:eastAsia="en-US" w:bidi="ar-SA"/>
        </w:rPr>
      </w:pPr>
    </w:p>
    <w:p w:rsidR="00937337" w:rsidRPr="007C484B" w:rsidRDefault="00937337" w:rsidP="00937337">
      <w:pPr>
        <w:autoSpaceDE w:val="0"/>
        <w:autoSpaceDN w:val="0"/>
        <w:adjustRightInd w:val="0"/>
        <w:rPr>
          <w:rFonts w:cs="Arial"/>
          <w:lang w:val="en-GB" w:eastAsia="en-US" w:bidi="ar-SA"/>
        </w:rPr>
      </w:pPr>
      <w:r w:rsidRPr="007C484B">
        <w:rPr>
          <w:rFonts w:cs="Arial"/>
          <w:lang w:val="en-GB" w:eastAsia="en-US" w:bidi="ar-SA"/>
        </w:rPr>
        <w:t xml:space="preserve">The past two decades have shown an enormous increase in stock-based compensation. The most </w:t>
      </w:r>
      <w:r>
        <w:rPr>
          <w:rFonts w:cs="Arial"/>
          <w:lang w:val="en-GB" w:eastAsia="en-US" w:bidi="ar-SA"/>
        </w:rPr>
        <w:t>important</w:t>
      </w:r>
      <w:r w:rsidRPr="007C484B">
        <w:rPr>
          <w:rFonts w:cs="Arial"/>
          <w:lang w:val="en-GB" w:eastAsia="en-US" w:bidi="ar-SA"/>
        </w:rPr>
        <w:t xml:space="preserve"> reason why managers nowadays have relatively large stock-based compensation packages is that it </w:t>
      </w:r>
      <w:r>
        <w:rPr>
          <w:rFonts w:cs="Arial"/>
          <w:lang w:val="en-GB" w:eastAsia="en-US" w:bidi="ar-SA"/>
        </w:rPr>
        <w:t xml:space="preserve">should </w:t>
      </w:r>
      <w:r w:rsidRPr="007C484B">
        <w:rPr>
          <w:rFonts w:cs="Arial"/>
          <w:lang w:val="en-GB" w:eastAsia="en-US" w:bidi="ar-SA"/>
        </w:rPr>
        <w:t xml:space="preserve">align managers’ aims </w:t>
      </w:r>
      <w:r>
        <w:rPr>
          <w:rFonts w:cs="Arial"/>
          <w:lang w:val="en-GB" w:eastAsia="en-US" w:bidi="ar-SA"/>
        </w:rPr>
        <w:t>with</w:t>
      </w:r>
      <w:r w:rsidRPr="007C484B">
        <w:rPr>
          <w:rFonts w:cs="Arial"/>
          <w:lang w:val="en-GB" w:eastAsia="en-US" w:bidi="ar-SA"/>
        </w:rPr>
        <w:t xml:space="preserve"> the aims of stakeholders. </w:t>
      </w:r>
    </w:p>
    <w:p w:rsidR="00977FC8" w:rsidRPr="006B6B83" w:rsidRDefault="00977FC8" w:rsidP="00330F57">
      <w:pPr>
        <w:autoSpaceDE w:val="0"/>
        <w:autoSpaceDN w:val="0"/>
        <w:adjustRightInd w:val="0"/>
        <w:rPr>
          <w:rFonts w:cs="Arial"/>
          <w:lang w:val="en-GB" w:eastAsia="en-US" w:bidi="ar-SA"/>
        </w:rPr>
      </w:pPr>
      <w:r w:rsidRPr="006B6B83">
        <w:rPr>
          <w:rFonts w:cs="Arial"/>
          <w:lang w:val="en-GB" w:eastAsia="en-US" w:bidi="ar-SA"/>
        </w:rPr>
        <w:t xml:space="preserve">After two decades </w:t>
      </w:r>
      <w:r>
        <w:rPr>
          <w:rFonts w:cs="Arial"/>
          <w:lang w:val="en-GB" w:eastAsia="en-US" w:bidi="ar-SA"/>
        </w:rPr>
        <w:t xml:space="preserve">it seems </w:t>
      </w:r>
      <w:r w:rsidR="00937337">
        <w:rPr>
          <w:rFonts w:cs="Arial"/>
          <w:lang w:val="en-GB" w:eastAsia="en-US" w:bidi="ar-SA"/>
        </w:rPr>
        <w:t xml:space="preserve">however, </w:t>
      </w:r>
      <w:r>
        <w:rPr>
          <w:rFonts w:cs="Arial"/>
          <w:lang w:val="en-GB" w:eastAsia="en-US" w:bidi="ar-SA"/>
        </w:rPr>
        <w:t xml:space="preserve">that </w:t>
      </w:r>
      <w:r w:rsidRPr="006B6B83">
        <w:rPr>
          <w:rFonts w:cs="Arial"/>
          <w:lang w:val="en-GB" w:eastAsia="en-US" w:bidi="ar-SA"/>
        </w:rPr>
        <w:t xml:space="preserve">stock-based compensation </w:t>
      </w:r>
      <w:r>
        <w:rPr>
          <w:rFonts w:cs="Arial"/>
          <w:lang w:val="en-GB" w:eastAsia="en-US" w:bidi="ar-SA"/>
        </w:rPr>
        <w:t>has</w:t>
      </w:r>
      <w:r w:rsidRPr="006B6B83">
        <w:rPr>
          <w:rFonts w:cs="Arial"/>
          <w:lang w:val="en-GB" w:eastAsia="en-US" w:bidi="ar-SA"/>
        </w:rPr>
        <w:t xml:space="preserve"> a short-term perspective. Remuneration systems are </w:t>
      </w:r>
      <w:r w:rsidR="00937337">
        <w:rPr>
          <w:rFonts w:cs="Arial"/>
          <w:lang w:val="en-GB" w:eastAsia="en-US" w:bidi="ar-SA"/>
        </w:rPr>
        <w:t>working as they were designed to do. Therefore</w:t>
      </w:r>
      <w:r w:rsidRPr="006B6B83">
        <w:rPr>
          <w:rFonts w:cs="Arial"/>
          <w:lang w:val="en-GB" w:eastAsia="en-US" w:bidi="ar-SA"/>
        </w:rPr>
        <w:t xml:space="preserve"> they do not manage to align the interest of management with shareholders (O’Connell and </w:t>
      </w:r>
      <w:r w:rsidRPr="006B6B83">
        <w:rPr>
          <w:lang w:val="en-GB"/>
        </w:rPr>
        <w:t>Brendan</w:t>
      </w:r>
      <w:r w:rsidRPr="006B6B83">
        <w:rPr>
          <w:rFonts w:cs="Arial"/>
          <w:lang w:val="en-GB" w:eastAsia="en-US" w:bidi="ar-SA"/>
        </w:rPr>
        <w:t xml:space="preserve"> 2004). </w:t>
      </w:r>
      <w:r>
        <w:rPr>
          <w:rFonts w:cs="Arial"/>
          <w:lang w:val="en-GB" w:eastAsia="en-US" w:bidi="ar-SA"/>
        </w:rPr>
        <w:t>O’Connell and Brendan argue that, i</w:t>
      </w:r>
      <w:r w:rsidRPr="006B6B83">
        <w:rPr>
          <w:rFonts w:cs="Arial"/>
          <w:lang w:val="en-GB" w:eastAsia="en-US" w:bidi="ar-SA"/>
        </w:rPr>
        <w:t xml:space="preserve">n a </w:t>
      </w:r>
      <w:r w:rsidR="00937337">
        <w:rPr>
          <w:rFonts w:cs="Arial"/>
          <w:lang w:val="en-GB" w:eastAsia="en-US" w:bidi="ar-SA"/>
        </w:rPr>
        <w:t xml:space="preserve">society </w:t>
      </w:r>
      <w:r w:rsidRPr="006B6B83">
        <w:rPr>
          <w:rFonts w:cs="Arial"/>
          <w:lang w:val="en-GB" w:eastAsia="en-US" w:bidi="ar-SA"/>
        </w:rPr>
        <w:t xml:space="preserve">where CEO’s </w:t>
      </w:r>
      <w:r w:rsidR="00937337">
        <w:rPr>
          <w:rFonts w:cs="Arial"/>
          <w:lang w:val="en-GB" w:eastAsia="en-US" w:bidi="ar-SA"/>
        </w:rPr>
        <w:t>on average work four years for the same company</w:t>
      </w:r>
      <w:r w:rsidRPr="006B6B83">
        <w:rPr>
          <w:rFonts w:cs="Arial"/>
          <w:lang w:val="en-GB" w:eastAsia="en-US" w:bidi="ar-SA"/>
        </w:rPr>
        <w:t xml:space="preserve">, managers </w:t>
      </w:r>
      <w:r w:rsidR="00937337">
        <w:rPr>
          <w:rFonts w:cs="Arial"/>
          <w:lang w:val="en-GB" w:eastAsia="en-US" w:bidi="ar-SA"/>
        </w:rPr>
        <w:t>try</w:t>
      </w:r>
      <w:r w:rsidRPr="006B6B83">
        <w:rPr>
          <w:rFonts w:cs="Arial"/>
          <w:lang w:val="en-GB" w:eastAsia="en-US" w:bidi="ar-SA"/>
        </w:rPr>
        <w:t xml:space="preserve"> to appease the market through a variety of devices that ensure rising short-term stock prices. </w:t>
      </w:r>
      <w:r w:rsidR="00937337">
        <w:rPr>
          <w:rFonts w:cs="Arial"/>
          <w:lang w:val="en-GB" w:eastAsia="en-US" w:bidi="ar-SA"/>
        </w:rPr>
        <w:t xml:space="preserve">With these devices they mean, among other thing, </w:t>
      </w:r>
      <w:r w:rsidRPr="006B6B83">
        <w:rPr>
          <w:rFonts w:cs="Arial"/>
          <w:lang w:val="en-GB" w:eastAsia="en-US" w:bidi="ar-SA"/>
        </w:rPr>
        <w:t xml:space="preserve">earnings management practices to ensure steadily rising earnings that appease </w:t>
      </w:r>
      <w:r w:rsidR="00937337">
        <w:rPr>
          <w:rFonts w:cs="Arial"/>
          <w:lang w:val="en-GB" w:eastAsia="en-US" w:bidi="ar-SA"/>
        </w:rPr>
        <w:t>forecasts of the market</w:t>
      </w:r>
      <w:r w:rsidRPr="006B6B83">
        <w:rPr>
          <w:rFonts w:cs="Arial"/>
          <w:lang w:val="en-GB" w:eastAsia="en-US" w:bidi="ar-SA"/>
        </w:rPr>
        <w:t>.</w:t>
      </w:r>
    </w:p>
    <w:p w:rsidR="00977FC8" w:rsidRDefault="00977FC8" w:rsidP="006B6B83">
      <w:pPr>
        <w:autoSpaceDE w:val="0"/>
        <w:autoSpaceDN w:val="0"/>
        <w:adjustRightInd w:val="0"/>
        <w:rPr>
          <w:rFonts w:cs="Arial"/>
          <w:lang w:val="en-GB" w:eastAsia="en-US" w:bidi="ar-SA"/>
        </w:rPr>
      </w:pPr>
      <w:r w:rsidRPr="006B6B83">
        <w:rPr>
          <w:rFonts w:cs="Arial"/>
          <w:lang w:val="en-GB" w:eastAsia="en-US" w:bidi="ar-SA"/>
        </w:rPr>
        <w:lastRenderedPageBreak/>
        <w:t xml:space="preserve">On the other hand, Ronen and Yaari (2008) </w:t>
      </w:r>
      <w:r w:rsidR="00181583">
        <w:rPr>
          <w:rFonts w:cs="Arial"/>
          <w:lang w:val="en-GB" w:eastAsia="en-US" w:bidi="ar-SA"/>
        </w:rPr>
        <w:t xml:space="preserve">say it is difficult to make a profit in the future when the market price is only rising. Therefore, Ronen and Yaari say long-term earnings management should aim at deflating earnings. </w:t>
      </w:r>
      <w:r w:rsidRPr="006B6B83">
        <w:rPr>
          <w:rFonts w:cs="Arial"/>
          <w:lang w:val="en-GB" w:eastAsia="en-US" w:bidi="ar-SA"/>
        </w:rPr>
        <w:t xml:space="preserve">Although the opinions differ, </w:t>
      </w:r>
      <w:r w:rsidR="005D2F79">
        <w:rPr>
          <w:rFonts w:cs="Arial"/>
          <w:lang w:val="en-GB" w:eastAsia="en-US" w:bidi="ar-SA"/>
        </w:rPr>
        <w:t xml:space="preserve">it is, in regard to this study, </w:t>
      </w:r>
      <w:r w:rsidRPr="006B6B83">
        <w:rPr>
          <w:rFonts w:cs="Arial"/>
          <w:lang w:val="en-GB" w:eastAsia="en-US" w:bidi="ar-SA"/>
        </w:rPr>
        <w:t>assume</w:t>
      </w:r>
      <w:r w:rsidR="005D2F79">
        <w:rPr>
          <w:rFonts w:cs="Arial"/>
          <w:lang w:val="en-GB" w:eastAsia="en-US" w:bidi="ar-SA"/>
        </w:rPr>
        <w:t>d that</w:t>
      </w:r>
      <w:r w:rsidRPr="006B6B83">
        <w:rPr>
          <w:rFonts w:cs="Arial"/>
          <w:lang w:val="en-GB" w:eastAsia="en-US" w:bidi="ar-SA"/>
        </w:rPr>
        <w:t xml:space="preserve"> equity-based compensation creates short-term incentives for managers to manage earnings.</w:t>
      </w:r>
    </w:p>
    <w:p w:rsidR="00977FC8" w:rsidRDefault="00977FC8" w:rsidP="006B6B83">
      <w:pPr>
        <w:autoSpaceDE w:val="0"/>
        <w:autoSpaceDN w:val="0"/>
        <w:adjustRightInd w:val="0"/>
        <w:rPr>
          <w:rFonts w:cs="Arial"/>
          <w:lang w:val="en-GB" w:eastAsia="en-US" w:bidi="ar-SA"/>
        </w:rPr>
      </w:pPr>
    </w:p>
    <w:p w:rsidR="00977FC8" w:rsidRPr="006A75D7" w:rsidRDefault="006A1F86" w:rsidP="006B6B83">
      <w:pPr>
        <w:autoSpaceDE w:val="0"/>
        <w:autoSpaceDN w:val="0"/>
        <w:adjustRightInd w:val="0"/>
        <w:rPr>
          <w:rFonts w:cs="Arial"/>
          <w:lang w:val="en-GB" w:eastAsia="en-US" w:bidi="ar-SA"/>
        </w:rPr>
      </w:pPr>
      <w:r>
        <w:rPr>
          <w:lang w:val="en-GB"/>
        </w:rPr>
        <w:t>L</w:t>
      </w:r>
      <w:r w:rsidR="00977FC8" w:rsidRPr="00493A4A">
        <w:rPr>
          <w:lang w:val="en-GB"/>
        </w:rPr>
        <w:t xml:space="preserve">iterature divides compensation contracts for managers into three categories; </w:t>
      </w:r>
      <w:r w:rsidR="00977FC8" w:rsidRPr="00493A4A">
        <w:rPr>
          <w:rFonts w:cs="Arial"/>
          <w:lang w:val="en-GB" w:eastAsia="en-US" w:bidi="ar-SA"/>
        </w:rPr>
        <w:t>fixed salaries, bonuses and stock-based compensation</w:t>
      </w:r>
      <w:r w:rsidR="00977FC8" w:rsidRPr="00493A4A">
        <w:rPr>
          <w:lang w:val="en-GB"/>
        </w:rPr>
        <w:t xml:space="preserve"> (Merchant and </w:t>
      </w:r>
      <w:r w:rsidR="00525352">
        <w:rPr>
          <w:lang w:val="en-GB"/>
        </w:rPr>
        <w:t>Van der Stede</w:t>
      </w:r>
      <w:r w:rsidR="00977FC8" w:rsidRPr="00493A4A">
        <w:rPr>
          <w:lang w:val="en-GB"/>
        </w:rPr>
        <w:t xml:space="preserve"> 2007). </w:t>
      </w:r>
      <w:r w:rsidR="00977FC8" w:rsidRPr="00493A4A">
        <w:rPr>
          <w:rFonts w:cs="Arial"/>
          <w:lang w:val="en-GB" w:eastAsia="en-US" w:bidi="ar-SA"/>
        </w:rPr>
        <w:t xml:space="preserve">Gao and Shrieves (2002) </w:t>
      </w:r>
      <w:r w:rsidR="00977FC8">
        <w:rPr>
          <w:rFonts w:cs="Arial"/>
          <w:lang w:val="en-GB" w:eastAsia="en-US" w:bidi="ar-SA"/>
        </w:rPr>
        <w:t>say</w:t>
      </w:r>
      <w:r w:rsidR="00977FC8" w:rsidRPr="00493A4A">
        <w:rPr>
          <w:rFonts w:cs="Arial"/>
          <w:lang w:val="en-GB" w:eastAsia="en-US" w:bidi="ar-SA"/>
        </w:rPr>
        <w:t xml:space="preserve"> that, in contrast to</w:t>
      </w:r>
      <w:r w:rsidR="00977FC8" w:rsidRPr="006A75D7">
        <w:rPr>
          <w:rFonts w:cs="Arial"/>
          <w:lang w:val="en-GB" w:eastAsia="en-US" w:bidi="ar-SA"/>
        </w:rPr>
        <w:t xml:space="preserve"> salary, the size of stock options and bonuses is positively related to the </w:t>
      </w:r>
      <w:r w:rsidR="00181583">
        <w:rPr>
          <w:rFonts w:cs="Arial"/>
          <w:lang w:val="en-GB" w:eastAsia="en-US" w:bidi="ar-SA"/>
        </w:rPr>
        <w:t xml:space="preserve">use discretionary accruals as a tool for earnings management. </w:t>
      </w:r>
      <w:r>
        <w:rPr>
          <w:lang w:val="en-GB"/>
        </w:rPr>
        <w:t xml:space="preserve">According to Murphy (1999) </w:t>
      </w:r>
      <w:r w:rsidR="00181583">
        <w:rPr>
          <w:lang w:val="en-GB"/>
        </w:rPr>
        <w:t xml:space="preserve">in the eighties and nineties of the last century the main development in executive compensation was </w:t>
      </w:r>
      <w:r>
        <w:rPr>
          <w:lang w:val="en-GB"/>
        </w:rPr>
        <w:t>stock-based compensation.</w:t>
      </w:r>
    </w:p>
    <w:p w:rsidR="00977FC8" w:rsidRPr="006A75D7" w:rsidRDefault="00977FC8" w:rsidP="006B6B83">
      <w:pPr>
        <w:pStyle w:val="Heading2"/>
      </w:pPr>
      <w:bookmarkStart w:id="6" w:name="_Toc223236583"/>
      <w:bookmarkStart w:id="7" w:name="_Toc274485427"/>
      <w:r w:rsidRPr="006A75D7">
        <w:t>Research question</w:t>
      </w:r>
      <w:bookmarkEnd w:id="6"/>
      <w:bookmarkEnd w:id="7"/>
    </w:p>
    <w:p w:rsidR="007C73A9" w:rsidRDefault="00977FC8" w:rsidP="006B6B83">
      <w:pPr>
        <w:rPr>
          <w:rFonts w:cs="Arial"/>
          <w:lang w:val="en-GB" w:eastAsia="en-US" w:bidi="ar-SA"/>
        </w:rPr>
      </w:pPr>
      <w:r w:rsidRPr="006B6B83">
        <w:rPr>
          <w:rFonts w:cs="Arial"/>
          <w:lang w:val="en-GB" w:eastAsia="en-US" w:bidi="ar-SA"/>
        </w:rPr>
        <w:t xml:space="preserve">The purpose of this </w:t>
      </w:r>
      <w:r w:rsidR="006D6ABD">
        <w:rPr>
          <w:rFonts w:cs="Arial"/>
          <w:lang w:val="en-GB" w:eastAsia="en-US" w:bidi="ar-SA"/>
        </w:rPr>
        <w:t>thesis</w:t>
      </w:r>
      <w:r w:rsidRPr="006B6B83">
        <w:rPr>
          <w:rFonts w:cs="Arial"/>
          <w:lang w:val="en-GB" w:eastAsia="en-US" w:bidi="ar-SA"/>
        </w:rPr>
        <w:t xml:space="preserve"> is to provide more insight into the relation between equity incentives (stock-based compensation) and earnings management. </w:t>
      </w:r>
      <w:r w:rsidR="007C73A9">
        <w:rPr>
          <w:rFonts w:cs="Arial"/>
          <w:lang w:val="en-GB" w:eastAsia="en-US" w:bidi="ar-SA"/>
        </w:rPr>
        <w:t xml:space="preserve">Besides the relation of stock-based compensation and earnings management, also the relation of </w:t>
      </w:r>
      <w:r w:rsidR="007C73A9" w:rsidRPr="006B6B83">
        <w:rPr>
          <w:rFonts w:cs="Arial"/>
          <w:lang w:val="en-GB" w:eastAsia="en-US" w:bidi="ar-SA"/>
        </w:rPr>
        <w:t xml:space="preserve">fixed salary and </w:t>
      </w:r>
      <w:r w:rsidR="007C73A9">
        <w:rPr>
          <w:rFonts w:cs="Arial"/>
          <w:lang w:val="en-GB" w:eastAsia="en-US" w:bidi="ar-SA"/>
        </w:rPr>
        <w:t>(cash) bonus</w:t>
      </w:r>
      <w:r w:rsidR="007C73A9" w:rsidRPr="006B6B83">
        <w:rPr>
          <w:rFonts w:cs="Arial"/>
          <w:lang w:val="en-GB" w:eastAsia="en-US" w:bidi="ar-SA"/>
        </w:rPr>
        <w:t xml:space="preserve"> with earnings management</w:t>
      </w:r>
      <w:r w:rsidR="007C73A9">
        <w:rPr>
          <w:rFonts w:cs="Arial"/>
          <w:lang w:val="en-GB" w:eastAsia="en-US" w:bidi="ar-SA"/>
        </w:rPr>
        <w:t xml:space="preserve"> will be investigated</w:t>
      </w:r>
      <w:r w:rsidR="007C73A9" w:rsidRPr="006B6B83">
        <w:rPr>
          <w:rFonts w:cs="Arial"/>
          <w:lang w:val="en-GB" w:eastAsia="en-US" w:bidi="ar-SA"/>
        </w:rPr>
        <w:t>.</w:t>
      </w:r>
      <w:r w:rsidR="007C73A9">
        <w:rPr>
          <w:rFonts w:cs="Arial"/>
          <w:lang w:val="en-GB" w:eastAsia="en-US" w:bidi="ar-SA"/>
        </w:rPr>
        <w:t xml:space="preserve"> </w:t>
      </w:r>
    </w:p>
    <w:p w:rsidR="00977FC8" w:rsidRDefault="00977FC8" w:rsidP="006B6B83">
      <w:pPr>
        <w:autoSpaceDE w:val="0"/>
        <w:autoSpaceDN w:val="0"/>
        <w:adjustRightInd w:val="0"/>
        <w:rPr>
          <w:rFonts w:cs="Arial"/>
          <w:lang w:val="en-GB" w:eastAsia="en-US" w:bidi="ar-SA"/>
        </w:rPr>
      </w:pPr>
      <w:r w:rsidRPr="006B6B83">
        <w:rPr>
          <w:rFonts w:cs="Arial"/>
          <w:lang w:val="en-GB" w:eastAsia="en-US" w:bidi="ar-SA"/>
        </w:rPr>
        <w:t xml:space="preserve">While prior research on the relation between equity incentives and earnings management, </w:t>
      </w:r>
      <w:r>
        <w:rPr>
          <w:rFonts w:cs="Arial"/>
          <w:lang w:val="en-GB" w:eastAsia="en-US" w:bidi="ar-SA"/>
        </w:rPr>
        <w:t>which</w:t>
      </w:r>
      <w:r w:rsidRPr="006B6B83">
        <w:rPr>
          <w:rFonts w:cs="Arial"/>
          <w:lang w:val="en-GB" w:eastAsia="en-US" w:bidi="ar-SA"/>
        </w:rPr>
        <w:t xml:space="preserve"> will</w:t>
      </w:r>
      <w:r>
        <w:rPr>
          <w:rFonts w:cs="Arial"/>
          <w:lang w:val="en-GB" w:eastAsia="en-US" w:bidi="ar-SA"/>
        </w:rPr>
        <w:t xml:space="preserve"> be</w:t>
      </w:r>
      <w:r w:rsidRPr="006B6B83">
        <w:rPr>
          <w:rFonts w:cs="Arial"/>
          <w:lang w:val="en-GB" w:eastAsia="en-US" w:bidi="ar-SA"/>
        </w:rPr>
        <w:t xml:space="preserve"> elaborate</w:t>
      </w:r>
      <w:r>
        <w:rPr>
          <w:rFonts w:cs="Arial"/>
          <w:lang w:val="en-GB" w:eastAsia="en-US" w:bidi="ar-SA"/>
        </w:rPr>
        <w:t>d</w:t>
      </w:r>
      <w:r w:rsidRPr="006B6B83">
        <w:rPr>
          <w:rFonts w:cs="Arial"/>
          <w:lang w:val="en-GB" w:eastAsia="en-US" w:bidi="ar-SA"/>
        </w:rPr>
        <w:t xml:space="preserve"> on</w:t>
      </w:r>
      <w:r>
        <w:rPr>
          <w:rFonts w:cs="Arial"/>
          <w:lang w:val="en-GB" w:eastAsia="en-US" w:bidi="ar-SA"/>
        </w:rPr>
        <w:t xml:space="preserve"> more</w:t>
      </w:r>
      <w:r w:rsidRPr="006B6B83">
        <w:rPr>
          <w:rFonts w:cs="Arial"/>
          <w:lang w:val="en-GB" w:eastAsia="en-US" w:bidi="ar-SA"/>
        </w:rPr>
        <w:t xml:space="preserve"> in </w:t>
      </w:r>
      <w:r w:rsidR="00EC3BBA">
        <w:rPr>
          <w:rFonts w:cs="Arial"/>
          <w:lang w:val="en-GB" w:eastAsia="en-US" w:bidi="ar-SA"/>
        </w:rPr>
        <w:t>chapter</w:t>
      </w:r>
      <w:r w:rsidRPr="006B6B83">
        <w:rPr>
          <w:rFonts w:cs="Arial"/>
          <w:lang w:val="en-GB" w:eastAsia="en-US" w:bidi="ar-SA"/>
        </w:rPr>
        <w:t xml:space="preserve"> 2, mostly used </w:t>
      </w:r>
      <w:r>
        <w:rPr>
          <w:rFonts w:cs="Arial"/>
          <w:lang w:val="en-GB" w:eastAsia="en-US" w:bidi="ar-SA"/>
        </w:rPr>
        <w:t>United States (</w:t>
      </w:r>
      <w:r w:rsidRPr="006B6B83">
        <w:rPr>
          <w:rFonts w:cs="Arial"/>
          <w:lang w:val="en-GB" w:eastAsia="en-US" w:bidi="ar-SA"/>
        </w:rPr>
        <w:t>U.S.</w:t>
      </w:r>
      <w:r>
        <w:rPr>
          <w:rFonts w:cs="Arial"/>
          <w:lang w:val="en-GB" w:eastAsia="en-US" w:bidi="ar-SA"/>
        </w:rPr>
        <w:t>)</w:t>
      </w:r>
      <w:r w:rsidRPr="006B6B83">
        <w:rPr>
          <w:rFonts w:cs="Arial"/>
          <w:lang w:val="en-GB" w:eastAsia="en-US" w:bidi="ar-SA"/>
        </w:rPr>
        <w:t xml:space="preserve"> data, </w:t>
      </w:r>
      <w:r w:rsidR="00EC3BBA">
        <w:rPr>
          <w:rFonts w:cs="Arial"/>
          <w:lang w:val="en-GB" w:eastAsia="en-US" w:bidi="ar-SA"/>
        </w:rPr>
        <w:t>this</w:t>
      </w:r>
      <w:r w:rsidR="00E356A3">
        <w:rPr>
          <w:rFonts w:cs="Arial"/>
          <w:lang w:val="en-GB" w:eastAsia="en-US" w:bidi="ar-SA"/>
        </w:rPr>
        <w:t xml:space="preserve"> research investigates</w:t>
      </w:r>
      <w:r w:rsidRPr="006B6B83">
        <w:rPr>
          <w:rFonts w:cs="Arial"/>
          <w:lang w:val="en-GB" w:eastAsia="en-US" w:bidi="ar-SA"/>
        </w:rPr>
        <w:t xml:space="preserve"> the situation in the European Union (E.U.). Within the E.U. </w:t>
      </w:r>
      <w:r>
        <w:rPr>
          <w:rFonts w:cs="Arial"/>
          <w:lang w:val="en-GB" w:eastAsia="en-US" w:bidi="ar-SA"/>
        </w:rPr>
        <w:t xml:space="preserve">this </w:t>
      </w:r>
      <w:r w:rsidR="00E356A3">
        <w:rPr>
          <w:rFonts w:cs="Arial"/>
          <w:lang w:val="en-GB" w:eastAsia="en-US" w:bidi="ar-SA"/>
        </w:rPr>
        <w:t>study</w:t>
      </w:r>
      <w:r w:rsidRPr="006B6B83">
        <w:rPr>
          <w:rFonts w:cs="Arial"/>
          <w:lang w:val="en-GB" w:eastAsia="en-US" w:bidi="ar-SA"/>
        </w:rPr>
        <w:t xml:space="preserve"> focus</w:t>
      </w:r>
      <w:r>
        <w:rPr>
          <w:rFonts w:cs="Arial"/>
          <w:lang w:val="en-GB" w:eastAsia="en-US" w:bidi="ar-SA"/>
        </w:rPr>
        <w:t>es</w:t>
      </w:r>
      <w:r w:rsidRPr="006B6B83">
        <w:rPr>
          <w:rFonts w:cs="Arial"/>
          <w:lang w:val="en-GB" w:eastAsia="en-US" w:bidi="ar-SA"/>
        </w:rPr>
        <w:t xml:space="preserve"> on companies based in the </w:t>
      </w:r>
      <w:r>
        <w:rPr>
          <w:rFonts w:cs="Arial"/>
          <w:lang w:val="en-GB" w:eastAsia="en-US" w:bidi="ar-SA"/>
        </w:rPr>
        <w:t>United Kingdom (</w:t>
      </w:r>
      <w:r w:rsidRPr="006B6B83">
        <w:rPr>
          <w:rFonts w:cs="Arial"/>
          <w:lang w:val="en-GB" w:eastAsia="en-US" w:bidi="ar-SA"/>
        </w:rPr>
        <w:t>U.K.</w:t>
      </w:r>
      <w:r>
        <w:rPr>
          <w:rFonts w:cs="Arial"/>
          <w:lang w:val="en-GB" w:eastAsia="en-US" w:bidi="ar-SA"/>
        </w:rPr>
        <w:t>).</w:t>
      </w:r>
      <w:r w:rsidRPr="006B6B83">
        <w:rPr>
          <w:rFonts w:cs="Arial"/>
          <w:lang w:val="en-GB" w:eastAsia="en-US" w:bidi="ar-SA"/>
        </w:rPr>
        <w:t xml:space="preserve"> </w:t>
      </w:r>
      <w:r>
        <w:rPr>
          <w:rFonts w:cs="Arial"/>
          <w:lang w:val="en-GB" w:eastAsia="en-US" w:bidi="ar-SA"/>
        </w:rPr>
        <w:t xml:space="preserve">European countries </w:t>
      </w:r>
      <w:r w:rsidR="007C73A9">
        <w:rPr>
          <w:rFonts w:cs="Arial"/>
          <w:lang w:val="en-GB" w:eastAsia="en-US" w:bidi="ar-SA"/>
        </w:rPr>
        <w:t>require companies</w:t>
      </w:r>
      <w:r>
        <w:rPr>
          <w:rFonts w:cs="Arial"/>
          <w:lang w:val="en-GB" w:eastAsia="en-US" w:bidi="ar-SA"/>
        </w:rPr>
        <w:t xml:space="preserve"> to </w:t>
      </w:r>
      <w:r w:rsidR="007C73A9">
        <w:rPr>
          <w:rFonts w:cs="Arial"/>
          <w:lang w:val="en-GB" w:eastAsia="en-US" w:bidi="ar-SA"/>
        </w:rPr>
        <w:t>disclose</w:t>
      </w:r>
      <w:r>
        <w:rPr>
          <w:rFonts w:cs="Arial"/>
          <w:lang w:val="en-GB" w:eastAsia="en-US" w:bidi="ar-SA"/>
        </w:rPr>
        <w:t xml:space="preserve"> detailed information</w:t>
      </w:r>
      <w:r w:rsidR="007C73A9" w:rsidRPr="007C73A9">
        <w:rPr>
          <w:rFonts w:cs="Arial"/>
          <w:lang w:val="en-GB" w:eastAsia="en-US" w:bidi="ar-SA"/>
        </w:rPr>
        <w:t xml:space="preserve"> </w:t>
      </w:r>
      <w:r w:rsidR="007C73A9">
        <w:rPr>
          <w:rFonts w:cs="Arial"/>
          <w:lang w:val="en-GB" w:eastAsia="en-US" w:bidi="ar-SA"/>
        </w:rPr>
        <w:t>on executive compensation practices</w:t>
      </w:r>
      <w:r>
        <w:rPr>
          <w:rFonts w:cs="Arial"/>
          <w:lang w:val="en-GB" w:eastAsia="en-US" w:bidi="ar-SA"/>
        </w:rPr>
        <w:t xml:space="preserve"> in the disclosures </w:t>
      </w:r>
      <w:r w:rsidR="007C73A9">
        <w:rPr>
          <w:rFonts w:cs="Arial"/>
          <w:lang w:val="en-GB" w:eastAsia="en-US" w:bidi="ar-SA"/>
        </w:rPr>
        <w:t>of the annual report</w:t>
      </w:r>
      <w:r>
        <w:rPr>
          <w:rFonts w:cs="Arial"/>
          <w:lang w:val="en-GB" w:eastAsia="en-US" w:bidi="ar-SA"/>
        </w:rPr>
        <w:t xml:space="preserve">. The </w:t>
      </w:r>
      <w:smartTag w:uri="urn:schemas-microsoft-com:office:smarttags" w:element="country-region">
        <w:smartTag w:uri="urn:schemas-microsoft-com:office:smarttags" w:element="place">
          <w:r>
            <w:rPr>
              <w:rFonts w:cs="Arial"/>
              <w:lang w:val="en-GB" w:eastAsia="en-US" w:bidi="ar-SA"/>
            </w:rPr>
            <w:t>U.K.</w:t>
          </w:r>
        </w:smartTag>
      </w:smartTag>
      <w:r>
        <w:rPr>
          <w:rFonts w:cs="Arial"/>
          <w:lang w:val="en-GB" w:eastAsia="en-US" w:bidi="ar-SA"/>
        </w:rPr>
        <w:t xml:space="preserve"> was the first country within the E.U. where thes</w:t>
      </w:r>
      <w:r w:rsidR="00525352">
        <w:rPr>
          <w:rFonts w:cs="Arial"/>
          <w:lang w:val="en-GB" w:eastAsia="en-US" w:bidi="ar-SA"/>
        </w:rPr>
        <w:t>e duties were introduced (Praag</w:t>
      </w:r>
      <w:r>
        <w:rPr>
          <w:rFonts w:cs="Arial"/>
          <w:lang w:val="en-GB" w:eastAsia="en-US" w:bidi="ar-SA"/>
        </w:rPr>
        <w:t xml:space="preserve"> 2005). </w:t>
      </w:r>
      <w:r w:rsidRPr="006B6B83">
        <w:rPr>
          <w:rFonts w:cs="Arial"/>
          <w:lang w:val="en-GB" w:eastAsia="en-US" w:bidi="ar-SA"/>
        </w:rPr>
        <w:t xml:space="preserve">Therefore, </w:t>
      </w:r>
      <w:r>
        <w:rPr>
          <w:rFonts w:cs="Arial"/>
          <w:lang w:val="en-GB" w:eastAsia="en-US" w:bidi="ar-SA"/>
        </w:rPr>
        <w:t xml:space="preserve">most data is available for the </w:t>
      </w:r>
      <w:smartTag w:uri="urn:schemas-microsoft-com:office:smarttags" w:element="country-region">
        <w:smartTag w:uri="urn:schemas-microsoft-com:office:smarttags" w:element="place">
          <w:r>
            <w:rPr>
              <w:rFonts w:cs="Arial"/>
              <w:lang w:val="en-GB" w:eastAsia="en-US" w:bidi="ar-SA"/>
            </w:rPr>
            <w:t>U.K.</w:t>
          </w:r>
        </w:smartTag>
      </w:smartTag>
      <w:r>
        <w:rPr>
          <w:rFonts w:cs="Arial"/>
          <w:lang w:val="en-GB" w:eastAsia="en-US" w:bidi="ar-SA"/>
        </w:rPr>
        <w:t xml:space="preserve"> This lead</w:t>
      </w:r>
      <w:r w:rsidR="007C73A9">
        <w:rPr>
          <w:rFonts w:cs="Arial"/>
          <w:lang w:val="en-GB" w:eastAsia="en-US" w:bidi="ar-SA"/>
        </w:rPr>
        <w:t>s</w:t>
      </w:r>
      <w:r>
        <w:rPr>
          <w:rFonts w:cs="Arial"/>
          <w:lang w:val="en-GB" w:eastAsia="en-US" w:bidi="ar-SA"/>
        </w:rPr>
        <w:t xml:space="preserve"> to the following</w:t>
      </w:r>
      <w:r w:rsidRPr="006B6B83">
        <w:rPr>
          <w:rFonts w:cs="Arial"/>
          <w:lang w:val="en-GB" w:eastAsia="en-US" w:bidi="ar-SA"/>
        </w:rPr>
        <w:t xml:space="preserve"> re</w:t>
      </w:r>
      <w:r>
        <w:rPr>
          <w:rFonts w:cs="Arial"/>
          <w:lang w:val="en-GB" w:eastAsia="en-US" w:bidi="ar-SA"/>
        </w:rPr>
        <w:t>search question</w:t>
      </w:r>
      <w:r w:rsidRPr="006B6B83">
        <w:rPr>
          <w:rFonts w:cs="Arial"/>
          <w:lang w:val="en-GB" w:eastAsia="en-US" w:bidi="ar-SA"/>
        </w:rPr>
        <w:t>:</w:t>
      </w:r>
    </w:p>
    <w:p w:rsidR="00977FC8" w:rsidRDefault="00977FC8" w:rsidP="006B6B83">
      <w:pPr>
        <w:autoSpaceDE w:val="0"/>
        <w:autoSpaceDN w:val="0"/>
        <w:adjustRightInd w:val="0"/>
        <w:rPr>
          <w:rFonts w:cs="Arial"/>
          <w:lang w:val="en-GB" w:eastAsia="en-US" w:bidi="ar-SA"/>
        </w:rPr>
      </w:pPr>
    </w:p>
    <w:p w:rsidR="00977FC8" w:rsidRPr="006A75D7" w:rsidRDefault="00977FC8" w:rsidP="006B6B83">
      <w:pPr>
        <w:jc w:val="center"/>
        <w:rPr>
          <w:rFonts w:cs="Arial"/>
          <w:b/>
          <w:bCs/>
          <w:i/>
          <w:iCs/>
          <w:lang w:val="en-GB"/>
        </w:rPr>
      </w:pPr>
      <w:r w:rsidRPr="006A75D7">
        <w:rPr>
          <w:rFonts w:cs="Arial"/>
          <w:b/>
          <w:bCs/>
          <w:i/>
          <w:iCs/>
          <w:lang w:val="en-GB"/>
        </w:rPr>
        <w:t xml:space="preserve">What is the relation between equity incentives </w:t>
      </w:r>
    </w:p>
    <w:p w:rsidR="00977FC8" w:rsidRDefault="00977FC8" w:rsidP="006A1F86">
      <w:pPr>
        <w:jc w:val="center"/>
        <w:rPr>
          <w:rFonts w:cs="Arial"/>
          <w:b/>
          <w:bCs/>
          <w:i/>
          <w:iCs/>
          <w:lang w:val="en-GB"/>
        </w:rPr>
      </w:pPr>
      <w:r w:rsidRPr="006A75D7">
        <w:rPr>
          <w:rFonts w:cs="Arial"/>
          <w:b/>
          <w:bCs/>
          <w:i/>
          <w:iCs/>
          <w:lang w:val="en-GB"/>
        </w:rPr>
        <w:t>and earnings management in the U.K.?</w:t>
      </w:r>
    </w:p>
    <w:p w:rsidR="00977FC8" w:rsidRPr="006A75D7" w:rsidRDefault="00977FC8" w:rsidP="006B6B83">
      <w:pPr>
        <w:pStyle w:val="Heading2"/>
        <w:jc w:val="left"/>
      </w:pPr>
      <w:bookmarkStart w:id="8" w:name="_Toc223236584"/>
      <w:bookmarkStart w:id="9" w:name="_Toc274485428"/>
      <w:r w:rsidRPr="006A75D7">
        <w:lastRenderedPageBreak/>
        <w:t>Contribution</w:t>
      </w:r>
      <w:bookmarkEnd w:id="8"/>
      <w:bookmarkEnd w:id="9"/>
    </w:p>
    <w:p w:rsidR="00977FC8" w:rsidRPr="00877C1C" w:rsidRDefault="00977FC8" w:rsidP="006B6B83">
      <w:pPr>
        <w:autoSpaceDE w:val="0"/>
        <w:autoSpaceDN w:val="0"/>
        <w:adjustRightInd w:val="0"/>
        <w:rPr>
          <w:rFonts w:cs="Arial"/>
          <w:lang w:val="en-GB" w:eastAsia="en-US" w:bidi="ar-SA"/>
        </w:rPr>
      </w:pPr>
      <w:r>
        <w:rPr>
          <w:rFonts w:cs="Arial"/>
          <w:lang w:val="en-GB" w:eastAsia="en-US" w:bidi="ar-SA"/>
        </w:rPr>
        <w:t xml:space="preserve">During the past years, compensation for managers and earnings management have been important topics in many debates. </w:t>
      </w:r>
      <w:r w:rsidRPr="006A75D7">
        <w:rPr>
          <w:rFonts w:cs="Arial"/>
          <w:lang w:val="en-GB" w:eastAsia="en-US" w:bidi="ar-SA"/>
        </w:rPr>
        <w:t>This research and its results are interesting</w:t>
      </w:r>
      <w:r>
        <w:rPr>
          <w:rFonts w:cs="Arial"/>
          <w:lang w:val="en-GB" w:eastAsia="en-US" w:bidi="ar-SA"/>
        </w:rPr>
        <w:t xml:space="preserve"> for two groups. First,</w:t>
      </w:r>
      <w:r w:rsidRPr="006A75D7">
        <w:rPr>
          <w:rFonts w:cs="Arial"/>
          <w:lang w:val="en-GB" w:eastAsia="en-US" w:bidi="ar-SA"/>
        </w:rPr>
        <w:t xml:space="preserve"> </w:t>
      </w:r>
      <w:r w:rsidR="00043413">
        <w:rPr>
          <w:rFonts w:cs="Arial"/>
          <w:lang w:val="en-GB" w:eastAsia="en-US" w:bidi="ar-SA"/>
        </w:rPr>
        <w:t xml:space="preserve">for </w:t>
      </w:r>
      <w:r w:rsidRPr="006A75D7">
        <w:rPr>
          <w:rFonts w:cs="Arial"/>
          <w:lang w:val="en-GB" w:eastAsia="en-US" w:bidi="ar-SA"/>
        </w:rPr>
        <w:t xml:space="preserve">the Board of Directors of firms, </w:t>
      </w:r>
      <w:r w:rsidR="00043413">
        <w:rPr>
          <w:rFonts w:cs="Arial"/>
          <w:lang w:val="en-GB" w:eastAsia="en-US" w:bidi="ar-SA"/>
        </w:rPr>
        <w:t xml:space="preserve">because </w:t>
      </w:r>
      <w:r w:rsidRPr="006A75D7">
        <w:rPr>
          <w:rFonts w:cs="Arial"/>
          <w:lang w:val="en-GB" w:eastAsia="en-US" w:bidi="ar-SA"/>
        </w:rPr>
        <w:t xml:space="preserve">they provide the compensation contracts to their top-managers. While stock-based compensation can yield positive incentives effects, prior research has already shown that equity-incentives have a negative effect on earnings management. </w:t>
      </w:r>
      <w:r>
        <w:rPr>
          <w:rFonts w:cs="Arial"/>
          <w:lang w:val="en-GB" w:eastAsia="en-US" w:bidi="ar-SA"/>
        </w:rPr>
        <w:t>Secondly</w:t>
      </w:r>
      <w:r w:rsidRPr="006A75D7">
        <w:rPr>
          <w:rFonts w:cs="Arial"/>
          <w:lang w:val="en-GB" w:eastAsia="en-US" w:bidi="ar-SA"/>
        </w:rPr>
        <w:t xml:space="preserve">, this study is interesting for financial reporting regulators, because they criticize managers for their focus on the short-term targets. </w:t>
      </w:r>
      <w:r>
        <w:rPr>
          <w:rFonts w:cs="Arial"/>
          <w:lang w:val="en-GB" w:eastAsia="en-US" w:bidi="ar-SA"/>
        </w:rPr>
        <w:t>I</w:t>
      </w:r>
      <w:r w:rsidR="005D2F79">
        <w:rPr>
          <w:rFonts w:cs="Arial"/>
          <w:lang w:val="en-GB" w:eastAsia="en-US" w:bidi="ar-SA"/>
        </w:rPr>
        <w:t>t is expected that</w:t>
      </w:r>
      <w:r>
        <w:rPr>
          <w:rFonts w:cs="Arial"/>
          <w:lang w:val="en-GB" w:eastAsia="en-US" w:bidi="ar-SA"/>
        </w:rPr>
        <w:t>, w</w:t>
      </w:r>
      <w:r w:rsidRPr="006A75D7">
        <w:rPr>
          <w:rFonts w:cs="Arial"/>
          <w:lang w:val="en-GB" w:eastAsia="en-US" w:bidi="ar-SA"/>
        </w:rPr>
        <w:t xml:space="preserve">ith </w:t>
      </w:r>
      <w:r>
        <w:rPr>
          <w:rFonts w:cs="Arial"/>
          <w:lang w:val="en-GB" w:eastAsia="en-US" w:bidi="ar-SA"/>
        </w:rPr>
        <w:t xml:space="preserve">the results of </w:t>
      </w:r>
      <w:r w:rsidRPr="006A75D7">
        <w:rPr>
          <w:rFonts w:cs="Arial"/>
          <w:lang w:val="en-GB" w:eastAsia="en-US" w:bidi="ar-SA"/>
        </w:rPr>
        <w:t>this research</w:t>
      </w:r>
      <w:r>
        <w:rPr>
          <w:rFonts w:cs="Arial"/>
          <w:lang w:val="en-GB" w:eastAsia="en-US" w:bidi="ar-SA"/>
        </w:rPr>
        <w:t xml:space="preserve">, </w:t>
      </w:r>
      <w:r w:rsidRPr="006A75D7">
        <w:rPr>
          <w:rFonts w:cs="Arial"/>
          <w:lang w:val="en-GB" w:eastAsia="en-US" w:bidi="ar-SA"/>
        </w:rPr>
        <w:t xml:space="preserve">financial reporting regulators can </w:t>
      </w:r>
      <w:r w:rsidRPr="00877C1C">
        <w:rPr>
          <w:rFonts w:cs="Arial"/>
          <w:lang w:val="en-GB" w:eastAsia="en-US" w:bidi="ar-SA"/>
        </w:rPr>
        <w:t xml:space="preserve">respond better to earnings management and its incentives. </w:t>
      </w:r>
    </w:p>
    <w:p w:rsidR="00977FC8" w:rsidRPr="00877C1C" w:rsidRDefault="005D2F79" w:rsidP="006B6B83">
      <w:pPr>
        <w:autoSpaceDE w:val="0"/>
        <w:autoSpaceDN w:val="0"/>
        <w:adjustRightInd w:val="0"/>
        <w:rPr>
          <w:rFonts w:cs="Arial"/>
          <w:lang w:val="en-GB" w:eastAsia="en-US" w:bidi="ar-SA"/>
        </w:rPr>
      </w:pPr>
      <w:r>
        <w:rPr>
          <w:rFonts w:cs="Arial"/>
          <w:lang w:val="en-GB" w:eastAsia="en-US" w:bidi="ar-SA"/>
        </w:rPr>
        <w:t>Moreover</w:t>
      </w:r>
      <w:r w:rsidR="00977FC8" w:rsidRPr="00877C1C">
        <w:rPr>
          <w:rFonts w:cs="Arial"/>
          <w:lang w:val="en-GB" w:eastAsia="en-US" w:bidi="ar-SA"/>
        </w:rPr>
        <w:t xml:space="preserve"> this </w:t>
      </w:r>
      <w:r w:rsidR="006D6ABD">
        <w:rPr>
          <w:rFonts w:cs="Arial"/>
          <w:lang w:val="en-GB" w:eastAsia="en-US" w:bidi="ar-SA"/>
        </w:rPr>
        <w:t>thesis</w:t>
      </w:r>
      <w:r w:rsidR="00977FC8" w:rsidRPr="00877C1C">
        <w:rPr>
          <w:rFonts w:cs="Arial"/>
          <w:lang w:val="en-GB" w:eastAsia="en-US" w:bidi="ar-SA"/>
        </w:rPr>
        <w:t xml:space="preserve"> is a contribution to the knowledge on earnings management and its relation with compensation for the academic world. It extends the growing literature that examines the relation between equity incentives and earnings managem</w:t>
      </w:r>
      <w:r w:rsidR="00977FC8">
        <w:rPr>
          <w:rFonts w:cs="Arial"/>
          <w:lang w:val="en-GB" w:eastAsia="en-US" w:bidi="ar-SA"/>
        </w:rPr>
        <w:t xml:space="preserve">ent. Therefore this </w:t>
      </w:r>
      <w:r w:rsidR="006D6ABD">
        <w:rPr>
          <w:rFonts w:cs="Arial"/>
          <w:lang w:val="en-GB" w:eastAsia="en-US" w:bidi="ar-SA"/>
        </w:rPr>
        <w:t>thesis</w:t>
      </w:r>
      <w:r w:rsidR="00977FC8">
        <w:rPr>
          <w:rFonts w:cs="Arial"/>
          <w:lang w:val="en-GB" w:eastAsia="en-US" w:bidi="ar-SA"/>
        </w:rPr>
        <w:t xml:space="preserve"> may extent existing academic researche</w:t>
      </w:r>
      <w:r w:rsidR="00977FC8" w:rsidRPr="00877C1C">
        <w:rPr>
          <w:rFonts w:cs="Arial"/>
          <w:lang w:val="en-GB" w:eastAsia="en-US" w:bidi="ar-SA"/>
        </w:rPr>
        <w:t xml:space="preserve">s for </w:t>
      </w:r>
      <w:r w:rsidR="00977FC8">
        <w:rPr>
          <w:rFonts w:cs="Arial"/>
          <w:lang w:val="en-GB" w:eastAsia="en-US" w:bidi="ar-SA"/>
        </w:rPr>
        <w:t xml:space="preserve">stock-based compensation outside the U.S. </w:t>
      </w:r>
    </w:p>
    <w:p w:rsidR="00977FC8" w:rsidRPr="006A75D7" w:rsidRDefault="00977FC8" w:rsidP="006B6B83">
      <w:pPr>
        <w:pStyle w:val="Heading2"/>
        <w:jc w:val="left"/>
      </w:pPr>
      <w:bookmarkStart w:id="10" w:name="_Toc223236585"/>
      <w:bookmarkStart w:id="11" w:name="_Toc274485429"/>
      <w:r>
        <w:t>Literature</w:t>
      </w:r>
      <w:bookmarkEnd w:id="10"/>
      <w:bookmarkEnd w:id="11"/>
    </w:p>
    <w:p w:rsidR="00977FC8" w:rsidRPr="007F568C" w:rsidRDefault="00977FC8" w:rsidP="006B6B83">
      <w:pPr>
        <w:rPr>
          <w:lang w:val="en-GB"/>
        </w:rPr>
      </w:pPr>
      <w:r>
        <w:rPr>
          <w:rFonts w:cs="Arial"/>
          <w:lang w:val="en-GB" w:eastAsia="en-US" w:bidi="ar-SA"/>
        </w:rPr>
        <w:t>This</w:t>
      </w:r>
      <w:r w:rsidRPr="007F568C">
        <w:rPr>
          <w:rFonts w:cs="Arial"/>
          <w:lang w:val="en-GB" w:eastAsia="en-US" w:bidi="ar-SA"/>
        </w:rPr>
        <w:t xml:space="preserve"> </w:t>
      </w:r>
      <w:r w:rsidR="006D6ABD">
        <w:rPr>
          <w:rFonts w:cs="Arial"/>
          <w:lang w:val="en-GB" w:eastAsia="en-US" w:bidi="ar-SA"/>
        </w:rPr>
        <w:t>thesis</w:t>
      </w:r>
      <w:r w:rsidRPr="007F568C">
        <w:rPr>
          <w:rFonts w:cs="Arial"/>
          <w:lang w:val="en-GB" w:eastAsia="en-US" w:bidi="ar-SA"/>
        </w:rPr>
        <w:t xml:space="preserve"> is related to other papers on the subject of earnings management (e.g. </w:t>
      </w:r>
      <w:r w:rsidR="00525352">
        <w:rPr>
          <w:lang w:val="en-GB"/>
        </w:rPr>
        <w:t>Daniel et al. 2008; Healy and Wahlen 1999; Stein 1989</w:t>
      </w:r>
      <w:r w:rsidRPr="007F568C">
        <w:rPr>
          <w:lang w:val="en-GB"/>
        </w:rPr>
        <w:t>; De</w:t>
      </w:r>
      <w:r w:rsidR="00525352">
        <w:rPr>
          <w:lang w:val="en-GB"/>
        </w:rPr>
        <w:t>chow et al. 1995</w:t>
      </w:r>
      <w:r w:rsidRPr="007F568C">
        <w:rPr>
          <w:lang w:val="en-GB"/>
        </w:rPr>
        <w:t xml:space="preserve">). This </w:t>
      </w:r>
      <w:r w:rsidR="006D6ABD">
        <w:rPr>
          <w:lang w:val="en-GB"/>
        </w:rPr>
        <w:t>thesis</w:t>
      </w:r>
      <w:r w:rsidRPr="007F568C">
        <w:rPr>
          <w:rFonts w:cs="Arial"/>
          <w:lang w:val="en-GB" w:eastAsia="en-US" w:bidi="ar-SA"/>
        </w:rPr>
        <w:t xml:space="preserve"> is also related to studies on compensation contracts (e.g. </w:t>
      </w:r>
      <w:r w:rsidR="00525352">
        <w:rPr>
          <w:lang w:val="en-GB"/>
        </w:rPr>
        <w:t>Merchant and Van der Stede 2007; Murphy 1999; Gao and Shrieves 2002</w:t>
      </w:r>
      <w:r w:rsidRPr="007F568C">
        <w:rPr>
          <w:lang w:val="en-GB"/>
        </w:rPr>
        <w:t xml:space="preserve">). These studies have shown what the different types of compensation are and how they </w:t>
      </w:r>
      <w:r w:rsidR="002E544E">
        <w:rPr>
          <w:lang w:val="en-GB"/>
        </w:rPr>
        <w:t>are related</w:t>
      </w:r>
      <w:r w:rsidRPr="007F568C">
        <w:rPr>
          <w:lang w:val="en-GB"/>
        </w:rPr>
        <w:t xml:space="preserve"> to earnings management.</w:t>
      </w:r>
    </w:p>
    <w:p w:rsidR="00977FC8" w:rsidRDefault="00977FC8" w:rsidP="006B6B83">
      <w:pPr>
        <w:rPr>
          <w:lang w:val="en-GB"/>
        </w:rPr>
      </w:pPr>
      <w:r w:rsidRPr="007F568C">
        <w:rPr>
          <w:lang w:val="en-GB"/>
        </w:rPr>
        <w:t xml:space="preserve">Furthermore this </w:t>
      </w:r>
      <w:r w:rsidR="006D6ABD">
        <w:rPr>
          <w:lang w:val="en-GB"/>
        </w:rPr>
        <w:t>thesis</w:t>
      </w:r>
      <w:r w:rsidRPr="007F568C">
        <w:rPr>
          <w:rFonts w:cs="Arial"/>
          <w:lang w:val="en-GB" w:eastAsia="en-US" w:bidi="ar-SA"/>
        </w:rPr>
        <w:t xml:space="preserve"> complements extant studies on the incentives for earnings management </w:t>
      </w:r>
      <w:r w:rsidR="00525352">
        <w:rPr>
          <w:lang w:val="en-GB"/>
        </w:rPr>
        <w:t>(e.g. Cheng and Warfield 2005; Bergstresser and Philippon 2006; Jensen and Murphy 1990; Bauman and Shaw 2006</w:t>
      </w:r>
      <w:r w:rsidRPr="007F568C">
        <w:rPr>
          <w:lang w:val="en-GB"/>
        </w:rPr>
        <w:t xml:space="preserve">). These studies have shown that, in general, the self-interest motivation of management is a great cause of earnings management. Bergstresser and Philippon (2006) </w:t>
      </w:r>
      <w:r w:rsidR="006549F1">
        <w:rPr>
          <w:lang w:val="en-GB"/>
        </w:rPr>
        <w:t>found</w:t>
      </w:r>
      <w:r w:rsidRPr="007F568C">
        <w:rPr>
          <w:lang w:val="en-GB"/>
        </w:rPr>
        <w:t xml:space="preserve"> evidence that </w:t>
      </w:r>
      <w:r w:rsidR="006549F1">
        <w:rPr>
          <w:lang w:val="en-GB"/>
        </w:rPr>
        <w:t>earnings are more manipulated through discretionary accruals when CEO’s total compensation is more closely tied to the value of the shares</w:t>
      </w:r>
      <w:r w:rsidRPr="007F568C">
        <w:rPr>
          <w:lang w:val="en-GB"/>
        </w:rPr>
        <w:t xml:space="preserve">. Cheng and Warfield (2005) examined the </w:t>
      </w:r>
      <w:r w:rsidR="006549F1">
        <w:rPr>
          <w:lang w:val="en-GB"/>
        </w:rPr>
        <w:t>relation</w:t>
      </w:r>
      <w:r w:rsidRPr="007F568C">
        <w:rPr>
          <w:lang w:val="en-GB"/>
        </w:rPr>
        <w:t xml:space="preserve"> between managers’ equity incentives and earnings management. They </w:t>
      </w:r>
      <w:r w:rsidR="006549F1">
        <w:rPr>
          <w:lang w:val="en-GB"/>
        </w:rPr>
        <w:t>found</w:t>
      </w:r>
      <w:r w:rsidRPr="007F568C">
        <w:rPr>
          <w:lang w:val="en-GB"/>
        </w:rPr>
        <w:t xml:space="preserve"> that high equity incentive managers are more likely to sell shares in the future</w:t>
      </w:r>
      <w:r w:rsidR="006549F1">
        <w:rPr>
          <w:lang w:val="en-GB"/>
        </w:rPr>
        <w:t>.</w:t>
      </w:r>
      <w:r w:rsidRPr="007F568C">
        <w:rPr>
          <w:lang w:val="en-GB"/>
        </w:rPr>
        <w:t xml:space="preserve"> </w:t>
      </w:r>
      <w:r w:rsidR="006549F1">
        <w:rPr>
          <w:lang w:val="en-GB"/>
        </w:rPr>
        <w:lastRenderedPageBreak/>
        <w:t>T</w:t>
      </w:r>
      <w:r w:rsidRPr="007F568C">
        <w:rPr>
          <w:lang w:val="en-GB"/>
        </w:rPr>
        <w:t xml:space="preserve">his motivates these managers to engage in earnings management to increase the value of the shares to be sold. </w:t>
      </w:r>
      <w:r w:rsidR="006549F1">
        <w:rPr>
          <w:lang w:val="en-GB"/>
        </w:rPr>
        <w:t>Moreover, G</w:t>
      </w:r>
      <w:r w:rsidRPr="007F568C">
        <w:rPr>
          <w:lang w:val="en-GB"/>
        </w:rPr>
        <w:t xml:space="preserve">ao and Shrieves (2002) examined how the </w:t>
      </w:r>
      <w:r w:rsidR="006549F1">
        <w:rPr>
          <w:lang w:val="en-GB"/>
        </w:rPr>
        <w:t xml:space="preserve">different </w:t>
      </w:r>
      <w:r w:rsidRPr="007F568C">
        <w:rPr>
          <w:lang w:val="en-GB"/>
        </w:rPr>
        <w:t xml:space="preserve">types of compensation (i.e. fixed salary, bonuses, stock option, restricted stock, and long-term incentive plans) influence earnings management behaviour. </w:t>
      </w:r>
      <w:r>
        <w:rPr>
          <w:rFonts w:cs="Arial"/>
          <w:lang w:val="en-GB" w:eastAsia="en-US" w:bidi="ar-SA"/>
        </w:rPr>
        <w:t>This research</w:t>
      </w:r>
      <w:r w:rsidRPr="007F568C">
        <w:rPr>
          <w:lang w:val="en-GB"/>
        </w:rPr>
        <w:t xml:space="preserve"> extend</w:t>
      </w:r>
      <w:r>
        <w:rPr>
          <w:lang w:val="en-GB"/>
        </w:rPr>
        <w:t>s</w:t>
      </w:r>
      <w:r w:rsidRPr="007F568C">
        <w:rPr>
          <w:lang w:val="en-GB"/>
        </w:rPr>
        <w:t xml:space="preserve"> and complement</w:t>
      </w:r>
      <w:r>
        <w:rPr>
          <w:lang w:val="en-GB"/>
        </w:rPr>
        <w:t>s</w:t>
      </w:r>
      <w:r w:rsidRPr="007F568C">
        <w:rPr>
          <w:lang w:val="en-GB"/>
        </w:rPr>
        <w:t xml:space="preserve"> those researches by examining the relation between equity incentives and earnings management. </w:t>
      </w:r>
    </w:p>
    <w:p w:rsidR="00977FC8" w:rsidRPr="007F568C" w:rsidRDefault="00977FC8" w:rsidP="006B6B83">
      <w:pPr>
        <w:pStyle w:val="Heading2"/>
        <w:jc w:val="left"/>
      </w:pPr>
      <w:bookmarkStart w:id="12" w:name="_Toc223236586"/>
      <w:bookmarkStart w:id="13" w:name="_Toc274485430"/>
      <w:r w:rsidRPr="007F568C">
        <w:t>Sample and methods</w:t>
      </w:r>
      <w:bookmarkEnd w:id="12"/>
      <w:bookmarkEnd w:id="13"/>
    </w:p>
    <w:p w:rsidR="00977FC8" w:rsidRPr="007F568C" w:rsidRDefault="00977FC8" w:rsidP="00E356A3">
      <w:r w:rsidRPr="007F568C">
        <w:t>As mentioned earlier, most research done until now, focuses on companies</w:t>
      </w:r>
      <w:r>
        <w:t xml:space="preserve"> </w:t>
      </w:r>
      <w:r w:rsidRPr="007F568C">
        <w:t xml:space="preserve">in the U.S. </w:t>
      </w:r>
      <w:r>
        <w:t>This</w:t>
      </w:r>
      <w:r w:rsidRPr="007F568C">
        <w:t xml:space="preserve"> research will focus on companies based in the U</w:t>
      </w:r>
      <w:r>
        <w:t>.</w:t>
      </w:r>
      <w:r w:rsidRPr="007F568C">
        <w:t>K.</w:t>
      </w:r>
      <w:r>
        <w:t xml:space="preserve"> because that was the first country in the E.U. where companies were required to disclose detailed information on executive compensation. Therefore</w:t>
      </w:r>
      <w:r w:rsidRPr="0015543E">
        <w:t xml:space="preserve"> </w:t>
      </w:r>
      <w:r>
        <w:t>most data is available for the U.K.</w:t>
      </w:r>
      <w:r w:rsidR="00E356A3">
        <w:t xml:space="preserve"> As the sample for this thesis the FTSE 100 index is used.</w:t>
      </w:r>
      <w:r>
        <w:t xml:space="preserve"> </w:t>
      </w:r>
      <w:r w:rsidR="0067383A">
        <w:t xml:space="preserve">This is a share index of the 100 most highly capitalised U.K. companies, listed on the London Stock Exchange. </w:t>
      </w:r>
      <w:r w:rsidRPr="007F568C">
        <w:t xml:space="preserve">This data provides a sample of about </w:t>
      </w:r>
      <w:r w:rsidR="00043413">
        <w:t>176</w:t>
      </w:r>
      <w:r>
        <w:t xml:space="preserve"> entries and </w:t>
      </w:r>
      <w:r w:rsidRPr="007F568C">
        <w:t>is sprea</w:t>
      </w:r>
      <w:r>
        <w:t>d out over two years, i.e. 2005 and 2006</w:t>
      </w:r>
      <w:r w:rsidRPr="007F568C">
        <w:t>. Financial data that is needed of the earnings management component</w:t>
      </w:r>
      <w:r>
        <w:t xml:space="preserve">, and compensation data </w:t>
      </w:r>
      <w:r w:rsidR="0067383A">
        <w:t xml:space="preserve">from the CEO’s </w:t>
      </w:r>
      <w:r>
        <w:t>that is needed for the compensation component,</w:t>
      </w:r>
      <w:r w:rsidRPr="007F568C">
        <w:t xml:space="preserve"> will be gathered from the </w:t>
      </w:r>
      <w:r>
        <w:t>annual reports of the companies</w:t>
      </w:r>
      <w:r w:rsidRPr="007F568C">
        <w:t xml:space="preserve">. </w:t>
      </w:r>
    </w:p>
    <w:p w:rsidR="00977FC8" w:rsidRPr="007F568C" w:rsidRDefault="00977FC8" w:rsidP="006B6B83"/>
    <w:p w:rsidR="005C3EA2" w:rsidRPr="00C81F42" w:rsidRDefault="005D2F79" w:rsidP="006B6B83">
      <w:r w:rsidRPr="00C81F42">
        <w:t>Like oth</w:t>
      </w:r>
      <w:r w:rsidR="00525352">
        <w:t>er studies (Dechow et al. 1995</w:t>
      </w:r>
      <w:r w:rsidR="00964788" w:rsidRPr="00C81F42">
        <w:t>;</w:t>
      </w:r>
      <w:r w:rsidRPr="00C81F42">
        <w:t xml:space="preserve"> Bergstresser and Philippon 2006</w:t>
      </w:r>
      <w:r w:rsidR="00C81F42" w:rsidRPr="00C81F42">
        <w:t>;</w:t>
      </w:r>
      <w:r w:rsidRPr="00C81F42">
        <w:t xml:space="preserve"> Gao and Shrieves </w:t>
      </w:r>
      <w:r w:rsidR="00525352">
        <w:t>2002</w:t>
      </w:r>
      <w:r w:rsidR="00964788" w:rsidRPr="00C81F42">
        <w:t>)</w:t>
      </w:r>
      <w:r w:rsidRPr="00C81F42">
        <w:t xml:space="preserve"> t</w:t>
      </w:r>
      <w:r w:rsidR="00977FC8" w:rsidRPr="00C81F42">
        <w:t xml:space="preserve">he accrual approach will be used in measuring earnings management. </w:t>
      </w:r>
      <w:r w:rsidR="0067383A">
        <w:t xml:space="preserve">To measure earnings management </w:t>
      </w:r>
      <w:r w:rsidR="00C81F42" w:rsidRPr="00C81F42">
        <w:t>t</w:t>
      </w:r>
      <w:r w:rsidRPr="00C81F42">
        <w:t>he</w:t>
      </w:r>
      <w:r w:rsidR="005C3EA2" w:rsidRPr="00C81F42">
        <w:t xml:space="preserve"> Modi</w:t>
      </w:r>
      <w:r w:rsidR="00525352">
        <w:t>fied Jones Model (Dechow et al.</w:t>
      </w:r>
      <w:r w:rsidR="005C3EA2" w:rsidRPr="00C81F42">
        <w:t xml:space="preserve"> 1995) </w:t>
      </w:r>
      <w:r w:rsidR="0067383A">
        <w:t>is selected</w:t>
      </w:r>
      <w:r w:rsidR="005C3EA2" w:rsidRPr="00C81F42">
        <w:t>.</w:t>
      </w:r>
      <w:r w:rsidR="00254EA5">
        <w:t xml:space="preserve"> </w:t>
      </w:r>
      <w:r w:rsidR="005C3EA2" w:rsidRPr="00C81F42">
        <w:t xml:space="preserve"> </w:t>
      </w:r>
    </w:p>
    <w:p w:rsidR="00977FC8" w:rsidRDefault="00977FC8" w:rsidP="006B6B83">
      <w:pPr>
        <w:autoSpaceDE w:val="0"/>
        <w:autoSpaceDN w:val="0"/>
        <w:adjustRightInd w:val="0"/>
        <w:rPr>
          <w:lang w:val="en-GB"/>
        </w:rPr>
      </w:pPr>
      <w:r w:rsidRPr="007F568C">
        <w:rPr>
          <w:lang w:val="en-GB"/>
        </w:rPr>
        <w:t xml:space="preserve">As explained earlier, </w:t>
      </w:r>
      <w:r>
        <w:rPr>
          <w:lang w:val="en-GB"/>
        </w:rPr>
        <w:t>this research</w:t>
      </w:r>
      <w:r w:rsidRPr="007F568C">
        <w:rPr>
          <w:lang w:val="en-GB"/>
        </w:rPr>
        <w:t xml:space="preserve"> distinguish</w:t>
      </w:r>
      <w:r>
        <w:rPr>
          <w:lang w:val="en-GB"/>
        </w:rPr>
        <w:t>es</w:t>
      </w:r>
      <w:r w:rsidRPr="007F568C">
        <w:rPr>
          <w:lang w:val="en-GB"/>
        </w:rPr>
        <w:t xml:space="preserve"> three components in compensation contracts; fixed salary, bonuses and stock-based compensation (e.g. stock-options, shares). </w:t>
      </w:r>
      <w:r>
        <w:rPr>
          <w:lang w:val="en-GB"/>
        </w:rPr>
        <w:t>It</w:t>
      </w:r>
      <w:r w:rsidRPr="007F568C">
        <w:rPr>
          <w:lang w:val="en-GB"/>
        </w:rPr>
        <w:t xml:space="preserve"> focus</w:t>
      </w:r>
      <w:r>
        <w:rPr>
          <w:lang w:val="en-GB"/>
        </w:rPr>
        <w:t>es</w:t>
      </w:r>
      <w:r w:rsidRPr="007F568C">
        <w:rPr>
          <w:lang w:val="en-GB"/>
        </w:rPr>
        <w:t xml:space="preserve"> on the relation between equity incentives and earnings management, but </w:t>
      </w:r>
      <w:r>
        <w:rPr>
          <w:lang w:val="en-GB"/>
        </w:rPr>
        <w:t>it</w:t>
      </w:r>
      <w:r w:rsidRPr="007F568C">
        <w:rPr>
          <w:lang w:val="en-GB"/>
        </w:rPr>
        <w:t xml:space="preserve"> also test</w:t>
      </w:r>
      <w:r>
        <w:rPr>
          <w:lang w:val="en-GB"/>
        </w:rPr>
        <w:t>s</w:t>
      </w:r>
      <w:r w:rsidRPr="007F568C">
        <w:rPr>
          <w:lang w:val="en-GB"/>
        </w:rPr>
        <w:t xml:space="preserve"> the relation of the other two components (i.e. fixed salary and bonus) with earnings management. </w:t>
      </w:r>
      <w:r>
        <w:rPr>
          <w:lang w:val="en-GB"/>
        </w:rPr>
        <w:t>Because r</w:t>
      </w:r>
      <w:r w:rsidRPr="007F568C">
        <w:rPr>
          <w:lang w:val="en-GB"/>
        </w:rPr>
        <w:t>elative figures are be</w:t>
      </w:r>
      <w:r>
        <w:rPr>
          <w:lang w:val="en-GB"/>
        </w:rPr>
        <w:t>tter comparable with each other, t</w:t>
      </w:r>
      <w:r w:rsidRPr="007F568C">
        <w:rPr>
          <w:lang w:val="en-GB"/>
        </w:rPr>
        <w:t>he relative size of the compensation type</w:t>
      </w:r>
      <w:r>
        <w:rPr>
          <w:lang w:val="en-GB"/>
        </w:rPr>
        <w:t xml:space="preserve"> will be used</w:t>
      </w:r>
      <w:r w:rsidRPr="007F568C">
        <w:rPr>
          <w:lang w:val="en-GB"/>
        </w:rPr>
        <w:t xml:space="preserve"> to measure compensation. </w:t>
      </w:r>
    </w:p>
    <w:p w:rsidR="006863BE" w:rsidRDefault="006863BE" w:rsidP="006863BE">
      <w:pPr>
        <w:pStyle w:val="Heading2"/>
        <w:jc w:val="left"/>
      </w:pPr>
      <w:bookmarkStart w:id="14" w:name="_Toc274485431"/>
      <w:r>
        <w:lastRenderedPageBreak/>
        <w:t>Results</w:t>
      </w:r>
      <w:bookmarkEnd w:id="14"/>
      <w:r>
        <w:t xml:space="preserve"> </w:t>
      </w:r>
    </w:p>
    <w:p w:rsidR="0053218D" w:rsidRDefault="0053218D" w:rsidP="0053218D">
      <w:pPr>
        <w:rPr>
          <w:rFonts w:cs="Arial"/>
          <w:lang w:val="en-GB" w:eastAsia="en-US" w:bidi="ar-SA"/>
        </w:rPr>
      </w:pPr>
      <w:r>
        <w:rPr>
          <w:lang w:val="en-GB"/>
        </w:rPr>
        <w:t xml:space="preserve">The results from this research show that fixed salary </w:t>
      </w:r>
      <w:r w:rsidR="009919EC">
        <w:rPr>
          <w:lang w:val="en-GB"/>
        </w:rPr>
        <w:t>has</w:t>
      </w:r>
      <w:r>
        <w:rPr>
          <w:lang w:val="en-GB"/>
        </w:rPr>
        <w:t xml:space="preserve"> a positive </w:t>
      </w:r>
      <w:r w:rsidR="002A1F60">
        <w:rPr>
          <w:lang w:val="en-GB"/>
        </w:rPr>
        <w:t xml:space="preserve">relationship with discretionary accruals. </w:t>
      </w:r>
      <w:r w:rsidR="00856883">
        <w:rPr>
          <w:lang w:val="en-US"/>
        </w:rPr>
        <w:t>For bonus compensation no linear relationship with discretionary accruals is found and f</w:t>
      </w:r>
      <w:r w:rsidR="002A1F60">
        <w:rPr>
          <w:lang w:val="en-GB"/>
        </w:rPr>
        <w:t>or</w:t>
      </w:r>
      <w:r>
        <w:rPr>
          <w:lang w:val="en-GB"/>
        </w:rPr>
        <w:t xml:space="preserve"> </w:t>
      </w:r>
      <w:r>
        <w:rPr>
          <w:rFonts w:cs="Arial"/>
          <w:lang w:val="en-GB" w:eastAsia="en-US" w:bidi="ar-SA"/>
        </w:rPr>
        <w:t>stock-based compensation a negative relationship with discretionary accruals</w:t>
      </w:r>
      <w:r w:rsidR="002A1F60">
        <w:rPr>
          <w:rFonts w:cs="Arial"/>
          <w:lang w:val="en-GB" w:eastAsia="en-US" w:bidi="ar-SA"/>
        </w:rPr>
        <w:t xml:space="preserve"> is found</w:t>
      </w:r>
      <w:r>
        <w:rPr>
          <w:rFonts w:cs="Arial"/>
          <w:lang w:val="en-GB" w:eastAsia="en-US" w:bidi="ar-SA"/>
        </w:rPr>
        <w:t xml:space="preserve">. </w:t>
      </w:r>
    </w:p>
    <w:p w:rsidR="0053218D" w:rsidRDefault="0053218D" w:rsidP="0053218D">
      <w:pPr>
        <w:rPr>
          <w:lang w:val="en-GB"/>
        </w:rPr>
      </w:pPr>
      <w:r>
        <w:rPr>
          <w:rFonts w:cs="Arial"/>
          <w:lang w:val="en-GB" w:eastAsia="en-US" w:bidi="ar-SA"/>
        </w:rPr>
        <w:t xml:space="preserve">Regarding the mean scores of discretionary accruals, no significant difference is found for CEO’s with a relative high size and CEO’s with a relative low size of bonus compensation. </w:t>
      </w:r>
      <w:r w:rsidR="00856883">
        <w:rPr>
          <w:rFonts w:cs="Arial"/>
          <w:lang w:val="en-GB" w:eastAsia="en-US" w:bidi="ar-SA"/>
        </w:rPr>
        <w:t>For fixed salary a small significant difference is found between the mean scores of discretionary accruals for CEO’s with a relative high size and CEO’s with a relative low size of fixed salary. Moreover</w:t>
      </w:r>
      <w:r>
        <w:rPr>
          <w:rFonts w:cs="Arial"/>
          <w:lang w:val="en-GB" w:eastAsia="en-US" w:bidi="ar-SA"/>
        </w:rPr>
        <w:t xml:space="preserve">, regarding stock-based compensation, this research has proven that </w:t>
      </w:r>
      <w:r>
        <w:rPr>
          <w:lang w:val="en-US"/>
        </w:rPr>
        <w:t>l</w:t>
      </w:r>
      <w:r w:rsidR="00856883">
        <w:rPr>
          <w:lang w:val="en-US"/>
        </w:rPr>
        <w:t>ow equity incentive CEO’s have</w:t>
      </w:r>
      <w:r>
        <w:rPr>
          <w:lang w:val="en-US"/>
        </w:rPr>
        <w:t xml:space="preserve"> </w:t>
      </w:r>
      <w:r w:rsidR="005F107F">
        <w:rPr>
          <w:lang w:val="en-US"/>
        </w:rPr>
        <w:t>significant higher mean score</w:t>
      </w:r>
      <w:r w:rsidR="00856883">
        <w:rPr>
          <w:lang w:val="en-US"/>
        </w:rPr>
        <w:t>s</w:t>
      </w:r>
      <w:r w:rsidR="005F107F">
        <w:rPr>
          <w:lang w:val="en-US"/>
        </w:rPr>
        <w:t xml:space="preserve"> of</w:t>
      </w:r>
      <w:r>
        <w:rPr>
          <w:lang w:val="en-US"/>
        </w:rPr>
        <w:t xml:space="preserve"> discretionary accruals than high equity incentive CEO’s. </w:t>
      </w:r>
      <w:r>
        <w:rPr>
          <w:rFonts w:cs="Arial"/>
          <w:lang w:val="en-GB" w:eastAsia="en-US" w:bidi="ar-SA"/>
        </w:rPr>
        <w:t xml:space="preserve">Therefore, the results seem to oppose the results of studies from </w:t>
      </w:r>
      <w:r w:rsidRPr="00255A23">
        <w:rPr>
          <w:rFonts w:cs="Arial"/>
          <w:lang w:val="en-GB"/>
        </w:rPr>
        <w:t>Bergstresser and Philippon (2006)</w:t>
      </w:r>
      <w:r>
        <w:rPr>
          <w:rFonts w:cs="Arial"/>
          <w:lang w:val="en-GB"/>
        </w:rPr>
        <w:t xml:space="preserve">, </w:t>
      </w:r>
      <w:r w:rsidRPr="00255A23">
        <w:rPr>
          <w:rFonts w:cs="Arial"/>
          <w:lang w:val="en-GB"/>
        </w:rPr>
        <w:t>Cheng and Warfield (2005)</w:t>
      </w:r>
      <w:r>
        <w:rPr>
          <w:rFonts w:cs="Arial"/>
          <w:lang w:val="en-GB"/>
        </w:rPr>
        <w:t xml:space="preserve"> and </w:t>
      </w:r>
      <w:r w:rsidRPr="00255A23">
        <w:rPr>
          <w:rFonts w:cs="Arial"/>
          <w:lang w:val="en-GB"/>
        </w:rPr>
        <w:t>Gao and Shrieves</w:t>
      </w:r>
      <w:r>
        <w:rPr>
          <w:rFonts w:cs="Arial"/>
          <w:lang w:val="en-GB"/>
        </w:rPr>
        <w:t xml:space="preserve"> (2002) who all found evidence that </w:t>
      </w:r>
      <w:r w:rsidRPr="00255A23">
        <w:rPr>
          <w:rFonts w:cs="Arial"/>
          <w:lang w:val="en-GB"/>
        </w:rPr>
        <w:t>high equity incentive CEO’s engage more in earnings management</w:t>
      </w:r>
      <w:r>
        <w:rPr>
          <w:rFonts w:cs="Arial"/>
          <w:lang w:val="en-GB"/>
        </w:rPr>
        <w:t xml:space="preserve"> (through the use of discretionary accruals)</w:t>
      </w:r>
      <w:r w:rsidRPr="00255A23">
        <w:rPr>
          <w:rFonts w:cs="Arial"/>
          <w:lang w:val="en-GB"/>
        </w:rPr>
        <w:t xml:space="preserve"> than low equity incentive CEO’s</w:t>
      </w:r>
      <w:r>
        <w:rPr>
          <w:rFonts w:cs="Arial"/>
          <w:lang w:val="en-GB"/>
        </w:rPr>
        <w:t xml:space="preserve">. </w:t>
      </w:r>
    </w:p>
    <w:p w:rsidR="0053218D" w:rsidRPr="00E15601" w:rsidRDefault="0053218D" w:rsidP="0053218D">
      <w:pPr>
        <w:autoSpaceDE w:val="0"/>
        <w:autoSpaceDN w:val="0"/>
        <w:adjustRightInd w:val="0"/>
        <w:rPr>
          <w:rFonts w:cs="Arial"/>
          <w:lang w:val="en-GB" w:eastAsia="en-US" w:bidi="ar-SA"/>
        </w:rPr>
      </w:pPr>
      <w:r w:rsidRPr="00E15601">
        <w:rPr>
          <w:rFonts w:cs="Arial"/>
          <w:lang w:val="en-GB" w:eastAsia="en-US" w:bidi="ar-SA"/>
        </w:rPr>
        <w:t xml:space="preserve">Although the results in this thesis </w:t>
      </w:r>
      <w:r>
        <w:rPr>
          <w:rFonts w:cs="Arial"/>
          <w:lang w:val="en-GB" w:eastAsia="en-US" w:bidi="ar-SA"/>
        </w:rPr>
        <w:t>provide</w:t>
      </w:r>
      <w:r w:rsidRPr="00E15601">
        <w:rPr>
          <w:rFonts w:cs="Arial"/>
          <w:lang w:val="en-GB" w:eastAsia="en-US" w:bidi="ar-SA"/>
        </w:rPr>
        <w:t xml:space="preserve"> an indication on the relation between earnings management and equity incentives additional research is needed to provide a complete answer in the case of earnings management.</w:t>
      </w:r>
    </w:p>
    <w:p w:rsidR="003E0B13" w:rsidRDefault="003E0B13" w:rsidP="006B6B83">
      <w:pPr>
        <w:autoSpaceDE w:val="0"/>
        <w:autoSpaceDN w:val="0"/>
        <w:adjustRightInd w:val="0"/>
        <w:rPr>
          <w:rFonts w:cs="Arial"/>
          <w:lang w:val="en-GB" w:eastAsia="en-US" w:bidi="ar-SA"/>
        </w:rPr>
      </w:pPr>
    </w:p>
    <w:p w:rsidR="0053218D" w:rsidRDefault="00977FC8" w:rsidP="0053218D">
      <w:pPr>
        <w:autoSpaceDE w:val="0"/>
        <w:autoSpaceDN w:val="0"/>
        <w:adjustRightInd w:val="0"/>
        <w:rPr>
          <w:rFonts w:cs="Arial"/>
          <w:lang w:val="en-GB" w:eastAsia="en-US" w:bidi="ar-SA"/>
        </w:rPr>
      </w:pPr>
      <w:r w:rsidRPr="006A75D7">
        <w:rPr>
          <w:rFonts w:cs="Arial"/>
          <w:lang w:val="en-GB" w:eastAsia="en-US" w:bidi="ar-SA"/>
        </w:rPr>
        <w:t xml:space="preserve">The </w:t>
      </w:r>
      <w:r w:rsidR="005C3EA2">
        <w:rPr>
          <w:rFonts w:cs="Arial"/>
          <w:lang w:val="en-GB" w:eastAsia="en-US" w:bidi="ar-SA"/>
        </w:rPr>
        <w:t>thesis</w:t>
      </w:r>
      <w:r w:rsidRPr="006A75D7">
        <w:rPr>
          <w:rFonts w:cs="Arial"/>
          <w:lang w:val="en-GB" w:eastAsia="en-US" w:bidi="ar-SA"/>
        </w:rPr>
        <w:t xml:space="preserve"> proceeds in </w:t>
      </w:r>
      <w:r w:rsidR="005C3EA2">
        <w:rPr>
          <w:rFonts w:cs="Arial"/>
          <w:lang w:val="en-GB" w:eastAsia="en-US" w:bidi="ar-SA"/>
        </w:rPr>
        <w:t>five</w:t>
      </w:r>
      <w:r w:rsidRPr="006A75D7">
        <w:rPr>
          <w:rFonts w:cs="Arial"/>
          <w:lang w:val="en-GB" w:eastAsia="en-US" w:bidi="ar-SA"/>
        </w:rPr>
        <w:t xml:space="preserve"> </w:t>
      </w:r>
      <w:r w:rsidR="005C3EA2">
        <w:rPr>
          <w:rFonts w:cs="Arial"/>
          <w:lang w:val="en-GB" w:eastAsia="en-US" w:bidi="ar-SA"/>
        </w:rPr>
        <w:t>chapters</w:t>
      </w:r>
      <w:r w:rsidRPr="006A75D7">
        <w:rPr>
          <w:rFonts w:cs="Arial"/>
          <w:lang w:val="en-GB" w:eastAsia="en-US" w:bidi="ar-SA"/>
        </w:rPr>
        <w:t xml:space="preserve">. The next </w:t>
      </w:r>
      <w:r w:rsidR="005C3EA2">
        <w:rPr>
          <w:rFonts w:cs="Arial"/>
          <w:lang w:val="en-GB" w:eastAsia="en-US" w:bidi="ar-SA"/>
        </w:rPr>
        <w:t>chapter</w:t>
      </w:r>
      <w:r w:rsidRPr="006A75D7">
        <w:rPr>
          <w:rFonts w:cs="Arial"/>
          <w:lang w:val="en-GB" w:eastAsia="en-US" w:bidi="ar-SA"/>
        </w:rPr>
        <w:t xml:space="preserve"> provides background information and </w:t>
      </w:r>
      <w:r>
        <w:rPr>
          <w:rFonts w:cs="Arial"/>
          <w:lang w:val="en-GB" w:eastAsia="en-US" w:bidi="ar-SA"/>
        </w:rPr>
        <w:t>the</w:t>
      </w:r>
      <w:r w:rsidRPr="006A75D7">
        <w:rPr>
          <w:rFonts w:cs="Arial"/>
          <w:lang w:val="en-GB" w:eastAsia="en-US" w:bidi="ar-SA"/>
        </w:rPr>
        <w:t xml:space="preserve"> literature study. </w:t>
      </w:r>
      <w:r>
        <w:rPr>
          <w:rFonts w:cs="Arial"/>
          <w:lang w:val="en-GB" w:eastAsia="en-US" w:bidi="ar-SA"/>
        </w:rPr>
        <w:t>It describes</w:t>
      </w:r>
      <w:r w:rsidR="000A0C92">
        <w:rPr>
          <w:rFonts w:cs="Arial"/>
          <w:lang w:val="en-GB" w:eastAsia="en-US" w:bidi="ar-SA"/>
        </w:rPr>
        <w:t xml:space="preserve"> the relevant academic literature on</w:t>
      </w:r>
      <w:r>
        <w:rPr>
          <w:rFonts w:cs="Arial"/>
          <w:lang w:val="en-GB" w:eastAsia="en-US" w:bidi="ar-SA"/>
        </w:rPr>
        <w:t xml:space="preserve"> earnings management, compensation contracts, and the link between these two components</w:t>
      </w:r>
      <w:r w:rsidRPr="006476F1">
        <w:rPr>
          <w:rFonts w:cs="Arial"/>
          <w:lang w:val="en-GB" w:eastAsia="en-US" w:bidi="ar-SA"/>
        </w:rPr>
        <w:t xml:space="preserve">. In </w:t>
      </w:r>
      <w:r w:rsidR="005C3EA2">
        <w:rPr>
          <w:rFonts w:cs="Arial"/>
          <w:lang w:val="en-GB" w:eastAsia="en-US" w:bidi="ar-SA"/>
        </w:rPr>
        <w:t>chapter</w:t>
      </w:r>
      <w:r w:rsidRPr="006476F1">
        <w:rPr>
          <w:rFonts w:cs="Arial"/>
          <w:lang w:val="en-GB" w:eastAsia="en-US" w:bidi="ar-SA"/>
        </w:rPr>
        <w:t xml:space="preserve"> 3 the hypotheses are developed</w:t>
      </w:r>
      <w:r w:rsidR="005C3EA2">
        <w:rPr>
          <w:rFonts w:cs="Arial"/>
          <w:lang w:val="en-GB" w:eastAsia="en-US" w:bidi="ar-SA"/>
        </w:rPr>
        <w:t>.</w:t>
      </w:r>
      <w:r w:rsidRPr="006476F1">
        <w:rPr>
          <w:rFonts w:cs="Arial"/>
          <w:lang w:val="en-GB" w:eastAsia="en-US" w:bidi="ar-SA"/>
        </w:rPr>
        <w:t xml:space="preserve"> </w:t>
      </w:r>
      <w:r w:rsidR="005C3EA2">
        <w:rPr>
          <w:rFonts w:cs="Arial"/>
          <w:lang w:val="en-GB" w:eastAsia="en-US" w:bidi="ar-SA"/>
        </w:rPr>
        <w:t xml:space="preserve">The fourth chapter </w:t>
      </w:r>
      <w:r w:rsidR="00F57640">
        <w:rPr>
          <w:rFonts w:cs="Arial"/>
          <w:lang w:val="en-GB" w:eastAsia="en-US" w:bidi="ar-SA"/>
        </w:rPr>
        <w:t>discusses</w:t>
      </w:r>
      <w:r w:rsidR="005C3EA2">
        <w:rPr>
          <w:rFonts w:cs="Arial"/>
          <w:lang w:val="en-GB" w:eastAsia="en-US" w:bidi="ar-SA"/>
        </w:rPr>
        <w:t xml:space="preserve"> the research design. </w:t>
      </w:r>
      <w:r w:rsidR="005C3EA2" w:rsidRPr="006476F1">
        <w:rPr>
          <w:rFonts w:cs="Arial"/>
          <w:lang w:val="en-GB" w:eastAsia="en-US" w:bidi="ar-SA"/>
        </w:rPr>
        <w:t xml:space="preserve">The research design describes </w:t>
      </w:r>
      <w:r w:rsidR="005C3EA2">
        <w:rPr>
          <w:rFonts w:cs="Arial"/>
          <w:lang w:val="en-GB" w:eastAsia="en-US" w:bidi="ar-SA"/>
        </w:rPr>
        <w:t>the sample selection and</w:t>
      </w:r>
      <w:r w:rsidR="005C3EA2" w:rsidRPr="006476F1">
        <w:rPr>
          <w:rFonts w:cs="Arial"/>
          <w:lang w:val="en-GB" w:eastAsia="en-US" w:bidi="ar-SA"/>
        </w:rPr>
        <w:t xml:space="preserve"> research method</w:t>
      </w:r>
      <w:r w:rsidR="005C3EA2">
        <w:rPr>
          <w:rFonts w:cs="Arial"/>
          <w:lang w:val="en-GB" w:eastAsia="en-US" w:bidi="ar-SA"/>
        </w:rPr>
        <w:t>. In chapter 5 the results of the research are explained. In the final chapter, chapter 6, the conclusion</w:t>
      </w:r>
      <w:r w:rsidR="0067383A">
        <w:rPr>
          <w:rFonts w:cs="Arial"/>
          <w:lang w:val="en-GB" w:eastAsia="en-US" w:bidi="ar-SA"/>
        </w:rPr>
        <w:t>s</w:t>
      </w:r>
      <w:r w:rsidR="005C3EA2">
        <w:rPr>
          <w:rFonts w:cs="Arial"/>
          <w:lang w:val="en-GB" w:eastAsia="en-US" w:bidi="ar-SA"/>
        </w:rPr>
        <w:t xml:space="preserve">, limitations and </w:t>
      </w:r>
      <w:r w:rsidR="0067383A">
        <w:rPr>
          <w:rFonts w:cs="Arial"/>
          <w:lang w:val="en-GB" w:eastAsia="en-US" w:bidi="ar-SA"/>
        </w:rPr>
        <w:t>directions</w:t>
      </w:r>
      <w:r w:rsidR="005C3EA2">
        <w:rPr>
          <w:rFonts w:cs="Arial"/>
          <w:lang w:val="en-GB" w:eastAsia="en-US" w:bidi="ar-SA"/>
        </w:rPr>
        <w:t xml:space="preserve"> for future research are presented. </w:t>
      </w:r>
    </w:p>
    <w:p w:rsidR="0053218D" w:rsidRDefault="0053218D" w:rsidP="0053218D">
      <w:pPr>
        <w:pStyle w:val="Heading1"/>
        <w:rPr>
          <w:lang w:val="en-GB"/>
        </w:rPr>
      </w:pPr>
      <w:r w:rsidRPr="006A75D7">
        <w:rPr>
          <w:lang w:val="en-GB"/>
        </w:rPr>
        <w:br w:type="page"/>
      </w:r>
      <w:bookmarkStart w:id="15" w:name="_Toc221957580"/>
      <w:bookmarkStart w:id="16" w:name="_Toc273023744"/>
      <w:bookmarkStart w:id="17" w:name="_Toc274485432"/>
      <w:r>
        <w:rPr>
          <w:lang w:val="en-GB"/>
        </w:rPr>
        <w:lastRenderedPageBreak/>
        <w:t>L</w:t>
      </w:r>
      <w:r w:rsidRPr="006A75D7">
        <w:rPr>
          <w:lang w:val="en-GB"/>
        </w:rPr>
        <w:t>iterature review</w:t>
      </w:r>
      <w:bookmarkEnd w:id="15"/>
      <w:bookmarkEnd w:id="16"/>
      <w:bookmarkEnd w:id="17"/>
    </w:p>
    <w:p w:rsidR="00977FC8" w:rsidRDefault="00977FC8" w:rsidP="00362C47">
      <w:pPr>
        <w:rPr>
          <w:lang w:val="en-GB" w:eastAsia="en-US" w:bidi="ar-SA"/>
        </w:rPr>
      </w:pPr>
      <w:r>
        <w:rPr>
          <w:lang w:val="en-GB" w:eastAsia="en-US" w:bidi="ar-SA"/>
        </w:rPr>
        <w:t>T</w:t>
      </w:r>
      <w:r w:rsidRPr="00636501">
        <w:rPr>
          <w:lang w:val="en-GB" w:eastAsia="en-US" w:bidi="ar-SA"/>
        </w:rPr>
        <w:t>his section describe</w:t>
      </w:r>
      <w:r>
        <w:rPr>
          <w:lang w:val="en-GB" w:eastAsia="en-US" w:bidi="ar-SA"/>
        </w:rPr>
        <w:t>s</w:t>
      </w:r>
      <w:r w:rsidRPr="00636501">
        <w:rPr>
          <w:lang w:val="en-GB" w:eastAsia="en-US" w:bidi="ar-SA"/>
        </w:rPr>
        <w:t xml:space="preserve"> the background information and literature review on earnings management and compensation contracts. Paragraph 2.1 elaborates on earnings management. This paragraph will describe what earnings management is, how earnings are managed, what activity manipulation is and why firms engage in earnings management. The second paragraph will be about compensation contracts. It describes fixed salaries, short-term incentives, and long-term incentives. Furthermore it will elaborate on the fact why managers receive stock-based compensation. In the last paragraph, paragraph 2.3, the link between earnings management and equity compensation will be described. </w:t>
      </w:r>
    </w:p>
    <w:p w:rsidR="00CD08B3" w:rsidRDefault="00CD08B3" w:rsidP="00362C47">
      <w:pPr>
        <w:rPr>
          <w:lang w:val="en-GB" w:eastAsia="en-US" w:bidi="ar-SA"/>
        </w:rPr>
      </w:pPr>
    </w:p>
    <w:p w:rsidR="00977FC8" w:rsidRPr="00CD08B3" w:rsidRDefault="00977FC8" w:rsidP="00CD08B3">
      <w:pPr>
        <w:rPr>
          <w:b/>
          <w:lang w:val="en-GB" w:eastAsia="en-US" w:bidi="ar-SA"/>
        </w:rPr>
      </w:pPr>
      <w:r w:rsidRPr="00CD08B3">
        <w:rPr>
          <w:b/>
          <w:lang w:val="en-GB" w:eastAsia="en-US" w:bidi="ar-SA"/>
        </w:rPr>
        <w:t>Inefficient Market</w:t>
      </w:r>
    </w:p>
    <w:p w:rsidR="00977FC8" w:rsidRPr="00B35505" w:rsidRDefault="00977FC8" w:rsidP="00362C47">
      <w:pPr>
        <w:rPr>
          <w:lang w:val="en-GB" w:eastAsia="en-US" w:bidi="ar-SA"/>
        </w:rPr>
      </w:pPr>
      <w:r w:rsidRPr="00B35505">
        <w:rPr>
          <w:lang w:val="en-GB"/>
        </w:rPr>
        <w:t xml:space="preserve">Throughout this </w:t>
      </w:r>
      <w:r w:rsidR="006D6ABD">
        <w:rPr>
          <w:lang w:val="en-GB"/>
        </w:rPr>
        <w:t>thesis</w:t>
      </w:r>
      <w:r w:rsidRPr="00B35505">
        <w:rPr>
          <w:lang w:val="en-GB"/>
        </w:rPr>
        <w:t>, the asymmetric information gap between the principal and the agent is discussed. This supports the notion that markets are not efficient in the strong form</w:t>
      </w:r>
      <w:r w:rsidRPr="00B35505">
        <w:rPr>
          <w:rStyle w:val="FootnoteReference"/>
          <w:lang w:val="en-GB"/>
        </w:rPr>
        <w:footnoteReference w:id="2"/>
      </w:r>
      <w:r w:rsidRPr="00B35505">
        <w:rPr>
          <w:lang w:val="en-GB"/>
        </w:rPr>
        <w:t xml:space="preserve">. According to the Efficient Market Theory (EMT) the strong form states that all information (public and private) </w:t>
      </w:r>
      <w:r w:rsidR="00DA1EBA">
        <w:rPr>
          <w:lang w:val="en-GB"/>
        </w:rPr>
        <w:t>is</w:t>
      </w:r>
      <w:r w:rsidRPr="00B35505">
        <w:rPr>
          <w:lang w:val="en-GB"/>
        </w:rPr>
        <w:t xml:space="preserve"> included in the market price. This includes that insider information (information known to management) is reflected in the share price. If this </w:t>
      </w:r>
      <w:r w:rsidR="00DA1EBA">
        <w:rPr>
          <w:lang w:val="en-GB"/>
        </w:rPr>
        <w:t>is</w:t>
      </w:r>
      <w:r w:rsidRPr="00B35505">
        <w:rPr>
          <w:lang w:val="en-GB"/>
        </w:rPr>
        <w:t xml:space="preserve"> true</w:t>
      </w:r>
      <w:r w:rsidR="00DA1EBA">
        <w:rPr>
          <w:lang w:val="en-GB"/>
        </w:rPr>
        <w:t>,</w:t>
      </w:r>
      <w:r w:rsidRPr="00B35505">
        <w:rPr>
          <w:lang w:val="en-GB"/>
        </w:rPr>
        <w:t xml:space="preserve"> </w:t>
      </w:r>
      <w:r w:rsidR="00DA1EBA">
        <w:rPr>
          <w:lang w:val="en-GB"/>
        </w:rPr>
        <w:t xml:space="preserve">the </w:t>
      </w:r>
      <w:r w:rsidRPr="00B35505">
        <w:rPr>
          <w:lang w:val="en-GB"/>
        </w:rPr>
        <w:t xml:space="preserve">reported information would not affect the stock price, because the stock price already would reflect this information. </w:t>
      </w:r>
      <w:r w:rsidR="00DA1EBA">
        <w:rPr>
          <w:lang w:val="en-GB"/>
        </w:rPr>
        <w:t>In this scenario there would be no</w:t>
      </w:r>
      <w:r w:rsidRPr="00B35505">
        <w:rPr>
          <w:lang w:val="en-GB"/>
        </w:rPr>
        <w:t xml:space="preserve"> incentive for management to manipulate earnings. </w:t>
      </w:r>
      <w:r w:rsidR="00F73488">
        <w:rPr>
          <w:lang w:val="en-GB"/>
        </w:rPr>
        <w:t>If the market was efficient in the strong form and</w:t>
      </w:r>
      <w:r w:rsidRPr="00B35505">
        <w:rPr>
          <w:lang w:val="en-GB"/>
        </w:rPr>
        <w:t xml:space="preserve"> managers reported manipulated earnings, </w:t>
      </w:r>
      <w:r w:rsidR="00F73488">
        <w:rPr>
          <w:lang w:val="en-GB"/>
        </w:rPr>
        <w:t>the market</w:t>
      </w:r>
      <w:r w:rsidRPr="00B35505">
        <w:rPr>
          <w:lang w:val="en-GB"/>
        </w:rPr>
        <w:t xml:space="preserve"> would not be fooled. Managers would therefore not be able</w:t>
      </w:r>
      <w:r w:rsidR="00F73488">
        <w:rPr>
          <w:lang w:val="en-GB"/>
        </w:rPr>
        <w:t xml:space="preserve"> to</w:t>
      </w:r>
      <w:r w:rsidRPr="00B35505">
        <w:rPr>
          <w:lang w:val="en-GB"/>
        </w:rPr>
        <w:t xml:space="preserve"> effect th</w:t>
      </w:r>
      <w:r w:rsidR="00525352">
        <w:rPr>
          <w:lang w:val="en-GB"/>
        </w:rPr>
        <w:t>eir compensation (Levy and Post</w:t>
      </w:r>
      <w:r w:rsidRPr="00B35505">
        <w:rPr>
          <w:lang w:val="en-GB"/>
        </w:rPr>
        <w:t xml:space="preserve"> 2005)</w:t>
      </w:r>
      <w:r>
        <w:rPr>
          <w:lang w:val="en-GB"/>
        </w:rPr>
        <w:t>.</w:t>
      </w:r>
      <w:r w:rsidR="00F73488">
        <w:rPr>
          <w:lang w:val="en-GB"/>
        </w:rPr>
        <w:t xml:space="preserve"> </w:t>
      </w:r>
    </w:p>
    <w:p w:rsidR="00977FC8" w:rsidRPr="00636501" w:rsidRDefault="00977FC8" w:rsidP="00362C47">
      <w:pPr>
        <w:pStyle w:val="Heading2"/>
      </w:pPr>
      <w:bookmarkStart w:id="18" w:name="_Toc221376609"/>
      <w:bookmarkStart w:id="19" w:name="_Toc221957581"/>
      <w:bookmarkStart w:id="20" w:name="_Toc274485433"/>
      <w:r w:rsidRPr="00636501">
        <w:lastRenderedPageBreak/>
        <w:t>Earnings management</w:t>
      </w:r>
      <w:bookmarkEnd w:id="18"/>
      <w:bookmarkEnd w:id="19"/>
      <w:bookmarkEnd w:id="20"/>
    </w:p>
    <w:p w:rsidR="00977FC8" w:rsidRPr="00636501" w:rsidRDefault="00977FC8" w:rsidP="00362C47">
      <w:pPr>
        <w:rPr>
          <w:lang w:val="en-GB"/>
        </w:rPr>
      </w:pPr>
      <w:r w:rsidRPr="00636501">
        <w:rPr>
          <w:lang w:val="en-GB"/>
        </w:rPr>
        <w:t xml:space="preserve">In the light of past accounting scandals and the current world economics, the credit crunch, the subject of earnings management has been receiving great attention. In 2001 the investment world was shocked when </w:t>
      </w:r>
      <w:r w:rsidRPr="00636501">
        <w:rPr>
          <w:i/>
          <w:lang w:val="en-GB"/>
        </w:rPr>
        <w:t xml:space="preserve">the </w:t>
      </w:r>
      <w:r w:rsidRPr="00636501">
        <w:rPr>
          <w:i/>
          <w:iCs/>
          <w:lang w:val="en-GB"/>
        </w:rPr>
        <w:t>smartest guys in the room</w:t>
      </w:r>
      <w:r w:rsidRPr="00636501">
        <w:rPr>
          <w:rStyle w:val="FootnoteReference"/>
          <w:rFonts w:cs="Angsana New"/>
          <w:i/>
          <w:iCs/>
          <w:lang w:val="en-GB"/>
        </w:rPr>
        <w:footnoteReference w:id="3"/>
      </w:r>
      <w:r w:rsidRPr="00636501">
        <w:rPr>
          <w:lang w:val="en-GB"/>
        </w:rPr>
        <w:t xml:space="preserve"> were caught manipulating accounts. The Enron affair bought to daylight the significant effects of earnings manipulation. Unfortunately, the Enron affair does not stand on its own. Since 2002 there has been a number of accounting scandal were earnings have been </w:t>
      </w:r>
      <w:r w:rsidR="00DF288C">
        <w:rPr>
          <w:lang w:val="en-GB"/>
        </w:rPr>
        <w:t>manipulated</w:t>
      </w:r>
      <w:r w:rsidRPr="00636501">
        <w:rPr>
          <w:lang w:val="en-GB"/>
        </w:rPr>
        <w:t xml:space="preserve"> (Royal Ahold, Parmalat and more recently Satyam Computer Services</w:t>
      </w:r>
      <w:r w:rsidRPr="00636501">
        <w:rPr>
          <w:rStyle w:val="FootnoteReference"/>
          <w:lang w:val="en-GB"/>
        </w:rPr>
        <w:footnoteReference w:id="4"/>
      </w:r>
      <w:r w:rsidRPr="00636501">
        <w:rPr>
          <w:lang w:val="en-GB"/>
        </w:rPr>
        <w:t>).</w:t>
      </w:r>
    </w:p>
    <w:p w:rsidR="00977FC8" w:rsidRPr="00636501" w:rsidRDefault="00977FC8" w:rsidP="002F28CD">
      <w:pPr>
        <w:rPr>
          <w:lang w:val="en-GB"/>
        </w:rPr>
      </w:pPr>
      <w:r w:rsidRPr="00636501">
        <w:rPr>
          <w:lang w:val="en-GB"/>
        </w:rPr>
        <w:t xml:space="preserve">It is not always clear if firms operate outside the boundaries set by regulators. </w:t>
      </w:r>
      <w:r w:rsidR="00915967">
        <w:rPr>
          <w:lang w:val="en-GB"/>
        </w:rPr>
        <w:t xml:space="preserve">As Van der Bauwhede (2003) sais </w:t>
      </w:r>
      <w:r w:rsidRPr="00636501">
        <w:rPr>
          <w:lang w:val="en-GB"/>
        </w:rPr>
        <w:t>the one form of earnings manipulation is considered fraud, the other is misleading and based on misjudgemen</w:t>
      </w:r>
      <w:r w:rsidR="00525352">
        <w:rPr>
          <w:lang w:val="en-GB"/>
        </w:rPr>
        <w:t>ts by managers</w:t>
      </w:r>
      <w:r w:rsidRPr="00636501">
        <w:rPr>
          <w:lang w:val="en-GB"/>
        </w:rPr>
        <w:t xml:space="preserve">. </w:t>
      </w:r>
      <w:r w:rsidR="00915967">
        <w:rPr>
          <w:lang w:val="en-GB"/>
        </w:rPr>
        <w:t xml:space="preserve">The corrupt view on the issue is revealed by managers that operate outside the boundaries set by regulators. </w:t>
      </w:r>
      <w:r w:rsidRPr="00636501">
        <w:rPr>
          <w:lang w:val="en-GB"/>
        </w:rPr>
        <w:t>However</w:t>
      </w:r>
      <w:r w:rsidR="00915967">
        <w:rPr>
          <w:lang w:val="en-GB"/>
        </w:rPr>
        <w:t>,</w:t>
      </w:r>
      <w:r w:rsidRPr="00636501">
        <w:rPr>
          <w:lang w:val="en-GB"/>
        </w:rPr>
        <w:t xml:space="preserve"> earnings management operates more than often within the guidelines set by the reporting authorities. </w:t>
      </w:r>
      <w:r>
        <w:rPr>
          <w:lang w:val="en-GB"/>
        </w:rPr>
        <w:t xml:space="preserve">This </w:t>
      </w:r>
      <w:r w:rsidR="006D6ABD">
        <w:rPr>
          <w:lang w:val="en-GB"/>
        </w:rPr>
        <w:t>thesis</w:t>
      </w:r>
      <w:r>
        <w:rPr>
          <w:lang w:val="en-GB"/>
        </w:rPr>
        <w:t xml:space="preserve"> </w:t>
      </w:r>
      <w:r w:rsidRPr="00636501">
        <w:rPr>
          <w:lang w:val="en-GB"/>
        </w:rPr>
        <w:t>will concentrate</w:t>
      </w:r>
      <w:r>
        <w:rPr>
          <w:lang w:val="en-GB"/>
        </w:rPr>
        <w:t xml:space="preserve"> on the </w:t>
      </w:r>
      <w:r w:rsidRPr="00636501">
        <w:rPr>
          <w:lang w:val="en-GB"/>
        </w:rPr>
        <w:t>later form of earnings management.</w:t>
      </w:r>
    </w:p>
    <w:p w:rsidR="00977FC8" w:rsidRPr="00636501" w:rsidRDefault="00977FC8" w:rsidP="00362C47">
      <w:pPr>
        <w:pStyle w:val="Heading3"/>
        <w:rPr>
          <w:lang w:val="en-GB"/>
        </w:rPr>
      </w:pPr>
      <w:bookmarkStart w:id="21" w:name="_Toc220318131"/>
      <w:bookmarkStart w:id="22" w:name="_Toc220384146"/>
      <w:bookmarkStart w:id="23" w:name="_Toc221376610"/>
      <w:bookmarkStart w:id="24" w:name="_Toc221957582"/>
      <w:bookmarkStart w:id="25" w:name="_Toc274485434"/>
      <w:r w:rsidRPr="00636501">
        <w:rPr>
          <w:lang w:val="en-GB"/>
        </w:rPr>
        <w:t>What is earnings management?</w:t>
      </w:r>
      <w:bookmarkEnd w:id="21"/>
      <w:bookmarkEnd w:id="22"/>
      <w:bookmarkEnd w:id="23"/>
      <w:bookmarkEnd w:id="24"/>
      <w:bookmarkEnd w:id="25"/>
    </w:p>
    <w:p w:rsidR="00977FC8" w:rsidRPr="00636501" w:rsidRDefault="00977FC8" w:rsidP="00362C47">
      <w:pPr>
        <w:rPr>
          <w:lang w:val="en-GB"/>
        </w:rPr>
      </w:pPr>
      <w:r w:rsidRPr="00636501">
        <w:rPr>
          <w:lang w:val="en-GB"/>
        </w:rPr>
        <w:t>Healy and Wahlen (1999) state earnings management as follows:</w:t>
      </w:r>
    </w:p>
    <w:p w:rsidR="00977FC8" w:rsidRPr="00636501" w:rsidRDefault="00977FC8" w:rsidP="00362C47">
      <w:pPr>
        <w:rPr>
          <w:lang w:val="en-GB"/>
        </w:rPr>
      </w:pPr>
    </w:p>
    <w:p w:rsidR="00977FC8" w:rsidRPr="00636501" w:rsidRDefault="00977FC8" w:rsidP="00362C47">
      <w:pPr>
        <w:ind w:left="708"/>
        <w:rPr>
          <w:lang w:val="en-GB"/>
        </w:rPr>
      </w:pPr>
      <w:r w:rsidRPr="00636501">
        <w:rPr>
          <w:i/>
          <w:iCs/>
          <w:lang w:val="en-GB"/>
        </w:rPr>
        <w:t xml:space="preserve">“Earnings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 </w:t>
      </w:r>
      <w:r w:rsidR="00525352">
        <w:rPr>
          <w:lang w:val="en-GB"/>
        </w:rPr>
        <w:t>(Healy and Wahlen 1999,</w:t>
      </w:r>
      <w:r w:rsidRPr="00636501">
        <w:rPr>
          <w:lang w:val="en-GB"/>
        </w:rPr>
        <w:t xml:space="preserve"> 368)</w:t>
      </w:r>
    </w:p>
    <w:p w:rsidR="00977FC8" w:rsidRPr="00636501" w:rsidRDefault="00977FC8" w:rsidP="00362C47">
      <w:pPr>
        <w:ind w:left="708"/>
        <w:rPr>
          <w:lang w:val="en-GB"/>
        </w:rPr>
      </w:pPr>
    </w:p>
    <w:p w:rsidR="00977FC8" w:rsidRDefault="00977FC8" w:rsidP="00362C47">
      <w:pPr>
        <w:rPr>
          <w:lang w:val="en-GB"/>
        </w:rPr>
      </w:pPr>
      <w:r w:rsidRPr="00636501">
        <w:rPr>
          <w:lang w:val="en-GB"/>
        </w:rPr>
        <w:t>In this definition Healy and Wahlen use a judgement criterion, as well as the goal of earnings management.</w:t>
      </w:r>
      <w:r>
        <w:rPr>
          <w:lang w:val="en-GB"/>
        </w:rPr>
        <w:t xml:space="preserve"> </w:t>
      </w:r>
    </w:p>
    <w:p w:rsidR="00977FC8" w:rsidRPr="00636501" w:rsidRDefault="00977FC8" w:rsidP="00362C47">
      <w:pPr>
        <w:rPr>
          <w:lang w:val="en-GB"/>
        </w:rPr>
      </w:pPr>
      <w:r w:rsidRPr="00636501">
        <w:rPr>
          <w:lang w:val="en-GB"/>
        </w:rPr>
        <w:lastRenderedPageBreak/>
        <w:t>The judgement criterion implies that earnings management is an activity that is purposely undertaken by management. This judgement criterion is cited in a number of articles as moving within t</w:t>
      </w:r>
      <w:r>
        <w:rPr>
          <w:lang w:val="en-GB"/>
        </w:rPr>
        <w:t>he boundaries set by regulators</w:t>
      </w:r>
      <w:r w:rsidR="00525352">
        <w:rPr>
          <w:lang w:val="en-GB"/>
        </w:rPr>
        <w:t xml:space="preserve"> (e.g. Daniel et al. 2008; Benish 2001</w:t>
      </w:r>
      <w:r w:rsidRPr="00636501">
        <w:rPr>
          <w:lang w:val="en-GB"/>
        </w:rPr>
        <w:t>). This criterion implies that management does not intentionally manipulate accounts. However, it implies the use of professional discernment used by management. This discernment addresses the main challenge researches face (Beneish 2001). According to Bergstresser and Philopp</w:t>
      </w:r>
      <w:r>
        <w:rPr>
          <w:lang w:val="en-GB"/>
        </w:rPr>
        <w:t>o</w:t>
      </w:r>
      <w:r w:rsidRPr="00636501">
        <w:rPr>
          <w:lang w:val="en-GB"/>
        </w:rPr>
        <w:t xml:space="preserve">n (2006) earnings management </w:t>
      </w:r>
      <w:r w:rsidR="00915967">
        <w:rPr>
          <w:lang w:val="en-GB"/>
        </w:rPr>
        <w:t>occurs</w:t>
      </w:r>
      <w:r w:rsidRPr="00636501">
        <w:rPr>
          <w:lang w:val="en-GB"/>
        </w:rPr>
        <w:t xml:space="preserve">, when reported income includes cash flows and changes in firm value. </w:t>
      </w:r>
      <w:r w:rsidR="00915967">
        <w:rPr>
          <w:lang w:val="en-GB"/>
        </w:rPr>
        <w:t>C</w:t>
      </w:r>
      <w:r w:rsidRPr="00636501">
        <w:rPr>
          <w:lang w:val="en-GB"/>
        </w:rPr>
        <w:t>ash flow</w:t>
      </w:r>
      <w:r>
        <w:rPr>
          <w:lang w:val="en-GB"/>
        </w:rPr>
        <w:t>s</w:t>
      </w:r>
      <w:r w:rsidRPr="00636501">
        <w:rPr>
          <w:lang w:val="en-GB"/>
        </w:rPr>
        <w:t xml:space="preserve"> are not difficult to establish, </w:t>
      </w:r>
      <w:r w:rsidR="00915967">
        <w:rPr>
          <w:lang w:val="en-GB"/>
        </w:rPr>
        <w:t xml:space="preserve">but </w:t>
      </w:r>
      <w:r w:rsidRPr="00636501">
        <w:rPr>
          <w:lang w:val="en-GB"/>
        </w:rPr>
        <w:t>changes in firm value requires a greater deal of management discernment.</w:t>
      </w:r>
    </w:p>
    <w:p w:rsidR="00977FC8" w:rsidRPr="00636501" w:rsidRDefault="00977FC8" w:rsidP="00362C47">
      <w:pPr>
        <w:rPr>
          <w:lang w:val="en-GB"/>
        </w:rPr>
      </w:pPr>
      <w:r w:rsidRPr="00636501">
        <w:rPr>
          <w:lang w:val="en-GB"/>
        </w:rPr>
        <w:t xml:space="preserve">Healy and Wahlen also state the goal of earnings management. On the one hand misleading stakeholders, and on the other hand influencing contractual outcomes. In general earnings management is aimed at </w:t>
      </w:r>
      <w:r w:rsidR="00915967">
        <w:rPr>
          <w:lang w:val="en-GB"/>
        </w:rPr>
        <w:t>transferring wealth</w:t>
      </w:r>
      <w:r w:rsidRPr="00636501">
        <w:rPr>
          <w:lang w:val="en-GB"/>
        </w:rPr>
        <w:t xml:space="preserve"> (Stolowy</w:t>
      </w:r>
      <w:r>
        <w:rPr>
          <w:lang w:val="en-GB"/>
        </w:rPr>
        <w:t xml:space="preserve"> and</w:t>
      </w:r>
      <w:r w:rsidRPr="00636501">
        <w:rPr>
          <w:lang w:val="en-GB"/>
        </w:rPr>
        <w:t xml:space="preserve"> Breton 2004). </w:t>
      </w:r>
    </w:p>
    <w:p w:rsidR="00977FC8" w:rsidRPr="00636501" w:rsidRDefault="00977FC8" w:rsidP="00362C47">
      <w:pPr>
        <w:pStyle w:val="Heading3"/>
        <w:rPr>
          <w:lang w:val="en-GB"/>
        </w:rPr>
      </w:pPr>
      <w:bookmarkStart w:id="26" w:name="_Toc220318132"/>
      <w:bookmarkStart w:id="27" w:name="_Toc220384147"/>
      <w:bookmarkStart w:id="28" w:name="_Toc221376611"/>
      <w:bookmarkStart w:id="29" w:name="_Toc221957583"/>
      <w:bookmarkStart w:id="30" w:name="_Toc274485435"/>
      <w:r w:rsidRPr="00636501">
        <w:rPr>
          <w:lang w:val="en-GB"/>
        </w:rPr>
        <w:t>How are earnings managed?</w:t>
      </w:r>
      <w:bookmarkEnd w:id="26"/>
      <w:bookmarkEnd w:id="27"/>
      <w:bookmarkEnd w:id="28"/>
      <w:bookmarkEnd w:id="29"/>
      <w:bookmarkEnd w:id="30"/>
    </w:p>
    <w:p w:rsidR="00977FC8" w:rsidRPr="00636501" w:rsidRDefault="00977FC8" w:rsidP="003555DA">
      <w:pPr>
        <w:rPr>
          <w:lang w:val="en-GB"/>
        </w:rPr>
      </w:pPr>
      <w:r w:rsidRPr="00636501">
        <w:rPr>
          <w:lang w:val="en-GB"/>
        </w:rPr>
        <w:t xml:space="preserve">Financial reports convey earnings that have occurred throughout the past period. These earnings are based on cash flow plus changes in firm value (Bergstresser and Philippon 2006). Whilst cash flows are easily determined, changes in firm value are more challenging. It is in determining this change in firm value that managers are granted some </w:t>
      </w:r>
      <w:r w:rsidR="00244DD6">
        <w:rPr>
          <w:lang w:val="en-GB"/>
        </w:rPr>
        <w:t>freedom</w:t>
      </w:r>
      <w:r w:rsidRPr="00636501">
        <w:rPr>
          <w:lang w:val="en-GB"/>
        </w:rPr>
        <w:t xml:space="preserve"> by </w:t>
      </w:r>
      <w:r w:rsidR="00244DD6">
        <w:rPr>
          <w:lang w:val="en-GB"/>
        </w:rPr>
        <w:t xml:space="preserve">regulators and </w:t>
      </w:r>
      <w:r w:rsidRPr="00636501">
        <w:rPr>
          <w:lang w:val="en-GB"/>
        </w:rPr>
        <w:t xml:space="preserve">standard setters. </w:t>
      </w:r>
      <w:r w:rsidR="00244DD6">
        <w:rPr>
          <w:lang w:val="en-GB"/>
        </w:rPr>
        <w:t>The accrual account, designed by standard setters, is a</w:t>
      </w:r>
      <w:r w:rsidRPr="00636501">
        <w:rPr>
          <w:lang w:val="en-GB"/>
        </w:rPr>
        <w:t xml:space="preserve"> common account used to manipulate earnings. </w:t>
      </w:r>
      <w:r w:rsidR="00244DD6">
        <w:rPr>
          <w:lang w:val="en-GB"/>
        </w:rPr>
        <w:t xml:space="preserve">Benish (2001) states that it is like that earnings management takes place in the accrual account. </w:t>
      </w:r>
      <w:r w:rsidRPr="00636501">
        <w:rPr>
          <w:lang w:val="en-GB"/>
        </w:rPr>
        <w:t xml:space="preserve">However the aim of standard setters was not to provide managers with a possibility for earnings management. Accruals were designed to express valuation changes that had not yet related </w:t>
      </w:r>
      <w:r w:rsidR="00525352">
        <w:rPr>
          <w:lang w:val="en-GB"/>
        </w:rPr>
        <w:t>in cash flows (Gao and Shrieves</w:t>
      </w:r>
      <w:r w:rsidRPr="00636501">
        <w:rPr>
          <w:lang w:val="en-GB"/>
        </w:rPr>
        <w:t xml:space="preserve"> 2002). This poses the problem that not all accruals are related to earnings management. With regards to earnings management, </w:t>
      </w:r>
      <w:r w:rsidR="00D75472">
        <w:rPr>
          <w:lang w:val="en-GB"/>
        </w:rPr>
        <w:t xml:space="preserve">only </w:t>
      </w:r>
      <w:r w:rsidRPr="00636501">
        <w:rPr>
          <w:lang w:val="en-GB"/>
        </w:rPr>
        <w:t xml:space="preserve">the discretionary component of </w:t>
      </w:r>
      <w:r w:rsidR="00254EA5">
        <w:rPr>
          <w:lang w:val="en-GB"/>
        </w:rPr>
        <w:t xml:space="preserve">accruals is </w:t>
      </w:r>
      <w:r w:rsidR="00FA7E1C">
        <w:rPr>
          <w:lang w:val="en-GB"/>
        </w:rPr>
        <w:t>important</w:t>
      </w:r>
      <w:r w:rsidR="00254EA5">
        <w:rPr>
          <w:lang w:val="en-GB"/>
        </w:rPr>
        <w:t xml:space="preserve"> </w:t>
      </w:r>
      <w:r w:rsidR="00525352">
        <w:rPr>
          <w:lang w:val="en-GB"/>
        </w:rPr>
        <w:t>(Benish</w:t>
      </w:r>
      <w:r w:rsidRPr="00636501">
        <w:rPr>
          <w:lang w:val="en-GB"/>
        </w:rPr>
        <w:t xml:space="preserve"> 2001). </w:t>
      </w:r>
    </w:p>
    <w:p w:rsidR="00977FC8" w:rsidRDefault="00977FC8" w:rsidP="00362C47">
      <w:pPr>
        <w:rPr>
          <w:lang w:val="en-GB"/>
        </w:rPr>
      </w:pPr>
    </w:p>
    <w:p w:rsidR="00977FC8" w:rsidRPr="007F5236" w:rsidRDefault="00244DD6" w:rsidP="00362C47">
      <w:pPr>
        <w:rPr>
          <w:lang w:val="en-GB"/>
        </w:rPr>
      </w:pPr>
      <w:r>
        <w:rPr>
          <w:lang w:val="en-GB"/>
        </w:rPr>
        <w:t>Based on their sales and value of assets, a</w:t>
      </w:r>
      <w:r w:rsidR="00977FC8" w:rsidRPr="007F5236">
        <w:rPr>
          <w:lang w:val="en-GB"/>
        </w:rPr>
        <w:t xml:space="preserve">ll firms are expected to have a certain level of accruals </w:t>
      </w:r>
      <w:r w:rsidR="00525352">
        <w:rPr>
          <w:lang w:val="en-GB"/>
        </w:rPr>
        <w:t>(Van der Bauwhede</w:t>
      </w:r>
      <w:r w:rsidR="00977FC8" w:rsidRPr="007F5236">
        <w:rPr>
          <w:lang w:val="en-GB"/>
        </w:rPr>
        <w:t xml:space="preserve"> 2003). However when </w:t>
      </w:r>
      <w:r>
        <w:rPr>
          <w:lang w:val="en-GB"/>
        </w:rPr>
        <w:t>these accruals exceed non-</w:t>
      </w:r>
      <w:r w:rsidR="00977FC8" w:rsidRPr="007F5236">
        <w:rPr>
          <w:lang w:val="en-GB"/>
        </w:rPr>
        <w:t>discretionary</w:t>
      </w:r>
      <w:r>
        <w:rPr>
          <w:lang w:val="en-GB"/>
        </w:rPr>
        <w:t xml:space="preserve"> levels, they could indicate to tend </w:t>
      </w:r>
      <w:r w:rsidR="00977FC8" w:rsidRPr="007F5236">
        <w:rPr>
          <w:lang w:val="en-GB"/>
        </w:rPr>
        <w:t>to manage earnings.</w:t>
      </w:r>
    </w:p>
    <w:p w:rsidR="00977FC8" w:rsidRPr="007F5236" w:rsidRDefault="00977FC8" w:rsidP="00362C47">
      <w:pPr>
        <w:rPr>
          <w:lang w:val="en-GB"/>
        </w:rPr>
      </w:pPr>
      <w:r w:rsidRPr="007F5236">
        <w:rPr>
          <w:lang w:val="en-GB"/>
        </w:rPr>
        <w:lastRenderedPageBreak/>
        <w:t>Over the years there have been a number of methods developed to detect earnings management. Healy (1985) and DeAngelo (1986)</w:t>
      </w:r>
      <w:r w:rsidRPr="007F5236">
        <w:rPr>
          <w:rStyle w:val="FootnoteReference"/>
          <w:lang w:val="en-GB"/>
        </w:rPr>
        <w:footnoteReference w:id="5"/>
      </w:r>
      <w:r w:rsidRPr="007F5236">
        <w:rPr>
          <w:lang w:val="en-GB"/>
        </w:rPr>
        <w:t xml:space="preserve"> develop</w:t>
      </w:r>
      <w:r>
        <w:rPr>
          <w:lang w:val="en-GB"/>
        </w:rPr>
        <w:t>ed</w:t>
      </w:r>
      <w:r w:rsidRPr="007F5236">
        <w:rPr>
          <w:lang w:val="en-GB"/>
        </w:rPr>
        <w:t xml:space="preserve"> methods that were very dependent on years were no earnings management was suspected. This was the biggest weakness for these models.  </w:t>
      </w:r>
    </w:p>
    <w:p w:rsidR="00977FC8" w:rsidRPr="00636501" w:rsidRDefault="00525352" w:rsidP="00362C47">
      <w:pPr>
        <w:rPr>
          <w:lang w:val="en-GB"/>
        </w:rPr>
      </w:pPr>
      <w:r>
        <w:rPr>
          <w:lang w:val="en-GB"/>
        </w:rPr>
        <w:t>The Jones model (Jones</w:t>
      </w:r>
      <w:r w:rsidR="00977FC8" w:rsidRPr="007F5236">
        <w:rPr>
          <w:lang w:val="en-GB"/>
        </w:rPr>
        <w:t xml:space="preserve"> 1991) and the modified Jones model (Dechow et al. 1995) were created to try</w:t>
      </w:r>
      <w:r w:rsidR="00260D05">
        <w:rPr>
          <w:lang w:val="en-GB"/>
        </w:rPr>
        <w:t xml:space="preserve"> to</w:t>
      </w:r>
      <w:r w:rsidR="00977FC8" w:rsidRPr="007F5236">
        <w:rPr>
          <w:lang w:val="en-GB"/>
        </w:rPr>
        <w:t xml:space="preserve"> eliminate the discretionary element of the accruals, by taking into consideration changes in t</w:t>
      </w:r>
      <w:r>
        <w:rPr>
          <w:lang w:val="en-GB"/>
        </w:rPr>
        <w:t>he economic environment (Benish</w:t>
      </w:r>
      <w:r w:rsidR="00977FC8" w:rsidRPr="007F5236">
        <w:rPr>
          <w:lang w:val="en-GB"/>
        </w:rPr>
        <w:t xml:space="preserve"> 2001). However like most models these models have various limitations (read for f</w:t>
      </w:r>
      <w:r w:rsidR="00977FC8">
        <w:rPr>
          <w:lang w:val="en-GB"/>
        </w:rPr>
        <w:t>urther details on the models paragraph 2.1.4</w:t>
      </w:r>
      <w:r w:rsidR="00977FC8" w:rsidRPr="007F5236">
        <w:rPr>
          <w:lang w:val="en-GB"/>
        </w:rPr>
        <w:t>). Studies have shown that changes in inventory, and accounts receivables can resemble earn</w:t>
      </w:r>
      <w:r>
        <w:rPr>
          <w:lang w:val="en-GB"/>
        </w:rPr>
        <w:t>ings manipulation (Roychowdhury</w:t>
      </w:r>
      <w:r w:rsidR="00977FC8" w:rsidRPr="007F5236">
        <w:rPr>
          <w:lang w:val="en-GB"/>
        </w:rPr>
        <w:t xml:space="preserve"> 2006</w:t>
      </w:r>
      <w:r>
        <w:rPr>
          <w:lang w:val="en-GB"/>
        </w:rPr>
        <w:t>;</w:t>
      </w:r>
      <w:r w:rsidR="00977FC8" w:rsidRPr="007F5236">
        <w:rPr>
          <w:lang w:val="en-GB"/>
        </w:rPr>
        <w:t xml:space="preserve"> </w:t>
      </w:r>
      <w:r>
        <w:rPr>
          <w:lang w:val="en-GB"/>
        </w:rPr>
        <w:t>Stowley and Berton</w:t>
      </w:r>
      <w:r w:rsidR="00977FC8" w:rsidRPr="007F5236">
        <w:rPr>
          <w:lang w:val="en-GB"/>
        </w:rPr>
        <w:t xml:space="preserve"> 2004).</w:t>
      </w:r>
    </w:p>
    <w:p w:rsidR="00977FC8" w:rsidRPr="00636501" w:rsidRDefault="00977FC8" w:rsidP="00362C47">
      <w:pPr>
        <w:rPr>
          <w:lang w:val="en-GB"/>
        </w:rPr>
      </w:pPr>
    </w:p>
    <w:p w:rsidR="00977FC8" w:rsidRPr="00636501" w:rsidRDefault="00977FC8" w:rsidP="00362C47">
      <w:pPr>
        <w:rPr>
          <w:lang w:val="en-GB"/>
        </w:rPr>
      </w:pPr>
      <w:r w:rsidRPr="00636501">
        <w:rPr>
          <w:lang w:val="en-GB"/>
        </w:rPr>
        <w:t xml:space="preserve">Rational minds would suggest that investors, being able to detect earnings management, would punish firms that violate the freedom granted to them by standard setters. Studies carried out by Teoh et al. (1998a, b) and Teoh and Wong (2002) suggest that investors are “naïve” in detecting earnings manipulations, due to the asymmetric information gap. Although there are models that can predict the possibilities of earnings management, an accurate forecast remains difficult. </w:t>
      </w:r>
    </w:p>
    <w:p w:rsidR="00977FC8" w:rsidRPr="00636501" w:rsidRDefault="00977FC8" w:rsidP="00362C47">
      <w:pPr>
        <w:rPr>
          <w:lang w:val="en-GB"/>
        </w:rPr>
      </w:pPr>
      <w:r w:rsidRPr="00636501">
        <w:rPr>
          <w:lang w:val="en-GB"/>
        </w:rPr>
        <w:t>It should be said that most researches that are carried out assume that the market is not aware of the tendency by managers to alter earnings. However according to a study by Stein (1989) investors rationally expect managers to manage earnings. As a result, in pricing stock analysts</w:t>
      </w:r>
      <w:r w:rsidR="00ED6188">
        <w:rPr>
          <w:lang w:val="en-GB"/>
        </w:rPr>
        <w:t>’</w:t>
      </w:r>
      <w:r w:rsidRPr="00636501">
        <w:rPr>
          <w:lang w:val="en-GB"/>
        </w:rPr>
        <w:t xml:space="preserve"> expect managers to </w:t>
      </w:r>
      <w:r w:rsidR="00B70F08">
        <w:rPr>
          <w:lang w:val="en-GB"/>
        </w:rPr>
        <w:t>manipulate</w:t>
      </w:r>
      <w:r w:rsidRPr="00636501">
        <w:rPr>
          <w:lang w:val="en-GB"/>
        </w:rPr>
        <w:t xml:space="preserve"> earnings. The market </w:t>
      </w:r>
      <w:r w:rsidR="00B70F08">
        <w:rPr>
          <w:lang w:val="en-GB"/>
        </w:rPr>
        <w:t>knows it cannot prevent earnings manipulation from happ</w:t>
      </w:r>
      <w:r w:rsidRPr="00636501">
        <w:rPr>
          <w:lang w:val="en-GB"/>
        </w:rPr>
        <w:t xml:space="preserve">ening so </w:t>
      </w:r>
      <w:r w:rsidR="00B70F08">
        <w:rPr>
          <w:lang w:val="en-GB"/>
        </w:rPr>
        <w:t xml:space="preserve">it </w:t>
      </w:r>
      <w:r w:rsidRPr="00636501">
        <w:rPr>
          <w:lang w:val="en-GB"/>
        </w:rPr>
        <w:t xml:space="preserve">anticipates that </w:t>
      </w:r>
      <w:r w:rsidR="00B70F08">
        <w:rPr>
          <w:lang w:val="en-GB"/>
        </w:rPr>
        <w:t xml:space="preserve">earnings </w:t>
      </w:r>
      <w:r w:rsidRPr="00636501">
        <w:rPr>
          <w:lang w:val="en-GB"/>
        </w:rPr>
        <w:t>have b</w:t>
      </w:r>
      <w:r w:rsidR="00525352">
        <w:rPr>
          <w:lang w:val="en-GB"/>
        </w:rPr>
        <w:t>een managed (Cheng and Warfield</w:t>
      </w:r>
      <w:r w:rsidRPr="00636501">
        <w:rPr>
          <w:lang w:val="en-GB"/>
        </w:rPr>
        <w:t xml:space="preserve"> 2005). This would be consistent with the efficient market </w:t>
      </w:r>
      <w:r w:rsidR="00B70F08">
        <w:rPr>
          <w:lang w:val="en-GB"/>
        </w:rPr>
        <w:t>hypothesis</w:t>
      </w:r>
      <w:r w:rsidRPr="00636501">
        <w:rPr>
          <w:lang w:val="en-GB"/>
        </w:rPr>
        <w:t xml:space="preserve">. The share price reflexes all information, i.e. public and private. The share price therefore portrays a true view of the firm, where managed earnings are processed in the market price. </w:t>
      </w:r>
    </w:p>
    <w:p w:rsidR="00977FC8" w:rsidRDefault="00977FC8" w:rsidP="00362C47">
      <w:pPr>
        <w:rPr>
          <w:lang w:val="en-GB"/>
        </w:rPr>
      </w:pPr>
      <w:r w:rsidRPr="00636501">
        <w:rPr>
          <w:lang w:val="en-GB"/>
        </w:rPr>
        <w:t xml:space="preserve">Coles et al. (2006) suggest that investors are well informed and sophisticated in there awareness of earnings </w:t>
      </w:r>
      <w:r w:rsidR="00FD6EAC">
        <w:rPr>
          <w:lang w:val="en-GB"/>
        </w:rPr>
        <w:t>manipulation</w:t>
      </w:r>
      <w:r w:rsidRPr="00636501">
        <w:rPr>
          <w:lang w:val="en-GB"/>
        </w:rPr>
        <w:t xml:space="preserve">. Nevertheless, the transparency into incentives and account manipulation is limited. Even though models might be available, these </w:t>
      </w:r>
      <w:r w:rsidRPr="00636501">
        <w:rPr>
          <w:lang w:val="en-GB"/>
        </w:rPr>
        <w:lastRenderedPageBreak/>
        <w:t xml:space="preserve">models face limitations and can only indicate the possible use of earnings management.  </w:t>
      </w:r>
    </w:p>
    <w:p w:rsidR="00CD08B3" w:rsidRPr="00636501" w:rsidRDefault="00CD08B3" w:rsidP="00362C47">
      <w:pPr>
        <w:rPr>
          <w:lang w:val="en-GB"/>
        </w:rPr>
      </w:pPr>
    </w:p>
    <w:p w:rsidR="00977FC8" w:rsidRPr="00CD08B3" w:rsidRDefault="00977FC8" w:rsidP="00CD08B3">
      <w:pPr>
        <w:rPr>
          <w:b/>
          <w:lang w:val="en-GB"/>
        </w:rPr>
      </w:pPr>
      <w:bookmarkStart w:id="31" w:name="_Toc220318133"/>
      <w:bookmarkStart w:id="32" w:name="_Toc220384148"/>
      <w:bookmarkStart w:id="33" w:name="_Toc221336581"/>
      <w:bookmarkStart w:id="34" w:name="_Toc221376612"/>
      <w:bookmarkStart w:id="35" w:name="_Toc221957584"/>
      <w:r w:rsidRPr="00CD08B3">
        <w:rPr>
          <w:b/>
          <w:lang w:val="en-GB"/>
        </w:rPr>
        <w:t>Activity manipulation</w:t>
      </w:r>
      <w:bookmarkEnd w:id="31"/>
      <w:bookmarkEnd w:id="32"/>
      <w:bookmarkEnd w:id="33"/>
      <w:bookmarkEnd w:id="34"/>
      <w:bookmarkEnd w:id="35"/>
    </w:p>
    <w:p w:rsidR="00977FC8" w:rsidRPr="00636501" w:rsidRDefault="00977FC8" w:rsidP="00362C47">
      <w:pPr>
        <w:rPr>
          <w:lang w:val="en-GB"/>
        </w:rPr>
      </w:pPr>
      <w:r w:rsidRPr="00636501">
        <w:rPr>
          <w:lang w:val="en-GB"/>
        </w:rPr>
        <w:t xml:space="preserve">Most studies carried out focus on account manipulation, however Roychowdhury (2006) suggest that the effects of direct account manipulation are relatively lower in comparison to activity manipulation. </w:t>
      </w:r>
      <w:r w:rsidR="00FD6EAC">
        <w:rPr>
          <w:lang w:val="en-GB"/>
        </w:rPr>
        <w:t>Activity manipulation can be characterized as a difference from normal operation with the objective to meet certain earnings targets</w:t>
      </w:r>
      <w:r w:rsidR="00525352">
        <w:rPr>
          <w:lang w:val="en-GB"/>
        </w:rPr>
        <w:t xml:space="preserve"> (Roychowdhury</w:t>
      </w:r>
      <w:r w:rsidRPr="00636501">
        <w:rPr>
          <w:lang w:val="en-GB"/>
        </w:rPr>
        <w:t xml:space="preserve"> 2006). One might argue that activities that increase earnings are only good for the firm. Roychowdhury mentions an increase in sales by means of temporary discounts. </w:t>
      </w:r>
      <w:r w:rsidR="00DF5AC7">
        <w:rPr>
          <w:lang w:val="en-GB"/>
        </w:rPr>
        <w:t>This</w:t>
      </w:r>
      <w:r w:rsidR="00FD6EAC">
        <w:rPr>
          <w:lang w:val="en-GB"/>
        </w:rPr>
        <w:t xml:space="preserve"> cannot </w:t>
      </w:r>
      <w:r w:rsidR="00DF5AC7">
        <w:rPr>
          <w:lang w:val="en-GB"/>
        </w:rPr>
        <w:t>harm the interest of a firm</w:t>
      </w:r>
      <w:r w:rsidR="00FD6EAC">
        <w:rPr>
          <w:lang w:val="en-GB"/>
        </w:rPr>
        <w:t xml:space="preserve"> and investors might even appreciate a certain degree of entrepreneurship to sell products that might hav</w:t>
      </w:r>
      <w:r w:rsidR="00DF5AC7">
        <w:rPr>
          <w:lang w:val="en-GB"/>
        </w:rPr>
        <w:t>e not been sold without a discount. However earnings manipulation is  known for its short-term perspective. Therefore managers might mislead stakeholders</w:t>
      </w:r>
      <w:r w:rsidRPr="00636501">
        <w:rPr>
          <w:lang w:val="en-GB"/>
        </w:rPr>
        <w:t xml:space="preserve"> (Stolowy and Berton 2004). Activity manipulation doesn’t support this notion because it does not mislead investors. Reported earnings by management are not incorrectly stated and do not present an untrue view of the value of the company. </w:t>
      </w:r>
      <w:r w:rsidR="00DF5AC7">
        <w:rPr>
          <w:lang w:val="en-GB"/>
        </w:rPr>
        <w:t>E</w:t>
      </w:r>
      <w:r w:rsidRPr="00636501">
        <w:rPr>
          <w:lang w:val="en-GB"/>
        </w:rPr>
        <w:t xml:space="preserve">arnings management through account manipulation does not always materialize and produce cash flows, therefore not benefiting investors. Cash flows </w:t>
      </w:r>
      <w:r w:rsidR="00DF5AC7">
        <w:rPr>
          <w:lang w:val="en-GB"/>
        </w:rPr>
        <w:t>change</w:t>
      </w:r>
      <w:r w:rsidRPr="00636501">
        <w:rPr>
          <w:lang w:val="en-GB"/>
        </w:rPr>
        <w:t xml:space="preserve"> the capacity of firms to pay out dividend. DeAngelo and DeAngelo (2006) research suggests that dividend payouts are important to investors. Further research has shown that dividend cuts are punis</w:t>
      </w:r>
      <w:r w:rsidR="00525352">
        <w:rPr>
          <w:lang w:val="en-GB"/>
        </w:rPr>
        <w:t>hed at the stock market (Pettit</w:t>
      </w:r>
      <w:r w:rsidRPr="00636501">
        <w:rPr>
          <w:lang w:val="en-GB"/>
        </w:rPr>
        <w:t xml:space="preserve"> 1972; Aharnoy and Sw</w:t>
      </w:r>
      <w:r w:rsidR="00525352">
        <w:rPr>
          <w:lang w:val="en-GB"/>
        </w:rPr>
        <w:t>ary</w:t>
      </w:r>
      <w:r w:rsidRPr="00636501">
        <w:rPr>
          <w:lang w:val="en-GB"/>
        </w:rPr>
        <w:t xml:space="preserve"> 1980</w:t>
      </w:r>
      <w:r w:rsidR="00525352">
        <w:rPr>
          <w:lang w:val="en-GB"/>
        </w:rPr>
        <w:t>;</w:t>
      </w:r>
      <w:r w:rsidRPr="00636501">
        <w:rPr>
          <w:lang w:val="en-GB"/>
        </w:rPr>
        <w:t xml:space="preserve"> </w:t>
      </w:r>
      <w:r w:rsidR="00525352">
        <w:rPr>
          <w:lang w:val="en-GB"/>
        </w:rPr>
        <w:t>Gullon et al.</w:t>
      </w:r>
      <w:r w:rsidRPr="00636501">
        <w:rPr>
          <w:lang w:val="en-GB"/>
        </w:rPr>
        <w:t xml:space="preserve"> 2002). Therefore earnings that do not materialise into cash flow, damage the cash position of the firm. </w:t>
      </w:r>
    </w:p>
    <w:p w:rsidR="00977FC8" w:rsidRPr="00636501" w:rsidRDefault="00977FC8" w:rsidP="00362C47">
      <w:pPr>
        <w:pStyle w:val="Heading3"/>
        <w:rPr>
          <w:lang w:val="en-GB"/>
        </w:rPr>
      </w:pPr>
      <w:bookmarkStart w:id="36" w:name="_Toc221336582"/>
      <w:bookmarkStart w:id="37" w:name="_Toc221376613"/>
      <w:bookmarkStart w:id="38" w:name="_Toc221957585"/>
      <w:bookmarkStart w:id="39" w:name="_Toc274485436"/>
      <w:r w:rsidRPr="00636501">
        <w:rPr>
          <w:lang w:val="en-GB"/>
        </w:rPr>
        <w:t>Why do firms engage in earnings management</w:t>
      </w:r>
      <w:bookmarkEnd w:id="36"/>
      <w:bookmarkEnd w:id="37"/>
      <w:r w:rsidRPr="00636501">
        <w:rPr>
          <w:lang w:val="en-GB"/>
        </w:rPr>
        <w:t>?</w:t>
      </w:r>
      <w:bookmarkEnd w:id="38"/>
      <w:bookmarkEnd w:id="39"/>
    </w:p>
    <w:p w:rsidR="00977FC8" w:rsidRPr="00636501" w:rsidRDefault="00977FC8" w:rsidP="00362C47">
      <w:pPr>
        <w:rPr>
          <w:lang w:val="en-GB"/>
        </w:rPr>
      </w:pPr>
      <w:r w:rsidRPr="00636501">
        <w:rPr>
          <w:lang w:val="en-GB"/>
        </w:rPr>
        <w:t>Although throughout the literature different forms of compensation are given for the exist</w:t>
      </w:r>
      <w:r>
        <w:rPr>
          <w:lang w:val="en-GB"/>
        </w:rPr>
        <w:t>ence of earnings management, St</w:t>
      </w:r>
      <w:r w:rsidRPr="00636501">
        <w:rPr>
          <w:lang w:val="en-GB"/>
        </w:rPr>
        <w:t>o</w:t>
      </w:r>
      <w:r>
        <w:rPr>
          <w:lang w:val="en-GB"/>
        </w:rPr>
        <w:t>lo</w:t>
      </w:r>
      <w:r w:rsidRPr="00636501">
        <w:rPr>
          <w:lang w:val="en-GB"/>
        </w:rPr>
        <w:t xml:space="preserve">wy and Berton (2004) state that </w:t>
      </w:r>
      <w:r w:rsidR="004A7F9E">
        <w:rPr>
          <w:lang w:val="en-GB"/>
        </w:rPr>
        <w:t xml:space="preserve">the why </w:t>
      </w:r>
      <w:r w:rsidRPr="00636501">
        <w:rPr>
          <w:lang w:val="en-GB"/>
        </w:rPr>
        <w:t>earnings management exist</w:t>
      </w:r>
      <w:r w:rsidR="004A7F9E">
        <w:rPr>
          <w:lang w:val="en-GB"/>
        </w:rPr>
        <w:t xml:space="preserve"> is</w:t>
      </w:r>
      <w:r w:rsidRPr="00636501">
        <w:rPr>
          <w:lang w:val="en-GB"/>
        </w:rPr>
        <w:t xml:space="preserve"> to profit from the possibilities of wealth transfer. Benish (2001) distinguished between </w:t>
      </w:r>
      <w:r>
        <w:rPr>
          <w:lang w:val="en-GB"/>
        </w:rPr>
        <w:t>four</w:t>
      </w:r>
      <w:r w:rsidRPr="00636501">
        <w:rPr>
          <w:lang w:val="en-GB"/>
        </w:rPr>
        <w:t xml:space="preserve"> possible </w:t>
      </w:r>
      <w:r w:rsidR="00254EA5">
        <w:rPr>
          <w:lang w:val="en-GB"/>
        </w:rPr>
        <w:t>motives for earnings management:</w:t>
      </w:r>
    </w:p>
    <w:p w:rsidR="00977FC8" w:rsidRPr="00636501" w:rsidRDefault="00977FC8" w:rsidP="00362C47">
      <w:pPr>
        <w:numPr>
          <w:ilvl w:val="0"/>
          <w:numId w:val="14"/>
        </w:numPr>
        <w:rPr>
          <w:lang w:val="en-GB"/>
        </w:rPr>
      </w:pPr>
      <w:r w:rsidRPr="00636501">
        <w:rPr>
          <w:lang w:val="en-GB"/>
        </w:rPr>
        <w:t>Debt contracts;</w:t>
      </w:r>
    </w:p>
    <w:p w:rsidR="00977FC8" w:rsidRPr="00636501" w:rsidRDefault="00977FC8" w:rsidP="00362C47">
      <w:pPr>
        <w:numPr>
          <w:ilvl w:val="0"/>
          <w:numId w:val="14"/>
        </w:numPr>
        <w:rPr>
          <w:lang w:val="en-GB"/>
        </w:rPr>
      </w:pPr>
      <w:r w:rsidRPr="00636501">
        <w:rPr>
          <w:lang w:val="en-GB"/>
        </w:rPr>
        <w:t>Compensation Agreements;</w:t>
      </w:r>
    </w:p>
    <w:p w:rsidR="00977FC8" w:rsidRPr="00636501" w:rsidRDefault="00977FC8" w:rsidP="00362C47">
      <w:pPr>
        <w:numPr>
          <w:ilvl w:val="0"/>
          <w:numId w:val="14"/>
        </w:numPr>
        <w:rPr>
          <w:lang w:val="en-GB"/>
        </w:rPr>
      </w:pPr>
      <w:r w:rsidRPr="00636501">
        <w:rPr>
          <w:lang w:val="en-GB"/>
        </w:rPr>
        <w:lastRenderedPageBreak/>
        <w:t>Equity Offerings;</w:t>
      </w:r>
    </w:p>
    <w:p w:rsidR="004A7F9E" w:rsidRPr="004A7F9E" w:rsidRDefault="00977FC8" w:rsidP="004A7F9E">
      <w:pPr>
        <w:numPr>
          <w:ilvl w:val="0"/>
          <w:numId w:val="14"/>
        </w:numPr>
        <w:rPr>
          <w:lang w:val="en-GB"/>
        </w:rPr>
      </w:pPr>
      <w:r w:rsidRPr="00636501">
        <w:rPr>
          <w:lang w:val="en-GB"/>
        </w:rPr>
        <w:t>Insider trading.</w:t>
      </w:r>
    </w:p>
    <w:p w:rsidR="00977FC8" w:rsidRDefault="004A7F9E" w:rsidP="00F81094">
      <w:pPr>
        <w:rPr>
          <w:lang w:val="en-GB"/>
        </w:rPr>
      </w:pPr>
      <w:r>
        <w:rPr>
          <w:lang w:val="en-GB"/>
        </w:rPr>
        <w:t>Firms’ performance are often regulated in debt covenants. Moreover dividend restrictions are incorporated in them</w:t>
      </w:r>
      <w:r w:rsidR="00525352">
        <w:rPr>
          <w:lang w:val="en-GB"/>
        </w:rPr>
        <w:t xml:space="preserve"> (Bradley and Roberts</w:t>
      </w:r>
      <w:r w:rsidR="00977FC8" w:rsidRPr="00636501">
        <w:rPr>
          <w:lang w:val="en-GB"/>
        </w:rPr>
        <w:t xml:space="preserve"> 2004). </w:t>
      </w:r>
      <w:r>
        <w:rPr>
          <w:lang w:val="en-GB"/>
        </w:rPr>
        <w:t xml:space="preserve">This is because the position of the debt providers is weaken </w:t>
      </w:r>
      <w:r w:rsidR="00F81094">
        <w:rPr>
          <w:lang w:val="en-GB"/>
        </w:rPr>
        <w:t xml:space="preserve">by dividends that exit the firm. Through dividend payout, less cash remains in the firm to pay back the debt providers </w:t>
      </w:r>
      <w:r w:rsidR="00977FC8" w:rsidRPr="00636501">
        <w:rPr>
          <w:lang w:val="en-GB"/>
        </w:rPr>
        <w:t xml:space="preserve">(Daniel et al. 2008). Benish (2001) summarizes studies that reveal mixed results for the use of earnings management to avoid defaults on loans. </w:t>
      </w:r>
      <w:r w:rsidR="00F81094">
        <w:rPr>
          <w:lang w:val="en-GB"/>
        </w:rPr>
        <w:t>Influence debt covenants by using earnings management</w:t>
      </w:r>
      <w:r w:rsidR="0027151C">
        <w:rPr>
          <w:lang w:val="en-GB"/>
        </w:rPr>
        <w:t xml:space="preserve"> to avoid defaults</w:t>
      </w:r>
      <w:r w:rsidR="00F81094">
        <w:rPr>
          <w:lang w:val="en-GB"/>
        </w:rPr>
        <w:t xml:space="preserve">, might have the opposite effect that </w:t>
      </w:r>
      <w:r w:rsidR="0027151C">
        <w:rPr>
          <w:lang w:val="en-GB"/>
        </w:rPr>
        <w:t xml:space="preserve">firms eventually default. Some firms profit from a relatively cheap form of capital, although they may not default on their loans </w:t>
      </w:r>
      <w:r w:rsidR="00525352">
        <w:rPr>
          <w:lang w:val="en-GB"/>
        </w:rPr>
        <w:t>(Stolowy and Breton</w:t>
      </w:r>
      <w:r w:rsidR="00977FC8" w:rsidRPr="00636501">
        <w:rPr>
          <w:lang w:val="en-GB"/>
        </w:rPr>
        <w:t xml:space="preserve"> 2004). Due to higher earnings, companies could seem more profitable than in reality.    </w:t>
      </w:r>
    </w:p>
    <w:p w:rsidR="00977FC8" w:rsidRPr="00636501" w:rsidRDefault="00977FC8" w:rsidP="00A36493">
      <w:pPr>
        <w:rPr>
          <w:lang w:val="en-GB"/>
        </w:rPr>
      </w:pPr>
    </w:p>
    <w:p w:rsidR="00977FC8" w:rsidRDefault="00977FC8" w:rsidP="00362C47">
      <w:pPr>
        <w:rPr>
          <w:lang w:val="en-GB"/>
        </w:rPr>
      </w:pPr>
      <w:r w:rsidRPr="00636501">
        <w:rPr>
          <w:lang w:val="en-GB"/>
        </w:rPr>
        <w:t>Compensation contracts seem to provide more evidence for the existence of earnings management than debt contract</w:t>
      </w:r>
      <w:r w:rsidR="00525352">
        <w:rPr>
          <w:lang w:val="en-GB"/>
        </w:rPr>
        <w:t>. Extensive studies (e.g. Healy</w:t>
      </w:r>
      <w:r w:rsidRPr="00636501">
        <w:rPr>
          <w:lang w:val="en-GB"/>
        </w:rPr>
        <w:t xml:space="preserve"> 1</w:t>
      </w:r>
      <w:r w:rsidR="00525352">
        <w:rPr>
          <w:lang w:val="en-GB"/>
        </w:rPr>
        <w:t>985; Bergstresser and Philippon 2006; Bauman and Shaw 2006; Ronen et al.</w:t>
      </w:r>
      <w:r w:rsidRPr="00636501">
        <w:rPr>
          <w:lang w:val="en-GB"/>
        </w:rPr>
        <w:t xml:space="preserve"> 2006</w:t>
      </w:r>
      <w:r>
        <w:rPr>
          <w:lang w:val="en-GB"/>
        </w:rPr>
        <w:t>;</w:t>
      </w:r>
      <w:r w:rsidRPr="00D13C0C">
        <w:rPr>
          <w:lang w:val="en-GB"/>
        </w:rPr>
        <w:t xml:space="preserve"> </w:t>
      </w:r>
      <w:r w:rsidR="00525352">
        <w:rPr>
          <w:lang w:val="en-GB"/>
        </w:rPr>
        <w:t>Gao and Shrieves</w:t>
      </w:r>
      <w:r>
        <w:rPr>
          <w:lang w:val="en-GB"/>
        </w:rPr>
        <w:t xml:space="preserve"> 2002</w:t>
      </w:r>
      <w:r w:rsidRPr="00636501">
        <w:rPr>
          <w:lang w:val="en-GB"/>
        </w:rPr>
        <w:t xml:space="preserve">) have shown that in general </w:t>
      </w:r>
      <w:r w:rsidR="0027151C">
        <w:rPr>
          <w:lang w:val="en-GB"/>
        </w:rPr>
        <w:t xml:space="preserve">that the greatest cause of earnings management is the self-interest motivation of management. </w:t>
      </w:r>
      <w:r w:rsidRPr="00636501">
        <w:rPr>
          <w:lang w:val="en-GB"/>
        </w:rPr>
        <w:t xml:space="preserve">This subject will be addressed more in depth in the next </w:t>
      </w:r>
      <w:r w:rsidR="002C1DC3">
        <w:rPr>
          <w:lang w:val="en-GB"/>
        </w:rPr>
        <w:t>paragraph</w:t>
      </w:r>
      <w:r w:rsidRPr="00636501">
        <w:rPr>
          <w:lang w:val="en-GB"/>
        </w:rPr>
        <w:t xml:space="preserve">. </w:t>
      </w:r>
    </w:p>
    <w:p w:rsidR="00977FC8" w:rsidRDefault="00977FC8" w:rsidP="00362C47">
      <w:pPr>
        <w:rPr>
          <w:lang w:val="en-GB"/>
        </w:rPr>
      </w:pPr>
    </w:p>
    <w:p w:rsidR="00977FC8" w:rsidRDefault="00977FC8" w:rsidP="00362C47">
      <w:pPr>
        <w:rPr>
          <w:lang w:val="en-GB"/>
        </w:rPr>
      </w:pPr>
      <w:r w:rsidRPr="00636501">
        <w:rPr>
          <w:lang w:val="en-GB"/>
        </w:rPr>
        <w:t xml:space="preserve">Equity offerings </w:t>
      </w:r>
      <w:r w:rsidR="0027151C">
        <w:rPr>
          <w:lang w:val="en-GB"/>
        </w:rPr>
        <w:t xml:space="preserve">also </w:t>
      </w:r>
      <w:r w:rsidRPr="00636501">
        <w:rPr>
          <w:lang w:val="en-GB"/>
        </w:rPr>
        <w:t xml:space="preserve">offer a great opportunity to manage earnings. </w:t>
      </w:r>
      <w:r w:rsidR="0027151C">
        <w:rPr>
          <w:lang w:val="en-GB"/>
        </w:rPr>
        <w:t>Managers are known to inflate earnings to receive a better price for new equity (Benish 2001). This is possible due to the information asymmetry and</w:t>
      </w:r>
      <w:r w:rsidRPr="00636501">
        <w:rPr>
          <w:lang w:val="en-GB"/>
        </w:rPr>
        <w:t xml:space="preserve"> is consistent with the notion that management aspire to receive a relatively low cost of capital.</w:t>
      </w:r>
    </w:p>
    <w:p w:rsidR="00977FC8" w:rsidRPr="00636501" w:rsidRDefault="00977FC8" w:rsidP="00362C47">
      <w:pPr>
        <w:rPr>
          <w:lang w:val="en-GB"/>
        </w:rPr>
      </w:pPr>
    </w:p>
    <w:p w:rsidR="00977FC8" w:rsidRDefault="00977FC8" w:rsidP="00C92AF5">
      <w:pPr>
        <w:rPr>
          <w:lang w:val="en-GB"/>
        </w:rPr>
      </w:pPr>
      <w:r w:rsidRPr="00636501">
        <w:rPr>
          <w:lang w:val="en-GB"/>
        </w:rPr>
        <w:t>Insider trading h</w:t>
      </w:r>
      <w:r w:rsidR="00525352">
        <w:rPr>
          <w:lang w:val="en-GB"/>
        </w:rPr>
        <w:t>as also been documented (Benish</w:t>
      </w:r>
      <w:r w:rsidRPr="00636501">
        <w:rPr>
          <w:lang w:val="en-GB"/>
        </w:rPr>
        <w:t xml:space="preserve"> 1999</w:t>
      </w:r>
      <w:r w:rsidR="00525352">
        <w:rPr>
          <w:lang w:val="en-GB"/>
        </w:rPr>
        <w:t>;</w:t>
      </w:r>
      <w:r w:rsidRPr="00636501">
        <w:rPr>
          <w:lang w:val="en-GB"/>
        </w:rPr>
        <w:t xml:space="preserve"> </w:t>
      </w:r>
      <w:r w:rsidR="00525352">
        <w:rPr>
          <w:lang w:val="en-GB"/>
        </w:rPr>
        <w:t>Ronen et al.</w:t>
      </w:r>
      <w:r w:rsidRPr="00636501">
        <w:rPr>
          <w:lang w:val="en-GB"/>
        </w:rPr>
        <w:t xml:space="preserve"> 2006). Benish</w:t>
      </w:r>
      <w:r>
        <w:rPr>
          <w:rStyle w:val="FootnoteReference"/>
          <w:lang w:val="en-GB"/>
        </w:rPr>
        <w:footnoteReference w:id="6"/>
      </w:r>
      <w:r w:rsidRPr="00636501">
        <w:rPr>
          <w:lang w:val="en-GB"/>
        </w:rPr>
        <w:t xml:space="preserve"> even argues</w:t>
      </w:r>
      <w:r w:rsidR="0027151C">
        <w:rPr>
          <w:lang w:val="en-GB"/>
        </w:rPr>
        <w:t xml:space="preserve"> that it is expected for managers to use their insider information about earnings overstatements, to trade for their own benefit. </w:t>
      </w:r>
      <w:r w:rsidRPr="00636501">
        <w:rPr>
          <w:lang w:val="en-GB"/>
        </w:rPr>
        <w:t>Ronen et al. (2006) study supports recommendation to ban insider trading.</w:t>
      </w:r>
    </w:p>
    <w:p w:rsidR="00977FC8" w:rsidRPr="00636501" w:rsidRDefault="00977FC8" w:rsidP="002123A9">
      <w:pPr>
        <w:pStyle w:val="Heading3"/>
        <w:rPr>
          <w:lang w:val="en-GB"/>
        </w:rPr>
      </w:pPr>
      <w:bookmarkStart w:id="40" w:name="_Toc274485437"/>
      <w:r>
        <w:rPr>
          <w:lang w:val="en-GB"/>
        </w:rPr>
        <w:lastRenderedPageBreak/>
        <w:t>How to detect earnings management?</w:t>
      </w:r>
      <w:bookmarkEnd w:id="40"/>
    </w:p>
    <w:p w:rsidR="00977FC8" w:rsidRDefault="00977FC8" w:rsidP="002123A9">
      <w:r w:rsidRPr="00B43AA6">
        <w:t>The accrual approach will be used in measuring</w:t>
      </w:r>
      <w:r>
        <w:t xml:space="preserve"> the dependant variable,</w:t>
      </w:r>
      <w:r w:rsidRPr="00B43AA6">
        <w:t xml:space="preserve"> ear</w:t>
      </w:r>
      <w:r w:rsidR="00525352">
        <w:t>nings management (Dechow et al.</w:t>
      </w:r>
      <w:r w:rsidRPr="00B43AA6">
        <w:t xml:space="preserve"> 1</w:t>
      </w:r>
      <w:r w:rsidR="00525352">
        <w:t>995; Bergstresser and Philippon 2006; Gao and Shrieves</w:t>
      </w:r>
      <w:r w:rsidRPr="00B43AA6">
        <w:t xml:space="preserve"> 2002). </w:t>
      </w:r>
      <w:r>
        <w:t>Like Dechow et al. (1995), five models</w:t>
      </w:r>
      <w:r w:rsidR="00254EA5">
        <w:t xml:space="preserve"> will be </w:t>
      </w:r>
      <w:r w:rsidR="0060197D">
        <w:t>described</w:t>
      </w:r>
      <w:r>
        <w:t xml:space="preserve"> that are used in the extant earnings management literature. These five models are the Healy Model, the DeAngelo Model, the Jones Model, the Modified Jones Model and the Industry Model. In this paragraph the models will be described.</w:t>
      </w:r>
    </w:p>
    <w:p w:rsidR="00977FC8" w:rsidRDefault="00977FC8" w:rsidP="002123A9"/>
    <w:p w:rsidR="00977FC8" w:rsidRDefault="00977FC8" w:rsidP="002123A9">
      <w:r>
        <w:t xml:space="preserve">The models make use of accruals. Accruals are revenues and costs that make the difference between </w:t>
      </w:r>
      <w:r>
        <w:tab/>
        <w:t xml:space="preserve">the profit and the cash flow of a company. They depend on accounting choices of managers, and it is therefore important to examine whether the accruals are in line with expectations. Total accruals need to be decomposed into a discretionary and a non-discretionary component. Discretionary accruals are those which </w:t>
      </w:r>
      <w:r w:rsidR="004B17C4">
        <w:t>cannot</w:t>
      </w:r>
      <w:r>
        <w:t xml:space="preserve"> be explained from normal activities. Managers can influence these accruals. Non-discretionary accruals can be explained from normal activities of the company and managers can not influence them. </w:t>
      </w:r>
    </w:p>
    <w:p w:rsidR="00977FC8" w:rsidRDefault="00977FC8" w:rsidP="002123A9">
      <w:r>
        <w:t xml:space="preserve">The starting point of most models is the total accruals. The models then try to find the non-discretionary element so they can divide the accruals in the non-discretionary and the discretionary part. </w:t>
      </w:r>
    </w:p>
    <w:p w:rsidR="00977FC8" w:rsidRDefault="00977FC8" w:rsidP="002123A9"/>
    <w:p w:rsidR="00977FC8" w:rsidRDefault="00977FC8" w:rsidP="002123A9">
      <w:pPr>
        <w:rPr>
          <w:b/>
        </w:rPr>
      </w:pPr>
      <w:r>
        <w:tab/>
      </w:r>
      <w:r w:rsidRPr="00B06CB0">
        <w:rPr>
          <w:b/>
        </w:rPr>
        <w:t>1</w:t>
      </w:r>
      <w:r>
        <w:rPr>
          <w:b/>
        </w:rPr>
        <w:t>. The Healy Model</w:t>
      </w:r>
    </w:p>
    <w:p w:rsidR="0060197D" w:rsidRDefault="00977FC8" w:rsidP="0060197D">
      <w:r>
        <w:t xml:space="preserve">Healy (1985) uses total accruals to </w:t>
      </w:r>
      <w:r w:rsidR="0060197D">
        <w:t>determine</w:t>
      </w:r>
      <w:r>
        <w:t xml:space="preserve"> discretionary accruals. The discretionary accruals are equal to the difference of total accruals in two successive years. </w:t>
      </w:r>
      <w:r w:rsidR="0060197D">
        <w:t xml:space="preserve">The assumptions Healy (1985) makes, is that non-discretionary accruals are constant. Further is assumed that systematic earnings management is occurring in every period. In this last assumptions it is that Healy’s study differs from most other earnings management studies. </w:t>
      </w:r>
    </w:p>
    <w:p w:rsidR="0060197D" w:rsidRDefault="00977FC8" w:rsidP="002123A9">
      <w:r>
        <w:t xml:space="preserve">The sample is divided into three groups, in one is predicted that earnings are managed upwards, and downward in the other two groups. Then a comparison of the mean total accruals is made between the three groups. </w:t>
      </w:r>
    </w:p>
    <w:p w:rsidR="0060197D" w:rsidRDefault="0060197D" w:rsidP="002123A9"/>
    <w:p w:rsidR="0060197D" w:rsidRDefault="0060197D" w:rsidP="002123A9"/>
    <w:p w:rsidR="0060197D" w:rsidRDefault="0060197D" w:rsidP="002123A9"/>
    <w:p w:rsidR="00977FC8" w:rsidRDefault="00977FC8" w:rsidP="002123A9">
      <w:r>
        <w:lastRenderedPageBreak/>
        <w:t>The model Healy uses is:</w:t>
      </w:r>
    </w:p>
    <w:p w:rsidR="00977FC8" w:rsidRDefault="00977FC8" w:rsidP="002123A9"/>
    <w:p w:rsidR="00977FC8" w:rsidRPr="00B06CB0" w:rsidRDefault="0065693E" w:rsidP="002123A9">
      <w:pPr>
        <w:keepNext/>
      </w:pPr>
      <m:oMathPara>
        <m:oMath>
          <m:r>
            <w:rPr>
              <w:rFonts w:ascii="Cambria Math" w:hAnsi="Cambria Math"/>
            </w:rPr>
            <m:t xml:space="preserve">NDA τ= </m:t>
          </m:r>
          <m:f>
            <m:fPr>
              <m:ctrlPr>
                <w:rPr>
                  <w:rFonts w:ascii="Cambria Math" w:hAnsi="Cambria Math"/>
                  <w:i/>
                </w:rPr>
              </m:ctrlPr>
            </m:fPr>
            <m:num>
              <m:nary>
                <m:naryPr>
                  <m:chr m:val="∑"/>
                  <m:limLoc m:val="undOvr"/>
                  <m:supHide m:val="on"/>
                  <m:ctrlPr>
                    <w:rPr>
                      <w:rFonts w:ascii="Cambria Math" w:hAnsi="Cambria Math"/>
                    </w:rPr>
                  </m:ctrlPr>
                </m:naryPr>
                <m:sub>
                  <m:r>
                    <m:rPr>
                      <m:sty m:val="p"/>
                    </m:rPr>
                    <w:rPr>
                      <w:rFonts w:ascii="Cambria Math" w:hAnsi="Cambria Math"/>
                    </w:rPr>
                    <m:t>t</m:t>
                  </m:r>
                </m:sub>
                <m:sup/>
                <m:e>
                  <m:box>
                    <m:boxPr>
                      <m:opEmu m:val="on"/>
                      <m:ctrlPr>
                        <w:rPr>
                          <w:rFonts w:ascii="Cambria Math" w:hAnsi="Cambria Math"/>
                        </w:rPr>
                      </m:ctrlPr>
                    </m:boxPr>
                    <m:e/>
                  </m:box>
                </m:e>
              </m:nary>
              <m:r>
                <m:rPr>
                  <m:sty m:val="p"/>
                </m:rPr>
                <w:rPr>
                  <w:rFonts w:ascii="Cambria Math" w:hAnsi="Cambria Math"/>
                </w:rPr>
                <m:t>TA t</m:t>
              </m:r>
            </m:num>
            <m:den>
              <m:r>
                <w:rPr>
                  <w:rFonts w:ascii="Cambria Math" w:hAnsi="Cambria Math"/>
                </w:rPr>
                <m:t>T</m:t>
              </m:r>
            </m:den>
          </m:f>
        </m:oMath>
      </m:oMathPara>
    </w:p>
    <w:p w:rsidR="00977FC8" w:rsidRDefault="00977FC8" w:rsidP="002123A9">
      <w:pPr>
        <w:pStyle w:val="Caption"/>
      </w:pPr>
      <w:r>
        <w:t xml:space="preserve"> (</w:t>
      </w:r>
      <w:r w:rsidR="002C1DC3">
        <w:t>2-</w:t>
      </w:r>
      <w:fldSimple w:instr=" SEQ Equation \* ARABIC \s 1 ">
        <w:r w:rsidR="00437F6B">
          <w:rPr>
            <w:noProof/>
          </w:rPr>
          <w:t>1</w:t>
        </w:r>
      </w:fldSimple>
      <w:r>
        <w:t>)</w:t>
      </w:r>
    </w:p>
    <w:p w:rsidR="00977FC8" w:rsidRDefault="00977FC8" w:rsidP="002123A9">
      <w:r>
        <w:t>Where:</w:t>
      </w:r>
    </w:p>
    <w:p w:rsidR="00977FC8" w:rsidRDefault="00977FC8" w:rsidP="002123A9">
      <w:r>
        <w:t>NDA</w:t>
      </w:r>
      <w:r>
        <w:tab/>
      </w:r>
      <w:r>
        <w:tab/>
      </w:r>
      <w:r>
        <w:tab/>
        <w:t>Estimated non-discretionary accruals;</w:t>
      </w:r>
    </w:p>
    <w:p w:rsidR="00977FC8" w:rsidRDefault="00977FC8" w:rsidP="002123A9">
      <w:r>
        <w:t>TA</w:t>
      </w:r>
      <w:r>
        <w:tab/>
      </w:r>
      <w:r>
        <w:tab/>
      </w:r>
      <w:r>
        <w:tab/>
        <w:t>Total accruals scaled by lagged total assets;</w:t>
      </w:r>
    </w:p>
    <w:p w:rsidR="00977FC8" w:rsidRDefault="00977FC8" w:rsidP="002123A9">
      <w:pPr>
        <w:ind w:left="2160" w:hanging="2160"/>
      </w:pPr>
      <w:r>
        <w:t>t</w:t>
      </w:r>
      <w:r>
        <w:tab/>
        <w:t>1,2,..T is a year subscript for years included in the estimation period;</w:t>
      </w:r>
    </w:p>
    <w:p w:rsidR="00977FC8" w:rsidRDefault="00977FC8" w:rsidP="002123A9">
      <w:r w:rsidRPr="00BC7C34">
        <w:t>τ</w:t>
      </w:r>
      <w:r>
        <w:tab/>
      </w:r>
      <w:r>
        <w:tab/>
      </w:r>
      <w:r>
        <w:tab/>
        <w:t>A year subscript indicating a year in the event period.</w:t>
      </w:r>
    </w:p>
    <w:p w:rsidR="00977FC8" w:rsidRDefault="00977FC8" w:rsidP="002123A9"/>
    <w:p w:rsidR="00977FC8" w:rsidRPr="00B02792" w:rsidRDefault="00977FC8" w:rsidP="002123A9">
      <w:pPr>
        <w:rPr>
          <w:b/>
        </w:rPr>
      </w:pPr>
      <w:r>
        <w:tab/>
      </w:r>
      <w:r>
        <w:rPr>
          <w:b/>
        </w:rPr>
        <w:t>2. The DeAngelo Model</w:t>
      </w:r>
    </w:p>
    <w:p w:rsidR="00977FC8" w:rsidRDefault="00977FC8" w:rsidP="002123A9">
      <w:r>
        <w:t xml:space="preserve">DeAngelo (1986) also uses total accruals to </w:t>
      </w:r>
      <w:r w:rsidR="0060197D">
        <w:t>determine</w:t>
      </w:r>
      <w:r>
        <w:t xml:space="preserve"> discretionary accruals. The DeAngelo Model can be viewed as an expansion of the Healy Model, in which the estimation period for non-discretionary accruals is restricted to the previous year’s observation. </w:t>
      </w:r>
      <w:r w:rsidR="0060197D">
        <w:t>In the DeAngelo Model first is assumed that differences in total accruals</w:t>
      </w:r>
      <w:r w:rsidR="00B03455">
        <w:t xml:space="preserve"> have an expected value of zero under the null hypothesis of no earnings management </w:t>
      </w:r>
      <w:r w:rsidR="004B17C4">
        <w:t>(Dechow et al</w:t>
      </w:r>
      <w:r>
        <w:t xml:space="preserve"> 1985). </w:t>
      </w:r>
    </w:p>
    <w:p w:rsidR="00977FC8" w:rsidRDefault="00977FC8" w:rsidP="002123A9">
      <w:r>
        <w:t xml:space="preserve">DeAngelo’s model </w:t>
      </w:r>
      <w:r w:rsidR="005724E7">
        <w:t xml:space="preserve">further </w:t>
      </w:r>
      <w:r>
        <w:t xml:space="preserve">assumes that total accruals will move in the same direction as the balance total of a company. For example, when a company invest in fixed assets, this ultimately leads to an increase in total assets and therefore to an increase in the balance total. The fixed asset (investment) has to be depreciated. This will lead to an increase in (non-discretionary) accruals and therefore also to an increase in total accruals. But if an increase in total accruals not directly comes from an increase in assets then this increase is caused by discretionary accruals. This could indicate earnings management. </w:t>
      </w:r>
    </w:p>
    <w:p w:rsidR="00977FC8" w:rsidRDefault="00977FC8" w:rsidP="002123A9">
      <w:r>
        <w:t>DeAngelo’s Model is:</w:t>
      </w:r>
    </w:p>
    <w:p w:rsidR="00977FC8" w:rsidRDefault="00977FC8" w:rsidP="002123A9"/>
    <w:p w:rsidR="00977FC8" w:rsidRDefault="0065693E" w:rsidP="002123A9">
      <m:oMathPara>
        <m:oMath>
          <m:r>
            <w:rPr>
              <w:rFonts w:ascii="Cambria Math" w:hAnsi="Cambria Math"/>
            </w:rPr>
            <m:t>NDA τ= TA τ-1</m:t>
          </m:r>
        </m:oMath>
      </m:oMathPara>
    </w:p>
    <w:p w:rsidR="00977FC8" w:rsidRDefault="00977FC8" w:rsidP="002123A9">
      <w:pPr>
        <w:pStyle w:val="Caption"/>
      </w:pPr>
      <w:r>
        <w:t>(</w:t>
      </w:r>
      <w:r w:rsidR="002C1DC3">
        <w:t>2-</w:t>
      </w:r>
      <w:r>
        <w:t>2)</w:t>
      </w:r>
    </w:p>
    <w:p w:rsidR="005724E7" w:rsidRDefault="005724E7" w:rsidP="002123A9"/>
    <w:p w:rsidR="005724E7" w:rsidRDefault="005724E7" w:rsidP="002123A9"/>
    <w:p w:rsidR="00977FC8" w:rsidRDefault="00977FC8" w:rsidP="002123A9">
      <w:r>
        <w:lastRenderedPageBreak/>
        <w:t>Where:</w:t>
      </w:r>
    </w:p>
    <w:p w:rsidR="00977FC8" w:rsidRDefault="00977FC8" w:rsidP="002123A9">
      <w:r>
        <w:t>NDA</w:t>
      </w:r>
      <w:r>
        <w:tab/>
      </w:r>
      <w:r>
        <w:tab/>
      </w:r>
      <w:r>
        <w:tab/>
        <w:t>Estimated non-discretionary accruals;</w:t>
      </w:r>
    </w:p>
    <w:p w:rsidR="00977FC8" w:rsidRPr="002B3EFB" w:rsidRDefault="00977FC8" w:rsidP="002123A9">
      <w:r>
        <w:t>TA</w:t>
      </w:r>
      <w:r>
        <w:tab/>
      </w:r>
      <w:r>
        <w:tab/>
      </w:r>
      <w:r>
        <w:tab/>
        <w:t>L</w:t>
      </w:r>
      <w:r w:rsidRPr="002B3EFB">
        <w:t>ast period total accr</w:t>
      </w:r>
      <w:r>
        <w:t>uals (scaled by lagged total as</w:t>
      </w:r>
      <w:r w:rsidRPr="002B3EFB">
        <w:t>sets)</w:t>
      </w:r>
      <w:r>
        <w:t>;</w:t>
      </w:r>
    </w:p>
    <w:p w:rsidR="00977FC8" w:rsidRDefault="00977FC8" w:rsidP="002123A9">
      <w:r w:rsidRPr="00BC7C34">
        <w:t>τ</w:t>
      </w:r>
      <w:r>
        <w:tab/>
      </w:r>
      <w:r>
        <w:tab/>
      </w:r>
      <w:r>
        <w:tab/>
        <w:t>A year subscript indicating a year in the event period.</w:t>
      </w:r>
    </w:p>
    <w:p w:rsidR="005724E7" w:rsidRDefault="005724E7" w:rsidP="002123A9"/>
    <w:p w:rsidR="00977FC8" w:rsidRDefault="00977FC8" w:rsidP="000B427D">
      <w:pPr>
        <w:ind w:firstLine="720"/>
        <w:rPr>
          <w:b/>
        </w:rPr>
      </w:pPr>
      <w:r>
        <w:rPr>
          <w:b/>
        </w:rPr>
        <w:t>3. The Jones Model</w:t>
      </w:r>
    </w:p>
    <w:p w:rsidR="00977FC8" w:rsidRDefault="00977FC8" w:rsidP="005724E7">
      <w:r>
        <w:t xml:space="preserve">In comparison to Healy’s and DeAngelo’s Model, the non-discretionary accruals in the Jones Model (Jones 1991) are assumed to be variable. </w:t>
      </w:r>
      <w:r w:rsidR="005724E7">
        <w:t xml:space="preserve">An indication of the change in total accruals due to normal activities of a company is given by the change in revenues with respect to the previous year and the value of the fixed assets. The difference between the expected and the actual total accruals could indicate discretionary accruals and therefore earnings management. </w:t>
      </w:r>
      <w:r>
        <w:t xml:space="preserve">The Jones model is </w:t>
      </w:r>
      <w:r w:rsidR="004B17C4">
        <w:t>illustrated as (Ronin and Yaari</w:t>
      </w:r>
      <w:r>
        <w:t xml:space="preserve"> 2008):</w:t>
      </w:r>
    </w:p>
    <w:p w:rsidR="00977FC8" w:rsidRDefault="00977FC8" w:rsidP="002123A9">
      <w:pPr>
        <w:tabs>
          <w:tab w:val="left" w:pos="2268"/>
        </w:tabs>
      </w:pPr>
    </w:p>
    <w:p w:rsidR="00977FC8" w:rsidRDefault="006D6941" w:rsidP="002123A9">
      <w:pPr>
        <w:keepNext/>
        <w:tabs>
          <w:tab w:val="left" w:pos="2268"/>
        </w:tabs>
      </w:pPr>
      <m:oMathPara>
        <m:oMath>
          <m:sSub>
            <m:sSubPr>
              <m:ctrlPr>
                <w:rPr>
                  <w:rFonts w:ascii="Cambria Math" w:hAnsi="Cambria Math"/>
                  <w:i/>
                </w:rPr>
              </m:ctrlPr>
            </m:sSubPr>
            <m:e>
              <m:r>
                <w:rPr>
                  <w:rFonts w:ascii="Cambria Math" w:hAnsi="Cambria Math"/>
                </w:rPr>
                <m:t>NDA</m:t>
              </m:r>
            </m:e>
            <m:sub>
              <m:r>
                <w:rPr>
                  <w:rFonts w:ascii="Cambria Math" w:hAnsi="Cambria Math"/>
                </w:rPr>
                <m:t>t</m:t>
              </m:r>
            </m:sub>
          </m:sSub>
          <m:r>
            <w:rPr>
              <w:rFonts w:ascii="Cambria Math" w:hAnsi="Cambria Math"/>
            </w:rPr>
            <m:t xml:space="preserve">= </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 xml:space="preserve">1 </m:t>
              </m:r>
            </m:sub>
          </m:sSub>
          <m:d>
            <m:dPr>
              <m:ctrlPr>
                <w:rPr>
                  <w:rFonts w:ascii="Cambria Math" w:hAnsi="Cambria Math"/>
                </w:rPr>
              </m:ctrlPr>
            </m:dPr>
            <m:e>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t-1</m:t>
                      </m:r>
                    </m:sub>
                  </m:sSub>
                </m:den>
              </m:f>
            </m:e>
          </m:d>
          <m:r>
            <m:rPr>
              <m:sty m:val="p"/>
            </m:rPr>
            <w:rPr>
              <w:rFonts w:ascii="Cambria Math" w:hAnsi="Cambria Math"/>
            </w:rPr>
            <m:t>+</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 xml:space="preserve">2 </m:t>
              </m:r>
            </m:sub>
          </m:sSub>
          <m:d>
            <m:dPr>
              <m:ctrlPr>
                <w:rPr>
                  <w:rFonts w:ascii="Cambria Math" w:hAnsi="Cambria Math"/>
                </w:rPr>
              </m:ctrlPr>
            </m:dPr>
            <m:e>
              <m:sSub>
                <m:sSubPr>
                  <m:ctrlPr>
                    <w:rPr>
                      <w:rFonts w:ascii="Cambria Math" w:hAnsi="Cambria Math"/>
                      <w:i/>
                    </w:rPr>
                  </m:ctrlPr>
                </m:sSubPr>
                <m:e>
                  <m:r>
                    <w:rPr>
                      <w:rFonts w:ascii="Cambria Math" w:hAnsi="Cambria Math"/>
                    </w:rPr>
                    <m:t>∆REV</m:t>
                  </m:r>
                </m:e>
                <m:sub>
                  <m:r>
                    <w:rPr>
                      <w:rFonts w:ascii="Cambria Math" w:hAnsi="Cambria Math"/>
                    </w:rPr>
                    <m:t>t</m:t>
                  </m:r>
                </m:sub>
              </m:sSub>
              <m:ctrlPr>
                <w:rPr>
                  <w:rFonts w:ascii="Cambria Math" w:hAnsi="Cambria Math"/>
                  <w:i/>
                </w:rPr>
              </m:ctrlPr>
            </m:e>
          </m:d>
          <m:r>
            <w:rPr>
              <w:rFonts w:ascii="Cambria Math" w:hAnsi="Cambria Math"/>
            </w:rPr>
            <m:t xml:space="preserve">+ </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 xml:space="preserve">3 </m:t>
              </m:r>
            </m:sub>
          </m:sSub>
          <m:r>
            <m:rPr>
              <m:sty m:val="p"/>
            </m:rPr>
            <w:rPr>
              <w:rFonts w:ascii="Cambria Math" w:hAnsi="Cambria Math"/>
            </w:rPr>
            <m:t>(</m:t>
          </m:r>
          <m:sSub>
            <m:sSubPr>
              <m:ctrlPr>
                <w:rPr>
                  <w:rFonts w:ascii="Cambria Math" w:hAnsi="Cambria Math"/>
                  <w:i/>
                </w:rPr>
              </m:ctrlPr>
            </m:sSubPr>
            <m:e>
              <m:r>
                <w:rPr>
                  <w:rFonts w:ascii="Cambria Math" w:hAnsi="Cambria Math"/>
                </w:rPr>
                <m:t>PPE</m:t>
              </m:r>
            </m:e>
            <m:sub>
              <m:r>
                <w:rPr>
                  <w:rFonts w:ascii="Cambria Math" w:hAnsi="Cambria Math"/>
                </w:rPr>
                <m:t>t</m:t>
              </m:r>
            </m:sub>
          </m:sSub>
          <m:r>
            <w:rPr>
              <w:rFonts w:ascii="Cambria Math" w:hAnsi="Cambria Math"/>
            </w:rPr>
            <m:t>)</m:t>
          </m:r>
        </m:oMath>
      </m:oMathPara>
    </w:p>
    <w:p w:rsidR="00977FC8" w:rsidRDefault="00977FC8" w:rsidP="002123A9">
      <w:pPr>
        <w:pStyle w:val="Caption"/>
        <w:tabs>
          <w:tab w:val="left" w:pos="2268"/>
        </w:tabs>
      </w:pPr>
      <w:r>
        <w:t>(</w:t>
      </w:r>
      <w:r w:rsidR="002C1DC3">
        <w:t>2-</w:t>
      </w:r>
      <w:r>
        <w:t>3)</w:t>
      </w:r>
    </w:p>
    <w:p w:rsidR="00977FC8" w:rsidRDefault="00977FC8" w:rsidP="002123A9">
      <w:pPr>
        <w:tabs>
          <w:tab w:val="left" w:pos="2268"/>
        </w:tabs>
      </w:pPr>
      <w:r>
        <w:t>Where:</w:t>
      </w:r>
    </w:p>
    <w:p w:rsidR="00977FC8" w:rsidRDefault="00977FC8" w:rsidP="002123A9">
      <w:pPr>
        <w:tabs>
          <w:tab w:val="left" w:pos="2268"/>
        </w:tabs>
      </w:pPr>
      <w:r>
        <w:t>NDA</w:t>
      </w:r>
      <w:r w:rsidRPr="00E75791">
        <w:rPr>
          <w:i/>
          <w:vertAlign w:val="subscript"/>
        </w:rPr>
        <w:t>t</w:t>
      </w:r>
      <w:r>
        <w:tab/>
        <w:t xml:space="preserve">Non-discretionary accruals in year </w:t>
      </w:r>
      <w:r w:rsidRPr="00E75791">
        <w:rPr>
          <w:i/>
        </w:rPr>
        <w:t>t</w:t>
      </w:r>
      <w:r>
        <w:rPr>
          <w:i/>
        </w:rPr>
        <w:t>;</w:t>
      </w:r>
    </w:p>
    <w:p w:rsidR="00977FC8" w:rsidRPr="00E75791" w:rsidRDefault="00977FC8" w:rsidP="002123A9">
      <w:pPr>
        <w:tabs>
          <w:tab w:val="left" w:pos="2268"/>
        </w:tabs>
      </w:pPr>
      <w:r>
        <w:t>A</w:t>
      </w:r>
      <w:r w:rsidRPr="00E75791">
        <w:rPr>
          <w:i/>
          <w:vertAlign w:val="subscript"/>
        </w:rPr>
        <w:t>t</w:t>
      </w:r>
      <w:r>
        <w:rPr>
          <w:i/>
          <w:vertAlign w:val="subscript"/>
        </w:rPr>
        <w:t>-1</w:t>
      </w:r>
      <w:r w:rsidRPr="00E75791">
        <w:rPr>
          <w:i/>
        </w:rPr>
        <w:tab/>
      </w:r>
      <w:r>
        <w:t xml:space="preserve">Total assets in year </w:t>
      </w:r>
      <w:r w:rsidRPr="00E75791">
        <w:rPr>
          <w:i/>
        </w:rPr>
        <w:t>t</w:t>
      </w:r>
      <w:r>
        <w:t>-1;</w:t>
      </w:r>
    </w:p>
    <w:p w:rsidR="00977FC8" w:rsidRPr="00E75791" w:rsidRDefault="00977FC8" w:rsidP="002123A9">
      <w:pPr>
        <w:tabs>
          <w:tab w:val="left" w:pos="2268"/>
        </w:tabs>
      </w:pPr>
      <w:r w:rsidRPr="00E75791">
        <w:t>∆REV</w:t>
      </w:r>
      <w:r w:rsidRPr="00E75791">
        <w:rPr>
          <w:i/>
          <w:vertAlign w:val="subscript"/>
        </w:rPr>
        <w:t>t</w:t>
      </w:r>
      <w:r w:rsidRPr="00E75791">
        <w:rPr>
          <w:i/>
        </w:rPr>
        <w:tab/>
      </w:r>
      <w:r w:rsidRPr="00E75791">
        <w:t xml:space="preserve">Changes in revenue in year </w:t>
      </w:r>
      <w:r w:rsidRPr="00E75791">
        <w:rPr>
          <w:i/>
        </w:rPr>
        <w:t>t</w:t>
      </w:r>
      <w:r>
        <w:rPr>
          <w:i/>
        </w:rPr>
        <w:t>;</w:t>
      </w:r>
    </w:p>
    <w:p w:rsidR="00977FC8" w:rsidRDefault="00977FC8" w:rsidP="002123A9">
      <w:pPr>
        <w:tabs>
          <w:tab w:val="left" w:pos="2268"/>
        </w:tabs>
        <w:rPr>
          <w:i/>
        </w:rPr>
      </w:pPr>
      <w:r>
        <w:t>PPE</w:t>
      </w:r>
      <w:r w:rsidRPr="00E75791">
        <w:rPr>
          <w:i/>
          <w:vertAlign w:val="subscript"/>
        </w:rPr>
        <w:t>t</w:t>
      </w:r>
      <w:r w:rsidRPr="00E75791">
        <w:rPr>
          <w:i/>
        </w:rPr>
        <w:tab/>
      </w:r>
      <w:r w:rsidRPr="00E75791">
        <w:t xml:space="preserve">Property, Plant and Equipment in year </w:t>
      </w:r>
      <w:r w:rsidRPr="00E75791">
        <w:rPr>
          <w:i/>
        </w:rPr>
        <w:t>t</w:t>
      </w:r>
      <w:r>
        <w:rPr>
          <w:i/>
        </w:rPr>
        <w:t>;</w:t>
      </w:r>
    </w:p>
    <w:p w:rsidR="00977FC8" w:rsidRDefault="00977FC8" w:rsidP="002123A9">
      <w:pPr>
        <w:tabs>
          <w:tab w:val="left" w:pos="2268"/>
        </w:tabs>
      </w:pPr>
      <w:r>
        <w:t>α</w:t>
      </w:r>
      <w:r w:rsidRPr="007905AB">
        <w:rPr>
          <w:vertAlign w:val="subscript"/>
        </w:rPr>
        <w:t>1</w:t>
      </w:r>
      <w:r>
        <w:t>,</w:t>
      </w:r>
      <w:r w:rsidRPr="003B00A9">
        <w:t xml:space="preserve"> </w:t>
      </w:r>
      <w:r>
        <w:t>α</w:t>
      </w:r>
      <w:r w:rsidRPr="00252EA7">
        <w:rPr>
          <w:vertAlign w:val="subscript"/>
        </w:rPr>
        <w:t xml:space="preserve"> </w:t>
      </w:r>
      <w:r>
        <w:rPr>
          <w:vertAlign w:val="subscript"/>
        </w:rPr>
        <w:t>2</w:t>
      </w:r>
      <w:r>
        <w:t>, α</w:t>
      </w:r>
      <w:r w:rsidRPr="00252EA7">
        <w:rPr>
          <w:vertAlign w:val="subscript"/>
        </w:rPr>
        <w:t xml:space="preserve"> </w:t>
      </w:r>
      <w:r>
        <w:rPr>
          <w:vertAlign w:val="subscript"/>
        </w:rPr>
        <w:t>3</w:t>
      </w:r>
      <w:r>
        <w:tab/>
        <w:t>Firm specific parameters.</w:t>
      </w:r>
    </w:p>
    <w:p w:rsidR="00977FC8" w:rsidRDefault="00977FC8" w:rsidP="002123A9">
      <w:pPr>
        <w:tabs>
          <w:tab w:val="left" w:pos="2268"/>
        </w:tabs>
      </w:pPr>
    </w:p>
    <w:p w:rsidR="00977FC8" w:rsidRDefault="00977FC8" w:rsidP="005724E7">
      <w:pPr>
        <w:tabs>
          <w:tab w:val="left" w:pos="2268"/>
        </w:tabs>
      </w:pPr>
      <w:r>
        <w:t>The coefficients α</w:t>
      </w:r>
      <w:r>
        <w:rPr>
          <w:rFonts w:ascii="Calibri" w:hAnsi="Calibri" w:cs="Arial"/>
          <w:vertAlign w:val="subscript"/>
          <w:lang w:bidi="ar-SA"/>
        </w:rPr>
        <w:t>χ</w:t>
      </w:r>
      <w:r>
        <w:t xml:space="preserve"> are industry specific parameters. They estimate how different industries, with difference in capital intensity, are influenced by the variables (Assets, Revenue and PPT). </w:t>
      </w:r>
      <w:r w:rsidR="005724E7">
        <w:t xml:space="preserve">Capital intensive industries, for example, will have a relatively greater PPE element than knowledge based industries. </w:t>
      </w:r>
    </w:p>
    <w:p w:rsidR="005724E7" w:rsidRDefault="005724E7" w:rsidP="005724E7">
      <w:pPr>
        <w:tabs>
          <w:tab w:val="left" w:pos="2268"/>
        </w:tabs>
      </w:pPr>
    </w:p>
    <w:p w:rsidR="005724E7" w:rsidRDefault="00977FC8" w:rsidP="002123A9">
      <w:pPr>
        <w:tabs>
          <w:tab w:val="left" w:pos="2268"/>
        </w:tabs>
      </w:pPr>
      <w:r>
        <w:t>Firm specific parameters are generated using the following model</w:t>
      </w:r>
      <w:r w:rsidR="005724E7">
        <w:t>, see next page,</w:t>
      </w:r>
      <w:r>
        <w:t xml:space="preserve"> in the e</w:t>
      </w:r>
      <w:r w:rsidR="004B17C4">
        <w:t>stimation period (Dechow et al.</w:t>
      </w:r>
      <w:r w:rsidR="005724E7">
        <w:t xml:space="preserve"> 1995).</w:t>
      </w:r>
    </w:p>
    <w:p w:rsidR="005724E7" w:rsidRDefault="005724E7" w:rsidP="002123A9">
      <w:pPr>
        <w:tabs>
          <w:tab w:val="left" w:pos="2268"/>
        </w:tabs>
      </w:pPr>
    </w:p>
    <w:p w:rsidR="00977FC8" w:rsidRDefault="006D6941" w:rsidP="002123A9">
      <w:pPr>
        <w:keepNext/>
        <w:tabs>
          <w:tab w:val="left" w:pos="2268"/>
        </w:tabs>
      </w:pPr>
      <m:oMathPara>
        <m:oMath>
          <m:sSub>
            <m:sSubPr>
              <m:ctrlPr>
                <w:rPr>
                  <w:rFonts w:ascii="Cambria Math" w:hAnsi="Cambria Math"/>
                  <w:i/>
                </w:rPr>
              </m:ctrlPr>
            </m:sSubPr>
            <m:e>
              <m:r>
                <w:rPr>
                  <w:rFonts w:ascii="Cambria Math" w:hAnsi="Cambria Math"/>
                </w:rPr>
                <m:t>TA</m:t>
              </m:r>
            </m:e>
            <m:sub>
              <m:r>
                <w:rPr>
                  <w:rFonts w:ascii="Cambria Math" w:hAnsi="Cambria Math"/>
                </w:rPr>
                <m:t>t</m:t>
              </m:r>
            </m:sub>
          </m:sSub>
          <m:r>
            <w:rPr>
              <w:rFonts w:ascii="Cambria Math" w:hAnsi="Cambria Math"/>
            </w:rPr>
            <m:t xml:space="preserve">= </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 xml:space="preserve">1 </m:t>
              </m:r>
            </m:sub>
          </m:sSub>
          <m:d>
            <m:dPr>
              <m:ctrlPr>
                <w:rPr>
                  <w:rFonts w:ascii="Cambria Math" w:hAnsi="Cambria Math"/>
                </w:rPr>
              </m:ctrlPr>
            </m:dPr>
            <m:e>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t-1</m:t>
                      </m:r>
                    </m:sub>
                  </m:sSub>
                </m:den>
              </m:f>
            </m:e>
          </m:d>
          <m:r>
            <m:rPr>
              <m:sty m:val="p"/>
            </m:rPr>
            <w:rPr>
              <w:rFonts w:ascii="Cambria Math" w:hAnsi="Cambria Math"/>
            </w:rPr>
            <m:t>+</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 xml:space="preserve">2 </m:t>
              </m:r>
            </m:sub>
          </m:sSub>
          <m:d>
            <m:dPr>
              <m:ctrlPr>
                <w:rPr>
                  <w:rFonts w:ascii="Cambria Math" w:hAnsi="Cambria Math"/>
                </w:rPr>
              </m:ctrlPr>
            </m:dPr>
            <m:e>
              <m:sSub>
                <m:sSubPr>
                  <m:ctrlPr>
                    <w:rPr>
                      <w:rFonts w:ascii="Cambria Math" w:hAnsi="Cambria Math"/>
                      <w:i/>
                    </w:rPr>
                  </m:ctrlPr>
                </m:sSubPr>
                <m:e>
                  <m:r>
                    <w:rPr>
                      <w:rFonts w:ascii="Cambria Math" w:hAnsi="Cambria Math"/>
                    </w:rPr>
                    <m:t>∆REV</m:t>
                  </m:r>
                </m:e>
                <m:sub>
                  <m:r>
                    <w:rPr>
                      <w:rFonts w:ascii="Cambria Math" w:hAnsi="Cambria Math"/>
                    </w:rPr>
                    <m:t>t</m:t>
                  </m:r>
                </m:sub>
              </m:sSub>
              <m:ctrlPr>
                <w:rPr>
                  <w:rFonts w:ascii="Cambria Math" w:hAnsi="Cambria Math"/>
                  <w:i/>
                </w:rPr>
              </m:ctrlPr>
            </m:e>
          </m:d>
          <m:r>
            <w:rPr>
              <w:rFonts w:ascii="Cambria Math" w:hAnsi="Cambria Math"/>
            </w:rPr>
            <m:t xml:space="preserve">+ </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 xml:space="preserve">3 </m:t>
              </m:r>
            </m:sub>
          </m:sSub>
          <m:r>
            <m:rPr>
              <m:sty m:val="p"/>
            </m:rPr>
            <w:rPr>
              <w:rFonts w:ascii="Cambria Math" w:hAnsi="Cambria Math"/>
            </w:rPr>
            <m:t>(</m:t>
          </m:r>
          <m:sSub>
            <m:sSubPr>
              <m:ctrlPr>
                <w:rPr>
                  <w:rFonts w:ascii="Cambria Math" w:hAnsi="Cambria Math"/>
                  <w:i/>
                </w:rPr>
              </m:ctrlPr>
            </m:sSubPr>
            <m:e>
              <m:r>
                <w:rPr>
                  <w:rFonts w:ascii="Cambria Math" w:hAnsi="Cambria Math"/>
                </w:rPr>
                <m:t>PPE</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m:t>
              </m:r>
            </m:sub>
          </m:sSub>
        </m:oMath>
      </m:oMathPara>
    </w:p>
    <w:p w:rsidR="00977FC8" w:rsidRDefault="00977FC8" w:rsidP="002123A9">
      <w:pPr>
        <w:pStyle w:val="Caption"/>
        <w:tabs>
          <w:tab w:val="left" w:pos="2268"/>
        </w:tabs>
      </w:pPr>
      <w:r>
        <w:t>(</w:t>
      </w:r>
      <w:r w:rsidR="002C1DC3">
        <w:t>2-</w:t>
      </w:r>
      <w:r>
        <w:t>4)</w:t>
      </w:r>
    </w:p>
    <w:p w:rsidR="00977FC8" w:rsidRDefault="00977FC8" w:rsidP="002123A9">
      <w:pPr>
        <w:tabs>
          <w:tab w:val="left" w:pos="2268"/>
        </w:tabs>
      </w:pPr>
      <w:r>
        <w:t>Where:</w:t>
      </w:r>
    </w:p>
    <w:p w:rsidR="00977FC8" w:rsidRDefault="00977FC8" w:rsidP="002123A9">
      <w:pPr>
        <w:tabs>
          <w:tab w:val="left" w:pos="2268"/>
        </w:tabs>
        <w:rPr>
          <w:i/>
        </w:rPr>
      </w:pPr>
      <w:r>
        <w:t>TA</w:t>
      </w:r>
      <w:r w:rsidRPr="0029362E">
        <w:rPr>
          <w:i/>
          <w:vertAlign w:val="subscript"/>
        </w:rPr>
        <w:t>t</w:t>
      </w:r>
      <w:r>
        <w:tab/>
        <w:t xml:space="preserve">Total Accruals in year </w:t>
      </w:r>
      <w:r w:rsidRPr="0029362E">
        <w:rPr>
          <w:i/>
        </w:rPr>
        <w:t>t</w:t>
      </w:r>
      <w:r>
        <w:rPr>
          <w:i/>
        </w:rPr>
        <w:t>;</w:t>
      </w:r>
    </w:p>
    <w:p w:rsidR="00977FC8" w:rsidRPr="002544A5" w:rsidRDefault="00977FC8" w:rsidP="002123A9">
      <w:pPr>
        <w:tabs>
          <w:tab w:val="left" w:pos="2268"/>
        </w:tabs>
      </w:pPr>
      <w:r>
        <w:t>a</w:t>
      </w:r>
      <w:r w:rsidRPr="002544A5">
        <w:rPr>
          <w:vertAlign w:val="subscript"/>
        </w:rPr>
        <w:t>1</w:t>
      </w:r>
      <w:r>
        <w:t>, a</w:t>
      </w:r>
      <w:r w:rsidRPr="002544A5">
        <w:rPr>
          <w:vertAlign w:val="subscript"/>
        </w:rPr>
        <w:t>2</w:t>
      </w:r>
      <w:r>
        <w:t>, a</w:t>
      </w:r>
      <w:r w:rsidRPr="002544A5">
        <w:rPr>
          <w:vertAlign w:val="subscript"/>
        </w:rPr>
        <w:t>3</w:t>
      </w:r>
      <w:r>
        <w:rPr>
          <w:vertAlign w:val="subscript"/>
        </w:rPr>
        <w:tab/>
      </w:r>
      <w:r>
        <w:t>OLS estimates of α</w:t>
      </w:r>
      <w:r w:rsidRPr="007905AB">
        <w:rPr>
          <w:vertAlign w:val="subscript"/>
        </w:rPr>
        <w:t>1</w:t>
      </w:r>
      <w:r>
        <w:t>,</w:t>
      </w:r>
      <w:r w:rsidRPr="003B00A9">
        <w:t xml:space="preserve"> </w:t>
      </w:r>
      <w:r>
        <w:t>α</w:t>
      </w:r>
      <w:r w:rsidRPr="00252EA7">
        <w:rPr>
          <w:vertAlign w:val="subscript"/>
        </w:rPr>
        <w:t xml:space="preserve"> </w:t>
      </w:r>
      <w:r>
        <w:rPr>
          <w:vertAlign w:val="subscript"/>
        </w:rPr>
        <w:t>2</w:t>
      </w:r>
      <w:r>
        <w:t>, α</w:t>
      </w:r>
      <w:r w:rsidRPr="00252EA7">
        <w:rPr>
          <w:vertAlign w:val="subscript"/>
        </w:rPr>
        <w:t xml:space="preserve"> </w:t>
      </w:r>
      <w:r>
        <w:rPr>
          <w:vertAlign w:val="subscript"/>
        </w:rPr>
        <w:t>3</w:t>
      </w:r>
      <w:r>
        <w:t>.</w:t>
      </w:r>
    </w:p>
    <w:p w:rsidR="00977FC8" w:rsidRDefault="00977FC8" w:rsidP="002123A9">
      <w:pPr>
        <w:tabs>
          <w:tab w:val="left" w:pos="2268"/>
        </w:tabs>
      </w:pPr>
    </w:p>
    <w:p w:rsidR="00977FC8" w:rsidRDefault="00977FC8" w:rsidP="002123A9">
      <w:pPr>
        <w:tabs>
          <w:tab w:val="left" w:pos="2268"/>
        </w:tabs>
      </w:pPr>
      <w:r>
        <w:t xml:space="preserve">There are, however, also weaknesses in the Jones Model. </w:t>
      </w:r>
      <w:r w:rsidR="005724E7">
        <w:t xml:space="preserve">Because accruals are deflated for changes in revenue the Jones Model does not take into account the ability of managers for sales-based manipulation. This is the greatest weakness of the model (Peasnell et al. 2000). These changes are considered as changes in economic activity. </w:t>
      </w:r>
      <w:r>
        <w:t>However Dechow et al. (1995) modified the original Jones Model to incorporate the possible changes in revenue that are discretionary.</w:t>
      </w:r>
    </w:p>
    <w:p w:rsidR="00977FC8" w:rsidRDefault="00977FC8" w:rsidP="002123A9">
      <w:pPr>
        <w:tabs>
          <w:tab w:val="left" w:pos="2268"/>
        </w:tabs>
      </w:pPr>
      <w:r>
        <w:tab/>
      </w:r>
    </w:p>
    <w:p w:rsidR="00977FC8" w:rsidRDefault="00977FC8" w:rsidP="002123A9">
      <w:pPr>
        <w:rPr>
          <w:b/>
        </w:rPr>
      </w:pPr>
      <w:r>
        <w:tab/>
      </w:r>
      <w:r>
        <w:rPr>
          <w:b/>
        </w:rPr>
        <w:t>4. The Modified Jones Model</w:t>
      </w:r>
    </w:p>
    <w:p w:rsidR="00977FC8" w:rsidRDefault="00977FC8" w:rsidP="002123A9">
      <w:pPr>
        <w:tabs>
          <w:tab w:val="left" w:pos="2268"/>
        </w:tabs>
      </w:pPr>
      <w:r>
        <w:t>The Modi</w:t>
      </w:r>
      <w:r w:rsidR="004B17C4">
        <w:t>fied Jones Model (Dechow et al.</w:t>
      </w:r>
      <w:r>
        <w:t xml:space="preserve"> 1995) manages to incorporate the ability to detect sales-based manipulations. In the modified Jones Model, non-discretionary accruals are estimated during the</w:t>
      </w:r>
      <w:r w:rsidR="004B17C4">
        <w:t xml:space="preserve"> event period as (Dechow et al.</w:t>
      </w:r>
      <w:r>
        <w:t xml:space="preserve"> 1995):</w:t>
      </w:r>
    </w:p>
    <w:p w:rsidR="00977FC8" w:rsidRDefault="00977FC8" w:rsidP="002123A9">
      <w:pPr>
        <w:tabs>
          <w:tab w:val="left" w:pos="2268"/>
        </w:tabs>
      </w:pPr>
    </w:p>
    <w:p w:rsidR="00977FC8" w:rsidRDefault="006D6941" w:rsidP="002123A9">
      <w:pPr>
        <w:keepNext/>
        <w:tabs>
          <w:tab w:val="left" w:pos="2268"/>
        </w:tabs>
      </w:pPr>
      <m:oMathPara>
        <m:oMath>
          <m:sSub>
            <m:sSubPr>
              <m:ctrlPr>
                <w:rPr>
                  <w:rFonts w:ascii="Cambria Math" w:hAnsi="Cambria Math"/>
                  <w:i/>
                </w:rPr>
              </m:ctrlPr>
            </m:sSubPr>
            <m:e>
              <m:r>
                <w:rPr>
                  <w:rFonts w:ascii="Cambria Math" w:hAnsi="Cambria Math"/>
                </w:rPr>
                <m:t>NDA</m:t>
              </m:r>
            </m:e>
            <m:sub>
              <m:r>
                <w:rPr>
                  <w:rFonts w:ascii="Cambria Math" w:hAnsi="Cambria Math"/>
                </w:rPr>
                <m:t>t</m:t>
              </m:r>
            </m:sub>
          </m:sSub>
          <m:r>
            <w:rPr>
              <w:rFonts w:ascii="Cambria Math" w:hAnsi="Cambria Math"/>
            </w:rPr>
            <m:t xml:space="preserve">= </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 xml:space="preserve">1 </m:t>
              </m:r>
            </m:sub>
          </m:sSub>
          <m:d>
            <m:dPr>
              <m:ctrlPr>
                <w:rPr>
                  <w:rFonts w:ascii="Cambria Math" w:hAnsi="Cambria Math"/>
                </w:rPr>
              </m:ctrlPr>
            </m:dPr>
            <m:e>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t-1</m:t>
                      </m:r>
                    </m:sub>
                  </m:sSub>
                </m:den>
              </m:f>
            </m:e>
          </m:d>
          <m:r>
            <m:rPr>
              <m:sty m:val="p"/>
            </m:rPr>
            <w:rPr>
              <w:rFonts w:ascii="Cambria Math" w:hAnsi="Cambria Math"/>
            </w:rPr>
            <m:t>+</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 xml:space="preserve">2 </m:t>
              </m:r>
            </m:sub>
          </m:sSub>
          <m:d>
            <m:dPr>
              <m:ctrlPr>
                <w:rPr>
                  <w:rFonts w:ascii="Cambria Math" w:hAnsi="Cambria Math"/>
                </w:rPr>
              </m:ctrlPr>
            </m:dPr>
            <m:e>
              <m:sSub>
                <m:sSubPr>
                  <m:ctrlPr>
                    <w:rPr>
                      <w:rFonts w:ascii="Cambria Math" w:hAnsi="Cambria Math"/>
                      <w:i/>
                    </w:rPr>
                  </m:ctrlPr>
                </m:sSubPr>
                <m:e>
                  <m:r>
                    <w:rPr>
                      <w:rFonts w:ascii="Cambria Math" w:hAnsi="Cambria Math"/>
                    </w:rPr>
                    <m:t>∆REV</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∆AR</m:t>
                  </m:r>
                </m:e>
                <m:sub>
                  <m:r>
                    <w:rPr>
                      <w:rFonts w:ascii="Cambria Math" w:hAnsi="Cambria Math"/>
                    </w:rPr>
                    <m:t>t</m:t>
                  </m:r>
                </m:sub>
              </m:sSub>
              <m:ctrlPr>
                <w:rPr>
                  <w:rFonts w:ascii="Cambria Math" w:hAnsi="Cambria Math"/>
                  <w:i/>
                </w:rPr>
              </m:ctrlPr>
            </m:e>
          </m:d>
          <m:r>
            <w:rPr>
              <w:rFonts w:ascii="Cambria Math" w:hAnsi="Cambria Math"/>
            </w:rPr>
            <m:t xml:space="preserve">+ </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 xml:space="preserve">3 </m:t>
              </m:r>
            </m:sub>
          </m:sSub>
          <m:r>
            <m:rPr>
              <m:sty m:val="p"/>
            </m:rPr>
            <w:rPr>
              <w:rFonts w:ascii="Cambria Math" w:hAnsi="Cambria Math"/>
            </w:rPr>
            <m:t>(</m:t>
          </m:r>
          <m:sSub>
            <m:sSubPr>
              <m:ctrlPr>
                <w:rPr>
                  <w:rFonts w:ascii="Cambria Math" w:hAnsi="Cambria Math"/>
                  <w:i/>
                </w:rPr>
              </m:ctrlPr>
            </m:sSubPr>
            <m:e>
              <m:r>
                <w:rPr>
                  <w:rFonts w:ascii="Cambria Math" w:hAnsi="Cambria Math"/>
                </w:rPr>
                <m:t>PPE</m:t>
              </m:r>
            </m:e>
            <m:sub>
              <m:r>
                <w:rPr>
                  <w:rFonts w:ascii="Cambria Math" w:hAnsi="Cambria Math"/>
                </w:rPr>
                <m:t>t</m:t>
              </m:r>
            </m:sub>
          </m:sSub>
          <m:r>
            <w:rPr>
              <w:rFonts w:ascii="Cambria Math" w:hAnsi="Cambria Math"/>
            </w:rPr>
            <m:t>)</m:t>
          </m:r>
        </m:oMath>
      </m:oMathPara>
    </w:p>
    <w:p w:rsidR="00977FC8" w:rsidRDefault="00977FC8" w:rsidP="002123A9">
      <w:pPr>
        <w:pStyle w:val="Caption"/>
        <w:tabs>
          <w:tab w:val="left" w:pos="2268"/>
        </w:tabs>
      </w:pPr>
      <w:r>
        <w:t>(</w:t>
      </w:r>
      <w:r w:rsidR="002C1DC3">
        <w:t>2-</w:t>
      </w:r>
      <w:r>
        <w:t>5)</w:t>
      </w:r>
    </w:p>
    <w:p w:rsidR="00977FC8" w:rsidRDefault="00977FC8" w:rsidP="002123A9">
      <w:pPr>
        <w:tabs>
          <w:tab w:val="left" w:pos="2268"/>
        </w:tabs>
      </w:pPr>
      <w:r>
        <w:t>Where:</w:t>
      </w:r>
    </w:p>
    <w:p w:rsidR="00977FC8" w:rsidRDefault="00977FC8" w:rsidP="002123A9">
      <w:pPr>
        <w:tabs>
          <w:tab w:val="left" w:pos="2268"/>
        </w:tabs>
      </w:pPr>
      <w:r>
        <w:t>NDA</w:t>
      </w:r>
      <w:r w:rsidRPr="00E75791">
        <w:rPr>
          <w:i/>
          <w:vertAlign w:val="subscript"/>
        </w:rPr>
        <w:t>t</w:t>
      </w:r>
      <w:r>
        <w:tab/>
        <w:t xml:space="preserve">Non-Discretionary Accruals in year </w:t>
      </w:r>
      <w:r w:rsidRPr="00E75791">
        <w:rPr>
          <w:i/>
        </w:rPr>
        <w:t>t</w:t>
      </w:r>
      <w:r>
        <w:rPr>
          <w:i/>
        </w:rPr>
        <w:t>;</w:t>
      </w:r>
    </w:p>
    <w:p w:rsidR="00977FC8" w:rsidRPr="00E75791" w:rsidRDefault="00977FC8" w:rsidP="002123A9">
      <w:pPr>
        <w:tabs>
          <w:tab w:val="left" w:pos="2268"/>
        </w:tabs>
      </w:pPr>
      <w:r>
        <w:t>A</w:t>
      </w:r>
      <w:r w:rsidRPr="00E75791">
        <w:rPr>
          <w:i/>
          <w:vertAlign w:val="subscript"/>
        </w:rPr>
        <w:t>t</w:t>
      </w:r>
      <w:r>
        <w:rPr>
          <w:i/>
          <w:vertAlign w:val="subscript"/>
        </w:rPr>
        <w:t>-1</w:t>
      </w:r>
      <w:r w:rsidRPr="00E75791">
        <w:rPr>
          <w:i/>
        </w:rPr>
        <w:tab/>
      </w:r>
      <w:r>
        <w:t xml:space="preserve">Assets in year </w:t>
      </w:r>
      <w:r w:rsidRPr="00E75791">
        <w:rPr>
          <w:i/>
        </w:rPr>
        <w:t>t</w:t>
      </w:r>
      <w:r>
        <w:t>-1;</w:t>
      </w:r>
    </w:p>
    <w:p w:rsidR="00977FC8" w:rsidRPr="00E75791" w:rsidRDefault="00977FC8" w:rsidP="002123A9">
      <w:pPr>
        <w:tabs>
          <w:tab w:val="left" w:pos="2268"/>
        </w:tabs>
      </w:pPr>
      <w:r w:rsidRPr="00E75791">
        <w:t>∆REV</w:t>
      </w:r>
      <w:r w:rsidRPr="00E75791">
        <w:rPr>
          <w:i/>
          <w:vertAlign w:val="subscript"/>
        </w:rPr>
        <w:t>t</w:t>
      </w:r>
      <w:r w:rsidRPr="00E75791">
        <w:rPr>
          <w:i/>
        </w:rPr>
        <w:tab/>
      </w:r>
      <w:r w:rsidRPr="00E75791">
        <w:t xml:space="preserve">Changes in revenue in year </w:t>
      </w:r>
      <w:r w:rsidRPr="00E75791">
        <w:rPr>
          <w:i/>
        </w:rPr>
        <w:t>t</w:t>
      </w:r>
      <w:r>
        <w:rPr>
          <w:i/>
        </w:rPr>
        <w:t>;</w:t>
      </w:r>
    </w:p>
    <w:p w:rsidR="00977FC8" w:rsidRPr="00B35521" w:rsidRDefault="00977FC8" w:rsidP="002123A9">
      <w:pPr>
        <w:tabs>
          <w:tab w:val="left" w:pos="2268"/>
        </w:tabs>
      </w:pPr>
      <w:r w:rsidRPr="00E75791">
        <w:t>∆</w:t>
      </w:r>
      <w:r>
        <w:t>AR</w:t>
      </w:r>
      <w:r w:rsidRPr="00E75791">
        <w:rPr>
          <w:i/>
          <w:vertAlign w:val="subscript"/>
        </w:rPr>
        <w:t>t</w:t>
      </w:r>
      <w:r>
        <w:rPr>
          <w:i/>
          <w:vertAlign w:val="subscript"/>
        </w:rPr>
        <w:tab/>
      </w:r>
      <w:r>
        <w:t xml:space="preserve">Changes in accounts receivables in year </w:t>
      </w:r>
      <w:r w:rsidRPr="00B35521">
        <w:rPr>
          <w:i/>
        </w:rPr>
        <w:t>t</w:t>
      </w:r>
      <w:r>
        <w:rPr>
          <w:i/>
        </w:rPr>
        <w:t>;</w:t>
      </w:r>
    </w:p>
    <w:p w:rsidR="00977FC8" w:rsidRDefault="00977FC8" w:rsidP="002123A9">
      <w:pPr>
        <w:tabs>
          <w:tab w:val="left" w:pos="2268"/>
        </w:tabs>
        <w:rPr>
          <w:i/>
        </w:rPr>
      </w:pPr>
      <w:r>
        <w:t>PPE</w:t>
      </w:r>
      <w:r w:rsidRPr="00E75791">
        <w:rPr>
          <w:i/>
          <w:vertAlign w:val="subscript"/>
        </w:rPr>
        <w:t>t</w:t>
      </w:r>
      <w:r w:rsidRPr="00E75791">
        <w:rPr>
          <w:i/>
        </w:rPr>
        <w:tab/>
      </w:r>
      <w:r w:rsidRPr="00E75791">
        <w:t xml:space="preserve">Property, Plant and Equipment in year </w:t>
      </w:r>
      <w:r w:rsidRPr="00E75791">
        <w:rPr>
          <w:i/>
        </w:rPr>
        <w:t>t</w:t>
      </w:r>
      <w:r>
        <w:rPr>
          <w:i/>
        </w:rPr>
        <w:t>;</w:t>
      </w:r>
    </w:p>
    <w:p w:rsidR="00977FC8" w:rsidRDefault="00977FC8" w:rsidP="002123A9">
      <w:pPr>
        <w:tabs>
          <w:tab w:val="left" w:pos="2268"/>
        </w:tabs>
      </w:pPr>
      <w:r>
        <w:t>α</w:t>
      </w:r>
      <w:r w:rsidRPr="007905AB">
        <w:rPr>
          <w:vertAlign w:val="subscript"/>
        </w:rPr>
        <w:t>1</w:t>
      </w:r>
      <w:r w:rsidRPr="007905AB">
        <w:rPr>
          <w:i/>
          <w:vertAlign w:val="subscript"/>
        </w:rPr>
        <w:t>i</w:t>
      </w:r>
      <w:r>
        <w:t>,</w:t>
      </w:r>
      <w:r w:rsidRPr="003B00A9">
        <w:t xml:space="preserve"> </w:t>
      </w:r>
      <w:r>
        <w:t>α</w:t>
      </w:r>
      <w:r w:rsidRPr="00252EA7">
        <w:rPr>
          <w:vertAlign w:val="subscript"/>
        </w:rPr>
        <w:t xml:space="preserve"> </w:t>
      </w:r>
      <w:r>
        <w:rPr>
          <w:vertAlign w:val="subscript"/>
        </w:rPr>
        <w:t>2</w:t>
      </w:r>
      <w:r w:rsidRPr="007905AB">
        <w:rPr>
          <w:i/>
          <w:vertAlign w:val="subscript"/>
        </w:rPr>
        <w:t>i</w:t>
      </w:r>
      <w:r>
        <w:t>, α</w:t>
      </w:r>
      <w:r w:rsidRPr="00252EA7">
        <w:rPr>
          <w:vertAlign w:val="subscript"/>
        </w:rPr>
        <w:t xml:space="preserve"> </w:t>
      </w:r>
      <w:r>
        <w:rPr>
          <w:vertAlign w:val="subscript"/>
        </w:rPr>
        <w:t>3</w:t>
      </w:r>
      <w:r w:rsidRPr="007905AB">
        <w:rPr>
          <w:i/>
          <w:vertAlign w:val="subscript"/>
        </w:rPr>
        <w:t>i</w:t>
      </w:r>
      <w:r>
        <w:tab/>
        <w:t>Firm specific parameters.</w:t>
      </w:r>
    </w:p>
    <w:p w:rsidR="00977FC8" w:rsidRDefault="00977FC8" w:rsidP="002123A9">
      <w:pPr>
        <w:tabs>
          <w:tab w:val="left" w:pos="2268"/>
        </w:tabs>
        <w:rPr>
          <w:lang w:val="en-GB"/>
        </w:rPr>
      </w:pPr>
    </w:p>
    <w:p w:rsidR="00977FC8" w:rsidRDefault="00977FC8" w:rsidP="002123A9">
      <w:pPr>
        <w:tabs>
          <w:tab w:val="left" w:pos="2268"/>
        </w:tabs>
        <w:rPr>
          <w:lang w:val="en-GB"/>
        </w:rPr>
      </w:pPr>
      <w:r>
        <w:rPr>
          <w:lang w:val="en-GB"/>
        </w:rPr>
        <w:t xml:space="preserve">Like the Jones model, the modified Jones model takes place in two stages. The first stage is identical, where the estimated accruals are defined. It is important to note that for estimating the NDA, equation </w:t>
      </w:r>
      <w:r w:rsidR="00CC64B8">
        <w:rPr>
          <w:lang w:val="en-GB"/>
        </w:rPr>
        <w:t>2-</w:t>
      </w:r>
      <w:r>
        <w:rPr>
          <w:lang w:val="en-GB"/>
        </w:rPr>
        <w:t xml:space="preserve">3 will be used </w:t>
      </w:r>
      <w:r w:rsidR="004B17C4">
        <w:t>(Bergstresser and Philippon</w:t>
      </w:r>
      <w:r>
        <w:t xml:space="preserve"> </w:t>
      </w:r>
      <w:r>
        <w:lastRenderedPageBreak/>
        <w:t>2006</w:t>
      </w:r>
      <w:r w:rsidR="004B17C4">
        <w:rPr>
          <w:lang w:val="en-GB"/>
        </w:rPr>
        <w:t xml:space="preserve">; </w:t>
      </w:r>
      <w:r>
        <w:rPr>
          <w:lang w:val="en-GB"/>
        </w:rPr>
        <w:t xml:space="preserve">Jones 1991). Dechow et al. (1995) adopted this approach from the original Jones Model (1991). </w:t>
      </w:r>
      <w:r w:rsidR="004B17C4">
        <w:rPr>
          <w:lang w:val="en-GB"/>
        </w:rPr>
        <w:t>E</w:t>
      </w:r>
      <w:r>
        <w:rPr>
          <w:lang w:val="en-GB"/>
        </w:rPr>
        <w:t xml:space="preserve">quation </w:t>
      </w:r>
      <w:r w:rsidR="00CC64B8">
        <w:rPr>
          <w:lang w:val="en-GB"/>
        </w:rPr>
        <w:t>2-</w:t>
      </w:r>
      <w:r>
        <w:rPr>
          <w:lang w:val="en-GB"/>
        </w:rPr>
        <w:t xml:space="preserve">5 will be used when determining the actual NDA. </w:t>
      </w:r>
    </w:p>
    <w:p w:rsidR="00977FC8" w:rsidRDefault="00977FC8" w:rsidP="002123A9">
      <w:pPr>
        <w:spacing w:line="240" w:lineRule="auto"/>
        <w:jc w:val="left"/>
      </w:pPr>
    </w:p>
    <w:p w:rsidR="00977FC8" w:rsidRDefault="00977FC8" w:rsidP="002123A9">
      <w:pPr>
        <w:rPr>
          <w:b/>
        </w:rPr>
      </w:pPr>
      <w:r>
        <w:tab/>
      </w:r>
      <w:r>
        <w:rPr>
          <w:b/>
        </w:rPr>
        <w:t>5. The Industry Model</w:t>
      </w:r>
    </w:p>
    <w:p w:rsidR="00977FC8" w:rsidRDefault="00977FC8" w:rsidP="002123A9">
      <w:pPr>
        <w:tabs>
          <w:tab w:val="left" w:pos="2268"/>
        </w:tabs>
        <w:rPr>
          <w:lang w:val="en-GB"/>
        </w:rPr>
      </w:pPr>
      <w:r>
        <w:rPr>
          <w:lang w:val="en-GB"/>
        </w:rPr>
        <w:t>The last model which is discussed in this paragraph is the Industry Model used by Dechow and Sloan (1991). Like in the Jones Model, the non-discretionary accruals are assumed to be variable over time. Dechow and Sloan further assume that variation in the determinants of non-discretionary accruals are common across firms in the same industry. The Industry Model for non-discretio</w:t>
      </w:r>
      <w:r w:rsidR="004B17C4">
        <w:rPr>
          <w:lang w:val="en-GB"/>
        </w:rPr>
        <w:t>nary accruals is (Dechow et al.</w:t>
      </w:r>
      <w:r>
        <w:rPr>
          <w:lang w:val="en-GB"/>
        </w:rPr>
        <w:t xml:space="preserve"> 1995):</w:t>
      </w:r>
    </w:p>
    <w:p w:rsidR="00977FC8" w:rsidRDefault="00977FC8" w:rsidP="002123A9">
      <w:pPr>
        <w:tabs>
          <w:tab w:val="left" w:pos="2268"/>
        </w:tabs>
      </w:pPr>
    </w:p>
    <w:p w:rsidR="00977FC8" w:rsidRDefault="006D6941" w:rsidP="002123A9">
      <w:pPr>
        <w:keepNext/>
        <w:tabs>
          <w:tab w:val="left" w:pos="2268"/>
        </w:tabs>
      </w:pPr>
      <m:oMathPara>
        <m:oMath>
          <m:sSub>
            <m:sSubPr>
              <m:ctrlPr>
                <w:rPr>
                  <w:rFonts w:ascii="Cambria Math" w:hAnsi="Cambria Math"/>
                  <w:i/>
                </w:rPr>
              </m:ctrlPr>
            </m:sSubPr>
            <m:e>
              <m:r>
                <w:rPr>
                  <w:rFonts w:ascii="Cambria Math" w:hAnsi="Cambria Math"/>
                </w:rPr>
                <m:t>NDA</m:t>
              </m:r>
            </m:e>
            <m:sub>
              <m:r>
                <w:rPr>
                  <w:rFonts w:ascii="Cambria Math" w:hAnsi="Cambria Math"/>
                </w:rPr>
                <m:t>t</m:t>
              </m:r>
            </m:sub>
          </m:sSub>
          <m:r>
            <w:rPr>
              <w:rFonts w:ascii="Cambria Math" w:hAnsi="Cambria Math"/>
            </w:rPr>
            <m:t xml:space="preserve">= </m:t>
          </m:r>
          <m:sSub>
            <m:sSubPr>
              <m:ctrlPr>
                <w:rPr>
                  <w:rFonts w:ascii="Cambria Math" w:hAnsi="Cambria Math"/>
                </w:rPr>
              </m:ctrlPr>
            </m:sSubPr>
            <m:e>
              <m:r>
                <m:rPr>
                  <m:sty m:val="p"/>
                </m:rPr>
                <w:rPr>
                  <w:rFonts w:ascii="Cambria Math" w:hAnsi="Cambria Math"/>
                </w:rPr>
                <m:t>γ</m:t>
              </m:r>
            </m:e>
            <m:sub>
              <m:r>
                <m:rPr>
                  <m:sty m:val="p"/>
                </m:rPr>
                <w:rPr>
                  <w:rFonts w:ascii="Cambria Math" w:hAnsi="Cambria Math"/>
                </w:rPr>
                <m:t>1</m:t>
              </m:r>
            </m:sub>
          </m:sSub>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γ</m:t>
              </m:r>
            </m:e>
            <m:sub>
              <m:r>
                <m:rPr>
                  <m:sty m:val="p"/>
                </m:rPr>
                <w:rPr>
                  <w:rFonts w:ascii="Cambria Math" w:hAnsi="Cambria Math"/>
                </w:rPr>
                <m:t xml:space="preserve">2 </m:t>
              </m:r>
            </m:sub>
          </m:sSub>
          <m:sSub>
            <m:sSubPr>
              <m:ctrlPr>
                <w:rPr>
                  <w:rFonts w:ascii="Cambria Math" w:hAnsi="Cambria Math"/>
                </w:rPr>
              </m:ctrlPr>
            </m:sSubPr>
            <m:e>
              <m:r>
                <m:rPr>
                  <m:sty m:val="p"/>
                </m:rPr>
                <w:rPr>
                  <w:rFonts w:ascii="Cambria Math" w:hAnsi="Cambria Math"/>
                </w:rPr>
                <m:t>median</m:t>
              </m:r>
            </m:e>
            <m:sub>
              <m:r>
                <m:rPr>
                  <m:sty m:val="p"/>
                </m:rP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TA</m:t>
              </m:r>
            </m:e>
            <m:sub>
              <m:r>
                <m:rPr>
                  <m:sty m:val="p"/>
                </m:rPr>
                <w:rPr>
                  <w:rFonts w:ascii="Cambria Math" w:hAnsi="Cambria Math"/>
                </w:rPr>
                <m:t>t</m:t>
              </m:r>
            </m:sub>
          </m:sSub>
          <m:r>
            <m:rPr>
              <m:sty m:val="p"/>
            </m:rPr>
            <w:rPr>
              <w:rFonts w:ascii="Cambria Math" w:hAnsi="Cambria Math"/>
            </w:rPr>
            <m:t>)</m:t>
          </m:r>
        </m:oMath>
      </m:oMathPara>
    </w:p>
    <w:p w:rsidR="00977FC8" w:rsidRDefault="00977FC8" w:rsidP="002123A9">
      <w:pPr>
        <w:pStyle w:val="Caption"/>
        <w:tabs>
          <w:tab w:val="left" w:pos="2268"/>
        </w:tabs>
      </w:pPr>
      <w:r>
        <w:t>(</w:t>
      </w:r>
      <w:r w:rsidR="002C1DC3">
        <w:t>2-</w:t>
      </w:r>
      <w:r>
        <w:t>6)</w:t>
      </w:r>
    </w:p>
    <w:p w:rsidR="00977FC8" w:rsidRDefault="00977FC8" w:rsidP="002123A9">
      <w:pPr>
        <w:tabs>
          <w:tab w:val="left" w:pos="2268"/>
        </w:tabs>
        <w:rPr>
          <w:lang w:val="en-GB"/>
        </w:rPr>
      </w:pPr>
      <w:r>
        <w:rPr>
          <w:lang w:val="en-GB"/>
        </w:rPr>
        <w:t>Where:</w:t>
      </w:r>
    </w:p>
    <w:p w:rsidR="00977FC8" w:rsidRDefault="00977FC8" w:rsidP="002123A9">
      <w:pPr>
        <w:tabs>
          <w:tab w:val="left" w:pos="2268"/>
        </w:tabs>
      </w:pPr>
      <w:r>
        <w:t>NDA</w:t>
      </w:r>
      <w:r w:rsidRPr="00E75791">
        <w:rPr>
          <w:i/>
          <w:vertAlign w:val="subscript"/>
        </w:rPr>
        <w:t>t</w:t>
      </w:r>
      <w:r>
        <w:tab/>
        <w:t xml:space="preserve">Non-Discretionary Accruals in year </w:t>
      </w:r>
      <w:r w:rsidRPr="00E75791">
        <w:rPr>
          <w:i/>
        </w:rPr>
        <w:t>t</w:t>
      </w:r>
      <w:r>
        <w:rPr>
          <w:i/>
        </w:rPr>
        <w:t>;</w:t>
      </w:r>
    </w:p>
    <w:p w:rsidR="00977FC8" w:rsidRDefault="00977FC8" w:rsidP="002123A9">
      <w:pPr>
        <w:tabs>
          <w:tab w:val="left" w:pos="2268"/>
        </w:tabs>
        <w:rPr>
          <w:rFonts w:cs="Arial"/>
        </w:rPr>
      </w:pPr>
      <w:r>
        <w:rPr>
          <w:rFonts w:cs="Arial"/>
        </w:rPr>
        <w:t>y</w:t>
      </w:r>
      <w:r w:rsidRPr="009E3A57">
        <w:rPr>
          <w:rFonts w:cs="Arial"/>
          <w:vertAlign w:val="subscript"/>
        </w:rPr>
        <w:t xml:space="preserve"> 1</w:t>
      </w:r>
      <w:r>
        <w:rPr>
          <w:rFonts w:cs="Arial"/>
        </w:rPr>
        <w:t>, y</w:t>
      </w:r>
      <w:r w:rsidRPr="009E3A57">
        <w:rPr>
          <w:rFonts w:cs="Arial"/>
          <w:vertAlign w:val="subscript"/>
        </w:rPr>
        <w:t>2</w:t>
      </w:r>
      <w:r>
        <w:rPr>
          <w:rFonts w:cs="Arial"/>
          <w:vertAlign w:val="subscript"/>
        </w:rPr>
        <w:tab/>
      </w:r>
      <w:r>
        <w:rPr>
          <w:rFonts w:cs="Arial"/>
        </w:rPr>
        <w:t>Firm specific parameters;</w:t>
      </w:r>
    </w:p>
    <w:p w:rsidR="00977FC8" w:rsidRPr="009E3A57" w:rsidRDefault="00977FC8" w:rsidP="002123A9">
      <w:pPr>
        <w:tabs>
          <w:tab w:val="left" w:pos="2268"/>
        </w:tabs>
        <w:ind w:left="2268" w:hanging="2268"/>
      </w:pPr>
      <w:r>
        <w:rPr>
          <w:rFonts w:cs="Arial"/>
        </w:rPr>
        <w:t>Median</w:t>
      </w:r>
      <w:r w:rsidRPr="009E3A57">
        <w:rPr>
          <w:rFonts w:cs="Arial"/>
          <w:vertAlign w:val="subscript"/>
        </w:rPr>
        <w:t>I</w:t>
      </w:r>
      <w:r>
        <w:rPr>
          <w:rFonts w:cs="Arial"/>
        </w:rPr>
        <w:t>(TA</w:t>
      </w:r>
      <w:r w:rsidRPr="009E3A57">
        <w:rPr>
          <w:rFonts w:cs="Arial"/>
          <w:vertAlign w:val="subscript"/>
        </w:rPr>
        <w:t>t</w:t>
      </w:r>
      <w:r>
        <w:rPr>
          <w:rFonts w:cs="Arial"/>
        </w:rPr>
        <w:t>)</w:t>
      </w:r>
      <w:r>
        <w:rPr>
          <w:rFonts w:cs="Arial"/>
        </w:rPr>
        <w:tab/>
        <w:t>Median value of total accruals scaled by lagged assets for all non-sample firms in the same two-digit SIC code</w:t>
      </w:r>
      <w:r w:rsidRPr="00636501">
        <w:rPr>
          <w:rStyle w:val="FootnoteReference"/>
          <w:rFonts w:cs="Angsana New"/>
          <w:lang w:val="en-GB"/>
        </w:rPr>
        <w:footnoteReference w:id="7"/>
      </w:r>
      <w:r>
        <w:rPr>
          <w:rFonts w:cs="Arial"/>
        </w:rPr>
        <w:t xml:space="preserve">. </w:t>
      </w:r>
    </w:p>
    <w:p w:rsidR="00977FC8" w:rsidRDefault="00977FC8" w:rsidP="002123A9">
      <w:pPr>
        <w:tabs>
          <w:tab w:val="left" w:pos="2268"/>
        </w:tabs>
        <w:rPr>
          <w:lang w:val="en-GB"/>
        </w:rPr>
      </w:pPr>
    </w:p>
    <w:p w:rsidR="00977FC8" w:rsidRDefault="00977FC8" w:rsidP="002123A9">
      <w:pPr>
        <w:tabs>
          <w:tab w:val="left" w:pos="2268"/>
        </w:tabs>
        <w:rPr>
          <w:lang w:val="en-GB"/>
        </w:rPr>
      </w:pPr>
      <w:r>
        <w:rPr>
          <w:lang w:val="en-GB"/>
        </w:rPr>
        <w:t>The Industry Model has two disadvantages. First, the approach only considers changes i</w:t>
      </w:r>
      <w:r w:rsidR="007743E2">
        <w:rPr>
          <w:lang w:val="en-GB"/>
        </w:rPr>
        <w:t>n the whole industry. It does not</w:t>
      </w:r>
      <w:r>
        <w:rPr>
          <w:lang w:val="en-GB"/>
        </w:rPr>
        <w:t xml:space="preserve"> take firm specific circumstances into account. Therefore these possible specific non-discretionary accruals are not recognised by the Industry Model. As a result the model </w:t>
      </w:r>
      <w:r w:rsidR="00CC64B8">
        <w:rPr>
          <w:lang w:val="en-GB"/>
        </w:rPr>
        <w:t>cannot</w:t>
      </w:r>
      <w:r>
        <w:rPr>
          <w:lang w:val="en-GB"/>
        </w:rPr>
        <w:t xml:space="preserve"> distinguish discretionary and non-discretionary accruals in the right way. Secondly, the model only assumes a correlation between non-discretionary accruals from companies in t</w:t>
      </w:r>
      <w:r w:rsidR="007743E2">
        <w:rPr>
          <w:lang w:val="en-GB"/>
        </w:rPr>
        <w:t>he same industry, but it does not</w:t>
      </w:r>
      <w:r>
        <w:rPr>
          <w:lang w:val="en-GB"/>
        </w:rPr>
        <w:t xml:space="preserve"> take correlated discretionary accruals into account. </w:t>
      </w:r>
      <w:r w:rsidR="007743E2">
        <w:rPr>
          <w:lang w:val="en-GB"/>
        </w:rPr>
        <w:t xml:space="preserve">To which extent the earnings management stimulus is correlated across firms in the same industry determines the severity of this problem </w:t>
      </w:r>
      <w:r>
        <w:rPr>
          <w:lang w:val="en-GB"/>
        </w:rPr>
        <w:t xml:space="preserve">(Dechow et al. 1995). </w:t>
      </w:r>
    </w:p>
    <w:p w:rsidR="007743E2" w:rsidRDefault="00254EA5" w:rsidP="00C92AF5">
      <w:pPr>
        <w:rPr>
          <w:lang w:val="en-GB"/>
        </w:rPr>
      </w:pPr>
      <w:r>
        <w:rPr>
          <w:lang w:val="en-GB"/>
        </w:rPr>
        <w:lastRenderedPageBreak/>
        <w:t>In this research t</w:t>
      </w:r>
      <w:r w:rsidR="00977FC8">
        <w:rPr>
          <w:lang w:val="en-GB"/>
        </w:rPr>
        <w:t xml:space="preserve">he Modified Jones Model </w:t>
      </w:r>
      <w:r>
        <w:rPr>
          <w:lang w:val="en-GB"/>
        </w:rPr>
        <w:t xml:space="preserve">will be used </w:t>
      </w:r>
      <w:r w:rsidR="00977FC8">
        <w:rPr>
          <w:lang w:val="en-GB"/>
        </w:rPr>
        <w:t>for detecting earnings management. There are a few reasons why the Modified version of the Jones Model</w:t>
      </w:r>
      <w:r>
        <w:rPr>
          <w:lang w:val="en-GB"/>
        </w:rPr>
        <w:t xml:space="preserve"> is used</w:t>
      </w:r>
      <w:r w:rsidR="00977FC8">
        <w:rPr>
          <w:lang w:val="en-GB"/>
        </w:rPr>
        <w:t>. First, as mentioned before, Dechow, Sloan, and Sweeny (1995) evaluated the ability</w:t>
      </w:r>
      <w:r w:rsidR="00977FC8" w:rsidRPr="000808D7">
        <w:rPr>
          <w:lang w:val="en-GB"/>
        </w:rPr>
        <w:t xml:space="preserve"> </w:t>
      </w:r>
      <w:r w:rsidR="00977FC8">
        <w:rPr>
          <w:lang w:val="en-GB"/>
        </w:rPr>
        <w:t xml:space="preserve">of the models described above to detect earnings management. Their most important result was that the Modified version of the model developed by Jones (1991) provides the </w:t>
      </w:r>
      <w:r w:rsidR="007743E2">
        <w:rPr>
          <w:lang w:val="en-GB"/>
        </w:rPr>
        <w:t>best test</w:t>
      </w:r>
      <w:r w:rsidR="00977FC8">
        <w:rPr>
          <w:lang w:val="en-GB"/>
        </w:rPr>
        <w:t xml:space="preserve"> </w:t>
      </w:r>
      <w:r w:rsidR="007743E2">
        <w:rPr>
          <w:lang w:val="en-GB"/>
        </w:rPr>
        <w:t>to detect</w:t>
      </w:r>
      <w:r w:rsidR="00977FC8">
        <w:rPr>
          <w:lang w:val="en-GB"/>
        </w:rPr>
        <w:t xml:space="preserve"> earnings management. It generated the fewest type II errors, which represents cases in which earnings are managed, b</w:t>
      </w:r>
      <w:r w:rsidR="004B17C4">
        <w:rPr>
          <w:lang w:val="en-GB"/>
        </w:rPr>
        <w:t xml:space="preserve">ut are identified as not. Guay et al. </w:t>
      </w:r>
      <w:r w:rsidR="00977FC8">
        <w:rPr>
          <w:lang w:val="en-GB"/>
        </w:rPr>
        <w:t xml:space="preserve">(1996) also evaluated the same five models. </w:t>
      </w:r>
      <w:r w:rsidR="007743E2">
        <w:rPr>
          <w:lang w:val="en-GB"/>
        </w:rPr>
        <w:t xml:space="preserve">Their findings suggest that the Jones Model and the Modified Jones Model are the most effective models. </w:t>
      </w:r>
    </w:p>
    <w:p w:rsidR="00977FC8" w:rsidRPr="00636501" w:rsidRDefault="00977FC8" w:rsidP="00C92AF5">
      <w:pPr>
        <w:rPr>
          <w:lang w:val="en-GB"/>
        </w:rPr>
      </w:pPr>
      <w:r>
        <w:rPr>
          <w:lang w:val="en-GB"/>
        </w:rPr>
        <w:t xml:space="preserve">Second, the most popular and best accepted model in the academic literature seems to be the Modified Jones Model. Therefore the results of </w:t>
      </w:r>
      <w:r w:rsidR="00254EA5">
        <w:rPr>
          <w:lang w:val="en-GB"/>
        </w:rPr>
        <w:t>this</w:t>
      </w:r>
      <w:r>
        <w:rPr>
          <w:lang w:val="en-GB"/>
        </w:rPr>
        <w:t xml:space="preserve"> research will be better comparable</w:t>
      </w:r>
      <w:r w:rsidR="007743E2">
        <w:rPr>
          <w:lang w:val="en-GB"/>
        </w:rPr>
        <w:t xml:space="preserve"> to other studies</w:t>
      </w:r>
      <w:r>
        <w:rPr>
          <w:lang w:val="en-GB"/>
        </w:rPr>
        <w:t xml:space="preserve"> when </w:t>
      </w:r>
      <w:r w:rsidR="00254EA5">
        <w:rPr>
          <w:lang w:val="en-GB"/>
        </w:rPr>
        <w:t>the Modified Jones Model is used</w:t>
      </w:r>
      <w:r>
        <w:rPr>
          <w:lang w:val="en-GB"/>
        </w:rPr>
        <w:t xml:space="preserve">. </w:t>
      </w:r>
    </w:p>
    <w:p w:rsidR="00977FC8" w:rsidRPr="00636501" w:rsidRDefault="00977FC8" w:rsidP="00362C47">
      <w:pPr>
        <w:pStyle w:val="Heading2"/>
      </w:pPr>
      <w:bookmarkStart w:id="41" w:name="_Toc220318134"/>
      <w:bookmarkStart w:id="42" w:name="_Toc220384149"/>
      <w:bookmarkStart w:id="43" w:name="_Toc221376614"/>
      <w:bookmarkStart w:id="44" w:name="_Toc221957586"/>
      <w:bookmarkStart w:id="45" w:name="_Toc274485438"/>
      <w:r w:rsidRPr="00636501">
        <w:t>Compensation contracts</w:t>
      </w:r>
      <w:bookmarkEnd w:id="41"/>
      <w:bookmarkEnd w:id="42"/>
      <w:bookmarkEnd w:id="43"/>
      <w:bookmarkEnd w:id="44"/>
      <w:bookmarkEnd w:id="45"/>
    </w:p>
    <w:p w:rsidR="00977FC8" w:rsidRPr="00B35505" w:rsidRDefault="00977FC8" w:rsidP="00BC5A95">
      <w:pPr>
        <w:rPr>
          <w:lang w:val="en-GB"/>
        </w:rPr>
      </w:pPr>
      <w:r w:rsidRPr="00B35505">
        <w:rPr>
          <w:lang w:val="en-GB"/>
        </w:rPr>
        <w:t xml:space="preserve">As mentioned in the previous paragraph, compensation contracts are one of the main reasons for earnings management. The contracts are derived from the issues around the agency theory. The agency theory is concerned with two problems. </w:t>
      </w:r>
      <w:r w:rsidR="007743E2">
        <w:rPr>
          <w:lang w:val="en-GB"/>
        </w:rPr>
        <w:t>The first problem is that the aims of the agent (financial reporters of the company) are not in line with those of the principal (stakeholder). Secondly, it is impracticable for the principal to assess the work of the agent efficiently</w:t>
      </w:r>
      <w:r w:rsidRPr="00B35505">
        <w:rPr>
          <w:lang w:val="en-GB"/>
        </w:rPr>
        <w:t xml:space="preserve"> (Eisenhardt, 1989). </w:t>
      </w:r>
    </w:p>
    <w:p w:rsidR="00977FC8" w:rsidRDefault="00977FC8" w:rsidP="002B158C">
      <w:pPr>
        <w:rPr>
          <w:lang w:val="en-GB"/>
        </w:rPr>
      </w:pPr>
      <w:r w:rsidRPr="00B35505">
        <w:rPr>
          <w:lang w:val="en-GB"/>
        </w:rPr>
        <w:t>Both agent and principal want to increase their wealth. The principal’s wealth increases when that of the firms increases. The wealth of the agent increases when it receives the maximum return for its input (i.e. labour). The problem occurs when the incentives for the agent to increase the value of the firm are absent, and the agent is primarily aimed at increasing its value. However, the principal can alter this problem by adding incentives to the agent in their compensation contract. These incentives can better align the ambitions of agent and principal.</w:t>
      </w:r>
    </w:p>
    <w:p w:rsidR="00977FC8" w:rsidRDefault="00977FC8">
      <w:pPr>
        <w:spacing w:line="240" w:lineRule="auto"/>
        <w:jc w:val="left"/>
        <w:rPr>
          <w:lang w:val="en-GB"/>
        </w:rPr>
      </w:pPr>
    </w:p>
    <w:p w:rsidR="005B78B2" w:rsidRDefault="005B78B2" w:rsidP="000E0C5D">
      <w:pPr>
        <w:rPr>
          <w:lang w:val="en-GB"/>
        </w:rPr>
      </w:pPr>
      <w:r>
        <w:rPr>
          <w:lang w:val="en-GB"/>
        </w:rPr>
        <w:t>Before 1986 is was unusual for managers to receive stock-based compensation</w:t>
      </w:r>
      <w:r w:rsidR="004B17C4">
        <w:rPr>
          <w:lang w:val="en-GB"/>
        </w:rPr>
        <w:t xml:space="preserve"> (Bergstresser and Philippon</w:t>
      </w:r>
      <w:r w:rsidR="00977FC8" w:rsidRPr="00636501">
        <w:rPr>
          <w:lang w:val="en-GB"/>
        </w:rPr>
        <w:t xml:space="preserve"> 2006). </w:t>
      </w:r>
      <w:r>
        <w:rPr>
          <w:lang w:val="en-GB"/>
        </w:rPr>
        <w:t>Between 1974-1986 shareholders wealth increased with $ 1,000 for every $ 3 increase in wealth for the CEO’s</w:t>
      </w:r>
      <w:r w:rsidR="004B17C4">
        <w:rPr>
          <w:lang w:val="en-GB"/>
        </w:rPr>
        <w:t xml:space="preserve"> (Jensen and </w:t>
      </w:r>
      <w:r w:rsidR="004B17C4">
        <w:rPr>
          <w:lang w:val="en-GB"/>
        </w:rPr>
        <w:lastRenderedPageBreak/>
        <w:t>Murphy</w:t>
      </w:r>
      <w:r w:rsidR="00977FC8" w:rsidRPr="00636501">
        <w:rPr>
          <w:lang w:val="en-GB"/>
        </w:rPr>
        <w:t xml:space="preserve"> 1990). </w:t>
      </w:r>
      <w:r>
        <w:rPr>
          <w:lang w:val="en-GB"/>
        </w:rPr>
        <w:t xml:space="preserve">During these years therefore, CEO’s had no incentive to increase the wealth of the firm. </w:t>
      </w:r>
    </w:p>
    <w:p w:rsidR="00977FC8" w:rsidRPr="00636501" w:rsidRDefault="00977FC8" w:rsidP="00362C47">
      <w:pPr>
        <w:rPr>
          <w:lang w:val="en-GB"/>
        </w:rPr>
      </w:pPr>
      <w:r w:rsidRPr="00636501">
        <w:rPr>
          <w:lang w:val="en-GB"/>
        </w:rPr>
        <w:t xml:space="preserve">Incentive contracts are designed to eliminate this problem and to align the personal interests of financial reporters (managers) with those of the stakeholders (investors). Investors </w:t>
      </w:r>
      <w:r w:rsidR="005B78B2">
        <w:rPr>
          <w:lang w:val="en-GB"/>
        </w:rPr>
        <w:t>try</w:t>
      </w:r>
      <w:r w:rsidRPr="00636501">
        <w:rPr>
          <w:lang w:val="en-GB"/>
        </w:rPr>
        <w:t xml:space="preserve"> to increase their return on investment, by increasing earnings within their investment. Therefore financial reporters should also </w:t>
      </w:r>
      <w:r w:rsidR="005B78B2">
        <w:rPr>
          <w:lang w:val="en-GB"/>
        </w:rPr>
        <w:t>try</w:t>
      </w:r>
      <w:r w:rsidRPr="00636501">
        <w:rPr>
          <w:lang w:val="en-GB"/>
        </w:rPr>
        <w:t xml:space="preserve"> to increase true company earnings. </w:t>
      </w:r>
    </w:p>
    <w:p w:rsidR="00977FC8" w:rsidRPr="00636501" w:rsidRDefault="00977FC8" w:rsidP="00362C47">
      <w:pPr>
        <w:rPr>
          <w:lang w:val="en-GB"/>
        </w:rPr>
      </w:pPr>
      <w:r w:rsidRPr="00636501">
        <w:rPr>
          <w:lang w:val="en-GB"/>
        </w:rPr>
        <w:t>According to Murphy (1999) compensation contract are designed to align executive interest with those of the shareholder. Literature divides compensation contracts for managers into three categor</w:t>
      </w:r>
      <w:r w:rsidR="004B17C4">
        <w:rPr>
          <w:lang w:val="en-GB"/>
        </w:rPr>
        <w:t>ies (Merchant and Van der Stede</w:t>
      </w:r>
      <w:r w:rsidRPr="00636501">
        <w:rPr>
          <w:lang w:val="en-GB"/>
        </w:rPr>
        <w:t xml:space="preserve"> 2007):</w:t>
      </w:r>
    </w:p>
    <w:p w:rsidR="00977FC8" w:rsidRPr="00636501" w:rsidRDefault="00977FC8" w:rsidP="00362C47">
      <w:pPr>
        <w:numPr>
          <w:ilvl w:val="0"/>
          <w:numId w:val="2"/>
        </w:numPr>
        <w:rPr>
          <w:lang w:val="en-GB"/>
        </w:rPr>
      </w:pPr>
      <w:r w:rsidRPr="00636501">
        <w:rPr>
          <w:lang w:val="en-GB"/>
        </w:rPr>
        <w:t>Fixed salaries;</w:t>
      </w:r>
    </w:p>
    <w:p w:rsidR="00977FC8" w:rsidRPr="00636501" w:rsidRDefault="00977FC8" w:rsidP="00362C47">
      <w:pPr>
        <w:numPr>
          <w:ilvl w:val="0"/>
          <w:numId w:val="2"/>
        </w:numPr>
        <w:rPr>
          <w:lang w:val="en-GB"/>
        </w:rPr>
      </w:pPr>
      <w:r w:rsidRPr="00636501">
        <w:rPr>
          <w:lang w:val="en-GB"/>
        </w:rPr>
        <w:t xml:space="preserve">Short-term incentives; and </w:t>
      </w:r>
    </w:p>
    <w:p w:rsidR="00977FC8" w:rsidRPr="00636501" w:rsidRDefault="00977FC8" w:rsidP="00362C47">
      <w:pPr>
        <w:numPr>
          <w:ilvl w:val="0"/>
          <w:numId w:val="2"/>
        </w:numPr>
        <w:rPr>
          <w:lang w:val="en-GB"/>
        </w:rPr>
      </w:pPr>
      <w:r w:rsidRPr="00636501">
        <w:rPr>
          <w:lang w:val="en-GB"/>
        </w:rPr>
        <w:t>Long-term incentives</w:t>
      </w:r>
    </w:p>
    <w:p w:rsidR="00977FC8" w:rsidRPr="00636501" w:rsidRDefault="00977FC8" w:rsidP="00362C47">
      <w:pPr>
        <w:pStyle w:val="Heading3"/>
        <w:rPr>
          <w:lang w:val="en-GB"/>
        </w:rPr>
      </w:pPr>
      <w:bookmarkStart w:id="46" w:name="_Toc220318135"/>
      <w:bookmarkStart w:id="47" w:name="_Toc220384150"/>
      <w:bookmarkStart w:id="48" w:name="_Toc221376615"/>
      <w:bookmarkStart w:id="49" w:name="_Toc221957587"/>
      <w:bookmarkStart w:id="50" w:name="_Toc274485439"/>
      <w:r w:rsidRPr="00636501">
        <w:rPr>
          <w:lang w:val="en-GB"/>
        </w:rPr>
        <w:t>Fixed salaries</w:t>
      </w:r>
      <w:bookmarkEnd w:id="46"/>
      <w:bookmarkEnd w:id="47"/>
      <w:bookmarkEnd w:id="48"/>
      <w:bookmarkEnd w:id="49"/>
      <w:bookmarkEnd w:id="50"/>
    </w:p>
    <w:p w:rsidR="009F4765" w:rsidRDefault="00977FC8" w:rsidP="00362C47">
      <w:pPr>
        <w:rPr>
          <w:lang w:val="en-GB"/>
        </w:rPr>
      </w:pPr>
      <w:r w:rsidRPr="00636501">
        <w:rPr>
          <w:lang w:val="en-GB"/>
        </w:rPr>
        <w:t>Although fixed salaries do not have much relation to management perfor</w:t>
      </w:r>
      <w:r>
        <w:rPr>
          <w:lang w:val="en-GB"/>
        </w:rPr>
        <w:t>mance, most incentives are based</w:t>
      </w:r>
      <w:r w:rsidRPr="00636501">
        <w:rPr>
          <w:lang w:val="en-GB"/>
        </w:rPr>
        <w:t xml:space="preserve"> on fixed salary. </w:t>
      </w:r>
      <w:r w:rsidR="009F4765">
        <w:rPr>
          <w:lang w:val="en-GB"/>
        </w:rPr>
        <w:t>Other elements within the compensation contract increase when salary increases (Murphy 1999). Managers that are risk obverse have a relatively larger part of fixed salary as part of their total remuneration (Murphy 1999).</w:t>
      </w:r>
    </w:p>
    <w:p w:rsidR="00977FC8" w:rsidRPr="00636501" w:rsidRDefault="00977FC8" w:rsidP="00362C47">
      <w:pPr>
        <w:pStyle w:val="Heading3"/>
        <w:rPr>
          <w:lang w:val="en-GB"/>
        </w:rPr>
      </w:pPr>
      <w:bookmarkStart w:id="51" w:name="_Toc220318136"/>
      <w:bookmarkStart w:id="52" w:name="_Toc220384151"/>
      <w:bookmarkStart w:id="53" w:name="_Toc221376616"/>
      <w:bookmarkStart w:id="54" w:name="_Toc221957588"/>
      <w:bookmarkStart w:id="55" w:name="_Toc274485440"/>
      <w:r w:rsidRPr="00636501">
        <w:rPr>
          <w:lang w:val="en-GB"/>
        </w:rPr>
        <w:t>Short-term incentives</w:t>
      </w:r>
      <w:bookmarkEnd w:id="51"/>
      <w:bookmarkEnd w:id="52"/>
      <w:bookmarkEnd w:id="53"/>
      <w:bookmarkEnd w:id="54"/>
      <w:bookmarkEnd w:id="55"/>
    </w:p>
    <w:p w:rsidR="00977FC8" w:rsidRPr="00636501" w:rsidRDefault="009F4765" w:rsidP="009F4765">
      <w:pPr>
        <w:rPr>
          <w:lang w:val="en-GB"/>
        </w:rPr>
      </w:pPr>
      <w:r>
        <w:rPr>
          <w:lang w:val="en-GB"/>
        </w:rPr>
        <w:t xml:space="preserve">An example of a short-term incentive is the annual (cash) bonus. Although bonus plan take many forms, most manager nowadays have a personal bonus plan that contains a individual performance portion </w:t>
      </w:r>
      <w:r w:rsidR="004B17C4">
        <w:rPr>
          <w:lang w:val="en-GB"/>
        </w:rPr>
        <w:t>(Murphy</w:t>
      </w:r>
      <w:r w:rsidR="00977FC8" w:rsidRPr="00636501">
        <w:rPr>
          <w:lang w:val="en-GB"/>
        </w:rPr>
        <w:t xml:space="preserve"> 1999). </w:t>
      </w:r>
      <w:r>
        <w:rPr>
          <w:lang w:val="en-GB"/>
        </w:rPr>
        <w:t xml:space="preserve">These bonus then can be achieved through predetermined targets and objectives, that can be both financial and nonfinancial measurements. </w:t>
      </w:r>
      <w:r w:rsidR="00977FC8" w:rsidRPr="00636501">
        <w:rPr>
          <w:lang w:val="en-GB"/>
        </w:rPr>
        <w:t>In a Towers Perrin survey, 65 of the 68 sample companies using single performance measurement used accounting indicators as performance measurement. 62% of companies using multiple performance measurements used accounting indicators. Performance can be measured in a number of ways from total earnings to growth rates.</w:t>
      </w:r>
    </w:p>
    <w:p w:rsidR="00977FC8" w:rsidRPr="00636501" w:rsidRDefault="00977FC8" w:rsidP="00362C47">
      <w:pPr>
        <w:pStyle w:val="Heading3"/>
        <w:rPr>
          <w:lang w:val="en-GB"/>
        </w:rPr>
      </w:pPr>
      <w:bookmarkStart w:id="56" w:name="_Toc220318137"/>
      <w:bookmarkStart w:id="57" w:name="_Toc220384152"/>
      <w:bookmarkStart w:id="58" w:name="_Toc221376617"/>
      <w:bookmarkStart w:id="59" w:name="_Toc221957589"/>
      <w:bookmarkStart w:id="60" w:name="_Toc274485441"/>
      <w:r w:rsidRPr="00636501">
        <w:rPr>
          <w:lang w:val="en-GB"/>
        </w:rPr>
        <w:lastRenderedPageBreak/>
        <w:t>Long-term incentives</w:t>
      </w:r>
      <w:bookmarkEnd w:id="56"/>
      <w:bookmarkEnd w:id="57"/>
      <w:bookmarkEnd w:id="58"/>
      <w:bookmarkEnd w:id="59"/>
      <w:bookmarkEnd w:id="60"/>
    </w:p>
    <w:p w:rsidR="00977FC8" w:rsidRDefault="00977FC8" w:rsidP="00362C47">
      <w:pPr>
        <w:rPr>
          <w:lang w:val="en-GB"/>
        </w:rPr>
      </w:pPr>
      <w:r w:rsidRPr="00636501">
        <w:rPr>
          <w:lang w:val="en-GB"/>
        </w:rPr>
        <w:t xml:space="preserve">Long term incentives are </w:t>
      </w:r>
      <w:r w:rsidR="0082204B">
        <w:rPr>
          <w:lang w:val="en-GB"/>
        </w:rPr>
        <w:t xml:space="preserve">in particular </w:t>
      </w:r>
      <w:r w:rsidRPr="00636501">
        <w:rPr>
          <w:lang w:val="en-GB"/>
        </w:rPr>
        <w:t xml:space="preserve">stock options. These options are offered to management as an incentive for long term earnings at the company. </w:t>
      </w:r>
      <w:r w:rsidR="0082204B">
        <w:rPr>
          <w:lang w:val="en-GB"/>
        </w:rPr>
        <w:t>In most cases these options can be exercised only over a period of time</w:t>
      </w:r>
      <w:r w:rsidR="004B17C4">
        <w:rPr>
          <w:lang w:val="en-GB"/>
        </w:rPr>
        <w:t xml:space="preserve"> (Murphy</w:t>
      </w:r>
      <w:r w:rsidRPr="00636501">
        <w:rPr>
          <w:lang w:val="en-GB"/>
        </w:rPr>
        <w:t xml:space="preserve"> 1999</w:t>
      </w:r>
      <w:r w:rsidR="004B17C4">
        <w:rPr>
          <w:lang w:val="en-GB"/>
        </w:rPr>
        <w:t>;</w:t>
      </w:r>
      <w:r w:rsidRPr="00636501">
        <w:rPr>
          <w:lang w:val="en-GB"/>
        </w:rPr>
        <w:t xml:space="preserve"> </w:t>
      </w:r>
      <w:r w:rsidR="004B17C4">
        <w:rPr>
          <w:lang w:val="en-GB"/>
        </w:rPr>
        <w:t>Cheng and Warfield</w:t>
      </w:r>
      <w:r w:rsidRPr="00636501">
        <w:rPr>
          <w:lang w:val="en-GB"/>
        </w:rPr>
        <w:t xml:space="preserve"> 2005). More importantly executive options are non-tradable. Considering these restrictions, managerial compensation contracts involve an increasingly higher degree of stock compensa</w:t>
      </w:r>
      <w:r w:rsidR="0082204B">
        <w:rPr>
          <w:lang w:val="en-GB"/>
        </w:rPr>
        <w:t>tion. Murphy (1999) even states that</w:t>
      </w:r>
      <w:r w:rsidRPr="00636501">
        <w:rPr>
          <w:lang w:val="en-GB"/>
        </w:rPr>
        <w:t xml:space="preserve"> stock</w:t>
      </w:r>
      <w:r w:rsidR="0082204B">
        <w:rPr>
          <w:lang w:val="en-GB"/>
        </w:rPr>
        <w:t>-based</w:t>
      </w:r>
      <w:r w:rsidRPr="00636501">
        <w:rPr>
          <w:lang w:val="en-GB"/>
        </w:rPr>
        <w:t xml:space="preserve"> compensation </w:t>
      </w:r>
      <w:r w:rsidR="0082204B">
        <w:rPr>
          <w:lang w:val="en-GB"/>
        </w:rPr>
        <w:t>w</w:t>
      </w:r>
      <w:r w:rsidRPr="00636501">
        <w:rPr>
          <w:lang w:val="en-GB"/>
        </w:rPr>
        <w:t xml:space="preserve">as most </w:t>
      </w:r>
      <w:r w:rsidR="0082204B">
        <w:rPr>
          <w:lang w:val="en-GB"/>
        </w:rPr>
        <w:t>important</w:t>
      </w:r>
      <w:r w:rsidRPr="00636501">
        <w:rPr>
          <w:lang w:val="en-GB"/>
        </w:rPr>
        <w:t xml:space="preserve"> development in executive compensation in the 1980s and 1990s. </w:t>
      </w:r>
    </w:p>
    <w:p w:rsidR="00977FC8" w:rsidRPr="00636501" w:rsidRDefault="00977FC8" w:rsidP="00362C47">
      <w:pPr>
        <w:rPr>
          <w:lang w:val="en-GB"/>
        </w:rPr>
      </w:pPr>
      <w:r w:rsidRPr="00636501">
        <w:rPr>
          <w:lang w:val="en-GB"/>
        </w:rPr>
        <w:t>Short-term and long-term compensation are the general compensation that is spoken about when talking about earnings management. As proved in the Towers Perrin survey, a large majority</w:t>
      </w:r>
      <w:r w:rsidR="0082204B">
        <w:rPr>
          <w:lang w:val="en-GB"/>
        </w:rPr>
        <w:t xml:space="preserve"> </w:t>
      </w:r>
      <w:r w:rsidRPr="00636501">
        <w:rPr>
          <w:lang w:val="en-GB"/>
        </w:rPr>
        <w:t>of companies</w:t>
      </w:r>
      <w:r w:rsidR="0082204B">
        <w:rPr>
          <w:lang w:val="en-GB"/>
        </w:rPr>
        <w:t xml:space="preserve"> (91% of the total sample of 177 companies)</w:t>
      </w:r>
      <w:r w:rsidR="0082204B" w:rsidRPr="00636501">
        <w:rPr>
          <w:lang w:val="en-GB"/>
        </w:rPr>
        <w:t xml:space="preserve"> </w:t>
      </w:r>
      <w:r w:rsidRPr="00636501">
        <w:rPr>
          <w:lang w:val="en-GB"/>
        </w:rPr>
        <w:t xml:space="preserve"> use accounting information to measure performance. Apart from stock</w:t>
      </w:r>
      <w:r w:rsidR="0082204B">
        <w:rPr>
          <w:lang w:val="en-GB"/>
        </w:rPr>
        <w:t>-based</w:t>
      </w:r>
      <w:r w:rsidRPr="00636501">
        <w:rPr>
          <w:lang w:val="en-GB"/>
        </w:rPr>
        <w:t xml:space="preserve"> compensation managers can </w:t>
      </w:r>
      <w:r w:rsidR="0082204B">
        <w:rPr>
          <w:lang w:val="en-GB"/>
        </w:rPr>
        <w:t>obtain</w:t>
      </w:r>
      <w:r w:rsidRPr="00636501">
        <w:rPr>
          <w:lang w:val="en-GB"/>
        </w:rPr>
        <w:t xml:space="preserve"> shares by purchasing them on the open market.</w:t>
      </w:r>
      <w:r w:rsidR="0082204B">
        <w:rPr>
          <w:lang w:val="en-GB"/>
        </w:rPr>
        <w:t xml:space="preserve"> Core and Larcker (2002) say that some firms expect managers to own a unknown number of shares of their own company </w:t>
      </w:r>
      <w:r w:rsidR="004B17C4">
        <w:rPr>
          <w:lang w:val="en-GB"/>
        </w:rPr>
        <w:t>(Core and Larcker</w:t>
      </w:r>
      <w:r w:rsidRPr="00636501">
        <w:rPr>
          <w:lang w:val="en-GB"/>
        </w:rPr>
        <w:t xml:space="preserve"> 2002).</w:t>
      </w:r>
    </w:p>
    <w:p w:rsidR="00977FC8" w:rsidRPr="00636501" w:rsidRDefault="00977FC8" w:rsidP="00362C47">
      <w:pPr>
        <w:pStyle w:val="Heading3"/>
        <w:rPr>
          <w:lang w:val="en-GB"/>
        </w:rPr>
      </w:pPr>
      <w:bookmarkStart w:id="61" w:name="_Toc221376618"/>
      <w:bookmarkStart w:id="62" w:name="_Toc221957590"/>
      <w:bookmarkStart w:id="63" w:name="_Toc274485442"/>
      <w:r w:rsidRPr="00636501">
        <w:rPr>
          <w:lang w:val="en-GB"/>
        </w:rPr>
        <w:t>Why do managers receive stock compensation</w:t>
      </w:r>
      <w:bookmarkEnd w:id="61"/>
      <w:r w:rsidRPr="00636501">
        <w:rPr>
          <w:lang w:val="en-GB"/>
        </w:rPr>
        <w:t>?</w:t>
      </w:r>
      <w:bookmarkEnd w:id="62"/>
      <w:bookmarkEnd w:id="63"/>
    </w:p>
    <w:p w:rsidR="008A701E" w:rsidRDefault="008A701E" w:rsidP="00362C47">
      <w:pPr>
        <w:rPr>
          <w:lang w:val="en-GB"/>
        </w:rPr>
      </w:pPr>
      <w:r>
        <w:rPr>
          <w:lang w:val="en-GB"/>
        </w:rPr>
        <w:t>As explained before, t</w:t>
      </w:r>
      <w:r w:rsidR="00977FC8" w:rsidRPr="00636501">
        <w:rPr>
          <w:lang w:val="en-GB"/>
        </w:rPr>
        <w:t>here is an information asymmetry between investor</w:t>
      </w:r>
      <w:r>
        <w:rPr>
          <w:lang w:val="en-GB"/>
        </w:rPr>
        <w:t>s</w:t>
      </w:r>
      <w:r w:rsidR="00977FC8" w:rsidRPr="00636501">
        <w:rPr>
          <w:lang w:val="en-GB"/>
        </w:rPr>
        <w:t xml:space="preserve"> and managers. </w:t>
      </w:r>
      <w:r>
        <w:rPr>
          <w:lang w:val="en-GB"/>
        </w:rPr>
        <w:t xml:space="preserve">Managers know the truth about the (financial) performance and the situation of the company. Investors must rely on the information that is granted to them by the managers. To add value to the publicized information audit reports are designed. However, Ronen et al. (2006) claim that audit technology seems to be imperfect and managers can move within the boundaries set by regulators. Because regulators leave managers some space in the accounting rules, this creates an incentive for managers to engage in earnings management. </w:t>
      </w:r>
    </w:p>
    <w:p w:rsidR="00977FC8" w:rsidRPr="00636501" w:rsidRDefault="00977FC8" w:rsidP="00362C47">
      <w:pPr>
        <w:rPr>
          <w:lang w:val="en-GB"/>
        </w:rPr>
      </w:pPr>
      <w:r w:rsidRPr="00636501">
        <w:rPr>
          <w:lang w:val="en-GB"/>
        </w:rPr>
        <w:t xml:space="preserve">In an extensive study on equity incentives, Cheng and Warfield (2005) examine the actions of managers that are compensated </w:t>
      </w:r>
      <w:r w:rsidR="008A701E">
        <w:rPr>
          <w:lang w:val="en-GB"/>
        </w:rPr>
        <w:t>through</w:t>
      </w:r>
      <w:r w:rsidRPr="00636501">
        <w:rPr>
          <w:lang w:val="en-GB"/>
        </w:rPr>
        <w:t xml:space="preserve"> stock options. </w:t>
      </w:r>
      <w:r w:rsidR="008A701E">
        <w:rPr>
          <w:lang w:val="en-GB"/>
        </w:rPr>
        <w:t xml:space="preserve">Due to the increasing stock-based compensation in the last decades, a managers compensation largely consists of shares. This is consistent with the incentive alignment investors want to create. If stock-based compensation increase, a greater portion of manager’s wealth is invested in </w:t>
      </w:r>
      <w:r w:rsidR="008A701E" w:rsidRPr="00636501">
        <w:rPr>
          <w:lang w:val="en-GB"/>
        </w:rPr>
        <w:t>a relatively risky asset, i.e. company shares.</w:t>
      </w:r>
      <w:r w:rsidR="008A701E">
        <w:rPr>
          <w:lang w:val="en-GB"/>
        </w:rPr>
        <w:t xml:space="preserve"> </w:t>
      </w:r>
      <w:r w:rsidR="00CE4CD0">
        <w:rPr>
          <w:lang w:val="en-GB"/>
        </w:rPr>
        <w:t xml:space="preserve">Managers will adapt their remuneration package to their to an acceptable risk level, selling shares </w:t>
      </w:r>
      <w:r w:rsidR="00CE4CD0">
        <w:rPr>
          <w:lang w:val="en-GB"/>
        </w:rPr>
        <w:lastRenderedPageBreak/>
        <w:t xml:space="preserve">at short-term prices. </w:t>
      </w:r>
      <w:r w:rsidRPr="00636501">
        <w:rPr>
          <w:lang w:val="en-GB"/>
        </w:rPr>
        <w:t xml:space="preserve">Under the capital asset pricing assumptions, returns on stocks are positive and stock prices rise under normal economic circumstances. </w:t>
      </w:r>
      <w:r w:rsidR="00CE4CD0">
        <w:rPr>
          <w:lang w:val="en-GB"/>
        </w:rPr>
        <w:t>This causes short-term trading because managers need to constantly adapt their risk profile</w:t>
      </w:r>
      <w:r w:rsidR="004B17C4">
        <w:rPr>
          <w:lang w:val="en-GB"/>
        </w:rPr>
        <w:t xml:space="preserve"> (Sivakumar and Waymire</w:t>
      </w:r>
      <w:r w:rsidRPr="00636501">
        <w:rPr>
          <w:lang w:val="en-GB"/>
        </w:rPr>
        <w:t xml:space="preserve"> 1994</w:t>
      </w:r>
      <w:r w:rsidR="004B17C4">
        <w:rPr>
          <w:lang w:val="en-GB"/>
        </w:rPr>
        <w:t>;</w:t>
      </w:r>
      <w:r w:rsidRPr="00636501">
        <w:rPr>
          <w:lang w:val="en-GB"/>
        </w:rPr>
        <w:t xml:space="preserve"> </w:t>
      </w:r>
      <w:r w:rsidR="004B17C4">
        <w:rPr>
          <w:lang w:val="en-GB"/>
        </w:rPr>
        <w:t>Noe</w:t>
      </w:r>
      <w:r w:rsidRPr="00636501">
        <w:rPr>
          <w:lang w:val="en-GB"/>
        </w:rPr>
        <w:t xml:space="preserve"> 1999). </w:t>
      </w:r>
    </w:p>
    <w:p w:rsidR="00977FC8" w:rsidRDefault="00977FC8" w:rsidP="00362C47">
      <w:pPr>
        <w:rPr>
          <w:lang w:val="en-GB"/>
        </w:rPr>
      </w:pPr>
    </w:p>
    <w:p w:rsidR="00977FC8" w:rsidRPr="00636501" w:rsidRDefault="00977FC8" w:rsidP="00362C47">
      <w:pPr>
        <w:rPr>
          <w:lang w:val="en-GB"/>
        </w:rPr>
      </w:pPr>
      <w:r w:rsidRPr="00636501">
        <w:rPr>
          <w:lang w:val="en-GB"/>
        </w:rPr>
        <w:t>As managers have relatively short-term personal incentives and investors often have a long-term incentive, this could lead financial reporter to report short-term high earnings. This short-term view could damage long-term interest for the firm and investors. This phenomenon has been researched in numerous st</w:t>
      </w:r>
      <w:r w:rsidR="004B17C4">
        <w:rPr>
          <w:lang w:val="en-GB"/>
        </w:rPr>
        <w:t>udies (e.g. Jensen and Meckling</w:t>
      </w:r>
      <w:r w:rsidRPr="00636501">
        <w:rPr>
          <w:lang w:val="en-GB"/>
        </w:rPr>
        <w:t xml:space="preserve"> 1976</w:t>
      </w:r>
      <w:r w:rsidR="004B17C4">
        <w:rPr>
          <w:lang w:val="en-GB"/>
        </w:rPr>
        <w:t>;</w:t>
      </w:r>
      <w:r w:rsidRPr="00636501">
        <w:rPr>
          <w:lang w:val="en-GB"/>
        </w:rPr>
        <w:t xml:space="preserve"> </w:t>
      </w:r>
      <w:r w:rsidR="004B17C4">
        <w:rPr>
          <w:lang w:val="en-GB"/>
        </w:rPr>
        <w:t>Rajgopal and Shevlin</w:t>
      </w:r>
      <w:r w:rsidRPr="00636501">
        <w:rPr>
          <w:lang w:val="en-GB"/>
        </w:rPr>
        <w:t xml:space="preserve"> 2002).</w:t>
      </w:r>
    </w:p>
    <w:p w:rsidR="00977FC8" w:rsidRPr="00636501" w:rsidRDefault="00977FC8" w:rsidP="00362C47">
      <w:pPr>
        <w:pStyle w:val="Heading2"/>
      </w:pPr>
      <w:bookmarkStart w:id="64" w:name="_Toc220318138"/>
      <w:bookmarkStart w:id="65" w:name="_Toc220384153"/>
      <w:bookmarkStart w:id="66" w:name="_Toc221376619"/>
      <w:bookmarkStart w:id="67" w:name="_Toc221957591"/>
      <w:bookmarkStart w:id="68" w:name="_Toc274485443"/>
      <w:r w:rsidRPr="00636501">
        <w:t>Earnings management and equity compensation</w:t>
      </w:r>
      <w:bookmarkEnd w:id="64"/>
      <w:bookmarkEnd w:id="65"/>
      <w:bookmarkEnd w:id="66"/>
      <w:bookmarkEnd w:id="67"/>
      <w:bookmarkEnd w:id="68"/>
    </w:p>
    <w:p w:rsidR="00977FC8" w:rsidRPr="00636501" w:rsidRDefault="00977FC8" w:rsidP="00362C47">
      <w:pPr>
        <w:rPr>
          <w:lang w:val="en-GB"/>
        </w:rPr>
      </w:pPr>
      <w:r w:rsidRPr="00636501">
        <w:rPr>
          <w:lang w:val="en-GB"/>
        </w:rPr>
        <w:t xml:space="preserve">It is clear that extensive studies have been </w:t>
      </w:r>
      <w:r w:rsidR="00CC64B8">
        <w:rPr>
          <w:lang w:val="en-GB"/>
        </w:rPr>
        <w:t>conducted</w:t>
      </w:r>
      <w:r w:rsidRPr="00636501">
        <w:rPr>
          <w:lang w:val="en-GB"/>
        </w:rPr>
        <w:t xml:space="preserve"> on the subject earnings management and compensation contract</w:t>
      </w:r>
      <w:r w:rsidR="00CC64B8">
        <w:rPr>
          <w:lang w:val="en-GB"/>
        </w:rPr>
        <w:t>s</w:t>
      </w:r>
      <w:r w:rsidRPr="00636501">
        <w:rPr>
          <w:lang w:val="en-GB"/>
        </w:rPr>
        <w:t xml:space="preserve">. </w:t>
      </w:r>
      <w:r w:rsidR="00FF38FE">
        <w:rPr>
          <w:lang w:val="en-GB"/>
        </w:rPr>
        <w:t xml:space="preserve">Compensation contract are often blamed for their steer towards earnings management. However Gao and Shrieves (2002) say that it is not the only incentive for managers to engage in earnings management. In spite of the fact that there are more incentives, the incentive coming from compensation contracts is the only form of earnings management that extracts wealth from the company </w:t>
      </w:r>
      <w:r w:rsidR="004B17C4">
        <w:rPr>
          <w:lang w:val="en-GB"/>
        </w:rPr>
        <w:t>(Stolowy and Breton</w:t>
      </w:r>
      <w:r w:rsidRPr="00636501">
        <w:rPr>
          <w:lang w:val="en-GB"/>
        </w:rPr>
        <w:t xml:space="preserve"> 2004).</w:t>
      </w:r>
    </w:p>
    <w:p w:rsidR="00977FC8" w:rsidRPr="00636501" w:rsidRDefault="00977FC8" w:rsidP="00362C47">
      <w:pPr>
        <w:rPr>
          <w:lang w:val="en-GB"/>
        </w:rPr>
      </w:pPr>
    </w:p>
    <w:p w:rsidR="00977FC8" w:rsidRPr="00636501" w:rsidRDefault="00977FC8" w:rsidP="00362C47">
      <w:pPr>
        <w:rPr>
          <w:lang w:val="en-GB"/>
        </w:rPr>
      </w:pPr>
      <w:r w:rsidRPr="00636501">
        <w:rPr>
          <w:lang w:val="en-GB"/>
        </w:rPr>
        <w:t xml:space="preserve">Currently stock compensation is the biggest component in the executive compensation package. The primary reason for the introduction of this form of compensation </w:t>
      </w:r>
      <w:r>
        <w:rPr>
          <w:lang w:val="en-GB"/>
        </w:rPr>
        <w:t>was</w:t>
      </w:r>
      <w:r w:rsidRPr="00636501">
        <w:rPr>
          <w:lang w:val="en-GB"/>
        </w:rPr>
        <w:t xml:space="preserve"> to eliminate the short-term orientation of executives. However in eliminating this short-term awareness, does this form of compensation create a greater incentive for managers to creatively report earnings? With managers compensation coupled to firm performance </w:t>
      </w:r>
      <w:r w:rsidRPr="00636501">
        <w:rPr>
          <w:rFonts w:cs="Arial"/>
          <w:lang w:val="en-GB"/>
        </w:rPr>
        <w:t>–</w:t>
      </w:r>
      <w:r>
        <w:rPr>
          <w:rFonts w:cs="Arial"/>
          <w:lang w:val="en-GB"/>
        </w:rPr>
        <w:t xml:space="preserve"> </w:t>
      </w:r>
      <w:r>
        <w:rPr>
          <w:lang w:val="en-GB"/>
        </w:rPr>
        <w:t xml:space="preserve">in a form of earnings </w:t>
      </w:r>
      <w:r w:rsidRPr="00636501">
        <w:rPr>
          <w:rFonts w:cs="Arial"/>
          <w:lang w:val="en-GB"/>
        </w:rPr>
        <w:t>–</w:t>
      </w:r>
      <w:r w:rsidRPr="00636501">
        <w:rPr>
          <w:lang w:val="en-GB"/>
        </w:rPr>
        <w:t xml:space="preserve">, and current company earnings linked to stock prices, reporting managers have a seemingly increased incentive to report colourful earnings. </w:t>
      </w:r>
    </w:p>
    <w:p w:rsidR="00977FC8" w:rsidRPr="00636501" w:rsidRDefault="00977FC8" w:rsidP="00362C47">
      <w:pPr>
        <w:rPr>
          <w:lang w:val="en-GB"/>
        </w:rPr>
      </w:pPr>
    </w:p>
    <w:p w:rsidR="00977FC8" w:rsidRPr="00636501" w:rsidRDefault="00977FC8" w:rsidP="00362C47">
      <w:pPr>
        <w:rPr>
          <w:lang w:val="en-GB"/>
        </w:rPr>
      </w:pPr>
      <w:r w:rsidRPr="00636501">
        <w:rPr>
          <w:lang w:val="en-GB"/>
        </w:rPr>
        <w:t>Current earnings are based on past activities. Why are markets so possessed with passed activities? Share prices are a reflection of the present value of future cash flow. Therefore past earnings should have a very small impact on share prices. Under normal economic situations share prices increase, because analysts</w:t>
      </w:r>
      <w:r w:rsidR="00ED6188">
        <w:rPr>
          <w:lang w:val="en-GB"/>
        </w:rPr>
        <w:t>’</w:t>
      </w:r>
      <w:r w:rsidRPr="00636501">
        <w:rPr>
          <w:lang w:val="en-GB"/>
        </w:rPr>
        <w:t xml:space="preserve"> expect </w:t>
      </w:r>
      <w:r w:rsidRPr="00636501">
        <w:rPr>
          <w:lang w:val="en-GB"/>
        </w:rPr>
        <w:lastRenderedPageBreak/>
        <w:t xml:space="preserve">firms to increase their profit over the years. Put another way, if current earnings are disappointing, future revenues will be lower than expected, effecting current share prices. </w:t>
      </w:r>
      <w:r w:rsidR="00CC64B8">
        <w:rPr>
          <w:lang w:val="en-GB"/>
        </w:rPr>
        <w:t>Therefore, c</w:t>
      </w:r>
      <w:r w:rsidRPr="00636501">
        <w:rPr>
          <w:lang w:val="en-GB"/>
        </w:rPr>
        <w:t>urrent earnings give a good indication of future firm profits (Stein 1989).</w:t>
      </w:r>
    </w:p>
    <w:p w:rsidR="00977FC8" w:rsidRDefault="00353873" w:rsidP="00353873">
      <w:pPr>
        <w:rPr>
          <w:lang w:val="en-GB"/>
        </w:rPr>
      </w:pPr>
      <w:r>
        <w:rPr>
          <w:lang w:val="en-GB"/>
        </w:rPr>
        <w:t xml:space="preserve">Studies have shown that managers are more likely to report earnings greater than the expectation of the market (investors and analyst’s), when they have a large portion of stock-based compensation. </w:t>
      </w:r>
      <w:r w:rsidR="004B17C4">
        <w:rPr>
          <w:lang w:val="en-GB"/>
        </w:rPr>
        <w:t>(Bauman and Shaw</w:t>
      </w:r>
      <w:r w:rsidR="00977FC8" w:rsidRPr="00636501">
        <w:rPr>
          <w:lang w:val="en-GB"/>
        </w:rPr>
        <w:t xml:space="preserve"> 2006). </w:t>
      </w:r>
      <w:r>
        <w:rPr>
          <w:lang w:val="en-GB"/>
        </w:rPr>
        <w:t>Share prices increase when firms beat the forecasts of analyst’s.</w:t>
      </w:r>
      <w:r w:rsidR="00977FC8" w:rsidRPr="00636501">
        <w:rPr>
          <w:lang w:val="en-GB"/>
        </w:rPr>
        <w:t>This gives managers an incentive to increase earnings. However this study does not imply earnings management as a possible cause for these continuous surprises. Shaw</w:t>
      </w:r>
      <w:r w:rsidR="00977FC8">
        <w:rPr>
          <w:lang w:val="en-GB"/>
        </w:rPr>
        <w:t xml:space="preserve"> nevertheless, does mention</w:t>
      </w:r>
      <w:r w:rsidR="00977FC8" w:rsidRPr="006A75D7">
        <w:rPr>
          <w:lang w:val="en-GB"/>
        </w:rPr>
        <w:t xml:space="preserve"> that firms have even a greater incentive to beat analysts</w:t>
      </w:r>
      <w:r w:rsidR="00ED6188">
        <w:rPr>
          <w:lang w:val="en-GB"/>
        </w:rPr>
        <w:t>’</w:t>
      </w:r>
      <w:r w:rsidR="00977FC8" w:rsidRPr="006A75D7">
        <w:rPr>
          <w:lang w:val="en-GB"/>
        </w:rPr>
        <w:t xml:space="preserve"> forecast by small amounts. This could indicate a certain level of income smoothing. These </w:t>
      </w:r>
      <w:r w:rsidR="00977FC8" w:rsidRPr="006A75D7">
        <w:rPr>
          <w:i/>
          <w:lang w:val="en-GB"/>
        </w:rPr>
        <w:t>small surprises</w:t>
      </w:r>
      <w:r w:rsidR="00977FC8" w:rsidRPr="006A75D7">
        <w:rPr>
          <w:lang w:val="en-GB"/>
        </w:rPr>
        <w:t xml:space="preserve"> are also documented by Cheng and Warfield (2006). Their research has shown that managers with high equity incentives, are less prone to show large positive earnings surprises.</w:t>
      </w:r>
    </w:p>
    <w:p w:rsidR="00977FC8" w:rsidRPr="006A75D7" w:rsidRDefault="00977FC8" w:rsidP="00362C47">
      <w:pPr>
        <w:rPr>
          <w:lang w:val="en-GB"/>
        </w:rPr>
      </w:pPr>
      <w:r>
        <w:rPr>
          <w:lang w:val="en-GB"/>
        </w:rPr>
        <w:t>Gao and Shrieves (2002) note that income smoothing is</w:t>
      </w:r>
      <w:r w:rsidR="00CC64B8">
        <w:rPr>
          <w:lang w:val="en-GB"/>
        </w:rPr>
        <w:t xml:space="preserve"> a</w:t>
      </w:r>
      <w:r>
        <w:rPr>
          <w:lang w:val="en-GB"/>
        </w:rPr>
        <w:t xml:space="preserve"> matter of timing. Managers that receive Long Term Incentive Plans (LTIP) have no profit in managing earnings. Gao and Shrieves found no positive nor negative relation between LTIP and earning management. </w:t>
      </w:r>
      <w:r w:rsidR="00353873">
        <w:rPr>
          <w:lang w:val="en-GB"/>
        </w:rPr>
        <w:t>This is because f</w:t>
      </w:r>
      <w:r>
        <w:rPr>
          <w:lang w:val="en-GB"/>
        </w:rPr>
        <w:t>irms cannot manage earnings upwards continuously. This would result in exorbitant accruals, and could bring the firm into discredit. However, ensuring that higher earnings (greater t</w:t>
      </w:r>
      <w:r w:rsidR="00CC64B8">
        <w:rPr>
          <w:lang w:val="en-GB"/>
        </w:rPr>
        <w:t>han</w:t>
      </w:r>
      <w:r>
        <w:rPr>
          <w:lang w:val="en-GB"/>
        </w:rPr>
        <w:t xml:space="preserve"> analysts</w:t>
      </w:r>
      <w:r w:rsidR="00ED6188">
        <w:rPr>
          <w:lang w:val="en-GB"/>
        </w:rPr>
        <w:t>’</w:t>
      </w:r>
      <w:r>
        <w:rPr>
          <w:lang w:val="en-GB"/>
        </w:rPr>
        <w:t xml:space="preserve"> expect) come at an optimal time for the manager, is a timing choice. Gao and Shrieves find that it is very dependent on the forms of compensation in the contract. </w:t>
      </w:r>
    </w:p>
    <w:p w:rsidR="00977FC8" w:rsidRPr="00362C47" w:rsidRDefault="00977FC8" w:rsidP="00353873">
      <w:pPr>
        <w:rPr>
          <w:lang w:val="en-GB"/>
        </w:rPr>
      </w:pPr>
      <w:r w:rsidRPr="006A75D7">
        <w:rPr>
          <w:lang w:val="en-GB"/>
        </w:rPr>
        <w:t xml:space="preserve">Even though markets expect earnings to be managed, managers caught in the act, are punished by investors. </w:t>
      </w:r>
      <w:r w:rsidR="00353873">
        <w:rPr>
          <w:lang w:val="en-GB"/>
        </w:rPr>
        <w:t xml:space="preserve">Palmrose et al. (2004) say that firms lost 10% of the share price at the announcement of restatements of their earnings. Moreover, monetary fines and reputation losses are also important risk factors for firms who engage in earnings management </w:t>
      </w:r>
      <w:r w:rsidR="004B17C4">
        <w:rPr>
          <w:lang w:val="en-GB"/>
        </w:rPr>
        <w:t>(Karpoff et al.</w:t>
      </w:r>
      <w:r w:rsidRPr="006A75D7">
        <w:rPr>
          <w:lang w:val="en-GB"/>
        </w:rPr>
        <w:t xml:space="preserve"> 2008). Disciplinary actions taken by the market towards man</w:t>
      </w:r>
      <w:r>
        <w:rPr>
          <w:lang w:val="en-GB"/>
        </w:rPr>
        <w:t>a</w:t>
      </w:r>
      <w:r w:rsidRPr="006A75D7">
        <w:rPr>
          <w:lang w:val="en-GB"/>
        </w:rPr>
        <w:t xml:space="preserve">gers is </w:t>
      </w:r>
      <w:r w:rsidR="00F939F4">
        <w:rPr>
          <w:lang w:val="en-GB"/>
        </w:rPr>
        <w:t>not possible</w:t>
      </w:r>
      <w:r w:rsidRPr="006A75D7">
        <w:rPr>
          <w:lang w:val="en-GB"/>
        </w:rPr>
        <w:t>, due to limited ability to withdraw pas</w:t>
      </w:r>
      <w:r>
        <w:rPr>
          <w:lang w:val="en-GB"/>
        </w:rPr>
        <w:t>t</w:t>
      </w:r>
      <w:r w:rsidRPr="006A75D7">
        <w:rPr>
          <w:lang w:val="en-GB"/>
        </w:rPr>
        <w:t xml:space="preserve"> compensation. However post-restatement compensation plans are significantly lower (Ch</w:t>
      </w:r>
      <w:r w:rsidR="004B17C4">
        <w:rPr>
          <w:lang w:val="en-GB"/>
        </w:rPr>
        <w:t>eng and Farber</w:t>
      </w:r>
      <w:r w:rsidRPr="006A75D7">
        <w:rPr>
          <w:lang w:val="en-GB"/>
        </w:rPr>
        <w:t xml:space="preserve"> 2008).</w:t>
      </w:r>
      <w:r>
        <w:rPr>
          <w:lang w:val="en-GB" w:eastAsia="en-US" w:bidi="ar-SA"/>
        </w:rPr>
        <w:br w:type="page"/>
      </w:r>
    </w:p>
    <w:p w:rsidR="00977FC8" w:rsidRPr="006A75D7" w:rsidRDefault="00977FC8" w:rsidP="00623103">
      <w:pPr>
        <w:pStyle w:val="Heading1"/>
        <w:rPr>
          <w:lang w:val="en-GB"/>
        </w:rPr>
      </w:pPr>
      <w:bookmarkStart w:id="69" w:name="_Toc274485444"/>
      <w:r w:rsidRPr="006A75D7">
        <w:rPr>
          <w:lang w:val="en-GB"/>
        </w:rPr>
        <w:lastRenderedPageBreak/>
        <w:t>Hypothes</w:t>
      </w:r>
      <w:r w:rsidR="00D81A5A">
        <w:rPr>
          <w:lang w:val="en-GB"/>
        </w:rPr>
        <w:t>es</w:t>
      </w:r>
      <w:bookmarkEnd w:id="69"/>
    </w:p>
    <w:p w:rsidR="00977FC8" w:rsidRDefault="00977FC8" w:rsidP="003476C3">
      <w:pPr>
        <w:rPr>
          <w:lang w:val="en-GB"/>
        </w:rPr>
      </w:pPr>
      <w:r w:rsidRPr="003C5CF9">
        <w:rPr>
          <w:lang w:val="en-GB"/>
        </w:rPr>
        <w:t>As explained in paragraph</w:t>
      </w:r>
      <w:r>
        <w:rPr>
          <w:lang w:val="en-GB"/>
        </w:rPr>
        <w:t xml:space="preserve"> 2.2, this research considers that compensation contracts nowadays consist of three elements; fixed salary, bonus and stock-based compensation (e.g. stock options). However, the main focus will be on the relation between equity incentives and earnings management. The relation of earnings management with the other two components of compensation contracts (i.e. fixed salary and bonuses) will also be tested. By testing the relation of earnings management with all three elements of compensation data, the results for the different elements can be compared among each other. Therefore the relation of equity incentives and earnings management can be understand</w:t>
      </w:r>
      <w:r w:rsidR="000D2757" w:rsidRPr="000D2757">
        <w:rPr>
          <w:lang w:val="en-GB"/>
        </w:rPr>
        <w:t xml:space="preserve"> </w:t>
      </w:r>
      <w:r w:rsidR="000D2757">
        <w:rPr>
          <w:lang w:val="en-GB"/>
        </w:rPr>
        <w:t>better</w:t>
      </w:r>
      <w:r>
        <w:rPr>
          <w:lang w:val="en-GB"/>
        </w:rPr>
        <w:t xml:space="preserve">. </w:t>
      </w:r>
    </w:p>
    <w:p w:rsidR="00321DF2" w:rsidRDefault="00977FC8" w:rsidP="00B518F2">
      <w:pPr>
        <w:rPr>
          <w:rFonts w:cs="Arial"/>
          <w:lang w:val="en-GB" w:eastAsia="en-US" w:bidi="ar-SA"/>
        </w:rPr>
      </w:pPr>
      <w:r w:rsidRPr="006A75D7">
        <w:rPr>
          <w:lang w:val="en-GB"/>
        </w:rPr>
        <w:t xml:space="preserve">In the extant </w:t>
      </w:r>
      <w:r w:rsidRPr="003C5CF9">
        <w:rPr>
          <w:lang w:val="en-GB"/>
        </w:rPr>
        <w:t xml:space="preserve">literature there is already a lot of research done on the subject earnings management. </w:t>
      </w:r>
      <w:r w:rsidRPr="006A75D7">
        <w:rPr>
          <w:lang w:val="en-GB"/>
        </w:rPr>
        <w:t xml:space="preserve">Some of these researches investigated the relation </w:t>
      </w:r>
      <w:r>
        <w:rPr>
          <w:lang w:val="en-GB"/>
        </w:rPr>
        <w:t>of</w:t>
      </w:r>
      <w:r w:rsidRPr="006A75D7">
        <w:rPr>
          <w:lang w:val="en-GB"/>
        </w:rPr>
        <w:t xml:space="preserve"> earnings management with equity incentives. </w:t>
      </w:r>
      <w:r w:rsidRPr="003C5CF9">
        <w:rPr>
          <w:rFonts w:cs="Arial"/>
          <w:lang w:val="en-GB" w:eastAsia="en-US" w:bidi="ar-SA"/>
        </w:rPr>
        <w:t>Gao and Shri</w:t>
      </w:r>
      <w:r w:rsidR="00321DF2">
        <w:rPr>
          <w:rFonts w:cs="Arial"/>
          <w:lang w:val="en-GB" w:eastAsia="en-US" w:bidi="ar-SA"/>
        </w:rPr>
        <w:t>eves (2002) say in their study that equity incentives gives managers an incentive that may lead to earnings management strategies for maximizing their compensation.</w:t>
      </w:r>
    </w:p>
    <w:p w:rsidR="00977FC8" w:rsidRDefault="00977FC8" w:rsidP="003476C3">
      <w:pPr>
        <w:rPr>
          <w:lang w:val="en-GB"/>
        </w:rPr>
      </w:pPr>
    </w:p>
    <w:p w:rsidR="00977FC8" w:rsidRPr="00F9005D" w:rsidRDefault="00977FC8" w:rsidP="004B3965">
      <w:pPr>
        <w:rPr>
          <w:lang w:val="en-GB"/>
        </w:rPr>
      </w:pPr>
      <w:r>
        <w:rPr>
          <w:lang w:val="en-GB"/>
        </w:rPr>
        <w:t>CEO salaries are usually set on an annual basis. In a static setting, salary’s sensitivity to price movement is zero. Therefore, it seems unlikely that salaries are positively related to earnings management. M</w:t>
      </w:r>
      <w:r w:rsidR="00D85A5B">
        <w:rPr>
          <w:lang w:val="en-GB"/>
        </w:rPr>
        <w:t>oreover, earnings management seems to be</w:t>
      </w:r>
      <w:r>
        <w:rPr>
          <w:lang w:val="en-GB"/>
        </w:rPr>
        <w:t xml:space="preserve"> costly. </w:t>
      </w:r>
      <w:r w:rsidR="00D85A5B">
        <w:rPr>
          <w:lang w:val="en-GB"/>
        </w:rPr>
        <w:t xml:space="preserve">As explained in the last paragraph of Chapter 2, firms lost 10% of the share price at the announcement of restatements of their earnings (Palmrose et al. 2004), and earnings management also may result in monetary fines and reputation loss. </w:t>
      </w:r>
      <w:r w:rsidR="00F62922">
        <w:rPr>
          <w:lang w:val="en-GB"/>
        </w:rPr>
        <w:t xml:space="preserve">Moreover, Gao and Shrieves (2002) find </w:t>
      </w:r>
      <w:r w:rsidR="00227DF4">
        <w:rPr>
          <w:lang w:val="en-GB"/>
        </w:rPr>
        <w:t xml:space="preserve">in their study </w:t>
      </w:r>
      <w:r w:rsidR="00F62922">
        <w:rPr>
          <w:lang w:val="en-GB"/>
        </w:rPr>
        <w:t xml:space="preserve">that salaries are negatively related to earnings management. </w:t>
      </w:r>
      <w:r w:rsidR="00D85A5B">
        <w:rPr>
          <w:lang w:val="en-GB"/>
        </w:rPr>
        <w:t xml:space="preserve">Therefore, both logic and empirical evidence suggest that earnings management is a costly activity. </w:t>
      </w:r>
      <w:r>
        <w:rPr>
          <w:lang w:val="en-GB"/>
        </w:rPr>
        <w:t xml:space="preserve">It therefore seems reasonable that a manager with a relatively large amount of fixed salary, compared to the other two components (i.e. bonus and stock-based), would have an incentive to reduce the extent of earnings management, and so reduce the costs. </w:t>
      </w:r>
      <w:r w:rsidRPr="00F9005D">
        <w:rPr>
          <w:lang w:val="en-GB"/>
        </w:rPr>
        <w:t>This leads to the following hypothesis:</w:t>
      </w:r>
    </w:p>
    <w:p w:rsidR="00977FC8" w:rsidRDefault="00977FC8" w:rsidP="00B42594">
      <w:pPr>
        <w:jc w:val="center"/>
        <w:rPr>
          <w:b/>
          <w:bCs/>
          <w:i/>
          <w:iCs/>
          <w:lang w:val="en-GB"/>
        </w:rPr>
      </w:pPr>
    </w:p>
    <w:p w:rsidR="0049150E" w:rsidRDefault="00977FC8" w:rsidP="00B42594">
      <w:pPr>
        <w:jc w:val="center"/>
        <w:rPr>
          <w:rFonts w:ascii="TimesNewRomanPSMT" w:hAnsi="TimesNewRomanPSMT" w:cs="TimesNewRomanPSMT"/>
          <w:i/>
          <w:iCs/>
          <w:lang w:val="en-US" w:eastAsia="en-US" w:bidi="ar-SA"/>
        </w:rPr>
      </w:pPr>
      <w:r w:rsidRPr="000B3C9E">
        <w:rPr>
          <w:b/>
          <w:bCs/>
          <w:i/>
          <w:iCs/>
          <w:lang w:val="en-GB"/>
        </w:rPr>
        <w:t>H</w:t>
      </w:r>
      <w:r w:rsidRPr="000B3C9E">
        <w:rPr>
          <w:b/>
          <w:bCs/>
          <w:i/>
          <w:iCs/>
          <w:vertAlign w:val="subscript"/>
          <w:lang w:val="en-GB"/>
        </w:rPr>
        <w:t>1</w:t>
      </w:r>
      <w:r w:rsidRPr="000B3C9E">
        <w:rPr>
          <w:b/>
          <w:bCs/>
          <w:i/>
          <w:iCs/>
          <w:lang w:val="en-GB"/>
        </w:rPr>
        <w:t>:</w:t>
      </w:r>
      <w:r w:rsidRPr="000B3C9E">
        <w:rPr>
          <w:i/>
          <w:iCs/>
          <w:lang w:val="en-GB"/>
        </w:rPr>
        <w:t xml:space="preserve"> Fixe</w:t>
      </w:r>
      <w:r>
        <w:rPr>
          <w:i/>
          <w:iCs/>
          <w:lang w:val="en-GB"/>
        </w:rPr>
        <w:t>d</w:t>
      </w:r>
      <w:r w:rsidRPr="000B3C9E">
        <w:rPr>
          <w:i/>
          <w:iCs/>
          <w:lang w:val="en-GB"/>
        </w:rPr>
        <w:t xml:space="preserve"> salary is </w:t>
      </w:r>
      <w:r w:rsidRPr="000A5CD8">
        <w:rPr>
          <w:i/>
          <w:iCs/>
          <w:lang w:val="en-GB"/>
        </w:rPr>
        <w:t xml:space="preserve">negatively related to </w:t>
      </w:r>
      <w:r w:rsidRPr="000A5CD8">
        <w:rPr>
          <w:rFonts w:ascii="TimesNewRomanPSMT" w:hAnsi="TimesNewRomanPSMT" w:cs="TimesNewRomanPSMT"/>
          <w:i/>
          <w:iCs/>
          <w:lang w:val="en-US" w:eastAsia="en-US" w:bidi="ar-SA"/>
        </w:rPr>
        <w:t xml:space="preserve">the use of </w:t>
      </w:r>
    </w:p>
    <w:p w:rsidR="00977FC8" w:rsidRDefault="00977FC8" w:rsidP="00B42594">
      <w:pPr>
        <w:jc w:val="center"/>
        <w:rPr>
          <w:i/>
          <w:iCs/>
          <w:lang w:val="en-GB"/>
        </w:rPr>
      </w:pPr>
      <w:r w:rsidRPr="000A5CD8">
        <w:rPr>
          <w:rFonts w:ascii="TimesNewRomanPSMT" w:hAnsi="TimesNewRomanPSMT" w:cs="TimesNewRomanPSMT"/>
          <w:i/>
          <w:iCs/>
          <w:lang w:val="en-US" w:eastAsia="en-US" w:bidi="ar-SA"/>
        </w:rPr>
        <w:t xml:space="preserve">discretionary accruals as a tool </w:t>
      </w:r>
      <w:r>
        <w:rPr>
          <w:rFonts w:ascii="TimesNewRomanPSMT" w:hAnsi="TimesNewRomanPSMT" w:cs="TimesNewRomanPSMT"/>
          <w:i/>
          <w:iCs/>
          <w:lang w:val="en-US" w:eastAsia="en-US" w:bidi="ar-SA"/>
        </w:rPr>
        <w:t>for</w:t>
      </w:r>
      <w:r w:rsidRPr="000A5CD8">
        <w:rPr>
          <w:i/>
          <w:iCs/>
          <w:lang w:val="en-GB"/>
        </w:rPr>
        <w:t xml:space="preserve"> earnings management.</w:t>
      </w:r>
    </w:p>
    <w:p w:rsidR="00977FC8" w:rsidRPr="004B3965" w:rsidRDefault="00977FC8" w:rsidP="008B03CA">
      <w:pPr>
        <w:rPr>
          <w:lang w:val="en-GB"/>
        </w:rPr>
      </w:pPr>
      <w:r>
        <w:rPr>
          <w:lang w:val="en-GB"/>
        </w:rPr>
        <w:lastRenderedPageBreak/>
        <w:t xml:space="preserve">Bonus compensation might also create incentives to engage in earnings management, because some </w:t>
      </w:r>
      <w:r w:rsidR="00D85A5B">
        <w:rPr>
          <w:lang w:val="en-GB"/>
        </w:rPr>
        <w:t>bonus plans might contain</w:t>
      </w:r>
      <w:r>
        <w:rPr>
          <w:lang w:val="en-GB"/>
        </w:rPr>
        <w:t xml:space="preserve"> nonlinearities (Healy 1985; Gaver 1995). Gao and Shrieves (2002) found in their study, that bonuses are positively related to earnings management. On the other hand, bonus plans are highly firm-specific, because of the structure and the pay-performance relation. This makes it difficult to predict the magnitude of the relation between bonuses and earnings management, but the expectation is a positive relation</w:t>
      </w:r>
      <w:r w:rsidR="00D85A5B">
        <w:rPr>
          <w:lang w:val="en-GB"/>
        </w:rPr>
        <w:t xml:space="preserve"> between bonus compensation and discretionary accruals</w:t>
      </w:r>
      <w:r>
        <w:rPr>
          <w:lang w:val="en-GB"/>
        </w:rPr>
        <w:t>. This leads to the second hypothesis:</w:t>
      </w:r>
    </w:p>
    <w:p w:rsidR="00977FC8" w:rsidRDefault="00977FC8" w:rsidP="00BD7C2F">
      <w:pPr>
        <w:ind w:left="709"/>
        <w:rPr>
          <w:lang w:val="en-GB"/>
        </w:rPr>
      </w:pPr>
    </w:p>
    <w:p w:rsidR="0049150E" w:rsidRDefault="00977FC8" w:rsidP="00B42594">
      <w:pPr>
        <w:jc w:val="center"/>
        <w:rPr>
          <w:i/>
          <w:iCs/>
          <w:lang w:val="en-GB"/>
        </w:rPr>
      </w:pPr>
      <w:r w:rsidRPr="000B3C9E">
        <w:rPr>
          <w:b/>
          <w:bCs/>
          <w:i/>
          <w:iCs/>
          <w:lang w:val="en-GB"/>
        </w:rPr>
        <w:t>H</w:t>
      </w:r>
      <w:r w:rsidRPr="000B3C9E">
        <w:rPr>
          <w:b/>
          <w:bCs/>
          <w:i/>
          <w:iCs/>
          <w:vertAlign w:val="subscript"/>
          <w:lang w:val="en-GB"/>
        </w:rPr>
        <w:t>2</w:t>
      </w:r>
      <w:r w:rsidRPr="000B3C9E">
        <w:rPr>
          <w:b/>
          <w:bCs/>
          <w:i/>
          <w:iCs/>
          <w:lang w:val="en-GB"/>
        </w:rPr>
        <w:t>:</w:t>
      </w:r>
      <w:r w:rsidRPr="000B3C9E">
        <w:rPr>
          <w:i/>
          <w:iCs/>
          <w:lang w:val="en-GB"/>
        </w:rPr>
        <w:t xml:space="preserve"> Bonus</w:t>
      </w:r>
      <w:r w:rsidR="0049150E">
        <w:rPr>
          <w:i/>
          <w:iCs/>
          <w:lang w:val="en-GB"/>
        </w:rPr>
        <w:t xml:space="preserve"> compensation</w:t>
      </w:r>
      <w:r w:rsidRPr="000B3C9E">
        <w:rPr>
          <w:i/>
          <w:iCs/>
          <w:lang w:val="en-GB"/>
        </w:rPr>
        <w:t xml:space="preserve"> </w:t>
      </w:r>
      <w:r w:rsidR="0049150E">
        <w:rPr>
          <w:i/>
          <w:iCs/>
          <w:lang w:val="en-GB"/>
        </w:rPr>
        <w:t xml:space="preserve">is </w:t>
      </w:r>
      <w:r w:rsidRPr="000B3C9E">
        <w:rPr>
          <w:i/>
          <w:iCs/>
          <w:lang w:val="en-GB"/>
        </w:rPr>
        <w:t>positively</w:t>
      </w:r>
      <w:r>
        <w:rPr>
          <w:i/>
          <w:iCs/>
          <w:lang w:val="en-GB"/>
        </w:rPr>
        <w:t xml:space="preserve"> related</w:t>
      </w:r>
      <w:r w:rsidRPr="000B3C9E">
        <w:rPr>
          <w:i/>
          <w:iCs/>
          <w:lang w:val="en-GB"/>
        </w:rPr>
        <w:t xml:space="preserve"> </w:t>
      </w:r>
      <w:r>
        <w:rPr>
          <w:i/>
          <w:iCs/>
          <w:lang w:val="en-GB"/>
        </w:rPr>
        <w:t xml:space="preserve">to the use of </w:t>
      </w:r>
    </w:p>
    <w:p w:rsidR="00977FC8" w:rsidRPr="000B3C9E" w:rsidRDefault="00977FC8" w:rsidP="00B42594">
      <w:pPr>
        <w:jc w:val="center"/>
        <w:rPr>
          <w:i/>
          <w:iCs/>
          <w:lang w:val="en-GB"/>
        </w:rPr>
      </w:pPr>
      <w:r>
        <w:rPr>
          <w:i/>
          <w:iCs/>
          <w:lang w:val="en-GB"/>
        </w:rPr>
        <w:t>discretionary accruals as a tool for</w:t>
      </w:r>
      <w:r w:rsidRPr="000B3C9E">
        <w:rPr>
          <w:i/>
          <w:iCs/>
          <w:lang w:val="en-GB"/>
        </w:rPr>
        <w:t xml:space="preserve"> earnings management.</w:t>
      </w:r>
    </w:p>
    <w:p w:rsidR="00977FC8" w:rsidRDefault="00977FC8" w:rsidP="00CB0D82">
      <w:pPr>
        <w:ind w:left="709"/>
        <w:rPr>
          <w:lang w:val="en-GB"/>
        </w:rPr>
      </w:pPr>
    </w:p>
    <w:p w:rsidR="00ED6188" w:rsidRDefault="00977FC8" w:rsidP="00F231B3">
      <w:pPr>
        <w:autoSpaceDE w:val="0"/>
        <w:autoSpaceDN w:val="0"/>
        <w:adjustRightInd w:val="0"/>
        <w:rPr>
          <w:rFonts w:cs="Arial"/>
          <w:lang w:val="en-US" w:eastAsia="en-US" w:bidi="ar-SA"/>
        </w:rPr>
      </w:pPr>
      <w:r w:rsidRPr="00255A23">
        <w:rPr>
          <w:rFonts w:cs="Arial"/>
          <w:lang w:val="en-GB"/>
        </w:rPr>
        <w:t xml:space="preserve">Managerial compensation frequently contains stock-based compensation to align the interest of managers and outside shareholders and reduce agency problems. The results of Bergstresser and Philippon (2006) suggest that high equity incentive CEO’s engage more in earnings management than low equity incentive CEO’s. They find that CEO’s whose overall compensation is more sensitive to company share prices, lead firms with higher levels of earnings management. Cheng and Warfield (2005) examined the link between managers’ equity incentives, arising from stock-based compensation, and earnings management. First they find high incentive managers are more likely to sell shares a year after earnings announcements. Furthermore they find that managers with high equity incentives are more likely to report earnings that meet or just beat analysts’ forecasts. Their results indicate that equity incentives lead to incentives for earnings management. Also, Gao and Shrieves (2002) find results that indicate that </w:t>
      </w:r>
      <w:r w:rsidRPr="00255A23">
        <w:rPr>
          <w:rFonts w:cs="Arial"/>
          <w:lang w:val="en-US" w:eastAsia="en-US" w:bidi="ar-SA"/>
        </w:rPr>
        <w:t xml:space="preserve">the </w:t>
      </w:r>
      <w:r w:rsidR="00ED6188">
        <w:rPr>
          <w:rFonts w:cs="Arial"/>
          <w:lang w:val="en-US" w:eastAsia="en-US" w:bidi="ar-SA"/>
        </w:rPr>
        <w:t>extent of stock-based compensation are</w:t>
      </w:r>
      <w:r w:rsidRPr="00255A23">
        <w:rPr>
          <w:rFonts w:cs="Arial"/>
          <w:lang w:val="en-US" w:eastAsia="en-US" w:bidi="ar-SA"/>
        </w:rPr>
        <w:t xml:space="preserve"> positively related to earnings management.</w:t>
      </w:r>
      <w:r w:rsidR="00ED6188">
        <w:rPr>
          <w:rFonts w:cs="Arial"/>
          <w:lang w:val="en-US" w:eastAsia="en-US" w:bidi="ar-SA"/>
        </w:rPr>
        <w:t xml:space="preserve"> </w:t>
      </w:r>
      <w:r w:rsidR="00223A34">
        <w:rPr>
          <w:rFonts w:cs="Arial"/>
          <w:lang w:val="en-US" w:eastAsia="en-US" w:bidi="ar-SA"/>
        </w:rPr>
        <w:t xml:space="preserve">Now that the incentives for managers are so closely tied to the stock price of a firm it may have the perverse effect of stimulating managers to manipulate their earnings (Bergstresser and Philippon </w:t>
      </w:r>
      <w:r w:rsidR="00ED6188">
        <w:rPr>
          <w:rFonts w:cs="Arial"/>
          <w:lang w:val="en-US" w:eastAsia="en-US" w:bidi="ar-SA"/>
        </w:rPr>
        <w:t>2006)</w:t>
      </w:r>
      <w:r w:rsidR="00223A34">
        <w:rPr>
          <w:rFonts w:cs="Arial"/>
          <w:lang w:val="en-US" w:eastAsia="en-US" w:bidi="ar-SA"/>
        </w:rPr>
        <w:t>.</w:t>
      </w:r>
      <w:r w:rsidR="00ED6188">
        <w:rPr>
          <w:rFonts w:cs="Arial"/>
          <w:lang w:val="en-US" w:eastAsia="en-US" w:bidi="ar-SA"/>
        </w:rPr>
        <w:t xml:space="preserve"> </w:t>
      </w:r>
    </w:p>
    <w:p w:rsidR="00977FC8" w:rsidRPr="00A238DF" w:rsidRDefault="00977FC8" w:rsidP="00F231B3">
      <w:pPr>
        <w:autoSpaceDE w:val="0"/>
        <w:autoSpaceDN w:val="0"/>
        <w:adjustRightInd w:val="0"/>
        <w:rPr>
          <w:lang w:val="en-GB"/>
        </w:rPr>
      </w:pPr>
    </w:p>
    <w:p w:rsidR="00977FC8" w:rsidRPr="00F231B3" w:rsidRDefault="00977FC8" w:rsidP="00F231B3">
      <w:pPr>
        <w:rPr>
          <w:color w:val="0000FF"/>
          <w:lang w:val="en-GB"/>
        </w:rPr>
      </w:pPr>
      <w:r>
        <w:rPr>
          <w:lang w:val="en-GB"/>
        </w:rPr>
        <w:t>This</w:t>
      </w:r>
      <w:r w:rsidRPr="00F231B3">
        <w:rPr>
          <w:lang w:val="en-GB"/>
        </w:rPr>
        <w:t xml:space="preserve"> </w:t>
      </w:r>
      <w:r w:rsidR="006D6ABD">
        <w:rPr>
          <w:lang w:val="en-GB"/>
        </w:rPr>
        <w:t>thesis</w:t>
      </w:r>
      <w:r w:rsidRPr="00F231B3">
        <w:rPr>
          <w:lang w:val="en-GB"/>
        </w:rPr>
        <w:t xml:space="preserve"> exten</w:t>
      </w:r>
      <w:r w:rsidR="000D2757">
        <w:rPr>
          <w:lang w:val="en-GB"/>
        </w:rPr>
        <w:t>ds the previous cited</w:t>
      </w:r>
      <w:r w:rsidRPr="00F231B3">
        <w:rPr>
          <w:lang w:val="en-GB"/>
        </w:rPr>
        <w:t xml:space="preserve"> </w:t>
      </w:r>
      <w:r w:rsidR="00880714">
        <w:rPr>
          <w:lang w:val="en-GB"/>
        </w:rPr>
        <w:t>studies</w:t>
      </w:r>
      <w:r w:rsidRPr="00F231B3">
        <w:rPr>
          <w:lang w:val="en-GB"/>
        </w:rPr>
        <w:t xml:space="preserve"> by examini</w:t>
      </w:r>
      <w:r>
        <w:rPr>
          <w:lang w:val="en-GB"/>
        </w:rPr>
        <w:t xml:space="preserve">ng </w:t>
      </w:r>
      <w:r w:rsidRPr="00F231B3">
        <w:rPr>
          <w:lang w:val="en-GB"/>
        </w:rPr>
        <w:t>ho</w:t>
      </w:r>
      <w:r>
        <w:rPr>
          <w:lang w:val="en-GB"/>
        </w:rPr>
        <w:t>w</w:t>
      </w:r>
      <w:r w:rsidRPr="00F231B3">
        <w:rPr>
          <w:lang w:val="en-GB"/>
        </w:rPr>
        <w:t xml:space="preserve"> stock-based compensation relates to earnings management. The </w:t>
      </w:r>
      <w:r>
        <w:rPr>
          <w:lang w:val="en-GB"/>
        </w:rPr>
        <w:t xml:space="preserve">predicted </w:t>
      </w:r>
      <w:r w:rsidRPr="00F231B3">
        <w:rPr>
          <w:lang w:val="en-GB"/>
        </w:rPr>
        <w:t>linkage between stock-based compensation and earnings management is</w:t>
      </w:r>
      <w:r w:rsidRPr="000B3C9E">
        <w:rPr>
          <w:lang w:val="en-GB"/>
        </w:rPr>
        <w:t xml:space="preserve"> as follows. Assume that a manager receives a large component of his/her </w:t>
      </w:r>
      <w:r w:rsidR="000D2757">
        <w:rPr>
          <w:lang w:val="en-GB"/>
        </w:rPr>
        <w:t>remuneration</w:t>
      </w:r>
      <w:r w:rsidRPr="000B3C9E">
        <w:rPr>
          <w:lang w:val="en-GB"/>
        </w:rPr>
        <w:t xml:space="preserve"> in the form of stock-</w:t>
      </w:r>
      <w:r w:rsidRPr="000B3C9E">
        <w:rPr>
          <w:lang w:val="en-GB"/>
        </w:rPr>
        <w:lastRenderedPageBreak/>
        <w:t>based compensation. He/she can increase the value of that component of stock-based compensation by taking actions to reduce the exercise price. This prediction suggests an incentive for managers to engage in earnings management. If, for example, a manager expects to receive stock options, he</w:t>
      </w:r>
      <w:r w:rsidR="000D2757">
        <w:rPr>
          <w:lang w:val="en-GB"/>
        </w:rPr>
        <w:t>/she</w:t>
      </w:r>
      <w:r w:rsidRPr="000B3C9E">
        <w:rPr>
          <w:lang w:val="en-GB"/>
        </w:rPr>
        <w:t xml:space="preserve"> can reduce current earnings through discretionary accruals. The effect could be a reduction in the exercise price of the stock options on the award date. By doing this, the manager increase</w:t>
      </w:r>
      <w:r>
        <w:rPr>
          <w:lang w:val="en-GB"/>
        </w:rPr>
        <w:t>s</w:t>
      </w:r>
      <w:r w:rsidRPr="000B3C9E">
        <w:rPr>
          <w:lang w:val="en-GB"/>
        </w:rPr>
        <w:t xml:space="preserve"> the chance that the options are ‘in the money’.</w:t>
      </w:r>
      <w:r>
        <w:rPr>
          <w:lang w:val="en-GB"/>
        </w:rPr>
        <w:t xml:space="preserve"> Therefore, the third hypothesis is:</w:t>
      </w:r>
    </w:p>
    <w:p w:rsidR="00977FC8" w:rsidRPr="000B3C9E" w:rsidRDefault="00977FC8" w:rsidP="000B3C9E">
      <w:pPr>
        <w:rPr>
          <w:lang w:val="en-GB"/>
        </w:rPr>
      </w:pPr>
    </w:p>
    <w:p w:rsidR="0049150E" w:rsidRDefault="00977FC8" w:rsidP="00B42594">
      <w:pPr>
        <w:jc w:val="center"/>
        <w:rPr>
          <w:i/>
          <w:iCs/>
          <w:lang w:val="en-GB"/>
        </w:rPr>
      </w:pPr>
      <w:r w:rsidRPr="000B3C9E">
        <w:rPr>
          <w:b/>
          <w:bCs/>
          <w:i/>
          <w:iCs/>
          <w:lang w:val="en-GB"/>
        </w:rPr>
        <w:t>H</w:t>
      </w:r>
      <w:r w:rsidRPr="000B3C9E">
        <w:rPr>
          <w:b/>
          <w:bCs/>
          <w:i/>
          <w:iCs/>
          <w:vertAlign w:val="subscript"/>
          <w:lang w:val="en-GB"/>
        </w:rPr>
        <w:t>3</w:t>
      </w:r>
      <w:r w:rsidRPr="000B3C9E">
        <w:rPr>
          <w:b/>
          <w:bCs/>
          <w:i/>
          <w:iCs/>
          <w:lang w:val="en-GB"/>
        </w:rPr>
        <w:t>:</w:t>
      </w:r>
      <w:r w:rsidRPr="000B3C9E">
        <w:rPr>
          <w:i/>
          <w:iCs/>
          <w:lang w:val="en-GB"/>
        </w:rPr>
        <w:t xml:space="preserve"> Stock-based compensation is positively related </w:t>
      </w:r>
      <w:r>
        <w:rPr>
          <w:i/>
          <w:iCs/>
          <w:lang w:val="en-GB"/>
        </w:rPr>
        <w:t xml:space="preserve">to the use of </w:t>
      </w:r>
    </w:p>
    <w:p w:rsidR="00977FC8" w:rsidRPr="000B3C9E" w:rsidRDefault="00977FC8" w:rsidP="00B42594">
      <w:pPr>
        <w:jc w:val="center"/>
        <w:rPr>
          <w:i/>
          <w:iCs/>
          <w:lang w:val="en-GB"/>
        </w:rPr>
      </w:pPr>
      <w:r>
        <w:rPr>
          <w:i/>
          <w:iCs/>
          <w:lang w:val="en-GB"/>
        </w:rPr>
        <w:t>discretionary accruals as a tool for</w:t>
      </w:r>
      <w:r w:rsidRPr="000B3C9E">
        <w:rPr>
          <w:i/>
          <w:iCs/>
          <w:lang w:val="en-GB"/>
        </w:rPr>
        <w:t xml:space="preserve"> earnings management.</w:t>
      </w:r>
    </w:p>
    <w:p w:rsidR="00977FC8" w:rsidRDefault="00977FC8" w:rsidP="007F6625">
      <w:pPr>
        <w:rPr>
          <w:b/>
          <w:color w:val="0000FF"/>
          <w:lang w:val="en-GB"/>
        </w:rPr>
      </w:pPr>
    </w:p>
    <w:p w:rsidR="00977FC8" w:rsidRPr="00C53AE4" w:rsidRDefault="00977FC8" w:rsidP="00D5636B">
      <w:pPr>
        <w:rPr>
          <w:lang w:val="en-GB"/>
        </w:rPr>
      </w:pPr>
      <w:r w:rsidRPr="006A75D7">
        <w:rPr>
          <w:lang w:val="en-GB"/>
        </w:rPr>
        <w:t xml:space="preserve">In the next </w:t>
      </w:r>
      <w:r w:rsidR="000D2757">
        <w:rPr>
          <w:lang w:val="en-GB"/>
        </w:rPr>
        <w:t>chapter</w:t>
      </w:r>
      <w:r w:rsidRPr="006A75D7">
        <w:rPr>
          <w:lang w:val="en-GB"/>
        </w:rPr>
        <w:t xml:space="preserve"> the research design is described.</w:t>
      </w:r>
    </w:p>
    <w:p w:rsidR="00977FC8" w:rsidRPr="00C53AE4" w:rsidRDefault="00977FC8" w:rsidP="00D5636B">
      <w:pPr>
        <w:rPr>
          <w:lang w:val="en-US" w:eastAsia="en-US" w:bidi="ar-SA"/>
        </w:rPr>
      </w:pPr>
    </w:p>
    <w:p w:rsidR="00977FC8" w:rsidRPr="00C53AE4" w:rsidRDefault="00977FC8" w:rsidP="00D5636B">
      <w:pPr>
        <w:rPr>
          <w:lang w:val="en-US" w:eastAsia="en-US" w:bidi="ar-SA"/>
        </w:rPr>
        <w:sectPr w:rsidR="00977FC8" w:rsidRPr="00C53AE4" w:rsidSect="00D02A95">
          <w:pgSz w:w="11907" w:h="16840" w:code="77"/>
          <w:pgMar w:top="1418" w:right="1418" w:bottom="1418" w:left="1418" w:header="709" w:footer="709" w:gutter="0"/>
          <w:lnNumType w:countBy="5"/>
          <w:cols w:space="708"/>
          <w:docGrid w:linePitch="360"/>
        </w:sectPr>
      </w:pPr>
    </w:p>
    <w:p w:rsidR="00977FC8" w:rsidRPr="006A75D7" w:rsidRDefault="00977FC8" w:rsidP="001721EB">
      <w:pPr>
        <w:pStyle w:val="Heading1"/>
        <w:jc w:val="left"/>
        <w:rPr>
          <w:lang w:val="en-GB"/>
        </w:rPr>
      </w:pPr>
      <w:bookmarkStart w:id="70" w:name="_Toc274485445"/>
      <w:r w:rsidRPr="006A75D7">
        <w:rPr>
          <w:lang w:val="en-GB"/>
        </w:rPr>
        <w:lastRenderedPageBreak/>
        <w:t>Research design</w:t>
      </w:r>
      <w:bookmarkEnd w:id="70"/>
      <w:r w:rsidRPr="006A75D7">
        <w:rPr>
          <w:lang w:val="en-GB"/>
        </w:rPr>
        <w:t xml:space="preserve"> </w:t>
      </w:r>
    </w:p>
    <w:p w:rsidR="00977FC8" w:rsidRPr="00B43AA6" w:rsidRDefault="00977FC8" w:rsidP="002A7AB7">
      <w:r>
        <w:t xml:space="preserve">In this </w:t>
      </w:r>
      <w:r w:rsidR="003F56AD">
        <w:t>chapter</w:t>
      </w:r>
      <w:r w:rsidRPr="00B533B6">
        <w:t xml:space="preserve"> </w:t>
      </w:r>
      <w:r>
        <w:t xml:space="preserve">the variables used </w:t>
      </w:r>
      <w:r w:rsidR="003F56AD">
        <w:t>for</w:t>
      </w:r>
      <w:r>
        <w:t xml:space="preserve"> this research will be discussed. The approach will be similar to that of Bergstresser and Philippon (2006)</w:t>
      </w:r>
      <w:r w:rsidR="00E356A3">
        <w:t xml:space="preserve"> and Gao and Shrieves (2002)</w:t>
      </w:r>
      <w:r>
        <w:t>. In conformity w</w:t>
      </w:r>
      <w:r w:rsidRPr="00B43AA6">
        <w:t xml:space="preserve">ith other papers that investigate earnings management, </w:t>
      </w:r>
      <w:r>
        <w:t>this</w:t>
      </w:r>
      <w:r w:rsidRPr="00B43AA6">
        <w:t xml:space="preserve"> research will make use of a field study.</w:t>
      </w:r>
      <w:r w:rsidRPr="002A7AB7">
        <w:t xml:space="preserve"> </w:t>
      </w:r>
      <w:r w:rsidRPr="00B43AA6">
        <w:t>For this study four main variables</w:t>
      </w:r>
      <w:r w:rsidR="00E356A3">
        <w:t xml:space="preserve"> will be used</w:t>
      </w:r>
      <w:r w:rsidRPr="00B43AA6">
        <w:t xml:space="preserve">. </w:t>
      </w:r>
      <w:r>
        <w:t>The</w:t>
      </w:r>
      <w:r w:rsidRPr="00B43AA6">
        <w:t xml:space="preserve"> expect</w:t>
      </w:r>
      <w:r>
        <w:t>ation is</w:t>
      </w:r>
      <w:r w:rsidRPr="00B43AA6">
        <w:t xml:space="preserve"> that the relative size of stock</w:t>
      </w:r>
      <w:r>
        <w:t>-based</w:t>
      </w:r>
      <w:r w:rsidRPr="00B43AA6">
        <w:t xml:space="preserve"> compensation will determine the </w:t>
      </w:r>
      <w:r w:rsidR="003F56AD">
        <w:t>extent</w:t>
      </w:r>
      <w:r w:rsidRPr="00B43AA6">
        <w:t xml:space="preserve"> of earnings management. Furthermore the relative size of salary and bonus</w:t>
      </w:r>
      <w:r>
        <w:t xml:space="preserve"> will be used</w:t>
      </w:r>
      <w:r w:rsidRPr="00B43AA6">
        <w:t xml:space="preserve"> to see whether these variables can also determine the </w:t>
      </w:r>
      <w:r w:rsidR="003F56AD">
        <w:t>extent</w:t>
      </w:r>
      <w:r w:rsidRPr="00B43AA6">
        <w:t xml:space="preserve"> of earnings management. Therefore earnings management will be </w:t>
      </w:r>
      <w:r>
        <w:t>the</w:t>
      </w:r>
      <w:r w:rsidRPr="00B43AA6">
        <w:t xml:space="preserve"> dependant variable, and stock</w:t>
      </w:r>
      <w:r>
        <w:t>-based</w:t>
      </w:r>
      <w:r w:rsidRPr="00B43AA6">
        <w:t xml:space="preserve"> compensation, salary, and bonus will be </w:t>
      </w:r>
      <w:r>
        <w:t>the</w:t>
      </w:r>
      <w:r w:rsidRPr="00B43AA6">
        <w:t xml:space="preserve"> independent variables.</w:t>
      </w:r>
    </w:p>
    <w:p w:rsidR="00977FC8" w:rsidRPr="00B43AA6" w:rsidRDefault="00977FC8" w:rsidP="002A7AB7">
      <w:pPr>
        <w:rPr>
          <w:rFonts w:cs="Arial"/>
          <w:lang w:val="en-GB" w:eastAsia="en-US" w:bidi="ar-SA"/>
        </w:rPr>
      </w:pPr>
      <w:r w:rsidRPr="00B43AA6">
        <w:t xml:space="preserve">First </w:t>
      </w:r>
      <w:r>
        <w:t xml:space="preserve">the data and sample will be outlined in paragraph 4.1. </w:t>
      </w:r>
      <w:r w:rsidR="00880714">
        <w:t>In the s</w:t>
      </w:r>
      <w:r>
        <w:t>econd</w:t>
      </w:r>
      <w:r w:rsidR="00880714">
        <w:t xml:space="preserve"> paragraph </w:t>
      </w:r>
      <w:r>
        <w:t xml:space="preserve"> the </w:t>
      </w:r>
      <w:r w:rsidRPr="00B43AA6">
        <w:t>dependant variable</w:t>
      </w:r>
      <w:r w:rsidR="00880714">
        <w:t xml:space="preserve"> will be described.</w:t>
      </w:r>
      <w:r w:rsidRPr="00B43AA6">
        <w:rPr>
          <w:rFonts w:cs="Arial"/>
          <w:lang w:val="en-GB" w:eastAsia="en-US" w:bidi="ar-SA"/>
        </w:rPr>
        <w:t xml:space="preserve"> </w:t>
      </w:r>
      <w:r w:rsidR="00880714">
        <w:rPr>
          <w:rFonts w:cs="Arial"/>
          <w:lang w:val="en-GB" w:eastAsia="en-US" w:bidi="ar-SA"/>
        </w:rPr>
        <w:t>Finally</w:t>
      </w:r>
      <w:r w:rsidRPr="00B43AA6">
        <w:rPr>
          <w:rFonts w:cs="Arial"/>
          <w:lang w:val="en-GB" w:eastAsia="en-US" w:bidi="ar-SA"/>
        </w:rPr>
        <w:t xml:space="preserve"> </w:t>
      </w:r>
      <w:r>
        <w:rPr>
          <w:rFonts w:cs="Arial"/>
          <w:lang w:val="en-GB" w:eastAsia="en-US" w:bidi="ar-SA"/>
        </w:rPr>
        <w:t>the</w:t>
      </w:r>
      <w:r w:rsidRPr="00B43AA6">
        <w:rPr>
          <w:rFonts w:cs="Arial"/>
          <w:lang w:val="en-GB" w:eastAsia="en-US" w:bidi="ar-SA"/>
        </w:rPr>
        <w:t xml:space="preserve"> independent variables will be discussed in paragraph 4.</w:t>
      </w:r>
      <w:r>
        <w:rPr>
          <w:rFonts w:cs="Arial"/>
          <w:lang w:val="en-GB" w:eastAsia="en-US" w:bidi="ar-SA"/>
        </w:rPr>
        <w:t>3</w:t>
      </w:r>
      <w:r w:rsidRPr="00B43AA6">
        <w:rPr>
          <w:rFonts w:cs="Arial"/>
          <w:lang w:val="en-GB" w:eastAsia="en-US" w:bidi="ar-SA"/>
        </w:rPr>
        <w:t xml:space="preserve">. </w:t>
      </w:r>
    </w:p>
    <w:p w:rsidR="00977FC8" w:rsidRPr="00B43AA6" w:rsidRDefault="00977FC8" w:rsidP="002A7AB7">
      <w:pPr>
        <w:pStyle w:val="Heading2"/>
      </w:pPr>
      <w:bookmarkStart w:id="71" w:name="_Toc274485446"/>
      <w:r>
        <w:t>Data and sample</w:t>
      </w:r>
      <w:bookmarkEnd w:id="71"/>
    </w:p>
    <w:p w:rsidR="00977FC8" w:rsidRDefault="006D6ABD" w:rsidP="001B3CFF">
      <w:r>
        <w:t>As mentioned earlier in this</w:t>
      </w:r>
      <w:r w:rsidR="00977FC8" w:rsidRPr="00B43AA6">
        <w:t xml:space="preserve"> </w:t>
      </w:r>
      <w:r>
        <w:t>thesis</w:t>
      </w:r>
      <w:r w:rsidR="00977FC8" w:rsidRPr="00B43AA6">
        <w:t>,</w:t>
      </w:r>
      <w:r w:rsidR="00977FC8">
        <w:t xml:space="preserve"> most research done until now, focuses on companies in the U.S. </w:t>
      </w:r>
      <w:r w:rsidR="003F56AD">
        <w:t xml:space="preserve">This research </w:t>
      </w:r>
      <w:r w:rsidR="00977FC8">
        <w:t>investigate</w:t>
      </w:r>
      <w:r w:rsidR="003F56AD">
        <w:t>s</w:t>
      </w:r>
      <w:r w:rsidR="00977FC8">
        <w:t xml:space="preserve"> the European situation. The U.K. was one of the first countries in Europe where companies were required to report on the remunerations of their directors. Therefore this research will focus on companies based in the U.K. </w:t>
      </w:r>
    </w:p>
    <w:p w:rsidR="00977FC8" w:rsidRDefault="00E356A3" w:rsidP="001B3CFF">
      <w:r>
        <w:t>Listed companies</w:t>
      </w:r>
      <w:r w:rsidR="00977FC8">
        <w:t xml:space="preserve"> on</w:t>
      </w:r>
      <w:r w:rsidR="00977FC8" w:rsidRPr="007F568C">
        <w:t xml:space="preserve"> </w:t>
      </w:r>
      <w:r w:rsidR="00977FC8">
        <w:t xml:space="preserve">the FTSE 100 index from the period 2005 - 2006 </w:t>
      </w:r>
      <w:r>
        <w:t xml:space="preserve">will be used </w:t>
      </w:r>
      <w:r w:rsidR="00977FC8">
        <w:t xml:space="preserve">as the sample for </w:t>
      </w:r>
      <w:r>
        <w:t>this</w:t>
      </w:r>
      <w:r w:rsidR="00977FC8">
        <w:t xml:space="preserve"> research. </w:t>
      </w:r>
      <w:r>
        <w:t>The</w:t>
      </w:r>
      <w:r w:rsidR="00977FC8">
        <w:t xml:space="preserve"> FTSE 100 index from April 13</w:t>
      </w:r>
      <w:r w:rsidR="00977FC8" w:rsidRPr="00322B5A">
        <w:rPr>
          <w:vertAlign w:val="superscript"/>
        </w:rPr>
        <w:t>th</w:t>
      </w:r>
      <w:r w:rsidR="00977FC8">
        <w:t xml:space="preserve"> 2009</w:t>
      </w:r>
      <w:r>
        <w:t xml:space="preserve"> is used as the start of the sample selection</w:t>
      </w:r>
      <w:r w:rsidR="00977FC8">
        <w:t xml:space="preserve">. From the 100 listed firms on that date, 8 firms are excluded because they did not exist in 2005 and/or 2006, or because they were not listed in 2005 and/or 2006 on the FTSE </w:t>
      </w:r>
      <w:r>
        <w:t xml:space="preserve">100 </w:t>
      </w:r>
      <w:r w:rsidR="00977FC8">
        <w:t xml:space="preserve">index. Furthermore 4 firms are excluded because there is not enough information </w:t>
      </w:r>
      <w:r w:rsidR="00B700EB">
        <w:t>regarding the compensation data available in the annual reports</w:t>
      </w:r>
      <w:r w:rsidR="00977FC8">
        <w:t xml:space="preserve">. Therefore </w:t>
      </w:r>
      <w:r>
        <w:t>the actual</w:t>
      </w:r>
      <w:r w:rsidR="00977FC8">
        <w:t xml:space="preserve"> sample consists of 88 firms and 176 entries. Appendix B contains a list of all the listed firms on the FTSE that are taken in</w:t>
      </w:r>
      <w:r w:rsidR="003F56AD">
        <w:t>to</w:t>
      </w:r>
      <w:r w:rsidR="00977FC8">
        <w:t xml:space="preserve"> account in this study. </w:t>
      </w:r>
    </w:p>
    <w:p w:rsidR="00880714" w:rsidRDefault="00880714" w:rsidP="001B3CFF"/>
    <w:p w:rsidR="00977FC8" w:rsidRDefault="00754C2B" w:rsidP="001B3CFF">
      <w:r>
        <w:lastRenderedPageBreak/>
        <w:t>This</w:t>
      </w:r>
      <w:r w:rsidR="00977FC8">
        <w:t xml:space="preserve"> research</w:t>
      </w:r>
      <w:r>
        <w:t xml:space="preserve"> focuses</w:t>
      </w:r>
      <w:r w:rsidR="00977FC8">
        <w:t xml:space="preserve"> on 2005 and 2006 and not on more recent years bec</w:t>
      </w:r>
      <w:r w:rsidR="00B700EB">
        <w:t>ause of two main reasons. First</w:t>
      </w:r>
      <w:r w:rsidR="00977FC8">
        <w:t xml:space="preserve"> </w:t>
      </w:r>
      <w:r w:rsidR="00B700EB">
        <w:t>of all</w:t>
      </w:r>
      <w:r w:rsidR="00977FC8">
        <w:t xml:space="preserve"> because the </w:t>
      </w:r>
      <w:r w:rsidR="008E50CC">
        <w:t>global</w:t>
      </w:r>
      <w:r w:rsidR="00977FC8">
        <w:t xml:space="preserve"> financial crisis started in 2007. So the figures from 2007 </w:t>
      </w:r>
      <w:r>
        <w:t>until now</w:t>
      </w:r>
      <w:r w:rsidR="00977FC8">
        <w:t xml:space="preserve"> are less comparable with those of 2005 and 2006. Second, there is more data available for 2005 and 2006.</w:t>
      </w:r>
      <w:r w:rsidR="00B700EB">
        <w:t xml:space="preserve"> W</w:t>
      </w:r>
      <w:r w:rsidR="00254EA5">
        <w:t xml:space="preserve">hen </w:t>
      </w:r>
      <w:r w:rsidR="008E50CC">
        <w:t xml:space="preserve">the </w:t>
      </w:r>
      <w:r w:rsidR="00254EA5">
        <w:t>writing process regarding</w:t>
      </w:r>
      <w:r w:rsidR="00977FC8">
        <w:t xml:space="preserve"> this thesis</w:t>
      </w:r>
      <w:r w:rsidR="00254EA5">
        <w:t xml:space="preserve"> started,</w:t>
      </w:r>
      <w:r w:rsidR="00977FC8">
        <w:t xml:space="preserve"> the </w:t>
      </w:r>
      <w:r w:rsidR="00254EA5">
        <w:t>annual reports</w:t>
      </w:r>
      <w:r w:rsidR="00977FC8">
        <w:t xml:space="preserve"> for 2008 for most companies were not available yet. </w:t>
      </w:r>
    </w:p>
    <w:p w:rsidR="00977FC8" w:rsidRPr="007F568C" w:rsidRDefault="00977FC8" w:rsidP="001B3CFF">
      <w:r>
        <w:t xml:space="preserve">Because of these complications in more recent years, </w:t>
      </w:r>
      <w:r w:rsidR="00754C2B">
        <w:t>the</w:t>
      </w:r>
      <w:r>
        <w:t xml:space="preserve"> data sample is from 2005 to 2006. All the financial data that is needed for</w:t>
      </w:r>
      <w:r w:rsidRPr="007F568C">
        <w:t xml:space="preserve"> the earnings management component</w:t>
      </w:r>
      <w:r>
        <w:t>, and compensation data</w:t>
      </w:r>
      <w:r w:rsidR="00E356A3">
        <w:t xml:space="preserve"> from the CEO’s</w:t>
      </w:r>
      <w:r>
        <w:t xml:space="preserve"> that is needed for the compensation component,</w:t>
      </w:r>
      <w:r w:rsidRPr="007F568C">
        <w:t xml:space="preserve"> will be gathered from the </w:t>
      </w:r>
      <w:r>
        <w:t>annual reports of the companies</w:t>
      </w:r>
      <w:r w:rsidRPr="007F568C">
        <w:t xml:space="preserve">. </w:t>
      </w:r>
    </w:p>
    <w:p w:rsidR="00977FC8" w:rsidRPr="00B43AA6" w:rsidRDefault="00977FC8" w:rsidP="00C15F3B">
      <w:pPr>
        <w:pStyle w:val="Heading2"/>
      </w:pPr>
      <w:bookmarkStart w:id="72" w:name="_Toc274485447"/>
      <w:r>
        <w:t>Dependant variable</w:t>
      </w:r>
      <w:bookmarkEnd w:id="72"/>
    </w:p>
    <w:p w:rsidR="00977FC8" w:rsidRDefault="00977FC8" w:rsidP="0064058F">
      <w:pPr>
        <w:tabs>
          <w:tab w:val="left" w:pos="2268"/>
        </w:tabs>
        <w:rPr>
          <w:lang w:val="en-GB"/>
        </w:rPr>
      </w:pPr>
      <w:r>
        <w:rPr>
          <w:lang w:val="en-GB"/>
        </w:rPr>
        <w:t>The dependant variable in this study is earnings management. An accruals model (the Modified Jones Model) will be used as a measure of earnings management. The Modified Jones Model takes place in two stages. The first stage of the Modified Jones Model is identical to the original Jones Model, therefore</w:t>
      </w:r>
      <w:r w:rsidR="0064058F">
        <w:rPr>
          <w:lang w:val="en-GB"/>
        </w:rPr>
        <w:t xml:space="preserve"> they both are described in this paragraph.</w:t>
      </w:r>
      <w:r>
        <w:rPr>
          <w:lang w:val="en-GB"/>
        </w:rPr>
        <w:t xml:space="preserve"> </w:t>
      </w:r>
    </w:p>
    <w:p w:rsidR="00977FC8" w:rsidRDefault="00977FC8" w:rsidP="004865F0">
      <w:pPr>
        <w:tabs>
          <w:tab w:val="left" w:pos="2268"/>
        </w:tabs>
        <w:rPr>
          <w:lang w:val="en-GB"/>
        </w:rPr>
      </w:pPr>
    </w:p>
    <w:p w:rsidR="00977FC8" w:rsidRPr="00A342E5" w:rsidRDefault="00977FC8" w:rsidP="004865F0">
      <w:pPr>
        <w:tabs>
          <w:tab w:val="left" w:pos="2268"/>
        </w:tabs>
        <w:rPr>
          <w:b/>
          <w:lang w:val="en-GB"/>
        </w:rPr>
      </w:pPr>
      <w:r w:rsidRPr="00A342E5">
        <w:rPr>
          <w:b/>
          <w:lang w:val="en-GB"/>
        </w:rPr>
        <w:t>The Jones Model</w:t>
      </w:r>
    </w:p>
    <w:p w:rsidR="00977FC8" w:rsidRPr="00A342E5" w:rsidRDefault="00977FC8" w:rsidP="00A41939">
      <w:r w:rsidRPr="00A342E5">
        <w:t xml:space="preserve">The Jones model (Jones 1991) assumes that differences between cash flow and earnings are caused by the accruals. </w:t>
      </w:r>
      <w:r w:rsidR="008B0D83">
        <w:t>F</w:t>
      </w:r>
      <w:r w:rsidRPr="00A342E5">
        <w:t>irst the</w:t>
      </w:r>
      <w:r w:rsidR="008B0D83">
        <w:t xml:space="preserve"> total</w:t>
      </w:r>
      <w:r w:rsidRPr="00A342E5">
        <w:t xml:space="preserve"> </w:t>
      </w:r>
      <w:r w:rsidR="008B0D83">
        <w:t xml:space="preserve">accruals </w:t>
      </w:r>
      <w:r w:rsidR="008B0D83" w:rsidRPr="00A342E5">
        <w:t xml:space="preserve">must be separated </w:t>
      </w:r>
      <w:r w:rsidR="008B0D83">
        <w:t xml:space="preserve">into a </w:t>
      </w:r>
      <w:r w:rsidRPr="00A342E5">
        <w:t xml:space="preserve">discretionary </w:t>
      </w:r>
      <w:r w:rsidR="008B0D83">
        <w:t>and a</w:t>
      </w:r>
      <w:r w:rsidRPr="00A342E5">
        <w:t xml:space="preserve"> non-discretionary </w:t>
      </w:r>
      <w:r w:rsidR="008B0D83">
        <w:t>component</w:t>
      </w:r>
      <w:r w:rsidR="005022B5">
        <w:t xml:space="preserve"> (Bergstresser and Philippon</w:t>
      </w:r>
      <w:r w:rsidRPr="00A342E5">
        <w:t xml:space="preserve"> 2006).</w:t>
      </w:r>
      <w:r w:rsidR="008E50CC">
        <w:t xml:space="preserve"> See equation 4-1 below:</w:t>
      </w:r>
    </w:p>
    <w:p w:rsidR="00977FC8" w:rsidRPr="00A342E5" w:rsidRDefault="00977FC8" w:rsidP="00A41939"/>
    <w:p w:rsidR="00977FC8" w:rsidRPr="00A342E5" w:rsidRDefault="006D6941" w:rsidP="00A41939">
      <w:pPr>
        <w:keepNext/>
      </w:pPr>
      <m:oMathPara>
        <m:oMath>
          <m:sSub>
            <m:sSubPr>
              <m:ctrlPr>
                <w:rPr>
                  <w:rFonts w:ascii="Cambria Math" w:hAnsi="Cambria Math"/>
                  <w:i/>
                </w:rPr>
              </m:ctrlPr>
            </m:sSubPr>
            <m:e>
              <m:r>
                <w:rPr>
                  <w:rFonts w:ascii="Cambria Math" w:hAnsi="Cambria Math"/>
                </w:rPr>
                <m:t>DA</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TA</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NDA</m:t>
              </m:r>
            </m:e>
            <m:sub>
              <m:r>
                <w:rPr>
                  <w:rFonts w:ascii="Cambria Math" w:hAnsi="Cambria Math"/>
                </w:rPr>
                <m:t>i,t</m:t>
              </m:r>
            </m:sub>
          </m:sSub>
        </m:oMath>
      </m:oMathPara>
    </w:p>
    <w:p w:rsidR="00977FC8" w:rsidRPr="00A342E5" w:rsidRDefault="00977FC8" w:rsidP="00A41939">
      <w:pPr>
        <w:pStyle w:val="Caption"/>
      </w:pPr>
      <w:r w:rsidRPr="00A342E5">
        <w:t>(</w:t>
      </w:r>
      <w:fldSimple w:instr=" STYLEREF 1 \s ">
        <w:r w:rsidR="00437F6B">
          <w:rPr>
            <w:noProof/>
          </w:rPr>
          <w:t>4</w:t>
        </w:r>
      </w:fldSimple>
      <w:r w:rsidRPr="00A342E5">
        <w:noBreakHyphen/>
      </w:r>
      <w:fldSimple w:instr=" SEQ Equation \* ARABIC \s 1 ">
        <w:r w:rsidR="00437F6B">
          <w:rPr>
            <w:noProof/>
          </w:rPr>
          <w:t>1</w:t>
        </w:r>
      </w:fldSimple>
      <w:r w:rsidRPr="00A342E5">
        <w:t>)</w:t>
      </w:r>
    </w:p>
    <w:p w:rsidR="00977FC8" w:rsidRPr="00A342E5" w:rsidRDefault="00977FC8" w:rsidP="00A41939">
      <w:r w:rsidRPr="00A342E5">
        <w:t>Where:</w:t>
      </w:r>
    </w:p>
    <w:p w:rsidR="00977FC8" w:rsidRPr="00A342E5" w:rsidRDefault="00977FC8" w:rsidP="00A41939">
      <w:pPr>
        <w:tabs>
          <w:tab w:val="left" w:pos="2268"/>
        </w:tabs>
      </w:pPr>
      <w:r w:rsidRPr="00A342E5">
        <w:t>DA</w:t>
      </w:r>
      <w:r w:rsidRPr="00A342E5">
        <w:rPr>
          <w:i/>
          <w:vertAlign w:val="subscript"/>
        </w:rPr>
        <w:t>i,t</w:t>
      </w:r>
      <w:r w:rsidRPr="00A342E5">
        <w:tab/>
        <w:t xml:space="preserve">Discretionary Accruals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TA</w:t>
      </w:r>
      <w:r w:rsidRPr="00A342E5">
        <w:rPr>
          <w:i/>
          <w:vertAlign w:val="subscript"/>
        </w:rPr>
        <w:t>i,t</w:t>
      </w:r>
      <w:r w:rsidRPr="00A342E5">
        <w:rPr>
          <w:i/>
          <w:vertAlign w:val="subscript"/>
        </w:rPr>
        <w:tab/>
      </w:r>
      <w:r w:rsidRPr="00A342E5">
        <w:t xml:space="preserve">Total Accruals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NDA</w:t>
      </w:r>
      <w:r w:rsidRPr="00A342E5">
        <w:rPr>
          <w:i/>
          <w:vertAlign w:val="subscript"/>
        </w:rPr>
        <w:t>i,t</w:t>
      </w:r>
      <w:r w:rsidRPr="00A342E5">
        <w:tab/>
        <w:t xml:space="preserve">Non-Discretionary Accruals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lastRenderedPageBreak/>
        <w:t>Jones, in contradiction to prior research</w:t>
      </w:r>
      <w:r w:rsidRPr="00A342E5">
        <w:rPr>
          <w:rStyle w:val="FootnoteReference"/>
        </w:rPr>
        <w:footnoteReference w:id="8"/>
      </w:r>
      <w:r w:rsidRPr="00A342E5">
        <w:t>, keeps into account that accruals might change (increase of decrease) due to normal activities (non-discretionary accruals). The Jones model is preformed in two stages. In the first stage the total accruals are regressed against the changes in revenue and level of Property, Plant and Equipment (PPE).  This estimates the normal accruals. The next stage, stage two, estimated regression is combined with the total accruals, changes in revenue and PPE over the event year. Deviations from the estimated regression depict the non-discretionary accruals</w:t>
      </w:r>
      <w:r w:rsidRPr="00A342E5">
        <w:rPr>
          <w:rStyle w:val="FootnoteReference"/>
        </w:rPr>
        <w:footnoteReference w:id="9"/>
      </w:r>
      <w:r w:rsidRPr="00A342E5">
        <w:t xml:space="preserve">. The Jones model is </w:t>
      </w:r>
      <w:r w:rsidR="005022B5">
        <w:t>illustrated as (Ronin and Yaari</w:t>
      </w:r>
      <w:r w:rsidRPr="00A342E5">
        <w:t xml:space="preserve"> 2008):</w:t>
      </w:r>
    </w:p>
    <w:p w:rsidR="00977FC8" w:rsidRPr="00A342E5" w:rsidRDefault="00977FC8" w:rsidP="00A41939">
      <w:pPr>
        <w:tabs>
          <w:tab w:val="left" w:pos="2268"/>
        </w:tabs>
      </w:pPr>
    </w:p>
    <w:p w:rsidR="00977FC8" w:rsidRPr="00A342E5" w:rsidRDefault="006D6941" w:rsidP="00A41939">
      <w:pPr>
        <w:keepNext/>
        <w:tabs>
          <w:tab w:val="left" w:pos="2268"/>
        </w:tabs>
      </w:pPr>
      <m:oMathPara>
        <m:oMath>
          <m:f>
            <m:fPr>
              <m:ctrlPr>
                <w:rPr>
                  <w:rFonts w:ascii="Cambria Math" w:hAnsi="Cambria Math"/>
                  <w:i/>
                </w:rPr>
              </m:ctrlPr>
            </m:fPr>
            <m:num>
              <m:sSub>
                <m:sSubPr>
                  <m:ctrlPr>
                    <w:rPr>
                      <w:rFonts w:ascii="Cambria Math" w:hAnsi="Cambria Math"/>
                      <w:i/>
                    </w:rPr>
                  </m:ctrlPr>
                </m:sSubPr>
                <m:e>
                  <m:r>
                    <w:rPr>
                      <w:rFonts w:ascii="Cambria Math" w:hAnsi="Cambria Math"/>
                    </w:rPr>
                    <m:t>NDA</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1i</m:t>
              </m:r>
            </m:sub>
          </m:sSub>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2i</m:t>
              </m:r>
            </m:sub>
          </m:sSub>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∆REV</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3i</m:t>
              </m:r>
            </m:sub>
          </m:sSub>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PPE</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977FC8" w:rsidRPr="00A342E5" w:rsidRDefault="00977FC8" w:rsidP="00A41939">
      <w:pPr>
        <w:pStyle w:val="Caption"/>
        <w:tabs>
          <w:tab w:val="left" w:pos="2268"/>
        </w:tabs>
      </w:pPr>
      <w:r w:rsidRPr="00A342E5">
        <w:t>(</w:t>
      </w:r>
      <w:fldSimple w:instr=" STYLEREF 1 \s ">
        <w:r w:rsidR="00437F6B">
          <w:rPr>
            <w:noProof/>
          </w:rPr>
          <w:t>4</w:t>
        </w:r>
      </w:fldSimple>
      <w:r w:rsidRPr="00A342E5">
        <w:noBreakHyphen/>
      </w:r>
      <w:fldSimple w:instr=" SEQ Equation \* ARABIC \s 1 ">
        <w:r w:rsidR="00437F6B">
          <w:rPr>
            <w:noProof/>
          </w:rPr>
          <w:t>2</w:t>
        </w:r>
      </w:fldSimple>
      <w:r w:rsidRPr="00A342E5">
        <w:t>)</w:t>
      </w:r>
    </w:p>
    <w:p w:rsidR="00977FC8" w:rsidRPr="00A342E5" w:rsidRDefault="00977FC8" w:rsidP="00A41939">
      <w:pPr>
        <w:tabs>
          <w:tab w:val="left" w:pos="2268"/>
        </w:tabs>
      </w:pPr>
      <w:r w:rsidRPr="00A342E5">
        <w:t>Where:</w:t>
      </w:r>
    </w:p>
    <w:p w:rsidR="00977FC8" w:rsidRPr="00A342E5" w:rsidRDefault="00977FC8" w:rsidP="00A41939">
      <w:pPr>
        <w:tabs>
          <w:tab w:val="left" w:pos="2268"/>
        </w:tabs>
      </w:pPr>
      <w:r w:rsidRPr="00A342E5">
        <w:t>NDA</w:t>
      </w:r>
      <w:r w:rsidRPr="00A342E5">
        <w:rPr>
          <w:i/>
          <w:vertAlign w:val="subscript"/>
        </w:rPr>
        <w:t>i,t</w:t>
      </w:r>
      <w:r w:rsidRPr="00A342E5">
        <w:tab/>
        <w:t xml:space="preserve">Non-Discretionary Accruals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A</w:t>
      </w:r>
      <w:r w:rsidRPr="00A342E5">
        <w:rPr>
          <w:i/>
          <w:vertAlign w:val="subscript"/>
        </w:rPr>
        <w:t>i,t-1</w:t>
      </w:r>
      <w:r w:rsidRPr="00A342E5">
        <w:rPr>
          <w:i/>
        </w:rPr>
        <w:tab/>
      </w:r>
      <w:r w:rsidRPr="00A342E5">
        <w:t xml:space="preserve">Assets for firm </w:t>
      </w:r>
      <w:r w:rsidRPr="00A342E5">
        <w:rPr>
          <w:i/>
        </w:rPr>
        <w:t>i</w:t>
      </w:r>
      <w:r w:rsidRPr="00A342E5">
        <w:t xml:space="preserve"> in year </w:t>
      </w:r>
      <w:r w:rsidRPr="00A342E5">
        <w:rPr>
          <w:i/>
        </w:rPr>
        <w:t>t</w:t>
      </w:r>
      <w:r w:rsidRPr="00A342E5">
        <w:t>-1</w:t>
      </w:r>
      <w:r w:rsidR="008E50CC">
        <w:t>;</w:t>
      </w:r>
    </w:p>
    <w:p w:rsidR="00977FC8" w:rsidRPr="00A342E5" w:rsidRDefault="00977FC8" w:rsidP="00A41939">
      <w:pPr>
        <w:tabs>
          <w:tab w:val="left" w:pos="2268"/>
        </w:tabs>
      </w:pPr>
      <w:r w:rsidRPr="00A342E5">
        <w:t>TA</w:t>
      </w:r>
      <w:r w:rsidRPr="00A342E5">
        <w:rPr>
          <w:i/>
          <w:vertAlign w:val="subscript"/>
        </w:rPr>
        <w:t>i,t</w:t>
      </w:r>
      <w:r w:rsidRPr="00A342E5">
        <w:rPr>
          <w:i/>
        </w:rPr>
        <w:tab/>
      </w:r>
      <w:r w:rsidRPr="00A342E5">
        <w:t xml:space="preserve">Total Accruals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∆REV</w:t>
      </w:r>
      <w:r w:rsidRPr="00A342E5">
        <w:rPr>
          <w:i/>
          <w:vertAlign w:val="subscript"/>
        </w:rPr>
        <w:t>i,t</w:t>
      </w:r>
      <w:r w:rsidRPr="00A342E5">
        <w:rPr>
          <w:i/>
        </w:rPr>
        <w:tab/>
      </w:r>
      <w:r w:rsidRPr="00A342E5">
        <w:t xml:space="preserve">Changes in revenue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rPr>
          <w:i/>
        </w:rPr>
      </w:pPr>
      <w:r w:rsidRPr="00A342E5">
        <w:t>PPE</w:t>
      </w:r>
      <w:r w:rsidRPr="00A342E5">
        <w:rPr>
          <w:i/>
          <w:vertAlign w:val="subscript"/>
        </w:rPr>
        <w:t>i,t</w:t>
      </w:r>
      <w:r w:rsidRPr="00A342E5">
        <w:rPr>
          <w:i/>
        </w:rPr>
        <w:tab/>
      </w:r>
      <w:r w:rsidRPr="00A342E5">
        <w:t xml:space="preserve">Property, Plant and Equipment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rPr>
          <w:i/>
        </w:rPr>
      </w:pPr>
      <w:r w:rsidRPr="00A342E5">
        <w:t>ε</w:t>
      </w:r>
      <w:r w:rsidRPr="00A342E5">
        <w:rPr>
          <w:i/>
          <w:vertAlign w:val="subscript"/>
        </w:rPr>
        <w:t>i,t</w:t>
      </w:r>
      <w:r w:rsidRPr="00A342E5">
        <w:rPr>
          <w:i/>
          <w:vertAlign w:val="subscript"/>
        </w:rPr>
        <w:tab/>
      </w:r>
      <w:r w:rsidRPr="00A342E5">
        <w:t xml:space="preserve">Error term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α</w:t>
      </w:r>
      <w:r w:rsidRPr="00A342E5">
        <w:rPr>
          <w:vertAlign w:val="subscript"/>
        </w:rPr>
        <w:t>1</w:t>
      </w:r>
      <w:r w:rsidRPr="00A342E5">
        <w:rPr>
          <w:i/>
          <w:vertAlign w:val="subscript"/>
        </w:rPr>
        <w:t>i</w:t>
      </w:r>
      <w:r w:rsidRPr="00A342E5">
        <w:t>, α</w:t>
      </w:r>
      <w:r w:rsidRPr="00A342E5">
        <w:rPr>
          <w:vertAlign w:val="subscript"/>
        </w:rPr>
        <w:t xml:space="preserve"> 2</w:t>
      </w:r>
      <w:r w:rsidRPr="00A342E5">
        <w:rPr>
          <w:i/>
          <w:vertAlign w:val="subscript"/>
        </w:rPr>
        <w:t>i</w:t>
      </w:r>
      <w:r w:rsidRPr="00A342E5">
        <w:t>, α</w:t>
      </w:r>
      <w:r w:rsidRPr="00A342E5">
        <w:rPr>
          <w:vertAlign w:val="subscript"/>
        </w:rPr>
        <w:t xml:space="preserve"> 3</w:t>
      </w:r>
      <w:r w:rsidRPr="00A342E5">
        <w:rPr>
          <w:i/>
          <w:vertAlign w:val="subscript"/>
        </w:rPr>
        <w:t>i</w:t>
      </w:r>
      <w:r w:rsidRPr="00A342E5">
        <w:tab/>
        <w:t xml:space="preserve">Coefficients for firm </w:t>
      </w:r>
      <w:r w:rsidRPr="00A342E5">
        <w:rPr>
          <w:i/>
        </w:rPr>
        <w:t>i</w:t>
      </w:r>
      <w:r w:rsidR="008E50CC">
        <w:t>.</w:t>
      </w:r>
      <w:r w:rsidRPr="00A342E5">
        <w:tab/>
      </w:r>
    </w:p>
    <w:p w:rsidR="00977FC8" w:rsidRPr="00A342E5" w:rsidRDefault="00977FC8" w:rsidP="00A41939">
      <w:pPr>
        <w:tabs>
          <w:tab w:val="left" w:pos="2268"/>
        </w:tabs>
      </w:pPr>
    </w:p>
    <w:p w:rsidR="00977FC8" w:rsidRPr="00A342E5" w:rsidRDefault="00977FC8" w:rsidP="00A41939">
      <w:pPr>
        <w:tabs>
          <w:tab w:val="left" w:pos="2268"/>
        </w:tabs>
      </w:pPr>
      <w:r w:rsidRPr="00A342E5">
        <w:t>Total accruals are calculated by the difference between earnings and opera</w:t>
      </w:r>
      <w:r w:rsidR="005022B5">
        <w:t>tional cash flow (Dechow et al.</w:t>
      </w:r>
      <w:r w:rsidRPr="00A342E5">
        <w:t xml:space="preserve"> 1995):</w:t>
      </w:r>
    </w:p>
    <w:p w:rsidR="00977FC8" w:rsidRPr="00A342E5" w:rsidRDefault="00977FC8" w:rsidP="00A41939">
      <w:pPr>
        <w:tabs>
          <w:tab w:val="left" w:pos="2268"/>
        </w:tabs>
      </w:pPr>
      <w:r w:rsidRPr="00A342E5">
        <w:tab/>
      </w:r>
    </w:p>
    <w:p w:rsidR="00977FC8" w:rsidRPr="00A342E5" w:rsidRDefault="006D6941" w:rsidP="00A41939">
      <w:pPr>
        <w:keepNext/>
        <w:tabs>
          <w:tab w:val="left" w:pos="2268"/>
        </w:tabs>
      </w:pPr>
      <m:oMathPara>
        <m:oMath>
          <m:sSub>
            <m:sSubPr>
              <m:ctrlPr>
                <w:rPr>
                  <w:rFonts w:ascii="Cambria Math" w:hAnsi="Cambria Math"/>
                  <w:i/>
                </w:rPr>
              </m:ctrlPr>
            </m:sSubPr>
            <m:e>
              <m:r>
                <w:rPr>
                  <w:rFonts w:ascii="Cambria Math" w:hAnsi="Cambria Math"/>
                </w:rPr>
                <m:t>TA</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Earnings</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CFO</m:t>
              </m:r>
            </m:e>
            <m:sub>
              <m:r>
                <w:rPr>
                  <w:rFonts w:ascii="Cambria Math" w:hAnsi="Cambria Math"/>
                </w:rPr>
                <m:t>i,t</m:t>
              </m:r>
            </m:sub>
          </m:sSub>
        </m:oMath>
      </m:oMathPara>
    </w:p>
    <w:p w:rsidR="00977FC8" w:rsidRPr="00A342E5" w:rsidRDefault="00977FC8" w:rsidP="00A41939">
      <w:pPr>
        <w:pStyle w:val="Caption"/>
        <w:tabs>
          <w:tab w:val="left" w:pos="2268"/>
        </w:tabs>
      </w:pPr>
      <w:r w:rsidRPr="00A342E5">
        <w:t>(</w:t>
      </w:r>
      <w:fldSimple w:instr=" STYLEREF 1 \s ">
        <w:r w:rsidR="00437F6B">
          <w:rPr>
            <w:noProof/>
          </w:rPr>
          <w:t>4</w:t>
        </w:r>
      </w:fldSimple>
      <w:r w:rsidRPr="00A342E5">
        <w:noBreakHyphen/>
      </w:r>
      <w:fldSimple w:instr=" SEQ Equation \* ARABIC \s 1 ">
        <w:r w:rsidR="00437F6B">
          <w:rPr>
            <w:noProof/>
          </w:rPr>
          <w:t>3</w:t>
        </w:r>
      </w:fldSimple>
      <w:r w:rsidRPr="00A342E5">
        <w:t>)</w:t>
      </w:r>
    </w:p>
    <w:p w:rsidR="00977FC8" w:rsidRPr="00A342E5" w:rsidRDefault="00977FC8" w:rsidP="00A41939">
      <w:pPr>
        <w:tabs>
          <w:tab w:val="left" w:pos="2268"/>
        </w:tabs>
      </w:pPr>
      <w:r w:rsidRPr="00A342E5">
        <w:t>Where:</w:t>
      </w:r>
    </w:p>
    <w:p w:rsidR="00977FC8" w:rsidRPr="00A342E5" w:rsidRDefault="00977FC8" w:rsidP="00A41939">
      <w:pPr>
        <w:tabs>
          <w:tab w:val="left" w:pos="2268"/>
        </w:tabs>
        <w:rPr>
          <w:i/>
        </w:rPr>
      </w:pPr>
      <w:r w:rsidRPr="00A342E5">
        <w:t>TA</w:t>
      </w:r>
      <w:r w:rsidRPr="00A342E5">
        <w:rPr>
          <w:i/>
          <w:vertAlign w:val="subscript"/>
        </w:rPr>
        <w:t>i,t</w:t>
      </w:r>
      <w:r w:rsidRPr="00A342E5">
        <w:tab/>
        <w:t xml:space="preserve">Total Accruals for firms </w:t>
      </w:r>
      <w:r w:rsidRPr="00A342E5">
        <w:rPr>
          <w:i/>
        </w:rPr>
        <w:t>i</w:t>
      </w:r>
      <w:r w:rsidRPr="00A342E5">
        <w:t xml:space="preserve"> period </w:t>
      </w:r>
      <w:r w:rsidRPr="00A342E5">
        <w:rPr>
          <w:i/>
        </w:rPr>
        <w:t>t</w:t>
      </w:r>
      <w:r w:rsidR="008E50CC">
        <w:rPr>
          <w:i/>
        </w:rPr>
        <w:t>;</w:t>
      </w:r>
    </w:p>
    <w:p w:rsidR="00977FC8" w:rsidRPr="00A342E5" w:rsidRDefault="00977FC8" w:rsidP="00A41939">
      <w:pPr>
        <w:tabs>
          <w:tab w:val="left" w:pos="2268"/>
        </w:tabs>
      </w:pPr>
      <w:r w:rsidRPr="00A342E5">
        <w:t>Earnings</w:t>
      </w:r>
      <w:r w:rsidRPr="00A342E5">
        <w:rPr>
          <w:vertAlign w:val="subscript"/>
        </w:rPr>
        <w:t>i,</w:t>
      </w:r>
      <w:r w:rsidRPr="00A342E5">
        <w:rPr>
          <w:i/>
          <w:vertAlign w:val="subscript"/>
        </w:rPr>
        <w:t>t</w:t>
      </w:r>
      <w:r w:rsidRPr="00A342E5">
        <w:tab/>
        <w:t>Earnings before extra ordinary income for firm i in year t</w:t>
      </w:r>
      <w:r w:rsidR="008E50CC">
        <w:t>;</w:t>
      </w:r>
    </w:p>
    <w:p w:rsidR="00977FC8" w:rsidRPr="00A342E5" w:rsidRDefault="00977FC8" w:rsidP="00A41939">
      <w:pPr>
        <w:tabs>
          <w:tab w:val="left" w:pos="2268"/>
        </w:tabs>
      </w:pPr>
      <w:r w:rsidRPr="00A342E5">
        <w:lastRenderedPageBreak/>
        <w:t>CFO</w:t>
      </w:r>
      <w:r w:rsidRPr="00A342E5">
        <w:rPr>
          <w:i/>
          <w:vertAlign w:val="subscript"/>
        </w:rPr>
        <w:t>i,t</w:t>
      </w:r>
      <w:r w:rsidRPr="00A342E5">
        <w:tab/>
        <w:t xml:space="preserve">Cash flow from operation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1080"/>
          <w:tab w:val="left" w:pos="2268"/>
        </w:tabs>
        <w:ind w:left="1080"/>
      </w:pPr>
    </w:p>
    <w:p w:rsidR="00977FC8" w:rsidRPr="00A342E5" w:rsidRDefault="00977FC8" w:rsidP="00A41939">
      <w:pPr>
        <w:tabs>
          <w:tab w:val="left" w:pos="2268"/>
        </w:tabs>
      </w:pPr>
      <w:r w:rsidRPr="00A342E5">
        <w:t>When measuring earnings management, | TA</w:t>
      </w:r>
      <w:r w:rsidRPr="00A342E5">
        <w:rPr>
          <w:i/>
          <w:vertAlign w:val="subscript"/>
        </w:rPr>
        <w:t xml:space="preserve">it </w:t>
      </w:r>
      <w:r w:rsidRPr="00A342E5">
        <w:t>|</w:t>
      </w:r>
      <w:r w:rsidR="00254EA5">
        <w:t xml:space="preserve"> will be used.</w:t>
      </w:r>
      <w:r w:rsidRPr="00A342E5">
        <w:t xml:space="preserve"> The Jones model deflates all variables (ΔREV and PPT) with total assets from t-1 (beginning-of-the-year). This overcomes hetroskedasticity</w:t>
      </w:r>
      <w:r w:rsidRPr="00A342E5">
        <w:rPr>
          <w:rStyle w:val="FootnoteReference"/>
        </w:rPr>
        <w:footnoteReference w:id="10"/>
      </w:r>
      <w:r w:rsidRPr="00A342E5">
        <w:t xml:space="preserve"> </w:t>
      </w:r>
      <w:r w:rsidR="005022B5">
        <w:rPr>
          <w:noProof/>
        </w:rPr>
        <w:t>(Ronin and Yaari</w:t>
      </w:r>
      <w:r w:rsidRPr="00A342E5">
        <w:rPr>
          <w:noProof/>
        </w:rPr>
        <w:t xml:space="preserve"> 2008)</w:t>
      </w:r>
      <w:r w:rsidRPr="00A342E5">
        <w:t xml:space="preserve">. </w:t>
      </w:r>
    </w:p>
    <w:p w:rsidR="00977FC8" w:rsidRPr="00A342E5" w:rsidRDefault="00977FC8" w:rsidP="00A41939">
      <w:pPr>
        <w:tabs>
          <w:tab w:val="left" w:pos="2268"/>
        </w:tabs>
      </w:pPr>
      <w:r w:rsidRPr="00A342E5">
        <w:t>The coefficients α</w:t>
      </w:r>
      <w:r w:rsidRPr="00A342E5">
        <w:rPr>
          <w:rFonts w:ascii="Calibri" w:hAnsi="Calibri" w:cs="Arial"/>
          <w:vertAlign w:val="subscript"/>
          <w:lang w:bidi="ar-SA"/>
        </w:rPr>
        <w:t>χ</w:t>
      </w:r>
      <w:r w:rsidRPr="00A342E5">
        <w:t xml:space="preserve"> are industry specific parameters. They estimate how different industries, with difference in capital intensity, are influenced by the variables (Assets, Revenue and PPT). Capital intensive industries will have a relatively greater PPE element than knowledge based industries. </w:t>
      </w:r>
    </w:p>
    <w:p w:rsidR="00977FC8" w:rsidRDefault="00977FC8" w:rsidP="00A41939">
      <w:pPr>
        <w:tabs>
          <w:tab w:val="left" w:pos="2268"/>
        </w:tabs>
      </w:pPr>
      <w:r w:rsidRPr="00A342E5">
        <w:t>Using only the standard Jones model would be short-sighted. The greatest weakness lies in the fact that the Jones model does not take into account the ability of managers for sales-base</w:t>
      </w:r>
      <w:r w:rsidR="005022B5">
        <w:t>d manipulation (Peasnell et al.</w:t>
      </w:r>
      <w:r w:rsidRPr="00A342E5">
        <w:t xml:space="preserve"> 2000), because accruals are deflated for changes in revenue. Jones considers these changes, as changes in economic activity. </w:t>
      </w:r>
      <w:r w:rsidR="008E50CC">
        <w:t>Therefore</w:t>
      </w:r>
      <w:r w:rsidRPr="00A342E5">
        <w:t xml:space="preserve"> Dechow et al. (1995) modified the original Jones model to incorporate the possible changes in revenue that are discretionary.</w:t>
      </w:r>
    </w:p>
    <w:p w:rsidR="00977FC8" w:rsidRPr="00C15F3B" w:rsidRDefault="00977FC8" w:rsidP="00A41939">
      <w:pPr>
        <w:tabs>
          <w:tab w:val="left" w:pos="2268"/>
        </w:tabs>
      </w:pPr>
    </w:p>
    <w:p w:rsidR="00977FC8" w:rsidRPr="00A342E5" w:rsidRDefault="00977FC8" w:rsidP="00C15F3B">
      <w:pPr>
        <w:tabs>
          <w:tab w:val="left" w:pos="2268"/>
        </w:tabs>
        <w:rPr>
          <w:b/>
          <w:lang w:val="en-GB"/>
        </w:rPr>
      </w:pPr>
      <w:r w:rsidRPr="00A342E5">
        <w:rPr>
          <w:b/>
          <w:lang w:val="en-GB"/>
        </w:rPr>
        <w:t>The</w:t>
      </w:r>
      <w:r>
        <w:rPr>
          <w:b/>
          <w:lang w:val="en-GB"/>
        </w:rPr>
        <w:t xml:space="preserve"> Modified</w:t>
      </w:r>
      <w:r w:rsidRPr="00A342E5">
        <w:rPr>
          <w:b/>
          <w:lang w:val="en-GB"/>
        </w:rPr>
        <w:t xml:space="preserve"> Jones Model</w:t>
      </w:r>
    </w:p>
    <w:p w:rsidR="00977FC8" w:rsidRPr="00A342E5" w:rsidRDefault="00977FC8" w:rsidP="00A41939">
      <w:pPr>
        <w:tabs>
          <w:tab w:val="left" w:pos="2268"/>
        </w:tabs>
      </w:pPr>
      <w:r w:rsidRPr="00A342E5">
        <w:t xml:space="preserve">The model that will </w:t>
      </w:r>
      <w:r w:rsidR="008E50CC">
        <w:t xml:space="preserve">be </w:t>
      </w:r>
      <w:r w:rsidRPr="00A342E5">
        <w:t xml:space="preserve">used to </w:t>
      </w:r>
      <w:r w:rsidR="008E50CC">
        <w:t>determine the</w:t>
      </w:r>
      <w:r w:rsidRPr="00A342E5">
        <w:t xml:space="preserve"> non-discretionary accruals is the modi</w:t>
      </w:r>
      <w:r w:rsidR="005022B5">
        <w:t>fied Jones model (Dechow et al.</w:t>
      </w:r>
      <w:r w:rsidRPr="00A342E5">
        <w:t xml:space="preserve"> 1995). The model finds its origin in the standard Jones Model. However, Dechow et al. (1995) have managed to incorporate the ability to detect sales-based manipulations. </w:t>
      </w:r>
    </w:p>
    <w:p w:rsidR="00977FC8" w:rsidRPr="00A342E5" w:rsidRDefault="00977FC8" w:rsidP="00A41939">
      <w:pPr>
        <w:tabs>
          <w:tab w:val="left" w:pos="2268"/>
        </w:tabs>
      </w:pPr>
      <w:r w:rsidRPr="00A342E5">
        <w:t xml:space="preserve">The modified Jones model is </w:t>
      </w:r>
      <w:r w:rsidR="005022B5">
        <w:t>illustrated as (Ronin and Yaari</w:t>
      </w:r>
      <w:r w:rsidRPr="00A342E5">
        <w:t xml:space="preserve"> 2008):</w:t>
      </w:r>
    </w:p>
    <w:p w:rsidR="00977FC8" w:rsidRPr="00A342E5" w:rsidRDefault="00977FC8" w:rsidP="00A41939">
      <w:pPr>
        <w:tabs>
          <w:tab w:val="left" w:pos="2268"/>
        </w:tabs>
      </w:pPr>
    </w:p>
    <w:p w:rsidR="0065693E" w:rsidRPr="00A342E5" w:rsidRDefault="006D6941" w:rsidP="0065693E">
      <w:pPr>
        <w:keepNext/>
        <w:tabs>
          <w:tab w:val="left" w:pos="2268"/>
        </w:tabs>
      </w:pPr>
      <m:oMathPara>
        <m:oMath>
          <m:f>
            <m:fPr>
              <m:ctrlPr>
                <w:rPr>
                  <w:rFonts w:ascii="Cambria Math" w:hAnsi="Cambria Math"/>
                  <w:i/>
                </w:rPr>
              </m:ctrlPr>
            </m:fPr>
            <m:num>
              <m:sSub>
                <m:sSubPr>
                  <m:ctrlPr>
                    <w:rPr>
                      <w:rFonts w:ascii="Cambria Math" w:hAnsi="Cambria Math"/>
                      <w:i/>
                    </w:rPr>
                  </m:ctrlPr>
                </m:sSubPr>
                <m:e>
                  <m:r>
                    <w:rPr>
                      <w:rFonts w:ascii="Cambria Math" w:hAnsi="Cambria Math"/>
                    </w:rPr>
                    <m:t>NDA</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2i</m:t>
              </m:r>
            </m:sub>
          </m:sSub>
          <m:d>
            <m:dPr>
              <m:begChr m:val="["/>
              <m:endChr m:val="]"/>
              <m:ctrlPr>
                <w:rPr>
                  <w:rFonts w:ascii="Cambria Math" w:hAnsi="Cambria Math"/>
                  <w:i/>
                </w:rPr>
              </m:ctrlPr>
            </m:dPr>
            <m:e>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∆REV</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∆AR</m:t>
                          </m:r>
                        </m:e>
                        <m:sub>
                          <m:r>
                            <w:rPr>
                              <w:rFonts w:ascii="Cambria Math" w:hAnsi="Cambria Math"/>
                            </w:rPr>
                            <m:t>it</m:t>
                          </m:r>
                        </m:sub>
                      </m:sSub>
                    </m:e>
                  </m:d>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3i</m:t>
              </m:r>
            </m:sub>
          </m:sSub>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PPE</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977FC8" w:rsidRPr="00A342E5" w:rsidRDefault="00977FC8" w:rsidP="00A41939">
      <w:pPr>
        <w:pStyle w:val="Caption"/>
        <w:tabs>
          <w:tab w:val="left" w:pos="2268"/>
        </w:tabs>
      </w:pPr>
      <w:r w:rsidRPr="00A342E5">
        <w:t>(</w:t>
      </w:r>
      <w:fldSimple w:instr=" STYLEREF 1 \s ">
        <w:r w:rsidR="00437F6B">
          <w:rPr>
            <w:noProof/>
          </w:rPr>
          <w:t>4</w:t>
        </w:r>
      </w:fldSimple>
      <w:r w:rsidRPr="00A342E5">
        <w:noBreakHyphen/>
      </w:r>
      <w:fldSimple w:instr=" SEQ Equation \* ARABIC \s 1 ">
        <w:r w:rsidR="00437F6B">
          <w:rPr>
            <w:noProof/>
          </w:rPr>
          <w:t>4</w:t>
        </w:r>
      </w:fldSimple>
      <w:r w:rsidRPr="00A342E5">
        <w:t>)</w:t>
      </w:r>
    </w:p>
    <w:p w:rsidR="00437F6B" w:rsidRDefault="00437F6B" w:rsidP="00437F6B">
      <w:pPr>
        <w:spacing w:line="240" w:lineRule="auto"/>
        <w:jc w:val="left"/>
      </w:pPr>
    </w:p>
    <w:p w:rsidR="00977FC8" w:rsidRPr="00A342E5" w:rsidRDefault="00977FC8" w:rsidP="00437F6B">
      <w:pPr>
        <w:spacing w:line="240" w:lineRule="auto"/>
        <w:jc w:val="left"/>
      </w:pPr>
      <w:r w:rsidRPr="00A342E5">
        <w:t>Where:</w:t>
      </w:r>
    </w:p>
    <w:p w:rsidR="00977FC8" w:rsidRPr="00A342E5" w:rsidRDefault="00977FC8" w:rsidP="00A41939">
      <w:pPr>
        <w:tabs>
          <w:tab w:val="left" w:pos="2268"/>
        </w:tabs>
      </w:pPr>
      <w:r w:rsidRPr="00A342E5">
        <w:t>NDA</w:t>
      </w:r>
      <w:r w:rsidRPr="00A342E5">
        <w:rPr>
          <w:i/>
          <w:vertAlign w:val="subscript"/>
        </w:rPr>
        <w:t>it</w:t>
      </w:r>
      <w:r w:rsidRPr="00A342E5">
        <w:tab/>
        <w:t xml:space="preserve">Non-Discretionary Accruals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A</w:t>
      </w:r>
      <w:r w:rsidRPr="00A342E5">
        <w:rPr>
          <w:i/>
          <w:vertAlign w:val="subscript"/>
        </w:rPr>
        <w:t>it-1</w:t>
      </w:r>
      <w:r w:rsidRPr="00A342E5">
        <w:rPr>
          <w:i/>
        </w:rPr>
        <w:tab/>
      </w:r>
      <w:r w:rsidRPr="00A342E5">
        <w:t xml:space="preserve">Assets for firm </w:t>
      </w:r>
      <w:r w:rsidRPr="00A342E5">
        <w:rPr>
          <w:i/>
        </w:rPr>
        <w:t>i</w:t>
      </w:r>
      <w:r w:rsidRPr="00A342E5">
        <w:t xml:space="preserve"> in year </w:t>
      </w:r>
      <w:r w:rsidRPr="00A342E5">
        <w:rPr>
          <w:i/>
        </w:rPr>
        <w:t>t</w:t>
      </w:r>
      <w:r w:rsidRPr="00A342E5">
        <w:t>-1</w:t>
      </w:r>
      <w:r w:rsidR="008E50CC">
        <w:t>;</w:t>
      </w:r>
    </w:p>
    <w:p w:rsidR="00977FC8" w:rsidRPr="00A342E5" w:rsidRDefault="00977FC8" w:rsidP="00A41939">
      <w:pPr>
        <w:tabs>
          <w:tab w:val="left" w:pos="2268"/>
        </w:tabs>
      </w:pPr>
      <w:r w:rsidRPr="00A342E5">
        <w:lastRenderedPageBreak/>
        <w:t>TA</w:t>
      </w:r>
      <w:r w:rsidRPr="00A342E5">
        <w:rPr>
          <w:i/>
          <w:vertAlign w:val="subscript"/>
        </w:rPr>
        <w:t>it</w:t>
      </w:r>
      <w:r w:rsidRPr="00A342E5">
        <w:rPr>
          <w:i/>
        </w:rPr>
        <w:tab/>
      </w:r>
      <w:r w:rsidRPr="00A342E5">
        <w:t xml:space="preserve">Total Accruals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∆REV</w:t>
      </w:r>
      <w:r w:rsidRPr="00A342E5">
        <w:rPr>
          <w:i/>
          <w:vertAlign w:val="subscript"/>
        </w:rPr>
        <w:t>it</w:t>
      </w:r>
      <w:r w:rsidRPr="00A342E5">
        <w:rPr>
          <w:i/>
        </w:rPr>
        <w:tab/>
      </w:r>
      <w:r w:rsidRPr="00A342E5">
        <w:t xml:space="preserve">Changes in revenue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∆AR</w:t>
      </w:r>
      <w:r w:rsidRPr="00A342E5">
        <w:rPr>
          <w:i/>
          <w:vertAlign w:val="subscript"/>
        </w:rPr>
        <w:t>it</w:t>
      </w:r>
      <w:r w:rsidRPr="00A342E5">
        <w:rPr>
          <w:i/>
          <w:vertAlign w:val="subscript"/>
        </w:rPr>
        <w:tab/>
      </w:r>
      <w:r w:rsidRPr="00A342E5">
        <w:t xml:space="preserve">Changes in accounts Receivables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rPr>
          <w:i/>
        </w:rPr>
      </w:pPr>
      <w:r w:rsidRPr="00A342E5">
        <w:t>PPE</w:t>
      </w:r>
      <w:r w:rsidRPr="00A342E5">
        <w:rPr>
          <w:i/>
          <w:vertAlign w:val="subscript"/>
        </w:rPr>
        <w:t>it</w:t>
      </w:r>
      <w:r w:rsidRPr="00A342E5">
        <w:rPr>
          <w:i/>
        </w:rPr>
        <w:tab/>
      </w:r>
      <w:r w:rsidRPr="00A342E5">
        <w:t xml:space="preserve">Property, Plant and Equipment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rPr>
          <w:i/>
        </w:rPr>
      </w:pPr>
      <w:r w:rsidRPr="00A342E5">
        <w:t>ε</w:t>
      </w:r>
      <w:r w:rsidRPr="00A342E5">
        <w:rPr>
          <w:i/>
          <w:vertAlign w:val="subscript"/>
        </w:rPr>
        <w:t>it</w:t>
      </w:r>
      <w:r w:rsidRPr="00A342E5">
        <w:rPr>
          <w:i/>
          <w:vertAlign w:val="subscript"/>
        </w:rPr>
        <w:tab/>
      </w:r>
      <w:r w:rsidRPr="00A342E5">
        <w:t xml:space="preserve">Error term for firm </w:t>
      </w:r>
      <w:r w:rsidRPr="00A342E5">
        <w:rPr>
          <w:i/>
        </w:rPr>
        <w:t>i</w:t>
      </w:r>
      <w:r w:rsidRPr="00A342E5">
        <w:t xml:space="preserve"> in year </w:t>
      </w:r>
      <w:r w:rsidRPr="00A342E5">
        <w:rPr>
          <w:i/>
        </w:rPr>
        <w:t>t</w:t>
      </w:r>
      <w:r w:rsidR="008E50CC">
        <w:rPr>
          <w:i/>
        </w:rPr>
        <w:t>;</w:t>
      </w:r>
    </w:p>
    <w:p w:rsidR="00977FC8" w:rsidRPr="00A342E5" w:rsidRDefault="00977FC8" w:rsidP="00A41939">
      <w:pPr>
        <w:tabs>
          <w:tab w:val="left" w:pos="2268"/>
        </w:tabs>
      </w:pPr>
      <w:r w:rsidRPr="00A342E5">
        <w:t>α</w:t>
      </w:r>
      <w:r w:rsidRPr="00A342E5">
        <w:rPr>
          <w:vertAlign w:val="subscript"/>
        </w:rPr>
        <w:t>1</w:t>
      </w:r>
      <w:r w:rsidRPr="00A342E5">
        <w:rPr>
          <w:i/>
          <w:vertAlign w:val="subscript"/>
        </w:rPr>
        <w:t>i</w:t>
      </w:r>
      <w:r w:rsidRPr="00A342E5">
        <w:t>, α</w:t>
      </w:r>
      <w:r w:rsidRPr="00A342E5">
        <w:rPr>
          <w:vertAlign w:val="subscript"/>
        </w:rPr>
        <w:t xml:space="preserve"> 2</w:t>
      </w:r>
      <w:r w:rsidRPr="00A342E5">
        <w:rPr>
          <w:i/>
          <w:vertAlign w:val="subscript"/>
        </w:rPr>
        <w:t>i</w:t>
      </w:r>
      <w:r w:rsidRPr="00A342E5">
        <w:t>, α</w:t>
      </w:r>
      <w:r w:rsidRPr="00A342E5">
        <w:rPr>
          <w:vertAlign w:val="subscript"/>
        </w:rPr>
        <w:t xml:space="preserve"> 3</w:t>
      </w:r>
      <w:r w:rsidRPr="00A342E5">
        <w:rPr>
          <w:i/>
          <w:vertAlign w:val="subscript"/>
        </w:rPr>
        <w:t>i</w:t>
      </w:r>
      <w:r w:rsidRPr="00A342E5">
        <w:tab/>
        <w:t xml:space="preserve">Coefficients for firm </w:t>
      </w:r>
      <w:r w:rsidRPr="00A342E5">
        <w:rPr>
          <w:i/>
        </w:rPr>
        <w:t>i</w:t>
      </w:r>
      <w:r w:rsidR="008E50CC">
        <w:rPr>
          <w:i/>
        </w:rPr>
        <w:t>.</w:t>
      </w:r>
    </w:p>
    <w:p w:rsidR="00977FC8" w:rsidRPr="00A342E5" w:rsidRDefault="00977FC8" w:rsidP="00A41939">
      <w:pPr>
        <w:tabs>
          <w:tab w:val="left" w:pos="2268"/>
        </w:tabs>
        <w:rPr>
          <w:lang w:val="en-GB"/>
        </w:rPr>
      </w:pPr>
    </w:p>
    <w:p w:rsidR="00977FC8" w:rsidRPr="00A342E5" w:rsidRDefault="00977FC8" w:rsidP="00A41939">
      <w:pPr>
        <w:tabs>
          <w:tab w:val="left" w:pos="2268"/>
        </w:tabs>
        <w:rPr>
          <w:lang w:val="en-GB"/>
        </w:rPr>
      </w:pPr>
      <w:r w:rsidRPr="00A342E5">
        <w:rPr>
          <w:lang w:val="en-GB"/>
        </w:rPr>
        <w:t xml:space="preserve">Like the Jones model, the modified Jones model takes place in two stages. The first stage is identical, where the estimated accruals are defined. It is important to note that for estimating the NDA, equation 4-2 will be used </w:t>
      </w:r>
      <w:r w:rsidR="005022B5">
        <w:t>(Bergstresser and Philippon</w:t>
      </w:r>
      <w:r w:rsidRPr="00A342E5">
        <w:t xml:space="preserve"> 2006</w:t>
      </w:r>
      <w:r w:rsidR="005022B5">
        <w:rPr>
          <w:lang w:val="en-GB"/>
        </w:rPr>
        <w:t xml:space="preserve">; </w:t>
      </w:r>
      <w:r w:rsidRPr="00A342E5">
        <w:rPr>
          <w:lang w:val="en-GB"/>
        </w:rPr>
        <w:t xml:space="preserve">Jones 1991). Dechow et al. (1995) adopted this approach from the original Jones Model (1991). </w:t>
      </w:r>
      <w:r w:rsidR="008E50CC">
        <w:rPr>
          <w:lang w:val="en-GB"/>
        </w:rPr>
        <w:t>E</w:t>
      </w:r>
      <w:r w:rsidRPr="00A342E5">
        <w:rPr>
          <w:lang w:val="en-GB"/>
        </w:rPr>
        <w:t xml:space="preserve">quation 4-4 will be used when determining the actual NDA. </w:t>
      </w:r>
    </w:p>
    <w:p w:rsidR="00977FC8" w:rsidRDefault="00977FC8" w:rsidP="004865F0">
      <w:pPr>
        <w:pStyle w:val="Heading2"/>
      </w:pPr>
      <w:bookmarkStart w:id="73" w:name="_Toc274485448"/>
      <w:r>
        <w:t>Independent variable</w:t>
      </w:r>
      <w:bookmarkEnd w:id="73"/>
    </w:p>
    <w:p w:rsidR="00977FC8" w:rsidRDefault="00977FC8" w:rsidP="003A4FF1">
      <w:pPr>
        <w:rPr>
          <w:lang w:val="en-GB"/>
        </w:rPr>
      </w:pPr>
      <w:r>
        <w:rPr>
          <w:lang w:val="en-GB"/>
        </w:rPr>
        <w:t xml:space="preserve">The independent variables will be the type of compensation, for the different hypotheses. For this </w:t>
      </w:r>
      <w:r w:rsidRPr="00E91803">
        <w:rPr>
          <w:lang w:val="en-GB"/>
        </w:rPr>
        <w:t>research, the relative size of the compensation type</w:t>
      </w:r>
      <w:r>
        <w:rPr>
          <w:lang w:val="en-GB"/>
        </w:rPr>
        <w:t xml:space="preserve"> will be used</w:t>
      </w:r>
      <w:r w:rsidRPr="00E91803">
        <w:rPr>
          <w:lang w:val="en-GB"/>
        </w:rPr>
        <w:t xml:space="preserve"> to measure compensation. Relative figure</w:t>
      </w:r>
      <w:r>
        <w:rPr>
          <w:lang w:val="en-GB"/>
        </w:rPr>
        <w:t>s</w:t>
      </w:r>
      <w:r w:rsidRPr="00E91803">
        <w:rPr>
          <w:lang w:val="en-GB"/>
        </w:rPr>
        <w:t xml:space="preserve"> are better comparable with each other. It is generally accepted that absolute compensation differences between managers are cause</w:t>
      </w:r>
      <w:r w:rsidR="008E50CC">
        <w:rPr>
          <w:lang w:val="en-GB"/>
        </w:rPr>
        <w:t>d</w:t>
      </w:r>
      <w:r w:rsidRPr="00E91803">
        <w:rPr>
          <w:lang w:val="en-GB"/>
        </w:rPr>
        <w:t xml:space="preserve"> by firm characteristics.</w:t>
      </w:r>
    </w:p>
    <w:p w:rsidR="00977FC8" w:rsidRPr="009F4A89" w:rsidRDefault="00977FC8" w:rsidP="003A4FF1">
      <w:pPr>
        <w:rPr>
          <w:lang w:val="en-GB"/>
        </w:rPr>
      </w:pPr>
      <w:r w:rsidRPr="009F4A89">
        <w:rPr>
          <w:lang w:val="en-GB"/>
        </w:rPr>
        <w:t>To measure the relative power of the different compensation types (i.e. stock-based, fixed salary, and bonus) an approach used by Bergstresser and Philippon (2006)</w:t>
      </w:r>
      <w:r w:rsidR="000D1D7C">
        <w:rPr>
          <w:lang w:val="en-GB"/>
        </w:rPr>
        <w:t xml:space="preserve"> will be adopted</w:t>
      </w:r>
      <w:r w:rsidRPr="009F4A89">
        <w:rPr>
          <w:lang w:val="en-GB"/>
        </w:rPr>
        <w:t xml:space="preserve">. </w:t>
      </w:r>
    </w:p>
    <w:p w:rsidR="00977FC8" w:rsidRPr="009F4A89" w:rsidRDefault="00977FC8" w:rsidP="007532EA">
      <w:pPr>
        <w:rPr>
          <w:lang w:val="en-GB"/>
        </w:rPr>
      </w:pPr>
    </w:p>
    <w:p w:rsidR="00977FC8" w:rsidRPr="009F4A89" w:rsidRDefault="00977FC8" w:rsidP="008A4019">
      <w:pPr>
        <w:rPr>
          <w:b/>
          <w:bCs/>
          <w:lang w:val="en-GB"/>
        </w:rPr>
      </w:pPr>
      <w:r w:rsidRPr="009F4A89">
        <w:rPr>
          <w:b/>
          <w:bCs/>
          <w:lang w:val="en-GB"/>
        </w:rPr>
        <w:t>Equity</w:t>
      </w:r>
    </w:p>
    <w:p w:rsidR="00977FC8" w:rsidRPr="009F4A89" w:rsidRDefault="00977FC8" w:rsidP="00BC26BC">
      <w:pPr>
        <w:autoSpaceDE w:val="0"/>
        <w:autoSpaceDN w:val="0"/>
        <w:adjustRightInd w:val="0"/>
        <w:rPr>
          <w:rFonts w:cs="Arial"/>
          <w:i/>
          <w:iCs/>
          <w:lang w:val="en-US" w:eastAsia="en-US" w:bidi="ar-SA"/>
        </w:rPr>
      </w:pPr>
      <w:r>
        <w:rPr>
          <w:rFonts w:cs="Arial"/>
          <w:lang w:val="en-US" w:eastAsia="en-US" w:bidi="ar-SA"/>
        </w:rPr>
        <w:t xml:space="preserve">First the </w:t>
      </w:r>
      <w:r w:rsidRPr="009F4A89">
        <w:rPr>
          <w:rFonts w:cs="Arial"/>
          <w:i/>
          <w:iCs/>
          <w:lang w:val="en-US" w:eastAsia="en-US" w:bidi="ar-SA"/>
        </w:rPr>
        <w:t>EQUITY_RATIO</w:t>
      </w:r>
      <w:r w:rsidRPr="009F4A89">
        <w:rPr>
          <w:rFonts w:cs="Arial"/>
          <w:i/>
          <w:iCs/>
          <w:vertAlign w:val="subscript"/>
          <w:lang w:val="en-US" w:eastAsia="en-US" w:bidi="ar-SA"/>
        </w:rPr>
        <w:t>i,t</w:t>
      </w:r>
      <w:r>
        <w:rPr>
          <w:rFonts w:cs="Arial"/>
          <w:i/>
          <w:iCs/>
          <w:lang w:val="en-US" w:eastAsia="en-US" w:bidi="ar-SA"/>
        </w:rPr>
        <w:t xml:space="preserve"> </w:t>
      </w:r>
      <w:r w:rsidRPr="00E9089B">
        <w:rPr>
          <w:rFonts w:cs="Arial"/>
          <w:iCs/>
          <w:lang w:val="en-US" w:eastAsia="en-US" w:bidi="ar-SA"/>
        </w:rPr>
        <w:t>will be</w:t>
      </w:r>
      <w:r>
        <w:rPr>
          <w:rFonts w:cs="Arial"/>
          <w:iCs/>
          <w:lang w:val="en-US" w:eastAsia="en-US" w:bidi="ar-SA"/>
        </w:rPr>
        <w:t xml:space="preserve"> constructed.</w:t>
      </w:r>
      <w:r w:rsidRPr="00E9089B">
        <w:rPr>
          <w:rFonts w:cs="Arial"/>
          <w:iCs/>
          <w:lang w:val="en-US" w:eastAsia="en-US" w:bidi="ar-SA"/>
        </w:rPr>
        <w:t xml:space="preserve"> </w:t>
      </w:r>
      <w:r w:rsidRPr="009F4A89">
        <w:rPr>
          <w:rFonts w:cs="Arial"/>
          <w:lang w:val="en-US" w:eastAsia="en-US" w:bidi="ar-SA"/>
        </w:rPr>
        <w:t>This</w:t>
      </w:r>
      <w:r>
        <w:rPr>
          <w:rFonts w:cs="Arial"/>
          <w:lang w:val="en-US" w:eastAsia="en-US" w:bidi="ar-SA"/>
        </w:rPr>
        <w:t xml:space="preserve"> </w:t>
      </w:r>
      <w:r w:rsidR="008E50CC">
        <w:rPr>
          <w:rFonts w:cs="Arial"/>
          <w:lang w:val="en-US" w:eastAsia="en-US" w:bidi="ar-SA"/>
        </w:rPr>
        <w:t>ratio</w:t>
      </w:r>
      <w:r w:rsidRPr="009F4A89">
        <w:rPr>
          <w:rFonts w:cs="Arial"/>
          <w:lang w:val="en-US" w:eastAsia="en-US" w:bidi="ar-SA"/>
        </w:rPr>
        <w:t xml:space="preserve"> measures the relative size of stock-based compensation in the overall compensation of the CEO of firm </w:t>
      </w:r>
      <w:r w:rsidRPr="009F4A89">
        <w:rPr>
          <w:rFonts w:cs="Arial"/>
          <w:i/>
          <w:iCs/>
          <w:lang w:val="en-US" w:eastAsia="en-US" w:bidi="ar-SA"/>
        </w:rPr>
        <w:t>i</w:t>
      </w:r>
      <w:r w:rsidRPr="009F4A89">
        <w:rPr>
          <w:rFonts w:cs="Arial"/>
          <w:lang w:val="en-US" w:eastAsia="en-US" w:bidi="ar-SA"/>
        </w:rPr>
        <w:t xml:space="preserve"> in year </w:t>
      </w:r>
      <w:r w:rsidRPr="009F4A89">
        <w:rPr>
          <w:rFonts w:cs="Arial"/>
          <w:i/>
          <w:iCs/>
          <w:lang w:val="en-US" w:eastAsia="en-US" w:bidi="ar-SA"/>
        </w:rPr>
        <w:t xml:space="preserve">t, </w:t>
      </w:r>
      <w:r w:rsidRPr="009F4A89">
        <w:rPr>
          <w:rFonts w:cs="Arial"/>
          <w:lang w:val="en-US" w:eastAsia="en-US" w:bidi="ar-SA"/>
        </w:rPr>
        <w:t>as shown below:</w:t>
      </w:r>
    </w:p>
    <w:p w:rsidR="00977FC8" w:rsidRPr="009F4A89" w:rsidRDefault="00977FC8" w:rsidP="009653A3">
      <w:pPr>
        <w:autoSpaceDE w:val="0"/>
        <w:autoSpaceDN w:val="0"/>
        <w:adjustRightInd w:val="0"/>
        <w:rPr>
          <w:rFonts w:cs="Arial"/>
          <w:i/>
          <w:iCs/>
          <w:lang w:val="en-US" w:eastAsia="en-US" w:bidi="ar-SA"/>
        </w:rPr>
      </w:pPr>
    </w:p>
    <w:p w:rsidR="00977FC8" w:rsidRPr="00CB5783" w:rsidRDefault="006D6941" w:rsidP="009653A3">
      <w:pPr>
        <w:autoSpaceDE w:val="0"/>
        <w:autoSpaceDN w:val="0"/>
        <w:adjustRightInd w:val="0"/>
        <w:rPr>
          <w:rFonts w:cs="Arial"/>
          <w:i/>
          <w:iCs/>
          <w:lang w:val="en-US" w:eastAsia="en-US" w:bidi="ar-SA"/>
        </w:rPr>
      </w:pPr>
      <m:oMathPara>
        <m:oMath>
          <m:sSub>
            <m:sSubPr>
              <m:ctrlPr>
                <w:rPr>
                  <w:rFonts w:ascii="Cambria Math" w:hAnsi="Cambria Math" w:cs="Arial"/>
                  <w:i/>
                  <w:iCs/>
                  <w:lang w:val="en-US" w:eastAsia="en-US" w:bidi="ar-SA"/>
                </w:rPr>
              </m:ctrlPr>
            </m:sSubPr>
            <m:e>
              <m:r>
                <w:rPr>
                  <w:rFonts w:ascii="Cambria Math" w:hAnsi="Cambria Math" w:cs="Arial"/>
                  <w:lang w:val="en-US" w:eastAsia="en-US" w:bidi="ar-SA"/>
                </w:rPr>
                <m:t>EQUITY_RATIO</m:t>
              </m:r>
            </m:e>
            <m:sub>
              <m:r>
                <w:rPr>
                  <w:rFonts w:ascii="Cambria Math" w:hAnsi="Cambria Math" w:cs="Arial"/>
                  <w:lang w:val="en-US" w:eastAsia="en-US" w:bidi="ar-SA"/>
                </w:rPr>
                <m:t>i,t</m:t>
              </m:r>
            </m:sub>
          </m:sSub>
          <m:r>
            <w:rPr>
              <w:rFonts w:ascii="Cambria Math" w:hAnsi="Cambria Math" w:cs="Arial"/>
              <w:lang w:val="en-US" w:eastAsia="en-US" w:bidi="ar-SA"/>
            </w:rPr>
            <m:t>=</m:t>
          </m:r>
          <m:f>
            <m:fPr>
              <m:ctrlPr>
                <w:rPr>
                  <w:rFonts w:ascii="Cambria Math" w:hAnsi="Cambria Math" w:cs="Arial"/>
                  <w:i/>
                  <w:iCs/>
                  <w:lang w:val="en-US" w:eastAsia="en-US" w:bidi="ar-SA"/>
                </w:rPr>
              </m:ctrlPr>
            </m:fPr>
            <m:num>
              <m:sSub>
                <m:sSubPr>
                  <m:ctrlPr>
                    <w:rPr>
                      <w:rFonts w:ascii="Cambria Math" w:hAnsi="Cambria Math" w:cs="Arial"/>
                      <w:i/>
                      <w:iCs/>
                      <w:lang w:val="en-US" w:eastAsia="en-US" w:bidi="ar-SA"/>
                    </w:rPr>
                  </m:ctrlPr>
                </m:sSubPr>
                <m:e>
                  <m:r>
                    <w:rPr>
                      <w:rFonts w:ascii="Cambria Math" w:hAnsi="Cambria Math" w:cs="Arial"/>
                      <w:lang w:val="en-US" w:eastAsia="en-US" w:bidi="ar-SA"/>
                    </w:rPr>
                    <m:t>STOCK</m:t>
                  </m:r>
                </m:e>
                <m:sub>
                  <m:r>
                    <w:rPr>
                      <w:rFonts w:ascii="Cambria Math" w:hAnsi="Cambria Math" w:cs="Arial"/>
                      <w:lang w:val="en-US" w:eastAsia="en-US" w:bidi="ar-SA"/>
                    </w:rPr>
                    <m:t>i,t</m:t>
                  </m:r>
                </m:sub>
              </m:sSub>
            </m:num>
            <m:den>
              <m:d>
                <m:dPr>
                  <m:ctrlPr>
                    <w:rPr>
                      <w:rFonts w:ascii="Cambria Math" w:hAnsi="Cambria Math" w:cs="Arial"/>
                      <w:i/>
                      <w:iCs/>
                      <w:lang w:val="en-US" w:eastAsia="en-US" w:bidi="ar-SA"/>
                    </w:rPr>
                  </m:ctrlPr>
                </m:dPr>
                <m:e>
                  <m:sSub>
                    <m:sSubPr>
                      <m:ctrlPr>
                        <w:rPr>
                          <w:rFonts w:ascii="Cambria Math" w:hAnsi="Cambria Math" w:cs="Arial"/>
                          <w:i/>
                          <w:iCs/>
                          <w:lang w:val="en-US" w:eastAsia="en-US" w:bidi="ar-SA"/>
                        </w:rPr>
                      </m:ctrlPr>
                    </m:sSubPr>
                    <m:e>
                      <m:r>
                        <w:rPr>
                          <w:rFonts w:ascii="Cambria Math" w:hAnsi="Cambria Math" w:cs="Arial"/>
                          <w:lang w:val="en-US" w:eastAsia="en-US" w:bidi="ar-SA"/>
                        </w:rPr>
                        <m:t>STOCK</m:t>
                      </m:r>
                    </m:e>
                    <m:sub>
                      <m:r>
                        <w:rPr>
                          <w:rFonts w:ascii="Cambria Math" w:hAnsi="Cambria Math" w:cs="Arial"/>
                          <w:lang w:val="en-US" w:eastAsia="en-US" w:bidi="ar-SA"/>
                        </w:rPr>
                        <m:t>i,t</m:t>
                      </m:r>
                    </m:sub>
                  </m:sSub>
                  <m:r>
                    <w:rPr>
                      <w:rFonts w:ascii="Cambria Math" w:hAnsi="Cambria Math" w:cs="Arial"/>
                      <w:lang w:val="en-US" w:eastAsia="en-US" w:bidi="ar-SA"/>
                    </w:rPr>
                    <m:t>+</m:t>
                  </m:r>
                  <m:sSub>
                    <m:sSubPr>
                      <m:ctrlPr>
                        <w:rPr>
                          <w:rFonts w:ascii="Cambria Math" w:hAnsi="Cambria Math" w:cs="Arial"/>
                          <w:i/>
                          <w:iCs/>
                          <w:lang w:val="en-US" w:eastAsia="en-US" w:bidi="ar-SA"/>
                        </w:rPr>
                      </m:ctrlPr>
                    </m:sSubPr>
                    <m:e>
                      <m:r>
                        <w:rPr>
                          <w:rFonts w:ascii="Cambria Math" w:hAnsi="Cambria Math" w:cs="Arial"/>
                          <w:lang w:val="en-US" w:eastAsia="en-US" w:bidi="ar-SA"/>
                        </w:rPr>
                        <m:t>SALARY</m:t>
                      </m:r>
                    </m:e>
                    <m:sub>
                      <m:r>
                        <w:rPr>
                          <w:rFonts w:ascii="Cambria Math" w:hAnsi="Cambria Math" w:cs="Arial"/>
                          <w:lang w:val="en-US" w:eastAsia="en-US" w:bidi="ar-SA"/>
                        </w:rPr>
                        <m:t>i,t</m:t>
                      </m:r>
                    </m:sub>
                  </m:sSub>
                  <m:r>
                    <w:rPr>
                      <w:rFonts w:ascii="Cambria Math" w:hAnsi="Cambria Math" w:cs="Arial"/>
                      <w:lang w:val="en-US" w:eastAsia="en-US" w:bidi="ar-SA"/>
                    </w:rPr>
                    <m:t>+</m:t>
                  </m:r>
                  <m:sSub>
                    <m:sSubPr>
                      <m:ctrlPr>
                        <w:rPr>
                          <w:rFonts w:ascii="Cambria Math" w:hAnsi="Cambria Math" w:cs="Arial"/>
                          <w:i/>
                          <w:iCs/>
                          <w:lang w:val="en-US" w:eastAsia="en-US" w:bidi="ar-SA"/>
                        </w:rPr>
                      </m:ctrlPr>
                    </m:sSubPr>
                    <m:e>
                      <m:r>
                        <w:rPr>
                          <w:rFonts w:ascii="Cambria Math" w:hAnsi="Cambria Math" w:cs="Arial"/>
                          <w:lang w:val="en-US" w:eastAsia="en-US" w:bidi="ar-SA"/>
                        </w:rPr>
                        <m:t>BONUS</m:t>
                      </m:r>
                    </m:e>
                    <m:sub>
                      <m:r>
                        <w:rPr>
                          <w:rFonts w:ascii="Cambria Math" w:hAnsi="Cambria Math" w:cs="Arial"/>
                          <w:lang w:val="en-US" w:eastAsia="en-US" w:bidi="ar-SA"/>
                        </w:rPr>
                        <m:t>i,t</m:t>
                      </m:r>
                    </m:sub>
                  </m:sSub>
                </m:e>
              </m:d>
            </m:den>
          </m:f>
        </m:oMath>
      </m:oMathPara>
    </w:p>
    <w:p w:rsidR="008E50CC" w:rsidRPr="00437F6B" w:rsidRDefault="00977FC8" w:rsidP="00437F6B">
      <w:pPr>
        <w:pStyle w:val="Caption"/>
      </w:pPr>
      <w:r w:rsidRPr="009F4A89">
        <w:t>(4-</w:t>
      </w:r>
      <w:r>
        <w:t>5</w:t>
      </w:r>
      <w:r w:rsidRPr="009F4A89">
        <w:t>)</w:t>
      </w:r>
    </w:p>
    <w:p w:rsidR="00977FC8" w:rsidRDefault="00977FC8" w:rsidP="00C779A8">
      <w:pPr>
        <w:jc w:val="left"/>
        <w:rPr>
          <w:rFonts w:cs="Arial"/>
          <w:lang w:val="en-US"/>
        </w:rPr>
      </w:pPr>
      <w:r w:rsidRPr="009F4A89">
        <w:rPr>
          <w:rFonts w:cs="Arial"/>
          <w:lang w:val="en-US"/>
        </w:rPr>
        <w:t>Where:</w:t>
      </w:r>
    </w:p>
    <w:p w:rsidR="008E50CC" w:rsidRPr="009F4A89" w:rsidRDefault="008E50CC" w:rsidP="00C779A8">
      <w:pPr>
        <w:jc w:val="left"/>
        <w:rPr>
          <w:rFonts w:cs="Arial"/>
          <w:lang w:val="en-US"/>
        </w:rPr>
      </w:pPr>
      <w:r>
        <w:rPr>
          <w:rFonts w:cs="Arial"/>
          <w:lang w:val="en-US"/>
        </w:rPr>
        <w:t>STOCK</w:t>
      </w:r>
      <w:r w:rsidRPr="009F4A89">
        <w:rPr>
          <w:rFonts w:cs="Arial"/>
          <w:vertAlign w:val="subscript"/>
          <w:lang w:val="en-US" w:eastAsia="en-US" w:bidi="ar-SA"/>
        </w:rPr>
        <w:t>i,t</w:t>
      </w:r>
      <w:r>
        <w:rPr>
          <w:rFonts w:cs="Arial"/>
          <w:vertAlign w:val="subscript"/>
          <w:lang w:val="en-US" w:eastAsia="en-US" w:bidi="ar-SA"/>
        </w:rPr>
        <w:tab/>
      </w:r>
      <w:r>
        <w:rPr>
          <w:rFonts w:cs="Arial"/>
          <w:vertAlign w:val="subscript"/>
          <w:lang w:val="en-US" w:eastAsia="en-US" w:bidi="ar-SA"/>
        </w:rPr>
        <w:tab/>
      </w:r>
      <w:r>
        <w:rPr>
          <w:rFonts w:cs="Arial"/>
          <w:lang w:val="en-US" w:eastAsia="en-US" w:bidi="ar-SA"/>
        </w:rPr>
        <w:t>Stock-based compensation</w:t>
      </w:r>
      <w:r w:rsidRPr="009F4A89">
        <w:rPr>
          <w:rFonts w:cs="Arial"/>
          <w:lang w:val="en-US" w:eastAsia="en-US" w:bidi="ar-SA"/>
        </w:rPr>
        <w:t xml:space="preserve"> of the CEO of firm </w:t>
      </w:r>
      <w:r w:rsidRPr="009F4A89">
        <w:rPr>
          <w:rFonts w:cs="Arial"/>
          <w:i/>
          <w:iCs/>
          <w:lang w:val="en-US" w:eastAsia="en-US" w:bidi="ar-SA"/>
        </w:rPr>
        <w:t>i</w:t>
      </w:r>
      <w:r w:rsidRPr="009F4A89">
        <w:rPr>
          <w:rFonts w:cs="Arial"/>
          <w:lang w:val="en-US" w:eastAsia="en-US" w:bidi="ar-SA"/>
        </w:rPr>
        <w:t xml:space="preserve"> in year </w:t>
      </w:r>
      <w:r w:rsidRPr="009F4A89">
        <w:rPr>
          <w:rFonts w:cs="Arial"/>
          <w:i/>
          <w:iCs/>
          <w:lang w:val="en-US" w:eastAsia="en-US" w:bidi="ar-SA"/>
        </w:rPr>
        <w:t>t</w:t>
      </w:r>
      <w:r>
        <w:rPr>
          <w:rFonts w:cs="Arial"/>
          <w:i/>
          <w:iCs/>
          <w:lang w:val="en-US" w:eastAsia="en-US" w:bidi="ar-SA"/>
        </w:rPr>
        <w:t>;</w:t>
      </w:r>
    </w:p>
    <w:p w:rsidR="00977FC8" w:rsidRPr="009F4A89" w:rsidRDefault="00977FC8" w:rsidP="00C779A8">
      <w:pPr>
        <w:jc w:val="left"/>
        <w:rPr>
          <w:rFonts w:cs="Arial"/>
          <w:lang w:val="en-US"/>
        </w:rPr>
      </w:pPr>
      <w:r w:rsidRPr="009F4A89">
        <w:rPr>
          <w:rFonts w:cs="Arial"/>
          <w:lang w:val="en-US" w:eastAsia="en-US" w:bidi="ar-SA"/>
        </w:rPr>
        <w:lastRenderedPageBreak/>
        <w:t>SALARY</w:t>
      </w:r>
      <w:r w:rsidRPr="009F4A89">
        <w:rPr>
          <w:rFonts w:cs="Arial"/>
          <w:vertAlign w:val="subscript"/>
          <w:lang w:val="en-US" w:eastAsia="en-US" w:bidi="ar-SA"/>
        </w:rPr>
        <w:t>i,t</w:t>
      </w:r>
      <w:r w:rsidRPr="009F4A89">
        <w:rPr>
          <w:rFonts w:cs="Arial"/>
          <w:vertAlign w:val="subscript"/>
          <w:lang w:val="en-US" w:eastAsia="en-US" w:bidi="ar-SA"/>
        </w:rPr>
        <w:tab/>
      </w:r>
      <w:r w:rsidRPr="009F4A89">
        <w:rPr>
          <w:rFonts w:cs="Arial"/>
          <w:vertAlign w:val="subscript"/>
          <w:lang w:val="en-US" w:eastAsia="en-US" w:bidi="ar-SA"/>
        </w:rPr>
        <w:tab/>
      </w:r>
      <w:r w:rsidRPr="009F4A89">
        <w:rPr>
          <w:rFonts w:cs="Arial"/>
          <w:lang w:val="en-US" w:eastAsia="en-US" w:bidi="ar-SA"/>
        </w:rPr>
        <w:t xml:space="preserve">Fixed salary of the CEO of firm </w:t>
      </w:r>
      <w:r w:rsidRPr="009F4A89">
        <w:rPr>
          <w:rFonts w:cs="Arial"/>
          <w:i/>
          <w:iCs/>
          <w:lang w:val="en-US" w:eastAsia="en-US" w:bidi="ar-SA"/>
        </w:rPr>
        <w:t>i</w:t>
      </w:r>
      <w:r w:rsidRPr="009F4A89">
        <w:rPr>
          <w:rFonts w:cs="Arial"/>
          <w:lang w:val="en-US" w:eastAsia="en-US" w:bidi="ar-SA"/>
        </w:rPr>
        <w:t xml:space="preserve"> in year </w:t>
      </w:r>
      <w:r w:rsidRPr="009F4A89">
        <w:rPr>
          <w:rFonts w:cs="Arial"/>
          <w:i/>
          <w:iCs/>
          <w:lang w:val="en-US" w:eastAsia="en-US" w:bidi="ar-SA"/>
        </w:rPr>
        <w:t>t</w:t>
      </w:r>
      <w:r w:rsidR="008E50CC">
        <w:rPr>
          <w:rFonts w:cs="Arial"/>
          <w:i/>
          <w:iCs/>
          <w:lang w:val="en-US" w:eastAsia="en-US" w:bidi="ar-SA"/>
        </w:rPr>
        <w:t>;</w:t>
      </w:r>
    </w:p>
    <w:p w:rsidR="00977FC8" w:rsidRPr="009F4A89" w:rsidRDefault="00977FC8" w:rsidP="00C779A8">
      <w:pPr>
        <w:jc w:val="left"/>
        <w:rPr>
          <w:rFonts w:cs="Arial"/>
          <w:lang w:val="en-US"/>
        </w:rPr>
      </w:pPr>
      <w:r w:rsidRPr="009F4A89">
        <w:rPr>
          <w:rFonts w:cs="Arial"/>
          <w:lang w:val="en-US" w:eastAsia="en-US" w:bidi="ar-SA"/>
        </w:rPr>
        <w:t>BONUS</w:t>
      </w:r>
      <w:r w:rsidRPr="009F4A89">
        <w:rPr>
          <w:rFonts w:cs="Arial"/>
          <w:vertAlign w:val="subscript"/>
          <w:lang w:val="en-US" w:eastAsia="en-US" w:bidi="ar-SA"/>
        </w:rPr>
        <w:t>i,t</w:t>
      </w:r>
      <w:r w:rsidRPr="009F4A89">
        <w:rPr>
          <w:rFonts w:cs="Arial"/>
          <w:vertAlign w:val="subscript"/>
          <w:lang w:val="en-US" w:eastAsia="en-US" w:bidi="ar-SA"/>
        </w:rPr>
        <w:tab/>
      </w:r>
      <w:r w:rsidRPr="009F4A89">
        <w:rPr>
          <w:rFonts w:cs="Arial"/>
          <w:vertAlign w:val="subscript"/>
          <w:lang w:val="en-US" w:eastAsia="en-US" w:bidi="ar-SA"/>
        </w:rPr>
        <w:tab/>
      </w:r>
      <w:r w:rsidRPr="009F4A89">
        <w:rPr>
          <w:rFonts w:cs="Arial"/>
          <w:lang w:val="en-US" w:eastAsia="en-US" w:bidi="ar-SA"/>
        </w:rPr>
        <w:t>Bonus</w:t>
      </w:r>
      <w:r w:rsidR="008E50CC">
        <w:rPr>
          <w:rFonts w:cs="Arial"/>
          <w:lang w:val="en-US" w:eastAsia="en-US" w:bidi="ar-SA"/>
        </w:rPr>
        <w:t xml:space="preserve"> compensation</w:t>
      </w:r>
      <w:r w:rsidRPr="009F4A89">
        <w:rPr>
          <w:rFonts w:cs="Arial"/>
          <w:lang w:val="en-US" w:eastAsia="en-US" w:bidi="ar-SA"/>
        </w:rPr>
        <w:t xml:space="preserve"> of the CEO of firm </w:t>
      </w:r>
      <w:r w:rsidRPr="009F4A89">
        <w:rPr>
          <w:rFonts w:cs="Arial"/>
          <w:i/>
          <w:iCs/>
          <w:lang w:val="en-US" w:eastAsia="en-US" w:bidi="ar-SA"/>
        </w:rPr>
        <w:t>i</w:t>
      </w:r>
      <w:r w:rsidRPr="009F4A89">
        <w:rPr>
          <w:rFonts w:cs="Arial"/>
          <w:lang w:val="en-US" w:eastAsia="en-US" w:bidi="ar-SA"/>
        </w:rPr>
        <w:t xml:space="preserve"> in year </w:t>
      </w:r>
      <w:r w:rsidRPr="009F4A89">
        <w:rPr>
          <w:rFonts w:cs="Arial"/>
          <w:i/>
          <w:iCs/>
          <w:lang w:val="en-US" w:eastAsia="en-US" w:bidi="ar-SA"/>
        </w:rPr>
        <w:t>t</w:t>
      </w:r>
      <w:r w:rsidR="008E50CC">
        <w:rPr>
          <w:rFonts w:cs="Arial"/>
          <w:i/>
          <w:iCs/>
          <w:lang w:val="en-US" w:eastAsia="en-US" w:bidi="ar-SA"/>
        </w:rPr>
        <w:t>.</w:t>
      </w:r>
    </w:p>
    <w:p w:rsidR="00977FC8" w:rsidRDefault="00977FC8" w:rsidP="00AF2DE5">
      <w:pPr>
        <w:rPr>
          <w:rFonts w:cs="Arial"/>
          <w:b/>
          <w:bCs/>
          <w:lang w:val="en-US"/>
        </w:rPr>
      </w:pPr>
    </w:p>
    <w:p w:rsidR="00977FC8" w:rsidRPr="009F4A89" w:rsidRDefault="00977FC8" w:rsidP="00AF2DE5">
      <w:pPr>
        <w:rPr>
          <w:rFonts w:cs="Arial"/>
          <w:b/>
          <w:bCs/>
          <w:lang w:val="en-US"/>
        </w:rPr>
      </w:pPr>
      <w:r w:rsidRPr="009F4A89">
        <w:rPr>
          <w:rFonts w:cs="Arial"/>
          <w:b/>
          <w:bCs/>
          <w:lang w:val="en-US"/>
        </w:rPr>
        <w:t>Salary</w:t>
      </w:r>
    </w:p>
    <w:p w:rsidR="00977FC8" w:rsidRPr="009F4A89" w:rsidRDefault="00977FC8" w:rsidP="002512EF">
      <w:pPr>
        <w:autoSpaceDE w:val="0"/>
        <w:autoSpaceDN w:val="0"/>
        <w:adjustRightInd w:val="0"/>
        <w:rPr>
          <w:rFonts w:cs="Arial"/>
          <w:lang w:val="en-US" w:eastAsia="en-US" w:bidi="ar-SA"/>
        </w:rPr>
      </w:pPr>
      <w:r w:rsidRPr="009F4A89">
        <w:rPr>
          <w:rFonts w:cs="Arial"/>
          <w:lang w:val="en-US" w:eastAsia="en-US" w:bidi="ar-SA"/>
        </w:rPr>
        <w:t>Second, the salary element of compensation</w:t>
      </w:r>
      <w:r>
        <w:rPr>
          <w:rFonts w:cs="Arial"/>
          <w:lang w:val="en-US" w:eastAsia="en-US" w:bidi="ar-SA"/>
        </w:rPr>
        <w:t xml:space="preserve"> will be measured</w:t>
      </w:r>
      <w:r w:rsidRPr="009F4A89">
        <w:rPr>
          <w:rFonts w:cs="Arial"/>
          <w:lang w:val="en-US" w:eastAsia="en-US" w:bidi="ar-SA"/>
        </w:rPr>
        <w:t xml:space="preserve">. This </w:t>
      </w:r>
      <w:r w:rsidR="008E50CC">
        <w:rPr>
          <w:rFonts w:cs="Arial"/>
          <w:lang w:val="en-US" w:eastAsia="en-US" w:bidi="ar-SA"/>
        </w:rPr>
        <w:t>ratio</w:t>
      </w:r>
      <w:r w:rsidRPr="009F4A89">
        <w:rPr>
          <w:rFonts w:cs="Arial"/>
          <w:lang w:val="en-US" w:eastAsia="en-US" w:bidi="ar-SA"/>
        </w:rPr>
        <w:t xml:space="preserve"> measures the relative size of fixed salary in the overall compensation of the CEO of firm </w:t>
      </w:r>
      <w:r w:rsidRPr="009F4A89">
        <w:rPr>
          <w:rFonts w:cs="Arial"/>
          <w:i/>
          <w:iCs/>
          <w:lang w:val="en-US" w:eastAsia="en-US" w:bidi="ar-SA"/>
        </w:rPr>
        <w:t>i</w:t>
      </w:r>
      <w:r w:rsidRPr="009F4A89">
        <w:rPr>
          <w:rFonts w:cs="Arial"/>
          <w:lang w:val="en-US" w:eastAsia="en-US" w:bidi="ar-SA"/>
        </w:rPr>
        <w:t xml:space="preserve"> in year </w:t>
      </w:r>
      <w:r w:rsidRPr="009F4A89">
        <w:rPr>
          <w:rFonts w:cs="Arial"/>
          <w:i/>
          <w:iCs/>
          <w:lang w:val="en-US" w:eastAsia="en-US" w:bidi="ar-SA"/>
        </w:rPr>
        <w:t>t</w:t>
      </w:r>
      <w:r w:rsidRPr="009F4A89">
        <w:rPr>
          <w:rFonts w:cs="Arial"/>
          <w:lang w:val="en-US" w:eastAsia="en-US" w:bidi="ar-SA"/>
        </w:rPr>
        <w:t>:</w:t>
      </w:r>
    </w:p>
    <w:p w:rsidR="00977FC8" w:rsidRPr="009F4A89" w:rsidRDefault="00977FC8" w:rsidP="002512EF">
      <w:pPr>
        <w:autoSpaceDE w:val="0"/>
        <w:autoSpaceDN w:val="0"/>
        <w:adjustRightInd w:val="0"/>
        <w:rPr>
          <w:rFonts w:cs="Arial"/>
          <w:lang w:val="en-US" w:eastAsia="en-US" w:bidi="ar-SA"/>
        </w:rPr>
      </w:pPr>
    </w:p>
    <w:p w:rsidR="00977FC8" w:rsidRPr="00CB5783" w:rsidRDefault="006D6941" w:rsidP="00AF2DE5">
      <w:pPr>
        <w:autoSpaceDE w:val="0"/>
        <w:autoSpaceDN w:val="0"/>
        <w:adjustRightInd w:val="0"/>
        <w:rPr>
          <w:rFonts w:cs="Arial"/>
          <w:lang w:val="en-US" w:eastAsia="en-US" w:bidi="ar-SA"/>
        </w:rPr>
      </w:pPr>
      <m:oMathPara>
        <m:oMath>
          <m:sSub>
            <m:sSubPr>
              <m:ctrlPr>
                <w:rPr>
                  <w:rFonts w:ascii="Cambria Math" w:hAnsi="Cambria Math" w:cs="Arial"/>
                  <w:i/>
                  <w:iCs/>
                  <w:lang w:val="en-US" w:eastAsia="en-US" w:bidi="ar-SA"/>
                </w:rPr>
              </m:ctrlPr>
            </m:sSubPr>
            <m:e>
              <m:r>
                <w:rPr>
                  <w:rFonts w:ascii="Cambria Math" w:hAnsi="Cambria Math" w:cs="Arial"/>
                  <w:lang w:val="en-US" w:eastAsia="en-US" w:bidi="ar-SA"/>
                </w:rPr>
                <m:t>SALARY_RATIO</m:t>
              </m:r>
            </m:e>
            <m:sub>
              <m:r>
                <w:rPr>
                  <w:rFonts w:ascii="Cambria Math" w:hAnsi="Cambria Math" w:cs="Arial"/>
                  <w:lang w:val="en-US" w:eastAsia="en-US" w:bidi="ar-SA"/>
                </w:rPr>
                <m:t>i,t</m:t>
              </m:r>
            </m:sub>
          </m:sSub>
          <m:r>
            <w:rPr>
              <w:rFonts w:ascii="Cambria Math" w:hAnsi="Cambria Math" w:cs="Arial"/>
              <w:lang w:val="en-US" w:eastAsia="en-US" w:bidi="ar-SA"/>
            </w:rPr>
            <m:t>=</m:t>
          </m:r>
          <m:f>
            <m:fPr>
              <m:ctrlPr>
                <w:rPr>
                  <w:rFonts w:ascii="Cambria Math" w:hAnsi="Cambria Math" w:cs="Arial"/>
                  <w:i/>
                  <w:iCs/>
                  <w:lang w:val="en-US" w:eastAsia="en-US" w:bidi="ar-SA"/>
                </w:rPr>
              </m:ctrlPr>
            </m:fPr>
            <m:num>
              <m:sSub>
                <m:sSubPr>
                  <m:ctrlPr>
                    <w:rPr>
                      <w:rFonts w:ascii="Cambria Math" w:hAnsi="Cambria Math" w:cs="Arial"/>
                      <w:i/>
                      <w:iCs/>
                      <w:lang w:val="en-US" w:eastAsia="en-US" w:bidi="ar-SA"/>
                    </w:rPr>
                  </m:ctrlPr>
                </m:sSubPr>
                <m:e>
                  <m:r>
                    <w:rPr>
                      <w:rFonts w:ascii="Cambria Math" w:hAnsi="Cambria Math" w:cs="Arial"/>
                      <w:lang w:val="en-US" w:eastAsia="en-US" w:bidi="ar-SA"/>
                    </w:rPr>
                    <m:t>SALARY</m:t>
                  </m:r>
                </m:e>
                <m:sub>
                  <m:r>
                    <w:rPr>
                      <w:rFonts w:ascii="Cambria Math" w:hAnsi="Cambria Math" w:cs="Arial"/>
                      <w:lang w:val="en-US" w:eastAsia="en-US" w:bidi="ar-SA"/>
                    </w:rPr>
                    <m:t>i,t</m:t>
                  </m:r>
                </m:sub>
              </m:sSub>
            </m:num>
            <m:den>
              <m:d>
                <m:dPr>
                  <m:ctrlPr>
                    <w:rPr>
                      <w:rFonts w:ascii="Cambria Math" w:hAnsi="Cambria Math" w:cs="Arial"/>
                      <w:i/>
                      <w:iCs/>
                      <w:lang w:val="en-US" w:eastAsia="en-US" w:bidi="ar-SA"/>
                    </w:rPr>
                  </m:ctrlPr>
                </m:dPr>
                <m:e>
                  <m:sSub>
                    <m:sSubPr>
                      <m:ctrlPr>
                        <w:rPr>
                          <w:rFonts w:ascii="Cambria Math" w:hAnsi="Cambria Math" w:cs="Arial"/>
                          <w:i/>
                          <w:iCs/>
                          <w:lang w:val="en-US" w:eastAsia="en-US" w:bidi="ar-SA"/>
                        </w:rPr>
                      </m:ctrlPr>
                    </m:sSubPr>
                    <m:e>
                      <m:r>
                        <w:rPr>
                          <w:rFonts w:ascii="Cambria Math" w:hAnsi="Cambria Math" w:cs="Arial"/>
                          <w:lang w:val="en-US" w:eastAsia="en-US" w:bidi="ar-SA"/>
                        </w:rPr>
                        <m:t>STOCK</m:t>
                      </m:r>
                    </m:e>
                    <m:sub>
                      <m:r>
                        <w:rPr>
                          <w:rFonts w:ascii="Cambria Math" w:hAnsi="Cambria Math" w:cs="Arial"/>
                          <w:lang w:val="en-US" w:eastAsia="en-US" w:bidi="ar-SA"/>
                        </w:rPr>
                        <m:t>i,t</m:t>
                      </m:r>
                    </m:sub>
                  </m:sSub>
                  <m:r>
                    <w:rPr>
                      <w:rFonts w:ascii="Cambria Math" w:hAnsi="Cambria Math" w:cs="Arial"/>
                      <w:lang w:val="en-US" w:eastAsia="en-US" w:bidi="ar-SA"/>
                    </w:rPr>
                    <m:t>+</m:t>
                  </m:r>
                  <m:sSub>
                    <m:sSubPr>
                      <m:ctrlPr>
                        <w:rPr>
                          <w:rFonts w:ascii="Cambria Math" w:hAnsi="Cambria Math" w:cs="Arial"/>
                          <w:i/>
                          <w:iCs/>
                          <w:lang w:val="en-US" w:eastAsia="en-US" w:bidi="ar-SA"/>
                        </w:rPr>
                      </m:ctrlPr>
                    </m:sSubPr>
                    <m:e>
                      <m:r>
                        <w:rPr>
                          <w:rFonts w:ascii="Cambria Math" w:hAnsi="Cambria Math" w:cs="Arial"/>
                          <w:lang w:val="en-US" w:eastAsia="en-US" w:bidi="ar-SA"/>
                        </w:rPr>
                        <m:t>SALARY</m:t>
                      </m:r>
                    </m:e>
                    <m:sub>
                      <m:r>
                        <w:rPr>
                          <w:rFonts w:ascii="Cambria Math" w:hAnsi="Cambria Math" w:cs="Arial"/>
                          <w:lang w:val="en-US" w:eastAsia="en-US" w:bidi="ar-SA"/>
                        </w:rPr>
                        <m:t>i,t</m:t>
                      </m:r>
                    </m:sub>
                  </m:sSub>
                  <m:r>
                    <w:rPr>
                      <w:rFonts w:ascii="Cambria Math" w:hAnsi="Cambria Math" w:cs="Arial"/>
                      <w:lang w:val="en-US" w:eastAsia="en-US" w:bidi="ar-SA"/>
                    </w:rPr>
                    <m:t>+</m:t>
                  </m:r>
                  <m:sSub>
                    <m:sSubPr>
                      <m:ctrlPr>
                        <w:rPr>
                          <w:rFonts w:ascii="Cambria Math" w:hAnsi="Cambria Math" w:cs="Arial"/>
                          <w:i/>
                          <w:iCs/>
                          <w:lang w:val="en-US" w:eastAsia="en-US" w:bidi="ar-SA"/>
                        </w:rPr>
                      </m:ctrlPr>
                    </m:sSubPr>
                    <m:e>
                      <m:r>
                        <w:rPr>
                          <w:rFonts w:ascii="Cambria Math" w:hAnsi="Cambria Math" w:cs="Arial"/>
                          <w:lang w:val="en-US" w:eastAsia="en-US" w:bidi="ar-SA"/>
                        </w:rPr>
                        <m:t>BONUS</m:t>
                      </m:r>
                    </m:e>
                    <m:sub>
                      <m:r>
                        <w:rPr>
                          <w:rFonts w:ascii="Cambria Math" w:hAnsi="Cambria Math" w:cs="Arial"/>
                          <w:lang w:val="en-US" w:eastAsia="en-US" w:bidi="ar-SA"/>
                        </w:rPr>
                        <m:t>i,t</m:t>
                      </m:r>
                    </m:sub>
                  </m:sSub>
                </m:e>
              </m:d>
            </m:den>
          </m:f>
        </m:oMath>
      </m:oMathPara>
    </w:p>
    <w:p w:rsidR="00977FC8" w:rsidRPr="009F4A89" w:rsidRDefault="00977FC8" w:rsidP="00AF2DE5">
      <w:pPr>
        <w:pStyle w:val="Caption"/>
        <w:rPr>
          <w:rFonts w:cs="Arial"/>
          <w:i/>
          <w:iCs/>
          <w:lang w:val="en-US" w:eastAsia="en-US" w:bidi="ar-SA"/>
        </w:rPr>
      </w:pPr>
      <w:r w:rsidRPr="009F4A89">
        <w:t xml:space="preserve"> (4-</w:t>
      </w:r>
      <w:r>
        <w:t>6</w:t>
      </w:r>
      <w:r w:rsidRPr="009F4A89">
        <w:t>)</w:t>
      </w:r>
    </w:p>
    <w:p w:rsidR="00977FC8" w:rsidRPr="009F4A89" w:rsidRDefault="00977FC8" w:rsidP="00AF2DE5">
      <w:pPr>
        <w:autoSpaceDE w:val="0"/>
        <w:autoSpaceDN w:val="0"/>
        <w:adjustRightInd w:val="0"/>
        <w:rPr>
          <w:rFonts w:cs="Arial"/>
          <w:b/>
          <w:bCs/>
          <w:lang w:val="en-US" w:eastAsia="en-US" w:bidi="ar-SA"/>
        </w:rPr>
      </w:pPr>
      <w:r w:rsidRPr="009F4A89">
        <w:rPr>
          <w:rFonts w:cs="Arial"/>
          <w:b/>
          <w:bCs/>
          <w:lang w:val="en-US" w:eastAsia="en-US" w:bidi="ar-SA"/>
        </w:rPr>
        <w:t>Bonus</w:t>
      </w:r>
    </w:p>
    <w:p w:rsidR="00977FC8" w:rsidRPr="009F4A89" w:rsidRDefault="00977FC8" w:rsidP="002512EF">
      <w:pPr>
        <w:rPr>
          <w:rFonts w:cs="Arial"/>
          <w:lang w:val="en-US" w:eastAsia="en-US" w:bidi="ar-SA"/>
        </w:rPr>
      </w:pPr>
      <w:r w:rsidRPr="009F4A89">
        <w:rPr>
          <w:rFonts w:cs="Arial"/>
          <w:lang w:val="en-US" w:eastAsia="en-US" w:bidi="ar-SA"/>
        </w:rPr>
        <w:t>Finally, a measure for the bonus-incentives</w:t>
      </w:r>
      <w:r>
        <w:rPr>
          <w:rFonts w:cs="Arial"/>
          <w:lang w:val="en-US" w:eastAsia="en-US" w:bidi="ar-SA"/>
        </w:rPr>
        <w:t xml:space="preserve"> is constructed</w:t>
      </w:r>
      <w:r w:rsidRPr="009F4A89">
        <w:rPr>
          <w:rFonts w:cs="Arial"/>
          <w:lang w:val="en-US" w:eastAsia="en-US" w:bidi="ar-SA"/>
        </w:rPr>
        <w:t>. This measure calculate</w:t>
      </w:r>
      <w:r>
        <w:rPr>
          <w:rFonts w:cs="Arial"/>
          <w:lang w:val="en-US" w:eastAsia="en-US" w:bidi="ar-SA"/>
        </w:rPr>
        <w:t>s</w:t>
      </w:r>
      <w:r w:rsidRPr="009F4A89">
        <w:rPr>
          <w:rFonts w:cs="Arial"/>
          <w:lang w:val="en-US" w:eastAsia="en-US" w:bidi="ar-SA"/>
        </w:rPr>
        <w:t xml:space="preserve"> the relative size of bonus compensation in the overall compensation of the CEO of firm </w:t>
      </w:r>
      <w:r w:rsidRPr="009F4A89">
        <w:rPr>
          <w:rFonts w:cs="Arial"/>
          <w:i/>
          <w:iCs/>
          <w:lang w:val="en-US" w:eastAsia="en-US" w:bidi="ar-SA"/>
        </w:rPr>
        <w:t>i</w:t>
      </w:r>
      <w:r w:rsidRPr="009F4A89">
        <w:rPr>
          <w:rFonts w:cs="Arial"/>
          <w:lang w:val="en-US" w:eastAsia="en-US" w:bidi="ar-SA"/>
        </w:rPr>
        <w:t xml:space="preserve"> in year </w:t>
      </w:r>
      <w:r w:rsidRPr="009F4A89">
        <w:rPr>
          <w:rFonts w:cs="Arial"/>
          <w:i/>
          <w:iCs/>
          <w:lang w:val="en-US" w:eastAsia="en-US" w:bidi="ar-SA"/>
        </w:rPr>
        <w:t>t</w:t>
      </w:r>
      <w:r w:rsidRPr="009F4A89">
        <w:rPr>
          <w:rFonts w:cs="Arial"/>
          <w:lang w:val="en-US" w:eastAsia="en-US" w:bidi="ar-SA"/>
        </w:rPr>
        <w:t>:</w:t>
      </w:r>
    </w:p>
    <w:p w:rsidR="00977FC8" w:rsidRPr="009F4A89" w:rsidRDefault="00977FC8" w:rsidP="002512EF">
      <w:pPr>
        <w:rPr>
          <w:rFonts w:cs="Arial"/>
          <w:lang w:val="en-US" w:eastAsia="en-US" w:bidi="ar-SA"/>
        </w:rPr>
      </w:pPr>
    </w:p>
    <w:p w:rsidR="00977FC8" w:rsidRPr="00CB5783" w:rsidRDefault="006D6941" w:rsidP="000F38D6">
      <w:pPr>
        <w:rPr>
          <w:rFonts w:cs="Arial"/>
          <w:lang w:val="en-US" w:eastAsia="en-US" w:bidi="ar-SA"/>
        </w:rPr>
      </w:pPr>
      <m:oMathPara>
        <m:oMath>
          <m:sSub>
            <m:sSubPr>
              <m:ctrlPr>
                <w:rPr>
                  <w:rFonts w:ascii="Cambria Math" w:hAnsi="Cambria Math" w:cs="Arial"/>
                  <w:i/>
                  <w:iCs/>
                  <w:lang w:val="en-US" w:eastAsia="en-US" w:bidi="ar-SA"/>
                </w:rPr>
              </m:ctrlPr>
            </m:sSubPr>
            <m:e>
              <m:r>
                <w:rPr>
                  <w:rFonts w:ascii="Cambria Math" w:hAnsi="Cambria Math" w:cs="Arial"/>
                  <w:lang w:val="en-US" w:eastAsia="en-US" w:bidi="ar-SA"/>
                </w:rPr>
                <m:t>BONUS_RATIO</m:t>
              </m:r>
            </m:e>
            <m:sub>
              <m:r>
                <w:rPr>
                  <w:rFonts w:ascii="Cambria Math" w:hAnsi="Cambria Math" w:cs="Arial"/>
                  <w:lang w:val="en-US" w:eastAsia="en-US" w:bidi="ar-SA"/>
                </w:rPr>
                <m:t>i,t</m:t>
              </m:r>
            </m:sub>
          </m:sSub>
          <m:r>
            <w:rPr>
              <w:rFonts w:ascii="Cambria Math" w:hAnsi="Cambria Math" w:cs="Arial"/>
              <w:lang w:val="en-US" w:eastAsia="en-US" w:bidi="ar-SA"/>
            </w:rPr>
            <m:t>=</m:t>
          </m:r>
          <m:f>
            <m:fPr>
              <m:ctrlPr>
                <w:rPr>
                  <w:rFonts w:ascii="Cambria Math" w:hAnsi="Cambria Math" w:cs="Arial"/>
                  <w:i/>
                  <w:iCs/>
                  <w:lang w:val="en-US" w:eastAsia="en-US" w:bidi="ar-SA"/>
                </w:rPr>
              </m:ctrlPr>
            </m:fPr>
            <m:num>
              <m:sSub>
                <m:sSubPr>
                  <m:ctrlPr>
                    <w:rPr>
                      <w:rFonts w:ascii="Cambria Math" w:hAnsi="Cambria Math" w:cs="Arial"/>
                      <w:i/>
                      <w:iCs/>
                      <w:lang w:val="en-US" w:eastAsia="en-US" w:bidi="ar-SA"/>
                    </w:rPr>
                  </m:ctrlPr>
                </m:sSubPr>
                <m:e>
                  <m:r>
                    <w:rPr>
                      <w:rFonts w:ascii="Cambria Math" w:hAnsi="Cambria Math" w:cs="Arial"/>
                      <w:lang w:val="en-US" w:eastAsia="en-US" w:bidi="ar-SA"/>
                    </w:rPr>
                    <m:t>BONUS</m:t>
                  </m:r>
                </m:e>
                <m:sub>
                  <m:r>
                    <w:rPr>
                      <w:rFonts w:ascii="Cambria Math" w:hAnsi="Cambria Math" w:cs="Arial"/>
                      <w:lang w:val="en-US" w:eastAsia="en-US" w:bidi="ar-SA"/>
                    </w:rPr>
                    <m:t>i,t</m:t>
                  </m:r>
                </m:sub>
              </m:sSub>
            </m:num>
            <m:den>
              <m:d>
                <m:dPr>
                  <m:ctrlPr>
                    <w:rPr>
                      <w:rFonts w:ascii="Cambria Math" w:hAnsi="Cambria Math" w:cs="Arial"/>
                      <w:i/>
                      <w:iCs/>
                      <w:lang w:val="en-US" w:eastAsia="en-US" w:bidi="ar-SA"/>
                    </w:rPr>
                  </m:ctrlPr>
                </m:dPr>
                <m:e>
                  <m:sSub>
                    <m:sSubPr>
                      <m:ctrlPr>
                        <w:rPr>
                          <w:rFonts w:ascii="Cambria Math" w:hAnsi="Cambria Math" w:cs="Arial"/>
                          <w:i/>
                          <w:iCs/>
                          <w:lang w:val="en-US" w:eastAsia="en-US" w:bidi="ar-SA"/>
                        </w:rPr>
                      </m:ctrlPr>
                    </m:sSubPr>
                    <m:e>
                      <m:r>
                        <w:rPr>
                          <w:rFonts w:ascii="Cambria Math" w:hAnsi="Cambria Math" w:cs="Arial"/>
                          <w:lang w:val="en-US" w:eastAsia="en-US" w:bidi="ar-SA"/>
                        </w:rPr>
                        <m:t>STOCK</m:t>
                      </m:r>
                    </m:e>
                    <m:sub>
                      <m:r>
                        <w:rPr>
                          <w:rFonts w:ascii="Cambria Math" w:hAnsi="Cambria Math" w:cs="Arial"/>
                          <w:lang w:val="en-US" w:eastAsia="en-US" w:bidi="ar-SA"/>
                        </w:rPr>
                        <m:t>i,t</m:t>
                      </m:r>
                    </m:sub>
                  </m:sSub>
                  <m:r>
                    <w:rPr>
                      <w:rFonts w:ascii="Cambria Math" w:hAnsi="Cambria Math" w:cs="Arial"/>
                      <w:lang w:val="en-US" w:eastAsia="en-US" w:bidi="ar-SA"/>
                    </w:rPr>
                    <m:t>+</m:t>
                  </m:r>
                  <m:sSub>
                    <m:sSubPr>
                      <m:ctrlPr>
                        <w:rPr>
                          <w:rFonts w:ascii="Cambria Math" w:hAnsi="Cambria Math" w:cs="Arial"/>
                          <w:i/>
                          <w:iCs/>
                          <w:lang w:val="en-US" w:eastAsia="en-US" w:bidi="ar-SA"/>
                        </w:rPr>
                      </m:ctrlPr>
                    </m:sSubPr>
                    <m:e>
                      <m:r>
                        <w:rPr>
                          <w:rFonts w:ascii="Cambria Math" w:hAnsi="Cambria Math" w:cs="Arial"/>
                          <w:lang w:val="en-US" w:eastAsia="en-US" w:bidi="ar-SA"/>
                        </w:rPr>
                        <m:t>SALARY</m:t>
                      </m:r>
                    </m:e>
                    <m:sub>
                      <m:r>
                        <w:rPr>
                          <w:rFonts w:ascii="Cambria Math" w:hAnsi="Cambria Math" w:cs="Arial"/>
                          <w:lang w:val="en-US" w:eastAsia="en-US" w:bidi="ar-SA"/>
                        </w:rPr>
                        <m:t>i,t</m:t>
                      </m:r>
                    </m:sub>
                  </m:sSub>
                  <m:r>
                    <w:rPr>
                      <w:rFonts w:ascii="Cambria Math" w:hAnsi="Cambria Math" w:cs="Arial"/>
                      <w:lang w:val="en-US" w:eastAsia="en-US" w:bidi="ar-SA"/>
                    </w:rPr>
                    <m:t>+</m:t>
                  </m:r>
                  <m:sSub>
                    <m:sSubPr>
                      <m:ctrlPr>
                        <w:rPr>
                          <w:rFonts w:ascii="Cambria Math" w:hAnsi="Cambria Math" w:cs="Arial"/>
                          <w:i/>
                          <w:iCs/>
                          <w:lang w:val="en-US" w:eastAsia="en-US" w:bidi="ar-SA"/>
                        </w:rPr>
                      </m:ctrlPr>
                    </m:sSubPr>
                    <m:e>
                      <m:r>
                        <w:rPr>
                          <w:rFonts w:ascii="Cambria Math" w:hAnsi="Cambria Math" w:cs="Arial"/>
                          <w:lang w:val="en-US" w:eastAsia="en-US" w:bidi="ar-SA"/>
                        </w:rPr>
                        <m:t>BONUS</m:t>
                      </m:r>
                    </m:e>
                    <m:sub>
                      <m:r>
                        <w:rPr>
                          <w:rFonts w:ascii="Cambria Math" w:hAnsi="Cambria Math" w:cs="Arial"/>
                          <w:lang w:val="en-US" w:eastAsia="en-US" w:bidi="ar-SA"/>
                        </w:rPr>
                        <m:t>i,t</m:t>
                      </m:r>
                    </m:sub>
                  </m:sSub>
                </m:e>
              </m:d>
            </m:den>
          </m:f>
        </m:oMath>
      </m:oMathPara>
    </w:p>
    <w:p w:rsidR="00977FC8" w:rsidRPr="009F4A89" w:rsidRDefault="00977FC8" w:rsidP="00AF2DE5">
      <w:pPr>
        <w:pStyle w:val="Caption"/>
      </w:pPr>
      <w:r w:rsidRPr="009F4A89">
        <w:t xml:space="preserve"> (4-</w:t>
      </w:r>
      <w:r>
        <w:t>7</w:t>
      </w:r>
      <w:r w:rsidRPr="009F4A89">
        <w:t>)</w:t>
      </w:r>
    </w:p>
    <w:p w:rsidR="00FC188F" w:rsidRDefault="00977FC8" w:rsidP="00084F2B">
      <w:r w:rsidRPr="009F4A89">
        <w:t xml:space="preserve">When these equations </w:t>
      </w:r>
      <w:r>
        <w:t xml:space="preserve">are applied </w:t>
      </w:r>
      <w:r w:rsidRPr="009F4A89">
        <w:t xml:space="preserve">to </w:t>
      </w:r>
      <w:r>
        <w:t>the</w:t>
      </w:r>
      <w:r w:rsidRPr="009F4A89">
        <w:t xml:space="preserve"> data</w:t>
      </w:r>
      <w:r>
        <w:t>,</w:t>
      </w:r>
      <w:r w:rsidRPr="009F4A89">
        <w:t xml:space="preserve"> </w:t>
      </w:r>
      <w:r>
        <w:t>it defines</w:t>
      </w:r>
      <w:r w:rsidRPr="009F4A89">
        <w:t xml:space="preserve"> for the different types of compensation what their relative size is. </w:t>
      </w:r>
      <w:r>
        <w:t>Then</w:t>
      </w:r>
      <w:r w:rsidRPr="009F4A89">
        <w:t xml:space="preserve"> </w:t>
      </w:r>
      <w:r>
        <w:t xml:space="preserve">the relative sizes </w:t>
      </w:r>
      <w:r w:rsidRPr="009F4A89">
        <w:t xml:space="preserve">can </w:t>
      </w:r>
      <w:r>
        <w:t xml:space="preserve">be </w:t>
      </w:r>
      <w:r w:rsidRPr="009F4A89">
        <w:t>compare</w:t>
      </w:r>
      <w:r>
        <w:t>d</w:t>
      </w:r>
      <w:r w:rsidRPr="009F4A89">
        <w:t xml:space="preserve"> with the results of the </w:t>
      </w:r>
      <w:r>
        <w:t xml:space="preserve">Modified </w:t>
      </w:r>
      <w:r w:rsidR="007143F1">
        <w:t>Jones M</w:t>
      </w:r>
      <w:r w:rsidRPr="009F4A89">
        <w:t xml:space="preserve">odel to see </w:t>
      </w:r>
      <w:r w:rsidR="008E50CC">
        <w:t>how</w:t>
      </w:r>
      <w:r w:rsidRPr="009F4A89">
        <w:t xml:space="preserve"> the compensation types</w:t>
      </w:r>
      <w:r w:rsidRPr="009F4A89">
        <w:rPr>
          <w:iCs/>
          <w:lang w:val="en-GB"/>
        </w:rPr>
        <w:t xml:space="preserve"> are related </w:t>
      </w:r>
      <w:r w:rsidR="008E50CC">
        <w:rPr>
          <w:iCs/>
          <w:lang w:val="en-GB"/>
        </w:rPr>
        <w:t>discretionary accruals</w:t>
      </w:r>
      <w:r w:rsidRPr="009F4A89">
        <w:rPr>
          <w:iCs/>
          <w:lang w:val="en-GB"/>
        </w:rPr>
        <w:t>.</w:t>
      </w:r>
      <w:r w:rsidRPr="009F4A89">
        <w:t xml:space="preserve">  </w:t>
      </w:r>
    </w:p>
    <w:p w:rsidR="008E50CC" w:rsidRDefault="008E50CC" w:rsidP="00084F2B"/>
    <w:p w:rsidR="008E50CC" w:rsidRDefault="008E50CC" w:rsidP="00084F2B">
      <w:r>
        <w:t xml:space="preserve">In chapter 5 the results are outlined. </w:t>
      </w:r>
    </w:p>
    <w:p w:rsidR="00FC188F" w:rsidRDefault="00FC188F">
      <w:pPr>
        <w:spacing w:line="240" w:lineRule="auto"/>
        <w:jc w:val="left"/>
      </w:pPr>
      <w:r>
        <w:br w:type="page"/>
      </w:r>
    </w:p>
    <w:p w:rsidR="00977FC8" w:rsidRPr="00AC706E" w:rsidRDefault="00977FC8" w:rsidP="006075CE">
      <w:pPr>
        <w:pStyle w:val="Heading1"/>
        <w:rPr>
          <w:lang w:val="en-US"/>
        </w:rPr>
      </w:pPr>
      <w:bookmarkStart w:id="74" w:name="_Toc274485449"/>
      <w:r w:rsidRPr="00AC706E">
        <w:rPr>
          <w:lang w:val="en-US"/>
        </w:rPr>
        <w:lastRenderedPageBreak/>
        <w:t>Data analysis and results</w:t>
      </w:r>
      <w:bookmarkEnd w:id="74"/>
    </w:p>
    <w:p w:rsidR="002B45A4" w:rsidRDefault="002B45A4" w:rsidP="00C15F3B">
      <w:pPr>
        <w:rPr>
          <w:lang w:val="en-GB" w:eastAsia="en-US" w:bidi="ar-SA"/>
        </w:rPr>
      </w:pPr>
      <w:r>
        <w:rPr>
          <w:lang w:val="en-GB" w:eastAsia="en-US" w:bidi="ar-SA"/>
        </w:rPr>
        <w:t>The previous chapter explained the selection procedures in constructin</w:t>
      </w:r>
      <w:r w:rsidR="007C0093">
        <w:rPr>
          <w:lang w:val="en-GB" w:eastAsia="en-US" w:bidi="ar-SA"/>
        </w:rPr>
        <w:t>g a sample to test the hypothese</w:t>
      </w:r>
      <w:r>
        <w:rPr>
          <w:lang w:val="en-GB" w:eastAsia="en-US" w:bidi="ar-SA"/>
        </w:rPr>
        <w:t>s. The total collected sample consists of 88</w:t>
      </w:r>
      <w:r w:rsidR="007C0093">
        <w:rPr>
          <w:lang w:val="en-GB" w:eastAsia="en-US" w:bidi="ar-SA"/>
        </w:rPr>
        <w:t xml:space="preserve"> FTSE 100 index</w:t>
      </w:r>
      <w:r>
        <w:rPr>
          <w:lang w:val="en-GB" w:eastAsia="en-US" w:bidi="ar-SA"/>
        </w:rPr>
        <w:t xml:space="preserve"> listed firms and contains data over 2005 and 2006. </w:t>
      </w:r>
    </w:p>
    <w:p w:rsidR="00977FC8" w:rsidRDefault="00977FC8" w:rsidP="00C15F3B">
      <w:pPr>
        <w:rPr>
          <w:lang w:val="en-GB" w:eastAsia="en-US" w:bidi="ar-SA"/>
        </w:rPr>
      </w:pPr>
      <w:r>
        <w:rPr>
          <w:lang w:val="en-GB" w:eastAsia="en-US" w:bidi="ar-SA"/>
        </w:rPr>
        <w:t xml:space="preserve">In this chapter the results from the research will be described. </w:t>
      </w:r>
      <w:r w:rsidR="007C0093">
        <w:rPr>
          <w:lang w:val="en-GB" w:eastAsia="en-US" w:bidi="ar-SA"/>
        </w:rPr>
        <w:t>P</w:t>
      </w:r>
      <w:r w:rsidR="00FA1961">
        <w:rPr>
          <w:lang w:val="en-GB" w:eastAsia="en-US" w:bidi="ar-SA"/>
        </w:rPr>
        <w:t xml:space="preserve">aragraph 5.1 will elaborate </w:t>
      </w:r>
      <w:r>
        <w:rPr>
          <w:lang w:val="en-GB" w:eastAsia="en-US" w:bidi="ar-SA"/>
        </w:rPr>
        <w:t xml:space="preserve">on the descriptive statistics and </w:t>
      </w:r>
      <w:r w:rsidR="00FA1961">
        <w:rPr>
          <w:lang w:val="en-GB" w:eastAsia="en-US" w:bidi="ar-SA"/>
        </w:rPr>
        <w:t>how</w:t>
      </w:r>
      <w:r>
        <w:rPr>
          <w:lang w:val="en-GB" w:eastAsia="en-US" w:bidi="ar-SA"/>
        </w:rPr>
        <w:t xml:space="preserve"> the discretionary accruals by means of the Modified Jones Model</w:t>
      </w:r>
      <w:r w:rsidR="00272545">
        <w:rPr>
          <w:lang w:val="en-GB" w:eastAsia="en-US" w:bidi="ar-SA"/>
        </w:rPr>
        <w:t xml:space="preserve"> </w:t>
      </w:r>
      <w:r w:rsidR="00FA1961">
        <w:rPr>
          <w:lang w:val="en-GB" w:eastAsia="en-US" w:bidi="ar-SA"/>
        </w:rPr>
        <w:t>are computed. Next</w:t>
      </w:r>
      <w:r w:rsidR="007C0093">
        <w:rPr>
          <w:lang w:val="en-GB" w:eastAsia="en-US" w:bidi="ar-SA"/>
        </w:rPr>
        <w:t xml:space="preserve"> the hypothese</w:t>
      </w:r>
      <w:r w:rsidR="00FA1961">
        <w:rPr>
          <w:lang w:val="en-GB" w:eastAsia="en-US" w:bidi="ar-SA"/>
        </w:rPr>
        <w:t xml:space="preserve">s will be tested </w:t>
      </w:r>
      <w:r w:rsidR="00EF541E">
        <w:rPr>
          <w:lang w:val="en-GB" w:eastAsia="en-US" w:bidi="ar-SA"/>
        </w:rPr>
        <w:t>using correlation testi</w:t>
      </w:r>
      <w:r w:rsidR="00FA1961">
        <w:rPr>
          <w:lang w:val="en-GB" w:eastAsia="en-US" w:bidi="ar-SA"/>
        </w:rPr>
        <w:t>ng and the independent-samples t</w:t>
      </w:r>
      <w:r w:rsidR="00EF541E">
        <w:rPr>
          <w:lang w:val="en-GB" w:eastAsia="en-US" w:bidi="ar-SA"/>
        </w:rPr>
        <w:t>-test</w:t>
      </w:r>
      <w:r w:rsidR="007C0093">
        <w:rPr>
          <w:lang w:val="en-GB" w:eastAsia="en-US" w:bidi="ar-SA"/>
        </w:rPr>
        <w:t>. The results of these tests will be outlined</w:t>
      </w:r>
      <w:r w:rsidR="00272545">
        <w:rPr>
          <w:lang w:val="en-GB" w:eastAsia="en-US" w:bidi="ar-SA"/>
        </w:rPr>
        <w:t xml:space="preserve"> </w:t>
      </w:r>
      <w:r w:rsidR="00FA1961">
        <w:rPr>
          <w:lang w:val="en-GB" w:eastAsia="en-US" w:bidi="ar-SA"/>
        </w:rPr>
        <w:t>in paragraph 5.2.</w:t>
      </w:r>
    </w:p>
    <w:p w:rsidR="00977FC8" w:rsidRPr="00D97FFD" w:rsidRDefault="00F25F32" w:rsidP="00084F2B">
      <w:pPr>
        <w:pStyle w:val="Heading2"/>
        <w:rPr>
          <w:lang w:val="en-US"/>
        </w:rPr>
      </w:pPr>
      <w:bookmarkStart w:id="75" w:name="_Toc274485450"/>
      <w:r>
        <w:t>D</w:t>
      </w:r>
      <w:r w:rsidR="00977FC8">
        <w:t>iscretionary accruals</w:t>
      </w:r>
      <w:r>
        <w:t xml:space="preserve"> and descriptive statistics</w:t>
      </w:r>
      <w:bookmarkEnd w:id="75"/>
    </w:p>
    <w:p w:rsidR="00F25F32" w:rsidRPr="00706ECD" w:rsidRDefault="00D676E4" w:rsidP="00F25F32">
      <w:r>
        <w:rPr>
          <w:rFonts w:cs="Arial"/>
          <w:lang w:val="en-US"/>
        </w:rPr>
        <w:t>This paragraph will elaborate on the discretionary accruals</w:t>
      </w:r>
      <w:r w:rsidR="00F25F32" w:rsidRPr="00F25F32">
        <w:rPr>
          <w:rFonts w:cs="Arial"/>
          <w:lang w:val="en-US"/>
        </w:rPr>
        <w:t xml:space="preserve"> </w:t>
      </w:r>
      <w:r w:rsidR="00F25F32">
        <w:rPr>
          <w:rFonts w:cs="Arial"/>
          <w:lang w:val="en-US"/>
        </w:rPr>
        <w:t>and descriptive statistics</w:t>
      </w:r>
      <w:r>
        <w:rPr>
          <w:rFonts w:cs="Arial"/>
          <w:lang w:val="en-US"/>
        </w:rPr>
        <w:t>.</w:t>
      </w:r>
      <w:r w:rsidR="00F25F32">
        <w:rPr>
          <w:rFonts w:cs="Arial"/>
          <w:lang w:val="en-US"/>
        </w:rPr>
        <w:t xml:space="preserve"> F</w:t>
      </w:r>
      <w:r w:rsidR="00FD0D8E">
        <w:rPr>
          <w:rFonts w:cs="Arial"/>
          <w:lang w:val="en-US"/>
        </w:rPr>
        <w:t xml:space="preserve">irst </w:t>
      </w:r>
      <w:r w:rsidR="00F25F32">
        <w:rPr>
          <w:rFonts w:cs="Arial"/>
          <w:lang w:val="en-US"/>
        </w:rPr>
        <w:t xml:space="preserve">the discretionary accruals are determined. </w:t>
      </w:r>
      <w:r w:rsidR="00F25F32" w:rsidRPr="00706ECD">
        <w:rPr>
          <w:lang w:val="en-GB" w:eastAsia="en-US" w:bidi="ar-SA"/>
        </w:rPr>
        <w:t>In the Modified Jones Model, the error term is the discretionary accrual for a firm. On page 3</w:t>
      </w:r>
      <w:r w:rsidR="00656EE5">
        <w:rPr>
          <w:lang w:val="en-GB" w:eastAsia="en-US" w:bidi="ar-SA"/>
        </w:rPr>
        <w:t>4</w:t>
      </w:r>
      <w:r w:rsidR="00F25F32" w:rsidRPr="00706ECD">
        <w:rPr>
          <w:lang w:val="en-GB" w:eastAsia="en-US" w:bidi="ar-SA"/>
        </w:rPr>
        <w:t xml:space="preserve"> the </w:t>
      </w:r>
      <w:r w:rsidR="00F25F32" w:rsidRPr="00706ECD">
        <w:t>modified Jones model is illustrated as:</w:t>
      </w:r>
    </w:p>
    <w:p w:rsidR="00F25F32" w:rsidRPr="00A342E5" w:rsidRDefault="00F25F32" w:rsidP="00F25F32">
      <w:pPr>
        <w:tabs>
          <w:tab w:val="left" w:pos="2268"/>
        </w:tabs>
      </w:pPr>
    </w:p>
    <w:p w:rsidR="00F25F32" w:rsidRPr="00A342E5" w:rsidRDefault="006D6941" w:rsidP="00F25F32">
      <w:pPr>
        <w:keepNext/>
        <w:tabs>
          <w:tab w:val="left" w:pos="2268"/>
        </w:tabs>
      </w:pPr>
      <m:oMathPara>
        <m:oMath>
          <m:f>
            <m:fPr>
              <m:ctrlPr>
                <w:rPr>
                  <w:rFonts w:ascii="Cambria Math" w:hAnsi="Cambria Math"/>
                  <w:i/>
                </w:rPr>
              </m:ctrlPr>
            </m:fPr>
            <m:num>
              <m:sSub>
                <m:sSubPr>
                  <m:ctrlPr>
                    <w:rPr>
                      <w:rFonts w:ascii="Cambria Math" w:hAnsi="Cambria Math"/>
                      <w:i/>
                    </w:rPr>
                  </m:ctrlPr>
                </m:sSubPr>
                <m:e>
                  <m:r>
                    <w:rPr>
                      <w:rFonts w:ascii="Cambria Math" w:hAnsi="Cambria Math"/>
                    </w:rPr>
                    <m:t>NDA</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2i</m:t>
              </m:r>
            </m:sub>
          </m:sSub>
          <m:d>
            <m:dPr>
              <m:begChr m:val="["/>
              <m:endChr m:val="]"/>
              <m:ctrlPr>
                <w:rPr>
                  <w:rFonts w:ascii="Cambria Math" w:hAnsi="Cambria Math"/>
                  <w:i/>
                </w:rPr>
              </m:ctrlPr>
            </m:dPr>
            <m:e>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∆REV</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∆AR</m:t>
                          </m:r>
                        </m:e>
                        <m:sub>
                          <m:r>
                            <w:rPr>
                              <w:rFonts w:ascii="Cambria Math" w:hAnsi="Cambria Math"/>
                            </w:rPr>
                            <m:t>it</m:t>
                          </m:r>
                        </m:sub>
                      </m:sSub>
                    </m:e>
                  </m:d>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3i</m:t>
              </m:r>
            </m:sub>
          </m:sSub>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PPE</m:t>
                      </m:r>
                    </m:e>
                    <m:sub>
                      <m:r>
                        <w:rPr>
                          <w:rFonts w:ascii="Cambria Math" w:hAnsi="Cambria Math"/>
                        </w:rPr>
                        <m:t>it</m:t>
                      </m:r>
                    </m:sub>
                  </m:sSub>
                </m:num>
                <m:den>
                  <m:sSub>
                    <m:sSubPr>
                      <m:ctrlPr>
                        <w:rPr>
                          <w:rFonts w:ascii="Cambria Math" w:hAnsi="Cambria Math"/>
                          <w:i/>
                        </w:rPr>
                      </m:ctrlPr>
                    </m:sSubPr>
                    <m:e>
                      <m:r>
                        <w:rPr>
                          <w:rFonts w:ascii="Cambria Math" w:hAnsi="Cambria Math"/>
                        </w:rPr>
                        <m:t>A</m:t>
                      </m:r>
                    </m:e>
                    <m:sub>
                      <m:r>
                        <w:rPr>
                          <w:rFonts w:ascii="Cambria Math" w:hAnsi="Cambria Math"/>
                        </w:rPr>
                        <m:t>it-1</m:t>
                      </m:r>
                    </m:sub>
                  </m:sSub>
                </m:den>
              </m:f>
            </m:e>
          </m:d>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F25F32" w:rsidRPr="00A342E5" w:rsidRDefault="00F25F32" w:rsidP="00F25F32">
      <w:pPr>
        <w:pStyle w:val="Caption"/>
        <w:tabs>
          <w:tab w:val="left" w:pos="2268"/>
        </w:tabs>
      </w:pPr>
      <w:r w:rsidRPr="00A342E5">
        <w:t>(</w:t>
      </w:r>
      <w:r>
        <w:t>4</w:t>
      </w:r>
      <w:r w:rsidRPr="00A342E5">
        <w:noBreakHyphen/>
      </w:r>
      <w:r>
        <w:t>4</w:t>
      </w:r>
      <w:r w:rsidRPr="00A342E5">
        <w:t>)</w:t>
      </w:r>
    </w:p>
    <w:p w:rsidR="007C0093" w:rsidRPr="00A342E5" w:rsidRDefault="007C0093" w:rsidP="007C0093">
      <w:pPr>
        <w:tabs>
          <w:tab w:val="left" w:pos="2268"/>
        </w:tabs>
      </w:pPr>
      <w:r w:rsidRPr="00A342E5">
        <w:t>Where:</w:t>
      </w:r>
    </w:p>
    <w:p w:rsidR="007C0093" w:rsidRPr="00A342E5" w:rsidRDefault="007C0093" w:rsidP="007C0093">
      <w:pPr>
        <w:tabs>
          <w:tab w:val="left" w:pos="2268"/>
        </w:tabs>
      </w:pPr>
      <w:r w:rsidRPr="00A342E5">
        <w:t>NDA</w:t>
      </w:r>
      <w:r w:rsidRPr="00A342E5">
        <w:rPr>
          <w:i/>
          <w:vertAlign w:val="subscript"/>
        </w:rPr>
        <w:t>it</w:t>
      </w:r>
      <w:r w:rsidRPr="00A342E5">
        <w:tab/>
        <w:t xml:space="preserve">Non-Discretionary Accruals for firm </w:t>
      </w:r>
      <w:r w:rsidRPr="00A342E5">
        <w:rPr>
          <w:i/>
        </w:rPr>
        <w:t>i</w:t>
      </w:r>
      <w:r w:rsidRPr="00A342E5">
        <w:t xml:space="preserve"> in year </w:t>
      </w:r>
      <w:r w:rsidRPr="00A342E5">
        <w:rPr>
          <w:i/>
        </w:rPr>
        <w:t>t</w:t>
      </w:r>
      <w:r>
        <w:rPr>
          <w:i/>
        </w:rPr>
        <w:t>;</w:t>
      </w:r>
    </w:p>
    <w:p w:rsidR="007C0093" w:rsidRPr="00A342E5" w:rsidRDefault="007C0093" w:rsidP="007C0093">
      <w:pPr>
        <w:tabs>
          <w:tab w:val="left" w:pos="2268"/>
        </w:tabs>
      </w:pPr>
      <w:r w:rsidRPr="00A342E5">
        <w:t>A</w:t>
      </w:r>
      <w:r w:rsidRPr="00A342E5">
        <w:rPr>
          <w:i/>
          <w:vertAlign w:val="subscript"/>
        </w:rPr>
        <w:t>it-1</w:t>
      </w:r>
      <w:r w:rsidRPr="00A342E5">
        <w:rPr>
          <w:i/>
        </w:rPr>
        <w:tab/>
      </w:r>
      <w:r w:rsidRPr="00A342E5">
        <w:t xml:space="preserve">Assets for firm </w:t>
      </w:r>
      <w:r w:rsidRPr="00A342E5">
        <w:rPr>
          <w:i/>
        </w:rPr>
        <w:t>i</w:t>
      </w:r>
      <w:r w:rsidRPr="00A342E5">
        <w:t xml:space="preserve"> in year </w:t>
      </w:r>
      <w:r w:rsidRPr="00A342E5">
        <w:rPr>
          <w:i/>
        </w:rPr>
        <w:t>t</w:t>
      </w:r>
      <w:r w:rsidRPr="00A342E5">
        <w:t>-1</w:t>
      </w:r>
      <w:r>
        <w:t>;</w:t>
      </w:r>
    </w:p>
    <w:p w:rsidR="007C0093" w:rsidRPr="00A342E5" w:rsidRDefault="007C0093" w:rsidP="007C0093">
      <w:pPr>
        <w:tabs>
          <w:tab w:val="left" w:pos="2268"/>
        </w:tabs>
      </w:pPr>
      <w:r w:rsidRPr="00A342E5">
        <w:t>TA</w:t>
      </w:r>
      <w:r w:rsidRPr="00A342E5">
        <w:rPr>
          <w:i/>
          <w:vertAlign w:val="subscript"/>
        </w:rPr>
        <w:t>it</w:t>
      </w:r>
      <w:r w:rsidRPr="00A342E5">
        <w:rPr>
          <w:i/>
        </w:rPr>
        <w:tab/>
      </w:r>
      <w:r w:rsidRPr="00A342E5">
        <w:t xml:space="preserve">Total Accruals for firm </w:t>
      </w:r>
      <w:r w:rsidRPr="00A342E5">
        <w:rPr>
          <w:i/>
        </w:rPr>
        <w:t>i</w:t>
      </w:r>
      <w:r w:rsidRPr="00A342E5">
        <w:t xml:space="preserve"> in year </w:t>
      </w:r>
      <w:r w:rsidRPr="00A342E5">
        <w:rPr>
          <w:i/>
        </w:rPr>
        <w:t>t</w:t>
      </w:r>
      <w:r>
        <w:rPr>
          <w:i/>
        </w:rPr>
        <w:t>;</w:t>
      </w:r>
    </w:p>
    <w:p w:rsidR="007C0093" w:rsidRPr="00A342E5" w:rsidRDefault="007C0093" w:rsidP="007C0093">
      <w:pPr>
        <w:tabs>
          <w:tab w:val="left" w:pos="2268"/>
        </w:tabs>
      </w:pPr>
      <w:r w:rsidRPr="00A342E5">
        <w:t>∆REV</w:t>
      </w:r>
      <w:r w:rsidRPr="00A342E5">
        <w:rPr>
          <w:i/>
          <w:vertAlign w:val="subscript"/>
        </w:rPr>
        <w:t>it</w:t>
      </w:r>
      <w:r w:rsidRPr="00A342E5">
        <w:rPr>
          <w:i/>
        </w:rPr>
        <w:tab/>
      </w:r>
      <w:r w:rsidRPr="00A342E5">
        <w:t xml:space="preserve">Changes in revenue for firm </w:t>
      </w:r>
      <w:r w:rsidRPr="00A342E5">
        <w:rPr>
          <w:i/>
        </w:rPr>
        <w:t>i</w:t>
      </w:r>
      <w:r w:rsidRPr="00A342E5">
        <w:t xml:space="preserve"> in year </w:t>
      </w:r>
      <w:r w:rsidRPr="00A342E5">
        <w:rPr>
          <w:i/>
        </w:rPr>
        <w:t>t</w:t>
      </w:r>
      <w:r>
        <w:rPr>
          <w:i/>
        </w:rPr>
        <w:t>;</w:t>
      </w:r>
    </w:p>
    <w:p w:rsidR="007C0093" w:rsidRPr="00A342E5" w:rsidRDefault="007C0093" w:rsidP="007C0093">
      <w:pPr>
        <w:tabs>
          <w:tab w:val="left" w:pos="2268"/>
        </w:tabs>
      </w:pPr>
      <w:r w:rsidRPr="00A342E5">
        <w:t>∆AR</w:t>
      </w:r>
      <w:r w:rsidRPr="00A342E5">
        <w:rPr>
          <w:i/>
          <w:vertAlign w:val="subscript"/>
        </w:rPr>
        <w:t>it</w:t>
      </w:r>
      <w:r w:rsidRPr="00A342E5">
        <w:rPr>
          <w:i/>
          <w:vertAlign w:val="subscript"/>
        </w:rPr>
        <w:tab/>
      </w:r>
      <w:r w:rsidRPr="00A342E5">
        <w:t xml:space="preserve">Changes in accounts Receivables for firm </w:t>
      </w:r>
      <w:r w:rsidRPr="00A342E5">
        <w:rPr>
          <w:i/>
        </w:rPr>
        <w:t>i</w:t>
      </w:r>
      <w:r w:rsidRPr="00A342E5">
        <w:t xml:space="preserve"> in year </w:t>
      </w:r>
      <w:r w:rsidRPr="00A342E5">
        <w:rPr>
          <w:i/>
        </w:rPr>
        <w:t>t</w:t>
      </w:r>
      <w:r>
        <w:rPr>
          <w:i/>
        </w:rPr>
        <w:t>;</w:t>
      </w:r>
    </w:p>
    <w:p w:rsidR="007C0093" w:rsidRPr="00A342E5" w:rsidRDefault="007C0093" w:rsidP="007C0093">
      <w:pPr>
        <w:tabs>
          <w:tab w:val="left" w:pos="2268"/>
        </w:tabs>
        <w:rPr>
          <w:i/>
        </w:rPr>
      </w:pPr>
      <w:r w:rsidRPr="00A342E5">
        <w:t>PPE</w:t>
      </w:r>
      <w:r w:rsidRPr="00A342E5">
        <w:rPr>
          <w:i/>
          <w:vertAlign w:val="subscript"/>
        </w:rPr>
        <w:t>it</w:t>
      </w:r>
      <w:r w:rsidRPr="00A342E5">
        <w:rPr>
          <w:i/>
        </w:rPr>
        <w:tab/>
      </w:r>
      <w:r w:rsidRPr="00A342E5">
        <w:t xml:space="preserve">Property, Plant and Equipment for firm </w:t>
      </w:r>
      <w:r w:rsidRPr="00A342E5">
        <w:rPr>
          <w:i/>
        </w:rPr>
        <w:t>i</w:t>
      </w:r>
      <w:r w:rsidRPr="00A342E5">
        <w:t xml:space="preserve"> in year </w:t>
      </w:r>
      <w:r w:rsidRPr="00A342E5">
        <w:rPr>
          <w:i/>
        </w:rPr>
        <w:t>t</w:t>
      </w:r>
      <w:r>
        <w:rPr>
          <w:i/>
        </w:rPr>
        <w:t>;</w:t>
      </w:r>
    </w:p>
    <w:p w:rsidR="007C0093" w:rsidRPr="00A342E5" w:rsidRDefault="007C0093" w:rsidP="007C0093">
      <w:pPr>
        <w:tabs>
          <w:tab w:val="left" w:pos="2268"/>
        </w:tabs>
        <w:rPr>
          <w:i/>
        </w:rPr>
      </w:pPr>
      <w:r w:rsidRPr="00A342E5">
        <w:t>ε</w:t>
      </w:r>
      <w:r w:rsidRPr="00A342E5">
        <w:rPr>
          <w:i/>
          <w:vertAlign w:val="subscript"/>
        </w:rPr>
        <w:t>it</w:t>
      </w:r>
      <w:r w:rsidRPr="00A342E5">
        <w:rPr>
          <w:i/>
          <w:vertAlign w:val="subscript"/>
        </w:rPr>
        <w:tab/>
      </w:r>
      <w:r w:rsidRPr="00A342E5">
        <w:t xml:space="preserve">Error term for firm </w:t>
      </w:r>
      <w:r w:rsidRPr="00A342E5">
        <w:rPr>
          <w:i/>
        </w:rPr>
        <w:t>i</w:t>
      </w:r>
      <w:r w:rsidRPr="00A342E5">
        <w:t xml:space="preserve"> in year </w:t>
      </w:r>
      <w:r w:rsidRPr="00A342E5">
        <w:rPr>
          <w:i/>
        </w:rPr>
        <w:t>t</w:t>
      </w:r>
      <w:r>
        <w:rPr>
          <w:i/>
        </w:rPr>
        <w:t>;</w:t>
      </w:r>
    </w:p>
    <w:p w:rsidR="007C0093" w:rsidRPr="00A342E5" w:rsidRDefault="007C0093" w:rsidP="007C0093">
      <w:pPr>
        <w:tabs>
          <w:tab w:val="left" w:pos="2268"/>
        </w:tabs>
      </w:pPr>
      <w:r w:rsidRPr="00A342E5">
        <w:t>α</w:t>
      </w:r>
      <w:r w:rsidRPr="00A342E5">
        <w:rPr>
          <w:vertAlign w:val="subscript"/>
        </w:rPr>
        <w:t>1</w:t>
      </w:r>
      <w:r w:rsidRPr="00A342E5">
        <w:rPr>
          <w:i/>
          <w:vertAlign w:val="subscript"/>
        </w:rPr>
        <w:t>i</w:t>
      </w:r>
      <w:r w:rsidRPr="00A342E5">
        <w:t>, α</w:t>
      </w:r>
      <w:r w:rsidRPr="00A342E5">
        <w:rPr>
          <w:vertAlign w:val="subscript"/>
        </w:rPr>
        <w:t xml:space="preserve"> 2</w:t>
      </w:r>
      <w:r w:rsidRPr="00A342E5">
        <w:rPr>
          <w:i/>
          <w:vertAlign w:val="subscript"/>
        </w:rPr>
        <w:t>i</w:t>
      </w:r>
      <w:r w:rsidRPr="00A342E5">
        <w:t>, α</w:t>
      </w:r>
      <w:r w:rsidRPr="00A342E5">
        <w:rPr>
          <w:vertAlign w:val="subscript"/>
        </w:rPr>
        <w:t xml:space="preserve"> 3</w:t>
      </w:r>
      <w:r w:rsidRPr="00A342E5">
        <w:rPr>
          <w:i/>
          <w:vertAlign w:val="subscript"/>
        </w:rPr>
        <w:t>i</w:t>
      </w:r>
      <w:r w:rsidRPr="00A342E5">
        <w:tab/>
        <w:t xml:space="preserve">Coefficients for firm </w:t>
      </w:r>
      <w:r w:rsidRPr="00A342E5">
        <w:rPr>
          <w:i/>
        </w:rPr>
        <w:t>i</w:t>
      </w:r>
      <w:r>
        <w:rPr>
          <w:i/>
        </w:rPr>
        <w:t>.</w:t>
      </w:r>
    </w:p>
    <w:p w:rsidR="007C0093" w:rsidRDefault="007C0093" w:rsidP="00F25F32">
      <w:pPr>
        <w:rPr>
          <w:lang w:eastAsia="en-US" w:bidi="ar-SA"/>
        </w:rPr>
      </w:pPr>
    </w:p>
    <w:p w:rsidR="00F25F32" w:rsidRDefault="00F25F32" w:rsidP="00F25F32">
      <w:pPr>
        <w:rPr>
          <w:lang w:val="en-GB" w:eastAsia="en-US" w:bidi="ar-SA"/>
        </w:rPr>
      </w:pPr>
      <w:r>
        <w:rPr>
          <w:lang w:val="en-GB" w:eastAsia="en-US" w:bidi="ar-SA"/>
        </w:rPr>
        <w:t>To calculate the error term (</w:t>
      </w:r>
      <m:oMath>
        <m:sSub>
          <m:sSubPr>
            <m:ctrlPr>
              <w:rPr>
                <w:rFonts w:ascii="Cambria Math" w:hAnsi="Cambria Math"/>
                <w:i/>
              </w:rPr>
            </m:ctrlPr>
          </m:sSubPr>
          <m:e>
            <m:r>
              <w:rPr>
                <w:rFonts w:ascii="Cambria Math" w:hAnsi="Cambria Math"/>
              </w:rPr>
              <m:t>ε</m:t>
            </m:r>
          </m:e>
          <m:sub>
            <m:r>
              <w:rPr>
                <w:rFonts w:ascii="Cambria Math" w:hAnsi="Cambria Math"/>
              </w:rPr>
              <m:t>it</m:t>
            </m:r>
          </m:sub>
        </m:sSub>
      </m:oMath>
      <w:r>
        <w:t>)</w:t>
      </w:r>
      <w:r>
        <w:rPr>
          <w:lang w:val="en-GB" w:eastAsia="en-US" w:bidi="ar-SA"/>
        </w:rPr>
        <w:t>, first the coefficients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2i</m:t>
            </m:r>
          </m:sub>
        </m:sSub>
        <m:r>
          <w:rPr>
            <w:rFonts w:ascii="Cambria Math" w:hAnsi="Cambria Math"/>
          </w:rPr>
          <m:t xml:space="preserve"> and </m:t>
        </m:r>
        <m:sSub>
          <m:sSubPr>
            <m:ctrlPr>
              <w:rPr>
                <w:rFonts w:ascii="Cambria Math" w:hAnsi="Cambria Math"/>
                <w:i/>
              </w:rPr>
            </m:ctrlPr>
          </m:sSubPr>
          <m:e>
            <m:r>
              <w:rPr>
                <w:rFonts w:ascii="Cambria Math" w:hAnsi="Cambria Math"/>
              </w:rPr>
              <m:t>α</m:t>
            </m:r>
          </m:e>
          <m:sub>
            <m:r>
              <w:rPr>
                <w:rFonts w:ascii="Cambria Math" w:hAnsi="Cambria Math"/>
              </w:rPr>
              <m:t>3i</m:t>
            </m:r>
          </m:sub>
        </m:sSub>
        <m:r>
          <w:rPr>
            <w:rFonts w:ascii="Cambria Math" w:hAnsi="Cambria Math"/>
          </w:rPr>
          <m:t>)</m:t>
        </m:r>
      </m:oMath>
      <w:r>
        <w:rPr>
          <w:lang w:val="en-GB" w:eastAsia="en-US" w:bidi="ar-SA"/>
        </w:rPr>
        <w:t xml:space="preserve"> have to be calculated.</w:t>
      </w:r>
      <w:r>
        <w:rPr>
          <w:i/>
          <w:lang w:val="en-GB" w:eastAsia="en-US" w:bidi="ar-SA"/>
        </w:rPr>
        <w:t xml:space="preserve"> </w:t>
      </w:r>
      <w:r>
        <w:rPr>
          <w:lang w:val="en-GB" w:eastAsia="en-US" w:bidi="ar-SA"/>
        </w:rPr>
        <w:t xml:space="preserve">By means of a linear regression model the coefficients are calculated with </w:t>
      </w:r>
      <w:r>
        <w:rPr>
          <w:lang w:val="en-GB" w:eastAsia="en-US" w:bidi="ar-SA"/>
        </w:rPr>
        <w:lastRenderedPageBreak/>
        <w:t xml:space="preserve">SPSS. See table </w:t>
      </w:r>
      <w:r w:rsidR="00BD38F4">
        <w:rPr>
          <w:lang w:val="en-GB" w:eastAsia="en-US" w:bidi="ar-SA"/>
        </w:rPr>
        <w:t>1</w:t>
      </w:r>
      <w:r>
        <w:rPr>
          <w:lang w:val="en-GB" w:eastAsia="en-US" w:bidi="ar-SA"/>
        </w:rPr>
        <w:t xml:space="preserve"> below for the coefficients</w:t>
      </w:r>
      <w:r w:rsidR="007C0093">
        <w:rPr>
          <w:lang w:val="en-GB" w:eastAsia="en-US" w:bidi="ar-SA"/>
        </w:rPr>
        <w:t xml:space="preserve"> collected from the output of the regression model</w:t>
      </w:r>
      <w:r>
        <w:rPr>
          <w:lang w:val="en-GB" w:eastAsia="en-US" w:bidi="ar-SA"/>
        </w:rPr>
        <w:t>.</w:t>
      </w:r>
    </w:p>
    <w:p w:rsidR="00F25F32" w:rsidRDefault="00F25F32" w:rsidP="00F25F32">
      <w:pPr>
        <w:rPr>
          <w:lang w:val="en-GB" w:eastAsia="en-US" w:bidi="ar-SA"/>
        </w:rPr>
      </w:pPr>
    </w:p>
    <w:tbl>
      <w:tblPr>
        <w:tblW w:w="0" w:type="auto"/>
        <w:jc w:val="center"/>
        <w:tblLook w:val="00A0"/>
      </w:tblPr>
      <w:tblGrid>
        <w:gridCol w:w="1590"/>
        <w:gridCol w:w="4017"/>
      </w:tblGrid>
      <w:tr w:rsidR="00F25F32" w:rsidTr="001D487A">
        <w:trPr>
          <w:jc w:val="center"/>
        </w:trPr>
        <w:tc>
          <w:tcPr>
            <w:tcW w:w="1590" w:type="dxa"/>
            <w:tcBorders>
              <w:bottom w:val="single" w:sz="18" w:space="0" w:color="548DD4"/>
              <w:right w:val="single" w:sz="18" w:space="0" w:color="548DD4"/>
            </w:tcBorders>
          </w:tcPr>
          <w:p w:rsidR="00F25F32" w:rsidRPr="006D7717" w:rsidRDefault="00F25F32" w:rsidP="008B2DB1">
            <w:pPr>
              <w:rPr>
                <w:rFonts w:cs="Arial"/>
                <w:b/>
                <w:lang w:val="en-US"/>
              </w:rPr>
            </w:pPr>
            <w:r w:rsidRPr="006D7717">
              <w:rPr>
                <w:rFonts w:cs="Arial"/>
                <w:b/>
                <w:lang w:val="en-US"/>
              </w:rPr>
              <w:t>Coefficient</w:t>
            </w:r>
          </w:p>
        </w:tc>
        <w:tc>
          <w:tcPr>
            <w:tcW w:w="4017" w:type="dxa"/>
            <w:tcBorders>
              <w:left w:val="single" w:sz="18" w:space="0" w:color="548DD4"/>
              <w:bottom w:val="single" w:sz="18" w:space="0" w:color="548DD4"/>
              <w:right w:val="single" w:sz="18" w:space="0" w:color="4F81BD" w:themeColor="accent1"/>
            </w:tcBorders>
          </w:tcPr>
          <w:p w:rsidR="00F25F32" w:rsidRPr="006D7717" w:rsidRDefault="00F25F32" w:rsidP="008B2DB1">
            <w:pPr>
              <w:jc w:val="center"/>
              <w:rPr>
                <w:rFonts w:cs="Arial"/>
                <w:b/>
                <w:lang w:val="en-US"/>
              </w:rPr>
            </w:pPr>
            <w:r w:rsidRPr="006D7717">
              <w:rPr>
                <w:rFonts w:cs="Arial"/>
                <w:b/>
                <w:lang w:val="en-US"/>
              </w:rPr>
              <w:t>Unstandardized coefficients (</w:t>
            </w:r>
            <w:r>
              <w:rPr>
                <w:rFonts w:cs="Arial"/>
                <w:b/>
                <w:lang w:val="en-US"/>
              </w:rPr>
              <w:t>B</w:t>
            </w:r>
            <w:r w:rsidRPr="006D7717">
              <w:rPr>
                <w:rFonts w:cs="Arial"/>
                <w:b/>
                <w:lang w:val="en-US"/>
              </w:rPr>
              <w:t xml:space="preserve">) </w:t>
            </w:r>
          </w:p>
        </w:tc>
      </w:tr>
      <w:tr w:rsidR="00F25F32" w:rsidTr="001D487A">
        <w:trPr>
          <w:jc w:val="center"/>
        </w:trPr>
        <w:tc>
          <w:tcPr>
            <w:tcW w:w="1590" w:type="dxa"/>
            <w:tcBorders>
              <w:top w:val="single" w:sz="18" w:space="0" w:color="548DD4"/>
              <w:right w:val="single" w:sz="18" w:space="0" w:color="548DD4"/>
            </w:tcBorders>
          </w:tcPr>
          <w:p w:rsidR="00F25F32" w:rsidRPr="00D133EA" w:rsidRDefault="006D6941" w:rsidP="008B2DB1">
            <w:pPr>
              <w:rPr>
                <w:rFonts w:cs="Arial"/>
                <w:lang w:val="en-US"/>
              </w:rPr>
            </w:pPr>
            <m:oMathPara>
              <m:oMath>
                <m:sSub>
                  <m:sSubPr>
                    <m:ctrlPr>
                      <w:rPr>
                        <w:rFonts w:ascii="Cambria Math" w:hAnsi="Cambria Math"/>
                        <w:i/>
                      </w:rPr>
                    </m:ctrlPr>
                  </m:sSubPr>
                  <m:e>
                    <m:r>
                      <w:rPr>
                        <w:rFonts w:ascii="Cambria Math" w:hAnsi="Cambria Math"/>
                      </w:rPr>
                      <m:t>α</m:t>
                    </m:r>
                  </m:e>
                  <m:sub>
                    <m:r>
                      <w:rPr>
                        <w:rFonts w:ascii="Cambria Math" w:hAnsi="Cambria Math"/>
                      </w:rPr>
                      <m:t>1</m:t>
                    </m:r>
                  </m:sub>
                </m:sSub>
              </m:oMath>
            </m:oMathPara>
          </w:p>
        </w:tc>
        <w:tc>
          <w:tcPr>
            <w:tcW w:w="4017" w:type="dxa"/>
            <w:tcBorders>
              <w:top w:val="single" w:sz="18" w:space="0" w:color="548DD4"/>
              <w:left w:val="single" w:sz="18" w:space="0" w:color="548DD4"/>
              <w:right w:val="single" w:sz="18" w:space="0" w:color="4F81BD" w:themeColor="accent1"/>
            </w:tcBorders>
            <w:shd w:val="clear" w:color="auto" w:fill="B8CCE4"/>
          </w:tcPr>
          <w:p w:rsidR="00F25F32" w:rsidRPr="00D133EA" w:rsidRDefault="00F25F32" w:rsidP="008B2DB1">
            <w:pPr>
              <w:autoSpaceDE w:val="0"/>
              <w:autoSpaceDN w:val="0"/>
              <w:adjustRightInd w:val="0"/>
              <w:spacing w:line="320" w:lineRule="atLeast"/>
              <w:jc w:val="center"/>
              <w:rPr>
                <w:rFonts w:cs="Arial"/>
                <w:color w:val="000000"/>
                <w:sz w:val="18"/>
                <w:szCs w:val="18"/>
                <w:lang w:val="nl-NL" w:eastAsia="nl-NL"/>
              </w:rPr>
            </w:pPr>
            <w:r>
              <w:rPr>
                <w:rFonts w:cs="Arial"/>
                <w:color w:val="000000"/>
                <w:sz w:val="18"/>
                <w:szCs w:val="18"/>
                <w:lang w:val="nl-NL" w:eastAsia="nl-NL"/>
              </w:rPr>
              <w:t>1,23</w:t>
            </w:r>
          </w:p>
        </w:tc>
      </w:tr>
      <w:tr w:rsidR="00F25F32" w:rsidTr="001D487A">
        <w:trPr>
          <w:jc w:val="center"/>
        </w:trPr>
        <w:tc>
          <w:tcPr>
            <w:tcW w:w="1590" w:type="dxa"/>
            <w:tcBorders>
              <w:right w:val="single" w:sz="18" w:space="0" w:color="548DD4"/>
            </w:tcBorders>
          </w:tcPr>
          <w:p w:rsidR="00F25F32" w:rsidRPr="00D133EA" w:rsidRDefault="006D6941" w:rsidP="008B2DB1">
            <w:pPr>
              <w:rPr>
                <w:rFonts w:cs="Arial"/>
                <w:lang w:val="en-US"/>
              </w:rPr>
            </w:pPr>
            <m:oMathPara>
              <m:oMath>
                <m:sSub>
                  <m:sSubPr>
                    <m:ctrlPr>
                      <w:rPr>
                        <w:rFonts w:ascii="Cambria Math" w:hAnsi="Cambria Math"/>
                        <w:i/>
                      </w:rPr>
                    </m:ctrlPr>
                  </m:sSubPr>
                  <m:e>
                    <m:r>
                      <w:rPr>
                        <w:rFonts w:ascii="Cambria Math" w:hAnsi="Cambria Math"/>
                      </w:rPr>
                      <m:t>α</m:t>
                    </m:r>
                  </m:e>
                  <m:sub>
                    <m:r>
                      <w:rPr>
                        <w:rFonts w:ascii="Cambria Math" w:hAnsi="Cambria Math"/>
                      </w:rPr>
                      <m:t>2i</m:t>
                    </m:r>
                  </m:sub>
                </m:sSub>
              </m:oMath>
            </m:oMathPara>
          </w:p>
        </w:tc>
        <w:tc>
          <w:tcPr>
            <w:tcW w:w="4017" w:type="dxa"/>
            <w:tcBorders>
              <w:left w:val="single" w:sz="18" w:space="0" w:color="548DD4"/>
              <w:right w:val="single" w:sz="18" w:space="0" w:color="4F81BD" w:themeColor="accent1"/>
            </w:tcBorders>
          </w:tcPr>
          <w:p w:rsidR="00F25F32" w:rsidRPr="00D133EA" w:rsidRDefault="00F25F32" w:rsidP="008B2DB1">
            <w:pPr>
              <w:autoSpaceDE w:val="0"/>
              <w:autoSpaceDN w:val="0"/>
              <w:adjustRightInd w:val="0"/>
              <w:spacing w:line="320" w:lineRule="atLeast"/>
              <w:jc w:val="center"/>
              <w:rPr>
                <w:rFonts w:cs="Arial"/>
                <w:color w:val="000000"/>
                <w:sz w:val="18"/>
                <w:szCs w:val="18"/>
                <w:lang w:val="nl-NL" w:eastAsia="nl-NL"/>
              </w:rPr>
            </w:pPr>
            <w:r>
              <w:rPr>
                <w:rFonts w:cs="Arial"/>
                <w:color w:val="000000"/>
                <w:sz w:val="18"/>
                <w:szCs w:val="18"/>
                <w:lang w:val="nl-NL" w:eastAsia="nl-NL"/>
              </w:rPr>
              <w:t>0,03</w:t>
            </w:r>
          </w:p>
        </w:tc>
      </w:tr>
      <w:tr w:rsidR="00F25F32" w:rsidTr="001D487A">
        <w:trPr>
          <w:jc w:val="center"/>
        </w:trPr>
        <w:tc>
          <w:tcPr>
            <w:tcW w:w="1590" w:type="dxa"/>
            <w:tcBorders>
              <w:right w:val="single" w:sz="18" w:space="0" w:color="548DD4"/>
            </w:tcBorders>
          </w:tcPr>
          <w:p w:rsidR="00F25F32" w:rsidRPr="00D133EA" w:rsidRDefault="006D6941" w:rsidP="008B2DB1">
            <w:pPr>
              <w:rPr>
                <w:rFonts w:cs="Arial"/>
                <w:lang w:val="en-US"/>
              </w:rPr>
            </w:pPr>
            <m:oMathPara>
              <m:oMath>
                <m:sSub>
                  <m:sSubPr>
                    <m:ctrlPr>
                      <w:rPr>
                        <w:rFonts w:ascii="Cambria Math" w:hAnsi="Cambria Math"/>
                        <w:i/>
                      </w:rPr>
                    </m:ctrlPr>
                  </m:sSubPr>
                  <m:e>
                    <m:r>
                      <w:rPr>
                        <w:rFonts w:ascii="Cambria Math" w:hAnsi="Cambria Math"/>
                      </w:rPr>
                      <m:t>α</m:t>
                    </m:r>
                  </m:e>
                  <m:sub>
                    <m:r>
                      <w:rPr>
                        <w:rFonts w:ascii="Cambria Math" w:hAnsi="Cambria Math"/>
                      </w:rPr>
                      <m:t>3i</m:t>
                    </m:r>
                  </m:sub>
                </m:sSub>
              </m:oMath>
            </m:oMathPara>
          </w:p>
        </w:tc>
        <w:tc>
          <w:tcPr>
            <w:tcW w:w="4017" w:type="dxa"/>
            <w:tcBorders>
              <w:left w:val="single" w:sz="18" w:space="0" w:color="548DD4"/>
              <w:right w:val="single" w:sz="18" w:space="0" w:color="4F81BD" w:themeColor="accent1"/>
            </w:tcBorders>
            <w:shd w:val="clear" w:color="auto" w:fill="B8CCE4" w:themeFill="accent1" w:themeFillTint="66"/>
          </w:tcPr>
          <w:p w:rsidR="00F25F32" w:rsidRPr="00D133EA" w:rsidRDefault="00F25F32" w:rsidP="008B2DB1">
            <w:pPr>
              <w:autoSpaceDE w:val="0"/>
              <w:autoSpaceDN w:val="0"/>
              <w:adjustRightInd w:val="0"/>
              <w:spacing w:line="320" w:lineRule="atLeast"/>
              <w:jc w:val="center"/>
              <w:rPr>
                <w:rFonts w:cs="Arial"/>
                <w:color w:val="000000"/>
                <w:sz w:val="18"/>
                <w:szCs w:val="18"/>
                <w:lang w:val="nl-NL" w:eastAsia="nl-NL"/>
              </w:rPr>
            </w:pPr>
            <w:r>
              <w:rPr>
                <w:rFonts w:cs="Arial"/>
                <w:color w:val="000000"/>
                <w:sz w:val="18"/>
                <w:szCs w:val="18"/>
                <w:lang w:val="nl-NL" w:eastAsia="nl-NL"/>
              </w:rPr>
              <w:t>0,34</w:t>
            </w:r>
          </w:p>
        </w:tc>
      </w:tr>
    </w:tbl>
    <w:p w:rsidR="00F25F32" w:rsidRDefault="00F25F32" w:rsidP="00F25F32">
      <w:pPr>
        <w:pStyle w:val="Caption"/>
        <w:jc w:val="both"/>
      </w:pPr>
      <w:r>
        <w:t xml:space="preserve">                                                                                     </w:t>
      </w:r>
      <w:r w:rsidR="00BD38F4">
        <w:t xml:space="preserve">                         Table 1</w:t>
      </w:r>
      <w:r>
        <w:t xml:space="preserve"> Coefficients</w:t>
      </w:r>
    </w:p>
    <w:p w:rsidR="00F25F32" w:rsidRDefault="00F25F32" w:rsidP="00F25F32">
      <w:pPr>
        <w:rPr>
          <w:lang w:val="en-GB" w:eastAsia="en-US" w:bidi="ar-SA"/>
        </w:rPr>
      </w:pPr>
      <w:r>
        <w:rPr>
          <w:lang w:val="en-GB" w:eastAsia="en-US" w:bidi="ar-SA"/>
        </w:rPr>
        <w:t xml:space="preserve">The unstandardized coefficients are used and not the standardized coefficients because the standardized coefficients are converted to the same scale so that they can be compared. This research does not compare the different variables so </w:t>
      </w:r>
      <w:r w:rsidR="007C0093">
        <w:rPr>
          <w:lang w:val="en-GB" w:eastAsia="en-US" w:bidi="ar-SA"/>
        </w:rPr>
        <w:t>therefore</w:t>
      </w:r>
      <w:r>
        <w:rPr>
          <w:lang w:val="en-GB" w:eastAsia="en-US" w:bidi="ar-SA"/>
        </w:rPr>
        <w:t xml:space="preserve"> the unstandardized coefficients are used. </w:t>
      </w:r>
    </w:p>
    <w:p w:rsidR="00F25F32" w:rsidRDefault="00F25F32" w:rsidP="00F25F32">
      <w:pPr>
        <w:rPr>
          <w:lang w:val="en-GB" w:eastAsia="en-US" w:bidi="ar-SA"/>
        </w:rPr>
      </w:pPr>
    </w:p>
    <w:p w:rsidR="00F25F32" w:rsidRDefault="007C0093" w:rsidP="00F25F32">
      <w:pPr>
        <w:rPr>
          <w:lang w:val="en-GB" w:eastAsia="en-US" w:bidi="ar-SA"/>
        </w:rPr>
      </w:pPr>
      <w:r>
        <w:rPr>
          <w:lang w:val="en-GB" w:eastAsia="en-US" w:bidi="ar-SA"/>
        </w:rPr>
        <w:t>The</w:t>
      </w:r>
      <w:r w:rsidR="00F25F32">
        <w:rPr>
          <w:lang w:val="en-GB" w:eastAsia="en-US" w:bidi="ar-SA"/>
        </w:rPr>
        <w:t xml:space="preserve"> output from SPSS </w:t>
      </w:r>
      <w:r>
        <w:rPr>
          <w:lang w:val="en-GB" w:eastAsia="en-US" w:bidi="ar-SA"/>
        </w:rPr>
        <w:t xml:space="preserve">further </w:t>
      </w:r>
      <w:r w:rsidR="00F25F32">
        <w:rPr>
          <w:lang w:val="en-GB" w:eastAsia="en-US" w:bidi="ar-SA"/>
        </w:rPr>
        <w:t>shows the adjusted R Square. The adjusted R Square measures the proportion of the variation in the dependent variable (total accruals scaled by assets) accounted for by the explanatory variables. For this model the Adjusted R Square is 0,485 (48,5%), which is a reasonable percentage.</w:t>
      </w:r>
    </w:p>
    <w:p w:rsidR="00F25F32" w:rsidRDefault="00F25F32" w:rsidP="00F25F32">
      <w:pPr>
        <w:rPr>
          <w:lang w:val="en-GB" w:eastAsia="en-US" w:bidi="ar-SA"/>
        </w:rPr>
      </w:pPr>
    </w:p>
    <w:p w:rsidR="00F25F32" w:rsidRDefault="007C0093" w:rsidP="00F25F32">
      <w:pPr>
        <w:rPr>
          <w:lang w:val="en-GB" w:eastAsia="en-US" w:bidi="ar-SA"/>
        </w:rPr>
      </w:pPr>
      <w:r>
        <w:rPr>
          <w:lang w:val="en-GB" w:eastAsia="en-US" w:bidi="ar-SA"/>
        </w:rPr>
        <w:t>Now a</w:t>
      </w:r>
      <w:r w:rsidR="00F25F32">
        <w:rPr>
          <w:lang w:val="en-GB" w:eastAsia="en-US" w:bidi="ar-SA"/>
        </w:rPr>
        <w:t>ll variables are available</w:t>
      </w:r>
      <w:r>
        <w:rPr>
          <w:lang w:val="en-GB" w:eastAsia="en-US" w:bidi="ar-SA"/>
        </w:rPr>
        <w:t>,</w:t>
      </w:r>
      <w:r w:rsidR="00F25F32">
        <w:rPr>
          <w:lang w:val="en-GB" w:eastAsia="en-US" w:bidi="ar-SA"/>
        </w:rPr>
        <w:t xml:space="preserve"> </w:t>
      </w:r>
      <w:r>
        <w:rPr>
          <w:lang w:val="en-GB" w:eastAsia="en-US" w:bidi="ar-SA"/>
        </w:rPr>
        <w:t>the error term (</w:t>
      </w:r>
      <m:oMath>
        <m:sSub>
          <m:sSubPr>
            <m:ctrlPr>
              <w:rPr>
                <w:rFonts w:ascii="Cambria Math" w:hAnsi="Cambria Math"/>
                <w:i/>
              </w:rPr>
            </m:ctrlPr>
          </m:sSubPr>
          <m:e>
            <m:r>
              <w:rPr>
                <w:rFonts w:ascii="Cambria Math" w:hAnsi="Cambria Math"/>
              </w:rPr>
              <m:t>ε</m:t>
            </m:r>
          </m:e>
          <m:sub>
            <m:r>
              <w:rPr>
                <w:rFonts w:ascii="Cambria Math" w:hAnsi="Cambria Math"/>
              </w:rPr>
              <m:t>it</m:t>
            </m:r>
          </m:sub>
        </m:sSub>
      </m:oMath>
      <w:r>
        <w:t>)</w:t>
      </w:r>
      <w:r>
        <w:rPr>
          <w:lang w:eastAsia="en-US" w:bidi="ar-SA"/>
        </w:rPr>
        <w:t xml:space="preserve"> </w:t>
      </w:r>
      <w:r w:rsidR="00F25F32">
        <w:rPr>
          <w:lang w:val="en-GB" w:eastAsia="en-US" w:bidi="ar-SA"/>
        </w:rPr>
        <w:t xml:space="preserve">for each of the 176 companies </w:t>
      </w:r>
      <w:r>
        <w:rPr>
          <w:lang w:val="en-GB" w:eastAsia="en-US" w:bidi="ar-SA"/>
        </w:rPr>
        <w:t xml:space="preserve">is </w:t>
      </w:r>
      <w:r w:rsidR="00F25F32">
        <w:rPr>
          <w:lang w:val="en-GB" w:eastAsia="en-US" w:bidi="ar-SA"/>
        </w:rPr>
        <w:t>determine</w:t>
      </w:r>
      <w:r>
        <w:rPr>
          <w:lang w:val="en-GB" w:eastAsia="en-US" w:bidi="ar-SA"/>
        </w:rPr>
        <w:t xml:space="preserve">d. </w:t>
      </w:r>
      <w:r w:rsidR="00F25F32">
        <w:rPr>
          <w:lang w:val="en-GB" w:eastAsia="en-US" w:bidi="ar-SA"/>
        </w:rPr>
        <w:t xml:space="preserve">For the error terms (discretionary accruals) see appendix B on page </w:t>
      </w:r>
      <w:r w:rsidR="00521003">
        <w:rPr>
          <w:lang w:val="en-GB" w:eastAsia="en-US" w:bidi="ar-SA"/>
        </w:rPr>
        <w:t>6</w:t>
      </w:r>
      <w:r w:rsidR="004573BD">
        <w:rPr>
          <w:lang w:val="en-GB" w:eastAsia="en-US" w:bidi="ar-SA"/>
        </w:rPr>
        <w:t>2</w:t>
      </w:r>
      <w:r w:rsidR="00F25F32">
        <w:rPr>
          <w:lang w:val="en-GB" w:eastAsia="en-US" w:bidi="ar-SA"/>
        </w:rPr>
        <w:t>.</w:t>
      </w:r>
      <w:r>
        <w:rPr>
          <w:lang w:val="en-GB" w:eastAsia="en-US" w:bidi="ar-SA"/>
        </w:rPr>
        <w:t xml:space="preserve"> </w:t>
      </w:r>
      <w:r w:rsidR="00D24A48">
        <w:rPr>
          <w:lang w:val="en-GB" w:eastAsia="en-US" w:bidi="ar-SA"/>
        </w:rPr>
        <w:t>The error terms in appendix B only concern absolute values. Even though e</w:t>
      </w:r>
      <w:r w:rsidR="00F25F32">
        <w:rPr>
          <w:lang w:val="en-GB" w:eastAsia="en-US" w:bidi="ar-SA"/>
        </w:rPr>
        <w:t>arnings management involves both positive and negative values o</w:t>
      </w:r>
      <w:r w:rsidR="00521003">
        <w:rPr>
          <w:lang w:val="en-GB" w:eastAsia="en-US" w:bidi="ar-SA"/>
        </w:rPr>
        <w:t>f accruals</w:t>
      </w:r>
      <w:r w:rsidR="00D24A48">
        <w:rPr>
          <w:lang w:val="en-GB" w:eastAsia="en-US" w:bidi="ar-SA"/>
        </w:rPr>
        <w:t xml:space="preserve">, it does </w:t>
      </w:r>
      <w:r w:rsidR="00521003">
        <w:rPr>
          <w:lang w:val="en-GB" w:eastAsia="en-US" w:bidi="ar-SA"/>
        </w:rPr>
        <w:t>not matter whether the value of the err</w:t>
      </w:r>
      <w:r w:rsidR="00D24A48">
        <w:rPr>
          <w:lang w:val="en-GB" w:eastAsia="en-US" w:bidi="ar-SA"/>
        </w:rPr>
        <w:t>or term is positive or negative for this study. This is because the magnitude</w:t>
      </w:r>
      <w:r>
        <w:rPr>
          <w:lang w:val="en-GB" w:eastAsia="en-US" w:bidi="ar-SA"/>
        </w:rPr>
        <w:t xml:space="preserve"> of discretionary accruals is important</w:t>
      </w:r>
      <w:r w:rsidR="00D24A48">
        <w:rPr>
          <w:lang w:val="en-GB" w:eastAsia="en-US" w:bidi="ar-SA"/>
        </w:rPr>
        <w:t xml:space="preserve">, not whether the effect is positive or negative. </w:t>
      </w:r>
      <w:r w:rsidR="008B2DB1">
        <w:rPr>
          <w:lang w:val="en-GB" w:eastAsia="en-US" w:bidi="ar-SA"/>
        </w:rPr>
        <w:t>Now that the error terms (discretionary accruals) are determined, the descriptive statistics</w:t>
      </w:r>
      <w:r w:rsidR="001D487A">
        <w:rPr>
          <w:lang w:val="en-GB" w:eastAsia="en-US" w:bidi="ar-SA"/>
        </w:rPr>
        <w:t xml:space="preserve"> over the data that is used in this research</w:t>
      </w:r>
      <w:r>
        <w:rPr>
          <w:lang w:val="en-GB" w:eastAsia="en-US" w:bidi="ar-SA"/>
        </w:rPr>
        <w:t xml:space="preserve"> can be computed</w:t>
      </w:r>
      <w:r w:rsidR="001D487A">
        <w:rPr>
          <w:lang w:val="en-GB" w:eastAsia="en-US" w:bidi="ar-SA"/>
        </w:rPr>
        <w:t>.</w:t>
      </w:r>
    </w:p>
    <w:p w:rsidR="00D24A48" w:rsidRDefault="00D24A48" w:rsidP="00F25F32">
      <w:pPr>
        <w:rPr>
          <w:rFonts w:cs="Arial"/>
          <w:lang w:val="en-US"/>
        </w:rPr>
      </w:pPr>
    </w:p>
    <w:p w:rsidR="00BD38F4" w:rsidRDefault="00BD38F4" w:rsidP="00F25F32">
      <w:pPr>
        <w:rPr>
          <w:rFonts w:cs="Arial"/>
          <w:lang w:val="en-US"/>
        </w:rPr>
      </w:pPr>
      <w:r>
        <w:rPr>
          <w:rFonts w:cs="Arial"/>
          <w:lang w:val="en-US"/>
        </w:rPr>
        <w:t>From the 1</w:t>
      </w:r>
      <w:r w:rsidRPr="002B45A4">
        <w:rPr>
          <w:rFonts w:cs="Arial"/>
          <w:vertAlign w:val="superscript"/>
          <w:lang w:val="en-US"/>
        </w:rPr>
        <w:t>st</w:t>
      </w:r>
      <w:r>
        <w:rPr>
          <w:rFonts w:cs="Arial"/>
          <w:lang w:val="en-US"/>
        </w:rPr>
        <w:t xml:space="preserve"> of January 2005 all listed European Union companies are required to </w:t>
      </w:r>
      <w:r w:rsidR="00DF4BE3">
        <w:rPr>
          <w:rFonts w:cs="Arial"/>
          <w:lang w:val="en-US"/>
        </w:rPr>
        <w:t>comply to</w:t>
      </w:r>
      <w:r>
        <w:rPr>
          <w:rFonts w:cs="Arial"/>
          <w:lang w:val="en-US"/>
        </w:rPr>
        <w:t xml:space="preserve"> the International Financial Reporting Standards (IFRS). Therefore the data from 2005 and 2006, which is used in this research, is comparable. For this reason the descriptive statistics for</w:t>
      </w:r>
      <w:r w:rsidR="008B2DB1">
        <w:rPr>
          <w:rFonts w:cs="Arial"/>
          <w:lang w:val="en-US"/>
        </w:rPr>
        <w:t xml:space="preserve"> the data of</w:t>
      </w:r>
      <w:r>
        <w:rPr>
          <w:rFonts w:cs="Arial"/>
          <w:lang w:val="en-US"/>
        </w:rPr>
        <w:t xml:space="preserve"> 2005 and 2006 </w:t>
      </w:r>
      <w:r w:rsidR="008B2DB1">
        <w:rPr>
          <w:rFonts w:cs="Arial"/>
          <w:lang w:val="en-US"/>
        </w:rPr>
        <w:t xml:space="preserve">are calculated and presented </w:t>
      </w:r>
      <w:r w:rsidR="00FA1EEB">
        <w:rPr>
          <w:rFonts w:cs="Arial"/>
          <w:lang w:val="en-US"/>
        </w:rPr>
        <w:t>as one dataset</w:t>
      </w:r>
      <w:r>
        <w:rPr>
          <w:rFonts w:cs="Arial"/>
          <w:lang w:val="en-US"/>
        </w:rPr>
        <w:t>.</w:t>
      </w:r>
    </w:p>
    <w:p w:rsidR="003E0B13" w:rsidRDefault="00FA1EEB" w:rsidP="003E0B13">
      <w:pPr>
        <w:rPr>
          <w:lang w:val="en-GB" w:eastAsia="en-US" w:bidi="ar-SA"/>
        </w:rPr>
      </w:pPr>
      <w:r>
        <w:rPr>
          <w:rFonts w:cs="Arial"/>
          <w:lang w:val="en-US"/>
        </w:rPr>
        <w:lastRenderedPageBreak/>
        <w:t xml:space="preserve">For the descriptive statistics </w:t>
      </w:r>
      <w:r w:rsidRPr="00FA1EEB">
        <w:rPr>
          <w:rFonts w:cs="Arial"/>
          <w:lang w:val="en-US"/>
        </w:rPr>
        <w:t xml:space="preserve">the mean, median, standard deviation, minimum and maximum for the years 2005 and 2006 </w:t>
      </w:r>
      <w:r>
        <w:rPr>
          <w:rFonts w:cs="Arial"/>
          <w:lang w:val="en-US"/>
        </w:rPr>
        <w:t xml:space="preserve">together </w:t>
      </w:r>
      <w:r w:rsidRPr="00FA1EEB">
        <w:rPr>
          <w:rFonts w:cs="Arial"/>
          <w:lang w:val="en-US"/>
        </w:rPr>
        <w:t>are computed.</w:t>
      </w:r>
      <w:r>
        <w:rPr>
          <w:rFonts w:cs="Arial"/>
          <w:lang w:val="en-US"/>
        </w:rPr>
        <w:t xml:space="preserve"> </w:t>
      </w:r>
      <w:r w:rsidR="00C74999">
        <w:rPr>
          <w:lang w:val="en-GB" w:eastAsia="en-US" w:bidi="ar-SA"/>
        </w:rPr>
        <w:t>T</w:t>
      </w:r>
      <w:r w:rsidR="00521003">
        <w:rPr>
          <w:lang w:val="en-GB" w:eastAsia="en-US" w:bidi="ar-SA"/>
        </w:rPr>
        <w:t xml:space="preserve">he descriptive statistics </w:t>
      </w:r>
      <w:r w:rsidR="00C74999">
        <w:rPr>
          <w:lang w:val="en-GB" w:eastAsia="en-US" w:bidi="ar-SA"/>
        </w:rPr>
        <w:t xml:space="preserve">are computed </w:t>
      </w:r>
      <w:r w:rsidR="00521003">
        <w:rPr>
          <w:lang w:val="en-GB" w:eastAsia="en-US" w:bidi="ar-SA"/>
        </w:rPr>
        <w:t xml:space="preserve">for the error term (discretionary accruals), the </w:t>
      </w:r>
      <w:r>
        <w:rPr>
          <w:lang w:val="en-GB" w:eastAsia="en-US" w:bidi="ar-SA"/>
        </w:rPr>
        <w:t>accrual</w:t>
      </w:r>
      <w:r w:rsidR="00521003">
        <w:rPr>
          <w:lang w:val="en-GB" w:eastAsia="en-US" w:bidi="ar-SA"/>
        </w:rPr>
        <w:t xml:space="preserve"> data</w:t>
      </w:r>
      <w:r w:rsidR="00DF4BE3">
        <w:rPr>
          <w:lang w:val="en-GB" w:eastAsia="en-US" w:bidi="ar-SA"/>
        </w:rPr>
        <w:t xml:space="preserve"> </w:t>
      </w:r>
      <w:r w:rsidR="00521003">
        <w:rPr>
          <w:lang w:val="en-GB" w:eastAsia="en-US" w:bidi="ar-SA"/>
        </w:rPr>
        <w:t>and for the compensation data</w:t>
      </w:r>
      <w:r w:rsidR="00521003" w:rsidRPr="00FA1EEB">
        <w:rPr>
          <w:lang w:val="en-GB" w:eastAsia="en-US" w:bidi="ar-SA"/>
        </w:rPr>
        <w:t xml:space="preserve">. </w:t>
      </w:r>
      <w:r w:rsidRPr="00FA1EEB">
        <w:rPr>
          <w:rFonts w:cs="Arial"/>
          <w:lang w:val="en-US"/>
        </w:rPr>
        <w:t xml:space="preserve">The compensation data consist of three </w:t>
      </w:r>
      <w:r>
        <w:rPr>
          <w:rFonts w:cs="Arial"/>
          <w:lang w:val="en-US"/>
        </w:rPr>
        <w:t xml:space="preserve">different </w:t>
      </w:r>
      <w:r w:rsidRPr="00FA1EEB">
        <w:rPr>
          <w:rFonts w:cs="Arial"/>
          <w:lang w:val="en-US"/>
        </w:rPr>
        <w:t>types</w:t>
      </w:r>
      <w:r>
        <w:rPr>
          <w:rFonts w:cs="Arial"/>
          <w:lang w:val="en-US"/>
        </w:rPr>
        <w:t xml:space="preserve"> of compensation</w:t>
      </w:r>
      <w:r w:rsidRPr="00FA1EEB">
        <w:rPr>
          <w:rFonts w:cs="Arial"/>
          <w:lang w:val="en-US"/>
        </w:rPr>
        <w:t xml:space="preserve">; fixed salary, stock-based compensation and bonus. </w:t>
      </w:r>
      <w:r w:rsidR="008B2DB1">
        <w:rPr>
          <w:lang w:val="en-GB" w:eastAsia="en-US" w:bidi="ar-SA"/>
        </w:rPr>
        <w:t xml:space="preserve">For the descriptive statistics, see table 2 on the next page. </w:t>
      </w:r>
    </w:p>
    <w:p w:rsidR="00DF4BE3" w:rsidRDefault="00DF4BE3" w:rsidP="003E0B13">
      <w:pPr>
        <w:rPr>
          <w:lang w:val="en-GB" w:eastAsia="en-US" w:bidi="ar-SA"/>
        </w:rPr>
      </w:pPr>
    </w:p>
    <w:p w:rsidR="003E0B13" w:rsidRPr="003E0B13" w:rsidRDefault="00DF4BE3" w:rsidP="003E0B13">
      <w:pPr>
        <w:rPr>
          <w:lang w:val="en-GB" w:eastAsia="en-US" w:bidi="ar-SA"/>
        </w:rPr>
      </w:pPr>
      <w:r>
        <w:rPr>
          <w:lang w:val="en-GB" w:eastAsia="en-US" w:bidi="ar-SA"/>
        </w:rPr>
        <w:t xml:space="preserve">The statistics in table 2 show that, concerning the compensation data, fixed salary has the highest mean (0,41) with respect to stock-based compensation (0,31) and bonus compensation (0,28). Further stock-based compensation has the largest standard deviation (0,23). </w:t>
      </w:r>
      <w:r w:rsidR="00A76D52">
        <w:rPr>
          <w:lang w:val="en-GB" w:eastAsia="en-US" w:bidi="ar-SA"/>
        </w:rPr>
        <w:t xml:space="preserve">See table 2 on the next page for detailed information about the descriptive statistics. </w:t>
      </w:r>
    </w:p>
    <w:p w:rsidR="00A76D52" w:rsidRPr="00BD38F4" w:rsidRDefault="00A76D52" w:rsidP="00A76D52">
      <w:pPr>
        <w:pStyle w:val="Heading2"/>
        <w:rPr>
          <w:lang w:val="en-US"/>
        </w:rPr>
      </w:pPr>
      <w:bookmarkStart w:id="76" w:name="_Toc274485451"/>
      <w:r w:rsidRPr="002A56A0">
        <w:rPr>
          <w:lang w:val="en-US"/>
        </w:rPr>
        <w:t>Results</w:t>
      </w:r>
      <w:bookmarkEnd w:id="76"/>
      <w:r>
        <w:rPr>
          <w:lang w:val="en-US"/>
        </w:rPr>
        <w:t xml:space="preserve"> </w:t>
      </w:r>
    </w:p>
    <w:p w:rsidR="00A76D52" w:rsidRPr="00CB728C" w:rsidRDefault="00A76D52" w:rsidP="00A76D52">
      <w:pPr>
        <w:rPr>
          <w:lang w:val="en-US"/>
        </w:rPr>
      </w:pPr>
      <w:r>
        <w:rPr>
          <w:lang w:val="en-US"/>
        </w:rPr>
        <w:t xml:space="preserve">As described in </w:t>
      </w:r>
      <w:r w:rsidRPr="00CB728C">
        <w:rPr>
          <w:lang w:val="en-US"/>
        </w:rPr>
        <w:t xml:space="preserve">Chapter 3, the </w:t>
      </w:r>
      <w:r>
        <w:rPr>
          <w:lang w:val="en-US"/>
        </w:rPr>
        <w:t>hypotheses</w:t>
      </w:r>
      <w:r w:rsidRPr="00CB728C">
        <w:rPr>
          <w:lang w:val="en-US"/>
        </w:rPr>
        <w:t xml:space="preserve"> in this research is are:</w:t>
      </w:r>
    </w:p>
    <w:p w:rsidR="00A76D52" w:rsidRPr="00CB728C" w:rsidRDefault="00A76D52" w:rsidP="00A76D52">
      <w:pPr>
        <w:pStyle w:val="ListParagraph"/>
        <w:numPr>
          <w:ilvl w:val="0"/>
          <w:numId w:val="17"/>
        </w:numPr>
        <w:rPr>
          <w:lang w:val="en-US"/>
        </w:rPr>
      </w:pPr>
      <w:r w:rsidRPr="00CB728C">
        <w:rPr>
          <w:iCs/>
          <w:lang w:val="en-GB"/>
        </w:rPr>
        <w:t xml:space="preserve">Fixed salary is negatively related to </w:t>
      </w:r>
      <w:r w:rsidRPr="00CB728C">
        <w:rPr>
          <w:rFonts w:ascii="TimesNewRomanPSMT" w:hAnsi="TimesNewRomanPSMT" w:cs="TimesNewRomanPSMT"/>
          <w:iCs/>
          <w:lang w:val="en-US" w:eastAsia="en-US" w:bidi="ar-SA"/>
        </w:rPr>
        <w:t>the use of discretionary accruals as a tool for</w:t>
      </w:r>
      <w:r w:rsidRPr="00CB728C">
        <w:rPr>
          <w:iCs/>
          <w:lang w:val="en-GB"/>
        </w:rPr>
        <w:t xml:space="preserve"> earnings management.</w:t>
      </w:r>
    </w:p>
    <w:p w:rsidR="00A76D52" w:rsidRPr="00CB728C" w:rsidRDefault="00A76D52" w:rsidP="00A76D52">
      <w:pPr>
        <w:pStyle w:val="ListParagraph"/>
        <w:numPr>
          <w:ilvl w:val="0"/>
          <w:numId w:val="17"/>
        </w:numPr>
        <w:rPr>
          <w:lang w:val="en-US"/>
        </w:rPr>
      </w:pPr>
      <w:r>
        <w:rPr>
          <w:iCs/>
          <w:lang w:val="en-GB"/>
        </w:rPr>
        <w:t>Bonus compensation is</w:t>
      </w:r>
      <w:r w:rsidRPr="00CB728C">
        <w:rPr>
          <w:iCs/>
          <w:lang w:val="en-GB"/>
        </w:rPr>
        <w:t xml:space="preserve"> positively related to the use of discretionary accruals as a tool for earnings management.</w:t>
      </w:r>
    </w:p>
    <w:p w:rsidR="00A76D52" w:rsidRPr="00CB728C" w:rsidRDefault="00A76D52" w:rsidP="00A76D52">
      <w:pPr>
        <w:pStyle w:val="ListParagraph"/>
        <w:numPr>
          <w:ilvl w:val="0"/>
          <w:numId w:val="17"/>
        </w:numPr>
        <w:jc w:val="left"/>
        <w:rPr>
          <w:iCs/>
          <w:lang w:val="en-GB"/>
        </w:rPr>
      </w:pPr>
      <w:r w:rsidRPr="00CB728C">
        <w:rPr>
          <w:iCs/>
          <w:lang w:val="en-GB"/>
        </w:rPr>
        <w:t>Stock-based compensation is positively related to the use of discretionary accruals as a tool for earnings management.</w:t>
      </w:r>
    </w:p>
    <w:p w:rsidR="00A76D52" w:rsidRPr="00CB728C" w:rsidRDefault="00A76D52" w:rsidP="00A76D52">
      <w:pPr>
        <w:pStyle w:val="ListParagraph"/>
        <w:rPr>
          <w:lang w:val="en-US"/>
        </w:rPr>
      </w:pPr>
    </w:p>
    <w:p w:rsidR="004573BD" w:rsidRDefault="00A76D52" w:rsidP="003E0B13">
      <w:pPr>
        <w:rPr>
          <w:lang w:val="en-US"/>
        </w:rPr>
      </w:pPr>
      <w:r>
        <w:rPr>
          <w:lang w:val="en-US"/>
        </w:rPr>
        <w:t>To test the hypotheses, first a correlation test will be performed in paragraph 5.2.1 to obtain understanding about the strength of the relationship between the different types of compensation and discretionary accruals. Furthermore an independent</w:t>
      </w:r>
      <w:r w:rsidR="004573BD">
        <w:rPr>
          <w:lang w:val="en-US"/>
        </w:rPr>
        <w:t>-samples t</w:t>
      </w:r>
      <w:r>
        <w:rPr>
          <w:lang w:val="en-US"/>
        </w:rPr>
        <w:t xml:space="preserve">-test will be performed, see paragraph 5.2.2, to test whether </w:t>
      </w:r>
      <w:r w:rsidR="004573BD">
        <w:rPr>
          <w:lang w:val="en-US"/>
        </w:rPr>
        <w:t>there is a significant difference in mean score</w:t>
      </w:r>
      <w:r w:rsidR="00290E64">
        <w:rPr>
          <w:lang w:val="en-US"/>
        </w:rPr>
        <w:t>s</w:t>
      </w:r>
      <w:r w:rsidR="004573BD">
        <w:rPr>
          <w:lang w:val="en-US"/>
        </w:rPr>
        <w:t xml:space="preserve"> of discretionary accruals for each of the compensation types. </w:t>
      </w:r>
    </w:p>
    <w:p w:rsidR="00A76D52" w:rsidRPr="00A76D52" w:rsidRDefault="00A76D52" w:rsidP="00A76D52">
      <w:pPr>
        <w:rPr>
          <w:color w:val="FF0000"/>
          <w:lang w:val="en-US" w:eastAsia="en-US" w:bidi="ar-SA"/>
        </w:rPr>
        <w:sectPr w:rsidR="00A76D52" w:rsidRPr="00A76D52" w:rsidSect="00AE4596">
          <w:type w:val="continuous"/>
          <w:pgSz w:w="11907" w:h="16840" w:code="9"/>
          <w:pgMar w:top="1418" w:right="1418" w:bottom="1418" w:left="1418" w:header="709" w:footer="709" w:gutter="0"/>
          <w:lnNumType w:countBy="5"/>
          <w:cols w:space="708"/>
          <w:docGrid w:linePitch="360"/>
        </w:sectPr>
      </w:pPr>
    </w:p>
    <w:tbl>
      <w:tblPr>
        <w:tblW w:w="12222" w:type="dxa"/>
        <w:jc w:val="center"/>
        <w:tblLook w:val="00A0"/>
      </w:tblPr>
      <w:tblGrid>
        <w:gridCol w:w="1761"/>
        <w:gridCol w:w="2891"/>
        <w:gridCol w:w="909"/>
        <w:gridCol w:w="850"/>
        <w:gridCol w:w="851"/>
        <w:gridCol w:w="1663"/>
        <w:gridCol w:w="1777"/>
        <w:gridCol w:w="1520"/>
      </w:tblGrid>
      <w:tr w:rsidR="00FA1EEB" w:rsidRPr="008B2DB1" w:rsidTr="00FA1EEB">
        <w:trPr>
          <w:trHeight w:val="378"/>
          <w:jc w:val="center"/>
        </w:trPr>
        <w:tc>
          <w:tcPr>
            <w:tcW w:w="1761" w:type="dxa"/>
            <w:tcBorders>
              <w:right w:val="single" w:sz="18" w:space="0" w:color="548DD4"/>
            </w:tcBorders>
          </w:tcPr>
          <w:p w:rsidR="00300AF2" w:rsidRPr="008B2DB1" w:rsidRDefault="00300AF2" w:rsidP="008B2DB1">
            <w:pPr>
              <w:rPr>
                <w:rFonts w:cs="Arial"/>
                <w:b/>
                <w:lang w:val="en-US"/>
              </w:rPr>
            </w:pPr>
            <w:r w:rsidRPr="008B2DB1">
              <w:rPr>
                <w:rFonts w:cs="Arial"/>
                <w:b/>
                <w:lang w:val="en-US"/>
              </w:rPr>
              <w:lastRenderedPageBreak/>
              <w:t>Statistics</w:t>
            </w:r>
          </w:p>
        </w:tc>
        <w:tc>
          <w:tcPr>
            <w:tcW w:w="2891" w:type="dxa"/>
            <w:tcBorders>
              <w:right w:val="single" w:sz="18" w:space="0" w:color="4F81BD" w:themeColor="accent1"/>
            </w:tcBorders>
          </w:tcPr>
          <w:p w:rsidR="00300AF2" w:rsidRPr="008B2DB1" w:rsidRDefault="00300AF2" w:rsidP="00FA1EEB">
            <w:pPr>
              <w:tabs>
                <w:tab w:val="left" w:pos="720"/>
                <w:tab w:val="center" w:pos="925"/>
              </w:tabs>
              <w:jc w:val="center"/>
              <w:rPr>
                <w:rFonts w:cs="Arial"/>
                <w:b/>
                <w:lang w:val="en-US"/>
              </w:rPr>
            </w:pPr>
            <w:r w:rsidRPr="008B2DB1">
              <w:rPr>
                <w:rFonts w:cs="Arial"/>
                <w:b/>
                <w:lang w:val="en-US"/>
              </w:rPr>
              <w:t xml:space="preserve">Error term </w:t>
            </w:r>
          </w:p>
        </w:tc>
        <w:tc>
          <w:tcPr>
            <w:tcW w:w="2610" w:type="dxa"/>
            <w:gridSpan w:val="3"/>
            <w:tcBorders>
              <w:left w:val="single" w:sz="18" w:space="0" w:color="4F81BD" w:themeColor="accent1"/>
              <w:right w:val="single" w:sz="18" w:space="0" w:color="4F81BD" w:themeColor="accent1"/>
            </w:tcBorders>
          </w:tcPr>
          <w:p w:rsidR="00300AF2" w:rsidRPr="008B2DB1" w:rsidRDefault="00FA1EEB" w:rsidP="008B2DB1">
            <w:pPr>
              <w:tabs>
                <w:tab w:val="left" w:pos="720"/>
                <w:tab w:val="center" w:pos="925"/>
              </w:tabs>
              <w:jc w:val="center"/>
              <w:rPr>
                <w:rFonts w:cs="Arial"/>
                <w:b/>
                <w:lang w:val="en-US"/>
              </w:rPr>
            </w:pPr>
            <w:r>
              <w:rPr>
                <w:rFonts w:cs="Arial"/>
                <w:b/>
                <w:lang w:val="en-US"/>
              </w:rPr>
              <w:t>Accrual</w:t>
            </w:r>
            <w:r w:rsidR="00300AF2">
              <w:rPr>
                <w:rFonts w:cs="Arial"/>
                <w:b/>
                <w:lang w:val="en-US"/>
              </w:rPr>
              <w:t xml:space="preserve"> data</w:t>
            </w:r>
          </w:p>
        </w:tc>
        <w:tc>
          <w:tcPr>
            <w:tcW w:w="4960" w:type="dxa"/>
            <w:gridSpan w:val="3"/>
            <w:tcBorders>
              <w:left w:val="single" w:sz="18" w:space="0" w:color="4F81BD" w:themeColor="accent1"/>
              <w:right w:val="single" w:sz="18" w:space="0" w:color="4F81BD" w:themeColor="accent1"/>
            </w:tcBorders>
          </w:tcPr>
          <w:p w:rsidR="00300AF2" w:rsidRDefault="00300AF2" w:rsidP="00300AF2">
            <w:pPr>
              <w:tabs>
                <w:tab w:val="left" w:pos="720"/>
                <w:tab w:val="center" w:pos="925"/>
              </w:tabs>
              <w:jc w:val="center"/>
              <w:rPr>
                <w:rFonts w:cs="Arial"/>
                <w:b/>
                <w:lang w:val="en-US"/>
              </w:rPr>
            </w:pPr>
            <w:r>
              <w:rPr>
                <w:rFonts w:cs="Arial"/>
                <w:b/>
                <w:lang w:val="en-US"/>
              </w:rPr>
              <w:t>Compensation data</w:t>
            </w:r>
          </w:p>
        </w:tc>
      </w:tr>
      <w:tr w:rsidR="00300AF2" w:rsidRPr="008B2DB1" w:rsidTr="00FA1EEB">
        <w:trPr>
          <w:trHeight w:val="403"/>
          <w:jc w:val="center"/>
        </w:trPr>
        <w:tc>
          <w:tcPr>
            <w:tcW w:w="1761" w:type="dxa"/>
            <w:tcBorders>
              <w:right w:val="single" w:sz="18" w:space="0" w:color="548DD4"/>
            </w:tcBorders>
          </w:tcPr>
          <w:p w:rsidR="00300AF2" w:rsidRPr="008B2DB1" w:rsidRDefault="00300AF2" w:rsidP="008B2DB1">
            <w:pPr>
              <w:rPr>
                <w:rFonts w:cs="Arial"/>
                <w:b/>
                <w:lang w:val="en-US"/>
              </w:rPr>
            </w:pPr>
          </w:p>
        </w:tc>
        <w:tc>
          <w:tcPr>
            <w:tcW w:w="2891" w:type="dxa"/>
            <w:tcBorders>
              <w:right w:val="single" w:sz="18" w:space="0" w:color="4F81BD" w:themeColor="accent1"/>
            </w:tcBorders>
          </w:tcPr>
          <w:p w:rsidR="00300AF2" w:rsidRPr="00FA1EEB" w:rsidRDefault="00FA1EEB" w:rsidP="008B2DB1">
            <w:pPr>
              <w:tabs>
                <w:tab w:val="left" w:pos="720"/>
                <w:tab w:val="center" w:pos="925"/>
              </w:tabs>
              <w:jc w:val="center"/>
              <w:rPr>
                <w:rFonts w:cs="Arial"/>
                <w:lang w:val="en-US"/>
              </w:rPr>
            </w:pPr>
            <w:r w:rsidRPr="00FA1EEB">
              <w:rPr>
                <w:rFonts w:cs="Arial"/>
                <w:lang w:val="en-US"/>
              </w:rPr>
              <w:t>Discretionary accruals</w:t>
            </w:r>
          </w:p>
        </w:tc>
        <w:tc>
          <w:tcPr>
            <w:tcW w:w="909" w:type="dxa"/>
            <w:tcBorders>
              <w:left w:val="single" w:sz="18" w:space="0" w:color="4F81BD" w:themeColor="accent1"/>
            </w:tcBorders>
          </w:tcPr>
          <w:p w:rsidR="00300AF2" w:rsidRPr="00FA1EEB" w:rsidRDefault="00300AF2" w:rsidP="008B2DB1">
            <w:pPr>
              <w:tabs>
                <w:tab w:val="left" w:pos="720"/>
                <w:tab w:val="center" w:pos="925"/>
              </w:tabs>
              <w:jc w:val="center"/>
              <w:rPr>
                <w:rFonts w:cs="Arial"/>
                <w:lang w:val="en-US"/>
              </w:rPr>
            </w:pPr>
            <w:r w:rsidRPr="00FA1EEB">
              <w:rPr>
                <w:rFonts w:cs="Arial"/>
                <w:lang w:val="en-US"/>
              </w:rPr>
              <w:t xml:space="preserve">(1) </w:t>
            </w:r>
          </w:p>
        </w:tc>
        <w:tc>
          <w:tcPr>
            <w:tcW w:w="850" w:type="dxa"/>
          </w:tcPr>
          <w:p w:rsidR="00300AF2" w:rsidRPr="00FA1EEB" w:rsidRDefault="00300AF2" w:rsidP="008B2DB1">
            <w:pPr>
              <w:tabs>
                <w:tab w:val="left" w:pos="720"/>
                <w:tab w:val="center" w:pos="925"/>
              </w:tabs>
              <w:jc w:val="center"/>
              <w:rPr>
                <w:rFonts w:cs="Arial"/>
                <w:lang w:val="en-US"/>
              </w:rPr>
            </w:pPr>
            <w:r w:rsidRPr="00FA1EEB">
              <w:rPr>
                <w:rFonts w:cs="Arial"/>
                <w:lang w:val="en-US"/>
              </w:rPr>
              <w:t>(2)</w:t>
            </w:r>
          </w:p>
        </w:tc>
        <w:tc>
          <w:tcPr>
            <w:tcW w:w="851" w:type="dxa"/>
            <w:tcBorders>
              <w:right w:val="single" w:sz="18" w:space="0" w:color="4F81BD" w:themeColor="accent1"/>
            </w:tcBorders>
          </w:tcPr>
          <w:p w:rsidR="00300AF2" w:rsidRPr="00FA1EEB" w:rsidRDefault="00300AF2" w:rsidP="008B2DB1">
            <w:pPr>
              <w:tabs>
                <w:tab w:val="left" w:pos="720"/>
                <w:tab w:val="center" w:pos="925"/>
              </w:tabs>
              <w:jc w:val="center"/>
              <w:rPr>
                <w:rFonts w:cs="Arial"/>
                <w:lang w:val="en-US"/>
              </w:rPr>
            </w:pPr>
            <w:r w:rsidRPr="00FA1EEB">
              <w:rPr>
                <w:rFonts w:cs="Arial"/>
                <w:lang w:val="en-US"/>
              </w:rPr>
              <w:t>(3)</w:t>
            </w:r>
          </w:p>
        </w:tc>
        <w:tc>
          <w:tcPr>
            <w:tcW w:w="1663" w:type="dxa"/>
            <w:tcBorders>
              <w:left w:val="single" w:sz="18" w:space="0" w:color="4F81BD" w:themeColor="accent1"/>
            </w:tcBorders>
          </w:tcPr>
          <w:p w:rsidR="00300AF2" w:rsidRPr="00FA1EEB" w:rsidRDefault="00300AF2" w:rsidP="00300AF2">
            <w:pPr>
              <w:tabs>
                <w:tab w:val="left" w:pos="412"/>
                <w:tab w:val="left" w:pos="720"/>
                <w:tab w:val="center" w:pos="946"/>
              </w:tabs>
              <w:jc w:val="center"/>
              <w:rPr>
                <w:rFonts w:cs="Arial"/>
                <w:lang w:val="en-US"/>
              </w:rPr>
            </w:pPr>
            <w:r w:rsidRPr="00FA1EEB">
              <w:rPr>
                <w:rFonts w:cs="Arial"/>
                <w:lang w:val="en-US"/>
              </w:rPr>
              <w:t>Fixed salary</w:t>
            </w:r>
          </w:p>
        </w:tc>
        <w:tc>
          <w:tcPr>
            <w:tcW w:w="1777" w:type="dxa"/>
          </w:tcPr>
          <w:p w:rsidR="00300AF2" w:rsidRPr="00FA1EEB" w:rsidRDefault="00300AF2" w:rsidP="008B2DB1">
            <w:pPr>
              <w:tabs>
                <w:tab w:val="left" w:pos="720"/>
                <w:tab w:val="center" w:pos="925"/>
              </w:tabs>
              <w:jc w:val="center"/>
              <w:rPr>
                <w:rFonts w:cs="Arial"/>
                <w:lang w:val="en-US"/>
              </w:rPr>
            </w:pPr>
            <w:r w:rsidRPr="00FA1EEB">
              <w:rPr>
                <w:rFonts w:cs="Arial"/>
                <w:lang w:val="en-US"/>
              </w:rPr>
              <w:t>Stock-based</w:t>
            </w:r>
          </w:p>
        </w:tc>
        <w:tc>
          <w:tcPr>
            <w:tcW w:w="1520" w:type="dxa"/>
            <w:tcBorders>
              <w:right w:val="single" w:sz="18" w:space="0" w:color="4F81BD" w:themeColor="accent1"/>
            </w:tcBorders>
          </w:tcPr>
          <w:p w:rsidR="00300AF2" w:rsidRPr="00FA1EEB" w:rsidRDefault="00300AF2" w:rsidP="008B2DB1">
            <w:pPr>
              <w:tabs>
                <w:tab w:val="left" w:pos="720"/>
                <w:tab w:val="center" w:pos="925"/>
              </w:tabs>
              <w:jc w:val="center"/>
              <w:rPr>
                <w:rFonts w:cs="Arial"/>
                <w:lang w:val="en-US"/>
              </w:rPr>
            </w:pPr>
            <w:r w:rsidRPr="00FA1EEB">
              <w:rPr>
                <w:rFonts w:cs="Arial"/>
                <w:lang w:val="en-US"/>
              </w:rPr>
              <w:t>Bonus</w:t>
            </w:r>
          </w:p>
        </w:tc>
      </w:tr>
      <w:tr w:rsidR="00300AF2" w:rsidRPr="008B2DB1" w:rsidTr="00FA1EEB">
        <w:trPr>
          <w:jc w:val="center"/>
        </w:trPr>
        <w:tc>
          <w:tcPr>
            <w:tcW w:w="1761" w:type="dxa"/>
            <w:tcBorders>
              <w:top w:val="single" w:sz="18" w:space="0" w:color="548DD4"/>
              <w:right w:val="single" w:sz="18" w:space="0" w:color="548DD4"/>
            </w:tcBorders>
          </w:tcPr>
          <w:p w:rsidR="00300AF2" w:rsidRPr="008B2DB1" w:rsidRDefault="00300AF2" w:rsidP="008B2DB1">
            <w:pPr>
              <w:rPr>
                <w:rFonts w:cs="Arial"/>
                <w:lang w:val="en-US"/>
              </w:rPr>
            </w:pPr>
            <w:r w:rsidRPr="008B2DB1">
              <w:rPr>
                <w:rFonts w:cs="Arial"/>
                <w:lang w:val="en-US"/>
              </w:rPr>
              <w:t>Mean</w:t>
            </w:r>
          </w:p>
        </w:tc>
        <w:tc>
          <w:tcPr>
            <w:tcW w:w="2891" w:type="dxa"/>
            <w:tcBorders>
              <w:top w:val="single" w:sz="18" w:space="0" w:color="548DD4"/>
              <w:righ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0,16</w:t>
            </w:r>
          </w:p>
        </w:tc>
        <w:tc>
          <w:tcPr>
            <w:tcW w:w="909" w:type="dxa"/>
            <w:tcBorders>
              <w:top w:val="single" w:sz="18" w:space="0" w:color="548DD4"/>
              <w:left w:val="single" w:sz="18" w:space="0" w:color="4F81BD" w:themeColor="accent1"/>
            </w:tcBorders>
            <w:shd w:val="clear" w:color="auto" w:fill="B8CCE4"/>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0,24</w:t>
            </w:r>
          </w:p>
        </w:tc>
        <w:tc>
          <w:tcPr>
            <w:tcW w:w="850" w:type="dxa"/>
            <w:tcBorders>
              <w:top w:val="single" w:sz="18" w:space="0" w:color="548DD4"/>
            </w:tcBorders>
            <w:shd w:val="clear" w:color="auto" w:fill="B8CCE4"/>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0,10</w:t>
            </w:r>
          </w:p>
        </w:tc>
        <w:tc>
          <w:tcPr>
            <w:tcW w:w="851" w:type="dxa"/>
            <w:tcBorders>
              <w:top w:val="single" w:sz="18" w:space="0" w:color="548DD4"/>
              <w:right w:val="single" w:sz="18" w:space="0" w:color="4F81BD" w:themeColor="accent1"/>
            </w:tcBorders>
            <w:shd w:val="clear" w:color="auto" w:fill="B8CCE4"/>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0,33</w:t>
            </w:r>
          </w:p>
        </w:tc>
        <w:tc>
          <w:tcPr>
            <w:tcW w:w="1663" w:type="dxa"/>
            <w:tcBorders>
              <w:top w:val="single" w:sz="18" w:space="0" w:color="548DD4"/>
              <w:lef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0,41</w:t>
            </w:r>
          </w:p>
        </w:tc>
        <w:tc>
          <w:tcPr>
            <w:tcW w:w="1777" w:type="dxa"/>
            <w:tcBorders>
              <w:top w:val="single" w:sz="18" w:space="0" w:color="548DD4"/>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0,31</w:t>
            </w:r>
          </w:p>
        </w:tc>
        <w:tc>
          <w:tcPr>
            <w:tcW w:w="1520" w:type="dxa"/>
            <w:tcBorders>
              <w:top w:val="single" w:sz="18" w:space="0" w:color="548DD4"/>
              <w:righ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0,28</w:t>
            </w:r>
          </w:p>
        </w:tc>
      </w:tr>
      <w:tr w:rsidR="00300AF2" w:rsidRPr="008B2DB1" w:rsidTr="00FA1EEB">
        <w:trPr>
          <w:jc w:val="center"/>
        </w:trPr>
        <w:tc>
          <w:tcPr>
            <w:tcW w:w="1761" w:type="dxa"/>
            <w:tcBorders>
              <w:right w:val="single" w:sz="18" w:space="0" w:color="548DD4"/>
            </w:tcBorders>
          </w:tcPr>
          <w:p w:rsidR="00300AF2" w:rsidRPr="008B2DB1" w:rsidRDefault="00300AF2" w:rsidP="008B2DB1">
            <w:pPr>
              <w:rPr>
                <w:rFonts w:cs="Arial"/>
                <w:lang w:val="en-US"/>
              </w:rPr>
            </w:pPr>
            <w:r w:rsidRPr="008B2DB1">
              <w:rPr>
                <w:rFonts w:cs="Arial"/>
                <w:lang w:val="en-US"/>
              </w:rPr>
              <w:t>Median</w:t>
            </w:r>
          </w:p>
        </w:tc>
        <w:tc>
          <w:tcPr>
            <w:tcW w:w="2891" w:type="dxa"/>
            <w:tcBorders>
              <w:right w:val="single" w:sz="18" w:space="0" w:color="4F81BD" w:themeColor="accent1"/>
            </w:tcBorders>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0,11</w:t>
            </w:r>
          </w:p>
        </w:tc>
        <w:tc>
          <w:tcPr>
            <w:tcW w:w="909" w:type="dxa"/>
            <w:tcBorders>
              <w:left w:val="single" w:sz="18" w:space="0" w:color="4F81BD" w:themeColor="accent1"/>
            </w:tcBorders>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0,19</w:t>
            </w:r>
          </w:p>
        </w:tc>
        <w:tc>
          <w:tcPr>
            <w:tcW w:w="850" w:type="dxa"/>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0,06</w:t>
            </w:r>
          </w:p>
        </w:tc>
        <w:tc>
          <w:tcPr>
            <w:tcW w:w="851" w:type="dxa"/>
            <w:tcBorders>
              <w:right w:val="single" w:sz="18" w:space="0" w:color="4F81BD" w:themeColor="accent1"/>
            </w:tcBorders>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0,20</w:t>
            </w:r>
          </w:p>
        </w:tc>
        <w:tc>
          <w:tcPr>
            <w:tcW w:w="1663" w:type="dxa"/>
            <w:tcBorders>
              <w:left w:val="single" w:sz="18" w:space="0" w:color="4F81BD" w:themeColor="accent1"/>
            </w:tcBorders>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0,37</w:t>
            </w:r>
          </w:p>
        </w:tc>
        <w:tc>
          <w:tcPr>
            <w:tcW w:w="1777" w:type="dxa"/>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0,35</w:t>
            </w:r>
          </w:p>
        </w:tc>
        <w:tc>
          <w:tcPr>
            <w:tcW w:w="1520" w:type="dxa"/>
            <w:tcBorders>
              <w:right w:val="single" w:sz="18" w:space="0" w:color="4F81BD" w:themeColor="accent1"/>
            </w:tcBorders>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0,26</w:t>
            </w:r>
          </w:p>
        </w:tc>
      </w:tr>
      <w:tr w:rsidR="00300AF2" w:rsidRPr="008B2DB1" w:rsidTr="00FA1EEB">
        <w:trPr>
          <w:jc w:val="center"/>
        </w:trPr>
        <w:tc>
          <w:tcPr>
            <w:tcW w:w="1761" w:type="dxa"/>
            <w:tcBorders>
              <w:right w:val="single" w:sz="18" w:space="0" w:color="548DD4"/>
            </w:tcBorders>
          </w:tcPr>
          <w:p w:rsidR="00300AF2" w:rsidRPr="008B2DB1" w:rsidRDefault="00300AF2" w:rsidP="008B2DB1">
            <w:pPr>
              <w:rPr>
                <w:rFonts w:cs="Arial"/>
                <w:lang w:val="en-US"/>
              </w:rPr>
            </w:pPr>
            <w:r w:rsidRPr="008B2DB1">
              <w:rPr>
                <w:rFonts w:cs="Arial"/>
                <w:lang w:val="en-US"/>
              </w:rPr>
              <w:t>Std. deviation</w:t>
            </w:r>
          </w:p>
        </w:tc>
        <w:tc>
          <w:tcPr>
            <w:tcW w:w="2891" w:type="dxa"/>
            <w:tcBorders>
              <w:righ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0,17</w:t>
            </w:r>
          </w:p>
        </w:tc>
        <w:tc>
          <w:tcPr>
            <w:tcW w:w="909" w:type="dxa"/>
            <w:tcBorders>
              <w:left w:val="single" w:sz="18" w:space="0" w:color="4F81BD" w:themeColor="accent1"/>
            </w:tcBorders>
            <w:shd w:val="clear" w:color="auto" w:fill="B8CCE4"/>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0,21</w:t>
            </w:r>
          </w:p>
        </w:tc>
        <w:tc>
          <w:tcPr>
            <w:tcW w:w="850" w:type="dxa"/>
            <w:shd w:val="clear" w:color="auto" w:fill="B8CCE4"/>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0,28</w:t>
            </w:r>
          </w:p>
        </w:tc>
        <w:tc>
          <w:tcPr>
            <w:tcW w:w="851" w:type="dxa"/>
            <w:tcBorders>
              <w:right w:val="single" w:sz="18" w:space="0" w:color="4F81BD" w:themeColor="accent1"/>
            </w:tcBorders>
            <w:shd w:val="clear" w:color="auto" w:fill="B8CCE4"/>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0,39</w:t>
            </w:r>
          </w:p>
        </w:tc>
        <w:tc>
          <w:tcPr>
            <w:tcW w:w="1663" w:type="dxa"/>
            <w:tcBorders>
              <w:lef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0,21</w:t>
            </w:r>
          </w:p>
        </w:tc>
        <w:tc>
          <w:tcPr>
            <w:tcW w:w="1777" w:type="dxa"/>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0,23</w:t>
            </w:r>
          </w:p>
        </w:tc>
        <w:tc>
          <w:tcPr>
            <w:tcW w:w="1520" w:type="dxa"/>
            <w:tcBorders>
              <w:righ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0,17</w:t>
            </w:r>
          </w:p>
        </w:tc>
      </w:tr>
      <w:tr w:rsidR="00300AF2" w:rsidRPr="008B2DB1" w:rsidTr="00FA1EEB">
        <w:trPr>
          <w:jc w:val="center"/>
        </w:trPr>
        <w:tc>
          <w:tcPr>
            <w:tcW w:w="1761" w:type="dxa"/>
            <w:tcBorders>
              <w:right w:val="single" w:sz="18" w:space="0" w:color="548DD4"/>
            </w:tcBorders>
          </w:tcPr>
          <w:p w:rsidR="00300AF2" w:rsidRPr="008B2DB1" w:rsidRDefault="00300AF2" w:rsidP="008B2DB1">
            <w:pPr>
              <w:rPr>
                <w:rFonts w:cs="Arial"/>
                <w:lang w:val="en-US"/>
              </w:rPr>
            </w:pPr>
            <w:r w:rsidRPr="008B2DB1">
              <w:rPr>
                <w:rFonts w:cs="Arial"/>
                <w:lang w:val="en-US"/>
              </w:rPr>
              <w:t>Minimum</w:t>
            </w:r>
          </w:p>
        </w:tc>
        <w:tc>
          <w:tcPr>
            <w:tcW w:w="2891" w:type="dxa"/>
            <w:tcBorders>
              <w:right w:val="single" w:sz="18" w:space="0" w:color="4F81BD" w:themeColor="accent1"/>
            </w:tcBorders>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0,01</w:t>
            </w:r>
          </w:p>
        </w:tc>
        <w:tc>
          <w:tcPr>
            <w:tcW w:w="909" w:type="dxa"/>
            <w:tcBorders>
              <w:left w:val="single" w:sz="18" w:space="0" w:color="4F81BD" w:themeColor="accent1"/>
            </w:tcBorders>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-0,19</w:t>
            </w:r>
          </w:p>
        </w:tc>
        <w:tc>
          <w:tcPr>
            <w:tcW w:w="850" w:type="dxa"/>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-0,45</w:t>
            </w:r>
          </w:p>
        </w:tc>
        <w:tc>
          <w:tcPr>
            <w:tcW w:w="851" w:type="dxa"/>
            <w:tcBorders>
              <w:right w:val="single" w:sz="18" w:space="0" w:color="4F81BD" w:themeColor="accent1"/>
            </w:tcBorders>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0,00</w:t>
            </w:r>
          </w:p>
        </w:tc>
        <w:tc>
          <w:tcPr>
            <w:tcW w:w="1663" w:type="dxa"/>
            <w:tcBorders>
              <w:left w:val="single" w:sz="18" w:space="0" w:color="4F81BD" w:themeColor="accent1"/>
            </w:tcBorders>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0,04</w:t>
            </w:r>
          </w:p>
        </w:tc>
        <w:tc>
          <w:tcPr>
            <w:tcW w:w="1777" w:type="dxa"/>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0,00</w:t>
            </w:r>
          </w:p>
        </w:tc>
        <w:tc>
          <w:tcPr>
            <w:tcW w:w="1520" w:type="dxa"/>
            <w:tcBorders>
              <w:right w:val="single" w:sz="18" w:space="0" w:color="4F81BD" w:themeColor="accent1"/>
            </w:tcBorders>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0,00</w:t>
            </w:r>
          </w:p>
        </w:tc>
      </w:tr>
      <w:tr w:rsidR="00300AF2" w:rsidRPr="008B2DB1" w:rsidTr="00FA1EEB">
        <w:trPr>
          <w:jc w:val="center"/>
        </w:trPr>
        <w:tc>
          <w:tcPr>
            <w:tcW w:w="1761" w:type="dxa"/>
            <w:tcBorders>
              <w:right w:val="single" w:sz="18" w:space="0" w:color="548DD4"/>
            </w:tcBorders>
          </w:tcPr>
          <w:p w:rsidR="00300AF2" w:rsidRPr="008B2DB1" w:rsidRDefault="00300AF2" w:rsidP="008B2DB1">
            <w:pPr>
              <w:rPr>
                <w:rFonts w:cs="Arial"/>
                <w:lang w:val="en-US"/>
              </w:rPr>
            </w:pPr>
            <w:r w:rsidRPr="008B2DB1">
              <w:rPr>
                <w:rFonts w:cs="Arial"/>
                <w:lang w:val="en-US"/>
              </w:rPr>
              <w:t>Maximum</w:t>
            </w:r>
          </w:p>
        </w:tc>
        <w:tc>
          <w:tcPr>
            <w:tcW w:w="2891" w:type="dxa"/>
            <w:tcBorders>
              <w:righ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1,10</w:t>
            </w:r>
          </w:p>
        </w:tc>
        <w:tc>
          <w:tcPr>
            <w:tcW w:w="909" w:type="dxa"/>
            <w:tcBorders>
              <w:left w:val="single" w:sz="18" w:space="0" w:color="4F81BD" w:themeColor="accent1"/>
            </w:tcBorders>
            <w:shd w:val="clear" w:color="auto" w:fill="B8CCE4"/>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1,36</w:t>
            </w:r>
          </w:p>
        </w:tc>
        <w:tc>
          <w:tcPr>
            <w:tcW w:w="850" w:type="dxa"/>
            <w:shd w:val="clear" w:color="auto" w:fill="B8CCE4"/>
          </w:tcPr>
          <w:p w:rsidR="00300AF2" w:rsidRPr="008B2DB1" w:rsidRDefault="00300AF2" w:rsidP="008B2DB1">
            <w:pPr>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3,13</w:t>
            </w:r>
          </w:p>
        </w:tc>
        <w:tc>
          <w:tcPr>
            <w:tcW w:w="851" w:type="dxa"/>
            <w:tcBorders>
              <w:right w:val="single" w:sz="18" w:space="0" w:color="4F81BD" w:themeColor="accent1"/>
            </w:tcBorders>
            <w:shd w:val="clear" w:color="auto" w:fill="B8CCE4"/>
          </w:tcPr>
          <w:p w:rsidR="00300AF2" w:rsidRPr="008B2DB1" w:rsidRDefault="00300AF2" w:rsidP="008B2DB1">
            <w:pPr>
              <w:keepNext/>
              <w:autoSpaceDE w:val="0"/>
              <w:autoSpaceDN w:val="0"/>
              <w:adjustRightInd w:val="0"/>
              <w:spacing w:line="320" w:lineRule="atLeast"/>
              <w:jc w:val="center"/>
              <w:rPr>
                <w:rFonts w:cs="Arial"/>
                <w:sz w:val="18"/>
                <w:szCs w:val="18"/>
                <w:lang w:val="nl-NL" w:eastAsia="nl-NL"/>
              </w:rPr>
            </w:pPr>
            <w:r w:rsidRPr="008B2DB1">
              <w:rPr>
                <w:rFonts w:cs="Arial"/>
                <w:sz w:val="18"/>
                <w:szCs w:val="18"/>
                <w:lang w:val="nl-NL" w:eastAsia="nl-NL"/>
              </w:rPr>
              <w:t>2,94</w:t>
            </w:r>
          </w:p>
        </w:tc>
        <w:tc>
          <w:tcPr>
            <w:tcW w:w="1663" w:type="dxa"/>
            <w:tcBorders>
              <w:lef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1,00</w:t>
            </w:r>
          </w:p>
        </w:tc>
        <w:tc>
          <w:tcPr>
            <w:tcW w:w="1777" w:type="dxa"/>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0,88</w:t>
            </w:r>
          </w:p>
        </w:tc>
        <w:tc>
          <w:tcPr>
            <w:tcW w:w="1520" w:type="dxa"/>
            <w:tcBorders>
              <w:right w:val="single" w:sz="18" w:space="0" w:color="4F81BD" w:themeColor="accent1"/>
            </w:tcBorders>
            <w:shd w:val="clear" w:color="auto" w:fill="B8CCE4"/>
          </w:tcPr>
          <w:p w:rsidR="00300AF2" w:rsidRPr="00300AF2" w:rsidRDefault="00300AF2" w:rsidP="00300AF2">
            <w:pPr>
              <w:autoSpaceDE w:val="0"/>
              <w:autoSpaceDN w:val="0"/>
              <w:adjustRightInd w:val="0"/>
              <w:spacing w:line="320" w:lineRule="atLeast"/>
              <w:jc w:val="center"/>
              <w:rPr>
                <w:rFonts w:cs="Arial"/>
                <w:sz w:val="18"/>
                <w:szCs w:val="18"/>
                <w:lang w:val="nl-NL" w:eastAsia="nl-NL"/>
              </w:rPr>
            </w:pPr>
            <w:r w:rsidRPr="00300AF2">
              <w:rPr>
                <w:rFonts w:cs="Arial"/>
                <w:sz w:val="18"/>
                <w:szCs w:val="18"/>
                <w:lang w:val="nl-NL" w:eastAsia="nl-NL"/>
              </w:rPr>
              <w:t>0,82</w:t>
            </w:r>
          </w:p>
        </w:tc>
      </w:tr>
    </w:tbl>
    <w:p w:rsidR="00F25F32" w:rsidRPr="00300AF2" w:rsidRDefault="001D487A" w:rsidP="00300AF2">
      <w:pPr>
        <w:pStyle w:val="Caption"/>
        <w:ind w:left="8640" w:firstLine="720"/>
        <w:jc w:val="center"/>
      </w:pPr>
      <w:r>
        <w:t xml:space="preserve">        </w:t>
      </w:r>
      <w:r w:rsidR="00BD38F4" w:rsidRPr="00300AF2">
        <w:t>Table 2</w:t>
      </w:r>
      <w:r w:rsidR="00F25F32" w:rsidRPr="00300AF2">
        <w:t xml:space="preserve"> </w:t>
      </w:r>
      <w:r w:rsidR="008B2DB1" w:rsidRPr="00300AF2">
        <w:t>Descriptive statistics</w:t>
      </w:r>
    </w:p>
    <w:p w:rsidR="00300AF2" w:rsidRPr="00300AF2" w:rsidRDefault="00300AF2" w:rsidP="00300AF2">
      <w:r w:rsidRPr="00300AF2">
        <w:t xml:space="preserve">(1) = Total accruals (earnings before extraordinary income + cash flow from operation) </w:t>
      </w:r>
      <w:r w:rsidR="00FA1EEB">
        <w:t>divided</w:t>
      </w:r>
      <w:r w:rsidRPr="00300AF2">
        <w:t xml:space="preserve"> by total assets</w:t>
      </w:r>
    </w:p>
    <w:p w:rsidR="00300AF2" w:rsidRPr="00300AF2" w:rsidRDefault="00300AF2" w:rsidP="00300AF2">
      <w:r w:rsidRPr="00300AF2">
        <w:t xml:space="preserve">(2) = (Changes in revenue minus changes in accounts receivable) </w:t>
      </w:r>
      <w:r w:rsidR="00FA1EEB">
        <w:t>divided</w:t>
      </w:r>
      <w:r w:rsidRPr="00300AF2">
        <w:t xml:space="preserve"> by total assets</w:t>
      </w:r>
    </w:p>
    <w:p w:rsidR="00300AF2" w:rsidRPr="001D487A" w:rsidRDefault="00300AF2" w:rsidP="00300AF2">
      <w:r w:rsidRPr="00300AF2">
        <w:t xml:space="preserve">(3) = Property, plant and equipment </w:t>
      </w:r>
      <w:r w:rsidR="00FA1EEB">
        <w:t>divided</w:t>
      </w:r>
      <w:r w:rsidRPr="00300AF2">
        <w:t xml:space="preserve"> </w:t>
      </w:r>
      <w:r w:rsidRPr="001D487A">
        <w:t>by total assets</w:t>
      </w:r>
    </w:p>
    <w:p w:rsidR="00FA1EEB" w:rsidRPr="001D487A" w:rsidRDefault="00FA1EEB" w:rsidP="00FA1EEB">
      <w:pPr>
        <w:jc w:val="left"/>
        <w:rPr>
          <w:rFonts w:cs="Arial"/>
        </w:rPr>
        <w:sectPr w:rsidR="00FA1EEB" w:rsidRPr="001D487A" w:rsidSect="008B2DB1">
          <w:pgSz w:w="16840" w:h="11907" w:orient="landscape" w:code="9"/>
          <w:pgMar w:top="1418" w:right="1418" w:bottom="1418" w:left="1418" w:header="709" w:footer="709" w:gutter="0"/>
          <w:lnNumType w:countBy="5"/>
          <w:cols w:space="708"/>
          <w:docGrid w:linePitch="360"/>
        </w:sectPr>
      </w:pPr>
    </w:p>
    <w:p w:rsidR="00A76D52" w:rsidRPr="00F64363" w:rsidRDefault="00A76D52" w:rsidP="00A76D52">
      <w:pPr>
        <w:pStyle w:val="Heading3"/>
        <w:rPr>
          <w:lang w:val="en-US"/>
        </w:rPr>
      </w:pPr>
      <w:bookmarkStart w:id="77" w:name="_Toc274485452"/>
      <w:r w:rsidRPr="00F64363">
        <w:rPr>
          <w:lang w:val="en-GB"/>
        </w:rPr>
        <w:lastRenderedPageBreak/>
        <w:t>Correlation testing</w:t>
      </w:r>
      <w:bookmarkEnd w:id="77"/>
    </w:p>
    <w:p w:rsidR="003E0B13" w:rsidRDefault="00A76D52" w:rsidP="00CB728C">
      <w:pPr>
        <w:rPr>
          <w:lang w:val="en-US"/>
        </w:rPr>
      </w:pPr>
      <w:r>
        <w:rPr>
          <w:lang w:val="en-US"/>
        </w:rPr>
        <w:t xml:space="preserve">Through correlation testing the strength </w:t>
      </w:r>
      <w:r w:rsidR="006847B4">
        <w:rPr>
          <w:lang w:val="en-US"/>
        </w:rPr>
        <w:t xml:space="preserve">and the direction </w:t>
      </w:r>
      <w:r>
        <w:rPr>
          <w:lang w:val="en-US"/>
        </w:rPr>
        <w:t xml:space="preserve">of the linear relationship between two variables can be determined. </w:t>
      </w:r>
      <w:r w:rsidR="002B0C7F">
        <w:rPr>
          <w:lang w:val="en-US"/>
        </w:rPr>
        <w:t xml:space="preserve">The </w:t>
      </w:r>
      <w:r w:rsidR="00615C50">
        <w:rPr>
          <w:lang w:val="en-US"/>
        </w:rPr>
        <w:t xml:space="preserve">Pearson </w:t>
      </w:r>
      <w:r w:rsidR="001E7F52">
        <w:rPr>
          <w:lang w:val="en-US"/>
        </w:rPr>
        <w:t>P</w:t>
      </w:r>
      <w:r w:rsidR="00615C50">
        <w:rPr>
          <w:lang w:val="en-US"/>
        </w:rPr>
        <w:t>roduct-</w:t>
      </w:r>
      <w:r w:rsidR="001E7F52">
        <w:rPr>
          <w:lang w:val="en-US"/>
        </w:rPr>
        <w:t>Moment C</w:t>
      </w:r>
      <w:r w:rsidR="00615C50">
        <w:rPr>
          <w:lang w:val="en-US"/>
        </w:rPr>
        <w:t>oefficient (Pearson’s r)</w:t>
      </w:r>
      <w:r w:rsidR="002B0C7F">
        <w:rPr>
          <w:lang w:val="en-US"/>
        </w:rPr>
        <w:t xml:space="preserve"> is used </w:t>
      </w:r>
      <w:r w:rsidR="006847B4">
        <w:rPr>
          <w:lang w:val="en-US"/>
        </w:rPr>
        <w:t>to determine the correlation</w:t>
      </w:r>
      <w:r w:rsidR="002B0C7F">
        <w:rPr>
          <w:lang w:val="en-US"/>
        </w:rPr>
        <w:t xml:space="preserve">. It can take on values from -1 to +1. The sign out the front indicates whether there is a positive or a negative correlation. A positive correlation means that as one variable increases, so does the other and a negative correlation means that as one variable increases the other decreases. The size of the absolute value provides an indication of the strength of the relationship. </w:t>
      </w:r>
      <w:r w:rsidR="006847B4">
        <w:rPr>
          <w:lang w:val="en-US"/>
        </w:rPr>
        <w:t xml:space="preserve">Pearson’s r is +1 or -1 in the case of a perfect positive (increasing) or negative (decreasing) linear relationship. If Pearson’s r is 0, then there is no linear relationship (uncorrelated). </w:t>
      </w:r>
      <w:r w:rsidR="00700A5F">
        <w:rPr>
          <w:lang w:val="en-US"/>
        </w:rPr>
        <w:t xml:space="preserve">Different authors </w:t>
      </w:r>
      <w:r w:rsidR="00700A5F" w:rsidRPr="00127ACC">
        <w:rPr>
          <w:lang w:val="en-US"/>
        </w:rPr>
        <w:t>suggest different interpretations for the outcome from the correlations test. Cohen (1988) suggests the following guidelines:</w:t>
      </w:r>
    </w:p>
    <w:p w:rsidR="00A76D52" w:rsidRPr="00127ACC" w:rsidRDefault="00A76D52" w:rsidP="00CB728C">
      <w:pPr>
        <w:rPr>
          <w:lang w:val="en-US"/>
        </w:rPr>
      </w:pPr>
    </w:p>
    <w:p w:rsidR="00700A5F" w:rsidRPr="00127ACC" w:rsidRDefault="00700A5F" w:rsidP="00CB728C">
      <w:pPr>
        <w:rPr>
          <w:i/>
          <w:lang w:val="en-US"/>
        </w:rPr>
      </w:pPr>
      <w:r w:rsidRPr="00127ACC">
        <w:rPr>
          <w:lang w:val="en-US"/>
        </w:rPr>
        <w:tab/>
      </w:r>
      <w:r w:rsidRPr="00127ACC">
        <w:rPr>
          <w:i/>
          <w:lang w:val="en-US"/>
        </w:rPr>
        <w:t>Weak correlation:</w:t>
      </w:r>
      <w:r w:rsidRPr="00127ACC">
        <w:rPr>
          <w:i/>
          <w:lang w:val="en-US"/>
        </w:rPr>
        <w:tab/>
      </w:r>
      <w:r w:rsidRPr="00127ACC">
        <w:rPr>
          <w:i/>
          <w:lang w:val="en-US"/>
        </w:rPr>
        <w:tab/>
        <w:t>r = 0,10 to 0,29</w:t>
      </w:r>
    </w:p>
    <w:p w:rsidR="00700A5F" w:rsidRPr="00127ACC" w:rsidRDefault="00700A5F" w:rsidP="00CB728C">
      <w:pPr>
        <w:rPr>
          <w:i/>
          <w:lang w:val="en-US"/>
        </w:rPr>
      </w:pPr>
      <w:r w:rsidRPr="00127ACC">
        <w:rPr>
          <w:i/>
          <w:lang w:val="en-US"/>
        </w:rPr>
        <w:tab/>
      </w:r>
      <w:r w:rsidR="00D11D98">
        <w:rPr>
          <w:i/>
          <w:lang w:val="en-US"/>
        </w:rPr>
        <w:t>Moderate</w:t>
      </w:r>
      <w:r w:rsidRPr="00127ACC">
        <w:rPr>
          <w:i/>
          <w:lang w:val="en-US"/>
        </w:rPr>
        <w:t xml:space="preserve"> correlation:</w:t>
      </w:r>
      <w:r w:rsidRPr="00127ACC">
        <w:rPr>
          <w:i/>
          <w:lang w:val="en-US"/>
        </w:rPr>
        <w:tab/>
        <w:t>r = 0,30 to 0,49</w:t>
      </w:r>
    </w:p>
    <w:p w:rsidR="00700A5F" w:rsidRDefault="00700A5F" w:rsidP="00CB728C">
      <w:pPr>
        <w:rPr>
          <w:i/>
          <w:lang w:val="en-US"/>
        </w:rPr>
      </w:pPr>
      <w:r w:rsidRPr="00127ACC">
        <w:rPr>
          <w:i/>
          <w:lang w:val="en-US"/>
        </w:rPr>
        <w:tab/>
        <w:t>Strong correlation:</w:t>
      </w:r>
      <w:r w:rsidRPr="00127ACC">
        <w:rPr>
          <w:i/>
          <w:lang w:val="en-US"/>
        </w:rPr>
        <w:tab/>
      </w:r>
      <w:r w:rsidRPr="00127ACC">
        <w:rPr>
          <w:i/>
          <w:lang w:val="en-US"/>
        </w:rPr>
        <w:tab/>
        <w:t>r = 0,50 to 1,0</w:t>
      </w:r>
      <w:r w:rsidR="00374817">
        <w:rPr>
          <w:i/>
          <w:lang w:val="en-US"/>
        </w:rPr>
        <w:t>0</w:t>
      </w:r>
    </w:p>
    <w:p w:rsidR="00A76D52" w:rsidRPr="00127ACC" w:rsidRDefault="00A76D52" w:rsidP="00CB728C">
      <w:pPr>
        <w:rPr>
          <w:i/>
          <w:lang w:val="en-US"/>
        </w:rPr>
      </w:pPr>
    </w:p>
    <w:p w:rsidR="00700A5F" w:rsidRPr="00127ACC" w:rsidRDefault="007737B1" w:rsidP="00CB728C">
      <w:pPr>
        <w:rPr>
          <w:lang w:val="en-US"/>
        </w:rPr>
      </w:pPr>
      <w:r>
        <w:rPr>
          <w:lang w:val="en-US"/>
        </w:rPr>
        <w:t>This</w:t>
      </w:r>
      <w:r w:rsidR="00700A5F" w:rsidRPr="00127ACC">
        <w:rPr>
          <w:lang w:val="en-US"/>
        </w:rPr>
        <w:t xml:space="preserve"> </w:t>
      </w:r>
      <w:r>
        <w:rPr>
          <w:lang w:val="en-US"/>
        </w:rPr>
        <w:t>rule of thumb is widel</w:t>
      </w:r>
      <w:r w:rsidR="008A70CC">
        <w:rPr>
          <w:lang w:val="en-US"/>
        </w:rPr>
        <w:t>y used in the extant literature. T</w:t>
      </w:r>
      <w:r>
        <w:rPr>
          <w:lang w:val="en-US"/>
        </w:rPr>
        <w:t>herefore</w:t>
      </w:r>
      <w:r w:rsidR="00700A5F" w:rsidRPr="00127ACC">
        <w:rPr>
          <w:lang w:val="en-US"/>
        </w:rPr>
        <w:t xml:space="preserve"> </w:t>
      </w:r>
      <w:r w:rsidR="003934D8">
        <w:rPr>
          <w:lang w:val="en-US"/>
        </w:rPr>
        <w:t>these guidelines</w:t>
      </w:r>
      <w:r>
        <w:rPr>
          <w:lang w:val="en-US"/>
        </w:rPr>
        <w:t xml:space="preserve"> </w:t>
      </w:r>
      <w:r w:rsidR="003934D8">
        <w:rPr>
          <w:lang w:val="en-US"/>
        </w:rPr>
        <w:t>are used as a guidance for the interpretation of the results</w:t>
      </w:r>
      <w:r w:rsidR="008A70CC">
        <w:rPr>
          <w:lang w:val="en-US"/>
        </w:rPr>
        <w:t xml:space="preserve"> in this research. </w:t>
      </w:r>
      <w:r w:rsidR="00E2139E">
        <w:rPr>
          <w:lang w:val="en-US"/>
        </w:rPr>
        <w:t>Caution needs to be exercised in interpretation of the results from correlation testing. A correlation test only determines the strength of the linear relationship, not whether there is a causal relationship or not.</w:t>
      </w:r>
    </w:p>
    <w:p w:rsidR="007737B1" w:rsidRDefault="007737B1" w:rsidP="00CB728C">
      <w:pPr>
        <w:rPr>
          <w:lang w:val="en-US"/>
        </w:rPr>
      </w:pPr>
    </w:p>
    <w:p w:rsidR="005372F7" w:rsidRPr="003627D0" w:rsidRDefault="008804BB" w:rsidP="007D1394">
      <w:pPr>
        <w:rPr>
          <w:lang w:val="en-US"/>
        </w:rPr>
      </w:pPr>
      <w:r>
        <w:rPr>
          <w:lang w:val="en-US"/>
        </w:rPr>
        <w:t xml:space="preserve">As explained in </w:t>
      </w:r>
      <w:r w:rsidR="00F64363">
        <w:rPr>
          <w:lang w:val="en-US"/>
        </w:rPr>
        <w:t>paragraph</w:t>
      </w:r>
      <w:r>
        <w:rPr>
          <w:lang w:val="en-US"/>
        </w:rPr>
        <w:t xml:space="preserve"> 4.3, the compensation variable consists of three types of compensation; fixed salary, bonus compensation and stock-based compensation. </w:t>
      </w:r>
      <w:r w:rsidR="007D1394">
        <w:rPr>
          <w:lang w:val="en-US"/>
        </w:rPr>
        <w:t xml:space="preserve">The different types of compensation are compared for their correlation with discretionary accruals. </w:t>
      </w:r>
      <w:r w:rsidR="00F64363">
        <w:rPr>
          <w:lang w:val="en-US"/>
        </w:rPr>
        <w:t>F</w:t>
      </w:r>
      <w:r w:rsidR="00A60CFD">
        <w:rPr>
          <w:lang w:val="en-US"/>
        </w:rPr>
        <w:t xml:space="preserve">or the 88 companies that are subject in this research, the </w:t>
      </w:r>
      <w:r w:rsidR="00F64363">
        <w:rPr>
          <w:lang w:val="en-US"/>
        </w:rPr>
        <w:t>compensation data</w:t>
      </w:r>
      <w:r w:rsidR="00A60CFD">
        <w:rPr>
          <w:lang w:val="en-US"/>
        </w:rPr>
        <w:t xml:space="preserve"> </w:t>
      </w:r>
      <w:r w:rsidR="006A35AE">
        <w:rPr>
          <w:lang w:val="en-US"/>
        </w:rPr>
        <w:t>consists</w:t>
      </w:r>
      <w:r w:rsidR="00A60CFD">
        <w:rPr>
          <w:lang w:val="en-US"/>
        </w:rPr>
        <w:t xml:space="preserve"> of these three types of compensation for the years 2005 and </w:t>
      </w:r>
      <w:r w:rsidR="00A60CFD" w:rsidRPr="003627D0">
        <w:rPr>
          <w:lang w:val="en-US"/>
        </w:rPr>
        <w:t>2</w:t>
      </w:r>
      <w:r w:rsidR="007D1394" w:rsidRPr="003627D0">
        <w:rPr>
          <w:lang w:val="en-US"/>
        </w:rPr>
        <w:t xml:space="preserve">006. That means 176 data entries. </w:t>
      </w:r>
      <w:r w:rsidR="005372F7" w:rsidRPr="003627D0">
        <w:rPr>
          <w:lang w:val="en-US"/>
        </w:rPr>
        <w:t>See table 3</w:t>
      </w:r>
      <w:r w:rsidR="00485FA4" w:rsidRPr="003627D0">
        <w:rPr>
          <w:lang w:val="en-US"/>
        </w:rPr>
        <w:t xml:space="preserve"> </w:t>
      </w:r>
      <w:r w:rsidR="005372F7" w:rsidRPr="003627D0">
        <w:rPr>
          <w:lang w:val="en-US"/>
        </w:rPr>
        <w:t>on the next page</w:t>
      </w:r>
      <w:r w:rsidR="00485FA4" w:rsidRPr="003627D0">
        <w:rPr>
          <w:lang w:val="en-US"/>
        </w:rPr>
        <w:t xml:space="preserve"> for an overview</w:t>
      </w:r>
      <w:r w:rsidR="00542926" w:rsidRPr="003627D0">
        <w:rPr>
          <w:lang w:val="en-US"/>
        </w:rPr>
        <w:t xml:space="preserve"> of the results</w:t>
      </w:r>
      <w:r w:rsidR="003627D0" w:rsidRPr="003627D0">
        <w:rPr>
          <w:lang w:val="en-US"/>
        </w:rPr>
        <w:t xml:space="preserve"> of the Pearson Product-Moment Correlations Test</w:t>
      </w:r>
      <w:r w:rsidR="00485FA4" w:rsidRPr="003627D0">
        <w:rPr>
          <w:lang w:val="en-US"/>
        </w:rPr>
        <w:t xml:space="preserve">. </w:t>
      </w:r>
    </w:p>
    <w:p w:rsidR="00010EFF" w:rsidRPr="003627D0" w:rsidRDefault="00010EFF" w:rsidP="007D1394">
      <w:pPr>
        <w:rPr>
          <w:lang w:val="en-US"/>
        </w:rPr>
      </w:pPr>
    </w:p>
    <w:p w:rsidR="006C47EB" w:rsidRDefault="006C47EB" w:rsidP="00010EFF">
      <w:pPr>
        <w:rPr>
          <w:lang w:val="en-US"/>
        </w:rPr>
      </w:pPr>
    </w:p>
    <w:tbl>
      <w:tblPr>
        <w:tblW w:w="0" w:type="auto"/>
        <w:jc w:val="center"/>
        <w:tblLook w:val="00A0"/>
      </w:tblPr>
      <w:tblGrid>
        <w:gridCol w:w="3245"/>
        <w:gridCol w:w="1959"/>
        <w:gridCol w:w="1960"/>
        <w:gridCol w:w="1960"/>
      </w:tblGrid>
      <w:tr w:rsidR="006C47EB" w:rsidTr="00AC78F2">
        <w:trPr>
          <w:jc w:val="center"/>
        </w:trPr>
        <w:tc>
          <w:tcPr>
            <w:tcW w:w="3245" w:type="dxa"/>
            <w:tcBorders>
              <w:bottom w:val="single" w:sz="18" w:space="0" w:color="548DD4"/>
              <w:right w:val="single" w:sz="18" w:space="0" w:color="548DD4"/>
            </w:tcBorders>
          </w:tcPr>
          <w:p w:rsidR="006C47EB" w:rsidRPr="008034D7" w:rsidRDefault="006C47EB" w:rsidP="00AC78F2">
            <w:pPr>
              <w:rPr>
                <w:rFonts w:cs="Arial"/>
                <w:b/>
                <w:lang w:val="en-US"/>
              </w:rPr>
            </w:pPr>
            <w:r>
              <w:rPr>
                <w:lang w:val="en-US"/>
              </w:rPr>
              <w:lastRenderedPageBreak/>
              <w:br w:type="page"/>
            </w:r>
            <w:r>
              <w:rPr>
                <w:b/>
                <w:lang w:val="en-US"/>
              </w:rPr>
              <w:t>Group</w:t>
            </w:r>
          </w:p>
        </w:tc>
        <w:tc>
          <w:tcPr>
            <w:tcW w:w="1959" w:type="dxa"/>
            <w:tcBorders>
              <w:left w:val="single" w:sz="18" w:space="0" w:color="548DD4"/>
              <w:bottom w:val="single" w:sz="18" w:space="0" w:color="548DD4"/>
            </w:tcBorders>
          </w:tcPr>
          <w:p w:rsidR="006C47EB" w:rsidRPr="008034D7" w:rsidRDefault="006C47EB" w:rsidP="00AC78F2">
            <w:pPr>
              <w:jc w:val="center"/>
              <w:rPr>
                <w:rFonts w:cs="Arial"/>
                <w:b/>
                <w:lang w:val="en-US"/>
              </w:rPr>
            </w:pPr>
            <w:r w:rsidRPr="008034D7">
              <w:rPr>
                <w:b/>
                <w:lang w:val="en-US"/>
              </w:rPr>
              <w:t>Pearson’s r</w:t>
            </w:r>
          </w:p>
        </w:tc>
        <w:tc>
          <w:tcPr>
            <w:tcW w:w="1960" w:type="dxa"/>
            <w:tcBorders>
              <w:bottom w:val="single" w:sz="18" w:space="0" w:color="548DD4"/>
            </w:tcBorders>
          </w:tcPr>
          <w:p w:rsidR="006C47EB" w:rsidRPr="008034D7" w:rsidRDefault="006C47EB" w:rsidP="00AC78F2">
            <w:pPr>
              <w:jc w:val="center"/>
              <w:rPr>
                <w:rFonts w:cs="Arial"/>
                <w:b/>
                <w:lang w:val="en-US"/>
              </w:rPr>
            </w:pPr>
            <w:r>
              <w:rPr>
                <w:rFonts w:cs="Arial"/>
                <w:b/>
                <w:lang w:val="en-US"/>
              </w:rPr>
              <w:t>Sign. (1</w:t>
            </w:r>
            <w:r w:rsidRPr="008034D7">
              <w:rPr>
                <w:rFonts w:cs="Arial"/>
                <w:b/>
                <w:lang w:val="en-US"/>
              </w:rPr>
              <w:t>-tailed)</w:t>
            </w:r>
          </w:p>
        </w:tc>
        <w:tc>
          <w:tcPr>
            <w:tcW w:w="1960" w:type="dxa"/>
            <w:tcBorders>
              <w:bottom w:val="single" w:sz="18" w:space="0" w:color="548DD4"/>
              <w:right w:val="single" w:sz="18" w:space="0" w:color="4F81BD" w:themeColor="accent1"/>
            </w:tcBorders>
          </w:tcPr>
          <w:p w:rsidR="006C47EB" w:rsidRPr="008034D7" w:rsidRDefault="006C47EB" w:rsidP="00AC78F2">
            <w:pPr>
              <w:jc w:val="center"/>
              <w:rPr>
                <w:rFonts w:cs="Arial"/>
                <w:b/>
                <w:lang w:val="en-US"/>
              </w:rPr>
            </w:pPr>
            <w:r w:rsidRPr="008034D7">
              <w:rPr>
                <w:rFonts w:cs="Arial"/>
                <w:b/>
                <w:lang w:val="en-US"/>
              </w:rPr>
              <w:t>N</w:t>
            </w:r>
          </w:p>
        </w:tc>
      </w:tr>
      <w:tr w:rsidR="006C47EB" w:rsidTr="00AC78F2">
        <w:trPr>
          <w:jc w:val="center"/>
        </w:trPr>
        <w:tc>
          <w:tcPr>
            <w:tcW w:w="3245" w:type="dxa"/>
            <w:tcBorders>
              <w:top w:val="single" w:sz="18" w:space="0" w:color="548DD4"/>
              <w:right w:val="single" w:sz="18" w:space="0" w:color="548DD4"/>
            </w:tcBorders>
          </w:tcPr>
          <w:p w:rsidR="006C47EB" w:rsidRPr="00D133EA" w:rsidRDefault="006C47EB" w:rsidP="00AC78F2">
            <w:pPr>
              <w:jc w:val="left"/>
              <w:rPr>
                <w:rFonts w:cs="Arial"/>
                <w:lang w:val="en-US"/>
              </w:rPr>
            </w:pPr>
            <w:r>
              <w:rPr>
                <w:rFonts w:cs="Arial"/>
                <w:lang w:val="en-US"/>
              </w:rPr>
              <w:t>Fixed salary</w:t>
            </w:r>
          </w:p>
        </w:tc>
        <w:tc>
          <w:tcPr>
            <w:tcW w:w="1959" w:type="dxa"/>
            <w:tcBorders>
              <w:top w:val="single" w:sz="18" w:space="0" w:color="548DD4"/>
              <w:left w:val="single" w:sz="18" w:space="0" w:color="548DD4"/>
            </w:tcBorders>
            <w:shd w:val="clear" w:color="auto" w:fill="B8CCE4"/>
          </w:tcPr>
          <w:p w:rsidR="006C47EB" w:rsidRPr="00E1294E" w:rsidRDefault="006C47EB" w:rsidP="00AC78F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0,14</w:t>
            </w:r>
          </w:p>
        </w:tc>
        <w:tc>
          <w:tcPr>
            <w:tcW w:w="1960" w:type="dxa"/>
            <w:tcBorders>
              <w:top w:val="single" w:sz="18" w:space="0" w:color="548DD4"/>
            </w:tcBorders>
            <w:shd w:val="clear" w:color="auto" w:fill="B8CCE4"/>
          </w:tcPr>
          <w:p w:rsidR="006C47EB" w:rsidRPr="00E1294E" w:rsidRDefault="006C47EB" w:rsidP="00AC78F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0,03</w:t>
            </w:r>
          </w:p>
        </w:tc>
        <w:tc>
          <w:tcPr>
            <w:tcW w:w="1960" w:type="dxa"/>
            <w:tcBorders>
              <w:top w:val="single" w:sz="18" w:space="0" w:color="548DD4"/>
              <w:right w:val="single" w:sz="18" w:space="0" w:color="4F81BD" w:themeColor="accent1"/>
            </w:tcBorders>
            <w:shd w:val="clear" w:color="auto" w:fill="B8CCE4"/>
          </w:tcPr>
          <w:p w:rsidR="006C47EB" w:rsidRPr="00E1294E" w:rsidRDefault="006C47EB" w:rsidP="00AC78F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176</w:t>
            </w:r>
          </w:p>
        </w:tc>
      </w:tr>
      <w:tr w:rsidR="006C47EB" w:rsidTr="00AC78F2">
        <w:trPr>
          <w:jc w:val="center"/>
        </w:trPr>
        <w:tc>
          <w:tcPr>
            <w:tcW w:w="3245" w:type="dxa"/>
            <w:tcBorders>
              <w:right w:val="single" w:sz="18" w:space="0" w:color="548DD4"/>
            </w:tcBorders>
          </w:tcPr>
          <w:p w:rsidR="006C47EB" w:rsidRPr="00D133EA" w:rsidRDefault="006C47EB" w:rsidP="00AC78F2">
            <w:pPr>
              <w:jc w:val="left"/>
              <w:rPr>
                <w:rFonts w:cs="Arial"/>
                <w:lang w:val="en-US"/>
              </w:rPr>
            </w:pPr>
            <w:r>
              <w:rPr>
                <w:rFonts w:cs="Arial"/>
                <w:lang w:val="en-US"/>
              </w:rPr>
              <w:t xml:space="preserve">Bonus compensation </w:t>
            </w:r>
          </w:p>
        </w:tc>
        <w:tc>
          <w:tcPr>
            <w:tcW w:w="1959" w:type="dxa"/>
            <w:tcBorders>
              <w:left w:val="single" w:sz="18" w:space="0" w:color="548DD4"/>
            </w:tcBorders>
          </w:tcPr>
          <w:p w:rsidR="006C47EB" w:rsidRPr="00E1294E" w:rsidRDefault="006C47EB" w:rsidP="00AC78F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0,03</w:t>
            </w:r>
          </w:p>
        </w:tc>
        <w:tc>
          <w:tcPr>
            <w:tcW w:w="1960" w:type="dxa"/>
          </w:tcPr>
          <w:p w:rsidR="006C47EB" w:rsidRPr="00E1294E" w:rsidRDefault="006C47EB" w:rsidP="00AC78F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0,37</w:t>
            </w:r>
          </w:p>
        </w:tc>
        <w:tc>
          <w:tcPr>
            <w:tcW w:w="1960" w:type="dxa"/>
            <w:tcBorders>
              <w:right w:val="single" w:sz="18" w:space="0" w:color="4F81BD" w:themeColor="accent1"/>
            </w:tcBorders>
          </w:tcPr>
          <w:p w:rsidR="006C47EB" w:rsidRPr="00E1294E" w:rsidRDefault="006C47EB" w:rsidP="00AC78F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176</w:t>
            </w:r>
          </w:p>
        </w:tc>
      </w:tr>
      <w:tr w:rsidR="006C47EB" w:rsidTr="00AC78F2">
        <w:trPr>
          <w:jc w:val="center"/>
        </w:trPr>
        <w:tc>
          <w:tcPr>
            <w:tcW w:w="3245" w:type="dxa"/>
            <w:tcBorders>
              <w:right w:val="single" w:sz="18" w:space="0" w:color="548DD4"/>
            </w:tcBorders>
          </w:tcPr>
          <w:p w:rsidR="006C47EB" w:rsidRPr="00D133EA" w:rsidRDefault="006C47EB" w:rsidP="00AC78F2">
            <w:pPr>
              <w:jc w:val="left"/>
              <w:rPr>
                <w:rFonts w:cs="Arial"/>
                <w:lang w:val="en-US"/>
              </w:rPr>
            </w:pPr>
            <w:r>
              <w:rPr>
                <w:rFonts w:cs="Arial"/>
                <w:lang w:val="en-US"/>
              </w:rPr>
              <w:t>Stock-based compensation</w:t>
            </w:r>
          </w:p>
        </w:tc>
        <w:tc>
          <w:tcPr>
            <w:tcW w:w="1959" w:type="dxa"/>
            <w:tcBorders>
              <w:left w:val="single" w:sz="18" w:space="0" w:color="548DD4"/>
            </w:tcBorders>
            <w:shd w:val="clear" w:color="auto" w:fill="B8CCE4"/>
          </w:tcPr>
          <w:p w:rsidR="006C47EB" w:rsidRPr="00E1294E" w:rsidRDefault="006C47EB" w:rsidP="00AC78F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- 0,15</w:t>
            </w:r>
          </w:p>
        </w:tc>
        <w:tc>
          <w:tcPr>
            <w:tcW w:w="1960" w:type="dxa"/>
            <w:shd w:val="clear" w:color="auto" w:fill="B8CCE4"/>
          </w:tcPr>
          <w:p w:rsidR="006C47EB" w:rsidRPr="00E1294E" w:rsidRDefault="006C47EB" w:rsidP="00AC78F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0,02</w:t>
            </w:r>
          </w:p>
        </w:tc>
        <w:tc>
          <w:tcPr>
            <w:tcW w:w="1960" w:type="dxa"/>
            <w:tcBorders>
              <w:right w:val="single" w:sz="18" w:space="0" w:color="4F81BD" w:themeColor="accent1"/>
            </w:tcBorders>
            <w:shd w:val="clear" w:color="auto" w:fill="B8CCE4"/>
          </w:tcPr>
          <w:p w:rsidR="006C47EB" w:rsidRDefault="006C47EB" w:rsidP="00AC78F2">
            <w:pPr>
              <w:keepNext/>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176</w:t>
            </w:r>
          </w:p>
        </w:tc>
      </w:tr>
    </w:tbl>
    <w:p w:rsidR="006C47EB" w:rsidRPr="00010EFF" w:rsidRDefault="006C47EB" w:rsidP="006C47EB">
      <w:pPr>
        <w:pStyle w:val="Caption"/>
        <w:ind w:left="5760"/>
        <w:jc w:val="both"/>
      </w:pPr>
      <w:r>
        <w:t xml:space="preserve">     Table 3 Correlation test overall results</w:t>
      </w:r>
    </w:p>
    <w:p w:rsidR="003934D8" w:rsidRDefault="003934D8" w:rsidP="003934D8">
      <w:pPr>
        <w:rPr>
          <w:lang w:val="en-US"/>
        </w:rPr>
      </w:pPr>
      <w:r>
        <w:rPr>
          <w:lang w:val="en-US"/>
        </w:rPr>
        <w:t>First</w:t>
      </w:r>
      <w:r w:rsidRPr="003627D0">
        <w:rPr>
          <w:lang w:val="en-US"/>
        </w:rPr>
        <w:t xml:space="preserve">, the </w:t>
      </w:r>
      <w:r>
        <w:rPr>
          <w:lang w:val="en-US"/>
        </w:rPr>
        <w:t xml:space="preserve">Pearson’s r is analyzed. The </w:t>
      </w:r>
      <w:r w:rsidRPr="003627D0">
        <w:rPr>
          <w:lang w:val="en-US"/>
        </w:rPr>
        <w:t>results</w:t>
      </w:r>
      <w:r w:rsidR="009E338D">
        <w:rPr>
          <w:lang w:val="en-US"/>
        </w:rPr>
        <w:t xml:space="preserve"> in table 3</w:t>
      </w:r>
      <w:r w:rsidRPr="003627D0">
        <w:rPr>
          <w:lang w:val="en-US"/>
        </w:rPr>
        <w:t xml:space="preserve"> show a </w:t>
      </w:r>
      <w:r>
        <w:rPr>
          <w:lang w:val="en-US"/>
        </w:rPr>
        <w:t xml:space="preserve">positive </w:t>
      </w:r>
      <w:r w:rsidRPr="003627D0">
        <w:rPr>
          <w:lang w:val="en-US"/>
        </w:rPr>
        <w:t>weak correlation (between 0,10 and 0,29) with discretionary accruals for fixed salary</w:t>
      </w:r>
      <w:r w:rsidR="00810B78">
        <w:rPr>
          <w:lang w:val="en-US"/>
        </w:rPr>
        <w:t>.</w:t>
      </w:r>
      <w:r>
        <w:rPr>
          <w:lang w:val="en-US"/>
        </w:rPr>
        <w:t xml:space="preserve"> </w:t>
      </w:r>
      <w:r w:rsidR="00810B78">
        <w:rPr>
          <w:lang w:val="en-US"/>
        </w:rPr>
        <w:t>Regarding bonus compensation almost no linear relationship with discretionary accruals</w:t>
      </w:r>
      <w:r w:rsidR="009E338D">
        <w:rPr>
          <w:lang w:val="en-US"/>
        </w:rPr>
        <w:t xml:space="preserve"> is found.</w:t>
      </w:r>
      <w:r w:rsidR="00810B78">
        <w:rPr>
          <w:lang w:val="en-US"/>
        </w:rPr>
        <w:t xml:space="preserve"> </w:t>
      </w:r>
      <w:r w:rsidR="009E338D">
        <w:rPr>
          <w:lang w:val="en-US"/>
        </w:rPr>
        <w:t>T</w:t>
      </w:r>
      <w:r w:rsidR="00810B78">
        <w:rPr>
          <w:lang w:val="en-US"/>
        </w:rPr>
        <w:t>he</w:t>
      </w:r>
      <w:r w:rsidR="009E338D">
        <w:rPr>
          <w:lang w:val="en-US"/>
        </w:rPr>
        <w:t>se two</w:t>
      </w:r>
      <w:r w:rsidR="00810B78">
        <w:rPr>
          <w:lang w:val="en-US"/>
        </w:rPr>
        <w:t xml:space="preserve"> variables seem uncorrelated. Furthermore</w:t>
      </w:r>
      <w:r w:rsidRPr="00DA5F10">
        <w:rPr>
          <w:lang w:val="en-US"/>
        </w:rPr>
        <w:t xml:space="preserve">, table 3 shows a negative weak correlation with discretionary accruals for stock-based compensation. </w:t>
      </w:r>
      <w:r w:rsidR="00810B78">
        <w:rPr>
          <w:lang w:val="en-US"/>
        </w:rPr>
        <w:t>This means that when stock-based compensation increases, discretionary accruals decreases.</w:t>
      </w:r>
    </w:p>
    <w:p w:rsidR="003934D8" w:rsidRDefault="003934D8" w:rsidP="003934D8">
      <w:pPr>
        <w:rPr>
          <w:lang w:val="en-US"/>
        </w:rPr>
      </w:pPr>
    </w:p>
    <w:p w:rsidR="002127A9" w:rsidRDefault="003934D8" w:rsidP="003934D8">
      <w:pPr>
        <w:rPr>
          <w:lang w:val="en-US"/>
        </w:rPr>
      </w:pPr>
      <w:r>
        <w:rPr>
          <w:lang w:val="en-US"/>
        </w:rPr>
        <w:t xml:space="preserve">Next, the significance level (one-tailed) is assessed. </w:t>
      </w:r>
      <w:r w:rsidRPr="003627D0">
        <w:rPr>
          <w:lang w:val="en-US"/>
        </w:rPr>
        <w:t>The significance level indicates how much confidence can be obt</w:t>
      </w:r>
      <w:r>
        <w:rPr>
          <w:lang w:val="en-US"/>
        </w:rPr>
        <w:t xml:space="preserve">ained from the results. </w:t>
      </w:r>
      <w:r w:rsidR="0062590D">
        <w:rPr>
          <w:lang w:val="en-US"/>
        </w:rPr>
        <w:t xml:space="preserve">As a cut-off for this research </w:t>
      </w:r>
      <w:r w:rsidR="00694481">
        <w:rPr>
          <w:lang w:val="en-US"/>
        </w:rPr>
        <w:t>results</w:t>
      </w:r>
      <w:r w:rsidR="0062590D">
        <w:rPr>
          <w:lang w:val="en-US"/>
        </w:rPr>
        <w:t xml:space="preserve"> below 0,01 are considered highly significant, </w:t>
      </w:r>
      <w:r w:rsidR="00694481">
        <w:rPr>
          <w:lang w:val="en-US"/>
        </w:rPr>
        <w:t>results</w:t>
      </w:r>
      <w:r w:rsidR="0062590D">
        <w:rPr>
          <w:lang w:val="en-US"/>
        </w:rPr>
        <w:t xml:space="preserve"> between 0,01 and 0,05 are considered significant</w:t>
      </w:r>
      <w:r w:rsidR="00694481">
        <w:rPr>
          <w:lang w:val="en-US"/>
        </w:rPr>
        <w:t>,</w:t>
      </w:r>
      <w:r w:rsidR="0062590D">
        <w:rPr>
          <w:lang w:val="en-US"/>
        </w:rPr>
        <w:t xml:space="preserve"> </w:t>
      </w:r>
      <w:r w:rsidR="00694481">
        <w:rPr>
          <w:lang w:val="en-US"/>
        </w:rPr>
        <w:t>results between</w:t>
      </w:r>
      <w:r w:rsidR="0062590D">
        <w:rPr>
          <w:lang w:val="en-US"/>
        </w:rPr>
        <w:t xml:space="preserve"> 0,05</w:t>
      </w:r>
      <w:r w:rsidR="00694481">
        <w:rPr>
          <w:lang w:val="en-US"/>
        </w:rPr>
        <w:t xml:space="preserve"> and 0,10</w:t>
      </w:r>
      <w:r w:rsidR="0062590D">
        <w:rPr>
          <w:lang w:val="en-US"/>
        </w:rPr>
        <w:t xml:space="preserve"> are considered less significant</w:t>
      </w:r>
      <w:r w:rsidR="00694481">
        <w:rPr>
          <w:lang w:val="en-US"/>
        </w:rPr>
        <w:t xml:space="preserve"> and results above 0,10 are considered </w:t>
      </w:r>
      <w:r w:rsidR="007A4924">
        <w:rPr>
          <w:lang w:val="en-US"/>
        </w:rPr>
        <w:t>in</w:t>
      </w:r>
      <w:r w:rsidR="00694481">
        <w:rPr>
          <w:lang w:val="en-US"/>
        </w:rPr>
        <w:t>significant</w:t>
      </w:r>
      <w:r w:rsidR="0062590D">
        <w:rPr>
          <w:lang w:val="en-US"/>
        </w:rPr>
        <w:t xml:space="preserve">. </w:t>
      </w:r>
    </w:p>
    <w:p w:rsidR="003934D8" w:rsidRPr="006A35AE" w:rsidRDefault="003934D8" w:rsidP="003934D8">
      <w:pPr>
        <w:rPr>
          <w:lang w:val="en-US"/>
        </w:rPr>
      </w:pPr>
      <w:r>
        <w:rPr>
          <w:lang w:val="en-US"/>
        </w:rPr>
        <w:t xml:space="preserve">The correlation test is performed one-tailed, because the direction of the relationship is predicted in the hypothesis (positive or negative relation). In this case therefore, the results for fixed salary and stock-based compensation are statistical significant because the p-values are below 0,05. The results for bonus compensation however are </w:t>
      </w:r>
      <w:r w:rsidR="007A4924">
        <w:rPr>
          <w:lang w:val="en-US"/>
        </w:rPr>
        <w:t>in</w:t>
      </w:r>
      <w:r>
        <w:rPr>
          <w:lang w:val="en-US"/>
        </w:rPr>
        <w:t>significant (p-value of 0,37).</w:t>
      </w:r>
    </w:p>
    <w:p w:rsidR="003934D8" w:rsidRDefault="003934D8" w:rsidP="00010EFF">
      <w:pPr>
        <w:rPr>
          <w:lang w:val="en-US"/>
        </w:rPr>
      </w:pPr>
    </w:p>
    <w:p w:rsidR="00DA5F10" w:rsidRDefault="0062590D" w:rsidP="00010EFF">
      <w:pPr>
        <w:rPr>
          <w:lang w:val="en-US"/>
        </w:rPr>
      </w:pPr>
      <w:r>
        <w:rPr>
          <w:lang w:val="en-US"/>
        </w:rPr>
        <w:t>In summary, t</w:t>
      </w:r>
      <w:r w:rsidR="00DA5F10" w:rsidRPr="00DA5F10">
        <w:rPr>
          <w:lang w:val="en-US"/>
        </w:rPr>
        <w:t xml:space="preserve">he results seem to make clear that there is a positive linear relationship for fixed salary and a negative linear relationship for stock-based compensation. </w:t>
      </w:r>
      <w:r w:rsidR="00DA5F10">
        <w:rPr>
          <w:lang w:val="en-US"/>
        </w:rPr>
        <w:t>The more CEO’s remuneration</w:t>
      </w:r>
      <w:r>
        <w:rPr>
          <w:lang w:val="en-US"/>
        </w:rPr>
        <w:t xml:space="preserve"> package</w:t>
      </w:r>
      <w:r w:rsidR="00DA5F10">
        <w:rPr>
          <w:lang w:val="en-US"/>
        </w:rPr>
        <w:t xml:space="preserve"> consists of fixed salary, the larger</w:t>
      </w:r>
      <w:r w:rsidR="006C47EB">
        <w:rPr>
          <w:lang w:val="en-US"/>
        </w:rPr>
        <w:t xml:space="preserve"> (positive </w:t>
      </w:r>
      <w:r w:rsidR="00D129D5">
        <w:rPr>
          <w:lang w:val="en-US"/>
        </w:rPr>
        <w:t xml:space="preserve">linear </w:t>
      </w:r>
      <w:r w:rsidR="006C47EB">
        <w:rPr>
          <w:lang w:val="en-US"/>
        </w:rPr>
        <w:t>relation)</w:t>
      </w:r>
      <w:r w:rsidR="00DA5F10">
        <w:rPr>
          <w:lang w:val="en-US"/>
        </w:rPr>
        <w:t xml:space="preserve"> the discretionary accruals in the annual reports. Further, the more CEO’s remuneration </w:t>
      </w:r>
      <w:r>
        <w:rPr>
          <w:lang w:val="en-US"/>
        </w:rPr>
        <w:t xml:space="preserve">package </w:t>
      </w:r>
      <w:r w:rsidR="00DA5F10">
        <w:rPr>
          <w:lang w:val="en-US"/>
        </w:rPr>
        <w:t>consists of stock-based compensation, the smaller (negative</w:t>
      </w:r>
      <w:r w:rsidR="00D129D5">
        <w:rPr>
          <w:lang w:val="en-US"/>
        </w:rPr>
        <w:t xml:space="preserve"> linear</w:t>
      </w:r>
      <w:r w:rsidR="00DA5F10">
        <w:rPr>
          <w:lang w:val="en-US"/>
        </w:rPr>
        <w:t xml:space="preserve"> relation) the discretionary accruals in the annual reports.</w:t>
      </w:r>
      <w:r w:rsidR="002D4098">
        <w:rPr>
          <w:lang w:val="en-US"/>
        </w:rPr>
        <w:t xml:space="preserve"> Yet, the strength of both correlations is weak. </w:t>
      </w:r>
    </w:p>
    <w:p w:rsidR="00BE6D0A" w:rsidRDefault="006C47EB" w:rsidP="00010EFF">
      <w:pPr>
        <w:rPr>
          <w:lang w:val="en-US"/>
        </w:rPr>
      </w:pPr>
      <w:r>
        <w:rPr>
          <w:lang w:val="en-US"/>
        </w:rPr>
        <w:t>The</w:t>
      </w:r>
      <w:r w:rsidR="00DA5F10" w:rsidRPr="00DA5F10">
        <w:rPr>
          <w:lang w:val="en-US"/>
        </w:rPr>
        <w:t xml:space="preserve"> results</w:t>
      </w:r>
      <w:r>
        <w:rPr>
          <w:lang w:val="en-US"/>
        </w:rPr>
        <w:t xml:space="preserve"> therefore</w:t>
      </w:r>
      <w:r w:rsidR="00DA5F10" w:rsidRPr="00DA5F10">
        <w:rPr>
          <w:lang w:val="en-US"/>
        </w:rPr>
        <w:t xml:space="preserve"> </w:t>
      </w:r>
      <w:r w:rsidR="00F21B7A">
        <w:rPr>
          <w:lang w:val="en-US"/>
        </w:rPr>
        <w:t>reject</w:t>
      </w:r>
      <w:r w:rsidR="00DA5F10">
        <w:rPr>
          <w:lang w:val="en-US"/>
        </w:rPr>
        <w:t xml:space="preserve"> H</w:t>
      </w:r>
      <w:r w:rsidR="00DA5F10" w:rsidRPr="00DA5F10">
        <w:rPr>
          <w:vertAlign w:val="subscript"/>
          <w:lang w:val="en-US"/>
        </w:rPr>
        <w:t>1</w:t>
      </w:r>
      <w:r w:rsidR="00DA5F10">
        <w:rPr>
          <w:lang w:val="en-US"/>
        </w:rPr>
        <w:t xml:space="preserve"> and H</w:t>
      </w:r>
      <w:r w:rsidR="00DA5F10" w:rsidRPr="00DA5F10">
        <w:rPr>
          <w:vertAlign w:val="subscript"/>
          <w:lang w:val="en-US"/>
        </w:rPr>
        <w:t>3</w:t>
      </w:r>
      <w:r w:rsidR="00DA5F10">
        <w:rPr>
          <w:lang w:val="en-US"/>
        </w:rPr>
        <w:t xml:space="preserve"> because it was suspected that fixed salary would have a negative relation and stock-based compensation would have a positive </w:t>
      </w:r>
      <w:r w:rsidR="00DA5F10">
        <w:rPr>
          <w:lang w:val="en-US"/>
        </w:rPr>
        <w:lastRenderedPageBreak/>
        <w:t>relation with discretionary accruals.</w:t>
      </w:r>
      <w:r w:rsidR="00BE6D0A">
        <w:rPr>
          <w:lang w:val="en-US"/>
        </w:rPr>
        <w:t xml:space="preserve"> Fo</w:t>
      </w:r>
      <w:r w:rsidR="00810B78">
        <w:rPr>
          <w:lang w:val="en-US"/>
        </w:rPr>
        <w:t xml:space="preserve">r bonus compensation </w:t>
      </w:r>
      <w:r w:rsidR="00413A8B">
        <w:rPr>
          <w:lang w:val="en-US"/>
        </w:rPr>
        <w:t xml:space="preserve">a positive correlation with discretionary accruals was hypothesized. However </w:t>
      </w:r>
      <w:r w:rsidR="00810B78">
        <w:rPr>
          <w:lang w:val="en-US"/>
        </w:rPr>
        <w:t>no linear relationship with discretionary accruals is found</w:t>
      </w:r>
      <w:r w:rsidR="00F21B7A">
        <w:rPr>
          <w:lang w:val="en-US"/>
        </w:rPr>
        <w:t>,</w:t>
      </w:r>
      <w:r w:rsidR="00F21B7A" w:rsidRPr="00F21B7A">
        <w:rPr>
          <w:lang w:val="en-US"/>
        </w:rPr>
        <w:t xml:space="preserve"> </w:t>
      </w:r>
      <w:r w:rsidR="00F21B7A">
        <w:rPr>
          <w:lang w:val="en-US"/>
        </w:rPr>
        <w:t>therefore H</w:t>
      </w:r>
      <w:r w:rsidR="00F21B7A" w:rsidRPr="002E3495">
        <w:rPr>
          <w:vertAlign w:val="subscript"/>
          <w:lang w:val="en-US"/>
        </w:rPr>
        <w:t>2</w:t>
      </w:r>
      <w:r w:rsidR="00F21B7A">
        <w:rPr>
          <w:lang w:val="en-US"/>
        </w:rPr>
        <w:t xml:space="preserve"> is also rejected</w:t>
      </w:r>
      <w:r w:rsidR="002E3495">
        <w:rPr>
          <w:lang w:val="en-US"/>
        </w:rPr>
        <w:t xml:space="preserve">. </w:t>
      </w:r>
    </w:p>
    <w:p w:rsidR="0062590D" w:rsidRDefault="0062590D" w:rsidP="00010EFF">
      <w:pPr>
        <w:rPr>
          <w:lang w:val="en-US"/>
        </w:rPr>
      </w:pPr>
    </w:p>
    <w:p w:rsidR="003A5318" w:rsidRDefault="00626575" w:rsidP="006C2950">
      <w:pPr>
        <w:rPr>
          <w:lang w:val="en-US"/>
        </w:rPr>
      </w:pPr>
      <w:r>
        <w:rPr>
          <w:lang w:val="en-US"/>
        </w:rPr>
        <w:t>Nevertheless</w:t>
      </w:r>
      <w:r w:rsidR="00C25E18">
        <w:rPr>
          <w:lang w:val="en-US"/>
        </w:rPr>
        <w:t xml:space="preserve">, </w:t>
      </w:r>
      <w:r w:rsidR="00C80167">
        <w:rPr>
          <w:lang w:val="en-US"/>
        </w:rPr>
        <w:t>caution</w:t>
      </w:r>
      <w:r w:rsidR="00C25E18">
        <w:rPr>
          <w:lang w:val="en-US"/>
        </w:rPr>
        <w:t xml:space="preserve"> should be </w:t>
      </w:r>
      <w:r w:rsidR="00C80167">
        <w:rPr>
          <w:lang w:val="en-US"/>
        </w:rPr>
        <w:t>exercised</w:t>
      </w:r>
      <w:r w:rsidR="00C25E18">
        <w:rPr>
          <w:lang w:val="en-US"/>
        </w:rPr>
        <w:t xml:space="preserve"> in </w:t>
      </w:r>
      <w:r w:rsidR="00C25E18" w:rsidRPr="003A5318">
        <w:rPr>
          <w:lang w:val="en-US"/>
        </w:rPr>
        <w:t xml:space="preserve">the interpretation of the results. </w:t>
      </w:r>
      <w:r w:rsidR="003A5318" w:rsidRPr="003A5318">
        <w:rPr>
          <w:lang w:val="en-US"/>
        </w:rPr>
        <w:t xml:space="preserve">Correlation provides an indication that there is </w:t>
      </w:r>
      <w:r w:rsidR="00B10C13">
        <w:rPr>
          <w:lang w:val="en-US"/>
        </w:rPr>
        <w:t xml:space="preserve">a linear </w:t>
      </w:r>
      <w:r w:rsidR="003A5318" w:rsidRPr="003A5318">
        <w:rPr>
          <w:lang w:val="en-US"/>
        </w:rPr>
        <w:t xml:space="preserve">relationship between two variables. It does not indicate that one variable causes the other. </w:t>
      </w:r>
      <w:r w:rsidR="003A5318" w:rsidRPr="003A5318">
        <w:rPr>
          <w:lang w:val="en-GB"/>
        </w:rPr>
        <w:t>The correlation between two variables (A and B for example) could be due to the fact that A causes B, that B causes A, or that an additional variable (C) causes both A and B. Even when there seems to be a clear cause and effect relationship, a correlation alone is not sufficient evidence for a causal relationship.</w:t>
      </w:r>
      <w:r w:rsidR="003A5318">
        <w:rPr>
          <w:lang w:val="en-US"/>
        </w:rPr>
        <w:t xml:space="preserve"> </w:t>
      </w:r>
      <w:r w:rsidR="00D63915">
        <w:rPr>
          <w:lang w:val="en-US"/>
        </w:rPr>
        <w:t>So from the results in this paragraph only conclusion</w:t>
      </w:r>
      <w:r w:rsidR="00C80167">
        <w:rPr>
          <w:lang w:val="en-US"/>
        </w:rPr>
        <w:t>s</w:t>
      </w:r>
      <w:r w:rsidR="00D63915">
        <w:rPr>
          <w:lang w:val="en-US"/>
        </w:rPr>
        <w:t xml:space="preserve"> about the strength </w:t>
      </w:r>
      <w:r w:rsidR="00F20C5E">
        <w:rPr>
          <w:lang w:val="en-US"/>
        </w:rPr>
        <w:t xml:space="preserve">and the direction </w:t>
      </w:r>
      <w:r w:rsidR="00D63915">
        <w:rPr>
          <w:lang w:val="en-US"/>
        </w:rPr>
        <w:t xml:space="preserve">of the correlation </w:t>
      </w:r>
      <w:r w:rsidR="00C80167">
        <w:rPr>
          <w:lang w:val="en-US"/>
        </w:rPr>
        <w:t>are justified.</w:t>
      </w:r>
      <w:r w:rsidR="00D63915">
        <w:rPr>
          <w:lang w:val="en-US"/>
        </w:rPr>
        <w:t xml:space="preserve"> </w:t>
      </w:r>
    </w:p>
    <w:p w:rsidR="00F64363" w:rsidRPr="00F64363" w:rsidRDefault="00BA52AE" w:rsidP="00F64363">
      <w:pPr>
        <w:pStyle w:val="Heading3"/>
        <w:rPr>
          <w:lang w:val="en-US"/>
        </w:rPr>
      </w:pPr>
      <w:bookmarkStart w:id="78" w:name="_Toc274485453"/>
      <w:r>
        <w:rPr>
          <w:lang w:val="en-GB"/>
        </w:rPr>
        <w:t>Independent-S</w:t>
      </w:r>
      <w:r w:rsidR="00F64363">
        <w:rPr>
          <w:lang w:val="en-GB"/>
        </w:rPr>
        <w:t xml:space="preserve">amples </w:t>
      </w:r>
      <w:r>
        <w:rPr>
          <w:lang w:val="en-GB"/>
        </w:rPr>
        <w:t>T-T</w:t>
      </w:r>
      <w:r w:rsidR="00F64363">
        <w:rPr>
          <w:lang w:val="en-GB"/>
        </w:rPr>
        <w:t>est</w:t>
      </w:r>
      <w:bookmarkEnd w:id="78"/>
    </w:p>
    <w:p w:rsidR="00942148" w:rsidRDefault="003937A8" w:rsidP="00942148">
      <w:pPr>
        <w:rPr>
          <w:lang w:val="en-US"/>
        </w:rPr>
      </w:pPr>
      <w:r>
        <w:rPr>
          <w:lang w:val="en-US"/>
        </w:rPr>
        <w:t xml:space="preserve">The </w:t>
      </w:r>
      <w:r w:rsidR="00EA2E06">
        <w:rPr>
          <w:lang w:val="en-US"/>
        </w:rPr>
        <w:t>second</w:t>
      </w:r>
      <w:r>
        <w:rPr>
          <w:lang w:val="en-US"/>
        </w:rPr>
        <w:t xml:space="preserve"> test in this research about the relation between earnings management and variable compensation is the t-test. </w:t>
      </w:r>
      <w:r w:rsidR="00C25E18">
        <w:rPr>
          <w:lang w:val="en-US"/>
        </w:rPr>
        <w:t xml:space="preserve"> </w:t>
      </w:r>
      <w:r w:rsidR="00942148">
        <w:rPr>
          <w:lang w:val="en-US"/>
        </w:rPr>
        <w:t xml:space="preserve">A t-test is used to examine </w:t>
      </w:r>
      <w:r w:rsidR="00EA2E06">
        <w:rPr>
          <w:lang w:val="en-US"/>
        </w:rPr>
        <w:t>whether</w:t>
      </w:r>
      <w:r w:rsidR="00942148">
        <w:rPr>
          <w:lang w:val="en-US"/>
        </w:rPr>
        <w:t xml:space="preserve"> the mean for two groups deviate from each other. There are two t-tests to compare the group means:</w:t>
      </w:r>
    </w:p>
    <w:p w:rsidR="00942148" w:rsidRDefault="00942148" w:rsidP="00942148">
      <w:pPr>
        <w:pStyle w:val="ListParagraph"/>
        <w:numPr>
          <w:ilvl w:val="0"/>
          <w:numId w:val="21"/>
        </w:numPr>
        <w:ind w:left="851" w:hanging="425"/>
        <w:rPr>
          <w:lang w:val="en-US"/>
        </w:rPr>
      </w:pPr>
      <w:r>
        <w:rPr>
          <w:lang w:val="en-US"/>
        </w:rPr>
        <w:t>Independent-Samples T-Test, for comparison of two independent groups;</w:t>
      </w:r>
    </w:p>
    <w:p w:rsidR="00942148" w:rsidRDefault="00942148" w:rsidP="00942148">
      <w:pPr>
        <w:pStyle w:val="ListParagraph"/>
        <w:numPr>
          <w:ilvl w:val="0"/>
          <w:numId w:val="21"/>
        </w:numPr>
        <w:ind w:left="851" w:hanging="425"/>
        <w:rPr>
          <w:lang w:val="en-US"/>
        </w:rPr>
      </w:pPr>
      <w:r>
        <w:rPr>
          <w:lang w:val="en-US"/>
        </w:rPr>
        <w:t>Dependent-Samples T-Test, for comparison of two dependent groups.</w:t>
      </w:r>
    </w:p>
    <w:p w:rsidR="00F115B7" w:rsidRPr="00F115B7" w:rsidRDefault="00F115B7" w:rsidP="00F115B7">
      <w:pPr>
        <w:rPr>
          <w:lang w:val="en-US"/>
        </w:rPr>
      </w:pPr>
    </w:p>
    <w:p w:rsidR="00F115B7" w:rsidRDefault="00942148" w:rsidP="00942148">
      <w:pPr>
        <w:rPr>
          <w:lang w:val="en-US"/>
        </w:rPr>
      </w:pPr>
      <w:r>
        <w:rPr>
          <w:lang w:val="en-US"/>
        </w:rPr>
        <w:t>In this re</w:t>
      </w:r>
      <w:r w:rsidR="00EA2E06">
        <w:rPr>
          <w:lang w:val="en-US"/>
        </w:rPr>
        <w:t>search the independent-samples t</w:t>
      </w:r>
      <w:r>
        <w:rPr>
          <w:lang w:val="en-US"/>
        </w:rPr>
        <w:t>-test is used because the research is about two independent groups.</w:t>
      </w:r>
      <w:r w:rsidR="00EA2E06">
        <w:rPr>
          <w:lang w:val="en-US"/>
        </w:rPr>
        <w:t xml:space="preserve"> </w:t>
      </w:r>
      <w:r w:rsidR="000E0ECE">
        <w:rPr>
          <w:lang w:val="en-US"/>
        </w:rPr>
        <w:t xml:space="preserve">For this purpose the data for each type of compensation is subdivided into three groups. </w:t>
      </w:r>
      <w:r w:rsidR="00EA2E06">
        <w:rPr>
          <w:lang w:val="en-US"/>
        </w:rPr>
        <w:t>On</w:t>
      </w:r>
      <w:r w:rsidR="000E0ECE">
        <w:rPr>
          <w:lang w:val="en-US"/>
        </w:rPr>
        <w:t xml:space="preserve"> the one hand </w:t>
      </w:r>
      <w:r w:rsidR="00EA2E06">
        <w:rPr>
          <w:lang w:val="en-US"/>
        </w:rPr>
        <w:t>group</w:t>
      </w:r>
      <w:r w:rsidR="000E0ECE">
        <w:rPr>
          <w:lang w:val="en-US"/>
        </w:rPr>
        <w:t xml:space="preserve"> 1</w:t>
      </w:r>
      <w:r w:rsidR="00EA2E06">
        <w:rPr>
          <w:lang w:val="en-US"/>
        </w:rPr>
        <w:t xml:space="preserve"> </w:t>
      </w:r>
      <w:r w:rsidR="000E0ECE">
        <w:rPr>
          <w:lang w:val="en-US"/>
        </w:rPr>
        <w:t>(</w:t>
      </w:r>
      <w:r w:rsidR="00EA2E06">
        <w:rPr>
          <w:lang w:val="en-US"/>
        </w:rPr>
        <w:t>CEO’s with a relative large size of f</w:t>
      </w:r>
      <w:r w:rsidR="00290E64">
        <w:rPr>
          <w:lang w:val="en-US"/>
        </w:rPr>
        <w:t>ixed salary, bonus compensation</w:t>
      </w:r>
      <w:r w:rsidR="00EA2E06">
        <w:rPr>
          <w:lang w:val="en-US"/>
        </w:rPr>
        <w:t xml:space="preserve"> or stock-based compensation</w:t>
      </w:r>
      <w:r w:rsidR="000E0ECE">
        <w:rPr>
          <w:lang w:val="en-US"/>
        </w:rPr>
        <w:t>)</w:t>
      </w:r>
      <w:r w:rsidR="00EA2E06">
        <w:rPr>
          <w:lang w:val="en-US"/>
        </w:rPr>
        <w:t xml:space="preserve">, and on the other hand </w:t>
      </w:r>
      <w:r w:rsidR="000E0ECE">
        <w:rPr>
          <w:lang w:val="en-US"/>
        </w:rPr>
        <w:t>group 2 (</w:t>
      </w:r>
      <w:r w:rsidR="00EA2E06">
        <w:rPr>
          <w:lang w:val="en-US"/>
        </w:rPr>
        <w:t>CEO’s with a relative small size of</w:t>
      </w:r>
      <w:r w:rsidR="00290E64">
        <w:rPr>
          <w:lang w:val="en-US"/>
        </w:rPr>
        <w:t xml:space="preserve"> fixed salary, bonus compensation or stock-based compensation</w:t>
      </w:r>
      <w:r w:rsidR="00EA2E06">
        <w:rPr>
          <w:lang w:val="en-US"/>
        </w:rPr>
        <w:t>).</w:t>
      </w:r>
      <w:r>
        <w:rPr>
          <w:lang w:val="en-US"/>
        </w:rPr>
        <w:t xml:space="preserve"> </w:t>
      </w:r>
      <w:r w:rsidR="00F115B7">
        <w:rPr>
          <w:lang w:val="en-US"/>
        </w:rPr>
        <w:t xml:space="preserve">Group 1 and group 2 both consist of data for 60 CEO’s. For example group 1 from fixed salary consists of the 60 CEO’s with the largest relative size of fixed salary, and group 2 </w:t>
      </w:r>
      <w:r w:rsidR="000E0ECE">
        <w:rPr>
          <w:lang w:val="en-US"/>
        </w:rPr>
        <w:t>o</w:t>
      </w:r>
      <w:r w:rsidR="00F115B7">
        <w:rPr>
          <w:lang w:val="en-US"/>
        </w:rPr>
        <w:t xml:space="preserve">f the 60 CEO’s with the smallest relative size of fixed salary. The 56 CEO’s in between those 2 groups are excluded for the independent-samples t-test. This group of CEO’s is excluded because in this research the group with the highest relative size of the different types of compensation is compared to the group with the lowest relative </w:t>
      </w:r>
      <w:r w:rsidR="00F115B7">
        <w:rPr>
          <w:lang w:val="en-US"/>
        </w:rPr>
        <w:lastRenderedPageBreak/>
        <w:t>size</w:t>
      </w:r>
      <w:r w:rsidR="00290E64">
        <w:rPr>
          <w:lang w:val="en-US"/>
        </w:rPr>
        <w:t xml:space="preserve">. </w:t>
      </w:r>
      <w:r w:rsidR="00F115B7">
        <w:rPr>
          <w:lang w:val="en-US"/>
        </w:rPr>
        <w:t xml:space="preserve">Therefore the ‘middle’ group has no function and it is excluded from this research. </w:t>
      </w:r>
    </w:p>
    <w:p w:rsidR="00F115B7" w:rsidRDefault="00F115B7" w:rsidP="00942148">
      <w:pPr>
        <w:rPr>
          <w:lang w:val="en-US"/>
        </w:rPr>
      </w:pPr>
    </w:p>
    <w:p w:rsidR="00EA2E06" w:rsidRDefault="00104AD1" w:rsidP="00942148">
      <w:pPr>
        <w:rPr>
          <w:lang w:val="en-US"/>
        </w:rPr>
      </w:pPr>
      <w:r>
        <w:rPr>
          <w:lang w:val="en-US"/>
        </w:rPr>
        <w:t>The independent-samples t-test will examine whether there is a statistically significant difference in the mean scores</w:t>
      </w:r>
      <w:r w:rsidR="00EA2E06">
        <w:rPr>
          <w:lang w:val="en-US"/>
        </w:rPr>
        <w:t xml:space="preserve"> of discretionary accruals</w:t>
      </w:r>
      <w:r>
        <w:rPr>
          <w:lang w:val="en-US"/>
        </w:rPr>
        <w:t xml:space="preserve"> </w:t>
      </w:r>
      <w:r w:rsidR="00EA2E06">
        <w:rPr>
          <w:lang w:val="en-US"/>
        </w:rPr>
        <w:t>between</w:t>
      </w:r>
      <w:r>
        <w:rPr>
          <w:lang w:val="en-US"/>
        </w:rPr>
        <w:t xml:space="preserve"> the two groups</w:t>
      </w:r>
      <w:r w:rsidR="00EA2E06">
        <w:rPr>
          <w:lang w:val="en-US"/>
        </w:rPr>
        <w:t>. In this research this</w:t>
      </w:r>
      <w:r>
        <w:rPr>
          <w:lang w:val="en-US"/>
        </w:rPr>
        <w:t xml:space="preserve"> means whether there is a statistically significant difference </w:t>
      </w:r>
      <w:r w:rsidR="00DA1AE6">
        <w:rPr>
          <w:lang w:val="en-US"/>
        </w:rPr>
        <w:t>in the mean scores of discretionary accruals between</w:t>
      </w:r>
      <w:r>
        <w:rPr>
          <w:lang w:val="en-US"/>
        </w:rPr>
        <w:t xml:space="preserve"> group 1 and group 2 for each of the three different compensat</w:t>
      </w:r>
      <w:r w:rsidR="00034E3C">
        <w:rPr>
          <w:lang w:val="en-US"/>
        </w:rPr>
        <w:t xml:space="preserve">ion types. For </w:t>
      </w:r>
      <w:r>
        <w:rPr>
          <w:lang w:val="en-US"/>
        </w:rPr>
        <w:t xml:space="preserve">example </w:t>
      </w:r>
      <w:r w:rsidR="00034E3C">
        <w:rPr>
          <w:lang w:val="en-US"/>
        </w:rPr>
        <w:t>the</w:t>
      </w:r>
      <w:r w:rsidR="00C42F62">
        <w:rPr>
          <w:lang w:val="en-US"/>
        </w:rPr>
        <w:t xml:space="preserve"> independent-samples t-test </w:t>
      </w:r>
      <w:r w:rsidR="001F4054">
        <w:rPr>
          <w:lang w:val="en-US"/>
        </w:rPr>
        <w:t>examine</w:t>
      </w:r>
      <w:r w:rsidR="00034E3C">
        <w:rPr>
          <w:lang w:val="en-US"/>
        </w:rPr>
        <w:t>s</w:t>
      </w:r>
      <w:r w:rsidR="001F4054">
        <w:rPr>
          <w:lang w:val="en-US"/>
        </w:rPr>
        <w:t xml:space="preserve"> whether there is a statistically significant difference in </w:t>
      </w:r>
      <w:r w:rsidR="00CF4990">
        <w:rPr>
          <w:lang w:val="en-US"/>
        </w:rPr>
        <w:t xml:space="preserve">the mean scores of </w:t>
      </w:r>
      <w:r w:rsidR="001F4054">
        <w:rPr>
          <w:lang w:val="en-US"/>
        </w:rPr>
        <w:t xml:space="preserve">discretionary accruals </w:t>
      </w:r>
      <w:r w:rsidR="00693E11">
        <w:rPr>
          <w:lang w:val="en-US"/>
        </w:rPr>
        <w:t xml:space="preserve">between group 1 and group 2 for fixed salary. </w:t>
      </w:r>
    </w:p>
    <w:p w:rsidR="0062590D" w:rsidRDefault="0062590D" w:rsidP="00942148">
      <w:pPr>
        <w:rPr>
          <w:lang w:val="en-US"/>
        </w:rPr>
      </w:pPr>
    </w:p>
    <w:p w:rsidR="0007212F" w:rsidRDefault="007B2B7B" w:rsidP="0007212F">
      <w:pPr>
        <w:rPr>
          <w:lang w:val="en-US"/>
        </w:rPr>
      </w:pPr>
      <w:r w:rsidRPr="002B01DD">
        <w:rPr>
          <w:lang w:val="en-US"/>
        </w:rPr>
        <w:t xml:space="preserve">Two </w:t>
      </w:r>
      <w:r w:rsidR="006902F9" w:rsidRPr="002B01DD">
        <w:rPr>
          <w:lang w:val="en-US"/>
        </w:rPr>
        <w:t xml:space="preserve">important </w:t>
      </w:r>
      <w:r w:rsidR="005D0297" w:rsidRPr="002B01DD">
        <w:rPr>
          <w:lang w:val="en-US"/>
        </w:rPr>
        <w:t>assumptions</w:t>
      </w:r>
      <w:r w:rsidR="006902F9" w:rsidRPr="002B01DD">
        <w:rPr>
          <w:lang w:val="en-US"/>
        </w:rPr>
        <w:t xml:space="preserve"> </w:t>
      </w:r>
      <w:r w:rsidR="0007212F">
        <w:rPr>
          <w:lang w:val="en-US"/>
        </w:rPr>
        <w:t>are made</w:t>
      </w:r>
      <w:r w:rsidR="00485BAA">
        <w:rPr>
          <w:lang w:val="en-US"/>
        </w:rPr>
        <w:t xml:space="preserve"> regarding the results</w:t>
      </w:r>
      <w:r w:rsidR="002B01DD" w:rsidRPr="002B01DD">
        <w:rPr>
          <w:lang w:val="en-US"/>
        </w:rPr>
        <w:t xml:space="preserve">. </w:t>
      </w:r>
      <w:r w:rsidR="0007212F">
        <w:rPr>
          <w:lang w:val="en-US"/>
        </w:rPr>
        <w:t xml:space="preserve">The first assumption is about the results of </w:t>
      </w:r>
      <w:r w:rsidR="0007212F" w:rsidRPr="002B01DD">
        <w:rPr>
          <w:lang w:val="en-US"/>
        </w:rPr>
        <w:t>Levene’s test of equality of variances</w:t>
      </w:r>
      <w:r w:rsidR="0007212F">
        <w:rPr>
          <w:lang w:val="en-US"/>
        </w:rPr>
        <w:t xml:space="preserve">. </w:t>
      </w:r>
      <w:r w:rsidR="0007212F" w:rsidRPr="002B01DD">
        <w:rPr>
          <w:lang w:val="en-US"/>
        </w:rPr>
        <w:t>This tests whether the variance of scores for the two groups is the same. The outcome determines which of the t-values SPSS provides is the correct one to use. If Levene’s p is above 0,05, then equality of variance</w:t>
      </w:r>
      <w:r w:rsidR="00485BAA">
        <w:rPr>
          <w:lang w:val="en-US"/>
        </w:rPr>
        <w:t xml:space="preserve"> is assumed</w:t>
      </w:r>
      <w:r w:rsidR="0007212F" w:rsidRPr="002B01DD">
        <w:rPr>
          <w:lang w:val="en-US"/>
        </w:rPr>
        <w:t xml:space="preserve">. The top row of the output from SPSS </w:t>
      </w:r>
      <w:r w:rsidR="0007212F">
        <w:rPr>
          <w:lang w:val="en-US"/>
        </w:rPr>
        <w:t>will</w:t>
      </w:r>
      <w:r w:rsidR="0007212F" w:rsidRPr="002B01DD">
        <w:rPr>
          <w:lang w:val="en-US"/>
        </w:rPr>
        <w:t xml:space="preserve"> be used. If Levene’s p is below 0,05, then </w:t>
      </w:r>
      <w:r w:rsidR="00485BAA">
        <w:rPr>
          <w:lang w:val="en-US"/>
        </w:rPr>
        <w:t xml:space="preserve">it is assumed </w:t>
      </w:r>
      <w:r w:rsidR="0007212F" w:rsidRPr="002B01DD">
        <w:rPr>
          <w:lang w:val="en-US"/>
        </w:rPr>
        <w:t xml:space="preserve">there is not equality of variance. </w:t>
      </w:r>
      <w:r w:rsidR="0007212F">
        <w:rPr>
          <w:lang w:val="en-US"/>
        </w:rPr>
        <w:t xml:space="preserve">In this case the results from the second row of the output will be used. </w:t>
      </w:r>
    </w:p>
    <w:p w:rsidR="007B2B7B" w:rsidRPr="002B01DD" w:rsidRDefault="007B2B7B" w:rsidP="007B2B7B">
      <w:pPr>
        <w:rPr>
          <w:lang w:val="en-US"/>
        </w:rPr>
      </w:pPr>
      <w:r w:rsidRPr="002B01DD">
        <w:rPr>
          <w:lang w:val="en-US"/>
        </w:rPr>
        <w:t xml:space="preserve">Secondly, SPSS’s output shows the significance level two-tailed. For this research one-tailed significant levels should be determined because the direction of the relationship is predicted in the hypotheses. Therefore the two-tailed significance level from the output of SPSS is divided by two to </w:t>
      </w:r>
      <w:r w:rsidR="0062590D">
        <w:rPr>
          <w:lang w:val="en-US"/>
        </w:rPr>
        <w:t>compute</w:t>
      </w:r>
      <w:r w:rsidRPr="002B01DD">
        <w:rPr>
          <w:lang w:val="en-US"/>
        </w:rPr>
        <w:t xml:space="preserve"> the one-tailed significance level. </w:t>
      </w:r>
      <w:r w:rsidR="0007212F">
        <w:rPr>
          <w:lang w:val="en-US"/>
        </w:rPr>
        <w:t xml:space="preserve">Like for the correlation test the same assumption about significance is </w:t>
      </w:r>
      <w:r w:rsidR="0012464D">
        <w:rPr>
          <w:lang w:val="en-US"/>
        </w:rPr>
        <w:t>being made for the t-test</w:t>
      </w:r>
      <w:r w:rsidR="0007212F">
        <w:rPr>
          <w:lang w:val="en-US"/>
        </w:rPr>
        <w:t>. Results</w:t>
      </w:r>
      <w:r w:rsidR="009D4393">
        <w:rPr>
          <w:lang w:val="en-US"/>
        </w:rPr>
        <w:t xml:space="preserve"> below 0,01 are considered highly significant, </w:t>
      </w:r>
      <w:r w:rsidR="00694481">
        <w:rPr>
          <w:lang w:val="en-US"/>
        </w:rPr>
        <w:t>results</w:t>
      </w:r>
      <w:r w:rsidR="009D4393">
        <w:rPr>
          <w:lang w:val="en-US"/>
        </w:rPr>
        <w:t xml:space="preserve"> between 0,01 and 0,05 are considered significant</w:t>
      </w:r>
      <w:r w:rsidR="00101859">
        <w:rPr>
          <w:lang w:val="en-US"/>
        </w:rPr>
        <w:t>,</w:t>
      </w:r>
      <w:r w:rsidR="009D4393">
        <w:rPr>
          <w:lang w:val="en-US"/>
        </w:rPr>
        <w:t xml:space="preserve"> </w:t>
      </w:r>
      <w:r w:rsidR="00694481">
        <w:rPr>
          <w:lang w:val="en-US"/>
        </w:rPr>
        <w:t>results</w:t>
      </w:r>
      <w:r w:rsidR="009D4393">
        <w:rPr>
          <w:lang w:val="en-US"/>
        </w:rPr>
        <w:t xml:space="preserve"> </w:t>
      </w:r>
      <w:r w:rsidR="00101859">
        <w:rPr>
          <w:lang w:val="en-US"/>
        </w:rPr>
        <w:t>between</w:t>
      </w:r>
      <w:r w:rsidR="009D4393">
        <w:rPr>
          <w:lang w:val="en-US"/>
        </w:rPr>
        <w:t xml:space="preserve"> 0,05</w:t>
      </w:r>
      <w:r w:rsidR="00101859">
        <w:rPr>
          <w:lang w:val="en-US"/>
        </w:rPr>
        <w:t xml:space="preserve"> and 0,10</w:t>
      </w:r>
      <w:r w:rsidR="009D4393">
        <w:rPr>
          <w:lang w:val="en-US"/>
        </w:rPr>
        <w:t xml:space="preserve"> a</w:t>
      </w:r>
      <w:r w:rsidR="00101859">
        <w:rPr>
          <w:lang w:val="en-US"/>
        </w:rPr>
        <w:t xml:space="preserve">re considered less significant and above 0,10 </w:t>
      </w:r>
      <w:r w:rsidR="00694481">
        <w:rPr>
          <w:lang w:val="en-US"/>
        </w:rPr>
        <w:t xml:space="preserve">results </w:t>
      </w:r>
      <w:r w:rsidR="00101859">
        <w:rPr>
          <w:lang w:val="en-US"/>
        </w:rPr>
        <w:t xml:space="preserve">are considered </w:t>
      </w:r>
      <w:r w:rsidR="00AA5A11">
        <w:rPr>
          <w:lang w:val="en-US"/>
        </w:rPr>
        <w:t>in</w:t>
      </w:r>
      <w:r w:rsidR="00101859">
        <w:rPr>
          <w:lang w:val="en-US"/>
        </w:rPr>
        <w:t>significant.</w:t>
      </w:r>
    </w:p>
    <w:p w:rsidR="000E0ECE" w:rsidRDefault="000E0ECE" w:rsidP="006B2A2C">
      <w:pPr>
        <w:rPr>
          <w:lang w:val="en-US"/>
        </w:rPr>
      </w:pPr>
    </w:p>
    <w:p w:rsidR="000E0ECE" w:rsidRPr="000E0ECE" w:rsidRDefault="000E0ECE" w:rsidP="006B2A2C">
      <w:pPr>
        <w:rPr>
          <w:lang w:val="en-US"/>
        </w:rPr>
      </w:pPr>
      <w:r>
        <w:rPr>
          <w:lang w:val="en-US"/>
        </w:rPr>
        <w:t>In the next sections the results of the</w:t>
      </w:r>
      <w:r w:rsidR="00E32601">
        <w:rPr>
          <w:lang w:val="en-US"/>
        </w:rPr>
        <w:t xml:space="preserve"> independent-samples</w:t>
      </w:r>
      <w:r>
        <w:rPr>
          <w:lang w:val="en-US"/>
        </w:rPr>
        <w:t xml:space="preserve"> t-test will be presented.   </w:t>
      </w:r>
    </w:p>
    <w:p w:rsidR="000E0ECE" w:rsidRDefault="000E0ECE" w:rsidP="006B2A2C">
      <w:pPr>
        <w:rPr>
          <w:b/>
          <w:lang w:val="en-US"/>
        </w:rPr>
      </w:pPr>
    </w:p>
    <w:p w:rsidR="006B2A2C" w:rsidRDefault="006B2A2C" w:rsidP="006B2A2C">
      <w:pPr>
        <w:rPr>
          <w:b/>
          <w:lang w:val="en-US"/>
        </w:rPr>
      </w:pPr>
      <w:r>
        <w:rPr>
          <w:b/>
          <w:lang w:val="en-US"/>
        </w:rPr>
        <w:t>Independent-Samples T-Test for fixed salary</w:t>
      </w:r>
    </w:p>
    <w:p w:rsidR="000E0ECE" w:rsidRDefault="006B2A2C" w:rsidP="006B2A2C">
      <w:pPr>
        <w:rPr>
          <w:lang w:val="en-US"/>
        </w:rPr>
      </w:pPr>
      <w:r>
        <w:rPr>
          <w:lang w:val="en-US"/>
        </w:rPr>
        <w:t xml:space="preserve">First the independent-samples t-test </w:t>
      </w:r>
      <w:r w:rsidR="00101859">
        <w:rPr>
          <w:lang w:val="en-US"/>
        </w:rPr>
        <w:t>regarding</w:t>
      </w:r>
      <w:r>
        <w:rPr>
          <w:lang w:val="en-US"/>
        </w:rPr>
        <w:t xml:space="preserve"> fixed salary </w:t>
      </w:r>
      <w:r w:rsidR="00003647">
        <w:rPr>
          <w:lang w:val="en-US"/>
        </w:rPr>
        <w:t>is</w:t>
      </w:r>
      <w:r>
        <w:rPr>
          <w:lang w:val="en-US"/>
        </w:rPr>
        <w:t xml:space="preserve"> conducted</w:t>
      </w:r>
      <w:r w:rsidR="008F759B">
        <w:rPr>
          <w:lang w:val="en-US"/>
        </w:rPr>
        <w:t xml:space="preserve"> to compare the mean scores </w:t>
      </w:r>
      <w:r w:rsidR="00101859">
        <w:rPr>
          <w:lang w:val="en-US"/>
        </w:rPr>
        <w:t>of</w:t>
      </w:r>
      <w:r w:rsidR="008F759B">
        <w:rPr>
          <w:lang w:val="en-US"/>
        </w:rPr>
        <w:t xml:space="preserve"> discretionary accruals for CEO’s in group 1 and CEO’s in group 2. </w:t>
      </w:r>
    </w:p>
    <w:p w:rsidR="000F78D9" w:rsidRDefault="000F78D9" w:rsidP="006B2A2C">
      <w:pPr>
        <w:rPr>
          <w:lang w:val="en-US"/>
        </w:rPr>
      </w:pPr>
      <w:r>
        <w:rPr>
          <w:lang w:val="en-US"/>
        </w:rPr>
        <w:lastRenderedPageBreak/>
        <w:t xml:space="preserve">The output from SPSS shows a significance level of 0,02 for the Levene’s test of equality of variances. Because this is below </w:t>
      </w:r>
      <w:r w:rsidR="00DA651E">
        <w:rPr>
          <w:lang w:val="en-US"/>
        </w:rPr>
        <w:t xml:space="preserve">the cut-off of </w:t>
      </w:r>
      <w:r>
        <w:rPr>
          <w:lang w:val="en-US"/>
        </w:rPr>
        <w:t>0,05</w:t>
      </w:r>
      <w:r w:rsidR="00101859">
        <w:rPr>
          <w:lang w:val="en-US"/>
        </w:rPr>
        <w:t>,</w:t>
      </w:r>
      <w:r>
        <w:rPr>
          <w:lang w:val="en-US"/>
        </w:rPr>
        <w:t xml:space="preserve"> </w:t>
      </w:r>
      <w:r w:rsidR="00231BB3">
        <w:rPr>
          <w:lang w:val="en-US"/>
        </w:rPr>
        <w:t xml:space="preserve">as explained on the previous page, </w:t>
      </w:r>
      <w:r>
        <w:rPr>
          <w:lang w:val="en-US"/>
        </w:rPr>
        <w:t xml:space="preserve">the </w:t>
      </w:r>
      <w:r w:rsidR="00B3525B">
        <w:rPr>
          <w:lang w:val="en-US"/>
        </w:rPr>
        <w:t xml:space="preserve">results from the second </w:t>
      </w:r>
      <w:r>
        <w:rPr>
          <w:lang w:val="en-US"/>
        </w:rPr>
        <w:t>line</w:t>
      </w:r>
      <w:r w:rsidR="00B3525B">
        <w:rPr>
          <w:lang w:val="en-US"/>
        </w:rPr>
        <w:t xml:space="preserve"> in the table,</w:t>
      </w:r>
      <w:r>
        <w:rPr>
          <w:lang w:val="en-US"/>
        </w:rPr>
        <w:t xml:space="preserve"> ‘equal variances not assumed’</w:t>
      </w:r>
      <w:r w:rsidR="00B3525B">
        <w:rPr>
          <w:lang w:val="en-US"/>
        </w:rPr>
        <w:t>,</w:t>
      </w:r>
      <w:r>
        <w:rPr>
          <w:lang w:val="en-US"/>
        </w:rPr>
        <w:t xml:space="preserve"> </w:t>
      </w:r>
      <w:r w:rsidR="00B3525B">
        <w:rPr>
          <w:lang w:val="en-US"/>
        </w:rPr>
        <w:t>are</w:t>
      </w:r>
      <w:r>
        <w:rPr>
          <w:lang w:val="en-US"/>
        </w:rPr>
        <w:t xml:space="preserve"> used.</w:t>
      </w:r>
      <w:r w:rsidR="005B4202">
        <w:rPr>
          <w:lang w:val="en-US"/>
        </w:rPr>
        <w:t xml:space="preserve"> For the results</w:t>
      </w:r>
      <w:r w:rsidR="009C679A">
        <w:rPr>
          <w:lang w:val="en-US"/>
        </w:rPr>
        <w:t xml:space="preserve"> of the</w:t>
      </w:r>
      <w:r w:rsidR="00101859">
        <w:rPr>
          <w:lang w:val="en-US"/>
        </w:rPr>
        <w:t xml:space="preserve"> independent-samples</w:t>
      </w:r>
      <w:r w:rsidR="009C679A">
        <w:rPr>
          <w:lang w:val="en-US"/>
        </w:rPr>
        <w:t xml:space="preserve"> t-test</w:t>
      </w:r>
      <w:r w:rsidR="00101859">
        <w:rPr>
          <w:lang w:val="en-US"/>
        </w:rPr>
        <w:t xml:space="preserve"> for fixed salary</w:t>
      </w:r>
      <w:r w:rsidR="001D487A">
        <w:rPr>
          <w:lang w:val="en-US"/>
        </w:rPr>
        <w:t xml:space="preserve">, see table </w:t>
      </w:r>
      <w:r w:rsidR="002B01DD">
        <w:rPr>
          <w:lang w:val="en-US"/>
        </w:rPr>
        <w:t>4</w:t>
      </w:r>
      <w:r w:rsidR="005B4202">
        <w:rPr>
          <w:lang w:val="en-US"/>
        </w:rPr>
        <w:t xml:space="preserve"> </w:t>
      </w:r>
      <w:r w:rsidR="00101859">
        <w:rPr>
          <w:lang w:val="en-US"/>
        </w:rPr>
        <w:t>below</w:t>
      </w:r>
      <w:r w:rsidR="005B4202">
        <w:rPr>
          <w:lang w:val="en-US"/>
        </w:rPr>
        <w:t xml:space="preserve">. </w:t>
      </w:r>
    </w:p>
    <w:p w:rsidR="005B4202" w:rsidRDefault="005B4202" w:rsidP="006B2A2C">
      <w:pPr>
        <w:rPr>
          <w:lang w:val="en-US"/>
        </w:rPr>
      </w:pPr>
    </w:p>
    <w:tbl>
      <w:tblPr>
        <w:tblW w:w="0" w:type="auto"/>
        <w:jc w:val="center"/>
        <w:tblLook w:val="00A0"/>
      </w:tblPr>
      <w:tblGrid>
        <w:gridCol w:w="3845"/>
        <w:gridCol w:w="1959"/>
      </w:tblGrid>
      <w:tr w:rsidR="005B4202" w:rsidTr="00F04738">
        <w:trPr>
          <w:jc w:val="center"/>
        </w:trPr>
        <w:tc>
          <w:tcPr>
            <w:tcW w:w="3845" w:type="dxa"/>
            <w:tcBorders>
              <w:bottom w:val="single" w:sz="18" w:space="0" w:color="548DD4"/>
              <w:right w:val="single" w:sz="18" w:space="0" w:color="548DD4"/>
            </w:tcBorders>
          </w:tcPr>
          <w:p w:rsidR="005B4202" w:rsidRPr="00DA651E" w:rsidRDefault="005B4202" w:rsidP="005F4EA4">
            <w:pPr>
              <w:rPr>
                <w:rFonts w:cs="Arial"/>
                <w:b/>
                <w:lang w:val="en-US"/>
              </w:rPr>
            </w:pPr>
            <w:r>
              <w:rPr>
                <w:lang w:val="en-US"/>
              </w:rPr>
              <w:br w:type="page"/>
            </w:r>
            <w:r w:rsidR="00DA651E">
              <w:rPr>
                <w:b/>
                <w:lang w:val="en-US"/>
              </w:rPr>
              <w:t>Fixed salary</w:t>
            </w:r>
          </w:p>
        </w:tc>
        <w:tc>
          <w:tcPr>
            <w:tcW w:w="1959" w:type="dxa"/>
            <w:tcBorders>
              <w:left w:val="single" w:sz="18" w:space="0" w:color="548DD4"/>
              <w:bottom w:val="single" w:sz="18" w:space="0" w:color="548DD4"/>
              <w:right w:val="single" w:sz="18" w:space="0" w:color="4F81BD" w:themeColor="accent1"/>
            </w:tcBorders>
          </w:tcPr>
          <w:p w:rsidR="005B4202" w:rsidRPr="008034D7" w:rsidRDefault="005B4202" w:rsidP="005F4EA4">
            <w:pPr>
              <w:jc w:val="center"/>
              <w:rPr>
                <w:rFonts w:cs="Arial"/>
                <w:b/>
                <w:lang w:val="en-US"/>
              </w:rPr>
            </w:pPr>
            <w:r>
              <w:rPr>
                <w:b/>
                <w:lang w:val="en-US"/>
              </w:rPr>
              <w:t>Results</w:t>
            </w:r>
          </w:p>
        </w:tc>
      </w:tr>
      <w:tr w:rsidR="005B4202" w:rsidTr="00F04738">
        <w:trPr>
          <w:jc w:val="center"/>
        </w:trPr>
        <w:tc>
          <w:tcPr>
            <w:tcW w:w="3845" w:type="dxa"/>
            <w:tcBorders>
              <w:top w:val="single" w:sz="18" w:space="0" w:color="548DD4"/>
              <w:right w:val="single" w:sz="18" w:space="0" w:color="548DD4"/>
            </w:tcBorders>
          </w:tcPr>
          <w:p w:rsidR="005B4202" w:rsidRPr="00D133EA" w:rsidRDefault="005B4202" w:rsidP="005B4202">
            <w:pPr>
              <w:jc w:val="left"/>
              <w:rPr>
                <w:rFonts w:cs="Arial"/>
                <w:lang w:val="en-US"/>
              </w:rPr>
            </w:pPr>
            <w:r>
              <w:rPr>
                <w:rFonts w:cs="Arial"/>
                <w:lang w:val="en-US"/>
              </w:rPr>
              <w:t>Mean Group 1 (high)</w:t>
            </w:r>
          </w:p>
        </w:tc>
        <w:tc>
          <w:tcPr>
            <w:tcW w:w="1959" w:type="dxa"/>
            <w:tcBorders>
              <w:top w:val="single" w:sz="18" w:space="0" w:color="548DD4"/>
              <w:left w:val="single" w:sz="18" w:space="0" w:color="548DD4"/>
              <w:right w:val="single" w:sz="18" w:space="0" w:color="4F81BD" w:themeColor="accent1"/>
            </w:tcBorders>
            <w:shd w:val="clear" w:color="auto" w:fill="B8CCE4"/>
          </w:tcPr>
          <w:p w:rsidR="005B4202" w:rsidRPr="00E1294E" w:rsidRDefault="005B4202" w:rsidP="005F4EA4">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0,17</w:t>
            </w:r>
          </w:p>
        </w:tc>
      </w:tr>
      <w:tr w:rsidR="005B4202" w:rsidTr="00F04738">
        <w:trPr>
          <w:jc w:val="center"/>
        </w:trPr>
        <w:tc>
          <w:tcPr>
            <w:tcW w:w="3845" w:type="dxa"/>
            <w:tcBorders>
              <w:right w:val="single" w:sz="18" w:space="0" w:color="548DD4"/>
            </w:tcBorders>
          </w:tcPr>
          <w:p w:rsidR="005B4202" w:rsidRPr="00D133EA" w:rsidRDefault="005B4202" w:rsidP="005B4202">
            <w:pPr>
              <w:rPr>
                <w:rFonts w:cs="Arial"/>
                <w:lang w:val="en-US"/>
              </w:rPr>
            </w:pPr>
            <w:r>
              <w:rPr>
                <w:rFonts w:cs="Arial"/>
                <w:lang w:val="en-US"/>
              </w:rPr>
              <w:t>Mean Group 2 (low)</w:t>
            </w:r>
          </w:p>
        </w:tc>
        <w:tc>
          <w:tcPr>
            <w:tcW w:w="1959" w:type="dxa"/>
            <w:tcBorders>
              <w:left w:val="single" w:sz="18" w:space="0" w:color="548DD4"/>
              <w:right w:val="single" w:sz="18" w:space="0" w:color="4F81BD" w:themeColor="accent1"/>
            </w:tcBorders>
          </w:tcPr>
          <w:p w:rsidR="005B4202" w:rsidRPr="00E1294E" w:rsidRDefault="005B4202" w:rsidP="005B420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0,13</w:t>
            </w:r>
          </w:p>
        </w:tc>
      </w:tr>
      <w:tr w:rsidR="005B4202" w:rsidTr="00F04738">
        <w:trPr>
          <w:jc w:val="center"/>
        </w:trPr>
        <w:tc>
          <w:tcPr>
            <w:tcW w:w="3845" w:type="dxa"/>
            <w:tcBorders>
              <w:right w:val="single" w:sz="18" w:space="0" w:color="548DD4"/>
            </w:tcBorders>
          </w:tcPr>
          <w:p w:rsidR="005B4202" w:rsidRPr="00D133EA" w:rsidRDefault="005B4202" w:rsidP="005F4EA4">
            <w:pPr>
              <w:jc w:val="left"/>
              <w:rPr>
                <w:rFonts w:cs="Arial"/>
                <w:lang w:val="en-US"/>
              </w:rPr>
            </w:pPr>
            <w:r>
              <w:rPr>
                <w:rFonts w:cs="Arial"/>
                <w:lang w:val="en-US"/>
              </w:rPr>
              <w:t>Std. deviation group 1 (high)</w:t>
            </w:r>
          </w:p>
        </w:tc>
        <w:tc>
          <w:tcPr>
            <w:tcW w:w="1959" w:type="dxa"/>
            <w:tcBorders>
              <w:left w:val="single" w:sz="18" w:space="0" w:color="548DD4"/>
              <w:right w:val="single" w:sz="18" w:space="0" w:color="4F81BD" w:themeColor="accent1"/>
            </w:tcBorders>
            <w:shd w:val="clear" w:color="auto" w:fill="B8CCE4"/>
          </w:tcPr>
          <w:p w:rsidR="005B4202" w:rsidRPr="00E1294E" w:rsidRDefault="005B4202" w:rsidP="005F4EA4">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0,20</w:t>
            </w:r>
          </w:p>
        </w:tc>
      </w:tr>
      <w:tr w:rsidR="005B4202" w:rsidTr="00F04738">
        <w:trPr>
          <w:jc w:val="center"/>
        </w:trPr>
        <w:tc>
          <w:tcPr>
            <w:tcW w:w="3845" w:type="dxa"/>
            <w:tcBorders>
              <w:right w:val="single" w:sz="18" w:space="0" w:color="548DD4"/>
            </w:tcBorders>
          </w:tcPr>
          <w:p w:rsidR="005B4202" w:rsidRDefault="005B4202" w:rsidP="005B4202">
            <w:pPr>
              <w:rPr>
                <w:rFonts w:cs="Arial"/>
                <w:lang w:val="en-US"/>
              </w:rPr>
            </w:pPr>
            <w:r>
              <w:rPr>
                <w:rFonts w:cs="Arial"/>
                <w:lang w:val="en-US"/>
              </w:rPr>
              <w:t>Std. deviation group 2 (low)</w:t>
            </w:r>
          </w:p>
        </w:tc>
        <w:tc>
          <w:tcPr>
            <w:tcW w:w="1959" w:type="dxa"/>
            <w:tcBorders>
              <w:left w:val="single" w:sz="18" w:space="0" w:color="548DD4"/>
              <w:right w:val="single" w:sz="18" w:space="0" w:color="4F81BD" w:themeColor="accent1"/>
            </w:tcBorders>
          </w:tcPr>
          <w:p w:rsidR="005B4202" w:rsidRDefault="005B4202" w:rsidP="005B420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0,10</w:t>
            </w:r>
          </w:p>
        </w:tc>
      </w:tr>
      <w:tr w:rsidR="00283BBA" w:rsidRPr="00E1294E" w:rsidTr="00F04738">
        <w:trPr>
          <w:jc w:val="center"/>
        </w:trPr>
        <w:tc>
          <w:tcPr>
            <w:tcW w:w="3845" w:type="dxa"/>
            <w:tcBorders>
              <w:right w:val="single" w:sz="18" w:space="0" w:color="548DD4"/>
            </w:tcBorders>
          </w:tcPr>
          <w:p w:rsidR="00283BBA" w:rsidRDefault="00283BBA" w:rsidP="005B4202">
            <w:pPr>
              <w:rPr>
                <w:rFonts w:cs="Arial"/>
                <w:lang w:val="en-US"/>
              </w:rPr>
            </w:pPr>
            <w:r>
              <w:rPr>
                <w:rFonts w:cs="Arial"/>
                <w:lang w:val="en-US"/>
              </w:rPr>
              <w:t>T-value</w:t>
            </w:r>
          </w:p>
        </w:tc>
        <w:tc>
          <w:tcPr>
            <w:tcW w:w="1959" w:type="dxa"/>
            <w:tcBorders>
              <w:left w:val="single" w:sz="18" w:space="0" w:color="548DD4"/>
              <w:right w:val="single" w:sz="18" w:space="0" w:color="4F81BD" w:themeColor="accent1"/>
            </w:tcBorders>
            <w:shd w:val="clear" w:color="auto" w:fill="B8CCE4"/>
          </w:tcPr>
          <w:p w:rsidR="00283BBA" w:rsidRDefault="00283BBA" w:rsidP="005F4EA4">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1,351</w:t>
            </w:r>
          </w:p>
        </w:tc>
      </w:tr>
      <w:tr w:rsidR="005B4202" w:rsidRPr="00E1294E" w:rsidTr="00F04738">
        <w:trPr>
          <w:jc w:val="center"/>
        </w:trPr>
        <w:tc>
          <w:tcPr>
            <w:tcW w:w="3845" w:type="dxa"/>
            <w:tcBorders>
              <w:right w:val="single" w:sz="18" w:space="0" w:color="548DD4"/>
            </w:tcBorders>
          </w:tcPr>
          <w:p w:rsidR="005B4202" w:rsidRPr="00D133EA" w:rsidRDefault="000E0ECE" w:rsidP="005B4202">
            <w:pPr>
              <w:rPr>
                <w:rFonts w:cs="Arial"/>
                <w:lang w:val="en-US"/>
              </w:rPr>
            </w:pPr>
            <w:r>
              <w:rPr>
                <w:rFonts w:cs="Arial"/>
                <w:lang w:val="en-US"/>
              </w:rPr>
              <w:t>Significance (1</w:t>
            </w:r>
            <w:r w:rsidR="005B4202">
              <w:rPr>
                <w:rFonts w:cs="Arial"/>
                <w:lang w:val="en-US"/>
              </w:rPr>
              <w:t>-tailed)</w:t>
            </w:r>
          </w:p>
        </w:tc>
        <w:tc>
          <w:tcPr>
            <w:tcW w:w="1959" w:type="dxa"/>
            <w:tcBorders>
              <w:left w:val="single" w:sz="18" w:space="0" w:color="548DD4"/>
              <w:right w:val="single" w:sz="18" w:space="0" w:color="4F81BD" w:themeColor="accent1"/>
            </w:tcBorders>
            <w:shd w:val="clear" w:color="auto" w:fill="auto"/>
          </w:tcPr>
          <w:p w:rsidR="005B4202" w:rsidRPr="00E1294E" w:rsidRDefault="005B4202" w:rsidP="005F4EA4">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w:t>
            </w:r>
            <w:r w:rsidR="000E0ECE">
              <w:rPr>
                <w:rFonts w:cs="Arial"/>
                <w:color w:val="000000"/>
                <w:sz w:val="18"/>
                <w:szCs w:val="18"/>
                <w:lang w:val="en-US" w:eastAsia="nl-NL"/>
              </w:rPr>
              <w:t>09</w:t>
            </w:r>
          </w:p>
        </w:tc>
      </w:tr>
    </w:tbl>
    <w:p w:rsidR="005B4202" w:rsidRPr="005B4202" w:rsidRDefault="00EA2E06" w:rsidP="005B4202">
      <w:pPr>
        <w:ind w:left="5040"/>
        <w:rPr>
          <w:bCs/>
          <w:sz w:val="18"/>
          <w:szCs w:val="22"/>
        </w:rPr>
      </w:pPr>
      <w:r>
        <w:rPr>
          <w:bCs/>
          <w:sz w:val="18"/>
          <w:szCs w:val="22"/>
        </w:rPr>
        <w:t xml:space="preserve">   </w:t>
      </w:r>
      <w:r w:rsidR="005B4202" w:rsidRPr="005B4202">
        <w:rPr>
          <w:bCs/>
          <w:sz w:val="18"/>
          <w:szCs w:val="22"/>
        </w:rPr>
        <w:t xml:space="preserve">Table </w:t>
      </w:r>
      <w:r w:rsidR="00D34E3A">
        <w:rPr>
          <w:bCs/>
          <w:sz w:val="18"/>
          <w:szCs w:val="22"/>
        </w:rPr>
        <w:t>4</w:t>
      </w:r>
      <w:r w:rsidR="005B4202">
        <w:rPr>
          <w:bCs/>
          <w:sz w:val="18"/>
          <w:szCs w:val="22"/>
        </w:rPr>
        <w:t xml:space="preserve"> T-test fixed salary</w:t>
      </w:r>
    </w:p>
    <w:p w:rsidR="00101859" w:rsidRDefault="00101859" w:rsidP="00101859">
      <w:pPr>
        <w:rPr>
          <w:lang w:val="en-US"/>
        </w:rPr>
      </w:pPr>
      <w:r>
        <w:rPr>
          <w:lang w:val="en-US"/>
        </w:rPr>
        <w:t xml:space="preserve">The results show there is </w:t>
      </w:r>
      <w:r w:rsidR="0068519A">
        <w:rPr>
          <w:lang w:val="en-US"/>
        </w:rPr>
        <w:t>a small</w:t>
      </w:r>
      <w:r>
        <w:rPr>
          <w:lang w:val="en-US"/>
        </w:rPr>
        <w:t xml:space="preserve"> significant difference in the mean scores for group 1 (median = 0,17, SD =  0,20) and group 2 (median = 0,13, SD = 0,10); t = 1,351, df = 88, p = 0,09 (one-tailed). This is because the significance level (0,09) is </w:t>
      </w:r>
      <w:r w:rsidR="0068519A">
        <w:rPr>
          <w:lang w:val="en-US"/>
        </w:rPr>
        <w:t>between the cut-off of 0,05 and 0,10</w:t>
      </w:r>
      <w:r>
        <w:rPr>
          <w:lang w:val="en-US"/>
        </w:rPr>
        <w:t>, mentioned on the previous page.</w:t>
      </w:r>
    </w:p>
    <w:p w:rsidR="00101859" w:rsidRPr="005F4EA4" w:rsidRDefault="00101859" w:rsidP="00101859">
      <w:pPr>
        <w:rPr>
          <w:lang w:val="en-US"/>
        </w:rPr>
      </w:pPr>
      <w:r>
        <w:rPr>
          <w:lang w:val="en-US"/>
        </w:rPr>
        <w:t xml:space="preserve">This means </w:t>
      </w:r>
      <w:r w:rsidR="0091720B">
        <w:rPr>
          <w:lang w:val="en-US"/>
        </w:rPr>
        <w:t>a small</w:t>
      </w:r>
      <w:r>
        <w:rPr>
          <w:lang w:val="en-US"/>
        </w:rPr>
        <w:t xml:space="preserve"> significant difference</w:t>
      </w:r>
      <w:r w:rsidR="00D134BD">
        <w:rPr>
          <w:lang w:val="en-US"/>
        </w:rPr>
        <w:t xml:space="preserve"> is found</w:t>
      </w:r>
      <w:r>
        <w:rPr>
          <w:lang w:val="en-US"/>
        </w:rPr>
        <w:t xml:space="preserve"> in the mean scores </w:t>
      </w:r>
      <w:r w:rsidR="00D134BD">
        <w:rPr>
          <w:lang w:val="en-US"/>
        </w:rPr>
        <w:t>of</w:t>
      </w:r>
      <w:r>
        <w:rPr>
          <w:lang w:val="en-US"/>
        </w:rPr>
        <w:t xml:space="preserve"> discretionary accruals for CEO’s with the highest relative size of fixed salary and CEO’s with the lowest relative size</w:t>
      </w:r>
      <w:r w:rsidRPr="007C024C">
        <w:rPr>
          <w:lang w:val="en-US"/>
        </w:rPr>
        <w:t xml:space="preserve"> </w:t>
      </w:r>
      <w:r>
        <w:rPr>
          <w:lang w:val="en-US"/>
        </w:rPr>
        <w:t xml:space="preserve">of fixed salary. In fact, the results make clear that for the magnitude of discretionary </w:t>
      </w:r>
      <w:r w:rsidRPr="005F4EA4">
        <w:rPr>
          <w:lang w:val="en-US"/>
        </w:rPr>
        <w:t xml:space="preserve">accruals, it does matter to which proportion a CEO is remunerated through fixed salary. </w:t>
      </w:r>
      <w:r w:rsidR="0091720B">
        <w:rPr>
          <w:lang w:val="en-US"/>
        </w:rPr>
        <w:t xml:space="preserve">The more a remuneration package consists of fixed salary, the more discretionary accruals are distinguished in the annual report.   </w:t>
      </w:r>
    </w:p>
    <w:p w:rsidR="004632CF" w:rsidRDefault="004632CF" w:rsidP="009458ED">
      <w:pPr>
        <w:rPr>
          <w:b/>
          <w:lang w:val="en-US"/>
        </w:rPr>
      </w:pPr>
    </w:p>
    <w:p w:rsidR="009458ED" w:rsidRPr="005F4EA4" w:rsidRDefault="009458ED" w:rsidP="009458ED">
      <w:pPr>
        <w:rPr>
          <w:b/>
          <w:lang w:val="en-US"/>
        </w:rPr>
      </w:pPr>
      <w:r w:rsidRPr="005F4EA4">
        <w:rPr>
          <w:b/>
          <w:lang w:val="en-US"/>
        </w:rPr>
        <w:t>Independent-Samples T-Test for bonus compensation</w:t>
      </w:r>
    </w:p>
    <w:p w:rsidR="0091720B" w:rsidRDefault="00231BB3">
      <w:r>
        <w:rPr>
          <w:lang w:val="en-US"/>
        </w:rPr>
        <w:t>Nex</w:t>
      </w:r>
      <w:r w:rsidR="0091720B">
        <w:rPr>
          <w:lang w:val="en-US"/>
        </w:rPr>
        <w:t xml:space="preserve">t the t-test is conducted for bonus compensation. </w:t>
      </w:r>
      <w:r w:rsidR="005F4EA4">
        <w:rPr>
          <w:lang w:val="en-US"/>
        </w:rPr>
        <w:t xml:space="preserve">The significance level of </w:t>
      </w:r>
      <w:r w:rsidR="00DA651E">
        <w:rPr>
          <w:lang w:val="en-US"/>
        </w:rPr>
        <w:t xml:space="preserve">Levene’s test </w:t>
      </w:r>
      <w:r w:rsidR="00003647">
        <w:rPr>
          <w:lang w:val="en-US"/>
        </w:rPr>
        <w:t>of equality of variances, showed</w:t>
      </w:r>
      <w:r w:rsidR="00DA651E">
        <w:rPr>
          <w:lang w:val="en-US"/>
        </w:rPr>
        <w:t xml:space="preserve"> in the output from SPSS, is 0,55. This </w:t>
      </w:r>
      <w:r w:rsidR="00003647">
        <w:rPr>
          <w:lang w:val="en-US"/>
        </w:rPr>
        <w:t>is</w:t>
      </w:r>
      <w:r w:rsidR="00DA651E">
        <w:rPr>
          <w:lang w:val="en-US"/>
        </w:rPr>
        <w:t xml:space="preserve"> above the cut-off of 0,05</w:t>
      </w:r>
      <w:r w:rsidR="00B7688E">
        <w:rPr>
          <w:lang w:val="en-US"/>
        </w:rPr>
        <w:t>, mentioned on the previous page</w:t>
      </w:r>
      <w:r w:rsidR="00DA651E">
        <w:rPr>
          <w:lang w:val="en-US"/>
        </w:rPr>
        <w:t>. This means the assumption of equal variances has not been violated. Therefore, the</w:t>
      </w:r>
      <w:r w:rsidR="00B3525B">
        <w:rPr>
          <w:lang w:val="en-US"/>
        </w:rPr>
        <w:t xml:space="preserve"> results from the</w:t>
      </w:r>
      <w:r w:rsidR="00DA651E">
        <w:rPr>
          <w:lang w:val="en-US"/>
        </w:rPr>
        <w:t xml:space="preserve"> first line of the table</w:t>
      </w:r>
      <w:r w:rsidR="00B3525B">
        <w:rPr>
          <w:lang w:val="en-US"/>
        </w:rPr>
        <w:t>,</w:t>
      </w:r>
      <w:r w:rsidR="00DA651E">
        <w:rPr>
          <w:lang w:val="en-US"/>
        </w:rPr>
        <w:t xml:space="preserve"> ‘equal variances assu</w:t>
      </w:r>
      <w:r w:rsidR="001D487A">
        <w:rPr>
          <w:lang w:val="en-US"/>
        </w:rPr>
        <w:t>med’</w:t>
      </w:r>
      <w:r w:rsidR="00B3525B">
        <w:rPr>
          <w:lang w:val="en-US"/>
        </w:rPr>
        <w:t>,</w:t>
      </w:r>
      <w:r w:rsidR="001D487A">
        <w:rPr>
          <w:lang w:val="en-US"/>
        </w:rPr>
        <w:t xml:space="preserve"> </w:t>
      </w:r>
      <w:r w:rsidR="00B3525B">
        <w:rPr>
          <w:lang w:val="en-US"/>
        </w:rPr>
        <w:t>are</w:t>
      </w:r>
      <w:r w:rsidR="001D487A">
        <w:rPr>
          <w:lang w:val="en-US"/>
        </w:rPr>
        <w:t xml:space="preserve"> used. See table </w:t>
      </w:r>
      <w:r w:rsidR="00245102">
        <w:rPr>
          <w:lang w:val="en-US"/>
        </w:rPr>
        <w:t>5</w:t>
      </w:r>
      <w:r w:rsidR="0091720B">
        <w:rPr>
          <w:lang w:val="en-US"/>
        </w:rPr>
        <w:t xml:space="preserve"> on the next page</w:t>
      </w:r>
      <w:r w:rsidR="00245102">
        <w:rPr>
          <w:lang w:val="en-US"/>
        </w:rPr>
        <w:t xml:space="preserve"> </w:t>
      </w:r>
      <w:r w:rsidR="00DA651E">
        <w:rPr>
          <w:lang w:val="en-US"/>
        </w:rPr>
        <w:t>for the results.</w:t>
      </w:r>
      <w:r w:rsidR="0091720B">
        <w:br w:type="page"/>
      </w:r>
    </w:p>
    <w:tbl>
      <w:tblPr>
        <w:tblW w:w="0" w:type="auto"/>
        <w:jc w:val="center"/>
        <w:tblLook w:val="00A0"/>
      </w:tblPr>
      <w:tblGrid>
        <w:gridCol w:w="3845"/>
        <w:gridCol w:w="1959"/>
      </w:tblGrid>
      <w:tr w:rsidR="00DA651E" w:rsidTr="00F04738">
        <w:trPr>
          <w:jc w:val="center"/>
        </w:trPr>
        <w:tc>
          <w:tcPr>
            <w:tcW w:w="3845" w:type="dxa"/>
            <w:tcBorders>
              <w:bottom w:val="single" w:sz="18" w:space="0" w:color="548DD4"/>
              <w:right w:val="single" w:sz="18" w:space="0" w:color="548DD4"/>
            </w:tcBorders>
          </w:tcPr>
          <w:p w:rsidR="00DA651E" w:rsidRPr="00DA651E" w:rsidRDefault="00DA651E" w:rsidP="00706ECD">
            <w:pPr>
              <w:rPr>
                <w:rFonts w:cs="Arial"/>
                <w:b/>
                <w:lang w:val="en-US"/>
              </w:rPr>
            </w:pPr>
            <w:r>
              <w:rPr>
                <w:lang w:val="en-US"/>
              </w:rPr>
              <w:lastRenderedPageBreak/>
              <w:br w:type="page"/>
            </w:r>
            <w:r>
              <w:rPr>
                <w:b/>
                <w:lang w:val="en-US"/>
              </w:rPr>
              <w:t>Bonus compensation</w:t>
            </w:r>
          </w:p>
        </w:tc>
        <w:tc>
          <w:tcPr>
            <w:tcW w:w="1959" w:type="dxa"/>
            <w:tcBorders>
              <w:left w:val="single" w:sz="18" w:space="0" w:color="548DD4"/>
              <w:bottom w:val="single" w:sz="18" w:space="0" w:color="548DD4"/>
              <w:right w:val="single" w:sz="18" w:space="0" w:color="4F81BD" w:themeColor="accent1"/>
            </w:tcBorders>
          </w:tcPr>
          <w:p w:rsidR="00DA651E" w:rsidRPr="008034D7" w:rsidRDefault="00DA651E" w:rsidP="00706ECD">
            <w:pPr>
              <w:jc w:val="center"/>
              <w:rPr>
                <w:rFonts w:cs="Arial"/>
                <w:b/>
                <w:lang w:val="en-US"/>
              </w:rPr>
            </w:pPr>
            <w:r>
              <w:rPr>
                <w:b/>
                <w:lang w:val="en-US"/>
              </w:rPr>
              <w:t>Results</w:t>
            </w:r>
          </w:p>
        </w:tc>
      </w:tr>
      <w:tr w:rsidR="00DA651E" w:rsidTr="00F04738">
        <w:trPr>
          <w:jc w:val="center"/>
        </w:trPr>
        <w:tc>
          <w:tcPr>
            <w:tcW w:w="3845" w:type="dxa"/>
            <w:tcBorders>
              <w:top w:val="single" w:sz="18" w:space="0" w:color="548DD4"/>
              <w:right w:val="single" w:sz="18" w:space="0" w:color="548DD4"/>
            </w:tcBorders>
          </w:tcPr>
          <w:p w:rsidR="00DA651E" w:rsidRPr="00D133EA" w:rsidRDefault="00DA651E" w:rsidP="00706ECD">
            <w:pPr>
              <w:jc w:val="left"/>
              <w:rPr>
                <w:rFonts w:cs="Arial"/>
                <w:lang w:val="en-US"/>
              </w:rPr>
            </w:pPr>
            <w:r>
              <w:rPr>
                <w:rFonts w:cs="Arial"/>
                <w:lang w:val="en-US"/>
              </w:rPr>
              <w:t>Mean Group 1 (high)</w:t>
            </w:r>
          </w:p>
        </w:tc>
        <w:tc>
          <w:tcPr>
            <w:tcW w:w="1959" w:type="dxa"/>
            <w:tcBorders>
              <w:top w:val="single" w:sz="18" w:space="0" w:color="548DD4"/>
              <w:left w:val="single" w:sz="18" w:space="0" w:color="548DD4"/>
              <w:right w:val="single" w:sz="18" w:space="0" w:color="4F81BD" w:themeColor="accent1"/>
            </w:tcBorders>
            <w:shd w:val="clear" w:color="auto" w:fill="B8CCE4"/>
          </w:tcPr>
          <w:p w:rsidR="00DA651E" w:rsidRPr="00E1294E" w:rsidRDefault="00DA651E"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0,17</w:t>
            </w:r>
          </w:p>
        </w:tc>
      </w:tr>
      <w:tr w:rsidR="00DA651E" w:rsidTr="00F04738">
        <w:trPr>
          <w:jc w:val="center"/>
        </w:trPr>
        <w:tc>
          <w:tcPr>
            <w:tcW w:w="3845" w:type="dxa"/>
            <w:tcBorders>
              <w:right w:val="single" w:sz="18" w:space="0" w:color="548DD4"/>
            </w:tcBorders>
          </w:tcPr>
          <w:p w:rsidR="00DA651E" w:rsidRPr="00D133EA" w:rsidRDefault="00DA651E" w:rsidP="00706ECD">
            <w:pPr>
              <w:rPr>
                <w:rFonts w:cs="Arial"/>
                <w:lang w:val="en-US"/>
              </w:rPr>
            </w:pPr>
            <w:r>
              <w:rPr>
                <w:rFonts w:cs="Arial"/>
                <w:lang w:val="en-US"/>
              </w:rPr>
              <w:t>Mean Group 2 (low)</w:t>
            </w:r>
          </w:p>
        </w:tc>
        <w:tc>
          <w:tcPr>
            <w:tcW w:w="1959" w:type="dxa"/>
            <w:tcBorders>
              <w:left w:val="single" w:sz="18" w:space="0" w:color="548DD4"/>
              <w:right w:val="single" w:sz="18" w:space="0" w:color="4F81BD" w:themeColor="accent1"/>
            </w:tcBorders>
          </w:tcPr>
          <w:p w:rsidR="00DA651E" w:rsidRPr="00E1294E" w:rsidRDefault="00DA651E"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0,17</w:t>
            </w:r>
          </w:p>
        </w:tc>
      </w:tr>
      <w:tr w:rsidR="00DA651E" w:rsidTr="00F04738">
        <w:trPr>
          <w:jc w:val="center"/>
        </w:trPr>
        <w:tc>
          <w:tcPr>
            <w:tcW w:w="3845" w:type="dxa"/>
            <w:tcBorders>
              <w:right w:val="single" w:sz="18" w:space="0" w:color="548DD4"/>
            </w:tcBorders>
          </w:tcPr>
          <w:p w:rsidR="00DA651E" w:rsidRPr="00D133EA" w:rsidRDefault="00DA651E" w:rsidP="00706ECD">
            <w:pPr>
              <w:jc w:val="left"/>
              <w:rPr>
                <w:rFonts w:cs="Arial"/>
                <w:lang w:val="en-US"/>
              </w:rPr>
            </w:pPr>
            <w:r>
              <w:rPr>
                <w:rFonts w:cs="Arial"/>
                <w:lang w:val="en-US"/>
              </w:rPr>
              <w:t>Std. deviation group 1 (high)</w:t>
            </w:r>
          </w:p>
        </w:tc>
        <w:tc>
          <w:tcPr>
            <w:tcW w:w="1959" w:type="dxa"/>
            <w:tcBorders>
              <w:left w:val="single" w:sz="18" w:space="0" w:color="548DD4"/>
              <w:right w:val="single" w:sz="18" w:space="0" w:color="4F81BD" w:themeColor="accent1"/>
            </w:tcBorders>
            <w:shd w:val="clear" w:color="auto" w:fill="B8CCE4"/>
          </w:tcPr>
          <w:p w:rsidR="00DA651E" w:rsidRPr="00E1294E" w:rsidRDefault="00DA651E"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0,17</w:t>
            </w:r>
          </w:p>
        </w:tc>
      </w:tr>
      <w:tr w:rsidR="00DA651E" w:rsidTr="00F04738">
        <w:trPr>
          <w:jc w:val="center"/>
        </w:trPr>
        <w:tc>
          <w:tcPr>
            <w:tcW w:w="3845" w:type="dxa"/>
            <w:tcBorders>
              <w:right w:val="single" w:sz="18" w:space="0" w:color="548DD4"/>
            </w:tcBorders>
          </w:tcPr>
          <w:p w:rsidR="00DA651E" w:rsidRDefault="00DA651E" w:rsidP="00706ECD">
            <w:pPr>
              <w:rPr>
                <w:rFonts w:cs="Arial"/>
                <w:lang w:val="en-US"/>
              </w:rPr>
            </w:pPr>
            <w:r>
              <w:rPr>
                <w:rFonts w:cs="Arial"/>
                <w:lang w:val="en-US"/>
              </w:rPr>
              <w:t>Std. deviation group 2 (low)</w:t>
            </w:r>
          </w:p>
        </w:tc>
        <w:tc>
          <w:tcPr>
            <w:tcW w:w="1959" w:type="dxa"/>
            <w:tcBorders>
              <w:left w:val="single" w:sz="18" w:space="0" w:color="548DD4"/>
              <w:right w:val="single" w:sz="18" w:space="0" w:color="4F81BD" w:themeColor="accent1"/>
            </w:tcBorders>
          </w:tcPr>
          <w:p w:rsidR="00DA651E" w:rsidRDefault="00DA651E"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0,19</w:t>
            </w:r>
          </w:p>
        </w:tc>
      </w:tr>
      <w:tr w:rsidR="00283BBA" w:rsidRPr="00E1294E" w:rsidTr="00F04738">
        <w:trPr>
          <w:jc w:val="center"/>
        </w:trPr>
        <w:tc>
          <w:tcPr>
            <w:tcW w:w="3845" w:type="dxa"/>
            <w:tcBorders>
              <w:right w:val="single" w:sz="18" w:space="0" w:color="548DD4"/>
            </w:tcBorders>
          </w:tcPr>
          <w:p w:rsidR="00283BBA" w:rsidRDefault="00283BBA" w:rsidP="00706ECD">
            <w:pPr>
              <w:rPr>
                <w:rFonts w:cs="Arial"/>
                <w:lang w:val="en-US"/>
              </w:rPr>
            </w:pPr>
            <w:r>
              <w:rPr>
                <w:rFonts w:cs="Arial"/>
                <w:lang w:val="en-US"/>
              </w:rPr>
              <w:t>T-value</w:t>
            </w:r>
          </w:p>
        </w:tc>
        <w:tc>
          <w:tcPr>
            <w:tcW w:w="1959" w:type="dxa"/>
            <w:tcBorders>
              <w:left w:val="single" w:sz="18" w:space="0" w:color="548DD4"/>
              <w:right w:val="single" w:sz="18" w:space="0" w:color="4F81BD" w:themeColor="accent1"/>
            </w:tcBorders>
            <w:shd w:val="clear" w:color="auto" w:fill="B8CCE4"/>
          </w:tcPr>
          <w:p w:rsidR="00283BBA" w:rsidRDefault="00283BBA"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0,138</w:t>
            </w:r>
          </w:p>
        </w:tc>
      </w:tr>
      <w:tr w:rsidR="00283BBA" w:rsidRPr="00E1294E" w:rsidTr="00F04738">
        <w:trPr>
          <w:jc w:val="center"/>
        </w:trPr>
        <w:tc>
          <w:tcPr>
            <w:tcW w:w="3845" w:type="dxa"/>
            <w:tcBorders>
              <w:right w:val="single" w:sz="18" w:space="0" w:color="548DD4"/>
            </w:tcBorders>
          </w:tcPr>
          <w:p w:rsidR="00283BBA" w:rsidRPr="00D133EA" w:rsidRDefault="00283BBA" w:rsidP="00706ECD">
            <w:pPr>
              <w:rPr>
                <w:rFonts w:cs="Arial"/>
                <w:lang w:val="en-US"/>
              </w:rPr>
            </w:pPr>
            <w:r>
              <w:rPr>
                <w:rFonts w:cs="Arial"/>
                <w:lang w:val="en-US"/>
              </w:rPr>
              <w:t>Signi</w:t>
            </w:r>
            <w:r w:rsidR="000E0ECE">
              <w:rPr>
                <w:rFonts w:cs="Arial"/>
                <w:lang w:val="en-US"/>
              </w:rPr>
              <w:t>ficance (1</w:t>
            </w:r>
            <w:r>
              <w:rPr>
                <w:rFonts w:cs="Arial"/>
                <w:lang w:val="en-US"/>
              </w:rPr>
              <w:t>-tailed)</w:t>
            </w:r>
          </w:p>
        </w:tc>
        <w:tc>
          <w:tcPr>
            <w:tcW w:w="1959" w:type="dxa"/>
            <w:tcBorders>
              <w:left w:val="single" w:sz="18" w:space="0" w:color="548DD4"/>
              <w:right w:val="single" w:sz="18" w:space="0" w:color="4F81BD" w:themeColor="accent1"/>
            </w:tcBorders>
            <w:shd w:val="clear" w:color="auto" w:fill="auto"/>
          </w:tcPr>
          <w:p w:rsidR="00283BBA" w:rsidRPr="00E1294E" w:rsidRDefault="00283BBA" w:rsidP="00245102">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w:t>
            </w:r>
            <w:r w:rsidR="002B01DD">
              <w:rPr>
                <w:rFonts w:cs="Arial"/>
                <w:color w:val="000000"/>
                <w:sz w:val="18"/>
                <w:szCs w:val="18"/>
                <w:lang w:val="en-US" w:eastAsia="nl-NL"/>
              </w:rPr>
              <w:t>4</w:t>
            </w:r>
            <w:r w:rsidR="00245102">
              <w:rPr>
                <w:rFonts w:cs="Arial"/>
                <w:color w:val="000000"/>
                <w:sz w:val="18"/>
                <w:szCs w:val="18"/>
                <w:lang w:val="en-US" w:eastAsia="nl-NL"/>
              </w:rPr>
              <w:t>5</w:t>
            </w:r>
          </w:p>
        </w:tc>
      </w:tr>
    </w:tbl>
    <w:p w:rsidR="00DA651E" w:rsidRPr="005B4202" w:rsidRDefault="00EA2E06" w:rsidP="00DA651E">
      <w:pPr>
        <w:ind w:left="3600" w:firstLine="720"/>
        <w:rPr>
          <w:bCs/>
          <w:sz w:val="18"/>
          <w:szCs w:val="22"/>
        </w:rPr>
      </w:pPr>
      <w:r>
        <w:rPr>
          <w:bCs/>
          <w:sz w:val="18"/>
          <w:szCs w:val="22"/>
        </w:rPr>
        <w:t xml:space="preserve">  </w:t>
      </w:r>
      <w:r w:rsidR="00DA651E" w:rsidRPr="005B4202">
        <w:rPr>
          <w:bCs/>
          <w:sz w:val="18"/>
          <w:szCs w:val="22"/>
        </w:rPr>
        <w:t xml:space="preserve">Table </w:t>
      </w:r>
      <w:r w:rsidR="00D34E3A">
        <w:rPr>
          <w:bCs/>
          <w:sz w:val="18"/>
          <w:szCs w:val="22"/>
        </w:rPr>
        <w:t>5</w:t>
      </w:r>
      <w:r w:rsidR="00DA651E">
        <w:rPr>
          <w:bCs/>
          <w:sz w:val="18"/>
          <w:szCs w:val="22"/>
        </w:rPr>
        <w:t xml:space="preserve"> T-test bonus compensation</w:t>
      </w:r>
    </w:p>
    <w:p w:rsidR="00DA651E" w:rsidRDefault="00DA651E" w:rsidP="00B95804">
      <w:pPr>
        <w:rPr>
          <w:lang w:val="en-US"/>
        </w:rPr>
      </w:pPr>
      <w:r>
        <w:rPr>
          <w:lang w:val="en-US"/>
        </w:rPr>
        <w:t>The independent t-tes</w:t>
      </w:r>
      <w:r w:rsidR="007C0A15">
        <w:rPr>
          <w:lang w:val="en-US"/>
        </w:rPr>
        <w:t>t shows</w:t>
      </w:r>
      <w:r>
        <w:rPr>
          <w:lang w:val="en-US"/>
        </w:rPr>
        <w:t xml:space="preserve"> no significant difference in the mean scores</w:t>
      </w:r>
      <w:r w:rsidR="00C06D0B">
        <w:rPr>
          <w:lang w:val="en-US"/>
        </w:rPr>
        <w:t xml:space="preserve"> of discretionary accruals</w:t>
      </w:r>
      <w:r>
        <w:rPr>
          <w:lang w:val="en-US"/>
        </w:rPr>
        <w:t xml:space="preserve"> between group 1 (median = 0,17, SD = 0,17) and group 2 (median = 0,17, SD = 0,19)</w:t>
      </w:r>
      <w:r w:rsidR="00B95804">
        <w:rPr>
          <w:lang w:val="en-US"/>
        </w:rPr>
        <w:t>; t = 0,138, d</w:t>
      </w:r>
      <w:r w:rsidR="00245102">
        <w:rPr>
          <w:lang w:val="en-US"/>
        </w:rPr>
        <w:t>f = 118, p = 0,45 (one</w:t>
      </w:r>
      <w:r w:rsidR="00B95804">
        <w:rPr>
          <w:lang w:val="en-US"/>
        </w:rPr>
        <w:t xml:space="preserve">-tailed). </w:t>
      </w:r>
      <w:r w:rsidR="00D134BD">
        <w:rPr>
          <w:lang w:val="en-US"/>
        </w:rPr>
        <w:t xml:space="preserve">This is because the significance level (0,45) is well above the cut-off of 0,10 , explained on page 44. </w:t>
      </w:r>
    </w:p>
    <w:p w:rsidR="00B95804" w:rsidRDefault="00B95804" w:rsidP="00B95804">
      <w:pPr>
        <w:rPr>
          <w:lang w:val="en-US"/>
        </w:rPr>
      </w:pPr>
      <w:r>
        <w:rPr>
          <w:lang w:val="en-US"/>
        </w:rPr>
        <w:t>Therefore, no sig</w:t>
      </w:r>
      <w:r w:rsidR="007C0A15">
        <w:rPr>
          <w:lang w:val="en-US"/>
        </w:rPr>
        <w:t>nificant difference in the mean</w:t>
      </w:r>
      <w:r>
        <w:rPr>
          <w:lang w:val="en-US"/>
        </w:rPr>
        <w:t xml:space="preserve"> scores for discretionary accruals </w:t>
      </w:r>
      <w:r w:rsidR="007C0A15">
        <w:rPr>
          <w:lang w:val="en-US"/>
        </w:rPr>
        <w:t>between</w:t>
      </w:r>
      <w:r>
        <w:rPr>
          <w:lang w:val="en-US"/>
        </w:rPr>
        <w:t xml:space="preserve"> CEO’s with the highest </w:t>
      </w:r>
      <w:r w:rsidR="00003647">
        <w:rPr>
          <w:lang w:val="en-US"/>
        </w:rPr>
        <w:t>relative size</w:t>
      </w:r>
      <w:r>
        <w:rPr>
          <w:lang w:val="en-US"/>
        </w:rPr>
        <w:t xml:space="preserve"> of bonus compensation and CEO’s with the lowest </w:t>
      </w:r>
      <w:r w:rsidR="00003647">
        <w:rPr>
          <w:lang w:val="en-US"/>
        </w:rPr>
        <w:t>relative size</w:t>
      </w:r>
      <w:r>
        <w:rPr>
          <w:lang w:val="en-US"/>
        </w:rPr>
        <w:t xml:space="preserve"> of bonus compensation </w:t>
      </w:r>
      <w:r w:rsidR="00003647">
        <w:rPr>
          <w:lang w:val="en-US"/>
        </w:rPr>
        <w:t>is</w:t>
      </w:r>
      <w:r>
        <w:rPr>
          <w:lang w:val="en-US"/>
        </w:rPr>
        <w:t xml:space="preserve"> ascertained. This means that for the magnitude of discretionary </w:t>
      </w:r>
      <w:r w:rsidRPr="005F4EA4">
        <w:rPr>
          <w:lang w:val="en-US"/>
        </w:rPr>
        <w:t>accruals, it does not matter to which proportion a CEO</w:t>
      </w:r>
      <w:r w:rsidR="00C21C28">
        <w:rPr>
          <w:lang w:val="en-US"/>
        </w:rPr>
        <w:t>’s</w:t>
      </w:r>
      <w:r w:rsidRPr="005F4EA4">
        <w:rPr>
          <w:lang w:val="en-US"/>
        </w:rPr>
        <w:t xml:space="preserve"> </w:t>
      </w:r>
      <w:r w:rsidR="00C21C28">
        <w:rPr>
          <w:lang w:val="en-US"/>
        </w:rPr>
        <w:t>remuneration package consists of</w:t>
      </w:r>
      <w:r w:rsidRPr="005F4EA4">
        <w:rPr>
          <w:lang w:val="en-US"/>
        </w:rPr>
        <w:t xml:space="preserve"> </w:t>
      </w:r>
      <w:r>
        <w:rPr>
          <w:lang w:val="en-US"/>
        </w:rPr>
        <w:t>bonus compensation</w:t>
      </w:r>
      <w:r w:rsidRPr="005F4EA4">
        <w:rPr>
          <w:lang w:val="en-US"/>
        </w:rPr>
        <w:t xml:space="preserve">. </w:t>
      </w:r>
    </w:p>
    <w:p w:rsidR="003855CF" w:rsidRDefault="003855CF" w:rsidP="004D38F0">
      <w:pPr>
        <w:rPr>
          <w:b/>
          <w:lang w:val="en-US"/>
        </w:rPr>
      </w:pPr>
    </w:p>
    <w:p w:rsidR="004D38F0" w:rsidRPr="005F4EA4" w:rsidRDefault="004D38F0" w:rsidP="004D38F0">
      <w:pPr>
        <w:rPr>
          <w:b/>
          <w:lang w:val="en-US"/>
        </w:rPr>
      </w:pPr>
      <w:r w:rsidRPr="005F4EA4">
        <w:rPr>
          <w:b/>
          <w:lang w:val="en-US"/>
        </w:rPr>
        <w:t xml:space="preserve">Independent-Samples T-Test for </w:t>
      </w:r>
      <w:r>
        <w:rPr>
          <w:b/>
          <w:lang w:val="en-US"/>
        </w:rPr>
        <w:t>stock-based</w:t>
      </w:r>
      <w:r w:rsidRPr="005F4EA4">
        <w:rPr>
          <w:b/>
          <w:lang w:val="en-US"/>
        </w:rPr>
        <w:t xml:space="preserve"> compensation</w:t>
      </w:r>
    </w:p>
    <w:p w:rsidR="007C0A15" w:rsidRDefault="007C0A15" w:rsidP="007C0A15">
      <w:pPr>
        <w:rPr>
          <w:lang w:val="en-US"/>
        </w:rPr>
      </w:pPr>
      <w:r>
        <w:rPr>
          <w:lang w:val="en-US"/>
        </w:rPr>
        <w:t xml:space="preserve">Finally a t-test is </w:t>
      </w:r>
      <w:r w:rsidR="00245102">
        <w:rPr>
          <w:lang w:val="en-US"/>
        </w:rPr>
        <w:t>conducted</w:t>
      </w:r>
      <w:r>
        <w:rPr>
          <w:lang w:val="en-US"/>
        </w:rPr>
        <w:t xml:space="preserve"> to compare the mean scores </w:t>
      </w:r>
      <w:r w:rsidR="00B3525B">
        <w:rPr>
          <w:lang w:val="en-US"/>
        </w:rPr>
        <w:t>regarding</w:t>
      </w:r>
      <w:r>
        <w:rPr>
          <w:lang w:val="en-US"/>
        </w:rPr>
        <w:t xml:space="preserve"> discretionary accruals for CEO’s in group 1 and group 2 of stock-based compensation. The output from SPSS shows a significance level of 0,003 for the Levene’s test of equality of variances. This is below the cut-off of 0,05</w:t>
      </w:r>
      <w:r w:rsidR="00B7688E">
        <w:rPr>
          <w:lang w:val="en-US"/>
        </w:rPr>
        <w:t>, mentioned on page 44.</w:t>
      </w:r>
      <w:r>
        <w:rPr>
          <w:lang w:val="en-US"/>
        </w:rPr>
        <w:t xml:space="preserve"> </w:t>
      </w:r>
      <w:r w:rsidR="00B7688E">
        <w:rPr>
          <w:lang w:val="en-US"/>
        </w:rPr>
        <w:t>I</w:t>
      </w:r>
      <w:r>
        <w:rPr>
          <w:lang w:val="en-US"/>
        </w:rPr>
        <w:t>t means the variances for the two groups are not the same. Therefore the</w:t>
      </w:r>
      <w:r w:rsidR="00B3525B">
        <w:rPr>
          <w:lang w:val="en-US"/>
        </w:rPr>
        <w:t xml:space="preserve"> results from the second</w:t>
      </w:r>
      <w:r>
        <w:rPr>
          <w:lang w:val="en-US"/>
        </w:rPr>
        <w:t xml:space="preserve"> line</w:t>
      </w:r>
      <w:r w:rsidR="00B3525B">
        <w:rPr>
          <w:lang w:val="en-US"/>
        </w:rPr>
        <w:t xml:space="preserve"> of the table,</w:t>
      </w:r>
      <w:r>
        <w:rPr>
          <w:lang w:val="en-US"/>
        </w:rPr>
        <w:t xml:space="preserve"> ‘equal variances not assumed’</w:t>
      </w:r>
      <w:r w:rsidR="00B3525B">
        <w:rPr>
          <w:lang w:val="en-US"/>
        </w:rPr>
        <w:t>,</w:t>
      </w:r>
      <w:r>
        <w:rPr>
          <w:lang w:val="en-US"/>
        </w:rPr>
        <w:t xml:space="preserve"> </w:t>
      </w:r>
      <w:r w:rsidR="00B3525B">
        <w:rPr>
          <w:lang w:val="en-US"/>
        </w:rPr>
        <w:t>are</w:t>
      </w:r>
      <w:r>
        <w:rPr>
          <w:lang w:val="en-US"/>
        </w:rPr>
        <w:t xml:space="preserve"> used. For the res</w:t>
      </w:r>
      <w:r w:rsidR="00245102">
        <w:rPr>
          <w:lang w:val="en-US"/>
        </w:rPr>
        <w:t>ults of the t-test, see table 6</w:t>
      </w:r>
      <w:r>
        <w:rPr>
          <w:lang w:val="en-US"/>
        </w:rPr>
        <w:t xml:space="preserve"> </w:t>
      </w:r>
      <w:r w:rsidR="00B7688E">
        <w:rPr>
          <w:lang w:val="en-US"/>
        </w:rPr>
        <w:t>on the next page</w:t>
      </w:r>
      <w:r>
        <w:rPr>
          <w:lang w:val="en-US"/>
        </w:rPr>
        <w:t xml:space="preserve">. </w:t>
      </w:r>
    </w:p>
    <w:p w:rsidR="009D4393" w:rsidRDefault="009D4393" w:rsidP="007C0A15">
      <w:pPr>
        <w:rPr>
          <w:lang w:val="en-US"/>
        </w:rPr>
      </w:pPr>
    </w:p>
    <w:p w:rsidR="00D134BD" w:rsidRDefault="00D134BD" w:rsidP="00D134BD">
      <w:pPr>
        <w:rPr>
          <w:lang w:val="en-US"/>
        </w:rPr>
      </w:pPr>
      <w:r>
        <w:rPr>
          <w:lang w:val="en-US"/>
        </w:rPr>
        <w:t>The results</w:t>
      </w:r>
      <w:r w:rsidR="00C71C7F">
        <w:rPr>
          <w:lang w:val="en-US"/>
        </w:rPr>
        <w:t xml:space="preserve"> in table 6</w:t>
      </w:r>
      <w:r>
        <w:rPr>
          <w:lang w:val="en-US"/>
        </w:rPr>
        <w:t xml:space="preserve"> show a highly significant difference in the mean scores of discretionary accruals between group 1 (median = 0,13, SD = 0,13) and group 2 (median = 0,20, SD = 0,22); t = -2,26, df = 98, p = 0,01 (one-tailed). In other words, CEO’s from group 2 (low equity incentive CEO’s) have a statistically significant higher mean score of discretionary accruals than CEO’s from group 1 (high equity incentive CEO’s).</w:t>
      </w:r>
    </w:p>
    <w:tbl>
      <w:tblPr>
        <w:tblW w:w="0" w:type="auto"/>
        <w:jc w:val="center"/>
        <w:tblLook w:val="00A0"/>
      </w:tblPr>
      <w:tblGrid>
        <w:gridCol w:w="3845"/>
        <w:gridCol w:w="1959"/>
      </w:tblGrid>
      <w:tr w:rsidR="007C0A15" w:rsidTr="00F04738">
        <w:trPr>
          <w:jc w:val="center"/>
        </w:trPr>
        <w:tc>
          <w:tcPr>
            <w:tcW w:w="3845" w:type="dxa"/>
            <w:tcBorders>
              <w:bottom w:val="single" w:sz="18" w:space="0" w:color="548DD4"/>
              <w:right w:val="single" w:sz="18" w:space="0" w:color="548DD4"/>
            </w:tcBorders>
          </w:tcPr>
          <w:p w:rsidR="007C0A15" w:rsidRPr="00DA651E" w:rsidRDefault="007C0A15" w:rsidP="007C0A15">
            <w:pPr>
              <w:rPr>
                <w:rFonts w:cs="Arial"/>
                <w:b/>
                <w:lang w:val="en-US"/>
              </w:rPr>
            </w:pPr>
            <w:r>
              <w:rPr>
                <w:lang w:val="en-US"/>
              </w:rPr>
              <w:lastRenderedPageBreak/>
              <w:br w:type="page"/>
            </w:r>
            <w:r>
              <w:rPr>
                <w:b/>
                <w:lang w:val="en-US"/>
              </w:rPr>
              <w:t>Stock-based compensation</w:t>
            </w:r>
          </w:p>
        </w:tc>
        <w:tc>
          <w:tcPr>
            <w:tcW w:w="1959" w:type="dxa"/>
            <w:tcBorders>
              <w:left w:val="single" w:sz="18" w:space="0" w:color="548DD4"/>
              <w:bottom w:val="single" w:sz="18" w:space="0" w:color="548DD4"/>
              <w:right w:val="single" w:sz="18" w:space="0" w:color="4F81BD" w:themeColor="accent1"/>
            </w:tcBorders>
          </w:tcPr>
          <w:p w:rsidR="007C0A15" w:rsidRPr="008034D7" w:rsidRDefault="007C0A15" w:rsidP="00706ECD">
            <w:pPr>
              <w:jc w:val="center"/>
              <w:rPr>
                <w:rFonts w:cs="Arial"/>
                <w:b/>
                <w:lang w:val="en-US"/>
              </w:rPr>
            </w:pPr>
            <w:r>
              <w:rPr>
                <w:b/>
                <w:lang w:val="en-US"/>
              </w:rPr>
              <w:t>Results</w:t>
            </w:r>
          </w:p>
        </w:tc>
      </w:tr>
      <w:tr w:rsidR="007C0A15" w:rsidTr="00F04738">
        <w:trPr>
          <w:jc w:val="center"/>
        </w:trPr>
        <w:tc>
          <w:tcPr>
            <w:tcW w:w="3845" w:type="dxa"/>
            <w:tcBorders>
              <w:top w:val="single" w:sz="18" w:space="0" w:color="548DD4"/>
              <w:right w:val="single" w:sz="18" w:space="0" w:color="548DD4"/>
            </w:tcBorders>
          </w:tcPr>
          <w:p w:rsidR="007C0A15" w:rsidRPr="00D133EA" w:rsidRDefault="007C0A15" w:rsidP="00706ECD">
            <w:pPr>
              <w:jc w:val="left"/>
              <w:rPr>
                <w:rFonts w:cs="Arial"/>
                <w:lang w:val="en-US"/>
              </w:rPr>
            </w:pPr>
            <w:r>
              <w:rPr>
                <w:rFonts w:cs="Arial"/>
                <w:lang w:val="en-US"/>
              </w:rPr>
              <w:t>Mean Group 1 (high)</w:t>
            </w:r>
          </w:p>
        </w:tc>
        <w:tc>
          <w:tcPr>
            <w:tcW w:w="1959" w:type="dxa"/>
            <w:tcBorders>
              <w:top w:val="single" w:sz="18" w:space="0" w:color="548DD4"/>
              <w:left w:val="single" w:sz="18" w:space="0" w:color="548DD4"/>
              <w:right w:val="single" w:sz="18" w:space="0" w:color="4F81BD" w:themeColor="accent1"/>
            </w:tcBorders>
            <w:shd w:val="clear" w:color="auto" w:fill="B8CCE4"/>
          </w:tcPr>
          <w:p w:rsidR="007C0A15" w:rsidRPr="00E1294E" w:rsidRDefault="007C0A15"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0,13</w:t>
            </w:r>
          </w:p>
        </w:tc>
      </w:tr>
      <w:tr w:rsidR="007C0A15" w:rsidTr="00F04738">
        <w:trPr>
          <w:jc w:val="center"/>
        </w:trPr>
        <w:tc>
          <w:tcPr>
            <w:tcW w:w="3845" w:type="dxa"/>
            <w:tcBorders>
              <w:right w:val="single" w:sz="18" w:space="0" w:color="548DD4"/>
            </w:tcBorders>
          </w:tcPr>
          <w:p w:rsidR="007C0A15" w:rsidRPr="00D133EA" w:rsidRDefault="007C0A15" w:rsidP="00706ECD">
            <w:pPr>
              <w:rPr>
                <w:rFonts w:cs="Arial"/>
                <w:lang w:val="en-US"/>
              </w:rPr>
            </w:pPr>
            <w:r>
              <w:rPr>
                <w:rFonts w:cs="Arial"/>
                <w:lang w:val="en-US"/>
              </w:rPr>
              <w:t>Mean Group 2 (low)</w:t>
            </w:r>
          </w:p>
        </w:tc>
        <w:tc>
          <w:tcPr>
            <w:tcW w:w="1959" w:type="dxa"/>
            <w:tcBorders>
              <w:left w:val="single" w:sz="18" w:space="0" w:color="548DD4"/>
              <w:right w:val="single" w:sz="18" w:space="0" w:color="4F81BD" w:themeColor="accent1"/>
            </w:tcBorders>
          </w:tcPr>
          <w:p w:rsidR="007C0A15" w:rsidRPr="00E1294E" w:rsidRDefault="007C0A15"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0,20</w:t>
            </w:r>
          </w:p>
        </w:tc>
      </w:tr>
      <w:tr w:rsidR="007C0A15" w:rsidTr="00F04738">
        <w:trPr>
          <w:jc w:val="center"/>
        </w:trPr>
        <w:tc>
          <w:tcPr>
            <w:tcW w:w="3845" w:type="dxa"/>
            <w:tcBorders>
              <w:right w:val="single" w:sz="18" w:space="0" w:color="548DD4"/>
            </w:tcBorders>
          </w:tcPr>
          <w:p w:rsidR="007C0A15" w:rsidRPr="00D133EA" w:rsidRDefault="007C0A15" w:rsidP="00706ECD">
            <w:pPr>
              <w:jc w:val="left"/>
              <w:rPr>
                <w:rFonts w:cs="Arial"/>
                <w:lang w:val="en-US"/>
              </w:rPr>
            </w:pPr>
            <w:r>
              <w:rPr>
                <w:rFonts w:cs="Arial"/>
                <w:lang w:val="en-US"/>
              </w:rPr>
              <w:t>Std. deviation group 1 (high)</w:t>
            </w:r>
          </w:p>
        </w:tc>
        <w:tc>
          <w:tcPr>
            <w:tcW w:w="1959" w:type="dxa"/>
            <w:tcBorders>
              <w:left w:val="single" w:sz="18" w:space="0" w:color="548DD4"/>
              <w:right w:val="single" w:sz="18" w:space="0" w:color="4F81BD" w:themeColor="accent1"/>
            </w:tcBorders>
            <w:shd w:val="clear" w:color="auto" w:fill="B8CCE4"/>
          </w:tcPr>
          <w:p w:rsidR="007C0A15" w:rsidRPr="00E1294E" w:rsidRDefault="007C0A15"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0,13</w:t>
            </w:r>
          </w:p>
        </w:tc>
      </w:tr>
      <w:tr w:rsidR="007C0A15" w:rsidTr="00F04738">
        <w:trPr>
          <w:jc w:val="center"/>
        </w:trPr>
        <w:tc>
          <w:tcPr>
            <w:tcW w:w="3845" w:type="dxa"/>
            <w:tcBorders>
              <w:right w:val="single" w:sz="18" w:space="0" w:color="548DD4"/>
            </w:tcBorders>
          </w:tcPr>
          <w:p w:rsidR="007C0A15" w:rsidRDefault="007C0A15" w:rsidP="00706ECD">
            <w:pPr>
              <w:rPr>
                <w:rFonts w:cs="Arial"/>
                <w:lang w:val="en-US"/>
              </w:rPr>
            </w:pPr>
            <w:r>
              <w:rPr>
                <w:rFonts w:cs="Arial"/>
                <w:lang w:val="en-US"/>
              </w:rPr>
              <w:t>Std. deviation group 2 (low)</w:t>
            </w:r>
          </w:p>
        </w:tc>
        <w:tc>
          <w:tcPr>
            <w:tcW w:w="1959" w:type="dxa"/>
            <w:tcBorders>
              <w:left w:val="single" w:sz="18" w:space="0" w:color="548DD4"/>
              <w:right w:val="single" w:sz="18" w:space="0" w:color="4F81BD" w:themeColor="accent1"/>
            </w:tcBorders>
          </w:tcPr>
          <w:p w:rsidR="007C0A15" w:rsidRDefault="007C0A15" w:rsidP="00706ECD">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0,22</w:t>
            </w:r>
          </w:p>
        </w:tc>
      </w:tr>
      <w:tr w:rsidR="00283BBA" w:rsidRPr="00E1294E" w:rsidTr="00F04738">
        <w:trPr>
          <w:jc w:val="center"/>
        </w:trPr>
        <w:tc>
          <w:tcPr>
            <w:tcW w:w="3845" w:type="dxa"/>
            <w:tcBorders>
              <w:right w:val="single" w:sz="18" w:space="0" w:color="548DD4"/>
            </w:tcBorders>
          </w:tcPr>
          <w:p w:rsidR="00283BBA" w:rsidRDefault="00283BBA" w:rsidP="00706ECD">
            <w:pPr>
              <w:rPr>
                <w:rFonts w:cs="Arial"/>
                <w:lang w:val="en-US"/>
              </w:rPr>
            </w:pPr>
            <w:r>
              <w:rPr>
                <w:rFonts w:cs="Arial"/>
                <w:lang w:val="en-US"/>
              </w:rPr>
              <w:t>T-value</w:t>
            </w:r>
          </w:p>
        </w:tc>
        <w:tc>
          <w:tcPr>
            <w:tcW w:w="1959" w:type="dxa"/>
            <w:tcBorders>
              <w:left w:val="single" w:sz="18" w:space="0" w:color="548DD4"/>
              <w:right w:val="single" w:sz="18" w:space="0" w:color="4F81BD" w:themeColor="accent1"/>
            </w:tcBorders>
            <w:shd w:val="clear" w:color="auto" w:fill="B8CCE4"/>
          </w:tcPr>
          <w:p w:rsidR="00283BBA" w:rsidRDefault="00283BBA" w:rsidP="007C0A15">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-2,26</w:t>
            </w:r>
          </w:p>
        </w:tc>
      </w:tr>
      <w:tr w:rsidR="007C0A15" w:rsidRPr="00E1294E" w:rsidTr="00F04738">
        <w:trPr>
          <w:jc w:val="center"/>
        </w:trPr>
        <w:tc>
          <w:tcPr>
            <w:tcW w:w="3845" w:type="dxa"/>
            <w:tcBorders>
              <w:right w:val="single" w:sz="18" w:space="0" w:color="548DD4"/>
            </w:tcBorders>
          </w:tcPr>
          <w:p w:rsidR="007C0A15" w:rsidRPr="00D133EA" w:rsidRDefault="000E0ECE" w:rsidP="00706ECD">
            <w:pPr>
              <w:rPr>
                <w:rFonts w:cs="Arial"/>
                <w:lang w:val="en-US"/>
              </w:rPr>
            </w:pPr>
            <w:r>
              <w:rPr>
                <w:rFonts w:cs="Arial"/>
                <w:lang w:val="en-US"/>
              </w:rPr>
              <w:t>Significance (1</w:t>
            </w:r>
            <w:r w:rsidR="007C0A15">
              <w:rPr>
                <w:rFonts w:cs="Arial"/>
                <w:lang w:val="en-US"/>
              </w:rPr>
              <w:t>-tailed)</w:t>
            </w:r>
          </w:p>
        </w:tc>
        <w:tc>
          <w:tcPr>
            <w:tcW w:w="1959" w:type="dxa"/>
            <w:tcBorders>
              <w:left w:val="single" w:sz="18" w:space="0" w:color="548DD4"/>
              <w:right w:val="single" w:sz="18" w:space="0" w:color="4F81BD" w:themeColor="accent1"/>
            </w:tcBorders>
            <w:shd w:val="clear" w:color="auto" w:fill="auto"/>
          </w:tcPr>
          <w:p w:rsidR="007C0A15" w:rsidRPr="00E1294E" w:rsidRDefault="007C0A15" w:rsidP="007C0A15">
            <w:pPr>
              <w:autoSpaceDE w:val="0"/>
              <w:autoSpaceDN w:val="0"/>
              <w:adjustRightInd w:val="0"/>
              <w:spacing w:line="320" w:lineRule="atLeast"/>
              <w:jc w:val="center"/>
              <w:rPr>
                <w:rFonts w:cs="Arial"/>
                <w:color w:val="000000"/>
                <w:sz w:val="18"/>
                <w:szCs w:val="18"/>
                <w:lang w:val="en-US" w:eastAsia="nl-NL"/>
              </w:rPr>
            </w:pPr>
            <w:r>
              <w:rPr>
                <w:rFonts w:cs="Arial"/>
                <w:color w:val="000000"/>
                <w:sz w:val="18"/>
                <w:szCs w:val="18"/>
                <w:lang w:val="en-US" w:eastAsia="nl-NL"/>
              </w:rPr>
              <w:t>0,0</w:t>
            </w:r>
            <w:r w:rsidR="002B01DD">
              <w:rPr>
                <w:rFonts w:cs="Arial"/>
                <w:color w:val="000000"/>
                <w:sz w:val="18"/>
                <w:szCs w:val="18"/>
                <w:lang w:val="en-US" w:eastAsia="nl-NL"/>
              </w:rPr>
              <w:t>1</w:t>
            </w:r>
          </w:p>
        </w:tc>
      </w:tr>
    </w:tbl>
    <w:p w:rsidR="007C0A15" w:rsidRPr="005B4202" w:rsidRDefault="00BF617B" w:rsidP="00BF617B">
      <w:pPr>
        <w:ind w:left="2880" w:firstLine="720"/>
        <w:rPr>
          <w:bCs/>
          <w:sz w:val="18"/>
          <w:szCs w:val="22"/>
        </w:rPr>
      </w:pPr>
      <w:r>
        <w:rPr>
          <w:bCs/>
          <w:sz w:val="18"/>
          <w:szCs w:val="22"/>
        </w:rPr>
        <w:t xml:space="preserve">  </w:t>
      </w:r>
      <w:r w:rsidR="00EA2E06">
        <w:rPr>
          <w:bCs/>
          <w:sz w:val="18"/>
          <w:szCs w:val="22"/>
        </w:rPr>
        <w:t xml:space="preserve">   </w:t>
      </w:r>
      <w:r>
        <w:rPr>
          <w:bCs/>
          <w:sz w:val="18"/>
          <w:szCs w:val="22"/>
        </w:rPr>
        <w:t xml:space="preserve"> </w:t>
      </w:r>
      <w:r w:rsidR="007C0A15" w:rsidRPr="005B4202">
        <w:rPr>
          <w:bCs/>
          <w:sz w:val="18"/>
          <w:szCs w:val="22"/>
        </w:rPr>
        <w:t xml:space="preserve">Table </w:t>
      </w:r>
      <w:r w:rsidR="00D34E3A">
        <w:rPr>
          <w:bCs/>
          <w:sz w:val="18"/>
          <w:szCs w:val="22"/>
        </w:rPr>
        <w:t>6</w:t>
      </w:r>
      <w:r w:rsidR="007C0A15">
        <w:rPr>
          <w:bCs/>
          <w:sz w:val="18"/>
          <w:szCs w:val="22"/>
        </w:rPr>
        <w:t xml:space="preserve"> T-test </w:t>
      </w:r>
      <w:r>
        <w:rPr>
          <w:bCs/>
          <w:sz w:val="18"/>
          <w:szCs w:val="22"/>
        </w:rPr>
        <w:t>stock-based compensation</w:t>
      </w:r>
    </w:p>
    <w:p w:rsidR="00B3525B" w:rsidRDefault="00EE52BC" w:rsidP="00C06D0B">
      <w:pPr>
        <w:rPr>
          <w:lang w:val="en-US"/>
        </w:rPr>
      </w:pPr>
      <w:r>
        <w:rPr>
          <w:lang w:val="en-US"/>
        </w:rPr>
        <w:t>B</w:t>
      </w:r>
      <w:r w:rsidR="00347F22">
        <w:rPr>
          <w:lang w:val="en-US"/>
        </w:rPr>
        <w:t xml:space="preserve">ecause there is a </w:t>
      </w:r>
      <w:r w:rsidR="00000F27">
        <w:rPr>
          <w:lang w:val="en-US"/>
        </w:rPr>
        <w:t xml:space="preserve">highly </w:t>
      </w:r>
      <w:r w:rsidR="00347F22">
        <w:rPr>
          <w:lang w:val="en-US"/>
        </w:rPr>
        <w:t xml:space="preserve">significant difference in discretionary accruals between CEO’s with the highest </w:t>
      </w:r>
      <w:r w:rsidR="00C11474">
        <w:rPr>
          <w:lang w:val="en-US"/>
        </w:rPr>
        <w:t>relative size</w:t>
      </w:r>
      <w:r w:rsidR="00347F22">
        <w:rPr>
          <w:lang w:val="en-US"/>
        </w:rPr>
        <w:t xml:space="preserve"> (group 1) and the lowest </w:t>
      </w:r>
      <w:r w:rsidR="00C11474">
        <w:rPr>
          <w:lang w:val="en-US"/>
        </w:rPr>
        <w:t>relative size</w:t>
      </w:r>
      <w:r w:rsidR="00347F22">
        <w:rPr>
          <w:lang w:val="en-US"/>
        </w:rPr>
        <w:t xml:space="preserve"> (group 2) of s</w:t>
      </w:r>
      <w:r>
        <w:rPr>
          <w:lang w:val="en-US"/>
        </w:rPr>
        <w:t>tock-based compensation, the results seem to indicate that the extent of stock-based compensation has impact on the magnitude of discretionary accruals.</w:t>
      </w:r>
      <w:r w:rsidR="00C11474">
        <w:rPr>
          <w:lang w:val="en-US"/>
        </w:rPr>
        <w:t xml:space="preserve"> </w:t>
      </w:r>
    </w:p>
    <w:p w:rsidR="00C71C7F" w:rsidRPr="005F4EA4" w:rsidRDefault="00C71C7F" w:rsidP="00C06D0B">
      <w:pPr>
        <w:rPr>
          <w:lang w:val="en-US"/>
        </w:rPr>
      </w:pPr>
    </w:p>
    <w:p w:rsidR="00BC16F8" w:rsidRDefault="00727F9C" w:rsidP="00C06D0B">
      <w:pPr>
        <w:rPr>
          <w:lang w:val="en-US"/>
        </w:rPr>
      </w:pPr>
      <w:r>
        <w:rPr>
          <w:lang w:val="en-US"/>
        </w:rPr>
        <w:t>In summary it appears</w:t>
      </w:r>
      <w:r w:rsidR="005D1BF5">
        <w:rPr>
          <w:lang w:val="en-US"/>
        </w:rPr>
        <w:t xml:space="preserve"> </w:t>
      </w:r>
      <w:r w:rsidR="00195291">
        <w:rPr>
          <w:lang w:val="en-US"/>
        </w:rPr>
        <w:t xml:space="preserve">that </w:t>
      </w:r>
      <w:r w:rsidR="00C06D0B">
        <w:rPr>
          <w:lang w:val="en-US"/>
        </w:rPr>
        <w:t xml:space="preserve">for fixed salary there is </w:t>
      </w:r>
      <w:r w:rsidR="00C71C7F">
        <w:rPr>
          <w:lang w:val="en-US"/>
        </w:rPr>
        <w:t>a small</w:t>
      </w:r>
      <w:r w:rsidR="00C06D0B">
        <w:rPr>
          <w:lang w:val="en-US"/>
        </w:rPr>
        <w:t xml:space="preserve"> significant difference in the mean scores of discretionary accruals between CEO’s from group 1 and CEO’s from group 2. </w:t>
      </w:r>
      <w:r w:rsidR="00603C76">
        <w:rPr>
          <w:lang w:val="en-US"/>
        </w:rPr>
        <w:t xml:space="preserve">The more a remuneration package consists of fixed salary, the more discretionary accruals are distinguished in the annual report. </w:t>
      </w:r>
      <w:r w:rsidR="002E516D">
        <w:rPr>
          <w:lang w:val="en-US"/>
        </w:rPr>
        <w:t>These</w:t>
      </w:r>
      <w:r w:rsidR="00283BBA">
        <w:rPr>
          <w:lang w:val="en-US"/>
        </w:rPr>
        <w:t xml:space="preserve"> results </w:t>
      </w:r>
      <w:r w:rsidR="0021255C">
        <w:rPr>
          <w:lang w:val="en-US"/>
        </w:rPr>
        <w:t xml:space="preserve">therefore </w:t>
      </w:r>
      <w:r w:rsidR="00283BBA">
        <w:rPr>
          <w:lang w:val="en-US"/>
        </w:rPr>
        <w:t xml:space="preserve">seem </w:t>
      </w:r>
      <w:r w:rsidR="00034E30">
        <w:rPr>
          <w:lang w:val="en-US"/>
        </w:rPr>
        <w:t xml:space="preserve">to </w:t>
      </w:r>
      <w:r w:rsidR="0021255C">
        <w:rPr>
          <w:lang w:val="en-US"/>
        </w:rPr>
        <w:t>reject</w:t>
      </w:r>
      <w:r w:rsidR="00283BBA">
        <w:rPr>
          <w:lang w:val="en-US"/>
        </w:rPr>
        <w:t xml:space="preserve"> H</w:t>
      </w:r>
      <w:r w:rsidR="00283BBA" w:rsidRPr="00283BBA">
        <w:rPr>
          <w:vertAlign w:val="subscript"/>
          <w:lang w:val="en-US"/>
        </w:rPr>
        <w:t>1</w:t>
      </w:r>
      <w:r w:rsidR="00283BBA">
        <w:rPr>
          <w:lang w:val="en-US"/>
        </w:rPr>
        <w:t xml:space="preserve"> </w:t>
      </w:r>
      <w:r w:rsidR="00642164">
        <w:rPr>
          <w:lang w:val="en-US"/>
        </w:rPr>
        <w:t xml:space="preserve">that fixed salary is negatively related to discretionary accruals. </w:t>
      </w:r>
    </w:p>
    <w:p w:rsidR="00283BBA" w:rsidRDefault="00BC16F8" w:rsidP="00C06D0B">
      <w:pPr>
        <w:rPr>
          <w:lang w:val="en-US"/>
        </w:rPr>
      </w:pPr>
      <w:r>
        <w:rPr>
          <w:lang w:val="en-US"/>
        </w:rPr>
        <w:t>Also for</w:t>
      </w:r>
      <w:r w:rsidR="00642164">
        <w:rPr>
          <w:lang w:val="en-US"/>
        </w:rPr>
        <w:t xml:space="preserve"> bonus compensation</w:t>
      </w:r>
      <w:r w:rsidR="005D1BF5">
        <w:rPr>
          <w:lang w:val="en-US"/>
        </w:rPr>
        <w:t xml:space="preserve"> </w:t>
      </w:r>
      <w:r w:rsidR="00642164">
        <w:rPr>
          <w:lang w:val="en-US"/>
        </w:rPr>
        <w:t xml:space="preserve">the results </w:t>
      </w:r>
      <w:r w:rsidR="0021255C">
        <w:rPr>
          <w:lang w:val="en-US"/>
        </w:rPr>
        <w:t>reject</w:t>
      </w:r>
      <w:r w:rsidR="00642164">
        <w:rPr>
          <w:lang w:val="en-US"/>
        </w:rPr>
        <w:t xml:space="preserve"> the hypothesis (H</w:t>
      </w:r>
      <w:r w:rsidR="00642164" w:rsidRPr="00642164">
        <w:rPr>
          <w:vertAlign w:val="subscript"/>
          <w:lang w:val="en-US"/>
        </w:rPr>
        <w:t>2</w:t>
      </w:r>
      <w:r w:rsidR="00642164">
        <w:rPr>
          <w:lang w:val="en-US"/>
        </w:rPr>
        <w:t>)</w:t>
      </w:r>
      <w:r w:rsidR="002E516D">
        <w:rPr>
          <w:lang w:val="en-US"/>
        </w:rPr>
        <w:t>. It was assumed</w:t>
      </w:r>
      <w:r w:rsidR="00642164">
        <w:rPr>
          <w:lang w:val="en-US"/>
        </w:rPr>
        <w:t xml:space="preserve"> that bonus compensation is positively related to discretionary accruals. </w:t>
      </w:r>
      <w:r w:rsidR="005D1BF5">
        <w:rPr>
          <w:lang w:val="en-US"/>
        </w:rPr>
        <w:t xml:space="preserve">The results </w:t>
      </w:r>
      <w:r w:rsidR="000C6ACA">
        <w:rPr>
          <w:lang w:val="en-US"/>
        </w:rPr>
        <w:t xml:space="preserve">however </w:t>
      </w:r>
      <w:r>
        <w:rPr>
          <w:lang w:val="en-US"/>
        </w:rPr>
        <w:t xml:space="preserve">show </w:t>
      </w:r>
      <w:r w:rsidR="002E516D">
        <w:rPr>
          <w:lang w:val="en-US"/>
        </w:rPr>
        <w:t>no significant difference in the mean sco</w:t>
      </w:r>
      <w:r w:rsidR="00851B85">
        <w:rPr>
          <w:lang w:val="en-US"/>
        </w:rPr>
        <w:t>res of discretionary accruals</w:t>
      </w:r>
      <w:r w:rsidR="000C6ACA">
        <w:rPr>
          <w:lang w:val="en-US"/>
        </w:rPr>
        <w:t xml:space="preserve"> for CEO’s with a relative high and CEO’s with a relative low bonus compensation package</w:t>
      </w:r>
      <w:r w:rsidR="002E516D">
        <w:rPr>
          <w:lang w:val="en-US"/>
        </w:rPr>
        <w:t xml:space="preserve">. </w:t>
      </w:r>
      <w:r w:rsidR="0021255C">
        <w:rPr>
          <w:lang w:val="en-US"/>
        </w:rPr>
        <w:t>Therefore H</w:t>
      </w:r>
      <w:r w:rsidR="0021255C" w:rsidRPr="0021255C">
        <w:rPr>
          <w:vertAlign w:val="subscript"/>
          <w:lang w:val="en-US"/>
        </w:rPr>
        <w:t>2</w:t>
      </w:r>
      <w:r w:rsidR="0021255C">
        <w:rPr>
          <w:lang w:val="en-US"/>
        </w:rPr>
        <w:t xml:space="preserve"> is rejected. </w:t>
      </w:r>
    </w:p>
    <w:p w:rsidR="00642164" w:rsidRDefault="005D1BF5" w:rsidP="00C06D0B">
      <w:pPr>
        <w:rPr>
          <w:lang w:val="en-US"/>
        </w:rPr>
      </w:pPr>
      <w:r>
        <w:rPr>
          <w:lang w:val="en-US"/>
        </w:rPr>
        <w:t>Regarding stock-based compensated</w:t>
      </w:r>
      <w:r w:rsidR="00283BBA">
        <w:rPr>
          <w:lang w:val="en-US"/>
        </w:rPr>
        <w:t xml:space="preserve"> the results show that there is a </w:t>
      </w:r>
      <w:r w:rsidR="00000F27">
        <w:rPr>
          <w:lang w:val="en-US"/>
        </w:rPr>
        <w:t xml:space="preserve">highly </w:t>
      </w:r>
      <w:r w:rsidR="00283BBA">
        <w:rPr>
          <w:lang w:val="en-US"/>
        </w:rPr>
        <w:t xml:space="preserve">significant difference in the mean scores of discretionary accruals between CEO’s from group 1 and CEO’s from group 2. </w:t>
      </w:r>
      <w:r w:rsidR="004632CF">
        <w:rPr>
          <w:lang w:val="en-US"/>
        </w:rPr>
        <w:t>However, the observed relation is negative.</w:t>
      </w:r>
      <w:r w:rsidR="00E04883">
        <w:rPr>
          <w:lang w:val="en-US"/>
        </w:rPr>
        <w:t xml:space="preserve"> </w:t>
      </w:r>
      <w:r>
        <w:rPr>
          <w:lang w:val="en-US"/>
        </w:rPr>
        <w:t>Low</w:t>
      </w:r>
      <w:r w:rsidR="00E04883">
        <w:rPr>
          <w:lang w:val="en-US"/>
        </w:rPr>
        <w:t xml:space="preserve"> equity incentive CEO’s have a significant </w:t>
      </w:r>
      <w:r>
        <w:rPr>
          <w:lang w:val="en-US"/>
        </w:rPr>
        <w:t>higher</w:t>
      </w:r>
      <w:r w:rsidR="00E04883">
        <w:rPr>
          <w:lang w:val="en-US"/>
        </w:rPr>
        <w:t xml:space="preserve"> mean score of discretionary accruals than </w:t>
      </w:r>
      <w:r>
        <w:rPr>
          <w:lang w:val="en-US"/>
        </w:rPr>
        <w:t>high</w:t>
      </w:r>
      <w:r w:rsidR="00E04883">
        <w:rPr>
          <w:lang w:val="en-US"/>
        </w:rPr>
        <w:t xml:space="preserve"> equity incentive CEO’s.</w:t>
      </w:r>
      <w:r w:rsidR="004632CF">
        <w:rPr>
          <w:lang w:val="en-US"/>
        </w:rPr>
        <w:t xml:space="preserve"> </w:t>
      </w:r>
      <w:r w:rsidR="00603C76">
        <w:rPr>
          <w:lang w:val="en-US"/>
        </w:rPr>
        <w:t>Therefore</w:t>
      </w:r>
      <w:r w:rsidR="00283BBA">
        <w:rPr>
          <w:lang w:val="en-US"/>
        </w:rPr>
        <w:t xml:space="preserve"> </w:t>
      </w:r>
      <w:r w:rsidR="00603C76">
        <w:rPr>
          <w:lang w:val="en-US"/>
        </w:rPr>
        <w:t>the hypothesis (</w:t>
      </w:r>
      <w:r w:rsidR="00283BBA">
        <w:rPr>
          <w:lang w:val="en-US"/>
        </w:rPr>
        <w:t>H</w:t>
      </w:r>
      <w:r w:rsidR="00283BBA" w:rsidRPr="00283BBA">
        <w:rPr>
          <w:vertAlign w:val="subscript"/>
          <w:lang w:val="en-US"/>
        </w:rPr>
        <w:t>3</w:t>
      </w:r>
      <w:r w:rsidR="00603C76">
        <w:rPr>
          <w:vertAlign w:val="subscript"/>
          <w:lang w:val="en-US"/>
        </w:rPr>
        <w:t>)</w:t>
      </w:r>
      <w:r w:rsidR="00283BBA">
        <w:rPr>
          <w:lang w:val="en-US"/>
        </w:rPr>
        <w:t xml:space="preserve"> that stock-based compensation is positively rel</w:t>
      </w:r>
      <w:r w:rsidR="00603C76">
        <w:rPr>
          <w:lang w:val="en-US"/>
        </w:rPr>
        <w:t xml:space="preserve">ated to discretionary accruals is rejected. </w:t>
      </w:r>
    </w:p>
    <w:p w:rsidR="00603C76" w:rsidRDefault="00603C76" w:rsidP="00C06D0B">
      <w:pPr>
        <w:rPr>
          <w:lang w:val="en-US"/>
        </w:rPr>
      </w:pPr>
    </w:p>
    <w:p w:rsidR="008F759B" w:rsidRPr="005F4EA4" w:rsidRDefault="00642164" w:rsidP="00C06D0B">
      <w:pPr>
        <w:rPr>
          <w:lang w:val="en-US"/>
        </w:rPr>
      </w:pPr>
      <w:r>
        <w:rPr>
          <w:lang w:val="en-US"/>
        </w:rPr>
        <w:t xml:space="preserve">In the next chapter the conclusion and the limitations from this research and </w:t>
      </w:r>
      <w:r w:rsidR="00B3525B">
        <w:rPr>
          <w:lang w:val="en-US"/>
        </w:rPr>
        <w:t>directions</w:t>
      </w:r>
      <w:r>
        <w:rPr>
          <w:lang w:val="en-US"/>
        </w:rPr>
        <w:t xml:space="preserve"> for future research are described. </w:t>
      </w:r>
      <w:r w:rsidR="008F759B" w:rsidRPr="005F4EA4">
        <w:rPr>
          <w:lang w:val="en-US"/>
        </w:rPr>
        <w:br w:type="page"/>
      </w:r>
    </w:p>
    <w:p w:rsidR="00FC188F" w:rsidRDefault="00FC188F" w:rsidP="00FC188F">
      <w:pPr>
        <w:pStyle w:val="Heading1"/>
        <w:rPr>
          <w:lang w:val="en-US"/>
        </w:rPr>
      </w:pPr>
      <w:bookmarkStart w:id="79" w:name="_Toc274485454"/>
      <w:r w:rsidRPr="006E6081">
        <w:rPr>
          <w:lang w:val="en-US"/>
        </w:rPr>
        <w:lastRenderedPageBreak/>
        <w:t>Conclusion</w:t>
      </w:r>
      <w:r w:rsidR="006D74A6">
        <w:rPr>
          <w:lang w:val="en-US"/>
        </w:rPr>
        <w:t>, limitations and future research</w:t>
      </w:r>
      <w:bookmarkEnd w:id="79"/>
    </w:p>
    <w:p w:rsidR="007D6F3A" w:rsidRPr="007D6F3A" w:rsidRDefault="00F035F6" w:rsidP="007D6F3A">
      <w:pPr>
        <w:rPr>
          <w:lang w:val="en-US" w:eastAsia="en-US" w:bidi="ar-SA"/>
        </w:rPr>
      </w:pPr>
      <w:r>
        <w:rPr>
          <w:lang w:val="en-US" w:eastAsia="en-US" w:bidi="ar-SA"/>
        </w:rPr>
        <w:t>In this final chapter the conclusion</w:t>
      </w:r>
      <w:r w:rsidR="00B3525B">
        <w:rPr>
          <w:lang w:val="en-US" w:eastAsia="en-US" w:bidi="ar-SA"/>
        </w:rPr>
        <w:t>s</w:t>
      </w:r>
      <w:r>
        <w:rPr>
          <w:lang w:val="en-US" w:eastAsia="en-US" w:bidi="ar-SA"/>
        </w:rPr>
        <w:t xml:space="preserve"> to the </w:t>
      </w:r>
      <w:r w:rsidR="007960D6">
        <w:rPr>
          <w:lang w:val="en-US" w:eastAsia="en-US" w:bidi="ar-SA"/>
        </w:rPr>
        <w:t>thesis</w:t>
      </w:r>
      <w:r>
        <w:rPr>
          <w:lang w:val="en-US" w:eastAsia="en-US" w:bidi="ar-SA"/>
        </w:rPr>
        <w:t xml:space="preserve"> </w:t>
      </w:r>
      <w:r w:rsidR="00B3525B">
        <w:rPr>
          <w:lang w:val="en-US" w:eastAsia="en-US" w:bidi="ar-SA"/>
        </w:rPr>
        <w:t>are</w:t>
      </w:r>
      <w:r>
        <w:rPr>
          <w:lang w:val="en-US" w:eastAsia="en-US" w:bidi="ar-SA"/>
        </w:rPr>
        <w:t xml:space="preserve"> </w:t>
      </w:r>
      <w:r w:rsidR="007960D6">
        <w:rPr>
          <w:lang w:val="en-US" w:eastAsia="en-US" w:bidi="ar-SA"/>
        </w:rPr>
        <w:t>described</w:t>
      </w:r>
      <w:r>
        <w:rPr>
          <w:lang w:val="en-US" w:eastAsia="en-US" w:bidi="ar-SA"/>
        </w:rPr>
        <w:t xml:space="preserve">. To provide an answer to the research question as formulated in the introduction to this thesis, several hypotheses were developed in chapter 3. </w:t>
      </w:r>
      <w:r w:rsidR="007D6F3A">
        <w:rPr>
          <w:lang w:val="en-US" w:eastAsia="en-US" w:bidi="ar-SA"/>
        </w:rPr>
        <w:t>In</w:t>
      </w:r>
      <w:r w:rsidR="00B12E85">
        <w:rPr>
          <w:lang w:val="en-US" w:eastAsia="en-US" w:bidi="ar-SA"/>
        </w:rPr>
        <w:t xml:space="preserve"> the first paragraph of</w:t>
      </w:r>
      <w:r w:rsidR="007D6F3A">
        <w:rPr>
          <w:lang w:val="en-US" w:eastAsia="en-US" w:bidi="ar-SA"/>
        </w:rPr>
        <w:t xml:space="preserve"> this chapter the research question </w:t>
      </w:r>
      <w:r w:rsidR="00B12E85">
        <w:rPr>
          <w:lang w:val="en-US" w:eastAsia="en-US" w:bidi="ar-SA"/>
        </w:rPr>
        <w:t>is</w:t>
      </w:r>
      <w:r w:rsidR="007D6F3A">
        <w:rPr>
          <w:lang w:val="en-US" w:eastAsia="en-US" w:bidi="ar-SA"/>
        </w:rPr>
        <w:t xml:space="preserve"> answered. Secondly, </w:t>
      </w:r>
      <w:r w:rsidR="0087692A">
        <w:rPr>
          <w:lang w:val="en-US" w:eastAsia="en-US" w:bidi="ar-SA"/>
        </w:rPr>
        <w:t xml:space="preserve">in paragraph 6.2 </w:t>
      </w:r>
      <w:r w:rsidR="007D6F3A">
        <w:rPr>
          <w:lang w:val="en-US" w:eastAsia="en-US" w:bidi="ar-SA"/>
        </w:rPr>
        <w:t>the theoretical a</w:t>
      </w:r>
      <w:r w:rsidR="00431845">
        <w:rPr>
          <w:lang w:val="en-US" w:eastAsia="en-US" w:bidi="ar-SA"/>
        </w:rPr>
        <w:t>nd empirical conclusions to</w:t>
      </w:r>
      <w:r w:rsidR="007960D6">
        <w:rPr>
          <w:lang w:val="en-US" w:eastAsia="en-US" w:bidi="ar-SA"/>
        </w:rPr>
        <w:t xml:space="preserve"> the</w:t>
      </w:r>
      <w:r w:rsidR="007D6F3A">
        <w:rPr>
          <w:lang w:val="en-US" w:eastAsia="en-US" w:bidi="ar-SA"/>
        </w:rPr>
        <w:t xml:space="preserve"> thesis are </w:t>
      </w:r>
      <w:r w:rsidR="0087692A">
        <w:rPr>
          <w:lang w:val="en-US" w:eastAsia="en-US" w:bidi="ar-SA"/>
        </w:rPr>
        <w:t xml:space="preserve">described. The final paragraph, paragraph 6.3, discusses the most important limitations of the methodology </w:t>
      </w:r>
      <w:r w:rsidR="000A0C92">
        <w:rPr>
          <w:lang w:val="en-US" w:eastAsia="en-US" w:bidi="ar-SA"/>
        </w:rPr>
        <w:t xml:space="preserve">used </w:t>
      </w:r>
      <w:r w:rsidR="0087692A">
        <w:rPr>
          <w:lang w:val="en-US" w:eastAsia="en-US" w:bidi="ar-SA"/>
        </w:rPr>
        <w:t>and gives directions for future research.</w:t>
      </w:r>
    </w:p>
    <w:p w:rsidR="007D6F3A" w:rsidRDefault="00B12E85" w:rsidP="007D6F3A">
      <w:pPr>
        <w:pStyle w:val="Heading2"/>
        <w:numPr>
          <w:ilvl w:val="1"/>
          <w:numId w:val="20"/>
        </w:numPr>
      </w:pPr>
      <w:bookmarkStart w:id="80" w:name="_Toc274485455"/>
      <w:r>
        <w:t>R</w:t>
      </w:r>
      <w:r w:rsidR="007D6F3A">
        <w:t>esearch question</w:t>
      </w:r>
      <w:bookmarkEnd w:id="80"/>
    </w:p>
    <w:p w:rsidR="00B12E85" w:rsidRPr="00D3664A" w:rsidRDefault="00B12E85" w:rsidP="00813005">
      <w:pPr>
        <w:rPr>
          <w:rFonts w:cs="Arial"/>
          <w:lang w:val="en-GB" w:eastAsia="en-US" w:bidi="ar-SA"/>
        </w:rPr>
      </w:pPr>
      <w:r>
        <w:rPr>
          <w:rFonts w:cs="Arial"/>
          <w:lang w:val="en-GB" w:eastAsia="en-US" w:bidi="ar-SA"/>
        </w:rPr>
        <w:t xml:space="preserve">In this thesis </w:t>
      </w:r>
      <w:r w:rsidR="006D6ABD">
        <w:rPr>
          <w:rFonts w:cs="Arial"/>
          <w:lang w:val="en-GB" w:eastAsia="en-US" w:bidi="ar-SA"/>
        </w:rPr>
        <w:t xml:space="preserve">the relative size of </w:t>
      </w:r>
      <w:r w:rsidR="006E628E">
        <w:rPr>
          <w:rFonts w:cs="Arial"/>
          <w:lang w:val="en-GB" w:eastAsia="en-US" w:bidi="ar-SA"/>
        </w:rPr>
        <w:t>fixed salary, (cash) bonus compensation and stock-based compensation</w:t>
      </w:r>
      <w:r w:rsidR="006D6ABD">
        <w:rPr>
          <w:rFonts w:cs="Arial"/>
          <w:lang w:val="en-GB" w:eastAsia="en-US" w:bidi="ar-SA"/>
        </w:rPr>
        <w:t xml:space="preserve"> on the use of discretionary accruals as a tool for earnings management is examined. </w:t>
      </w:r>
      <w:r w:rsidRPr="006B6B83">
        <w:rPr>
          <w:rFonts w:cs="Arial"/>
          <w:lang w:val="en-GB" w:eastAsia="en-US" w:bidi="ar-SA"/>
        </w:rPr>
        <w:t xml:space="preserve">The purpose of this </w:t>
      </w:r>
      <w:r w:rsidR="006D6ABD">
        <w:rPr>
          <w:rFonts w:cs="Arial"/>
          <w:lang w:val="en-GB" w:eastAsia="en-US" w:bidi="ar-SA"/>
        </w:rPr>
        <w:t>thesis</w:t>
      </w:r>
      <w:r w:rsidRPr="006B6B83">
        <w:rPr>
          <w:rFonts w:cs="Arial"/>
          <w:lang w:val="en-GB" w:eastAsia="en-US" w:bidi="ar-SA"/>
        </w:rPr>
        <w:t xml:space="preserve"> is to </w:t>
      </w:r>
      <w:r>
        <w:rPr>
          <w:rFonts w:cs="Arial"/>
          <w:lang w:val="en-GB" w:eastAsia="en-US" w:bidi="ar-SA"/>
        </w:rPr>
        <w:t>give</w:t>
      </w:r>
      <w:r w:rsidRPr="006B6B83">
        <w:rPr>
          <w:rFonts w:cs="Arial"/>
          <w:lang w:val="en-GB" w:eastAsia="en-US" w:bidi="ar-SA"/>
        </w:rPr>
        <w:t xml:space="preserve"> insight into the relation between equity incentives (stock-based compensation) and earnings management</w:t>
      </w:r>
      <w:r>
        <w:rPr>
          <w:rFonts w:cs="Arial"/>
          <w:lang w:val="en-GB" w:eastAsia="en-US" w:bidi="ar-SA"/>
        </w:rPr>
        <w:t xml:space="preserve">. </w:t>
      </w:r>
      <w:r w:rsidR="00813005">
        <w:rPr>
          <w:rFonts w:cs="Arial"/>
          <w:lang w:val="en-GB" w:eastAsia="en-US" w:bidi="ar-SA"/>
        </w:rPr>
        <w:t xml:space="preserve">The findings enhance the understanding of the relationship between equity incentives and earnings management. </w:t>
      </w:r>
    </w:p>
    <w:p w:rsidR="00F20D84" w:rsidRPr="00D3664A" w:rsidRDefault="00F20D84" w:rsidP="00F20D84">
      <w:pPr>
        <w:rPr>
          <w:rFonts w:cs="Arial"/>
          <w:lang w:val="en-GB" w:eastAsia="en-US" w:bidi="ar-SA"/>
        </w:rPr>
      </w:pPr>
    </w:p>
    <w:p w:rsidR="00D3664A" w:rsidRPr="006E628E" w:rsidRDefault="00F20D84" w:rsidP="00F20D84">
      <w:pPr>
        <w:autoSpaceDE w:val="0"/>
        <w:autoSpaceDN w:val="0"/>
        <w:adjustRightInd w:val="0"/>
        <w:rPr>
          <w:rFonts w:cs="Arial"/>
          <w:lang w:val="en-GB" w:eastAsia="en-US" w:bidi="ar-SA"/>
        </w:rPr>
      </w:pPr>
      <w:r w:rsidRPr="00D3664A">
        <w:rPr>
          <w:rFonts w:cs="Arial"/>
          <w:lang w:val="en-GB" w:eastAsia="en-US" w:bidi="ar-SA"/>
        </w:rPr>
        <w:t xml:space="preserve">After introducing the topic, formulating the </w:t>
      </w:r>
      <w:r w:rsidR="00D3664A" w:rsidRPr="00D3664A">
        <w:rPr>
          <w:rFonts w:cs="Arial"/>
          <w:lang w:val="en-GB" w:eastAsia="en-US" w:bidi="ar-SA"/>
        </w:rPr>
        <w:t>purpose of this research</w:t>
      </w:r>
      <w:r w:rsidRPr="00D3664A">
        <w:rPr>
          <w:rFonts w:cs="Arial"/>
          <w:lang w:val="en-GB" w:eastAsia="en-US" w:bidi="ar-SA"/>
        </w:rPr>
        <w:t xml:space="preserve"> and </w:t>
      </w:r>
      <w:r w:rsidR="00B3525B">
        <w:rPr>
          <w:rFonts w:cs="Arial"/>
          <w:lang w:val="en-GB" w:eastAsia="en-US" w:bidi="ar-SA"/>
        </w:rPr>
        <w:t xml:space="preserve">the </w:t>
      </w:r>
      <w:r w:rsidRPr="00D3664A">
        <w:rPr>
          <w:rFonts w:cs="Arial"/>
          <w:lang w:val="en-GB" w:eastAsia="en-US" w:bidi="ar-SA"/>
        </w:rPr>
        <w:t xml:space="preserve">research question, </w:t>
      </w:r>
      <w:r w:rsidR="00D3664A" w:rsidRPr="00D3664A">
        <w:rPr>
          <w:rFonts w:cs="Arial"/>
          <w:lang w:val="en-GB" w:eastAsia="en-US" w:bidi="ar-SA"/>
        </w:rPr>
        <w:t>the</w:t>
      </w:r>
      <w:r w:rsidRPr="00D3664A">
        <w:rPr>
          <w:rFonts w:cs="Arial"/>
          <w:lang w:val="en-GB" w:eastAsia="en-US" w:bidi="ar-SA"/>
        </w:rPr>
        <w:t xml:space="preserve"> relevant academic literature </w:t>
      </w:r>
      <w:r w:rsidR="00D3664A">
        <w:rPr>
          <w:rFonts w:cs="Arial"/>
          <w:lang w:val="en-GB" w:eastAsia="en-US" w:bidi="ar-SA"/>
        </w:rPr>
        <w:t xml:space="preserve">on earnings management, compensation contracts </w:t>
      </w:r>
      <w:r w:rsidR="006E628E">
        <w:rPr>
          <w:rFonts w:cs="Arial"/>
          <w:lang w:val="en-GB" w:eastAsia="en-US" w:bidi="ar-SA"/>
        </w:rPr>
        <w:t xml:space="preserve">and the relation between earnings management and stock-based compensation is reviewed. Subsequently, three </w:t>
      </w:r>
      <w:r w:rsidR="006E628E" w:rsidRPr="006E628E">
        <w:rPr>
          <w:rFonts w:cs="Arial"/>
          <w:lang w:val="en-GB" w:eastAsia="en-US" w:bidi="ar-SA"/>
        </w:rPr>
        <w:t>hypotheses were formulated, which were empirically tested in order to come to an answer on the research question:</w:t>
      </w:r>
    </w:p>
    <w:p w:rsidR="00D3664A" w:rsidRPr="006E628E" w:rsidRDefault="00D3664A" w:rsidP="00F20D84">
      <w:pPr>
        <w:autoSpaceDE w:val="0"/>
        <w:autoSpaceDN w:val="0"/>
        <w:adjustRightInd w:val="0"/>
        <w:rPr>
          <w:rFonts w:cs="Arial"/>
          <w:lang w:val="en-GB" w:eastAsia="en-US" w:bidi="ar-SA"/>
        </w:rPr>
      </w:pPr>
    </w:p>
    <w:p w:rsidR="006E628E" w:rsidRPr="006E628E" w:rsidRDefault="006E628E" w:rsidP="006E628E">
      <w:pPr>
        <w:jc w:val="center"/>
        <w:rPr>
          <w:rFonts w:cs="Arial"/>
          <w:b/>
          <w:bCs/>
          <w:i/>
          <w:iCs/>
          <w:lang w:val="en-GB"/>
        </w:rPr>
      </w:pPr>
      <w:r w:rsidRPr="006E628E">
        <w:rPr>
          <w:rFonts w:cs="Arial"/>
          <w:b/>
          <w:bCs/>
          <w:i/>
          <w:iCs/>
          <w:lang w:val="en-GB"/>
        </w:rPr>
        <w:t xml:space="preserve">What is the relation between equity incentives </w:t>
      </w:r>
    </w:p>
    <w:p w:rsidR="006E628E" w:rsidRPr="006E628E" w:rsidRDefault="006E628E" w:rsidP="006E628E">
      <w:pPr>
        <w:jc w:val="center"/>
        <w:rPr>
          <w:rFonts w:cs="Arial"/>
          <w:b/>
          <w:bCs/>
          <w:i/>
          <w:iCs/>
          <w:lang w:val="en-GB"/>
        </w:rPr>
      </w:pPr>
      <w:r w:rsidRPr="006E628E">
        <w:rPr>
          <w:rFonts w:cs="Arial"/>
          <w:b/>
          <w:bCs/>
          <w:i/>
          <w:iCs/>
          <w:lang w:val="en-GB"/>
        </w:rPr>
        <w:t>and earnings management in the U.K.?</w:t>
      </w:r>
    </w:p>
    <w:p w:rsidR="00B12E85" w:rsidRPr="006E628E" w:rsidRDefault="00B12E85" w:rsidP="00F20D84">
      <w:pPr>
        <w:rPr>
          <w:rFonts w:cs="Arial"/>
          <w:lang w:val="en-GB" w:eastAsia="en-US" w:bidi="ar-SA"/>
        </w:rPr>
      </w:pPr>
    </w:p>
    <w:p w:rsidR="0087692A" w:rsidRPr="006E628E" w:rsidRDefault="006E628E" w:rsidP="006E628E">
      <w:pPr>
        <w:rPr>
          <w:lang w:val="en-GB"/>
        </w:rPr>
      </w:pPr>
      <w:r>
        <w:rPr>
          <w:rFonts w:cs="Arial"/>
          <w:lang w:val="en-GB" w:eastAsia="en-US" w:bidi="ar-SA"/>
        </w:rPr>
        <w:t>In summary</w:t>
      </w:r>
      <w:r w:rsidR="00813005">
        <w:rPr>
          <w:rFonts w:cs="Arial"/>
          <w:lang w:val="en-GB" w:eastAsia="en-US" w:bidi="ar-SA"/>
        </w:rPr>
        <w:t>,</w:t>
      </w:r>
      <w:r>
        <w:rPr>
          <w:rFonts w:cs="Arial"/>
          <w:lang w:val="en-GB" w:eastAsia="en-US" w:bidi="ar-SA"/>
        </w:rPr>
        <w:t xml:space="preserve"> </w:t>
      </w:r>
      <w:r w:rsidR="00813005">
        <w:rPr>
          <w:rFonts w:cs="Arial"/>
          <w:lang w:val="en-GB" w:eastAsia="en-US" w:bidi="ar-SA"/>
        </w:rPr>
        <w:t xml:space="preserve">it </w:t>
      </w:r>
      <w:r>
        <w:rPr>
          <w:rFonts w:cs="Arial"/>
          <w:lang w:val="en-GB" w:eastAsia="en-US" w:bidi="ar-SA"/>
        </w:rPr>
        <w:t xml:space="preserve">can be concluded that, based on this research, evidence is found that stock-based compensation has </w:t>
      </w:r>
      <w:r w:rsidR="00312CDF">
        <w:rPr>
          <w:rFonts w:cs="Arial"/>
          <w:lang w:val="en-GB" w:eastAsia="en-US" w:bidi="ar-SA"/>
        </w:rPr>
        <w:t>a negative</w:t>
      </w:r>
      <w:r>
        <w:rPr>
          <w:rFonts w:cs="Arial"/>
          <w:lang w:val="en-GB" w:eastAsia="en-US" w:bidi="ar-SA"/>
        </w:rPr>
        <w:t xml:space="preserve"> relationship with discretionary accruals. Further this research has proven that </w:t>
      </w:r>
      <w:r w:rsidR="00312CDF">
        <w:rPr>
          <w:lang w:val="en-US"/>
        </w:rPr>
        <w:t>low equity incentive CEO’</w:t>
      </w:r>
      <w:r w:rsidR="00AC618F">
        <w:rPr>
          <w:lang w:val="en-US"/>
        </w:rPr>
        <w:t>s</w:t>
      </w:r>
      <w:r w:rsidR="00312CDF">
        <w:rPr>
          <w:lang w:val="en-US"/>
        </w:rPr>
        <w:t xml:space="preserve"> have significant higher mean score</w:t>
      </w:r>
      <w:r w:rsidR="0021255C">
        <w:rPr>
          <w:lang w:val="en-US"/>
        </w:rPr>
        <w:t>s</w:t>
      </w:r>
      <w:r w:rsidR="00312CDF">
        <w:rPr>
          <w:lang w:val="en-US"/>
        </w:rPr>
        <w:t xml:space="preserve"> o</w:t>
      </w:r>
      <w:r w:rsidR="005F107F">
        <w:rPr>
          <w:lang w:val="en-US"/>
        </w:rPr>
        <w:t>f</w:t>
      </w:r>
      <w:r w:rsidR="00312CDF">
        <w:rPr>
          <w:lang w:val="en-US"/>
        </w:rPr>
        <w:t xml:space="preserve"> discretionary accruals than </w:t>
      </w:r>
      <w:r w:rsidR="00AC618F">
        <w:rPr>
          <w:lang w:val="en-US"/>
        </w:rPr>
        <w:t>high equity incentive CEO’s</w:t>
      </w:r>
      <w:r w:rsidR="00312CDF">
        <w:rPr>
          <w:lang w:val="en-US"/>
        </w:rPr>
        <w:t xml:space="preserve">. </w:t>
      </w:r>
      <w:r w:rsidR="00B3525B">
        <w:rPr>
          <w:lang w:val="en-US"/>
        </w:rPr>
        <w:t xml:space="preserve">This </w:t>
      </w:r>
      <w:r w:rsidR="0021255C">
        <w:rPr>
          <w:lang w:val="en-US"/>
        </w:rPr>
        <w:t>rejects</w:t>
      </w:r>
      <w:r w:rsidR="00B3525B">
        <w:rPr>
          <w:lang w:val="en-US"/>
        </w:rPr>
        <w:t xml:space="preserve"> </w:t>
      </w:r>
      <w:r w:rsidR="00745B41">
        <w:rPr>
          <w:lang w:val="en-US"/>
        </w:rPr>
        <w:t xml:space="preserve">the hypothesis </w:t>
      </w:r>
      <w:r w:rsidR="00B3525B">
        <w:rPr>
          <w:lang w:val="en-US"/>
        </w:rPr>
        <w:t>that stock-based compensation is positively related to discretionary accruals.</w:t>
      </w:r>
    </w:p>
    <w:p w:rsidR="0087692A" w:rsidRDefault="0087692A" w:rsidP="0087692A">
      <w:pPr>
        <w:pStyle w:val="Heading2"/>
        <w:numPr>
          <w:ilvl w:val="1"/>
          <w:numId w:val="20"/>
        </w:numPr>
      </w:pPr>
      <w:bookmarkStart w:id="81" w:name="_Toc274485456"/>
      <w:r>
        <w:lastRenderedPageBreak/>
        <w:t>Theoretical and empirical conclusions</w:t>
      </w:r>
      <w:bookmarkEnd w:id="81"/>
    </w:p>
    <w:p w:rsidR="00755F7A" w:rsidRDefault="000A0C92" w:rsidP="00F62922">
      <w:pPr>
        <w:autoSpaceDE w:val="0"/>
        <w:autoSpaceDN w:val="0"/>
        <w:adjustRightInd w:val="0"/>
        <w:rPr>
          <w:lang w:val="en-US"/>
        </w:rPr>
      </w:pPr>
      <w:r>
        <w:rPr>
          <w:lang w:val="en-GB"/>
        </w:rPr>
        <w:t xml:space="preserve">There are three hypotheses, </w:t>
      </w:r>
      <w:r w:rsidRPr="00E041DD">
        <w:rPr>
          <w:lang w:val="en-GB"/>
        </w:rPr>
        <w:t xml:space="preserve">based on the review of the relevant academic literature, </w:t>
      </w:r>
      <w:r w:rsidR="00560850" w:rsidRPr="00E041DD">
        <w:rPr>
          <w:lang w:val="en-GB"/>
        </w:rPr>
        <w:t xml:space="preserve">which are tested in this research. </w:t>
      </w:r>
      <w:r w:rsidR="00F62922" w:rsidRPr="00E041DD">
        <w:rPr>
          <w:lang w:val="en-GB"/>
        </w:rPr>
        <w:t xml:space="preserve">Some results of </w:t>
      </w:r>
      <w:r w:rsidR="00755F7A" w:rsidRPr="00E041DD">
        <w:rPr>
          <w:lang w:val="en-GB"/>
        </w:rPr>
        <w:t>this</w:t>
      </w:r>
      <w:r w:rsidR="00F62922" w:rsidRPr="00E041DD">
        <w:rPr>
          <w:lang w:val="en-GB"/>
        </w:rPr>
        <w:t xml:space="preserve"> research support findings in the academic literature, </w:t>
      </w:r>
      <w:r w:rsidR="00E041DD" w:rsidRPr="00E041DD">
        <w:rPr>
          <w:lang w:val="en-GB"/>
        </w:rPr>
        <w:t>most</w:t>
      </w:r>
      <w:r w:rsidR="00F62922" w:rsidRPr="00E041DD">
        <w:rPr>
          <w:lang w:val="en-GB"/>
        </w:rPr>
        <w:t xml:space="preserve"> </w:t>
      </w:r>
      <w:r w:rsidR="00E041DD">
        <w:rPr>
          <w:lang w:val="en-GB"/>
        </w:rPr>
        <w:t xml:space="preserve">findings however </w:t>
      </w:r>
      <w:r w:rsidR="00F62922" w:rsidRPr="00E041DD">
        <w:rPr>
          <w:lang w:val="en-GB"/>
        </w:rPr>
        <w:t>oppose the academic literature</w:t>
      </w:r>
      <w:r w:rsidR="00755F7A" w:rsidRPr="00E041DD">
        <w:rPr>
          <w:lang w:val="en-GB"/>
        </w:rPr>
        <w:t>.</w:t>
      </w:r>
      <w:r w:rsidR="00F62922" w:rsidRPr="00E041DD">
        <w:rPr>
          <w:lang w:val="en-GB"/>
        </w:rPr>
        <w:t xml:space="preserve"> The first</w:t>
      </w:r>
      <w:r w:rsidR="00F62922">
        <w:rPr>
          <w:lang w:val="en-GB"/>
        </w:rPr>
        <w:t xml:space="preserve"> hypothesis </w:t>
      </w:r>
      <w:r w:rsidR="00227DF4">
        <w:rPr>
          <w:lang w:val="en-GB"/>
        </w:rPr>
        <w:t>states that</w:t>
      </w:r>
      <w:r w:rsidR="00F62922">
        <w:rPr>
          <w:lang w:val="en-GB"/>
        </w:rPr>
        <w:t xml:space="preserve"> fixed salary is negatively related to the use of discretionary accruals as a tool for earnings management. </w:t>
      </w:r>
      <w:r w:rsidR="00227DF4" w:rsidRPr="00493A4A">
        <w:rPr>
          <w:rFonts w:cs="Arial"/>
          <w:lang w:val="en-GB" w:eastAsia="en-US" w:bidi="ar-SA"/>
        </w:rPr>
        <w:t>Gao and Shrieves (2002)</w:t>
      </w:r>
      <w:r w:rsidR="001F502A">
        <w:rPr>
          <w:rFonts w:cs="Arial"/>
          <w:lang w:val="en-GB" w:eastAsia="en-US" w:bidi="ar-SA"/>
        </w:rPr>
        <w:t xml:space="preserve"> foun</w:t>
      </w:r>
      <w:r w:rsidR="00227DF4">
        <w:rPr>
          <w:rFonts w:cs="Arial"/>
          <w:lang w:val="en-GB" w:eastAsia="en-US" w:bidi="ar-SA"/>
        </w:rPr>
        <w:t xml:space="preserve">d in their study that salary is significantly negatively associated with the absolute value of discretionary accruals (scaled by asset size). </w:t>
      </w:r>
      <w:r w:rsidR="001F502A">
        <w:rPr>
          <w:rFonts w:cs="Arial"/>
          <w:lang w:val="en-GB" w:eastAsia="en-US" w:bidi="ar-SA"/>
        </w:rPr>
        <w:t>The results in this research seem</w:t>
      </w:r>
      <w:r w:rsidR="00B3525B">
        <w:rPr>
          <w:rFonts w:cs="Arial"/>
          <w:lang w:val="en-GB" w:eastAsia="en-US" w:bidi="ar-SA"/>
        </w:rPr>
        <w:t xml:space="preserve"> to be</w:t>
      </w:r>
      <w:r w:rsidR="001F502A">
        <w:rPr>
          <w:rFonts w:cs="Arial"/>
          <w:lang w:val="en-GB" w:eastAsia="en-US" w:bidi="ar-SA"/>
        </w:rPr>
        <w:t xml:space="preserve"> </w:t>
      </w:r>
      <w:r w:rsidR="00E041DD">
        <w:rPr>
          <w:rFonts w:cs="Arial"/>
          <w:lang w:val="en-GB" w:eastAsia="en-US" w:bidi="ar-SA"/>
        </w:rPr>
        <w:t>oppose</w:t>
      </w:r>
      <w:r w:rsidR="001F502A">
        <w:rPr>
          <w:rFonts w:cs="Arial"/>
          <w:lang w:val="en-GB" w:eastAsia="en-US" w:bidi="ar-SA"/>
        </w:rPr>
        <w:t xml:space="preserve"> the findings of Gao and Shrieves. From the results it</w:t>
      </w:r>
      <w:r w:rsidR="00227DF4">
        <w:rPr>
          <w:rFonts w:cs="Arial"/>
          <w:lang w:val="en-GB" w:eastAsia="en-US" w:bidi="ar-SA"/>
        </w:rPr>
        <w:t xml:space="preserve"> appears that fixed salary has a weak</w:t>
      </w:r>
      <w:r w:rsidR="00E041DD">
        <w:rPr>
          <w:rFonts w:cs="Arial"/>
          <w:lang w:val="en-GB" w:eastAsia="en-US" w:bidi="ar-SA"/>
        </w:rPr>
        <w:t xml:space="preserve"> positive</w:t>
      </w:r>
      <w:r w:rsidR="00755F7A">
        <w:rPr>
          <w:rFonts w:cs="Arial"/>
          <w:lang w:val="en-GB" w:eastAsia="en-US" w:bidi="ar-SA"/>
        </w:rPr>
        <w:t xml:space="preserve"> </w:t>
      </w:r>
      <w:r w:rsidR="00227DF4">
        <w:rPr>
          <w:rFonts w:cs="Arial"/>
          <w:lang w:val="en-GB" w:eastAsia="en-US" w:bidi="ar-SA"/>
        </w:rPr>
        <w:t xml:space="preserve">relationship with discretionary accruals. Furthermore it appears that there is </w:t>
      </w:r>
      <w:r w:rsidR="00F21B7A">
        <w:rPr>
          <w:rFonts w:cs="Arial"/>
          <w:lang w:val="en-GB" w:eastAsia="en-US" w:bidi="ar-SA"/>
        </w:rPr>
        <w:t>a small</w:t>
      </w:r>
      <w:r w:rsidR="00227DF4">
        <w:rPr>
          <w:rFonts w:cs="Arial"/>
          <w:lang w:val="en-GB" w:eastAsia="en-US" w:bidi="ar-SA"/>
        </w:rPr>
        <w:t xml:space="preserve"> significant </w:t>
      </w:r>
      <w:r w:rsidR="00755F7A">
        <w:rPr>
          <w:rFonts w:cs="Arial"/>
          <w:lang w:val="en-GB" w:eastAsia="en-US" w:bidi="ar-SA"/>
        </w:rPr>
        <w:t>difference in the mean scores of discretionary accruals between CEO’s with a relative high and CEO’s with a rel</w:t>
      </w:r>
      <w:r w:rsidR="00E041DD">
        <w:rPr>
          <w:rFonts w:cs="Arial"/>
          <w:lang w:val="en-GB" w:eastAsia="en-US" w:bidi="ar-SA"/>
        </w:rPr>
        <w:t>ative low size of fixed salary as part of th</w:t>
      </w:r>
      <w:r w:rsidR="00E7543C">
        <w:rPr>
          <w:rFonts w:cs="Arial"/>
          <w:lang w:val="en-GB" w:eastAsia="en-US" w:bidi="ar-SA"/>
        </w:rPr>
        <w:t xml:space="preserve">eir total remuneration package. </w:t>
      </w:r>
      <w:r w:rsidR="00E7543C">
        <w:rPr>
          <w:lang w:val="en-US"/>
        </w:rPr>
        <w:t xml:space="preserve">The more a remuneration package consists of fixed salary, the more discretionary accruals are distinguished in the annual report. Therefore the first hypothesis is rejected. </w:t>
      </w:r>
    </w:p>
    <w:p w:rsidR="000A0C92" w:rsidRDefault="001F502A" w:rsidP="00F62922">
      <w:pPr>
        <w:autoSpaceDE w:val="0"/>
        <w:autoSpaceDN w:val="0"/>
        <w:adjustRightInd w:val="0"/>
        <w:rPr>
          <w:rFonts w:cs="Arial"/>
          <w:lang w:val="en-GB" w:eastAsia="en-US" w:bidi="ar-SA"/>
        </w:rPr>
      </w:pPr>
      <w:r>
        <w:rPr>
          <w:rFonts w:cs="Arial"/>
          <w:lang w:val="en-GB" w:eastAsia="en-US" w:bidi="ar-SA"/>
        </w:rPr>
        <w:t xml:space="preserve">The second hypothesis states </w:t>
      </w:r>
      <w:r w:rsidR="0049150E">
        <w:rPr>
          <w:rFonts w:cs="Arial"/>
          <w:lang w:val="en-GB" w:eastAsia="en-US" w:bidi="ar-SA"/>
        </w:rPr>
        <w:t>that bonus compensation is</w:t>
      </w:r>
      <w:r>
        <w:rPr>
          <w:rFonts w:cs="Arial"/>
          <w:lang w:val="en-GB" w:eastAsia="en-US" w:bidi="ar-SA"/>
        </w:rPr>
        <w:t xml:space="preserve"> positively related to the use of discretionary accruals as a tool for earnings management. Healy (1985) and Gaver (1995) found that bonus compensation might also create incentives to engage in earnings management. Further Gao and Shrieves (2002) found that bonuses are </w:t>
      </w:r>
      <w:r>
        <w:rPr>
          <w:lang w:val="en-GB"/>
        </w:rPr>
        <w:t>positively related to earnings management intensity. The results in this thesis</w:t>
      </w:r>
      <w:r w:rsidR="00590770">
        <w:rPr>
          <w:lang w:val="en-GB"/>
        </w:rPr>
        <w:t xml:space="preserve"> oppose the findings in the academic literature because</w:t>
      </w:r>
      <w:r>
        <w:rPr>
          <w:lang w:val="en-GB"/>
        </w:rPr>
        <w:t xml:space="preserve"> </w:t>
      </w:r>
      <w:r w:rsidR="0049150E">
        <w:rPr>
          <w:lang w:val="en-US"/>
        </w:rPr>
        <w:t xml:space="preserve">no (or a very weak) </w:t>
      </w:r>
      <w:r w:rsidR="00AC618F">
        <w:rPr>
          <w:lang w:val="en-US"/>
        </w:rPr>
        <w:t>positive relationship</w:t>
      </w:r>
      <w:r w:rsidR="0049150E">
        <w:rPr>
          <w:lang w:val="en-US"/>
        </w:rPr>
        <w:t xml:space="preserve"> between bonus compensation and discretionary accruals</w:t>
      </w:r>
      <w:r w:rsidR="00590770">
        <w:rPr>
          <w:lang w:val="en-US"/>
        </w:rPr>
        <w:t xml:space="preserve"> is found</w:t>
      </w:r>
      <w:r w:rsidR="0049150E">
        <w:rPr>
          <w:lang w:val="en-US"/>
        </w:rPr>
        <w:t xml:space="preserve">. Moreover, no significant difference in the mean scores of discretionary accruals is found for CEO’s </w:t>
      </w:r>
      <w:r w:rsidR="0049150E">
        <w:rPr>
          <w:rFonts w:cs="Arial"/>
          <w:lang w:val="en-GB" w:eastAsia="en-US" w:bidi="ar-SA"/>
        </w:rPr>
        <w:t xml:space="preserve">with a relative high and CEO’s with a relative </w:t>
      </w:r>
      <w:r w:rsidR="00590770">
        <w:rPr>
          <w:rFonts w:cs="Arial"/>
          <w:lang w:val="en-GB" w:eastAsia="en-US" w:bidi="ar-SA"/>
        </w:rPr>
        <w:t>low size of bonus compensation.</w:t>
      </w:r>
      <w:r w:rsidR="00E7543C">
        <w:rPr>
          <w:rFonts w:cs="Arial"/>
          <w:lang w:val="en-GB" w:eastAsia="en-US" w:bidi="ar-SA"/>
        </w:rPr>
        <w:t xml:space="preserve"> </w:t>
      </w:r>
      <w:r w:rsidR="00590770">
        <w:rPr>
          <w:rFonts w:cs="Arial"/>
          <w:lang w:val="en-GB" w:eastAsia="en-US" w:bidi="ar-SA"/>
        </w:rPr>
        <w:t xml:space="preserve">Therefore the second </w:t>
      </w:r>
      <w:r w:rsidR="00E7543C">
        <w:rPr>
          <w:rFonts w:cs="Arial"/>
          <w:lang w:val="en-GB" w:eastAsia="en-US" w:bidi="ar-SA"/>
        </w:rPr>
        <w:t>hypothesis is</w:t>
      </w:r>
      <w:r w:rsidR="00590770">
        <w:rPr>
          <w:rFonts w:cs="Arial"/>
          <w:lang w:val="en-GB" w:eastAsia="en-US" w:bidi="ar-SA"/>
        </w:rPr>
        <w:t xml:space="preserve"> also</w:t>
      </w:r>
      <w:r w:rsidR="00E7543C">
        <w:rPr>
          <w:rFonts w:cs="Arial"/>
          <w:lang w:val="en-GB" w:eastAsia="en-US" w:bidi="ar-SA"/>
        </w:rPr>
        <w:t xml:space="preserve"> rejected.</w:t>
      </w:r>
      <w:r w:rsidR="00590770" w:rsidRPr="00590770">
        <w:rPr>
          <w:rFonts w:cs="Arial"/>
          <w:lang w:val="en-GB" w:eastAsia="en-US" w:bidi="ar-SA"/>
        </w:rPr>
        <w:t xml:space="preserve"> </w:t>
      </w:r>
    </w:p>
    <w:p w:rsidR="001F502A" w:rsidRDefault="0049150E" w:rsidP="00312DCE">
      <w:pPr>
        <w:rPr>
          <w:rFonts w:cs="Arial"/>
          <w:lang w:val="en-GB" w:eastAsia="en-US" w:bidi="ar-SA"/>
        </w:rPr>
      </w:pPr>
      <w:r>
        <w:rPr>
          <w:rFonts w:cs="Arial"/>
          <w:lang w:val="en-GB" w:eastAsia="en-US" w:bidi="ar-SA"/>
        </w:rPr>
        <w:t xml:space="preserve">The final hypothesis states that stock-based compensation is positively related to the use of discretionary accruals as a tool for earnings management. </w:t>
      </w:r>
      <w:r w:rsidR="00312DCE">
        <w:rPr>
          <w:rFonts w:cs="Arial"/>
          <w:lang w:val="en-GB" w:eastAsia="en-US" w:bidi="ar-SA"/>
        </w:rPr>
        <w:t xml:space="preserve">The results show a weak </w:t>
      </w:r>
      <w:r w:rsidR="00AC618F">
        <w:rPr>
          <w:rFonts w:cs="Arial"/>
          <w:lang w:val="en-GB" w:eastAsia="en-US" w:bidi="ar-SA"/>
        </w:rPr>
        <w:t>negative</w:t>
      </w:r>
      <w:r w:rsidR="00312DCE">
        <w:rPr>
          <w:rFonts w:cs="Arial"/>
          <w:lang w:val="en-GB" w:eastAsia="en-US" w:bidi="ar-SA"/>
        </w:rPr>
        <w:t xml:space="preserve"> </w:t>
      </w:r>
      <w:r w:rsidR="00AC618F">
        <w:rPr>
          <w:rFonts w:cs="Arial"/>
          <w:lang w:val="en-GB" w:eastAsia="en-US" w:bidi="ar-SA"/>
        </w:rPr>
        <w:t>relationship between stock-based compensation</w:t>
      </w:r>
      <w:r w:rsidR="00312DCE">
        <w:rPr>
          <w:rFonts w:cs="Arial"/>
          <w:lang w:val="en-GB" w:eastAsia="en-US" w:bidi="ar-SA"/>
        </w:rPr>
        <w:t xml:space="preserve"> and discretionary accruals. Moreover, it appears from the results that </w:t>
      </w:r>
      <w:r w:rsidR="00AC618F">
        <w:rPr>
          <w:lang w:val="en-US"/>
        </w:rPr>
        <w:t>lo</w:t>
      </w:r>
      <w:r w:rsidR="00567A50">
        <w:rPr>
          <w:lang w:val="en-US"/>
        </w:rPr>
        <w:t xml:space="preserve">w equity incentive CEO’s have </w:t>
      </w:r>
      <w:r w:rsidR="00AC618F">
        <w:rPr>
          <w:lang w:val="en-US"/>
        </w:rPr>
        <w:t>significant higher mean score</w:t>
      </w:r>
      <w:r w:rsidR="00567A50">
        <w:rPr>
          <w:lang w:val="en-US"/>
        </w:rPr>
        <w:t>s</w:t>
      </w:r>
      <w:r w:rsidR="00AC618F">
        <w:rPr>
          <w:lang w:val="en-US"/>
        </w:rPr>
        <w:t xml:space="preserve"> o</w:t>
      </w:r>
      <w:r w:rsidR="005F107F">
        <w:rPr>
          <w:lang w:val="en-US"/>
        </w:rPr>
        <w:t>f</w:t>
      </w:r>
      <w:r w:rsidR="00AC618F">
        <w:rPr>
          <w:lang w:val="en-US"/>
        </w:rPr>
        <w:t xml:space="preserve"> discretionary accruals than high equity incentive CEO’s.</w:t>
      </w:r>
      <w:r w:rsidR="00AC618F">
        <w:rPr>
          <w:rFonts w:cs="Arial"/>
          <w:lang w:val="en-GB" w:eastAsia="en-US" w:bidi="ar-SA"/>
        </w:rPr>
        <w:t xml:space="preserve"> </w:t>
      </w:r>
      <w:r w:rsidR="00312DCE">
        <w:rPr>
          <w:rFonts w:cs="Arial"/>
          <w:lang w:val="en-GB" w:eastAsia="en-US" w:bidi="ar-SA"/>
        </w:rPr>
        <w:t xml:space="preserve">Therefore, the results seem to </w:t>
      </w:r>
      <w:r w:rsidR="00AC618F">
        <w:rPr>
          <w:rFonts w:cs="Arial"/>
          <w:lang w:val="en-GB" w:eastAsia="en-US" w:bidi="ar-SA"/>
        </w:rPr>
        <w:t>oppose the results from</w:t>
      </w:r>
      <w:r w:rsidR="00312DCE">
        <w:rPr>
          <w:rFonts w:cs="Arial"/>
          <w:lang w:val="en-GB" w:eastAsia="en-US" w:bidi="ar-SA"/>
        </w:rPr>
        <w:t xml:space="preserve"> studies from </w:t>
      </w:r>
      <w:r w:rsidR="00312DCE" w:rsidRPr="00255A23">
        <w:rPr>
          <w:rFonts w:cs="Arial"/>
          <w:lang w:val="en-GB"/>
        </w:rPr>
        <w:t>Bergstresser and Philippon (2006)</w:t>
      </w:r>
      <w:r w:rsidR="00312DCE">
        <w:rPr>
          <w:rFonts w:cs="Arial"/>
          <w:lang w:val="en-GB"/>
        </w:rPr>
        <w:t xml:space="preserve">, </w:t>
      </w:r>
      <w:r w:rsidR="00312DCE" w:rsidRPr="00255A23">
        <w:rPr>
          <w:rFonts w:cs="Arial"/>
          <w:lang w:val="en-GB"/>
        </w:rPr>
        <w:t>Cheng and Warfield (2005)</w:t>
      </w:r>
      <w:r w:rsidR="00312DCE">
        <w:rPr>
          <w:rFonts w:cs="Arial"/>
          <w:lang w:val="en-GB"/>
        </w:rPr>
        <w:t xml:space="preserve"> and </w:t>
      </w:r>
      <w:r w:rsidR="00312DCE" w:rsidRPr="00255A23">
        <w:rPr>
          <w:rFonts w:cs="Arial"/>
          <w:lang w:val="en-GB"/>
        </w:rPr>
        <w:t>Gao and Shrieves</w:t>
      </w:r>
      <w:r w:rsidR="00312DCE">
        <w:rPr>
          <w:rFonts w:cs="Arial"/>
          <w:lang w:val="en-GB"/>
        </w:rPr>
        <w:t xml:space="preserve"> (2002). These studies all found evidence that </w:t>
      </w:r>
      <w:r w:rsidR="00A40617" w:rsidRPr="00255A23">
        <w:rPr>
          <w:rFonts w:cs="Arial"/>
          <w:lang w:val="en-GB"/>
        </w:rPr>
        <w:t xml:space="preserve">high equity incentive CEO’s </w:t>
      </w:r>
      <w:r w:rsidR="00A40617" w:rsidRPr="00255A23">
        <w:rPr>
          <w:rFonts w:cs="Arial"/>
          <w:lang w:val="en-GB"/>
        </w:rPr>
        <w:lastRenderedPageBreak/>
        <w:t>engage more in earnings management</w:t>
      </w:r>
      <w:r w:rsidR="00AC618F">
        <w:rPr>
          <w:rFonts w:cs="Arial"/>
          <w:lang w:val="en-GB"/>
        </w:rPr>
        <w:t xml:space="preserve"> </w:t>
      </w:r>
      <w:r w:rsidR="005F107F">
        <w:rPr>
          <w:rFonts w:cs="Arial"/>
          <w:lang w:val="en-GB"/>
        </w:rPr>
        <w:t>(</w:t>
      </w:r>
      <w:r w:rsidR="00AC618F">
        <w:rPr>
          <w:rFonts w:cs="Arial"/>
          <w:lang w:val="en-GB"/>
        </w:rPr>
        <w:t>through th</w:t>
      </w:r>
      <w:r w:rsidR="005F107F">
        <w:rPr>
          <w:rFonts w:cs="Arial"/>
          <w:lang w:val="en-GB"/>
        </w:rPr>
        <w:t>e use of discretionary accruals)</w:t>
      </w:r>
      <w:r w:rsidR="00A40617" w:rsidRPr="00255A23">
        <w:rPr>
          <w:rFonts w:cs="Arial"/>
          <w:lang w:val="en-GB"/>
        </w:rPr>
        <w:t xml:space="preserve"> than low equity incentive CEO’s</w:t>
      </w:r>
      <w:r w:rsidR="00A40617">
        <w:rPr>
          <w:rFonts w:cs="Arial"/>
          <w:lang w:val="en-GB"/>
        </w:rPr>
        <w:t>.</w:t>
      </w:r>
      <w:r w:rsidR="00AC618F">
        <w:rPr>
          <w:rFonts w:cs="Arial"/>
          <w:lang w:val="en-GB"/>
        </w:rPr>
        <w:t xml:space="preserve"> The findings in thi</w:t>
      </w:r>
      <w:r w:rsidR="00567A50">
        <w:rPr>
          <w:rFonts w:cs="Arial"/>
          <w:lang w:val="en-GB"/>
        </w:rPr>
        <w:t xml:space="preserve">s research suggest the opposite and therefore the third hypothesis is rejected as well. </w:t>
      </w:r>
      <w:r w:rsidR="00AC618F">
        <w:rPr>
          <w:rFonts w:cs="Arial"/>
          <w:lang w:val="en-GB"/>
        </w:rPr>
        <w:t xml:space="preserve"> </w:t>
      </w:r>
    </w:p>
    <w:p w:rsidR="00F62922" w:rsidRPr="00312DCE" w:rsidRDefault="00567A50" w:rsidP="001F502A">
      <w:pPr>
        <w:autoSpaceDE w:val="0"/>
        <w:autoSpaceDN w:val="0"/>
        <w:adjustRightInd w:val="0"/>
        <w:rPr>
          <w:lang w:val="en-GB"/>
        </w:rPr>
      </w:pPr>
      <w:r>
        <w:rPr>
          <w:rFonts w:cs="Arial"/>
          <w:lang w:val="en-GB" w:eastAsia="en-US" w:bidi="ar-SA"/>
        </w:rPr>
        <w:t>F</w:t>
      </w:r>
      <w:r w:rsidR="001F502A" w:rsidRPr="00312DCE">
        <w:rPr>
          <w:rFonts w:cs="Arial"/>
          <w:lang w:val="en-GB" w:eastAsia="en-US" w:bidi="ar-SA"/>
        </w:rPr>
        <w:t xml:space="preserve">urther research is needed to test to which </w:t>
      </w:r>
      <w:r w:rsidR="001F502A" w:rsidRPr="00A40617">
        <w:rPr>
          <w:rFonts w:cs="Arial"/>
          <w:lang w:val="en-GB" w:eastAsia="en-US" w:bidi="ar-SA"/>
        </w:rPr>
        <w:t>extent fixed salary</w:t>
      </w:r>
      <w:r w:rsidR="00A40617">
        <w:rPr>
          <w:rFonts w:cs="Arial"/>
          <w:lang w:val="en-GB" w:eastAsia="en-US" w:bidi="ar-SA"/>
        </w:rPr>
        <w:t>, bonus compensation,</w:t>
      </w:r>
      <w:r w:rsidR="001F502A" w:rsidRPr="00A40617">
        <w:rPr>
          <w:rFonts w:cs="Arial"/>
          <w:lang w:val="en-GB" w:eastAsia="en-US" w:bidi="ar-SA"/>
        </w:rPr>
        <w:t xml:space="preserve"> stock-based compensation</w:t>
      </w:r>
      <w:r w:rsidR="00A40617" w:rsidRPr="00A40617">
        <w:rPr>
          <w:rFonts w:cs="Arial"/>
          <w:lang w:val="en-GB" w:eastAsia="en-US" w:bidi="ar-SA"/>
        </w:rPr>
        <w:t xml:space="preserve"> and the use of discretionary accruals</w:t>
      </w:r>
      <w:r w:rsidR="001F502A" w:rsidRPr="00312DCE">
        <w:rPr>
          <w:rFonts w:cs="Arial"/>
          <w:lang w:val="en-GB" w:eastAsia="en-US" w:bidi="ar-SA"/>
        </w:rPr>
        <w:t xml:space="preserve"> are really related to earnings management.</w:t>
      </w:r>
    </w:p>
    <w:p w:rsidR="00FC188F" w:rsidRDefault="00FC188F" w:rsidP="00FC188F">
      <w:pPr>
        <w:pStyle w:val="Heading2"/>
        <w:numPr>
          <w:ilvl w:val="1"/>
          <w:numId w:val="20"/>
        </w:numPr>
      </w:pPr>
      <w:bookmarkStart w:id="82" w:name="_Toc274485457"/>
      <w:r>
        <w:t>Limitations</w:t>
      </w:r>
      <w:r w:rsidR="00C06D0B">
        <w:t xml:space="preserve"> and </w:t>
      </w:r>
      <w:r w:rsidR="007D6F3A">
        <w:t xml:space="preserve">directions for </w:t>
      </w:r>
      <w:r w:rsidR="00C06D0B">
        <w:t>future research</w:t>
      </w:r>
      <w:bookmarkEnd w:id="82"/>
    </w:p>
    <w:p w:rsidR="00FC188F" w:rsidRPr="00B43AA6" w:rsidRDefault="00AC67B4" w:rsidP="00FC188F">
      <w:pPr>
        <w:autoSpaceDE w:val="0"/>
        <w:autoSpaceDN w:val="0"/>
        <w:adjustRightInd w:val="0"/>
        <w:rPr>
          <w:rFonts w:cs="Arial"/>
          <w:lang w:val="en-US" w:eastAsia="en-US" w:bidi="ar-SA"/>
        </w:rPr>
      </w:pPr>
      <w:r>
        <w:rPr>
          <w:rFonts w:cs="Arial"/>
          <w:lang w:val="en-GB"/>
        </w:rPr>
        <w:t xml:space="preserve">There are various limitations to this research that should be taken into account. </w:t>
      </w:r>
      <w:r w:rsidR="003A5318">
        <w:rPr>
          <w:rFonts w:cs="Arial"/>
          <w:lang w:val="en-GB"/>
        </w:rPr>
        <w:t xml:space="preserve">The first limitation to this study lies in the use of the Modified Jones Model, </w:t>
      </w:r>
      <w:r w:rsidR="00FC188F" w:rsidRPr="00B43AA6">
        <w:rPr>
          <w:rFonts w:cs="Arial"/>
          <w:lang w:val="en-GB"/>
        </w:rPr>
        <w:t xml:space="preserve">which was presented by </w:t>
      </w:r>
      <w:r w:rsidR="005D36A7">
        <w:rPr>
          <w:rFonts w:cs="Arial"/>
          <w:lang w:val="en-US" w:eastAsia="en-US" w:bidi="ar-SA"/>
        </w:rPr>
        <w:t xml:space="preserve">Dechow et al. </w:t>
      </w:r>
      <w:r w:rsidR="00FC188F" w:rsidRPr="00B43AA6">
        <w:rPr>
          <w:rFonts w:cs="Arial"/>
          <w:lang w:val="en-US" w:eastAsia="en-US" w:bidi="ar-SA"/>
        </w:rPr>
        <w:t xml:space="preserve">(1995). </w:t>
      </w:r>
      <w:r w:rsidR="003A5318">
        <w:rPr>
          <w:rFonts w:cs="Arial"/>
          <w:lang w:val="en-US" w:eastAsia="en-US" w:bidi="ar-SA"/>
        </w:rPr>
        <w:t>S</w:t>
      </w:r>
      <w:r w:rsidR="00FC188F" w:rsidRPr="00B43AA6">
        <w:rPr>
          <w:rFonts w:cs="Arial"/>
          <w:lang w:val="en-US" w:eastAsia="en-US" w:bidi="ar-SA"/>
        </w:rPr>
        <w:t>ome studies have criticized the predictive accuracy of the modified Jones model (</w:t>
      </w:r>
      <w:r w:rsidR="00FC188F">
        <w:rPr>
          <w:rFonts w:cs="Arial"/>
          <w:lang w:val="en-US" w:eastAsia="en-US" w:bidi="ar-SA"/>
        </w:rPr>
        <w:t xml:space="preserve">e.g. </w:t>
      </w:r>
      <w:r w:rsidR="005022B5">
        <w:rPr>
          <w:rFonts w:cs="Arial"/>
          <w:lang w:val="en-US" w:eastAsia="en-US" w:bidi="ar-SA"/>
        </w:rPr>
        <w:t>Guay et al.</w:t>
      </w:r>
      <w:r w:rsidR="00FC188F" w:rsidRPr="00B43AA6">
        <w:rPr>
          <w:rFonts w:cs="Arial"/>
          <w:lang w:val="en-US" w:eastAsia="en-US" w:bidi="ar-SA"/>
        </w:rPr>
        <w:t xml:space="preserve"> 1996). </w:t>
      </w:r>
      <w:r w:rsidR="00FC188F">
        <w:rPr>
          <w:rFonts w:cs="Arial"/>
          <w:lang w:val="en-US" w:eastAsia="en-US" w:bidi="ar-SA"/>
        </w:rPr>
        <w:t>I</w:t>
      </w:r>
      <w:r w:rsidR="00FC188F" w:rsidRPr="00B43AA6">
        <w:rPr>
          <w:rFonts w:cs="Arial"/>
          <w:lang w:val="en-US" w:eastAsia="en-US" w:bidi="ar-SA"/>
        </w:rPr>
        <w:t>t is possible that</w:t>
      </w:r>
      <w:r w:rsidR="003A5318">
        <w:rPr>
          <w:lang w:val="en-GB"/>
        </w:rPr>
        <w:t xml:space="preserve"> the model</w:t>
      </w:r>
      <w:r w:rsidR="00FC188F" w:rsidRPr="00B43AA6">
        <w:rPr>
          <w:lang w:val="en-GB"/>
        </w:rPr>
        <w:t xml:space="preserve"> </w:t>
      </w:r>
      <w:r w:rsidR="003A5318">
        <w:rPr>
          <w:lang w:val="en-GB"/>
        </w:rPr>
        <w:t>is</w:t>
      </w:r>
      <w:r w:rsidR="00FC188F" w:rsidRPr="00B43AA6">
        <w:rPr>
          <w:lang w:val="en-GB"/>
        </w:rPr>
        <w:t xml:space="preserve"> misspecified and </w:t>
      </w:r>
      <w:r w:rsidR="00FC188F" w:rsidRPr="00B43AA6">
        <w:rPr>
          <w:rFonts w:cs="Arial"/>
          <w:lang w:val="en-US" w:eastAsia="en-US" w:bidi="ar-SA"/>
        </w:rPr>
        <w:t>imperfectly distinguish discretionary from non</w:t>
      </w:r>
      <w:r w:rsidR="005D36A7">
        <w:rPr>
          <w:rFonts w:cs="Arial"/>
          <w:lang w:val="en-US" w:eastAsia="en-US" w:bidi="ar-SA"/>
        </w:rPr>
        <w:t>-</w:t>
      </w:r>
      <w:r w:rsidR="00FC188F" w:rsidRPr="00B43AA6">
        <w:rPr>
          <w:rFonts w:cs="Arial"/>
          <w:lang w:val="en-US" w:eastAsia="en-US" w:bidi="ar-SA"/>
        </w:rPr>
        <w:t>discretionary accruals</w:t>
      </w:r>
      <w:r w:rsidR="005D36A7">
        <w:rPr>
          <w:rFonts w:cs="Arial"/>
          <w:lang w:val="en-US" w:eastAsia="en-US" w:bidi="ar-SA"/>
        </w:rPr>
        <w:t>.</w:t>
      </w:r>
      <w:r w:rsidR="00FC188F">
        <w:rPr>
          <w:rFonts w:cs="Arial"/>
          <w:lang w:val="en-US" w:eastAsia="en-US" w:bidi="ar-SA"/>
        </w:rPr>
        <w:t xml:space="preserve"> The</w:t>
      </w:r>
      <w:r w:rsidR="00FC188F" w:rsidRPr="00B43AA6">
        <w:rPr>
          <w:rFonts w:cs="Arial"/>
          <w:lang w:val="en-US" w:eastAsia="en-US" w:bidi="ar-SA"/>
        </w:rPr>
        <w:t xml:space="preserve"> dependent variable can contain a non</w:t>
      </w:r>
      <w:r w:rsidR="005D36A7">
        <w:rPr>
          <w:rFonts w:cs="Arial"/>
          <w:lang w:val="en-US" w:eastAsia="en-US" w:bidi="ar-SA"/>
        </w:rPr>
        <w:t>-</w:t>
      </w:r>
      <w:r w:rsidR="00FC188F" w:rsidRPr="00B43AA6">
        <w:rPr>
          <w:rFonts w:cs="Arial"/>
          <w:lang w:val="en-US" w:eastAsia="en-US" w:bidi="ar-SA"/>
        </w:rPr>
        <w:t>discretionary component as a possible consequ</w:t>
      </w:r>
      <w:r w:rsidR="005D36A7">
        <w:rPr>
          <w:rFonts w:cs="Arial"/>
          <w:lang w:val="en-US" w:eastAsia="en-US" w:bidi="ar-SA"/>
        </w:rPr>
        <w:t>ence of this measurement error, a</w:t>
      </w:r>
      <w:r w:rsidR="005D36A7" w:rsidRPr="00B43AA6">
        <w:rPr>
          <w:rFonts w:cs="Arial"/>
          <w:lang w:val="en-US" w:eastAsia="en-US" w:bidi="ar-SA"/>
        </w:rPr>
        <w:t xml:space="preserve">lthough </w:t>
      </w:r>
      <w:r w:rsidR="005D36A7">
        <w:rPr>
          <w:rFonts w:cs="Arial"/>
          <w:lang w:val="en-US" w:eastAsia="en-US" w:bidi="ar-SA"/>
        </w:rPr>
        <w:t>the</w:t>
      </w:r>
      <w:r w:rsidR="005D36A7" w:rsidRPr="00B43AA6">
        <w:rPr>
          <w:rFonts w:cs="Arial"/>
          <w:lang w:val="en-US" w:eastAsia="en-US" w:bidi="ar-SA"/>
        </w:rPr>
        <w:t xml:space="preserve"> approach seems to be consistent with standard practice in the e</w:t>
      </w:r>
      <w:r w:rsidR="005D36A7">
        <w:rPr>
          <w:rFonts w:cs="Arial"/>
          <w:lang w:val="en-US" w:eastAsia="en-US" w:bidi="ar-SA"/>
        </w:rPr>
        <w:t>arnings management literature</w:t>
      </w:r>
      <w:r w:rsidR="005D36A7" w:rsidRPr="00B43AA6">
        <w:rPr>
          <w:rFonts w:cs="Arial"/>
          <w:lang w:val="en-US" w:eastAsia="en-US" w:bidi="ar-SA"/>
        </w:rPr>
        <w:t>.</w:t>
      </w:r>
    </w:p>
    <w:p w:rsidR="00FC188F" w:rsidRPr="006B6B83" w:rsidRDefault="00FC188F" w:rsidP="00FC188F">
      <w:pPr>
        <w:rPr>
          <w:lang w:val="en-GB"/>
        </w:rPr>
      </w:pPr>
      <w:r w:rsidRPr="006B6B83">
        <w:rPr>
          <w:lang w:val="en-GB"/>
        </w:rPr>
        <w:t>Second</w:t>
      </w:r>
      <w:r w:rsidR="003A5318">
        <w:rPr>
          <w:lang w:val="en-GB"/>
        </w:rPr>
        <w:t>ly</w:t>
      </w:r>
      <w:r w:rsidRPr="006B6B83">
        <w:rPr>
          <w:lang w:val="en-GB"/>
        </w:rPr>
        <w:t xml:space="preserve">, </w:t>
      </w:r>
      <w:r>
        <w:rPr>
          <w:lang w:val="en-GB"/>
        </w:rPr>
        <w:t>the</w:t>
      </w:r>
      <w:r w:rsidR="003A5318">
        <w:rPr>
          <w:lang w:val="en-GB"/>
        </w:rPr>
        <w:t xml:space="preserve"> research</w:t>
      </w:r>
      <w:r w:rsidRPr="006B6B83">
        <w:rPr>
          <w:lang w:val="en-GB"/>
        </w:rPr>
        <w:t xml:space="preserve"> focuses on listed firms</w:t>
      </w:r>
      <w:r w:rsidR="00384F72">
        <w:rPr>
          <w:lang w:val="en-GB"/>
        </w:rPr>
        <w:t xml:space="preserve"> in the United Kingdom</w:t>
      </w:r>
      <w:r w:rsidRPr="006B6B83">
        <w:rPr>
          <w:lang w:val="en-GB"/>
        </w:rPr>
        <w:t xml:space="preserve">. </w:t>
      </w:r>
      <w:r>
        <w:rPr>
          <w:lang w:val="en-GB"/>
        </w:rPr>
        <w:t>N</w:t>
      </w:r>
      <w:r w:rsidRPr="006B6B83">
        <w:rPr>
          <w:lang w:val="en-GB"/>
        </w:rPr>
        <w:t>on-listed firms, which in general are smaller firms, have als</w:t>
      </w:r>
      <w:r w:rsidR="003F0321">
        <w:rPr>
          <w:lang w:val="en-GB"/>
        </w:rPr>
        <w:t>o incentives to manage earnings.</w:t>
      </w:r>
      <w:r w:rsidRPr="006B6B83">
        <w:rPr>
          <w:lang w:val="en-GB"/>
        </w:rPr>
        <w:t xml:space="preserve"> </w:t>
      </w:r>
      <w:r w:rsidR="003F0321">
        <w:rPr>
          <w:lang w:val="en-GB"/>
        </w:rPr>
        <w:t>Therefore</w:t>
      </w:r>
      <w:r w:rsidRPr="006B6B83">
        <w:rPr>
          <w:lang w:val="en-GB"/>
        </w:rPr>
        <w:t xml:space="preserve"> </w:t>
      </w:r>
      <w:r w:rsidR="00254EA5">
        <w:rPr>
          <w:lang w:val="en-GB"/>
        </w:rPr>
        <w:t>it is a limitation</w:t>
      </w:r>
      <w:r w:rsidRPr="006B6B83">
        <w:rPr>
          <w:lang w:val="en-GB"/>
        </w:rPr>
        <w:t xml:space="preserve"> that </w:t>
      </w:r>
      <w:r>
        <w:rPr>
          <w:lang w:val="en-GB"/>
        </w:rPr>
        <w:t>the</w:t>
      </w:r>
      <w:r w:rsidRPr="006B6B83">
        <w:rPr>
          <w:lang w:val="en-GB"/>
        </w:rPr>
        <w:t xml:space="preserve"> results might not be generalized to non-listed firms</w:t>
      </w:r>
      <w:r w:rsidR="00384F72">
        <w:rPr>
          <w:lang w:val="en-GB"/>
        </w:rPr>
        <w:t xml:space="preserve"> and to other countries</w:t>
      </w:r>
      <w:r w:rsidRPr="006B6B83">
        <w:rPr>
          <w:lang w:val="en-GB"/>
        </w:rPr>
        <w:t xml:space="preserve">. </w:t>
      </w:r>
    </w:p>
    <w:p w:rsidR="00FC188F" w:rsidRDefault="00FC188F" w:rsidP="00FC188F">
      <w:pPr>
        <w:rPr>
          <w:lang w:val="en-GB"/>
        </w:rPr>
      </w:pPr>
      <w:r w:rsidRPr="006B6B83">
        <w:rPr>
          <w:lang w:val="en-GB"/>
        </w:rPr>
        <w:t xml:space="preserve">Finally </w:t>
      </w:r>
      <w:r>
        <w:rPr>
          <w:lang w:val="en-GB"/>
        </w:rPr>
        <w:t xml:space="preserve">the </w:t>
      </w:r>
      <w:r w:rsidRPr="006B6B83">
        <w:rPr>
          <w:lang w:val="en-GB"/>
        </w:rPr>
        <w:t xml:space="preserve">data </w:t>
      </w:r>
      <w:r>
        <w:rPr>
          <w:lang w:val="en-GB"/>
        </w:rPr>
        <w:t>that is used in this research is from</w:t>
      </w:r>
      <w:r w:rsidRPr="006B6B83">
        <w:rPr>
          <w:lang w:val="en-GB"/>
        </w:rPr>
        <w:t xml:space="preserve"> 2005 and 2006. This could be a limitation because it is a short period of time in which </w:t>
      </w:r>
      <w:r>
        <w:rPr>
          <w:lang w:val="en-GB"/>
        </w:rPr>
        <w:t>the</w:t>
      </w:r>
      <w:r w:rsidRPr="006B6B83">
        <w:rPr>
          <w:lang w:val="en-GB"/>
        </w:rPr>
        <w:t xml:space="preserve"> firms</w:t>
      </w:r>
      <w:r>
        <w:rPr>
          <w:lang w:val="en-GB"/>
        </w:rPr>
        <w:t xml:space="preserve"> are investigated</w:t>
      </w:r>
      <w:r w:rsidRPr="006B6B83">
        <w:rPr>
          <w:lang w:val="en-GB"/>
        </w:rPr>
        <w:t xml:space="preserve">. The results </w:t>
      </w:r>
      <w:r>
        <w:rPr>
          <w:lang w:val="en-GB"/>
        </w:rPr>
        <w:t>could be influenced by</w:t>
      </w:r>
      <w:r w:rsidRPr="006B6B83">
        <w:rPr>
          <w:lang w:val="en-GB"/>
        </w:rPr>
        <w:t xml:space="preserve"> other factors (e.g. changes in laws and regulations) than earnings management</w:t>
      </w:r>
      <w:r>
        <w:rPr>
          <w:lang w:val="en-GB"/>
        </w:rPr>
        <w:t xml:space="preserve"> only</w:t>
      </w:r>
      <w:r w:rsidRPr="006B6B83">
        <w:rPr>
          <w:lang w:val="en-GB"/>
        </w:rPr>
        <w:t>.</w:t>
      </w:r>
    </w:p>
    <w:p w:rsidR="00FC188F" w:rsidRDefault="00FC188F" w:rsidP="00FC188F">
      <w:pPr>
        <w:rPr>
          <w:lang w:val="en-GB"/>
        </w:rPr>
      </w:pPr>
    </w:p>
    <w:p w:rsidR="00AC67B4" w:rsidRDefault="00AC67B4" w:rsidP="00FC188F">
      <w:pPr>
        <w:rPr>
          <w:lang w:val="en-GB"/>
        </w:rPr>
      </w:pPr>
      <w:r>
        <w:rPr>
          <w:lang w:val="en-GB"/>
        </w:rPr>
        <w:t xml:space="preserve">The limitations mentioned above form directions for future research. First, the study could be extended by controlling for firm specific parameters (e.g. </w:t>
      </w:r>
      <w:r w:rsidR="006D0DF2">
        <w:rPr>
          <w:lang w:val="en-GB"/>
        </w:rPr>
        <w:t xml:space="preserve">firm </w:t>
      </w:r>
      <w:r>
        <w:rPr>
          <w:lang w:val="en-GB"/>
        </w:rPr>
        <w:t>size, industry).</w:t>
      </w:r>
      <w:r w:rsidR="00C53DAF">
        <w:rPr>
          <w:lang w:val="en-GB"/>
        </w:rPr>
        <w:t xml:space="preserve"> Secondly, this study focussed on the relationship between different types of compensation and discretionary accruals. However, no assurance is provided on the extent of earnings management. Future research is needed to determine to which extent the results </w:t>
      </w:r>
      <w:r w:rsidR="00384F72">
        <w:rPr>
          <w:lang w:val="en-GB"/>
        </w:rPr>
        <w:t xml:space="preserve">in this study </w:t>
      </w:r>
      <w:r w:rsidR="00C53DAF">
        <w:rPr>
          <w:lang w:val="en-GB"/>
        </w:rPr>
        <w:t xml:space="preserve">can be explained as a result of earnings management. </w:t>
      </w:r>
      <w:r>
        <w:rPr>
          <w:lang w:val="en-GB"/>
        </w:rPr>
        <w:t xml:space="preserve"> </w:t>
      </w:r>
    </w:p>
    <w:p w:rsidR="00FC188F" w:rsidRPr="00FC188F" w:rsidRDefault="00FC188F" w:rsidP="00FC188F">
      <w:pPr>
        <w:rPr>
          <w:color w:val="FF0000"/>
          <w:lang w:val="en-GB"/>
        </w:rPr>
        <w:sectPr w:rsidR="00FC188F" w:rsidRPr="00FC188F" w:rsidSect="008B2DB1">
          <w:pgSz w:w="11907" w:h="16840" w:code="9"/>
          <w:pgMar w:top="1418" w:right="1418" w:bottom="1418" w:left="1418" w:header="709" w:footer="709" w:gutter="0"/>
          <w:lnNumType w:countBy="5"/>
          <w:cols w:space="708"/>
          <w:docGrid w:linePitch="360"/>
        </w:sectPr>
      </w:pPr>
    </w:p>
    <w:p w:rsidR="00FC188F" w:rsidRPr="007D7EF8" w:rsidRDefault="00FC188F" w:rsidP="00FC188F">
      <w:pPr>
        <w:rPr>
          <w:lang w:val="en-GB"/>
        </w:rPr>
      </w:pPr>
    </w:p>
    <w:p w:rsidR="00FC188F" w:rsidRPr="00FC188F" w:rsidRDefault="00FC188F" w:rsidP="00FC188F">
      <w:pPr>
        <w:spacing w:line="240" w:lineRule="auto"/>
        <w:jc w:val="left"/>
        <w:rPr>
          <w:rFonts w:cs="Times New Roman"/>
          <w:b/>
          <w:bCs/>
          <w:color w:val="FF0000"/>
          <w:sz w:val="32"/>
          <w:szCs w:val="28"/>
          <w:lang w:val="en-GB" w:eastAsia="en-US" w:bidi="ar-SA"/>
        </w:rPr>
      </w:pPr>
      <w:r>
        <w:rPr>
          <w:lang w:val="en-GB"/>
        </w:rPr>
        <w:br w:type="page"/>
      </w:r>
    </w:p>
    <w:p w:rsidR="00977FC8" w:rsidRPr="0065693E" w:rsidRDefault="00977FC8" w:rsidP="00C15A19">
      <w:pPr>
        <w:jc w:val="left"/>
        <w:rPr>
          <w:lang w:val="en-US"/>
        </w:rPr>
      </w:pPr>
      <w:bookmarkStart w:id="83" w:name="_Toc274485458"/>
      <w:r w:rsidRPr="00EB1011">
        <w:rPr>
          <w:rStyle w:val="Heading1Char"/>
          <w:sz w:val="32"/>
          <w:szCs w:val="32"/>
          <w:lang w:val="en-US"/>
        </w:rPr>
        <w:lastRenderedPageBreak/>
        <w:t>References</w:t>
      </w:r>
      <w:bookmarkEnd w:id="83"/>
    </w:p>
    <w:p w:rsidR="00977FC8" w:rsidRDefault="00977FC8" w:rsidP="00D005E0">
      <w:pPr>
        <w:ind w:left="567" w:hanging="567"/>
        <w:rPr>
          <w:lang w:val="en-GB"/>
        </w:rPr>
      </w:pPr>
      <w:r>
        <w:rPr>
          <w:lang w:val="en-GB"/>
        </w:rPr>
        <w:t xml:space="preserve">Aharony, J., and </w:t>
      </w:r>
      <w:r w:rsidR="00F77E61">
        <w:rPr>
          <w:lang w:val="en-GB"/>
        </w:rPr>
        <w:t xml:space="preserve">I. </w:t>
      </w:r>
      <w:r>
        <w:rPr>
          <w:lang w:val="en-GB"/>
        </w:rPr>
        <w:t>Swary.</w:t>
      </w:r>
      <w:r w:rsidRPr="004865F0">
        <w:rPr>
          <w:lang w:val="en-GB"/>
        </w:rPr>
        <w:t xml:space="preserve"> 1980. </w:t>
      </w:r>
      <w:r w:rsidRPr="006A75D7">
        <w:rPr>
          <w:lang w:val="en-GB"/>
        </w:rPr>
        <w:t xml:space="preserve">Quarterly dividend and earnings announcements and stockholders’ returns: an empirical analysis. </w:t>
      </w:r>
      <w:r w:rsidRPr="00F77E61">
        <w:rPr>
          <w:i/>
          <w:lang w:val="en-GB"/>
        </w:rPr>
        <w:t>Journal of Finance</w:t>
      </w:r>
      <w:r>
        <w:rPr>
          <w:lang w:val="en-GB"/>
        </w:rPr>
        <w:t>,</w:t>
      </w:r>
      <w:r w:rsidRPr="006A75D7">
        <w:rPr>
          <w:lang w:val="en-GB"/>
        </w:rPr>
        <w:t xml:space="preserve"> 35, 1–12.</w:t>
      </w:r>
    </w:p>
    <w:p w:rsidR="00977FC8" w:rsidRPr="00D34495" w:rsidRDefault="00977FC8" w:rsidP="00D34495">
      <w:pPr>
        <w:ind w:left="567" w:hanging="567"/>
        <w:rPr>
          <w:lang w:val="en-GB"/>
        </w:rPr>
      </w:pPr>
      <w:r>
        <w:rPr>
          <w:lang w:val="en-GB"/>
        </w:rPr>
        <w:t xml:space="preserve">Bauman, M.P., and </w:t>
      </w:r>
      <w:r w:rsidR="00F77E61">
        <w:rPr>
          <w:lang w:val="en-GB"/>
        </w:rPr>
        <w:t xml:space="preserve">K.W. Shaw. </w:t>
      </w:r>
      <w:r>
        <w:rPr>
          <w:lang w:val="en-GB"/>
        </w:rPr>
        <w:t xml:space="preserve">2006. </w:t>
      </w:r>
      <w:r w:rsidRPr="00D34495">
        <w:rPr>
          <w:lang w:val="en-GB"/>
        </w:rPr>
        <w:t>Stock option compensation and the likelihood of meeting</w:t>
      </w:r>
      <w:r>
        <w:rPr>
          <w:lang w:val="en-GB"/>
        </w:rPr>
        <w:t xml:space="preserve"> </w:t>
      </w:r>
      <w:r w:rsidRPr="00D34495">
        <w:rPr>
          <w:lang w:val="en-GB"/>
        </w:rPr>
        <w:t>analysts’ quarterly earnings targets</w:t>
      </w:r>
      <w:r>
        <w:rPr>
          <w:lang w:val="en-GB"/>
        </w:rPr>
        <w:t xml:space="preserve">. </w:t>
      </w:r>
      <w:r w:rsidRPr="00F77E61">
        <w:rPr>
          <w:i/>
          <w:lang w:val="en-GB"/>
        </w:rPr>
        <w:t>Review of quantitative finance and accounting</w:t>
      </w:r>
      <w:r>
        <w:rPr>
          <w:lang w:val="en-GB"/>
        </w:rPr>
        <w:t>, 26, 301-319.</w:t>
      </w:r>
    </w:p>
    <w:p w:rsidR="00977FC8" w:rsidRPr="00F02E90" w:rsidRDefault="00977FC8" w:rsidP="0095470E">
      <w:pPr>
        <w:ind w:left="567" w:hanging="567"/>
        <w:rPr>
          <w:lang w:val="en-US"/>
        </w:rPr>
      </w:pPr>
      <w:r>
        <w:rPr>
          <w:lang w:val="en-GB"/>
        </w:rPr>
        <w:t>Beneish, M.</w:t>
      </w:r>
      <w:r w:rsidR="00F77E61">
        <w:rPr>
          <w:lang w:val="en-GB"/>
        </w:rPr>
        <w:t xml:space="preserve">D. </w:t>
      </w:r>
      <w:r w:rsidRPr="006A75D7">
        <w:rPr>
          <w:lang w:val="en-GB"/>
        </w:rPr>
        <w:t xml:space="preserve">2001. Earnings management: a perspective. </w:t>
      </w:r>
      <w:r w:rsidRPr="00F77E61">
        <w:rPr>
          <w:i/>
          <w:lang w:val="en-US"/>
        </w:rPr>
        <w:t>Managerial Finance</w:t>
      </w:r>
      <w:r w:rsidRPr="00F02E90">
        <w:rPr>
          <w:lang w:val="en-US"/>
        </w:rPr>
        <w:t>, 27, 3–17.</w:t>
      </w:r>
    </w:p>
    <w:p w:rsidR="00977FC8" w:rsidRDefault="00977FC8" w:rsidP="0095470E">
      <w:pPr>
        <w:ind w:left="567" w:hanging="567"/>
        <w:rPr>
          <w:lang w:val="en-GB"/>
        </w:rPr>
      </w:pPr>
      <w:r w:rsidRPr="00F02E90">
        <w:rPr>
          <w:lang w:val="en-US"/>
        </w:rPr>
        <w:t xml:space="preserve">Bergstresser, D., and </w:t>
      </w:r>
      <w:r w:rsidR="00F77E61">
        <w:rPr>
          <w:lang w:val="en-US"/>
        </w:rPr>
        <w:t>T. Philippon</w:t>
      </w:r>
      <w:r w:rsidRPr="00F02E90">
        <w:rPr>
          <w:lang w:val="en-US"/>
        </w:rPr>
        <w:t xml:space="preserve">. 2006. </w:t>
      </w:r>
      <w:r w:rsidRPr="006A75D7">
        <w:rPr>
          <w:lang w:val="en-GB"/>
        </w:rPr>
        <w:t xml:space="preserve">CEO incentives and earnings management. </w:t>
      </w:r>
      <w:r w:rsidRPr="00F77E61">
        <w:rPr>
          <w:i/>
          <w:lang w:val="en-GB"/>
        </w:rPr>
        <w:t>Journal of Financial Economics</w:t>
      </w:r>
      <w:r w:rsidRPr="006A75D7">
        <w:rPr>
          <w:lang w:val="en-GB"/>
        </w:rPr>
        <w:t>, 80</w:t>
      </w:r>
      <w:r>
        <w:rPr>
          <w:lang w:val="en-GB"/>
        </w:rPr>
        <w:t xml:space="preserve"> </w:t>
      </w:r>
      <w:r w:rsidRPr="006A75D7">
        <w:rPr>
          <w:lang w:val="en-GB"/>
        </w:rPr>
        <w:t>(3), 511–529.</w:t>
      </w:r>
    </w:p>
    <w:p w:rsidR="00977FC8" w:rsidRDefault="00977FC8" w:rsidP="00DF1BF8">
      <w:pPr>
        <w:ind w:left="567" w:hanging="567"/>
        <w:rPr>
          <w:lang w:val="en-GB"/>
        </w:rPr>
      </w:pPr>
      <w:r>
        <w:rPr>
          <w:lang w:val="en-GB"/>
        </w:rPr>
        <w:t xml:space="preserve">Bradley, M., and </w:t>
      </w:r>
      <w:r w:rsidR="00F77E61">
        <w:rPr>
          <w:lang w:val="en-GB"/>
        </w:rPr>
        <w:t xml:space="preserve">M. </w:t>
      </w:r>
      <w:r>
        <w:rPr>
          <w:lang w:val="en-GB"/>
        </w:rPr>
        <w:t>Roberts.</w:t>
      </w:r>
      <w:r w:rsidRPr="00DF1BF8">
        <w:rPr>
          <w:lang w:val="en-GB"/>
        </w:rPr>
        <w:t xml:space="preserve"> 2004. The structure and pricing of bond covenants. Working Paper, Duke University and University of</w:t>
      </w:r>
      <w:r>
        <w:rPr>
          <w:lang w:val="en-GB"/>
        </w:rPr>
        <w:t xml:space="preserve"> </w:t>
      </w:r>
      <w:r w:rsidRPr="00DF1BF8">
        <w:rPr>
          <w:lang w:val="en-GB"/>
        </w:rPr>
        <w:t>Pennsylvania.</w:t>
      </w:r>
    </w:p>
    <w:p w:rsidR="00977FC8" w:rsidRPr="002F333D" w:rsidRDefault="00977FC8" w:rsidP="00DF1BF8">
      <w:pPr>
        <w:ind w:left="567" w:hanging="567"/>
        <w:rPr>
          <w:lang w:val="en-US"/>
        </w:rPr>
      </w:pPr>
      <w:r w:rsidRPr="00F02E90">
        <w:rPr>
          <w:lang w:val="en-US"/>
        </w:rPr>
        <w:t xml:space="preserve">Cheng, Q., and </w:t>
      </w:r>
      <w:r w:rsidR="00F77E61">
        <w:rPr>
          <w:lang w:val="en-US"/>
        </w:rPr>
        <w:t xml:space="preserve">D.B. </w:t>
      </w:r>
      <w:r w:rsidRPr="00F02E90">
        <w:rPr>
          <w:lang w:val="en-US"/>
        </w:rPr>
        <w:t>Farber</w:t>
      </w:r>
      <w:r w:rsidR="00F77E61">
        <w:rPr>
          <w:lang w:val="en-US"/>
        </w:rPr>
        <w:t xml:space="preserve">. </w:t>
      </w:r>
      <w:r w:rsidRPr="00F02E90">
        <w:rPr>
          <w:lang w:val="en-US"/>
        </w:rPr>
        <w:t xml:space="preserve">2008. </w:t>
      </w:r>
      <w:r w:rsidRPr="002F333D">
        <w:rPr>
          <w:lang w:val="en-US"/>
        </w:rPr>
        <w:t xml:space="preserve">Earnings restatements, Changes in CEO compensation, </w:t>
      </w:r>
      <w:r>
        <w:rPr>
          <w:lang w:val="en-US"/>
        </w:rPr>
        <w:t xml:space="preserve">and Firm Performance. </w:t>
      </w:r>
      <w:r w:rsidRPr="00F77E61">
        <w:rPr>
          <w:i/>
          <w:lang w:val="en-US"/>
        </w:rPr>
        <w:t>The Accounting Review</w:t>
      </w:r>
      <w:r>
        <w:rPr>
          <w:lang w:val="en-US"/>
        </w:rPr>
        <w:t>, 83 (5), 1217-1250.</w:t>
      </w:r>
    </w:p>
    <w:p w:rsidR="00977FC8" w:rsidRDefault="00977FC8" w:rsidP="00F50431">
      <w:pPr>
        <w:ind w:left="567" w:hanging="567"/>
        <w:rPr>
          <w:lang w:val="en-GB"/>
        </w:rPr>
      </w:pPr>
      <w:r w:rsidRPr="006A75D7">
        <w:rPr>
          <w:lang w:val="en-GB"/>
        </w:rPr>
        <w:t xml:space="preserve">Cheng, Q., </w:t>
      </w:r>
      <w:r>
        <w:rPr>
          <w:lang w:val="en-GB"/>
        </w:rPr>
        <w:t xml:space="preserve">and </w:t>
      </w:r>
      <w:r w:rsidR="00F77E61">
        <w:rPr>
          <w:lang w:val="en-GB"/>
        </w:rPr>
        <w:t xml:space="preserve">T. </w:t>
      </w:r>
      <w:r w:rsidRPr="006A75D7">
        <w:rPr>
          <w:lang w:val="en-GB"/>
        </w:rPr>
        <w:t xml:space="preserve">Warfield. 2005. Equity incentives and earnings management. </w:t>
      </w:r>
      <w:r w:rsidRPr="00F77E61">
        <w:rPr>
          <w:i/>
          <w:lang w:val="en-GB"/>
        </w:rPr>
        <w:t>Accounting Review</w:t>
      </w:r>
      <w:r w:rsidRPr="006A75D7">
        <w:rPr>
          <w:lang w:val="en-GB"/>
        </w:rPr>
        <w:t>, 80, 441–476.</w:t>
      </w:r>
    </w:p>
    <w:p w:rsidR="00127ACC" w:rsidRPr="006A75D7" w:rsidRDefault="00F77E61" w:rsidP="00F50431">
      <w:pPr>
        <w:ind w:left="567" w:hanging="567"/>
        <w:rPr>
          <w:lang w:val="en-GB"/>
        </w:rPr>
      </w:pPr>
      <w:r>
        <w:rPr>
          <w:lang w:val="en-GB"/>
        </w:rPr>
        <w:t xml:space="preserve">Cohen, J. </w:t>
      </w:r>
      <w:r w:rsidR="00127ACC">
        <w:rPr>
          <w:lang w:val="en-GB"/>
        </w:rPr>
        <w:t xml:space="preserve">1988. Statistical power </w:t>
      </w:r>
      <w:r w:rsidR="00127ACC" w:rsidRPr="00127ACC">
        <w:rPr>
          <w:rFonts w:cs="Arial"/>
          <w:lang w:val="en-GB"/>
        </w:rPr>
        <w:t xml:space="preserve">analysis for the behavioural sciences. </w:t>
      </w:r>
      <w:r w:rsidR="00127ACC" w:rsidRPr="00127ACC">
        <w:rPr>
          <w:rFonts w:cs="Arial"/>
        </w:rPr>
        <w:t>Lawrence Erlbaum Associates</w:t>
      </w:r>
      <w:r w:rsidR="00127ACC" w:rsidRPr="00127ACC">
        <w:rPr>
          <w:rFonts w:cs="Arial"/>
          <w:lang w:val="en-GB"/>
        </w:rPr>
        <w:t>, second edition</w:t>
      </w:r>
      <w:r w:rsidR="00127ACC">
        <w:rPr>
          <w:lang w:val="en-GB"/>
        </w:rPr>
        <w:t xml:space="preserve">. </w:t>
      </w:r>
    </w:p>
    <w:p w:rsidR="00977FC8" w:rsidRDefault="00977FC8" w:rsidP="00F50431">
      <w:pPr>
        <w:ind w:left="567" w:hanging="567"/>
        <w:rPr>
          <w:lang w:val="en-GB"/>
        </w:rPr>
      </w:pPr>
      <w:r>
        <w:rPr>
          <w:lang w:val="en-GB"/>
        </w:rPr>
        <w:t>Coles, J.</w:t>
      </w:r>
      <w:r w:rsidRPr="006A75D7">
        <w:rPr>
          <w:lang w:val="en-GB"/>
        </w:rPr>
        <w:t xml:space="preserve">L., </w:t>
      </w:r>
      <w:r w:rsidR="00F77E61">
        <w:rPr>
          <w:lang w:val="en-GB"/>
        </w:rPr>
        <w:t xml:space="preserve">M. </w:t>
      </w:r>
      <w:r w:rsidRPr="006A75D7">
        <w:rPr>
          <w:lang w:val="en-GB"/>
        </w:rPr>
        <w:t>Hertzel</w:t>
      </w:r>
      <w:r w:rsidR="00F77E61">
        <w:rPr>
          <w:lang w:val="en-GB"/>
        </w:rPr>
        <w:t>,</w:t>
      </w:r>
      <w:r w:rsidRPr="006A75D7">
        <w:rPr>
          <w:lang w:val="en-GB"/>
        </w:rPr>
        <w:t xml:space="preserve"> and </w:t>
      </w:r>
      <w:r w:rsidR="00F77E61">
        <w:rPr>
          <w:lang w:val="en-GB"/>
        </w:rPr>
        <w:t xml:space="preserve">S. </w:t>
      </w:r>
      <w:r w:rsidRPr="006A75D7">
        <w:rPr>
          <w:lang w:val="en-GB"/>
        </w:rPr>
        <w:t xml:space="preserve">Kalpathy. 2006. Earnings management around employee stock option reissues. </w:t>
      </w:r>
      <w:r w:rsidRPr="00F77E61">
        <w:rPr>
          <w:i/>
          <w:lang w:val="en-GB"/>
        </w:rPr>
        <w:t>Journal of Accounting and Economics</w:t>
      </w:r>
      <w:r w:rsidRPr="006A75D7">
        <w:rPr>
          <w:lang w:val="en-GB"/>
        </w:rPr>
        <w:t>, 41, 1-2 (April): 173–200.</w:t>
      </w:r>
    </w:p>
    <w:p w:rsidR="00977FC8" w:rsidRPr="0039463D" w:rsidRDefault="00977FC8" w:rsidP="00F50431">
      <w:pPr>
        <w:ind w:left="567" w:hanging="567"/>
        <w:rPr>
          <w:lang w:val="en-US"/>
        </w:rPr>
      </w:pPr>
      <w:r w:rsidRPr="00F02E90">
        <w:rPr>
          <w:lang w:val="en-US"/>
        </w:rPr>
        <w:t xml:space="preserve">Core, J.E., and </w:t>
      </w:r>
      <w:r w:rsidR="00F77E61">
        <w:rPr>
          <w:lang w:val="en-US"/>
        </w:rPr>
        <w:t>D.F. Larcker</w:t>
      </w:r>
      <w:r w:rsidRPr="00F02E90">
        <w:rPr>
          <w:lang w:val="en-US"/>
        </w:rPr>
        <w:t xml:space="preserve">. 2002. </w:t>
      </w:r>
      <w:r w:rsidRPr="0039463D">
        <w:rPr>
          <w:lang w:val="en-US"/>
        </w:rPr>
        <w:t xml:space="preserve">Performance consequences for mandatory increases in executive stock ownership. </w:t>
      </w:r>
      <w:r w:rsidRPr="00F77E61">
        <w:rPr>
          <w:i/>
          <w:lang w:val="en-US"/>
        </w:rPr>
        <w:t>Journal of Financial Economics</w:t>
      </w:r>
      <w:r>
        <w:rPr>
          <w:lang w:val="en-US"/>
        </w:rPr>
        <w:t xml:space="preserve">, 64(3), 317-340. </w:t>
      </w:r>
    </w:p>
    <w:p w:rsidR="00977FC8" w:rsidRDefault="00977FC8" w:rsidP="00831D42">
      <w:pPr>
        <w:ind w:left="567" w:hanging="567"/>
        <w:rPr>
          <w:lang w:val="en-GB"/>
        </w:rPr>
      </w:pPr>
      <w:r>
        <w:rPr>
          <w:lang w:val="en-GB"/>
        </w:rPr>
        <w:t>Daniel, N.</w:t>
      </w:r>
      <w:r w:rsidRPr="006A75D7">
        <w:rPr>
          <w:lang w:val="en-GB"/>
        </w:rPr>
        <w:t xml:space="preserve">D., </w:t>
      </w:r>
      <w:r w:rsidR="00F77E61">
        <w:rPr>
          <w:lang w:val="en-GB"/>
        </w:rPr>
        <w:t xml:space="preserve">D.J. </w:t>
      </w:r>
      <w:r w:rsidRPr="006A75D7">
        <w:rPr>
          <w:lang w:val="en-GB"/>
        </w:rPr>
        <w:t>Denis</w:t>
      </w:r>
      <w:r w:rsidR="00F77E61">
        <w:rPr>
          <w:lang w:val="en-GB"/>
        </w:rPr>
        <w:t>,</w:t>
      </w:r>
      <w:r w:rsidRPr="006A75D7">
        <w:rPr>
          <w:lang w:val="en-GB"/>
        </w:rPr>
        <w:t xml:space="preserve"> </w:t>
      </w:r>
      <w:r>
        <w:rPr>
          <w:lang w:val="en-GB"/>
        </w:rPr>
        <w:t>and</w:t>
      </w:r>
      <w:r w:rsidR="00F77E61">
        <w:rPr>
          <w:lang w:val="en-GB"/>
        </w:rPr>
        <w:t xml:space="preserve"> L.</w:t>
      </w:r>
      <w:r w:rsidRPr="006A75D7">
        <w:rPr>
          <w:lang w:val="en-GB"/>
        </w:rPr>
        <w:t xml:space="preserve"> Naveen. 2008. </w:t>
      </w:r>
      <w:r w:rsidRPr="00831D42">
        <w:rPr>
          <w:lang w:val="en-GB"/>
        </w:rPr>
        <w:t>Do firms</w:t>
      </w:r>
      <w:r>
        <w:rPr>
          <w:lang w:val="en-GB"/>
        </w:rPr>
        <w:t xml:space="preserve"> </w:t>
      </w:r>
      <w:r w:rsidRPr="00831D42">
        <w:rPr>
          <w:lang w:val="en-GB"/>
        </w:rPr>
        <w:t>manage</w:t>
      </w:r>
      <w:r>
        <w:rPr>
          <w:lang w:val="en-GB"/>
        </w:rPr>
        <w:t xml:space="preserve"> </w:t>
      </w:r>
      <w:r w:rsidRPr="00831D42">
        <w:rPr>
          <w:lang w:val="en-GB"/>
        </w:rPr>
        <w:t>earnings to</w:t>
      </w:r>
      <w:r>
        <w:rPr>
          <w:lang w:val="en-GB"/>
        </w:rPr>
        <w:t xml:space="preserve"> </w:t>
      </w:r>
      <w:r w:rsidRPr="00831D42">
        <w:rPr>
          <w:lang w:val="en-GB"/>
        </w:rPr>
        <w:t xml:space="preserve">meet </w:t>
      </w:r>
      <w:r>
        <w:rPr>
          <w:lang w:val="en-GB"/>
        </w:rPr>
        <w:t>d</w:t>
      </w:r>
      <w:r w:rsidRPr="00831D42">
        <w:rPr>
          <w:lang w:val="en-GB"/>
        </w:rPr>
        <w:t>ividend</w:t>
      </w:r>
      <w:r>
        <w:rPr>
          <w:lang w:val="en-GB"/>
        </w:rPr>
        <w:t xml:space="preserve"> </w:t>
      </w:r>
      <w:r w:rsidRPr="00831D42">
        <w:rPr>
          <w:lang w:val="en-GB"/>
        </w:rPr>
        <w:t>thresholds?</w:t>
      </w:r>
      <w:r w:rsidR="005B057B">
        <w:rPr>
          <w:lang w:val="en-GB"/>
        </w:rPr>
        <w:t>.</w:t>
      </w:r>
      <w:r>
        <w:rPr>
          <w:lang w:val="en-GB"/>
        </w:rPr>
        <w:t xml:space="preserve"> </w:t>
      </w:r>
      <w:r w:rsidRPr="00F77E61">
        <w:rPr>
          <w:i/>
          <w:lang w:val="en-GB"/>
        </w:rPr>
        <w:t>Journal for Accounting and Economics</w:t>
      </w:r>
      <w:r w:rsidRPr="006A75D7">
        <w:rPr>
          <w:lang w:val="en-GB"/>
        </w:rPr>
        <w:t>, 45, 2-26</w:t>
      </w:r>
    </w:p>
    <w:p w:rsidR="00977FC8" w:rsidRPr="003073C4" w:rsidRDefault="00977FC8" w:rsidP="007E29AD">
      <w:pPr>
        <w:ind w:left="567" w:hanging="567"/>
        <w:rPr>
          <w:lang w:val="en-GB"/>
        </w:rPr>
      </w:pPr>
      <w:r w:rsidRPr="003073C4">
        <w:rPr>
          <w:lang w:val="en-GB"/>
        </w:rPr>
        <w:t>Dechow, P.M.</w:t>
      </w:r>
      <w:r>
        <w:rPr>
          <w:lang w:val="en-GB"/>
        </w:rPr>
        <w:t>,</w:t>
      </w:r>
      <w:r w:rsidRPr="003073C4">
        <w:rPr>
          <w:lang w:val="en-GB"/>
        </w:rPr>
        <w:t xml:space="preserve"> </w:t>
      </w:r>
      <w:r w:rsidR="00F77E61">
        <w:rPr>
          <w:lang w:val="en-GB"/>
        </w:rPr>
        <w:t xml:space="preserve">and R.G. </w:t>
      </w:r>
      <w:r w:rsidRPr="003073C4">
        <w:rPr>
          <w:lang w:val="en-GB"/>
        </w:rPr>
        <w:t>Sloan</w:t>
      </w:r>
      <w:r>
        <w:rPr>
          <w:lang w:val="en-GB"/>
        </w:rPr>
        <w:t>. 1991.</w:t>
      </w:r>
      <w:r w:rsidRPr="003073C4">
        <w:rPr>
          <w:lang w:val="en-GB"/>
        </w:rPr>
        <w:t xml:space="preserve"> Executive incentives and the horizon problem: an empirical</w:t>
      </w:r>
      <w:r>
        <w:rPr>
          <w:lang w:val="en-GB"/>
        </w:rPr>
        <w:t xml:space="preserve"> </w:t>
      </w:r>
      <w:r w:rsidRPr="003073C4">
        <w:rPr>
          <w:lang w:val="en-GB"/>
        </w:rPr>
        <w:t>investigation</w:t>
      </w:r>
      <w:r>
        <w:rPr>
          <w:lang w:val="en-GB"/>
        </w:rPr>
        <w:t>.</w:t>
      </w:r>
      <w:r w:rsidRPr="003073C4">
        <w:rPr>
          <w:lang w:val="en-GB"/>
        </w:rPr>
        <w:t xml:space="preserve"> </w:t>
      </w:r>
      <w:r w:rsidRPr="00F77E61">
        <w:rPr>
          <w:i/>
          <w:lang w:val="en-GB"/>
        </w:rPr>
        <w:t>Journal of Accounting and Economics</w:t>
      </w:r>
      <w:r>
        <w:rPr>
          <w:lang w:val="en-GB"/>
        </w:rPr>
        <w:t>,</w:t>
      </w:r>
      <w:r w:rsidRPr="003073C4">
        <w:rPr>
          <w:lang w:val="en-GB"/>
        </w:rPr>
        <w:t xml:space="preserve"> 14, 51-89.</w:t>
      </w:r>
    </w:p>
    <w:p w:rsidR="00977FC8" w:rsidRDefault="00977FC8" w:rsidP="00F50431">
      <w:pPr>
        <w:ind w:left="567" w:hanging="567"/>
        <w:rPr>
          <w:lang w:val="en-GB"/>
        </w:rPr>
      </w:pPr>
      <w:r>
        <w:rPr>
          <w:lang w:val="en-GB"/>
        </w:rPr>
        <w:t xml:space="preserve">Dechow, P.M., </w:t>
      </w:r>
      <w:r w:rsidR="00F77E61">
        <w:rPr>
          <w:lang w:val="en-GB"/>
        </w:rPr>
        <w:t xml:space="preserve">R.G. </w:t>
      </w:r>
      <w:r>
        <w:rPr>
          <w:lang w:val="en-GB"/>
        </w:rPr>
        <w:t xml:space="preserve">Sloan, and </w:t>
      </w:r>
      <w:r w:rsidR="00F77E61">
        <w:rPr>
          <w:lang w:val="en-GB"/>
        </w:rPr>
        <w:t xml:space="preserve">A.P. </w:t>
      </w:r>
      <w:r>
        <w:rPr>
          <w:lang w:val="en-GB"/>
        </w:rPr>
        <w:t>Sweeney</w:t>
      </w:r>
      <w:r w:rsidRPr="006A75D7">
        <w:rPr>
          <w:lang w:val="en-GB"/>
        </w:rPr>
        <w:t xml:space="preserve">. 1995. Detecting earnings management. </w:t>
      </w:r>
      <w:r w:rsidRPr="00F77E61">
        <w:rPr>
          <w:i/>
          <w:lang w:val="en-GB"/>
        </w:rPr>
        <w:t>The Accounting Review</w:t>
      </w:r>
      <w:r w:rsidRPr="006A75D7">
        <w:rPr>
          <w:lang w:val="en-GB"/>
        </w:rPr>
        <w:t>, 70, 193–225.</w:t>
      </w:r>
    </w:p>
    <w:p w:rsidR="00977FC8" w:rsidRDefault="00F77E61" w:rsidP="00F50431">
      <w:pPr>
        <w:ind w:left="567" w:hanging="567"/>
        <w:rPr>
          <w:lang w:val="en-GB"/>
        </w:rPr>
      </w:pPr>
      <w:r>
        <w:rPr>
          <w:lang w:val="en-GB"/>
        </w:rPr>
        <w:t xml:space="preserve">Eisenhardt, K. </w:t>
      </w:r>
      <w:r w:rsidR="00977FC8" w:rsidRPr="00D24E97">
        <w:rPr>
          <w:lang w:val="en-GB"/>
        </w:rPr>
        <w:t>1989. Agency Theory: An Asset or Revie</w:t>
      </w:r>
      <w:r w:rsidR="00977FC8">
        <w:rPr>
          <w:lang w:val="en-GB"/>
        </w:rPr>
        <w:t xml:space="preserve">w. </w:t>
      </w:r>
      <w:r w:rsidRPr="00F77E61">
        <w:rPr>
          <w:i/>
          <w:lang w:val="en-GB"/>
        </w:rPr>
        <w:t>Academy</w:t>
      </w:r>
      <w:r w:rsidR="00977FC8" w:rsidRPr="00F77E61">
        <w:rPr>
          <w:i/>
          <w:lang w:val="en-GB"/>
        </w:rPr>
        <w:t xml:space="preserve"> of Management Review</w:t>
      </w:r>
      <w:r>
        <w:rPr>
          <w:i/>
          <w:lang w:val="en-GB"/>
        </w:rPr>
        <w:t>,</w:t>
      </w:r>
      <w:r w:rsidR="00977FC8" w:rsidRPr="00D24E97">
        <w:rPr>
          <w:lang w:val="en-GB"/>
        </w:rPr>
        <w:t xml:space="preserve"> 14 (1), 57-74.</w:t>
      </w:r>
    </w:p>
    <w:p w:rsidR="00977FC8" w:rsidRPr="00F50431" w:rsidRDefault="00977FC8" w:rsidP="00F50431">
      <w:pPr>
        <w:ind w:left="567" w:hanging="567"/>
        <w:rPr>
          <w:rFonts w:cs="Arial"/>
          <w:lang w:val="en-GB"/>
        </w:rPr>
      </w:pPr>
      <w:r w:rsidRPr="006A75D7">
        <w:rPr>
          <w:lang w:val="en-GB"/>
        </w:rPr>
        <w:lastRenderedPageBreak/>
        <w:t xml:space="preserve">Gao, P., </w:t>
      </w:r>
      <w:r>
        <w:rPr>
          <w:lang w:val="en-GB"/>
        </w:rPr>
        <w:t xml:space="preserve">and </w:t>
      </w:r>
      <w:r w:rsidR="005B23C4">
        <w:rPr>
          <w:lang w:val="en-GB"/>
        </w:rPr>
        <w:t xml:space="preserve">R. </w:t>
      </w:r>
      <w:r w:rsidRPr="006A75D7">
        <w:rPr>
          <w:lang w:val="en-GB"/>
        </w:rPr>
        <w:t>Shrieves</w:t>
      </w:r>
      <w:r w:rsidR="005B23C4">
        <w:rPr>
          <w:lang w:val="en-GB"/>
        </w:rPr>
        <w:t>.</w:t>
      </w:r>
      <w:r w:rsidRPr="006A75D7">
        <w:rPr>
          <w:lang w:val="en-GB"/>
        </w:rPr>
        <w:t xml:space="preserve"> 2002. Earnings Management and Executive Compensation: A Case of Overdose of Option and Underdose of Salary? Working paper, Northwestern </w:t>
      </w:r>
      <w:r w:rsidRPr="00F50431">
        <w:rPr>
          <w:rFonts w:cs="Arial"/>
          <w:lang w:val="en-GB"/>
        </w:rPr>
        <w:t>University, University of Tennessee at Knoxville.</w:t>
      </w:r>
    </w:p>
    <w:p w:rsidR="00977FC8" w:rsidRDefault="00977FC8" w:rsidP="00F50431">
      <w:pPr>
        <w:autoSpaceDE w:val="0"/>
        <w:autoSpaceDN w:val="0"/>
        <w:adjustRightInd w:val="0"/>
        <w:ind w:left="567" w:hanging="567"/>
        <w:rPr>
          <w:rFonts w:cs="Arial"/>
          <w:lang w:val="en-US" w:eastAsia="en-US" w:bidi="ar-SA"/>
        </w:rPr>
      </w:pPr>
      <w:r w:rsidRPr="00F50431">
        <w:rPr>
          <w:rFonts w:cs="Arial"/>
          <w:lang w:val="en-US" w:eastAsia="en-US" w:bidi="ar-SA"/>
        </w:rPr>
        <w:t>Gaver, J</w:t>
      </w:r>
      <w:r>
        <w:rPr>
          <w:rFonts w:cs="Arial"/>
          <w:lang w:val="en-US" w:eastAsia="en-US" w:bidi="ar-SA"/>
        </w:rPr>
        <w:t>.</w:t>
      </w:r>
      <w:r w:rsidRPr="00F50431">
        <w:rPr>
          <w:rFonts w:cs="Arial"/>
          <w:lang w:val="en-US" w:eastAsia="en-US" w:bidi="ar-SA"/>
        </w:rPr>
        <w:t xml:space="preserve">J., </w:t>
      </w:r>
      <w:r w:rsidR="00C839B4">
        <w:rPr>
          <w:rFonts w:cs="Arial"/>
          <w:lang w:val="en-US" w:eastAsia="en-US" w:bidi="ar-SA"/>
        </w:rPr>
        <w:t xml:space="preserve">K.M. </w:t>
      </w:r>
      <w:r w:rsidRPr="00F50431">
        <w:rPr>
          <w:rFonts w:cs="Arial"/>
          <w:lang w:val="en-US" w:eastAsia="en-US" w:bidi="ar-SA"/>
        </w:rPr>
        <w:t xml:space="preserve">Gaver, and </w:t>
      </w:r>
      <w:r w:rsidR="00C839B4">
        <w:rPr>
          <w:rFonts w:cs="Arial"/>
          <w:lang w:val="en-US" w:eastAsia="en-US" w:bidi="ar-SA"/>
        </w:rPr>
        <w:t xml:space="preserve">J. </w:t>
      </w:r>
      <w:r w:rsidRPr="00F50431">
        <w:rPr>
          <w:rFonts w:cs="Arial"/>
          <w:lang w:val="en-US" w:eastAsia="en-US" w:bidi="ar-SA"/>
        </w:rPr>
        <w:t>Austin</w:t>
      </w:r>
      <w:r>
        <w:rPr>
          <w:rFonts w:cs="Arial"/>
          <w:lang w:val="en-US" w:eastAsia="en-US" w:bidi="ar-SA"/>
        </w:rPr>
        <w:t>.</w:t>
      </w:r>
      <w:r w:rsidRPr="00F50431">
        <w:rPr>
          <w:rFonts w:cs="Arial"/>
          <w:lang w:val="en-US" w:eastAsia="en-US" w:bidi="ar-SA"/>
        </w:rPr>
        <w:t xml:space="preserve"> 1995</w:t>
      </w:r>
      <w:r>
        <w:rPr>
          <w:rFonts w:cs="Arial"/>
          <w:lang w:val="en-US" w:eastAsia="en-US" w:bidi="ar-SA"/>
        </w:rPr>
        <w:t>.</w:t>
      </w:r>
      <w:r w:rsidRPr="00F50431">
        <w:rPr>
          <w:rFonts w:cs="Arial"/>
          <w:lang w:val="en-US" w:eastAsia="en-US" w:bidi="ar-SA"/>
        </w:rPr>
        <w:t xml:space="preserve"> Additional evidence on bonus plans and</w:t>
      </w:r>
      <w:r>
        <w:rPr>
          <w:rFonts w:cs="Arial"/>
          <w:lang w:val="en-US" w:eastAsia="en-US" w:bidi="ar-SA"/>
        </w:rPr>
        <w:t xml:space="preserve"> income management.</w:t>
      </w:r>
      <w:r w:rsidRPr="00F50431">
        <w:rPr>
          <w:rFonts w:cs="Arial"/>
          <w:lang w:val="en-US" w:eastAsia="en-US" w:bidi="ar-SA"/>
        </w:rPr>
        <w:t xml:space="preserve"> </w:t>
      </w:r>
      <w:r w:rsidRPr="00C839B4">
        <w:rPr>
          <w:rFonts w:cs="Arial"/>
          <w:i/>
          <w:lang w:val="en-US" w:eastAsia="en-US" w:bidi="ar-SA"/>
        </w:rPr>
        <w:t>Journal of Accounting and Economics</w:t>
      </w:r>
      <w:r w:rsidRPr="00F50431">
        <w:rPr>
          <w:rFonts w:cs="Arial"/>
          <w:lang w:val="en-US" w:eastAsia="en-US" w:bidi="ar-SA"/>
        </w:rPr>
        <w:t xml:space="preserve">, 3 </w:t>
      </w:r>
      <w:r w:rsidR="005B057B">
        <w:rPr>
          <w:rFonts w:cs="Arial"/>
          <w:lang w:val="en-US" w:eastAsia="en-US" w:bidi="ar-SA"/>
        </w:rPr>
        <w:t>–</w:t>
      </w:r>
      <w:r w:rsidRPr="00F50431">
        <w:rPr>
          <w:rFonts w:cs="Arial"/>
          <w:lang w:val="en-US" w:eastAsia="en-US" w:bidi="ar-SA"/>
        </w:rPr>
        <w:t xml:space="preserve"> 28</w:t>
      </w:r>
    </w:p>
    <w:p w:rsidR="005B057B" w:rsidRPr="005B057B" w:rsidRDefault="005B057B" w:rsidP="00F50431">
      <w:pPr>
        <w:autoSpaceDE w:val="0"/>
        <w:autoSpaceDN w:val="0"/>
        <w:adjustRightInd w:val="0"/>
        <w:ind w:left="567" w:hanging="567"/>
        <w:rPr>
          <w:rFonts w:cs="Arial"/>
          <w:lang w:val="en-US"/>
        </w:rPr>
      </w:pPr>
      <w:r w:rsidRPr="00080050">
        <w:rPr>
          <w:rFonts w:cs="Arial"/>
          <w:lang w:val="en-US" w:eastAsia="en-US" w:bidi="ar-SA"/>
        </w:rPr>
        <w:t xml:space="preserve">Grotenhuis, </w:t>
      </w:r>
      <w:r w:rsidR="00C839B4" w:rsidRPr="00080050">
        <w:rPr>
          <w:rFonts w:cs="Arial"/>
          <w:lang w:val="en-US" w:eastAsia="en-US" w:bidi="ar-SA"/>
        </w:rPr>
        <w:t xml:space="preserve">te </w:t>
      </w:r>
      <w:r w:rsidRPr="00080050">
        <w:rPr>
          <w:rFonts w:cs="Arial"/>
          <w:lang w:val="en-US" w:eastAsia="en-US" w:bidi="ar-SA"/>
        </w:rPr>
        <w:t xml:space="preserve">M., </w:t>
      </w:r>
      <w:r w:rsidR="00C839B4" w:rsidRPr="00080050">
        <w:rPr>
          <w:rFonts w:cs="Arial"/>
          <w:lang w:val="en-US" w:eastAsia="en-US" w:bidi="ar-SA"/>
        </w:rPr>
        <w:t xml:space="preserve">and A. Matthijssen. </w:t>
      </w:r>
      <w:r w:rsidRPr="00080050">
        <w:rPr>
          <w:rFonts w:cs="Arial"/>
          <w:lang w:val="en-US" w:eastAsia="en-US" w:bidi="ar-SA"/>
        </w:rPr>
        <w:t xml:space="preserve">2009. </w:t>
      </w:r>
      <w:r w:rsidRPr="005B057B">
        <w:rPr>
          <w:rFonts w:cs="Arial"/>
          <w:lang w:val="en-US" w:eastAsia="en-US" w:bidi="ar-SA"/>
        </w:rPr>
        <w:t xml:space="preserve">Basiscursus SPSS. </w:t>
      </w:r>
      <w:r w:rsidR="00334FBC">
        <w:rPr>
          <w:rFonts w:cs="Arial"/>
          <w:lang w:val="en-US" w:eastAsia="en-US" w:bidi="ar-SA"/>
        </w:rPr>
        <w:t xml:space="preserve">Assen: </w:t>
      </w:r>
      <w:r w:rsidRPr="005B057B">
        <w:rPr>
          <w:rFonts w:cs="Arial"/>
          <w:lang w:val="en-US" w:eastAsia="en-US" w:bidi="ar-SA"/>
        </w:rPr>
        <w:t>Van Gorcum, third edition.</w:t>
      </w:r>
    </w:p>
    <w:p w:rsidR="00977FC8" w:rsidRPr="000235D3" w:rsidRDefault="00977FC8" w:rsidP="000235D3">
      <w:pPr>
        <w:ind w:left="567" w:hanging="567"/>
        <w:rPr>
          <w:rFonts w:cs="Arial"/>
          <w:lang w:val="en-GB"/>
        </w:rPr>
      </w:pPr>
      <w:r w:rsidRPr="00F50431">
        <w:rPr>
          <w:rFonts w:cs="Arial"/>
          <w:lang w:val="en-GB"/>
        </w:rPr>
        <w:t>Grullon, G.</w:t>
      </w:r>
      <w:r>
        <w:rPr>
          <w:rFonts w:cs="Arial"/>
          <w:lang w:val="en-GB"/>
        </w:rPr>
        <w:t xml:space="preserve">, </w:t>
      </w:r>
      <w:r w:rsidR="00C839B4">
        <w:rPr>
          <w:rFonts w:cs="Arial"/>
          <w:lang w:val="en-GB"/>
        </w:rPr>
        <w:t>R. Michaely</w:t>
      </w:r>
      <w:r>
        <w:rPr>
          <w:rFonts w:cs="Arial"/>
          <w:lang w:val="en-GB"/>
        </w:rPr>
        <w:t xml:space="preserve">, and </w:t>
      </w:r>
      <w:r w:rsidR="00C839B4">
        <w:rPr>
          <w:rFonts w:cs="Arial"/>
          <w:lang w:val="en-GB"/>
        </w:rPr>
        <w:t xml:space="preserve">B. </w:t>
      </w:r>
      <w:r>
        <w:rPr>
          <w:rFonts w:cs="Arial"/>
          <w:lang w:val="en-GB"/>
        </w:rPr>
        <w:t>Swa</w:t>
      </w:r>
      <w:r w:rsidR="00C839B4">
        <w:rPr>
          <w:rFonts w:cs="Arial"/>
          <w:lang w:val="en-GB"/>
        </w:rPr>
        <w:t>minathan</w:t>
      </w:r>
      <w:r>
        <w:rPr>
          <w:rFonts w:cs="Arial"/>
          <w:lang w:val="en-GB"/>
        </w:rPr>
        <w:t>.</w:t>
      </w:r>
      <w:r w:rsidRPr="00F50431">
        <w:rPr>
          <w:rFonts w:cs="Arial"/>
          <w:lang w:val="en-GB"/>
        </w:rPr>
        <w:t xml:space="preserve"> 2002. Are dividend changes a sign of firm </w:t>
      </w:r>
      <w:r w:rsidRPr="000235D3">
        <w:rPr>
          <w:rFonts w:cs="Arial"/>
          <w:lang w:val="en-GB"/>
        </w:rPr>
        <w:t xml:space="preserve">maturity? </w:t>
      </w:r>
      <w:r w:rsidRPr="00C839B4">
        <w:rPr>
          <w:rFonts w:cs="Arial"/>
          <w:i/>
          <w:lang w:val="en-GB"/>
        </w:rPr>
        <w:t>Journal of Business</w:t>
      </w:r>
      <w:r>
        <w:rPr>
          <w:rFonts w:cs="Arial"/>
          <w:lang w:val="en-GB"/>
        </w:rPr>
        <w:t>,</w:t>
      </w:r>
      <w:r w:rsidRPr="000235D3">
        <w:rPr>
          <w:rFonts w:cs="Arial"/>
          <w:lang w:val="en-GB"/>
        </w:rPr>
        <w:t xml:space="preserve"> 75, 387–424.</w:t>
      </w:r>
    </w:p>
    <w:p w:rsidR="00977FC8" w:rsidRPr="0079301A" w:rsidRDefault="00977FC8" w:rsidP="000235D3">
      <w:pPr>
        <w:autoSpaceDE w:val="0"/>
        <w:autoSpaceDN w:val="0"/>
        <w:adjustRightInd w:val="0"/>
        <w:ind w:left="567" w:hanging="567"/>
        <w:rPr>
          <w:rFonts w:cs="Arial"/>
          <w:lang w:val="en-US" w:eastAsia="en-US" w:bidi="ar-SA"/>
        </w:rPr>
      </w:pPr>
      <w:r>
        <w:rPr>
          <w:rFonts w:cs="Arial"/>
          <w:lang w:val="en-US" w:eastAsia="en-US" w:bidi="ar-SA"/>
        </w:rPr>
        <w:t xml:space="preserve">Guay, W., </w:t>
      </w:r>
      <w:r w:rsidR="00C839B4">
        <w:rPr>
          <w:rFonts w:cs="Arial"/>
          <w:lang w:val="en-US" w:eastAsia="en-US" w:bidi="ar-SA"/>
        </w:rPr>
        <w:t>S.P. Kothari</w:t>
      </w:r>
      <w:r>
        <w:rPr>
          <w:rFonts w:cs="Arial"/>
          <w:lang w:val="en-US" w:eastAsia="en-US" w:bidi="ar-SA"/>
        </w:rPr>
        <w:t xml:space="preserve">, </w:t>
      </w:r>
      <w:r w:rsidRPr="0079301A">
        <w:rPr>
          <w:rFonts w:cs="Arial"/>
          <w:lang w:val="en-US" w:eastAsia="en-US" w:bidi="ar-SA"/>
        </w:rPr>
        <w:t xml:space="preserve">and </w:t>
      </w:r>
      <w:r w:rsidR="00C839B4">
        <w:rPr>
          <w:rFonts w:cs="Arial"/>
          <w:lang w:val="en-US" w:eastAsia="en-US" w:bidi="ar-SA"/>
        </w:rPr>
        <w:t xml:space="preserve">R. </w:t>
      </w:r>
      <w:r w:rsidRPr="0079301A">
        <w:rPr>
          <w:rFonts w:cs="Arial"/>
          <w:lang w:val="en-US" w:eastAsia="en-US" w:bidi="ar-SA"/>
        </w:rPr>
        <w:t xml:space="preserve">Watts. 1996. A Market-Based Evaluation of Discretionary Accrual Models. </w:t>
      </w:r>
      <w:r w:rsidRPr="00C839B4">
        <w:rPr>
          <w:rFonts w:cs="Arial"/>
          <w:i/>
          <w:iCs/>
          <w:lang w:val="en-US" w:eastAsia="en-US" w:bidi="ar-SA"/>
        </w:rPr>
        <w:t>Journal of Accounting Research</w:t>
      </w:r>
      <w:r w:rsidRPr="0079301A">
        <w:rPr>
          <w:rFonts w:cs="Arial"/>
          <w:iCs/>
          <w:lang w:val="en-US" w:eastAsia="en-US" w:bidi="ar-SA"/>
        </w:rPr>
        <w:t xml:space="preserve">, </w:t>
      </w:r>
      <w:r w:rsidRPr="0079301A">
        <w:rPr>
          <w:rFonts w:cs="Arial"/>
          <w:lang w:val="en-US" w:eastAsia="en-US" w:bidi="ar-SA"/>
        </w:rPr>
        <w:t>34 (Supplement): 83-105.</w:t>
      </w:r>
    </w:p>
    <w:p w:rsidR="00977FC8" w:rsidRPr="0079301A" w:rsidRDefault="00C839B4" w:rsidP="000235D3">
      <w:pPr>
        <w:autoSpaceDE w:val="0"/>
        <w:autoSpaceDN w:val="0"/>
        <w:adjustRightInd w:val="0"/>
        <w:ind w:left="567" w:hanging="567"/>
        <w:rPr>
          <w:rFonts w:cs="Arial"/>
          <w:lang w:val="en-GB"/>
        </w:rPr>
      </w:pPr>
      <w:r>
        <w:rPr>
          <w:rFonts w:cs="Arial"/>
          <w:lang w:val="en-US" w:eastAsia="en-US" w:bidi="ar-SA"/>
        </w:rPr>
        <w:t xml:space="preserve">Healy, P. </w:t>
      </w:r>
      <w:r w:rsidR="00977FC8" w:rsidRPr="0079301A">
        <w:rPr>
          <w:rFonts w:cs="Arial"/>
          <w:lang w:val="en-US" w:eastAsia="en-US" w:bidi="ar-SA"/>
        </w:rPr>
        <w:t xml:space="preserve">1985. The impact of bonus schemes on the selection of accounting principles. </w:t>
      </w:r>
      <w:r w:rsidR="00977FC8" w:rsidRPr="00C839B4">
        <w:rPr>
          <w:rFonts w:cs="Arial"/>
          <w:i/>
          <w:lang w:val="en-US" w:eastAsia="en-US" w:bidi="ar-SA"/>
        </w:rPr>
        <w:t>Journal of Accounting and Economics</w:t>
      </w:r>
      <w:r w:rsidR="00977FC8" w:rsidRPr="0079301A">
        <w:rPr>
          <w:rFonts w:cs="Arial"/>
          <w:lang w:val="en-US" w:eastAsia="en-US" w:bidi="ar-SA"/>
        </w:rPr>
        <w:t>, 7 (April): 85-107.</w:t>
      </w:r>
    </w:p>
    <w:p w:rsidR="00977FC8" w:rsidRPr="0079301A" w:rsidRDefault="00977FC8" w:rsidP="0042102E">
      <w:pPr>
        <w:ind w:left="567" w:hanging="567"/>
        <w:rPr>
          <w:lang w:val="en-GB"/>
        </w:rPr>
      </w:pPr>
      <w:r w:rsidRPr="0079301A">
        <w:rPr>
          <w:rFonts w:cs="Arial"/>
          <w:lang w:val="en-US"/>
        </w:rPr>
        <w:t xml:space="preserve">Healy, P. M., </w:t>
      </w:r>
      <w:r>
        <w:rPr>
          <w:rFonts w:cs="Arial"/>
          <w:lang w:val="en-US"/>
        </w:rPr>
        <w:t xml:space="preserve">and </w:t>
      </w:r>
      <w:r w:rsidR="00C839B4">
        <w:rPr>
          <w:rFonts w:cs="Arial"/>
          <w:lang w:val="en-US"/>
        </w:rPr>
        <w:t>J.M. Wahlen</w:t>
      </w:r>
      <w:r w:rsidRPr="0079301A">
        <w:rPr>
          <w:rFonts w:cs="Arial"/>
          <w:lang w:val="en-US"/>
        </w:rPr>
        <w:t xml:space="preserve">. 1999. </w:t>
      </w:r>
      <w:r w:rsidRPr="0079301A">
        <w:rPr>
          <w:rFonts w:cs="Arial"/>
          <w:lang w:val="en-GB"/>
        </w:rPr>
        <w:t>A Review of the</w:t>
      </w:r>
      <w:r w:rsidRPr="0079301A">
        <w:rPr>
          <w:lang w:val="en-GB"/>
        </w:rPr>
        <w:t xml:space="preserve"> earnings management literature and its implications for standard setting. </w:t>
      </w:r>
      <w:r w:rsidRPr="00C839B4">
        <w:rPr>
          <w:i/>
          <w:lang w:val="en-GB"/>
        </w:rPr>
        <w:t>Accounting Horizons</w:t>
      </w:r>
      <w:r w:rsidRPr="0079301A">
        <w:rPr>
          <w:lang w:val="en-GB"/>
        </w:rPr>
        <w:t>, 13, no. 4, 355-383.</w:t>
      </w:r>
    </w:p>
    <w:p w:rsidR="00977FC8" w:rsidRDefault="00977FC8" w:rsidP="0042102E">
      <w:pPr>
        <w:ind w:left="567" w:hanging="567"/>
        <w:rPr>
          <w:lang w:val="en-GB"/>
        </w:rPr>
      </w:pPr>
      <w:r w:rsidRPr="0079301A">
        <w:rPr>
          <w:lang w:val="en-GB"/>
        </w:rPr>
        <w:t>Jensen, M. C.</w:t>
      </w:r>
      <w:r w:rsidR="00C839B4">
        <w:rPr>
          <w:lang w:val="en-GB"/>
        </w:rPr>
        <w:t>,</w:t>
      </w:r>
      <w:r w:rsidRPr="0079301A">
        <w:rPr>
          <w:lang w:val="en-GB"/>
        </w:rPr>
        <w:t xml:space="preserve"> and </w:t>
      </w:r>
      <w:r w:rsidR="00C839B4">
        <w:rPr>
          <w:lang w:val="en-GB"/>
        </w:rPr>
        <w:t xml:space="preserve">W.H. </w:t>
      </w:r>
      <w:r w:rsidRPr="0079301A">
        <w:rPr>
          <w:lang w:val="en-GB"/>
        </w:rPr>
        <w:t>Meckling. 1976. Theory of the firm: Managerial</w:t>
      </w:r>
      <w:r w:rsidRPr="006A75D7">
        <w:rPr>
          <w:lang w:val="en-GB"/>
        </w:rPr>
        <w:t xml:space="preserve"> behaviour, agency costs and ownership structure. </w:t>
      </w:r>
      <w:r w:rsidRPr="00C839B4">
        <w:rPr>
          <w:i/>
          <w:lang w:val="en-GB"/>
        </w:rPr>
        <w:t>Journal of Financial Economics</w:t>
      </w:r>
      <w:r w:rsidRPr="006A75D7">
        <w:rPr>
          <w:lang w:val="en-GB"/>
        </w:rPr>
        <w:t>, 3, 4 (October): 305–360.</w:t>
      </w:r>
    </w:p>
    <w:p w:rsidR="008B6A78" w:rsidRPr="006A75D7" w:rsidRDefault="008B6A78" w:rsidP="008B6A78">
      <w:pPr>
        <w:ind w:left="567" w:hanging="567"/>
        <w:rPr>
          <w:lang w:val="en-GB"/>
        </w:rPr>
      </w:pPr>
      <w:r w:rsidRPr="006A75D7">
        <w:rPr>
          <w:lang w:val="en-GB"/>
        </w:rPr>
        <w:t>Jensen, M. C.</w:t>
      </w:r>
      <w:r>
        <w:rPr>
          <w:lang w:val="en-GB"/>
        </w:rPr>
        <w:t>,</w:t>
      </w:r>
      <w:r w:rsidRPr="006A75D7">
        <w:rPr>
          <w:lang w:val="en-GB"/>
        </w:rPr>
        <w:t xml:space="preserve"> and </w:t>
      </w:r>
      <w:r>
        <w:rPr>
          <w:lang w:val="en-GB"/>
        </w:rPr>
        <w:t xml:space="preserve">K.J. </w:t>
      </w:r>
      <w:r w:rsidRPr="006A75D7">
        <w:rPr>
          <w:lang w:val="en-GB"/>
        </w:rPr>
        <w:t>Murphy</w:t>
      </w:r>
      <w:r>
        <w:rPr>
          <w:lang w:val="en-GB"/>
        </w:rPr>
        <w:t>. 1990a</w:t>
      </w:r>
      <w:r w:rsidRPr="006A75D7">
        <w:rPr>
          <w:lang w:val="en-GB"/>
        </w:rPr>
        <w:t xml:space="preserve">. CEO incentives: It’s not how much you pay. It’s how. </w:t>
      </w:r>
      <w:r w:rsidRPr="00C839B4">
        <w:rPr>
          <w:i/>
          <w:lang w:val="en-GB"/>
        </w:rPr>
        <w:t>Journal of Applied Corporate Finance</w:t>
      </w:r>
      <w:r w:rsidRPr="006A75D7">
        <w:rPr>
          <w:lang w:val="en-GB"/>
        </w:rPr>
        <w:t>, 3, 3 (Fall): 36–49.</w:t>
      </w:r>
    </w:p>
    <w:p w:rsidR="00977FC8" w:rsidRPr="006A75D7" w:rsidRDefault="00977FC8" w:rsidP="00D770FC">
      <w:pPr>
        <w:ind w:left="567" w:hanging="567"/>
        <w:rPr>
          <w:lang w:val="en-GB"/>
        </w:rPr>
      </w:pPr>
      <w:r w:rsidRPr="006A75D7">
        <w:rPr>
          <w:lang w:val="en-GB"/>
        </w:rPr>
        <w:t>Jensen, M. C.</w:t>
      </w:r>
      <w:r w:rsidR="00C839B4">
        <w:rPr>
          <w:lang w:val="en-GB"/>
        </w:rPr>
        <w:t>,</w:t>
      </w:r>
      <w:r w:rsidRPr="006A75D7">
        <w:rPr>
          <w:lang w:val="en-GB"/>
        </w:rPr>
        <w:t xml:space="preserve"> and </w:t>
      </w:r>
      <w:r w:rsidR="00C839B4">
        <w:rPr>
          <w:lang w:val="en-GB"/>
        </w:rPr>
        <w:t xml:space="preserve">K.J. </w:t>
      </w:r>
      <w:r w:rsidRPr="006A75D7">
        <w:rPr>
          <w:lang w:val="en-GB"/>
        </w:rPr>
        <w:t>Murphy</w:t>
      </w:r>
      <w:r w:rsidR="00C839B4">
        <w:rPr>
          <w:lang w:val="en-GB"/>
        </w:rPr>
        <w:t>. 1990</w:t>
      </w:r>
      <w:r w:rsidR="008B6A78">
        <w:rPr>
          <w:lang w:val="en-GB"/>
        </w:rPr>
        <w:t>b</w:t>
      </w:r>
      <w:r w:rsidRPr="006A75D7">
        <w:rPr>
          <w:lang w:val="en-GB"/>
        </w:rPr>
        <w:t xml:space="preserve">. Performance pay and top-management incentives. </w:t>
      </w:r>
      <w:r w:rsidRPr="00C839B4">
        <w:rPr>
          <w:i/>
          <w:lang w:val="en-GB"/>
        </w:rPr>
        <w:t>Journal of Political Economy</w:t>
      </w:r>
      <w:r w:rsidRPr="006A75D7">
        <w:rPr>
          <w:lang w:val="en-GB"/>
        </w:rPr>
        <w:t>, 98, 2 (April): 225–264.</w:t>
      </w:r>
    </w:p>
    <w:p w:rsidR="00977FC8" w:rsidRDefault="00977FC8" w:rsidP="0095470E">
      <w:pPr>
        <w:ind w:left="567" w:hanging="567"/>
        <w:rPr>
          <w:lang w:val="en-GB"/>
        </w:rPr>
      </w:pPr>
      <w:r w:rsidRPr="006A75D7">
        <w:rPr>
          <w:lang w:val="en-GB"/>
        </w:rPr>
        <w:t>Jones, J</w:t>
      </w:r>
      <w:r>
        <w:rPr>
          <w:lang w:val="en-GB"/>
        </w:rPr>
        <w:t>.</w:t>
      </w:r>
      <w:r w:rsidR="00C839B4">
        <w:rPr>
          <w:lang w:val="en-GB"/>
        </w:rPr>
        <w:t xml:space="preserve"> </w:t>
      </w:r>
      <w:r w:rsidRPr="006A75D7">
        <w:rPr>
          <w:lang w:val="en-GB"/>
        </w:rPr>
        <w:t xml:space="preserve">1991. Earnings management during import relief investigations. </w:t>
      </w:r>
      <w:r w:rsidRPr="00C839B4">
        <w:rPr>
          <w:i/>
          <w:lang w:val="en-GB"/>
        </w:rPr>
        <w:t>Journal of Accounting Research</w:t>
      </w:r>
      <w:r w:rsidRPr="006A75D7">
        <w:rPr>
          <w:lang w:val="en-GB"/>
        </w:rPr>
        <w:t>, 29, 193–228.</w:t>
      </w:r>
    </w:p>
    <w:p w:rsidR="00977FC8" w:rsidRDefault="00977FC8" w:rsidP="0095470E">
      <w:pPr>
        <w:ind w:left="567" w:hanging="567"/>
        <w:rPr>
          <w:lang w:val="en-GB"/>
        </w:rPr>
      </w:pPr>
      <w:r>
        <w:rPr>
          <w:lang w:val="en-GB"/>
        </w:rPr>
        <w:t xml:space="preserve">Karpoff, J., </w:t>
      </w:r>
      <w:r w:rsidR="00C839B4">
        <w:rPr>
          <w:lang w:val="en-GB"/>
        </w:rPr>
        <w:t xml:space="preserve">D. </w:t>
      </w:r>
      <w:r>
        <w:rPr>
          <w:lang w:val="en-GB"/>
        </w:rPr>
        <w:t xml:space="preserve">Lee, and </w:t>
      </w:r>
      <w:r w:rsidR="00C839B4">
        <w:rPr>
          <w:lang w:val="en-GB"/>
        </w:rPr>
        <w:t xml:space="preserve">G. </w:t>
      </w:r>
      <w:r>
        <w:rPr>
          <w:lang w:val="en-GB"/>
        </w:rPr>
        <w:t xml:space="preserve">Martin. 2008. The cost of firms for cooking the books. </w:t>
      </w:r>
      <w:r w:rsidRPr="00C839B4">
        <w:rPr>
          <w:i/>
          <w:lang w:val="en-GB"/>
        </w:rPr>
        <w:t>Journal of Financial and Quantitative Analysis</w:t>
      </w:r>
      <w:r>
        <w:rPr>
          <w:lang w:val="en-GB"/>
        </w:rPr>
        <w:t>, 43(3), 581-611.</w:t>
      </w:r>
    </w:p>
    <w:p w:rsidR="00977FC8" w:rsidRPr="006A75D7" w:rsidRDefault="00977FC8" w:rsidP="0095470E">
      <w:pPr>
        <w:ind w:left="567" w:hanging="567"/>
        <w:rPr>
          <w:lang w:val="en-GB"/>
        </w:rPr>
      </w:pPr>
      <w:r>
        <w:rPr>
          <w:noProof/>
        </w:rPr>
        <w:t xml:space="preserve">Levy, H., and </w:t>
      </w:r>
      <w:r w:rsidR="00C839B4">
        <w:rPr>
          <w:noProof/>
        </w:rPr>
        <w:t xml:space="preserve">T. </w:t>
      </w:r>
      <w:r>
        <w:rPr>
          <w:noProof/>
        </w:rPr>
        <w:t xml:space="preserve">Post. 2005. </w:t>
      </w:r>
      <w:r w:rsidRPr="005B057B">
        <w:rPr>
          <w:iCs/>
          <w:noProof/>
        </w:rPr>
        <w:t>Investments</w:t>
      </w:r>
      <w:r>
        <w:rPr>
          <w:noProof/>
        </w:rPr>
        <w:t xml:space="preserve"> (1st ed.). Harlow: Pearson Education Limited.</w:t>
      </w:r>
    </w:p>
    <w:p w:rsidR="00977FC8" w:rsidRPr="006A75D7" w:rsidRDefault="00977FC8" w:rsidP="0042102E">
      <w:pPr>
        <w:ind w:left="567" w:hanging="567"/>
        <w:rPr>
          <w:lang w:val="en-GB"/>
        </w:rPr>
      </w:pPr>
      <w:r w:rsidRPr="006B6B83">
        <w:rPr>
          <w:lang w:val="nl-NL"/>
        </w:rPr>
        <w:t xml:space="preserve">Merchant, K. A., </w:t>
      </w:r>
      <w:r w:rsidR="00C839B4">
        <w:rPr>
          <w:lang w:val="nl-NL"/>
        </w:rPr>
        <w:t>and W.A. v</w:t>
      </w:r>
      <w:r w:rsidRPr="006B6B83">
        <w:rPr>
          <w:lang w:val="nl-NL"/>
        </w:rPr>
        <w:t xml:space="preserve">an der Stede. </w:t>
      </w:r>
      <w:r w:rsidRPr="00080050">
        <w:rPr>
          <w:lang w:val="en-US"/>
        </w:rPr>
        <w:t xml:space="preserve">2007. </w:t>
      </w:r>
      <w:r w:rsidRPr="006A75D7">
        <w:rPr>
          <w:lang w:val="en-GB"/>
        </w:rPr>
        <w:t>Management control systems: performance measurement, evaluation and incentives. Prentice Hall, second edition.</w:t>
      </w:r>
    </w:p>
    <w:p w:rsidR="00977FC8" w:rsidRDefault="00C839B4" w:rsidP="0042102E">
      <w:pPr>
        <w:ind w:left="567" w:hanging="567"/>
        <w:rPr>
          <w:lang w:val="en-GB"/>
        </w:rPr>
      </w:pPr>
      <w:r>
        <w:rPr>
          <w:lang w:val="en-GB"/>
        </w:rPr>
        <w:lastRenderedPageBreak/>
        <w:t>Murphy, K. J. 1999</w:t>
      </w:r>
      <w:r w:rsidR="00977FC8" w:rsidRPr="006A75D7">
        <w:rPr>
          <w:lang w:val="en-GB"/>
        </w:rPr>
        <w:t>. Executive Compensation. Working paper, University of Southern California.</w:t>
      </w:r>
    </w:p>
    <w:p w:rsidR="00977FC8" w:rsidRDefault="00C839B4" w:rsidP="00964EF8">
      <w:pPr>
        <w:ind w:left="567" w:hanging="567"/>
        <w:rPr>
          <w:lang w:val="en-GB"/>
        </w:rPr>
      </w:pPr>
      <w:r>
        <w:rPr>
          <w:lang w:val="en-GB"/>
        </w:rPr>
        <w:t>Noe, C.F. 1999</w:t>
      </w:r>
      <w:r w:rsidR="00977FC8">
        <w:rPr>
          <w:lang w:val="en-GB"/>
        </w:rPr>
        <w:t xml:space="preserve">. Voluntary disclosures and insider transactions. </w:t>
      </w:r>
      <w:r w:rsidR="00977FC8" w:rsidRPr="00C839B4">
        <w:rPr>
          <w:i/>
          <w:lang w:val="en-GB"/>
        </w:rPr>
        <w:t>Journal for Accounting and Economics</w:t>
      </w:r>
      <w:r w:rsidR="00977FC8">
        <w:rPr>
          <w:lang w:val="en-GB"/>
        </w:rPr>
        <w:t xml:space="preserve">, 27(3), 305-326. </w:t>
      </w:r>
    </w:p>
    <w:p w:rsidR="00977FC8" w:rsidRPr="00FF0448" w:rsidRDefault="00977FC8" w:rsidP="00422CA9">
      <w:pPr>
        <w:ind w:left="567" w:hanging="567"/>
        <w:rPr>
          <w:lang w:val="en-US"/>
        </w:rPr>
      </w:pPr>
      <w:r w:rsidRPr="00422CA9">
        <w:rPr>
          <w:lang w:val="en-GB"/>
        </w:rPr>
        <w:t>O’Connell, B</w:t>
      </w:r>
      <w:r>
        <w:rPr>
          <w:lang w:val="en-GB"/>
        </w:rPr>
        <w:t>.</w:t>
      </w:r>
      <w:r w:rsidRPr="00422CA9">
        <w:rPr>
          <w:lang w:val="en-GB"/>
        </w:rPr>
        <w:t>T. 2004. Enron.Con: “He that filches from me my good name…makes</w:t>
      </w:r>
      <w:r>
        <w:rPr>
          <w:lang w:val="en-GB"/>
        </w:rPr>
        <w:t xml:space="preserve"> </w:t>
      </w:r>
      <w:r w:rsidRPr="00422CA9">
        <w:rPr>
          <w:lang w:val="en-GB"/>
        </w:rPr>
        <w:t xml:space="preserve">me poor indeed.” </w:t>
      </w:r>
      <w:r w:rsidRPr="00C839B4">
        <w:rPr>
          <w:i/>
          <w:lang w:val="en-US"/>
        </w:rPr>
        <w:t>Critical Perspectives on Accounting</w:t>
      </w:r>
      <w:r w:rsidRPr="00FF0448">
        <w:rPr>
          <w:lang w:val="en-US"/>
        </w:rPr>
        <w:t>, 15, 6-7 (August): 733–749.</w:t>
      </w:r>
    </w:p>
    <w:p w:rsidR="005B057B" w:rsidRPr="005B057B" w:rsidRDefault="00C839B4" w:rsidP="00422CA9">
      <w:pPr>
        <w:ind w:left="567" w:hanging="567"/>
        <w:rPr>
          <w:lang w:val="en-US"/>
        </w:rPr>
      </w:pPr>
      <w:r>
        <w:rPr>
          <w:lang w:val="en-US"/>
        </w:rPr>
        <w:t>Pallant, J. 2007</w:t>
      </w:r>
      <w:r w:rsidR="005B057B" w:rsidRPr="00FF0448">
        <w:rPr>
          <w:lang w:val="en-US"/>
        </w:rPr>
        <w:t xml:space="preserve">. </w:t>
      </w:r>
      <w:r w:rsidR="005B057B">
        <w:rPr>
          <w:lang w:val="en-US"/>
        </w:rPr>
        <w:t xml:space="preserve">SPSS survival manual, a step by step guide to data analysis using SPSS for windows. </w:t>
      </w:r>
      <w:r w:rsidR="00334FBC">
        <w:rPr>
          <w:lang w:val="en-US"/>
        </w:rPr>
        <w:t>Berkshire: McGraw-Hill Education</w:t>
      </w:r>
      <w:r w:rsidR="005B057B">
        <w:rPr>
          <w:lang w:val="en-US"/>
        </w:rPr>
        <w:t xml:space="preserve">, third edition. </w:t>
      </w:r>
    </w:p>
    <w:p w:rsidR="00977FC8" w:rsidRPr="0071580B" w:rsidRDefault="00977FC8" w:rsidP="00422CA9">
      <w:pPr>
        <w:ind w:left="567" w:hanging="567"/>
        <w:rPr>
          <w:lang w:val="nl-NL"/>
        </w:rPr>
      </w:pPr>
      <w:r w:rsidRPr="00FF0448">
        <w:rPr>
          <w:lang w:val="en-US"/>
        </w:rPr>
        <w:t xml:space="preserve">Praag, </w:t>
      </w:r>
      <w:r w:rsidR="00C839B4">
        <w:rPr>
          <w:lang w:val="en-US"/>
        </w:rPr>
        <w:t xml:space="preserve">van C.M. </w:t>
      </w:r>
      <w:r w:rsidRPr="00FF0448">
        <w:rPr>
          <w:lang w:val="en-US"/>
        </w:rPr>
        <w:t xml:space="preserve">2005. </w:t>
      </w:r>
      <w:r w:rsidRPr="0071580B">
        <w:rPr>
          <w:lang w:val="nl-NL"/>
        </w:rPr>
        <w:t xml:space="preserve">Literatuuronderzoek “Relatie </w:t>
      </w:r>
      <w:r>
        <w:rPr>
          <w:lang w:val="nl-NL"/>
        </w:rPr>
        <w:t xml:space="preserve">beloning van topbestuurders en bedrijfsprestaties – in opdracht van de Monitoring Commissie Corporate Governance Code. </w:t>
      </w:r>
    </w:p>
    <w:p w:rsidR="00977FC8" w:rsidRPr="00EF0011" w:rsidRDefault="00977FC8" w:rsidP="00F17731">
      <w:pPr>
        <w:ind w:left="567" w:hanging="567"/>
        <w:rPr>
          <w:lang w:val="en-GB"/>
        </w:rPr>
      </w:pPr>
      <w:r w:rsidRPr="00EF0011">
        <w:rPr>
          <w:lang w:val="en-GB"/>
        </w:rPr>
        <w:t xml:space="preserve">Peasnell, K., </w:t>
      </w:r>
      <w:r w:rsidR="00C839B4">
        <w:rPr>
          <w:lang w:val="en-GB"/>
        </w:rPr>
        <w:t xml:space="preserve">P. </w:t>
      </w:r>
      <w:r w:rsidRPr="00EF0011">
        <w:rPr>
          <w:lang w:val="en-GB"/>
        </w:rPr>
        <w:t xml:space="preserve">Pope, </w:t>
      </w:r>
      <w:r>
        <w:rPr>
          <w:lang w:val="en-GB"/>
        </w:rPr>
        <w:t xml:space="preserve">and </w:t>
      </w:r>
      <w:r w:rsidR="00C839B4">
        <w:rPr>
          <w:lang w:val="en-GB"/>
        </w:rPr>
        <w:t xml:space="preserve">S. </w:t>
      </w:r>
      <w:r>
        <w:rPr>
          <w:lang w:val="en-GB"/>
        </w:rPr>
        <w:t>Young.</w:t>
      </w:r>
      <w:r w:rsidRPr="00EF0011">
        <w:rPr>
          <w:lang w:val="en-GB"/>
        </w:rPr>
        <w:t xml:space="preserve"> 2000. Detecting earnings management using cross-sectional</w:t>
      </w:r>
      <w:r>
        <w:rPr>
          <w:lang w:val="en-GB"/>
        </w:rPr>
        <w:t xml:space="preserve"> abnormal </w:t>
      </w:r>
      <w:r w:rsidRPr="00EF0011">
        <w:rPr>
          <w:lang w:val="en-GB"/>
        </w:rPr>
        <w:t>accrual</w:t>
      </w:r>
      <w:r>
        <w:rPr>
          <w:lang w:val="en-GB"/>
        </w:rPr>
        <w:t>s</w:t>
      </w:r>
      <w:r w:rsidRPr="00EF0011">
        <w:rPr>
          <w:lang w:val="en-GB"/>
        </w:rPr>
        <w:t xml:space="preserve"> models. </w:t>
      </w:r>
      <w:r w:rsidRPr="00C839B4">
        <w:rPr>
          <w:i/>
          <w:lang w:val="en-GB"/>
        </w:rPr>
        <w:t>Accounting and Business Research</w:t>
      </w:r>
      <w:r>
        <w:rPr>
          <w:lang w:val="en-GB"/>
        </w:rPr>
        <w:t>,</w:t>
      </w:r>
      <w:r w:rsidRPr="00EF0011">
        <w:rPr>
          <w:lang w:val="en-GB"/>
        </w:rPr>
        <w:t xml:space="preserve"> 30, 313–326.</w:t>
      </w:r>
    </w:p>
    <w:p w:rsidR="00977FC8" w:rsidRDefault="00977FC8" w:rsidP="00EF1E28">
      <w:pPr>
        <w:ind w:left="567" w:hanging="567"/>
        <w:rPr>
          <w:lang w:val="en-GB"/>
        </w:rPr>
      </w:pPr>
      <w:r w:rsidRPr="003B1438">
        <w:rPr>
          <w:lang w:val="en-GB"/>
        </w:rPr>
        <w:t>Palmrose, Z</w:t>
      </w:r>
      <w:r>
        <w:rPr>
          <w:lang w:val="en-GB"/>
        </w:rPr>
        <w:t>.V.</w:t>
      </w:r>
      <w:r w:rsidRPr="003B1438">
        <w:rPr>
          <w:lang w:val="en-GB"/>
        </w:rPr>
        <w:t xml:space="preserve">, </w:t>
      </w:r>
      <w:r w:rsidR="00C839B4">
        <w:rPr>
          <w:lang w:val="en-GB"/>
        </w:rPr>
        <w:t xml:space="preserve">V. </w:t>
      </w:r>
      <w:r w:rsidRPr="003B1438">
        <w:rPr>
          <w:lang w:val="en-GB"/>
        </w:rPr>
        <w:t>R</w:t>
      </w:r>
      <w:r>
        <w:rPr>
          <w:lang w:val="en-GB"/>
        </w:rPr>
        <w:t>i</w:t>
      </w:r>
      <w:r w:rsidRPr="003B1438">
        <w:rPr>
          <w:lang w:val="en-GB"/>
        </w:rPr>
        <w:t>chardson</w:t>
      </w:r>
      <w:r>
        <w:rPr>
          <w:lang w:val="en-GB"/>
        </w:rPr>
        <w:t>,</w:t>
      </w:r>
      <w:r w:rsidRPr="003B1438">
        <w:rPr>
          <w:lang w:val="en-GB"/>
        </w:rPr>
        <w:t xml:space="preserve"> </w:t>
      </w:r>
      <w:r>
        <w:rPr>
          <w:lang w:val="en-GB"/>
        </w:rPr>
        <w:t xml:space="preserve">and </w:t>
      </w:r>
      <w:r w:rsidR="00C839B4">
        <w:rPr>
          <w:lang w:val="en-GB"/>
        </w:rPr>
        <w:t xml:space="preserve">S. </w:t>
      </w:r>
      <w:r w:rsidRPr="003B1438">
        <w:rPr>
          <w:lang w:val="en-GB"/>
        </w:rPr>
        <w:t>Scholz</w:t>
      </w:r>
      <w:r w:rsidR="00C839B4">
        <w:rPr>
          <w:lang w:val="en-GB"/>
        </w:rPr>
        <w:t>.</w:t>
      </w:r>
      <w:r w:rsidRPr="003B1438">
        <w:rPr>
          <w:lang w:val="en-GB"/>
        </w:rPr>
        <w:t xml:space="preserve"> 2004. Determinants of market</w:t>
      </w:r>
      <w:r>
        <w:rPr>
          <w:lang w:val="en-GB"/>
        </w:rPr>
        <w:t xml:space="preserve"> </w:t>
      </w:r>
      <w:r w:rsidRPr="003B1438">
        <w:rPr>
          <w:lang w:val="en-GB"/>
        </w:rPr>
        <w:t xml:space="preserve">reactions to restatement announcements. </w:t>
      </w:r>
      <w:r w:rsidRPr="00C839B4">
        <w:rPr>
          <w:i/>
          <w:lang w:val="en-GB"/>
        </w:rPr>
        <w:t>Journal of Accounting and Economics</w:t>
      </w:r>
      <w:r w:rsidRPr="003B1438">
        <w:rPr>
          <w:lang w:val="en-GB"/>
        </w:rPr>
        <w:t>, 37,</w:t>
      </w:r>
      <w:r>
        <w:rPr>
          <w:lang w:val="en-GB"/>
        </w:rPr>
        <w:t xml:space="preserve"> </w:t>
      </w:r>
      <w:r w:rsidRPr="003B1438">
        <w:rPr>
          <w:lang w:val="en-GB"/>
        </w:rPr>
        <w:t xml:space="preserve">1 (February): 59–89. </w:t>
      </w:r>
    </w:p>
    <w:p w:rsidR="00977FC8" w:rsidRPr="006A75D7" w:rsidRDefault="00977FC8" w:rsidP="003B1438">
      <w:pPr>
        <w:ind w:left="567" w:hanging="567"/>
        <w:rPr>
          <w:lang w:val="en-GB"/>
        </w:rPr>
      </w:pPr>
      <w:r>
        <w:rPr>
          <w:lang w:val="en-GB"/>
        </w:rPr>
        <w:t>Pettit, R.</w:t>
      </w:r>
      <w:r w:rsidR="00C839B4">
        <w:rPr>
          <w:lang w:val="en-GB"/>
        </w:rPr>
        <w:t xml:space="preserve"> 1972</w:t>
      </w:r>
      <w:r w:rsidRPr="006A75D7">
        <w:rPr>
          <w:lang w:val="en-GB"/>
        </w:rPr>
        <w:t xml:space="preserve">. Dividend announcements, security performance, and capital market efficiency. </w:t>
      </w:r>
      <w:r w:rsidRPr="00C839B4">
        <w:rPr>
          <w:i/>
          <w:lang w:val="en-GB"/>
        </w:rPr>
        <w:t>Journal of Finance</w:t>
      </w:r>
      <w:r>
        <w:rPr>
          <w:lang w:val="en-GB"/>
        </w:rPr>
        <w:t>,</w:t>
      </w:r>
      <w:r w:rsidRPr="006A75D7">
        <w:rPr>
          <w:lang w:val="en-GB"/>
        </w:rPr>
        <w:t xml:space="preserve"> 27, 993–1007</w:t>
      </w:r>
    </w:p>
    <w:p w:rsidR="00977FC8" w:rsidRPr="006A75D7" w:rsidRDefault="00977FC8" w:rsidP="0042102E">
      <w:pPr>
        <w:ind w:left="567" w:hanging="567"/>
        <w:rPr>
          <w:lang w:val="en-GB"/>
        </w:rPr>
      </w:pPr>
      <w:r w:rsidRPr="006A75D7">
        <w:rPr>
          <w:lang w:val="en-GB"/>
        </w:rPr>
        <w:t>Rajgopal, S.</w:t>
      </w:r>
      <w:r>
        <w:rPr>
          <w:lang w:val="en-GB"/>
        </w:rPr>
        <w:t>,</w:t>
      </w:r>
      <w:r w:rsidRPr="006A75D7">
        <w:rPr>
          <w:lang w:val="en-GB"/>
        </w:rPr>
        <w:t xml:space="preserve"> and </w:t>
      </w:r>
      <w:r w:rsidR="00C839B4">
        <w:rPr>
          <w:lang w:val="en-GB"/>
        </w:rPr>
        <w:t xml:space="preserve">T. </w:t>
      </w:r>
      <w:r w:rsidRPr="006A75D7">
        <w:rPr>
          <w:lang w:val="en-GB"/>
        </w:rPr>
        <w:t xml:space="preserve">Shevlin. 2002. Empirical evidence on the relation between stock option compensation and risk taking. </w:t>
      </w:r>
      <w:r w:rsidRPr="00C839B4">
        <w:rPr>
          <w:i/>
          <w:lang w:val="en-GB"/>
        </w:rPr>
        <w:t>Journal of Accounting and Economics</w:t>
      </w:r>
      <w:r w:rsidRPr="006A75D7">
        <w:rPr>
          <w:lang w:val="en-GB"/>
        </w:rPr>
        <w:t>, 33, 2 (June): 145–171.</w:t>
      </w:r>
    </w:p>
    <w:p w:rsidR="00977FC8" w:rsidRPr="006A75D7" w:rsidRDefault="00977FC8" w:rsidP="00F41ED3">
      <w:pPr>
        <w:ind w:left="567" w:hanging="567"/>
        <w:rPr>
          <w:lang w:val="en-GB"/>
        </w:rPr>
      </w:pPr>
      <w:r w:rsidRPr="006A75D7">
        <w:rPr>
          <w:lang w:val="en-GB"/>
        </w:rPr>
        <w:t xml:space="preserve">Ronen, J., </w:t>
      </w:r>
      <w:r w:rsidR="00C839B4">
        <w:rPr>
          <w:lang w:val="en-GB"/>
        </w:rPr>
        <w:t xml:space="preserve">J. </w:t>
      </w:r>
      <w:r w:rsidRPr="006A75D7">
        <w:rPr>
          <w:lang w:val="en-GB"/>
        </w:rPr>
        <w:t>Tzur</w:t>
      </w:r>
      <w:r>
        <w:rPr>
          <w:lang w:val="en-GB"/>
        </w:rPr>
        <w:t>,</w:t>
      </w:r>
      <w:r w:rsidRPr="006A75D7">
        <w:rPr>
          <w:lang w:val="en-GB"/>
        </w:rPr>
        <w:t xml:space="preserve"> and </w:t>
      </w:r>
      <w:r w:rsidR="00C839B4">
        <w:rPr>
          <w:lang w:val="en-GB"/>
        </w:rPr>
        <w:t xml:space="preserve">V.L. </w:t>
      </w:r>
      <w:r w:rsidRPr="006A75D7">
        <w:rPr>
          <w:lang w:val="en-GB"/>
        </w:rPr>
        <w:t xml:space="preserve">Yaari. 2006. The effect of directors’ equity incentives on earnings management. </w:t>
      </w:r>
      <w:r w:rsidRPr="00C839B4">
        <w:rPr>
          <w:i/>
          <w:lang w:val="en-GB"/>
        </w:rPr>
        <w:t>Journal of Accounting and Public Policy</w:t>
      </w:r>
      <w:r w:rsidRPr="006A75D7">
        <w:rPr>
          <w:lang w:val="en-GB"/>
        </w:rPr>
        <w:t>, 25, 359-389.</w:t>
      </w:r>
    </w:p>
    <w:p w:rsidR="00977FC8" w:rsidRPr="006A75D7" w:rsidRDefault="00977FC8" w:rsidP="00F41ED3">
      <w:pPr>
        <w:ind w:left="567" w:hanging="567"/>
        <w:rPr>
          <w:lang w:val="en-GB"/>
        </w:rPr>
      </w:pPr>
      <w:r w:rsidRPr="006A75D7">
        <w:rPr>
          <w:lang w:val="en-GB"/>
        </w:rPr>
        <w:t>Ronen, J.</w:t>
      </w:r>
      <w:r>
        <w:rPr>
          <w:lang w:val="en-GB"/>
        </w:rPr>
        <w:t>,</w:t>
      </w:r>
      <w:r w:rsidRPr="006A75D7">
        <w:rPr>
          <w:lang w:val="en-GB"/>
        </w:rPr>
        <w:t xml:space="preserve"> and</w:t>
      </w:r>
      <w:r w:rsidR="00C839B4">
        <w:rPr>
          <w:lang w:val="en-GB"/>
        </w:rPr>
        <w:t xml:space="preserve"> V.L.</w:t>
      </w:r>
      <w:r w:rsidRPr="006A75D7">
        <w:rPr>
          <w:lang w:val="en-GB"/>
        </w:rPr>
        <w:t xml:space="preserve"> Yaari</w:t>
      </w:r>
      <w:r w:rsidR="00C839B4">
        <w:rPr>
          <w:lang w:val="en-GB"/>
        </w:rPr>
        <w:t>. 2008.</w:t>
      </w:r>
      <w:r w:rsidRPr="006A75D7">
        <w:rPr>
          <w:lang w:val="en-GB"/>
        </w:rPr>
        <w:t xml:space="preserve"> Earnings Management: Emerging insights in theory, practice, and research. Springer</w:t>
      </w:r>
      <w:r w:rsidR="00127ACC">
        <w:rPr>
          <w:lang w:val="en-GB"/>
        </w:rPr>
        <w:t>,</w:t>
      </w:r>
      <w:r w:rsidRPr="006A75D7">
        <w:rPr>
          <w:lang w:val="en-GB"/>
        </w:rPr>
        <w:t xml:space="preserve"> </w:t>
      </w:r>
      <w:r w:rsidR="00127ACC">
        <w:rPr>
          <w:lang w:val="en-GB"/>
        </w:rPr>
        <w:t>first e</w:t>
      </w:r>
      <w:r w:rsidRPr="006A75D7">
        <w:rPr>
          <w:lang w:val="en-GB"/>
        </w:rPr>
        <w:t>dition</w:t>
      </w:r>
      <w:r w:rsidR="00127ACC">
        <w:rPr>
          <w:lang w:val="en-GB"/>
        </w:rPr>
        <w:t>.</w:t>
      </w:r>
    </w:p>
    <w:p w:rsidR="00977FC8" w:rsidRDefault="00C839B4" w:rsidP="002846B5">
      <w:pPr>
        <w:ind w:left="567" w:hanging="567"/>
        <w:rPr>
          <w:lang w:val="en-GB"/>
        </w:rPr>
      </w:pPr>
      <w:r>
        <w:rPr>
          <w:lang w:val="en-GB"/>
        </w:rPr>
        <w:t xml:space="preserve">Roychowdhury, S. </w:t>
      </w:r>
      <w:r w:rsidR="00977FC8" w:rsidRPr="006A75D7">
        <w:rPr>
          <w:lang w:val="en-GB"/>
        </w:rPr>
        <w:t xml:space="preserve">2006. Earnings management through real activities manipulation. </w:t>
      </w:r>
      <w:r w:rsidR="00977FC8" w:rsidRPr="00C839B4">
        <w:rPr>
          <w:i/>
          <w:lang w:val="en-GB"/>
        </w:rPr>
        <w:t>Journal of Accounting and Economics</w:t>
      </w:r>
      <w:r w:rsidR="00977FC8" w:rsidRPr="006A75D7">
        <w:rPr>
          <w:lang w:val="en-GB"/>
        </w:rPr>
        <w:t>, 42, 3 (December): 335–370.</w:t>
      </w:r>
    </w:p>
    <w:p w:rsidR="00977FC8" w:rsidRPr="006A75D7" w:rsidRDefault="00977FC8" w:rsidP="002846B5">
      <w:pPr>
        <w:ind w:left="567" w:hanging="567"/>
        <w:rPr>
          <w:lang w:val="en-GB"/>
        </w:rPr>
      </w:pPr>
      <w:r>
        <w:rPr>
          <w:lang w:val="en-GB"/>
        </w:rPr>
        <w:t xml:space="preserve">Sivakumar, K., </w:t>
      </w:r>
      <w:r w:rsidR="00C839B4">
        <w:rPr>
          <w:lang w:val="en-GB"/>
        </w:rPr>
        <w:t xml:space="preserve">and G. </w:t>
      </w:r>
      <w:r>
        <w:rPr>
          <w:lang w:val="en-GB"/>
        </w:rPr>
        <w:t xml:space="preserve">Waymire. 1994. Insider trading following material news events: evidence for earnings. </w:t>
      </w:r>
      <w:r w:rsidRPr="00C839B4">
        <w:rPr>
          <w:i/>
          <w:lang w:val="en-GB"/>
        </w:rPr>
        <w:t>Financial Management</w:t>
      </w:r>
      <w:r>
        <w:rPr>
          <w:lang w:val="en-GB"/>
        </w:rPr>
        <w:t xml:space="preserve">, 23(1), 23-32. </w:t>
      </w:r>
    </w:p>
    <w:p w:rsidR="00977FC8" w:rsidRPr="006A75D7" w:rsidRDefault="00977FC8" w:rsidP="007507BB">
      <w:pPr>
        <w:ind w:left="567" w:hanging="567"/>
        <w:rPr>
          <w:lang w:val="en-GB"/>
        </w:rPr>
      </w:pPr>
      <w:r>
        <w:rPr>
          <w:lang w:val="en-GB"/>
        </w:rPr>
        <w:lastRenderedPageBreak/>
        <w:t>Stein, J.</w:t>
      </w:r>
      <w:r w:rsidRPr="006A75D7">
        <w:rPr>
          <w:lang w:val="en-GB"/>
        </w:rPr>
        <w:t xml:space="preserve">C. 1989. Efficient capital markets, inefficient firms: A model of myopic corporate behaviour. </w:t>
      </w:r>
      <w:r w:rsidRPr="00C839B4">
        <w:rPr>
          <w:i/>
          <w:lang w:val="en-GB"/>
        </w:rPr>
        <w:t>Quarterly Journal of Economics</w:t>
      </w:r>
      <w:r w:rsidRPr="006A75D7">
        <w:rPr>
          <w:lang w:val="en-GB"/>
        </w:rPr>
        <w:t>, 104, 4 (November): 655–669.</w:t>
      </w:r>
    </w:p>
    <w:p w:rsidR="00977FC8" w:rsidRPr="006A75D7" w:rsidRDefault="00977FC8" w:rsidP="002846B5">
      <w:pPr>
        <w:ind w:left="567" w:hanging="567"/>
        <w:rPr>
          <w:lang w:val="en-GB"/>
        </w:rPr>
      </w:pPr>
      <w:r w:rsidRPr="006A75D7">
        <w:rPr>
          <w:lang w:val="en-GB"/>
        </w:rPr>
        <w:t>Stolowy, H.</w:t>
      </w:r>
      <w:r w:rsidR="00C839B4">
        <w:rPr>
          <w:lang w:val="en-GB"/>
        </w:rPr>
        <w:t>,</w:t>
      </w:r>
      <w:r w:rsidRPr="006A75D7">
        <w:rPr>
          <w:lang w:val="en-GB"/>
        </w:rPr>
        <w:t xml:space="preserve"> and </w:t>
      </w:r>
      <w:r w:rsidR="00C839B4">
        <w:rPr>
          <w:lang w:val="en-GB"/>
        </w:rPr>
        <w:t xml:space="preserve">G. </w:t>
      </w:r>
      <w:r w:rsidRPr="006A75D7">
        <w:rPr>
          <w:lang w:val="en-GB"/>
        </w:rPr>
        <w:t xml:space="preserve">Breton. 2004. Accounts manipulation: A literature review and proposed conceptual framework. </w:t>
      </w:r>
      <w:r w:rsidRPr="00C839B4">
        <w:rPr>
          <w:i/>
          <w:lang w:val="en-GB"/>
        </w:rPr>
        <w:t>Review of Accounting and Finance</w:t>
      </w:r>
      <w:r w:rsidRPr="006A75D7">
        <w:rPr>
          <w:lang w:val="en-GB"/>
        </w:rPr>
        <w:t>, 3, 1: 5–66.</w:t>
      </w:r>
    </w:p>
    <w:p w:rsidR="008B6A78" w:rsidRDefault="008B6A78" w:rsidP="008B6A78">
      <w:pPr>
        <w:ind w:left="567" w:hanging="567"/>
        <w:rPr>
          <w:lang w:val="en-GB"/>
        </w:rPr>
      </w:pPr>
      <w:r w:rsidRPr="006A75D7">
        <w:rPr>
          <w:lang w:val="en-GB"/>
        </w:rPr>
        <w:t xml:space="preserve">Teoh, S.H., </w:t>
      </w:r>
      <w:r>
        <w:rPr>
          <w:lang w:val="en-GB"/>
        </w:rPr>
        <w:t xml:space="preserve">I. </w:t>
      </w:r>
      <w:r w:rsidRPr="006A75D7">
        <w:rPr>
          <w:lang w:val="en-GB"/>
        </w:rPr>
        <w:t>Welch</w:t>
      </w:r>
      <w:r>
        <w:rPr>
          <w:lang w:val="en-GB"/>
        </w:rPr>
        <w:t>, and</w:t>
      </w:r>
      <w:r w:rsidRPr="006A75D7">
        <w:rPr>
          <w:lang w:val="en-GB"/>
        </w:rPr>
        <w:t xml:space="preserve"> </w:t>
      </w:r>
      <w:r>
        <w:rPr>
          <w:lang w:val="en-GB"/>
        </w:rPr>
        <w:t xml:space="preserve">T.J. </w:t>
      </w:r>
      <w:r w:rsidRPr="006A75D7">
        <w:rPr>
          <w:lang w:val="en-GB"/>
        </w:rPr>
        <w:t>Wong</w:t>
      </w:r>
      <w:r>
        <w:rPr>
          <w:lang w:val="en-GB"/>
        </w:rPr>
        <w:t>. 1998a</w:t>
      </w:r>
      <w:r w:rsidRPr="006A75D7">
        <w:rPr>
          <w:lang w:val="en-GB"/>
        </w:rPr>
        <w:t xml:space="preserve">. Earnings management and the long-term under performance of initial public offerings. </w:t>
      </w:r>
      <w:r w:rsidRPr="00C839B4">
        <w:rPr>
          <w:i/>
          <w:lang w:val="en-GB"/>
        </w:rPr>
        <w:t>Journal of Finance</w:t>
      </w:r>
      <w:r w:rsidRPr="006A75D7">
        <w:rPr>
          <w:lang w:val="en-GB"/>
        </w:rPr>
        <w:t>, 53, 1935-1974.</w:t>
      </w:r>
    </w:p>
    <w:p w:rsidR="00977FC8" w:rsidRPr="006A75D7" w:rsidRDefault="00977FC8" w:rsidP="0095470E">
      <w:pPr>
        <w:ind w:left="567" w:hanging="567"/>
        <w:rPr>
          <w:lang w:val="en-GB"/>
        </w:rPr>
      </w:pPr>
      <w:r w:rsidRPr="006A75D7">
        <w:rPr>
          <w:lang w:val="en-GB"/>
        </w:rPr>
        <w:t xml:space="preserve">Teoh, S.H., </w:t>
      </w:r>
      <w:r w:rsidR="00C839B4">
        <w:rPr>
          <w:lang w:val="en-GB"/>
        </w:rPr>
        <w:t xml:space="preserve">I. </w:t>
      </w:r>
      <w:r w:rsidRPr="006A75D7">
        <w:rPr>
          <w:lang w:val="en-GB"/>
        </w:rPr>
        <w:t>Welch</w:t>
      </w:r>
      <w:r>
        <w:rPr>
          <w:lang w:val="en-GB"/>
        </w:rPr>
        <w:t>, and</w:t>
      </w:r>
      <w:r w:rsidRPr="006A75D7">
        <w:rPr>
          <w:lang w:val="en-GB"/>
        </w:rPr>
        <w:t xml:space="preserve"> </w:t>
      </w:r>
      <w:r w:rsidR="00C839B4">
        <w:rPr>
          <w:lang w:val="en-GB"/>
        </w:rPr>
        <w:t xml:space="preserve">T.J. </w:t>
      </w:r>
      <w:r w:rsidRPr="006A75D7">
        <w:rPr>
          <w:lang w:val="en-GB"/>
        </w:rPr>
        <w:t>Wong. 19</w:t>
      </w:r>
      <w:r w:rsidR="008B6A78">
        <w:rPr>
          <w:lang w:val="en-GB"/>
        </w:rPr>
        <w:t>98b</w:t>
      </w:r>
      <w:r w:rsidRPr="006A75D7">
        <w:rPr>
          <w:lang w:val="en-GB"/>
        </w:rPr>
        <w:t xml:space="preserve">. Earnings management and the underperformance of seasoned equity offerings. </w:t>
      </w:r>
      <w:r w:rsidRPr="00C839B4">
        <w:rPr>
          <w:i/>
          <w:lang w:val="en-GB"/>
        </w:rPr>
        <w:t>Journal of Financial Economics</w:t>
      </w:r>
      <w:r w:rsidRPr="006A75D7">
        <w:rPr>
          <w:lang w:val="en-GB"/>
        </w:rPr>
        <w:t>, 50, 63-99.</w:t>
      </w:r>
    </w:p>
    <w:p w:rsidR="00977FC8" w:rsidRPr="006A75D7" w:rsidRDefault="00977FC8" w:rsidP="002846B5">
      <w:pPr>
        <w:ind w:left="567" w:hanging="567"/>
        <w:rPr>
          <w:lang w:val="en-GB"/>
        </w:rPr>
      </w:pPr>
      <w:r>
        <w:rPr>
          <w:lang w:val="en-GB"/>
        </w:rPr>
        <w:t>Teoh, S.</w:t>
      </w:r>
      <w:r w:rsidRPr="006A75D7">
        <w:rPr>
          <w:lang w:val="en-GB"/>
        </w:rPr>
        <w:t>H.</w:t>
      </w:r>
      <w:r>
        <w:rPr>
          <w:lang w:val="en-GB"/>
        </w:rPr>
        <w:t>,</w:t>
      </w:r>
      <w:r w:rsidRPr="006A75D7">
        <w:rPr>
          <w:lang w:val="en-GB"/>
        </w:rPr>
        <w:t xml:space="preserve"> and </w:t>
      </w:r>
      <w:r w:rsidR="008B6A78">
        <w:rPr>
          <w:lang w:val="en-GB"/>
        </w:rPr>
        <w:t xml:space="preserve">T.J. </w:t>
      </w:r>
      <w:r w:rsidRPr="006A75D7">
        <w:rPr>
          <w:lang w:val="en-GB"/>
        </w:rPr>
        <w:t>Wong</w:t>
      </w:r>
      <w:r w:rsidR="008B6A78">
        <w:rPr>
          <w:lang w:val="en-GB"/>
        </w:rPr>
        <w:t>. 2002</w:t>
      </w:r>
      <w:r w:rsidRPr="006A75D7">
        <w:rPr>
          <w:lang w:val="en-GB"/>
        </w:rPr>
        <w:t xml:space="preserve">. Why new issues and high-accrual firms underperform: The role of analysts’ credulity. </w:t>
      </w:r>
      <w:r w:rsidRPr="008B6A78">
        <w:rPr>
          <w:i/>
          <w:lang w:val="en-GB"/>
        </w:rPr>
        <w:t>The Review of Financial Studies</w:t>
      </w:r>
      <w:r>
        <w:rPr>
          <w:lang w:val="en-GB"/>
        </w:rPr>
        <w:t>, 15, 3 (July),</w:t>
      </w:r>
      <w:r w:rsidRPr="006A75D7">
        <w:rPr>
          <w:lang w:val="en-GB"/>
        </w:rPr>
        <w:t xml:space="preserve"> 869–900.</w:t>
      </w:r>
    </w:p>
    <w:p w:rsidR="00977FC8" w:rsidRPr="006A75D7" w:rsidRDefault="008B6A78" w:rsidP="0095470E">
      <w:pPr>
        <w:ind w:left="567" w:hanging="567"/>
        <w:rPr>
          <w:lang w:val="en-GB"/>
        </w:rPr>
      </w:pPr>
      <w:r>
        <w:rPr>
          <w:lang w:val="en-GB"/>
        </w:rPr>
        <w:t>Van der Bauwhede, H. 2003</w:t>
      </w:r>
      <w:r w:rsidR="00977FC8" w:rsidRPr="00067B3E">
        <w:rPr>
          <w:lang w:val="en-GB"/>
        </w:rPr>
        <w:t xml:space="preserve">. </w:t>
      </w:r>
      <w:r w:rsidR="00977FC8" w:rsidRPr="007C484B">
        <w:rPr>
          <w:lang w:val="nl-NL"/>
        </w:rPr>
        <w:t xml:space="preserve">Resultaatsturing en kapitaalmarkten: een overzicht van de academische literatuur. </w:t>
      </w:r>
      <w:r w:rsidR="00977FC8" w:rsidRPr="008B6A78">
        <w:rPr>
          <w:i/>
          <w:lang w:val="en-GB"/>
        </w:rPr>
        <w:t>Maandblad voor Accountancy en Bedrijfseconomie</w:t>
      </w:r>
      <w:r w:rsidR="00977FC8">
        <w:rPr>
          <w:lang w:val="en-GB"/>
        </w:rPr>
        <w:t xml:space="preserve">, mei 2003: </w:t>
      </w:r>
      <w:r w:rsidR="00977FC8" w:rsidRPr="006A75D7">
        <w:rPr>
          <w:lang w:val="en-GB"/>
        </w:rPr>
        <w:t>196-204.</w:t>
      </w:r>
    </w:p>
    <w:p w:rsidR="00977FC8" w:rsidRPr="006A75D7" w:rsidRDefault="00977FC8" w:rsidP="003B3CFC">
      <w:pPr>
        <w:rPr>
          <w:lang w:val="en-GB"/>
        </w:rPr>
      </w:pPr>
    </w:p>
    <w:p w:rsidR="00977FC8" w:rsidRPr="006A75D7" w:rsidRDefault="00977FC8" w:rsidP="003B3CFC">
      <w:pPr>
        <w:rPr>
          <w:lang w:val="en-GB"/>
        </w:rPr>
        <w:sectPr w:rsidR="00977FC8" w:rsidRPr="006A75D7" w:rsidSect="004A2697">
          <w:type w:val="continuous"/>
          <w:pgSz w:w="11907" w:h="16840" w:code="9"/>
          <w:pgMar w:top="1418" w:right="1418" w:bottom="1418" w:left="1418" w:header="709" w:footer="709" w:gutter="0"/>
          <w:cols w:space="708"/>
          <w:docGrid w:linePitch="360"/>
        </w:sectPr>
      </w:pPr>
    </w:p>
    <w:p w:rsidR="00977FC8" w:rsidRPr="006A75D7" w:rsidRDefault="00977FC8" w:rsidP="00F00BBB">
      <w:pPr>
        <w:pStyle w:val="Heading1"/>
        <w:numPr>
          <w:ilvl w:val="0"/>
          <w:numId w:val="0"/>
        </w:numPr>
        <w:rPr>
          <w:lang w:val="en-GB"/>
        </w:rPr>
      </w:pPr>
      <w:bookmarkStart w:id="84" w:name="_Toc274485459"/>
      <w:r w:rsidRPr="006A75D7">
        <w:rPr>
          <w:lang w:val="en-GB"/>
        </w:rPr>
        <w:lastRenderedPageBreak/>
        <w:t>Appendix</w:t>
      </w:r>
      <w:r>
        <w:rPr>
          <w:lang w:val="en-GB"/>
        </w:rPr>
        <w:t xml:space="preserve"> A</w:t>
      </w:r>
      <w:bookmarkEnd w:id="84"/>
    </w:p>
    <w:p w:rsidR="00977FC8" w:rsidRPr="006A75D7" w:rsidRDefault="00977FC8" w:rsidP="003B3CFC">
      <w:pPr>
        <w:rPr>
          <w:lang w:val="en-GB"/>
        </w:rPr>
      </w:pPr>
      <w:r>
        <w:rPr>
          <w:lang w:val="en-GB"/>
        </w:rPr>
        <w:t>S</w:t>
      </w:r>
      <w:r w:rsidRPr="006A75D7">
        <w:rPr>
          <w:lang w:val="en-GB"/>
        </w:rPr>
        <w:t>ummarization of the empirical findings of prior research.</w:t>
      </w:r>
    </w:p>
    <w:p w:rsidR="00977FC8" w:rsidRPr="006A75D7" w:rsidRDefault="00977FC8" w:rsidP="003B3CFC">
      <w:pPr>
        <w:rPr>
          <w:lang w:val="en-GB"/>
        </w:rPr>
      </w:pPr>
    </w:p>
    <w:tbl>
      <w:tblPr>
        <w:tblW w:w="16126" w:type="dxa"/>
        <w:jc w:val="center"/>
        <w:tblLook w:val="00A0"/>
      </w:tblPr>
      <w:tblGrid>
        <w:gridCol w:w="577"/>
        <w:gridCol w:w="1704"/>
        <w:gridCol w:w="727"/>
        <w:gridCol w:w="1499"/>
        <w:gridCol w:w="1256"/>
        <w:gridCol w:w="1789"/>
        <w:gridCol w:w="2570"/>
        <w:gridCol w:w="2908"/>
        <w:gridCol w:w="3096"/>
      </w:tblGrid>
      <w:tr w:rsidR="00977FC8" w:rsidRPr="006A75D7" w:rsidTr="00095DB1">
        <w:trPr>
          <w:trHeight w:val="945"/>
          <w:jc w:val="center"/>
        </w:trPr>
        <w:tc>
          <w:tcPr>
            <w:tcW w:w="577" w:type="dxa"/>
            <w:tcBorders>
              <w:bottom w:val="single" w:sz="12" w:space="0" w:color="000000"/>
              <w:right w:val="single" w:sz="12" w:space="0" w:color="000000"/>
            </w:tcBorders>
            <w:noWrap/>
          </w:tcPr>
          <w:p w:rsidR="00977FC8" w:rsidRPr="006A75D7" w:rsidRDefault="00977FC8" w:rsidP="00095DB1">
            <w:pPr>
              <w:spacing w:line="240" w:lineRule="auto"/>
              <w:rPr>
                <w:rFonts w:ascii="Cambria" w:hAnsi="Cambria" w:cs="Arial"/>
                <w:b/>
                <w:bCs/>
                <w:sz w:val="20"/>
                <w:szCs w:val="20"/>
                <w:lang w:val="en-GB" w:eastAsia="nl-NL" w:bidi="ar-SA"/>
              </w:rPr>
            </w:pPr>
          </w:p>
        </w:tc>
        <w:tc>
          <w:tcPr>
            <w:tcW w:w="1704" w:type="dxa"/>
            <w:tcBorders>
              <w:bottom w:val="single" w:sz="12" w:space="0" w:color="000000"/>
            </w:tcBorders>
          </w:tcPr>
          <w:p w:rsidR="00977FC8" w:rsidRPr="006A75D7" w:rsidRDefault="00977FC8" w:rsidP="00095DB1">
            <w:pPr>
              <w:spacing w:line="240" w:lineRule="auto"/>
              <w:jc w:val="center"/>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Author(s)</w:t>
            </w:r>
          </w:p>
        </w:tc>
        <w:tc>
          <w:tcPr>
            <w:tcW w:w="728" w:type="dxa"/>
            <w:tcBorders>
              <w:bottom w:val="single" w:sz="12" w:space="0" w:color="000000"/>
            </w:tcBorders>
          </w:tcPr>
          <w:p w:rsidR="00977FC8" w:rsidRPr="006A75D7" w:rsidRDefault="00977FC8" w:rsidP="00095DB1">
            <w:pPr>
              <w:spacing w:line="240" w:lineRule="auto"/>
              <w:jc w:val="center"/>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Year</w:t>
            </w:r>
          </w:p>
        </w:tc>
        <w:tc>
          <w:tcPr>
            <w:tcW w:w="1498" w:type="dxa"/>
            <w:tcBorders>
              <w:bottom w:val="single" w:sz="12" w:space="0" w:color="000000"/>
            </w:tcBorders>
          </w:tcPr>
          <w:p w:rsidR="00977FC8" w:rsidRPr="006A75D7" w:rsidRDefault="00977FC8" w:rsidP="00095DB1">
            <w:pPr>
              <w:spacing w:line="240" w:lineRule="auto"/>
              <w:jc w:val="center"/>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Title paper</w:t>
            </w:r>
          </w:p>
        </w:tc>
        <w:tc>
          <w:tcPr>
            <w:tcW w:w="1256" w:type="dxa"/>
            <w:tcBorders>
              <w:bottom w:val="single" w:sz="12" w:space="0" w:color="000000"/>
            </w:tcBorders>
          </w:tcPr>
          <w:p w:rsidR="00977FC8" w:rsidRPr="006A75D7" w:rsidRDefault="00977FC8" w:rsidP="00095DB1">
            <w:pPr>
              <w:spacing w:line="240" w:lineRule="auto"/>
              <w:jc w:val="center"/>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Journal</w:t>
            </w:r>
          </w:p>
        </w:tc>
        <w:tc>
          <w:tcPr>
            <w:tcW w:w="1789" w:type="dxa"/>
            <w:tcBorders>
              <w:bottom w:val="single" w:sz="12" w:space="0" w:color="000000"/>
            </w:tcBorders>
          </w:tcPr>
          <w:p w:rsidR="00977FC8" w:rsidRPr="006A75D7" w:rsidRDefault="00977FC8" w:rsidP="00095DB1">
            <w:pPr>
              <w:spacing w:line="240" w:lineRule="auto"/>
              <w:jc w:val="center"/>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Object of study</w:t>
            </w:r>
          </w:p>
        </w:tc>
        <w:tc>
          <w:tcPr>
            <w:tcW w:w="2570" w:type="dxa"/>
            <w:tcBorders>
              <w:bottom w:val="single" w:sz="12" w:space="0" w:color="000000"/>
            </w:tcBorders>
          </w:tcPr>
          <w:p w:rsidR="00977FC8" w:rsidRPr="006A75D7" w:rsidRDefault="00977FC8" w:rsidP="00095DB1">
            <w:pPr>
              <w:spacing w:line="240" w:lineRule="auto"/>
              <w:jc w:val="center"/>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Sample (sample size, country, research period)</w:t>
            </w:r>
          </w:p>
        </w:tc>
        <w:tc>
          <w:tcPr>
            <w:tcW w:w="2908" w:type="dxa"/>
            <w:tcBorders>
              <w:bottom w:val="single" w:sz="12" w:space="0" w:color="000000"/>
            </w:tcBorders>
          </w:tcPr>
          <w:p w:rsidR="00977FC8" w:rsidRPr="006A75D7" w:rsidRDefault="00977FC8" w:rsidP="00095DB1">
            <w:pPr>
              <w:spacing w:line="240" w:lineRule="auto"/>
              <w:jc w:val="center"/>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Methodology</w:t>
            </w:r>
          </w:p>
        </w:tc>
        <w:tc>
          <w:tcPr>
            <w:tcW w:w="3096" w:type="dxa"/>
            <w:tcBorders>
              <w:bottom w:val="single" w:sz="12" w:space="0" w:color="000000"/>
            </w:tcBorders>
          </w:tcPr>
          <w:p w:rsidR="00977FC8" w:rsidRPr="006A75D7" w:rsidRDefault="00977FC8" w:rsidP="00095DB1">
            <w:pPr>
              <w:spacing w:line="240" w:lineRule="auto"/>
              <w:jc w:val="center"/>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Results</w:t>
            </w:r>
          </w:p>
        </w:tc>
      </w:tr>
      <w:tr w:rsidR="00977FC8" w:rsidRPr="006A75D7" w:rsidTr="00095DB1">
        <w:trPr>
          <w:trHeight w:val="3060"/>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#1</w:t>
            </w:r>
          </w:p>
        </w:tc>
        <w:tc>
          <w:tcPr>
            <w:tcW w:w="1704" w:type="dxa"/>
          </w:tcPr>
          <w:p w:rsidR="00977FC8" w:rsidRPr="008352E7" w:rsidRDefault="00977FC8" w:rsidP="00095DB1">
            <w:pPr>
              <w:spacing w:line="240" w:lineRule="auto"/>
              <w:jc w:val="left"/>
              <w:rPr>
                <w:rFonts w:ascii="Cambria" w:hAnsi="Cambria" w:cs="Arial"/>
                <w:sz w:val="20"/>
                <w:szCs w:val="20"/>
                <w:lang w:val="de-DE" w:eastAsia="nl-NL" w:bidi="ar-SA"/>
              </w:rPr>
            </w:pPr>
            <w:r w:rsidRPr="008352E7">
              <w:rPr>
                <w:rFonts w:ascii="Cambria" w:hAnsi="Cambria" w:cs="Arial"/>
                <w:sz w:val="20"/>
                <w:szCs w:val="20"/>
                <w:lang w:val="de-DE" w:eastAsia="nl-NL" w:bidi="ar-SA"/>
              </w:rPr>
              <w:t>Cheng Q., D.B. Farber</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2008</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Earnings restatements, changes in CEO compensation, and firm performance</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Accounting Review</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Compensation contracts of CEO’s following an earnings restatement.</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sample size of this study is 289 restatements from the period of 1997 to 2001 from companies who are listed at the NYSE, the AMEX or the Nasdag.</w:t>
            </w:r>
          </w:p>
        </w:tc>
        <w:tc>
          <w:tcPr>
            <w:tcW w:w="2908" w:type="dxa"/>
          </w:tcPr>
          <w:p w:rsidR="00977FC8" w:rsidRPr="006A75D7" w:rsidRDefault="00977FC8" w:rsidP="00E73ED7">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For each restatement firm compensation data is collected. First the pre- and post-restatement levels of restatement firms' CEO option grants is compared to calculate the change in option grants around restatements. Then this change is compared to the change in option grants for control group over the same period. Furthermore, there is examined whether the reducting in option-based compensation leads to improved performance.</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Restatement firms, compared to control firms, reduce the proportion of CEO’s total compensation that is option-based following a restatement. Thus, restatements firms are likely to view reducing option-based compensation as an important means of reducing their agency problems.       Furthermore, the authors find evidence of improved operating performance following the reduction in option-based compensation. </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lastRenderedPageBreak/>
              <w:t>#2</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McAnally M.L., A. Srivastava, C.D. Weaver</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2008</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Executive stock options, missed earnings targets, and earnings management</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Accounting Review</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Why managers miss earnings targets. </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This paper uses two distinct samples: one with quarterly data and one with annual data. The quarterly dataset includes 54,934 firm-quarter observations from 1992 to 2005 and the annual dataset includes 7,916 firm-years from the same period. </w:t>
            </w:r>
          </w:p>
          <w:p w:rsidR="00977FC8" w:rsidRPr="006A75D7" w:rsidRDefault="00977FC8" w:rsidP="00095DB1">
            <w:pPr>
              <w:spacing w:line="240" w:lineRule="auto"/>
              <w:jc w:val="left"/>
              <w:rPr>
                <w:rFonts w:ascii="Cambria" w:hAnsi="Cambria" w:cs="Arial"/>
                <w:sz w:val="20"/>
                <w:szCs w:val="20"/>
                <w:lang w:val="en-GB" w:eastAsia="nl-NL" w:bidi="ar-SA"/>
              </w:rPr>
            </w:pP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To test whether missed earnings targets are unassociated with subsequent stock-option grants, there is determined whether the value of option grants following a missed quarterly earnings target is different from the value of grants that follow no misses. </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Firms that miss earnings targets have larger and more valuable subsequent grants and firms are more likely to miss earnings targets just before large CEO option grants. Furthermore, the likelihood of missing earnings targets for firms that manage earnings downwards increases with stock-option grants.</w:t>
            </w:r>
          </w:p>
        </w:tc>
      </w:tr>
      <w:tr w:rsidR="00977FC8" w:rsidRPr="006A75D7" w:rsidTr="00095DB1">
        <w:trPr>
          <w:trHeight w:val="2040"/>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#3</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Cheng Q., T.D. Warfield</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2005</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Equity incentives and earnings management</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Accounting Review</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relation between equity incentives and earnings management.</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All firm-years with data on CEO's stock-based compensation and ownership available from the Standard &amp; Poor's ExecuComp database for the period 1993 to 2000. </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First the relation between equity incentives and future trading is reported. Second results on the impact of equity incentives on the probability of meeting or just beating analysts' forecasts are investigated. Last, there is investigated whether managers sell more after earnings management. </w:t>
            </w:r>
          </w:p>
          <w:p w:rsidR="00977FC8" w:rsidRPr="006A75D7" w:rsidRDefault="00977FC8" w:rsidP="00095DB1">
            <w:pPr>
              <w:spacing w:line="240" w:lineRule="auto"/>
              <w:jc w:val="left"/>
              <w:rPr>
                <w:rFonts w:ascii="Cambria" w:hAnsi="Cambria" w:cs="Arial"/>
                <w:sz w:val="20"/>
                <w:szCs w:val="20"/>
                <w:lang w:val="en-GB" w:eastAsia="nl-NL" w:bidi="ar-SA"/>
              </w:rPr>
            </w:pP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High equity incentive managers are more likely to sell shares in the year after earnings announcements and have a higher incidence of meeting or just beating analysts' forecasts. Overall, the study suggest that stock-based compensation can lead to incentives for earnings management.</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#4</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Barton J.</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2001</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Does the use of financial derivatives affect earnings management decisions?</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Accounting Review</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Assess the extent to which managers trade off derivatives and discretionary accruals to control earnings volatility.</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The sample consists of 304 nonfinancial, nonregulated Fortune 500 firm's from 1994 to 1996. </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A set of simultaneous equations that captures management’ incentives to maintain a desired level of earnings volatility through hedging and managing accruals are estimated. Derivatives are measured using notional amounts and discretionary accruals using the modified Jones model. </w:t>
            </w:r>
          </w:p>
          <w:p w:rsidR="00977FC8" w:rsidRPr="006A75D7" w:rsidRDefault="00977FC8" w:rsidP="00095DB1">
            <w:pPr>
              <w:spacing w:line="240" w:lineRule="auto"/>
              <w:jc w:val="left"/>
              <w:rPr>
                <w:rFonts w:ascii="Cambria" w:hAnsi="Cambria" w:cs="Arial"/>
                <w:sz w:val="20"/>
                <w:szCs w:val="20"/>
                <w:lang w:val="en-GB" w:eastAsia="nl-NL" w:bidi="ar-SA"/>
              </w:rPr>
            </w:pP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Firms holding derivative portfolios with large notional amounts have lower absolute level of discretionary accruals. The results suggest that the magnitude of notional amounts and discretionary accruals are endogenous. Managers smooth their firms’ earnings by adjusting the volatilities of cash flow and accruals. </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lastRenderedPageBreak/>
              <w:t>#5</w:t>
            </w:r>
          </w:p>
        </w:tc>
        <w:tc>
          <w:tcPr>
            <w:tcW w:w="1704" w:type="dxa"/>
          </w:tcPr>
          <w:p w:rsidR="00977FC8" w:rsidRPr="007C484B" w:rsidRDefault="00977FC8" w:rsidP="00095DB1">
            <w:pPr>
              <w:spacing w:line="240" w:lineRule="auto"/>
              <w:jc w:val="left"/>
              <w:rPr>
                <w:rFonts w:ascii="Cambria" w:hAnsi="Cambria" w:cs="Arial"/>
                <w:sz w:val="20"/>
                <w:szCs w:val="20"/>
                <w:lang w:val="nl-NL" w:eastAsia="nl-NL" w:bidi="ar-SA"/>
              </w:rPr>
            </w:pPr>
            <w:r w:rsidRPr="007C484B">
              <w:rPr>
                <w:rFonts w:ascii="Cambria" w:hAnsi="Cambria" w:cs="Arial"/>
                <w:sz w:val="20"/>
                <w:szCs w:val="20"/>
                <w:lang w:val="nl-NL" w:eastAsia="nl-NL" w:bidi="ar-SA"/>
              </w:rPr>
              <w:t>Daniel N.D., D.J. Denis, L. Naveen</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2008</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Do firms manage earnings to meet dividend thresholds?</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of Accounting and Economics</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Whether firms manage earnings to meet dividend thresholds. </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The sample consists of 1500 firm's listed in the Standard &amp; Poor's ExecuComp database for the period 1992 to 2005. </w:t>
            </w:r>
            <w:r w:rsidRPr="006A75D7">
              <w:rPr>
                <w:rFonts w:ascii="Cambria" w:hAnsi="Cambria" w:cs="Arial"/>
                <w:sz w:val="20"/>
                <w:szCs w:val="20"/>
                <w:lang w:val="en-GB" w:eastAsia="nl-NL" w:bidi="ar-SA"/>
              </w:rPr>
              <w:br w:type="page"/>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First, the non-discretionary and discretionary components of total accruals are estimated. Second, regressions are estimated separately for each two-digit SIC industry for each year. Finally, the dollar values</w:t>
            </w:r>
            <w:r w:rsidRPr="006A75D7">
              <w:rPr>
                <w:rFonts w:ascii="Cambria" w:hAnsi="Cambria" w:cs="Arial"/>
                <w:sz w:val="20"/>
                <w:szCs w:val="20"/>
                <w:lang w:val="en-GB" w:eastAsia="nl-NL" w:bidi="ar-SA"/>
              </w:rPr>
              <w:br w:type="page"/>
              <w:t>of discretionary and non-discretionary components are obtained by multiplying the values calculated above</w:t>
            </w:r>
            <w:r w:rsidRPr="006A75D7">
              <w:rPr>
                <w:rFonts w:ascii="Cambria" w:hAnsi="Cambria" w:cs="Arial"/>
                <w:sz w:val="20"/>
                <w:szCs w:val="20"/>
                <w:lang w:val="en-GB" w:eastAsia="nl-NL" w:bidi="ar-SA"/>
              </w:rPr>
              <w:br w:type="page"/>
              <w:t>by the firm’s lagged assets.</w:t>
            </w:r>
            <w:r w:rsidRPr="006A75D7">
              <w:rPr>
                <w:rFonts w:ascii="Cambria" w:hAnsi="Cambria" w:cs="Arial"/>
                <w:sz w:val="20"/>
                <w:szCs w:val="20"/>
                <w:lang w:val="en-GB" w:eastAsia="nl-NL" w:bidi="ar-SA"/>
              </w:rPr>
              <w:br w:type="page"/>
            </w:r>
          </w:p>
          <w:p w:rsidR="00977FC8" w:rsidRPr="006A75D7" w:rsidRDefault="00977FC8" w:rsidP="00095DB1">
            <w:pPr>
              <w:spacing w:line="240" w:lineRule="auto"/>
              <w:jc w:val="left"/>
              <w:rPr>
                <w:rFonts w:ascii="Cambria" w:hAnsi="Cambria" w:cs="Arial"/>
                <w:sz w:val="20"/>
                <w:szCs w:val="20"/>
                <w:lang w:val="en-GB" w:eastAsia="nl-NL" w:bidi="ar-SA"/>
              </w:rPr>
            </w:pP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Dividend-paying firms tend to manage earnings upward when their earnings would otherwise fall short of expected dividend levels. This earnings management behavior appears to significantly impact the likelihood of a dividend cut. The findings imply that managers treat expected dividend levels as an important earnings threshold.</w:t>
            </w:r>
            <w:r w:rsidRPr="006A75D7">
              <w:rPr>
                <w:rFonts w:ascii="Cambria" w:hAnsi="Cambria" w:cs="Arial"/>
                <w:sz w:val="20"/>
                <w:szCs w:val="20"/>
                <w:lang w:val="en-GB" w:eastAsia="nl-NL" w:bidi="ar-SA"/>
              </w:rPr>
              <w:br w:type="page"/>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#6</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Bartov E., P. Mohanram</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2004</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Private information, earnings manipulations, and executive stock-option exercises</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Accounting Review</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To determine whether the ability of top-level executives to time stock-option exercises exist.</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sample consist of 1,322 firm-years (1,218 firms) over a period from 1992 to 2001 from the Standard &amp; Poor's ExecuComp database.</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matched pair design is used to match a firm-year with abnormally high exercise with a firm that in the exercise year has normal exercises but is otherwise similar.</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Abnormally positive stock price changes in the pre-exercise year turn abnormally negative after the exercise. Overall, the private information used by top-level executives to time abnormally large exercises follows from earnings management so as to increase the cash payout of exercises.</w:t>
            </w:r>
          </w:p>
          <w:p w:rsidR="00977FC8" w:rsidRPr="006A75D7" w:rsidRDefault="00977FC8" w:rsidP="00095DB1">
            <w:pPr>
              <w:spacing w:line="240" w:lineRule="auto"/>
              <w:jc w:val="left"/>
              <w:rPr>
                <w:rFonts w:ascii="Cambria" w:hAnsi="Cambria" w:cs="Arial"/>
                <w:sz w:val="20"/>
                <w:szCs w:val="20"/>
                <w:lang w:val="en-GB" w:eastAsia="nl-NL" w:bidi="ar-SA"/>
              </w:rPr>
            </w:pP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#7</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Ashley A.S., S.S.M. Yang</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2004</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Executive Compensation and Earnings Persistence</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of Business Ethics</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Investigates the effect of earnings persistence on the type or form of executive compensation</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Firms followed in time from 1993-1998. In total 6,924 firm years. Additional control variables are size, tenure horizon, age and industry effects.</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Total accruals scaled by total assets as a measure of earnings persistence. Firms with a high earnings persistence are expected to use earnings for management compensation. Firms with a low earnings persistence are expected to use cash flow from operations for management compensation.</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Firms with high earnings persistence tend to be larger in size, report higher earnings, lower stock returns and use more cash compensation to reward executives. This in accordance with expectations. Reason, high earnings persistence firms are larger and therefore can afford to diversify activities, making them less vulnerable to market changes. Firms with smaller earnings persistence tend to </w:t>
            </w:r>
            <w:r w:rsidRPr="006A75D7">
              <w:rPr>
                <w:rFonts w:ascii="Cambria" w:hAnsi="Cambria" w:cs="Arial"/>
                <w:sz w:val="20"/>
                <w:szCs w:val="20"/>
                <w:lang w:val="en-GB" w:eastAsia="nl-NL" w:bidi="ar-SA"/>
              </w:rPr>
              <w:lastRenderedPageBreak/>
              <w:t>reward management with equity -based compensation, i.e. stock options.</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lastRenderedPageBreak/>
              <w:t>#8</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Bauman M.P., K.W. Shaw</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2006</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Stock option compensation and the likelihood of meeting analysts' quarterly earnings targets</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Review of quantitative finance and accounting</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relation between stock options employed in a firm's executive pay plan and the firm's propensity to meet or beat analysts' earnings forecasts.</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2,513 firms top 5 executives from the years 1992-2002. </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Earnings per share is set off against analyst forecast (MEET) and if difference is between 0 and 1 cent per share (SHARE).</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Firms that employ higher amounts of stock option compensation in their top executive pay schemes more frequently meet or beat analysts' quarterly earnings targets, and more frequently report small earnings surprises, than firms with lower stock-based compensation.</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#9</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Roychowdhury,S.</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2006</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Earnings management through real activities manipulation</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for Accounting and Economics</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Contributes to the literature on earnings management by presenting evidence on the management of operational activities. Prior literature focuses more on detecting abnormal accruals.</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All firms in COMPUSTAT between 1987 and 2001 that have sufficient data available for the calculations needed. Data is analyzed is taken from annual figures. In total 17,338 firms year spread over 3,672 firms</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Based on the model of Dechow, normal levels for CFO, production costs and discretionary expenses are attained for each firm. Deviations from normal levels are termed abnormal. These firms are stated suspect firms. </w:t>
            </w:r>
            <w:r w:rsidRPr="006A75D7">
              <w:rPr>
                <w:rFonts w:ascii="Cambria" w:hAnsi="Cambria" w:cs="Arial"/>
                <w:sz w:val="20"/>
                <w:szCs w:val="20"/>
                <w:lang w:val="en-GB" w:eastAsia="nl-NL" w:bidi="ar-SA"/>
              </w:rPr>
              <w:br/>
              <w:t xml:space="preserve">The three different categories are to establish weather or not there in differences in the managerial decisions or operational activities, rather that reported activities. </w:t>
            </w:r>
          </w:p>
          <w:p w:rsidR="00977FC8" w:rsidRPr="006A75D7" w:rsidRDefault="00977FC8" w:rsidP="00095DB1">
            <w:pPr>
              <w:spacing w:line="240" w:lineRule="auto"/>
              <w:jc w:val="left"/>
              <w:rPr>
                <w:rFonts w:ascii="Cambria" w:hAnsi="Cambria" w:cs="Arial"/>
                <w:sz w:val="20"/>
                <w:szCs w:val="20"/>
                <w:lang w:val="en-GB" w:eastAsia="nl-NL" w:bidi="ar-SA"/>
              </w:rPr>
            </w:pP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results complement existing literature on earnings management. Methods have been developed to detect real activity manipulation in large samples. The paper also detects activity manipulation around earnings threshold, particularly the zero threshold. Furthermore, insights are given into the factors of activity manipulation.</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lastRenderedPageBreak/>
              <w:t>#10</w:t>
            </w:r>
          </w:p>
        </w:tc>
        <w:tc>
          <w:tcPr>
            <w:tcW w:w="1704" w:type="dxa"/>
          </w:tcPr>
          <w:p w:rsidR="00977FC8" w:rsidRPr="0065693E" w:rsidRDefault="00977FC8" w:rsidP="00095DB1">
            <w:pPr>
              <w:spacing w:line="240" w:lineRule="auto"/>
              <w:jc w:val="left"/>
              <w:rPr>
                <w:rFonts w:ascii="Cambria" w:hAnsi="Cambria" w:cs="Arial"/>
                <w:sz w:val="20"/>
                <w:szCs w:val="20"/>
                <w:lang w:val="nl-NL" w:eastAsia="nl-NL" w:bidi="ar-SA"/>
              </w:rPr>
            </w:pPr>
            <w:r w:rsidRPr="0065693E">
              <w:rPr>
                <w:rFonts w:ascii="Cambria" w:hAnsi="Cambria" w:cs="Arial"/>
                <w:sz w:val="20"/>
                <w:szCs w:val="20"/>
                <w:lang w:val="nl-NL" w:eastAsia="nl-NL" w:bidi="ar-SA"/>
              </w:rPr>
              <w:t>Coles J.L., M. Hertzel, S. Kalpathy</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2006</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Earnings management around employee stock option reissues</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for Accounting and Economics</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Examines earnings management around the cancellation and subsequent reissue of executive (and other employee) stock options.</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159 firms that undertook an option exchange program over the period 2001 through the second quarter of 2002. 54 made an public announcement of the exchange program.</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To establish earnings management, the standard Jones model has been used. To ensure that earnings changes are not due to actual firm performance. Total accruals and discretionary accruals are examined prior to reset date.</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Evidence of abnormally low discretionary accruals leading up to the option reissue date is evident. Thus, even in a setting where investors are aware of the incentives to manipulate stock price, it appears that managers still attempt to manage accruals to their own benefit. The market doesn't seem to respond to abnormally low discretionary accruals. </w:t>
            </w:r>
          </w:p>
          <w:p w:rsidR="00977FC8" w:rsidRPr="006A75D7" w:rsidRDefault="00977FC8" w:rsidP="00095DB1">
            <w:pPr>
              <w:spacing w:line="240" w:lineRule="auto"/>
              <w:jc w:val="left"/>
              <w:rPr>
                <w:rFonts w:ascii="Cambria" w:hAnsi="Cambria" w:cs="Arial"/>
                <w:sz w:val="20"/>
                <w:szCs w:val="20"/>
                <w:lang w:val="en-GB" w:eastAsia="nl-NL" w:bidi="ar-SA"/>
              </w:rPr>
            </w:pP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#11</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Kothari S.P., A.J. Leone, C.E. Wasley </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2005</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Performance matched discretionary accrual measures</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for Accounting and Economics</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Test whether a performance-matched</w:t>
            </w:r>
            <w:r w:rsidRPr="006A75D7">
              <w:rPr>
                <w:rFonts w:ascii="Cambria" w:hAnsi="Cambria" w:cs="Arial"/>
                <w:sz w:val="20"/>
                <w:szCs w:val="20"/>
                <w:lang w:val="en-GB" w:eastAsia="nl-NL" w:bidi="ar-SA"/>
              </w:rPr>
              <w:br/>
              <w:t>discretionary-accrual approach is well specified and powerful at estimating discretionary accruals.</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All firm-year observations from the COMPUSTAT Industrial Annual, and Research files from 1962 through 1999. All firms that don't have sufficient data to compute the Jones model are excluded.</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Estimate for the performance-matched Jones model discretionary accrual is made. Similarly estimates for the performance-matched modified-Jones model discretionary accrual is done. Both estimates are compared. </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Compared to the standard model used to find earnings management, the discretionary accrual approach seems to have a better effect. However the writes do state that it is not possible to uses this method in all circumstances. This in mind the Jones and modified Jones model are easier and more practical.</w:t>
            </w:r>
          </w:p>
          <w:p w:rsidR="00977FC8" w:rsidRPr="006A75D7" w:rsidRDefault="00977FC8" w:rsidP="00095DB1">
            <w:pPr>
              <w:spacing w:line="240" w:lineRule="auto"/>
              <w:jc w:val="left"/>
              <w:rPr>
                <w:rFonts w:ascii="Cambria" w:hAnsi="Cambria" w:cs="Arial"/>
                <w:sz w:val="20"/>
                <w:szCs w:val="20"/>
                <w:lang w:val="en-GB" w:eastAsia="nl-NL" w:bidi="ar-SA"/>
              </w:rPr>
            </w:pP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#12</w:t>
            </w:r>
          </w:p>
        </w:tc>
        <w:tc>
          <w:tcPr>
            <w:tcW w:w="1704" w:type="dxa"/>
          </w:tcPr>
          <w:p w:rsidR="00977FC8" w:rsidRPr="008352E7" w:rsidRDefault="00977FC8" w:rsidP="00095DB1">
            <w:pPr>
              <w:spacing w:line="240" w:lineRule="auto"/>
              <w:jc w:val="left"/>
              <w:rPr>
                <w:rFonts w:ascii="Cambria" w:hAnsi="Cambria" w:cs="Arial"/>
                <w:sz w:val="20"/>
                <w:szCs w:val="20"/>
                <w:lang w:val="fr-FR" w:eastAsia="nl-NL" w:bidi="ar-SA"/>
              </w:rPr>
            </w:pPr>
            <w:r w:rsidRPr="008352E7">
              <w:rPr>
                <w:rFonts w:ascii="Cambria" w:hAnsi="Cambria" w:cs="Arial"/>
                <w:sz w:val="20"/>
                <w:szCs w:val="20"/>
                <w:lang w:val="fr-FR" w:eastAsia="nl-NL" w:bidi="ar-SA"/>
              </w:rPr>
              <w:t>Balachandran B., K. Chalmers, J. Haman</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2008</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On-market share buybacks, exercisable share options and earnings management</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Accounting and Finance</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association between earnings management and exercisable option holdings for buyback firms.</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138 Australian on-market buy-back firms from 1996 to 2003. </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Earnings management is analyzed using a variation of the cross-sectional modified Jones model. Discretionary current accruals is used as the measure for earnings management. Multiple regression analysis is used to test the association between discretionary current accruals and exercisable options and option exercises.</w:t>
            </w:r>
          </w:p>
          <w:p w:rsidR="00977FC8" w:rsidRPr="006A75D7" w:rsidRDefault="00977FC8" w:rsidP="00095DB1">
            <w:pPr>
              <w:spacing w:line="240" w:lineRule="auto"/>
              <w:jc w:val="left"/>
              <w:rPr>
                <w:rFonts w:ascii="Cambria" w:hAnsi="Cambria" w:cs="Arial"/>
                <w:sz w:val="20"/>
                <w:szCs w:val="20"/>
                <w:lang w:val="en-GB" w:eastAsia="nl-NL" w:bidi="ar-SA"/>
              </w:rPr>
            </w:pP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Findings suggest that firms’ motivations for announcing share buybacks are related to firms’ compensation policies. Overall, the evidence provides support for the proposition that earnings management and on-market buyback announcements are mechanisms to ‘drive up’ share prices to increase the cash payout of share option exercises.</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lastRenderedPageBreak/>
              <w:t>#13</w:t>
            </w:r>
          </w:p>
        </w:tc>
        <w:tc>
          <w:tcPr>
            <w:tcW w:w="1704" w:type="dxa"/>
          </w:tcPr>
          <w:p w:rsidR="00977FC8" w:rsidRPr="007C484B" w:rsidRDefault="00977FC8" w:rsidP="00095DB1">
            <w:pPr>
              <w:spacing w:line="240" w:lineRule="auto"/>
              <w:jc w:val="left"/>
              <w:rPr>
                <w:rFonts w:ascii="Cambria" w:hAnsi="Cambria" w:cs="Arial"/>
                <w:sz w:val="20"/>
                <w:szCs w:val="20"/>
                <w:lang w:val="nl-NL" w:eastAsia="nl-NL" w:bidi="ar-SA"/>
              </w:rPr>
            </w:pPr>
            <w:r w:rsidRPr="007C484B">
              <w:rPr>
                <w:rFonts w:ascii="Cambria" w:hAnsi="Cambria" w:cs="Arial"/>
                <w:sz w:val="20"/>
                <w:szCs w:val="20"/>
                <w:lang w:val="nl-NL" w:eastAsia="nl-NL" w:bidi="ar-SA"/>
              </w:rPr>
              <w:t>Ronen J., J. Tzur, V. Yaari</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2006</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effect of directors’ equity incentives on earnings management</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of Accounting and Public Policy</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Examines the effect of insider trading by directors on the likelihood of earnings management, on the value of the firm and on the stock price.</w:t>
            </w:r>
          </w:p>
          <w:p w:rsidR="00977FC8" w:rsidRPr="006A75D7" w:rsidRDefault="00977FC8" w:rsidP="00095DB1">
            <w:pPr>
              <w:spacing w:line="240" w:lineRule="auto"/>
              <w:jc w:val="left"/>
              <w:rPr>
                <w:rFonts w:ascii="Cambria" w:hAnsi="Cambria" w:cs="Arial"/>
                <w:sz w:val="20"/>
                <w:szCs w:val="20"/>
                <w:lang w:val="en-GB" w:eastAsia="nl-NL" w:bidi="ar-SA"/>
              </w:rPr>
            </w:pP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Not applicable </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Not applicable </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Incentive packages contribute to motivating directors to tailor incentives for effort-averse managers. At the same time, they also induce directors to tacitly collude with managers in pernicious earnings management.</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#14</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Erickson M., M. Hanon, E.L. Maydew</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2006</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Is There a Link between Executive Equity Incentives and Accounting Fraud?</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of Accounting Research</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Examines whether the empirical evidence supports the claim that equity incentives are positively associated with the probability of accounting fraud</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50 firms that are both accused of fraud by the SEC and for which compensation data is available from 1996 to 2003. Further, 100 matched sample firms who are not accused of fraud and an unmatched sample which contains 13,033 firm-year observations on ExecuComp.</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A variety of equity incentive measures is estimated to compare accused firms with matched and unmatched samples of firms that are not accused of fraud. </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analysis reveals no consistent evidence to support the conclusion that the probability of accounting fraud is increasing in the sensitivity</w:t>
            </w:r>
            <w:r w:rsidRPr="006A75D7">
              <w:rPr>
                <w:rFonts w:ascii="Cambria" w:hAnsi="Cambria" w:cs="Arial"/>
                <w:sz w:val="20"/>
                <w:szCs w:val="20"/>
                <w:lang w:val="en-GB" w:eastAsia="nl-NL" w:bidi="ar-SA"/>
              </w:rPr>
              <w:br/>
              <w:t xml:space="preserve">of executives’ total equity or vested stock and stock option-based wealth to changes in stock prices. Also, managerial exercises of stock options and managerial stock sales are not significantly higher for fraud firms than for nonfraud firms. </w:t>
            </w:r>
          </w:p>
        </w:tc>
      </w:tr>
      <w:tr w:rsidR="00977FC8" w:rsidRPr="006A75D7" w:rsidTr="00095DB1">
        <w:trPr>
          <w:trHeight w:val="1611"/>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#15</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Core, J.E., W.R. Guay, D.F. Larcker</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2003</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Executive equity compensation and incentives: a survey</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Economic Policy Review</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To synthesize the broad literature on equity compensation and executive incentives.</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Not applicable - literature review</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Not applicable - literature review</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Not applicable - literature review</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lastRenderedPageBreak/>
              <w:t>#16</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Bergstresser D., T. Philippon</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2006</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CEO incentives and earnings management</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of Financial Economics</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Examines whether firms with CEO's whose overall compensation is more sensitive to company share prices have higher levels of earnings management.</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Data from the Compustat and and Compustat Executive Compensation</w:t>
            </w:r>
            <w:r w:rsidRPr="006A75D7">
              <w:rPr>
                <w:rFonts w:ascii="Cambria" w:hAnsi="Cambria" w:cs="Arial"/>
                <w:sz w:val="20"/>
                <w:szCs w:val="20"/>
                <w:lang w:val="en-GB" w:eastAsia="nl-NL" w:bidi="ar-SA"/>
              </w:rPr>
              <w:br/>
              <w:t>datasets.</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Overall accruals measures is derived from the income statements of the firms. Both the Jones model and the Modified Jones model are used to estimate nondiscretionary accruals. Finally, the relation between earnings manipulation and the power of CEO equity-based incentives is calculated. </w:t>
            </w:r>
          </w:p>
          <w:p w:rsidR="00977FC8" w:rsidRPr="006A75D7" w:rsidRDefault="00977FC8" w:rsidP="00095DB1">
            <w:pPr>
              <w:spacing w:line="240" w:lineRule="auto"/>
              <w:jc w:val="left"/>
              <w:rPr>
                <w:rFonts w:ascii="Cambria" w:hAnsi="Cambria" w:cs="Arial"/>
                <w:sz w:val="20"/>
                <w:szCs w:val="20"/>
                <w:lang w:val="en-GB" w:eastAsia="nl-NL" w:bidi="ar-SA"/>
              </w:rPr>
            </w:pP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Managers whose overall compensation is more sensitive to company share prices lead companies with higher levels of earnings management. Periods of high accruals coincide with unusually significant option exercises by CEOs and unloading of shares by CEOs and other top executives.</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#17</w:t>
            </w:r>
          </w:p>
        </w:tc>
        <w:tc>
          <w:tcPr>
            <w:tcW w:w="1704" w:type="dxa"/>
          </w:tcPr>
          <w:p w:rsidR="00977FC8" w:rsidRPr="008352E7" w:rsidRDefault="00977FC8" w:rsidP="00095DB1">
            <w:pPr>
              <w:spacing w:line="240" w:lineRule="auto"/>
              <w:jc w:val="left"/>
              <w:rPr>
                <w:rFonts w:ascii="Cambria" w:hAnsi="Cambria" w:cs="Arial"/>
                <w:sz w:val="20"/>
                <w:szCs w:val="20"/>
                <w:lang w:val="nl-NL" w:eastAsia="nl-NL" w:bidi="ar-SA"/>
              </w:rPr>
            </w:pPr>
            <w:r w:rsidRPr="008352E7">
              <w:rPr>
                <w:rFonts w:ascii="Cambria" w:hAnsi="Cambria" w:cs="Arial"/>
                <w:sz w:val="20"/>
                <w:szCs w:val="20"/>
                <w:lang w:val="nl-NL" w:eastAsia="nl-NL" w:bidi="ar-SA"/>
              </w:rPr>
              <w:t>Baker T., D. Collins, A. Reitenga</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2003</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Stock Option Compensation and Earnings Management Incentives</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of Accounting, Auditing &amp; Finance</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Examines whether the use of stock options relative to other forms of pay influences discretionary</w:t>
            </w:r>
            <w:r w:rsidRPr="006A75D7">
              <w:rPr>
                <w:rFonts w:ascii="Cambria" w:hAnsi="Cambria" w:cs="Arial"/>
                <w:sz w:val="20"/>
                <w:szCs w:val="20"/>
                <w:lang w:val="en-GB" w:eastAsia="nl-NL" w:bidi="ar-SA"/>
              </w:rPr>
              <w:br/>
              <w:t>accrual choices around option award dates.</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168 firms with 1,100 firm-year observations from 1992 to 1998 from The Wall Street Journal annual compensation survey.</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Earnings management is modeled as a function of relative option pay and several control variables. For the earnings management construct, discretionary accruals are computed using the modified Jones model on cross-sectional data. Finally, a number of control variables are included. </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 xml:space="preserve">The analysis provides strong evidence that the discretionary accruals component of annual earnings is influenced by relative option compensation. Managers who receive large option awards appear to make income-decreasing accrual choices as a means of decreasing the exercise price of their awards. </w:t>
            </w:r>
          </w:p>
        </w:tc>
      </w:tr>
      <w:tr w:rsidR="00977FC8" w:rsidRPr="006A75D7" w:rsidTr="00095DB1">
        <w:trPr>
          <w:trHeight w:val="2295"/>
          <w:jc w:val="center"/>
        </w:trPr>
        <w:tc>
          <w:tcPr>
            <w:tcW w:w="577" w:type="dxa"/>
            <w:tcBorders>
              <w:right w:val="single" w:sz="12" w:space="0" w:color="000000"/>
            </w:tcBorders>
            <w:noWrap/>
          </w:tcPr>
          <w:p w:rsidR="00977FC8" w:rsidRPr="006A75D7" w:rsidRDefault="00977FC8" w:rsidP="00095DB1">
            <w:pPr>
              <w:spacing w:line="240" w:lineRule="auto"/>
              <w:jc w:val="left"/>
              <w:rPr>
                <w:rFonts w:ascii="Cambria" w:hAnsi="Cambria" w:cs="Arial"/>
                <w:b/>
                <w:bCs/>
                <w:sz w:val="20"/>
                <w:szCs w:val="20"/>
                <w:lang w:val="en-GB" w:eastAsia="nl-NL" w:bidi="ar-SA"/>
              </w:rPr>
            </w:pPr>
            <w:r w:rsidRPr="006A75D7">
              <w:rPr>
                <w:rFonts w:ascii="Cambria" w:hAnsi="Cambria" w:cs="Arial"/>
                <w:b/>
                <w:bCs/>
                <w:sz w:val="20"/>
                <w:szCs w:val="20"/>
                <w:lang w:val="en-GB" w:eastAsia="nl-NL" w:bidi="ar-SA"/>
              </w:rPr>
              <w:t>#18</w:t>
            </w:r>
          </w:p>
        </w:tc>
        <w:tc>
          <w:tcPr>
            <w:tcW w:w="1704"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Gao, P., R.E. Shrieves</w:t>
            </w:r>
          </w:p>
        </w:tc>
        <w:tc>
          <w:tcPr>
            <w:tcW w:w="72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2002</w:t>
            </w:r>
          </w:p>
        </w:tc>
        <w:tc>
          <w:tcPr>
            <w:tcW w:w="149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Earnings Management and Executive Compensation: a Case of Overdose of Option and Underdose of Salary?</w:t>
            </w:r>
          </w:p>
        </w:tc>
        <w:tc>
          <w:tcPr>
            <w:tcW w:w="125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Journal of Financial Economics</w:t>
            </w:r>
          </w:p>
        </w:tc>
        <w:tc>
          <w:tcPr>
            <w:tcW w:w="1789"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Identify firm specific factors that influence the extent of earnings management, with a focus on managerial contracts.</w:t>
            </w:r>
          </w:p>
        </w:tc>
        <w:tc>
          <w:tcPr>
            <w:tcW w:w="2570"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executive compensation information is obtained from the Standard and Poor’s</w:t>
            </w:r>
            <w:r w:rsidRPr="006A75D7">
              <w:rPr>
                <w:rFonts w:ascii="Cambria" w:hAnsi="Cambria" w:cs="Arial"/>
                <w:sz w:val="20"/>
                <w:szCs w:val="20"/>
                <w:lang w:val="en-GB" w:eastAsia="nl-NL" w:bidi="ar-SA"/>
              </w:rPr>
              <w:br/>
              <w:t xml:space="preserve">ExecuComp database, which reports components of compensation for CEOs of 1,500 U.S. firms from 1992 to 1999. </w:t>
            </w:r>
          </w:p>
        </w:tc>
        <w:tc>
          <w:tcPr>
            <w:tcW w:w="2908"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authors use an estimate of discretionary current accruals as a proxy for earnings management. A modified version of Jones model is used to distinguish between discretionary and nondiscretionary components. The role of each</w:t>
            </w:r>
            <w:r w:rsidRPr="006A75D7">
              <w:rPr>
                <w:rFonts w:ascii="Cambria" w:hAnsi="Cambria" w:cs="Arial"/>
                <w:sz w:val="20"/>
                <w:szCs w:val="20"/>
                <w:lang w:val="en-GB" w:eastAsia="nl-NL" w:bidi="ar-SA"/>
              </w:rPr>
              <w:br/>
              <w:t>of the major compensation components: salary, bonus, restricted stock, options and long-term incentive plans is considered in this study.</w:t>
            </w:r>
          </w:p>
        </w:tc>
        <w:tc>
          <w:tcPr>
            <w:tcW w:w="3096" w:type="dxa"/>
          </w:tcPr>
          <w:p w:rsidR="00977FC8" w:rsidRPr="006A75D7" w:rsidRDefault="00977FC8" w:rsidP="00095DB1">
            <w:pPr>
              <w:spacing w:line="240" w:lineRule="auto"/>
              <w:jc w:val="left"/>
              <w:rPr>
                <w:rFonts w:ascii="Cambria" w:hAnsi="Cambria" w:cs="Arial"/>
                <w:sz w:val="20"/>
                <w:szCs w:val="20"/>
                <w:lang w:val="en-GB" w:eastAsia="nl-NL" w:bidi="ar-SA"/>
              </w:rPr>
            </w:pPr>
            <w:r w:rsidRPr="006A75D7">
              <w:rPr>
                <w:rFonts w:ascii="Cambria" w:hAnsi="Cambria" w:cs="Arial"/>
                <w:sz w:val="20"/>
                <w:szCs w:val="20"/>
                <w:lang w:val="en-GB" w:eastAsia="nl-NL" w:bidi="ar-SA"/>
              </w:rPr>
              <w:t>The amounts of current year stock option grants are reliably positively related to earnings</w:t>
            </w:r>
            <w:r w:rsidRPr="006A75D7">
              <w:rPr>
                <w:rFonts w:ascii="Cambria" w:hAnsi="Cambria" w:cs="Arial"/>
                <w:sz w:val="20"/>
                <w:szCs w:val="20"/>
                <w:lang w:val="en-GB" w:eastAsia="nl-NL" w:bidi="ar-SA"/>
              </w:rPr>
              <w:br/>
              <w:t xml:space="preserve">management intensity. The most important result of this study is that compensation contract design does influence earnings management. </w:t>
            </w:r>
          </w:p>
        </w:tc>
      </w:tr>
    </w:tbl>
    <w:p w:rsidR="00977FC8" w:rsidRDefault="00977FC8" w:rsidP="00A01328">
      <w:pPr>
        <w:spacing w:line="240" w:lineRule="auto"/>
        <w:jc w:val="left"/>
        <w:rPr>
          <w:lang w:val="en-GB"/>
        </w:rPr>
        <w:sectPr w:rsidR="00977FC8" w:rsidSect="00A72945">
          <w:pgSz w:w="16840" w:h="11907" w:orient="landscape" w:code="77"/>
          <w:pgMar w:top="1418" w:right="1418" w:bottom="323" w:left="1418" w:header="709" w:footer="709" w:gutter="0"/>
          <w:cols w:space="708"/>
          <w:docGrid w:linePitch="360"/>
        </w:sectPr>
      </w:pPr>
    </w:p>
    <w:p w:rsidR="00977FC8" w:rsidRPr="006A75D7" w:rsidRDefault="00977FC8" w:rsidP="00A569BD">
      <w:pPr>
        <w:pStyle w:val="Heading1"/>
        <w:numPr>
          <w:ilvl w:val="0"/>
          <w:numId w:val="0"/>
        </w:numPr>
        <w:rPr>
          <w:lang w:val="en-GB"/>
        </w:rPr>
      </w:pPr>
      <w:bookmarkStart w:id="85" w:name="_Toc274485460"/>
      <w:r w:rsidRPr="006A75D7">
        <w:rPr>
          <w:lang w:val="en-GB"/>
        </w:rPr>
        <w:lastRenderedPageBreak/>
        <w:t>Appendix</w:t>
      </w:r>
      <w:r>
        <w:rPr>
          <w:lang w:val="en-GB"/>
        </w:rPr>
        <w:t xml:space="preserve"> B</w:t>
      </w:r>
      <w:bookmarkEnd w:id="85"/>
    </w:p>
    <w:p w:rsidR="00977FC8" w:rsidRDefault="00977FC8" w:rsidP="00A569BD">
      <w:pPr>
        <w:rPr>
          <w:lang w:val="en-GB"/>
        </w:rPr>
      </w:pPr>
      <w:r>
        <w:rPr>
          <w:lang w:val="en-GB"/>
        </w:rPr>
        <w:t>A list of firms from the FTSE 100 index that are t</w:t>
      </w:r>
      <w:r w:rsidR="009740A1">
        <w:rPr>
          <w:lang w:val="en-GB"/>
        </w:rPr>
        <w:t xml:space="preserve">aken into account in this study and the corresponding error-terms (discretionary accruals) for 2005 and 2006 for each company. </w:t>
      </w:r>
    </w:p>
    <w:p w:rsidR="00977FC8" w:rsidRDefault="00977FC8" w:rsidP="00A569BD">
      <w:pPr>
        <w:rPr>
          <w:lang w:val="en-GB"/>
        </w:rPr>
      </w:pPr>
    </w:p>
    <w:p w:rsidR="00977FC8" w:rsidRPr="006A75D7" w:rsidRDefault="00977FC8" w:rsidP="00A569BD">
      <w:pPr>
        <w:rPr>
          <w:lang w:val="en-GB"/>
        </w:rPr>
      </w:pPr>
      <w:r>
        <w:rPr>
          <w:lang w:val="en-GB"/>
        </w:rPr>
        <w:t>FTSE 100 index on April 9th, 2009:</w:t>
      </w:r>
    </w:p>
    <w:tbl>
      <w:tblPr>
        <w:tblW w:w="9626" w:type="dxa"/>
        <w:tblInd w:w="53" w:type="dxa"/>
        <w:tblCellMar>
          <w:left w:w="70" w:type="dxa"/>
          <w:right w:w="70" w:type="dxa"/>
        </w:tblCellMar>
        <w:tblLook w:val="00A0"/>
      </w:tblPr>
      <w:tblGrid>
        <w:gridCol w:w="1267"/>
        <w:gridCol w:w="3609"/>
        <w:gridCol w:w="2375"/>
        <w:gridCol w:w="2375"/>
      </w:tblGrid>
      <w:tr w:rsidR="00891553" w:rsidRPr="00891553" w:rsidTr="00891553">
        <w:trPr>
          <w:trHeight w:val="300"/>
        </w:trPr>
        <w:tc>
          <w:tcPr>
            <w:tcW w:w="1267" w:type="dxa"/>
            <w:tcBorders>
              <w:top w:val="nil"/>
              <w:left w:val="nil"/>
              <w:bottom w:val="nil"/>
              <w:right w:val="nil"/>
            </w:tcBorders>
          </w:tcPr>
          <w:p w:rsidR="00891553" w:rsidRPr="00891553" w:rsidRDefault="00891553" w:rsidP="00897E64">
            <w:pPr>
              <w:spacing w:line="240" w:lineRule="auto"/>
              <w:jc w:val="center"/>
              <w:rPr>
                <w:rFonts w:cs="Arial"/>
                <w:b/>
                <w:color w:val="000000"/>
                <w:lang w:val="nl-NL" w:eastAsia="nl-NL" w:bidi="ar-SA"/>
              </w:rPr>
            </w:pPr>
            <w:r>
              <w:rPr>
                <w:rFonts w:cs="Arial"/>
                <w:b/>
                <w:color w:val="000000"/>
                <w:lang w:val="nl-NL" w:eastAsia="nl-NL" w:bidi="ar-SA"/>
              </w:rPr>
              <w:t>#</w:t>
            </w:r>
          </w:p>
        </w:tc>
        <w:tc>
          <w:tcPr>
            <w:tcW w:w="3609" w:type="dxa"/>
            <w:tcBorders>
              <w:top w:val="nil"/>
              <w:left w:val="nil"/>
              <w:bottom w:val="nil"/>
              <w:right w:val="nil"/>
            </w:tcBorders>
            <w:noWrap/>
            <w:vAlign w:val="bottom"/>
          </w:tcPr>
          <w:p w:rsidR="00891553" w:rsidRPr="00891553" w:rsidRDefault="00891553" w:rsidP="009740A1">
            <w:pPr>
              <w:spacing w:line="240" w:lineRule="auto"/>
              <w:jc w:val="left"/>
              <w:rPr>
                <w:rFonts w:cs="Arial"/>
                <w:b/>
                <w:color w:val="000000"/>
                <w:lang w:val="nl-NL" w:eastAsia="nl-NL" w:bidi="ar-SA"/>
              </w:rPr>
            </w:pPr>
            <w:r>
              <w:rPr>
                <w:rFonts w:cs="Arial"/>
                <w:b/>
                <w:color w:val="000000"/>
                <w:lang w:val="nl-NL" w:eastAsia="nl-NL" w:bidi="ar-SA"/>
              </w:rPr>
              <w:t>Company name</w:t>
            </w:r>
          </w:p>
        </w:tc>
        <w:tc>
          <w:tcPr>
            <w:tcW w:w="2375" w:type="dxa"/>
            <w:tcBorders>
              <w:top w:val="nil"/>
              <w:left w:val="nil"/>
              <w:bottom w:val="nil"/>
              <w:right w:val="nil"/>
            </w:tcBorders>
          </w:tcPr>
          <w:p w:rsidR="00891553" w:rsidRDefault="00891553" w:rsidP="009740A1">
            <w:pPr>
              <w:spacing w:line="240" w:lineRule="auto"/>
              <w:jc w:val="center"/>
              <w:rPr>
                <w:rFonts w:cs="Arial"/>
                <w:b/>
                <w:color w:val="000000"/>
                <w:lang w:val="nl-NL" w:eastAsia="nl-NL" w:bidi="ar-SA"/>
              </w:rPr>
            </w:pPr>
            <w:r>
              <w:rPr>
                <w:rFonts w:cs="Arial"/>
                <w:b/>
                <w:color w:val="000000"/>
                <w:lang w:val="nl-NL" w:eastAsia="nl-NL" w:bidi="ar-SA"/>
              </w:rPr>
              <w:t>Error-term 2005</w:t>
            </w:r>
          </w:p>
        </w:tc>
        <w:tc>
          <w:tcPr>
            <w:tcW w:w="2375" w:type="dxa"/>
            <w:tcBorders>
              <w:top w:val="nil"/>
              <w:left w:val="nil"/>
              <w:bottom w:val="nil"/>
              <w:right w:val="nil"/>
            </w:tcBorders>
          </w:tcPr>
          <w:p w:rsidR="00891553" w:rsidRDefault="00891553" w:rsidP="009740A1">
            <w:pPr>
              <w:spacing w:line="240" w:lineRule="auto"/>
              <w:jc w:val="center"/>
              <w:rPr>
                <w:rFonts w:cs="Arial"/>
                <w:b/>
                <w:color w:val="000000"/>
                <w:lang w:val="nl-NL" w:eastAsia="nl-NL" w:bidi="ar-SA"/>
              </w:rPr>
            </w:pPr>
            <w:r>
              <w:rPr>
                <w:rFonts w:cs="Arial"/>
                <w:b/>
                <w:color w:val="000000"/>
                <w:lang w:val="nl-NL" w:eastAsia="nl-NL" w:bidi="ar-SA"/>
              </w:rPr>
              <w:t>Error-term 2006</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Admiral Group</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0,153588572</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0,242539131</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Alliance Trust (The)</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0,077352662</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0,212536311</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3</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Amec</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0,021706024</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0,072293886</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4</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Amlin</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0,088185772</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0,03842077</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5</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Anglo American</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0,023868141</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0,185796493</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6</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Antofagasta</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0,651701382</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1,103986242</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7</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Associated British Foods</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0,046576313</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0,021786232</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8</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AstraZeneca</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0,422265554</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0,544285507</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9</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Autonomy Corporation</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0,518379936</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0,054692843</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10</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Aviva</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0,018656866</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0,016487946</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11</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BAE Systems</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0,107622556</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0,023610971</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12</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BG Group</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0,237446657</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0,299104007</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13</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BHP Billiton</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0,283337719</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0,330353177</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14</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BP</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0,142309623</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0,148710401</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15</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BT Group</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0,102016036</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0,072834998</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16</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Balfour Beatty</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0,039096635</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0,049650893</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17</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Barclays</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0,014594324</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0,017858022</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18</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British Airways</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0,106931328</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0,073987148</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19</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British American Tobacco</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0,240256653</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0,221063146</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20</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British Land Co</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0,105662168</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0,127855025</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21</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British Sky Broadcasting Group</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0,546239425</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0,557332248</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22</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Bunzl</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0,091257976</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0,127641171</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23</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Cable &amp; Wireless</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0,027285018</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0,09704625</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24</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Cadbury</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0,132115182</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0,057852438</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25</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Cairn Energy</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0,046835236</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0,129634375</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26</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Capita Group</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0,169620679</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0,195507318</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27</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Centrica</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0,157085556</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0,052587058</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28</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Cobham</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0,070710615</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0,095372286</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29</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Compass Group</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0,041058643</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0,053615447</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30</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lang w:val="nl-NL" w:eastAsia="nl-NL" w:bidi="ar-SA"/>
              </w:rPr>
            </w:pPr>
            <w:r w:rsidRPr="00A569BD">
              <w:rPr>
                <w:rFonts w:cs="Arial"/>
                <w:lang w:val="nl-NL" w:eastAsia="nl-NL" w:bidi="ar-SA"/>
              </w:rPr>
              <w:t>Diageo</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0,221764514</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0,210720351</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lang w:val="nl-NL" w:eastAsia="nl-NL" w:bidi="ar-SA"/>
              </w:rPr>
            </w:pPr>
            <w:r>
              <w:rPr>
                <w:rFonts w:cs="Arial"/>
                <w:lang w:val="nl-NL" w:eastAsia="nl-NL" w:bidi="ar-SA"/>
              </w:rPr>
              <w:t>31</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lang w:val="nl-NL" w:eastAsia="nl-NL" w:bidi="ar-SA"/>
              </w:rPr>
            </w:pPr>
            <w:r w:rsidRPr="00A569BD">
              <w:rPr>
                <w:rFonts w:cs="Arial"/>
                <w:lang w:val="nl-NL" w:eastAsia="nl-NL" w:bidi="ar-SA"/>
              </w:rPr>
              <w:t>Foreign &amp; Col Invest Trust</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0,188082363</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0,074710963</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lang w:val="nl-NL" w:eastAsia="nl-NL" w:bidi="ar-SA"/>
              </w:rPr>
            </w:pPr>
            <w:r>
              <w:rPr>
                <w:rFonts w:cs="Arial"/>
                <w:lang w:val="nl-NL" w:eastAsia="nl-NL" w:bidi="ar-SA"/>
              </w:rPr>
              <w:t>32</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Friends Provident</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0,015557684</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0,035015094</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33</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G4S PLC</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0,020006356</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0,045032373</w:t>
            </w:r>
          </w:p>
        </w:tc>
      </w:tr>
      <w:tr w:rsidR="009740A1" w:rsidRPr="00A569BD" w:rsidTr="00E9133B">
        <w:trPr>
          <w:trHeight w:val="300"/>
        </w:trPr>
        <w:tc>
          <w:tcPr>
            <w:tcW w:w="1267" w:type="dxa"/>
            <w:tcBorders>
              <w:top w:val="nil"/>
              <w:left w:val="nil"/>
              <w:bottom w:val="nil"/>
              <w:right w:val="nil"/>
            </w:tcBorders>
          </w:tcPr>
          <w:p w:rsidR="009740A1" w:rsidRPr="00A569BD" w:rsidRDefault="009740A1" w:rsidP="00A569BD">
            <w:pPr>
              <w:spacing w:line="240" w:lineRule="auto"/>
              <w:jc w:val="center"/>
              <w:rPr>
                <w:rFonts w:cs="Arial"/>
                <w:color w:val="000000"/>
                <w:lang w:val="nl-NL" w:eastAsia="nl-NL" w:bidi="ar-SA"/>
              </w:rPr>
            </w:pPr>
            <w:r>
              <w:rPr>
                <w:rFonts w:cs="Arial"/>
                <w:color w:val="000000"/>
                <w:lang w:val="nl-NL" w:eastAsia="nl-NL" w:bidi="ar-SA"/>
              </w:rPr>
              <w:t>34</w:t>
            </w:r>
          </w:p>
        </w:tc>
        <w:tc>
          <w:tcPr>
            <w:tcW w:w="3609" w:type="dxa"/>
            <w:tcBorders>
              <w:top w:val="nil"/>
              <w:left w:val="nil"/>
              <w:bottom w:val="nil"/>
              <w:right w:val="nil"/>
            </w:tcBorders>
            <w:noWrap/>
            <w:vAlign w:val="bottom"/>
          </w:tcPr>
          <w:p w:rsidR="009740A1" w:rsidRPr="00A569BD" w:rsidRDefault="009740A1" w:rsidP="00A569BD">
            <w:pPr>
              <w:spacing w:line="240" w:lineRule="auto"/>
              <w:jc w:val="left"/>
              <w:rPr>
                <w:rFonts w:cs="Arial"/>
                <w:color w:val="000000"/>
                <w:lang w:val="nl-NL" w:eastAsia="nl-NL" w:bidi="ar-SA"/>
              </w:rPr>
            </w:pPr>
            <w:r w:rsidRPr="00A569BD">
              <w:rPr>
                <w:rFonts w:cs="Arial"/>
                <w:color w:val="000000"/>
                <w:lang w:val="nl-NL" w:eastAsia="nl-NL" w:bidi="ar-SA"/>
              </w:rPr>
              <w:t>GlaxoSmithKline</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0,448012639</w:t>
            </w:r>
          </w:p>
        </w:tc>
        <w:tc>
          <w:tcPr>
            <w:tcW w:w="2375" w:type="dxa"/>
            <w:tcBorders>
              <w:top w:val="nil"/>
              <w:left w:val="nil"/>
              <w:bottom w:val="nil"/>
              <w:right w:val="nil"/>
            </w:tcBorders>
            <w:vAlign w:val="bottom"/>
          </w:tcPr>
          <w:p w:rsidR="009740A1" w:rsidRPr="009740A1" w:rsidRDefault="009740A1" w:rsidP="009740A1">
            <w:pPr>
              <w:spacing w:line="240" w:lineRule="auto"/>
              <w:jc w:val="center"/>
              <w:rPr>
                <w:rFonts w:cs="Arial"/>
                <w:color w:val="000000"/>
                <w:lang w:val="nl-NL" w:eastAsia="nl-NL" w:bidi="ar-SA"/>
              </w:rPr>
            </w:pPr>
            <w:r w:rsidRPr="009740A1">
              <w:rPr>
                <w:rFonts w:cs="Arial"/>
                <w:color w:val="000000"/>
                <w:lang w:val="nl-NL" w:eastAsia="nl-NL" w:bidi="ar-SA"/>
              </w:rPr>
              <w:t>0,35380675</w:t>
            </w:r>
          </w:p>
        </w:tc>
      </w:tr>
      <w:tr w:rsidR="00897E64" w:rsidRPr="00A569BD" w:rsidTr="00202887">
        <w:trPr>
          <w:trHeight w:val="300"/>
        </w:trPr>
        <w:tc>
          <w:tcPr>
            <w:tcW w:w="1267" w:type="dxa"/>
            <w:tcBorders>
              <w:top w:val="nil"/>
              <w:left w:val="nil"/>
              <w:bottom w:val="nil"/>
              <w:right w:val="nil"/>
            </w:tcBorders>
          </w:tcPr>
          <w:p w:rsidR="00897E64" w:rsidRPr="00891553" w:rsidRDefault="00897E64" w:rsidP="00897E64">
            <w:pPr>
              <w:spacing w:line="240" w:lineRule="auto"/>
              <w:jc w:val="center"/>
              <w:rPr>
                <w:rFonts w:cs="Arial"/>
                <w:b/>
                <w:color w:val="000000"/>
                <w:lang w:val="nl-NL" w:eastAsia="nl-NL" w:bidi="ar-SA"/>
              </w:rPr>
            </w:pPr>
            <w:r>
              <w:rPr>
                <w:rFonts w:cs="Arial"/>
                <w:b/>
                <w:color w:val="000000"/>
                <w:lang w:val="nl-NL" w:eastAsia="nl-NL" w:bidi="ar-SA"/>
              </w:rPr>
              <w:lastRenderedPageBreak/>
              <w:t>#</w:t>
            </w:r>
          </w:p>
        </w:tc>
        <w:tc>
          <w:tcPr>
            <w:tcW w:w="3609" w:type="dxa"/>
            <w:tcBorders>
              <w:top w:val="nil"/>
              <w:left w:val="nil"/>
              <w:bottom w:val="nil"/>
              <w:right w:val="nil"/>
            </w:tcBorders>
            <w:noWrap/>
            <w:vAlign w:val="bottom"/>
          </w:tcPr>
          <w:p w:rsidR="00897E64" w:rsidRPr="00891553" w:rsidRDefault="00897E64" w:rsidP="00202887">
            <w:pPr>
              <w:spacing w:line="240" w:lineRule="auto"/>
              <w:jc w:val="left"/>
              <w:rPr>
                <w:rFonts w:cs="Arial"/>
                <w:b/>
                <w:color w:val="000000"/>
                <w:lang w:val="nl-NL" w:eastAsia="nl-NL" w:bidi="ar-SA"/>
              </w:rPr>
            </w:pPr>
            <w:r>
              <w:rPr>
                <w:rFonts w:cs="Arial"/>
                <w:b/>
                <w:color w:val="000000"/>
                <w:lang w:val="nl-NL" w:eastAsia="nl-NL" w:bidi="ar-SA"/>
              </w:rPr>
              <w:t>Company name</w:t>
            </w:r>
          </w:p>
        </w:tc>
        <w:tc>
          <w:tcPr>
            <w:tcW w:w="2375" w:type="dxa"/>
            <w:tcBorders>
              <w:top w:val="nil"/>
              <w:left w:val="nil"/>
              <w:bottom w:val="nil"/>
              <w:right w:val="nil"/>
            </w:tcBorders>
          </w:tcPr>
          <w:p w:rsidR="00897E64" w:rsidRDefault="00897E64" w:rsidP="00202887">
            <w:pPr>
              <w:spacing w:line="240" w:lineRule="auto"/>
              <w:jc w:val="center"/>
              <w:rPr>
                <w:rFonts w:cs="Arial"/>
                <w:b/>
                <w:color w:val="000000"/>
                <w:lang w:val="nl-NL" w:eastAsia="nl-NL" w:bidi="ar-SA"/>
              </w:rPr>
            </w:pPr>
            <w:r>
              <w:rPr>
                <w:rFonts w:cs="Arial"/>
                <w:b/>
                <w:color w:val="000000"/>
                <w:lang w:val="nl-NL" w:eastAsia="nl-NL" w:bidi="ar-SA"/>
              </w:rPr>
              <w:t>Error-term 2005</w:t>
            </w:r>
          </w:p>
        </w:tc>
        <w:tc>
          <w:tcPr>
            <w:tcW w:w="2375" w:type="dxa"/>
            <w:tcBorders>
              <w:top w:val="nil"/>
              <w:left w:val="nil"/>
              <w:bottom w:val="nil"/>
              <w:right w:val="nil"/>
            </w:tcBorders>
          </w:tcPr>
          <w:p w:rsidR="00897E64" w:rsidRDefault="00897E64" w:rsidP="00202887">
            <w:pPr>
              <w:spacing w:line="240" w:lineRule="auto"/>
              <w:jc w:val="center"/>
              <w:rPr>
                <w:rFonts w:cs="Arial"/>
                <w:b/>
                <w:color w:val="000000"/>
                <w:lang w:val="nl-NL" w:eastAsia="nl-NL" w:bidi="ar-SA"/>
              </w:rPr>
            </w:pPr>
            <w:r>
              <w:rPr>
                <w:rFonts w:cs="Arial"/>
                <w:b/>
                <w:color w:val="000000"/>
                <w:lang w:val="nl-NL" w:eastAsia="nl-NL" w:bidi="ar-SA"/>
              </w:rPr>
              <w:t>Error-term 2006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35</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HSBC Holdings plc</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0,019042252</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0,068858623</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36</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Hammerson</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0,246810151</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0,269922349</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37</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ICAP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0,152894216</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0,098343139</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38</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Imperial Tobacco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0,29398569</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0,297278865</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39</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InterContinental Hotels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0,00161693</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0,017224863</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40</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International Power</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0,126861985</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0,065682484</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41</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Intertek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0,039790964</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0,040515197</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42</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Invensys</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0,262918699</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0,120033482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43</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Johnson Matthey</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0,014812083</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0,04319655</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44</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Kazakhmys</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0,286007199</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0,830957866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45</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Kingfisher</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0,022902267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0,091133685</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46</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Land Securities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0,303457517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0,141644403</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47</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Legal &amp; General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0,011695923</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0,018049681</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48</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Liberty International</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0,078909473</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0,122718323</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49</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Lonmin</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0,069047894</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0,32874108</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50</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Man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0,150258697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0,109524166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51</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Marks &amp; Spencer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0,135097396</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0,100494114</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52</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Morrison (Wm) Supermarkets</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0,829662154</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0,293198442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53</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National Grid</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0,089179553</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0,067528665</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54</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Next</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0,592417732</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0,41941542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55</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Old Mutual</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0,029271139</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0,095350932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56</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Pearson</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0,135523259</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0,087781842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57</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Pennon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0,213585676</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0,293453017</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58</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Petrofac</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0,018502204</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0,294776964</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59</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Prudential</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0,008647134</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0,017985817</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60</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RSA Insurance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0,026024905</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0,020293652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61</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Randgold Resources</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0,441298937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0,139352554</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62</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Reckitt Benckiser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0,364050363</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0,380438642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63</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Reed Elsevier</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0,173649396</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0,160326066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64</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Rexam</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0,052332637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0,029478114</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65</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Rio Tinto</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0,35214832</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0,457269671</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66</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Rolls-Royce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0,101023909</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0,188396824</w:t>
            </w:r>
          </w:p>
        </w:tc>
      </w:tr>
      <w:tr w:rsidR="00897E64" w:rsidRPr="001856B5"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67</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en-US" w:eastAsia="nl-NL" w:bidi="ar-SA"/>
              </w:rPr>
            </w:pPr>
            <w:r w:rsidRPr="00A569BD">
              <w:rPr>
                <w:rFonts w:cs="Arial"/>
                <w:color w:val="000000"/>
                <w:lang w:val="en-US" w:eastAsia="nl-NL" w:bidi="ar-SA"/>
              </w:rPr>
              <w:t>Royal Bank Of Scotland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0,022516641</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0,028664586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en-US" w:eastAsia="nl-NL" w:bidi="ar-SA"/>
              </w:rPr>
            </w:pPr>
            <w:r>
              <w:rPr>
                <w:rFonts w:cs="Arial"/>
                <w:color w:val="000000"/>
                <w:lang w:val="en-US" w:eastAsia="nl-NL" w:bidi="ar-SA"/>
              </w:rPr>
              <w:t>68</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Royal Dutch Shell A</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0,236862307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0,187799942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en-US" w:eastAsia="nl-NL" w:bidi="ar-SA"/>
              </w:rPr>
            </w:pPr>
            <w:r>
              <w:rPr>
                <w:rFonts w:cs="Arial"/>
                <w:color w:val="000000"/>
                <w:lang w:val="en-US" w:eastAsia="nl-NL" w:bidi="ar-SA"/>
              </w:rPr>
              <w:t>69</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SABMiller</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0,241859265</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0,140861635</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70</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Sage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0,210226131</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0,160241758</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71</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Sainsbury (J)</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0,129359399</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0,154799966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72</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Schroders</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0,079701571</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0,111697432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73</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Scottish &amp; Southern Energy</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0,00847627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0,03788202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74</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Serco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0,032983457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0,041891961</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75</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Severn Trent</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0,163763406</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0,188638262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76</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Shire</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0,01211122</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0,089415472</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77</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Smith &amp; Nephew</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0,094908016</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0,194127016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78</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Smiths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0,118617784</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0,053819397</w:t>
            </w:r>
          </w:p>
        </w:tc>
      </w:tr>
      <w:tr w:rsidR="00897E64" w:rsidRPr="00A569BD" w:rsidTr="00202887">
        <w:trPr>
          <w:trHeight w:val="300"/>
        </w:trPr>
        <w:tc>
          <w:tcPr>
            <w:tcW w:w="1267" w:type="dxa"/>
            <w:tcBorders>
              <w:top w:val="nil"/>
              <w:left w:val="nil"/>
              <w:bottom w:val="nil"/>
              <w:right w:val="nil"/>
            </w:tcBorders>
          </w:tcPr>
          <w:p w:rsidR="00897E64" w:rsidRPr="00891553" w:rsidRDefault="00897E64" w:rsidP="00897E64">
            <w:pPr>
              <w:spacing w:line="240" w:lineRule="auto"/>
              <w:jc w:val="center"/>
              <w:rPr>
                <w:rFonts w:cs="Arial"/>
                <w:b/>
                <w:color w:val="000000"/>
                <w:lang w:val="nl-NL" w:eastAsia="nl-NL" w:bidi="ar-SA"/>
              </w:rPr>
            </w:pPr>
            <w:r>
              <w:rPr>
                <w:rFonts w:cs="Arial"/>
                <w:b/>
                <w:color w:val="000000"/>
                <w:lang w:val="nl-NL" w:eastAsia="nl-NL" w:bidi="ar-SA"/>
              </w:rPr>
              <w:lastRenderedPageBreak/>
              <w:t>#</w:t>
            </w:r>
          </w:p>
        </w:tc>
        <w:tc>
          <w:tcPr>
            <w:tcW w:w="3609" w:type="dxa"/>
            <w:tcBorders>
              <w:top w:val="nil"/>
              <w:left w:val="nil"/>
              <w:bottom w:val="nil"/>
              <w:right w:val="nil"/>
            </w:tcBorders>
            <w:noWrap/>
            <w:vAlign w:val="bottom"/>
          </w:tcPr>
          <w:p w:rsidR="00897E64" w:rsidRPr="00891553" w:rsidRDefault="00897E64" w:rsidP="00202887">
            <w:pPr>
              <w:spacing w:line="240" w:lineRule="auto"/>
              <w:jc w:val="left"/>
              <w:rPr>
                <w:rFonts w:cs="Arial"/>
                <w:b/>
                <w:color w:val="000000"/>
                <w:lang w:val="nl-NL" w:eastAsia="nl-NL" w:bidi="ar-SA"/>
              </w:rPr>
            </w:pPr>
            <w:r>
              <w:rPr>
                <w:rFonts w:cs="Arial"/>
                <w:b/>
                <w:color w:val="000000"/>
                <w:lang w:val="nl-NL" w:eastAsia="nl-NL" w:bidi="ar-SA"/>
              </w:rPr>
              <w:t>Company name</w:t>
            </w:r>
          </w:p>
        </w:tc>
        <w:tc>
          <w:tcPr>
            <w:tcW w:w="2375" w:type="dxa"/>
            <w:tcBorders>
              <w:top w:val="nil"/>
              <w:left w:val="nil"/>
              <w:bottom w:val="nil"/>
              <w:right w:val="nil"/>
            </w:tcBorders>
          </w:tcPr>
          <w:p w:rsidR="00897E64" w:rsidRDefault="00897E64" w:rsidP="00202887">
            <w:pPr>
              <w:spacing w:line="240" w:lineRule="auto"/>
              <w:jc w:val="center"/>
              <w:rPr>
                <w:rFonts w:cs="Arial"/>
                <w:b/>
                <w:color w:val="000000"/>
                <w:lang w:val="nl-NL" w:eastAsia="nl-NL" w:bidi="ar-SA"/>
              </w:rPr>
            </w:pPr>
            <w:r>
              <w:rPr>
                <w:rFonts w:cs="Arial"/>
                <w:b/>
                <w:color w:val="000000"/>
                <w:lang w:val="nl-NL" w:eastAsia="nl-NL" w:bidi="ar-SA"/>
              </w:rPr>
              <w:t>Error-term 2005</w:t>
            </w:r>
          </w:p>
        </w:tc>
        <w:tc>
          <w:tcPr>
            <w:tcW w:w="2375" w:type="dxa"/>
            <w:tcBorders>
              <w:top w:val="nil"/>
              <w:left w:val="nil"/>
              <w:bottom w:val="nil"/>
              <w:right w:val="nil"/>
            </w:tcBorders>
          </w:tcPr>
          <w:p w:rsidR="00897E64" w:rsidRDefault="00897E64" w:rsidP="00202887">
            <w:pPr>
              <w:spacing w:line="240" w:lineRule="auto"/>
              <w:jc w:val="center"/>
              <w:rPr>
                <w:rFonts w:cs="Arial"/>
                <w:b/>
                <w:color w:val="000000"/>
                <w:lang w:val="nl-NL" w:eastAsia="nl-NL" w:bidi="ar-SA"/>
              </w:rPr>
            </w:pPr>
            <w:r>
              <w:rPr>
                <w:rFonts w:cs="Arial"/>
                <w:b/>
                <w:color w:val="000000"/>
                <w:lang w:val="nl-NL" w:eastAsia="nl-NL" w:bidi="ar-SA"/>
              </w:rPr>
              <w:t>Error-term 2006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79</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Standard Chartered</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0,090235298</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0,053694546</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80</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Tesco</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0,02842635</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0,04239097</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81</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Tullow Oil</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0,059856083</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0,151568211</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82</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Unilever</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0,183367247</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0,177863797</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83</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United Utilities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0,191640713</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0,185532559</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84</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Vedanta Resources</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0,091502944</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0,098636467</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85</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Vodafone Group</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0,011150501</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0,053684844</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86</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WPP PLC</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0,093395051</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0,067126533</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87</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Whitbread</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0,187783051</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0,202706757</w:t>
            </w:r>
          </w:p>
        </w:tc>
      </w:tr>
      <w:tr w:rsidR="00897E64" w:rsidRPr="00A569BD" w:rsidTr="00E9133B">
        <w:trPr>
          <w:trHeight w:val="300"/>
        </w:trPr>
        <w:tc>
          <w:tcPr>
            <w:tcW w:w="1267" w:type="dxa"/>
            <w:tcBorders>
              <w:top w:val="nil"/>
              <w:left w:val="nil"/>
              <w:bottom w:val="nil"/>
              <w:right w:val="nil"/>
            </w:tcBorders>
          </w:tcPr>
          <w:p w:rsidR="00897E64" w:rsidRPr="00A569BD" w:rsidRDefault="00897E64" w:rsidP="00A569BD">
            <w:pPr>
              <w:spacing w:line="240" w:lineRule="auto"/>
              <w:jc w:val="center"/>
              <w:rPr>
                <w:rFonts w:cs="Arial"/>
                <w:color w:val="000000"/>
                <w:lang w:val="nl-NL" w:eastAsia="nl-NL" w:bidi="ar-SA"/>
              </w:rPr>
            </w:pPr>
            <w:r>
              <w:rPr>
                <w:rFonts w:cs="Arial"/>
                <w:color w:val="000000"/>
                <w:lang w:val="nl-NL" w:eastAsia="nl-NL" w:bidi="ar-SA"/>
              </w:rPr>
              <w:t>88</w:t>
            </w:r>
          </w:p>
        </w:tc>
        <w:tc>
          <w:tcPr>
            <w:tcW w:w="3609" w:type="dxa"/>
            <w:tcBorders>
              <w:top w:val="nil"/>
              <w:left w:val="nil"/>
              <w:bottom w:val="nil"/>
              <w:right w:val="nil"/>
            </w:tcBorders>
            <w:noWrap/>
            <w:vAlign w:val="bottom"/>
          </w:tcPr>
          <w:p w:rsidR="00897E64" w:rsidRPr="00A569BD" w:rsidRDefault="00897E64" w:rsidP="00A569BD">
            <w:pPr>
              <w:spacing w:line="240" w:lineRule="auto"/>
              <w:jc w:val="left"/>
              <w:rPr>
                <w:rFonts w:cs="Arial"/>
                <w:color w:val="000000"/>
                <w:lang w:val="nl-NL" w:eastAsia="nl-NL" w:bidi="ar-SA"/>
              </w:rPr>
            </w:pPr>
            <w:r w:rsidRPr="00A569BD">
              <w:rPr>
                <w:rFonts w:cs="Arial"/>
                <w:color w:val="000000"/>
                <w:lang w:val="nl-NL" w:eastAsia="nl-NL" w:bidi="ar-SA"/>
              </w:rPr>
              <w:t>Xstrata</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0,156310706</w:t>
            </w:r>
          </w:p>
        </w:tc>
        <w:tc>
          <w:tcPr>
            <w:tcW w:w="2375" w:type="dxa"/>
            <w:tcBorders>
              <w:top w:val="nil"/>
              <w:left w:val="nil"/>
              <w:bottom w:val="nil"/>
              <w:right w:val="nil"/>
            </w:tcBorders>
            <w:vAlign w:val="bottom"/>
          </w:tcPr>
          <w:p w:rsidR="00897E64" w:rsidRPr="009740A1" w:rsidRDefault="00897E64" w:rsidP="009740A1">
            <w:pPr>
              <w:spacing w:line="240" w:lineRule="auto"/>
              <w:jc w:val="center"/>
              <w:rPr>
                <w:rFonts w:cs="Arial"/>
                <w:color w:val="000000"/>
                <w:lang w:val="nl-NL" w:eastAsia="nl-NL" w:bidi="ar-SA"/>
              </w:rPr>
            </w:pPr>
            <w:r w:rsidRPr="009740A1">
              <w:rPr>
                <w:rFonts w:cs="Arial"/>
                <w:color w:val="000000"/>
                <w:lang w:val="nl-NL" w:eastAsia="nl-NL" w:bidi="ar-SA"/>
              </w:rPr>
              <w:t>0,095739119</w:t>
            </w:r>
          </w:p>
        </w:tc>
      </w:tr>
    </w:tbl>
    <w:p w:rsidR="00891553" w:rsidRDefault="00891553" w:rsidP="00A569BD">
      <w:pPr>
        <w:jc w:val="left"/>
        <w:rPr>
          <w:rFonts w:cs="Arial"/>
          <w:lang w:val="en-GB"/>
        </w:rPr>
      </w:pPr>
      <w:r>
        <w:rPr>
          <w:rFonts w:cs="Arial"/>
          <w:lang w:val="en-GB"/>
        </w:rPr>
        <w:br/>
      </w:r>
    </w:p>
    <w:p w:rsidR="00977FC8" w:rsidRPr="00A569BD" w:rsidRDefault="00977FC8" w:rsidP="009740A1">
      <w:pPr>
        <w:spacing w:line="240" w:lineRule="auto"/>
        <w:jc w:val="left"/>
        <w:rPr>
          <w:rFonts w:cs="Arial"/>
          <w:lang w:val="en-GB"/>
        </w:rPr>
      </w:pPr>
    </w:p>
    <w:sectPr w:rsidR="00977FC8" w:rsidRPr="00A569BD" w:rsidSect="00A01328">
      <w:pgSz w:w="11907" w:h="16840" w:code="77"/>
      <w:pgMar w:top="1418" w:right="323"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3831" w:rsidRDefault="00203831" w:rsidP="0038480B">
      <w:r>
        <w:separator/>
      </w:r>
    </w:p>
    <w:p w:rsidR="00203831" w:rsidRDefault="00203831"/>
  </w:endnote>
  <w:endnote w:type="continuationSeparator" w:id="0">
    <w:p w:rsidR="00203831" w:rsidRDefault="00203831" w:rsidP="0038480B">
      <w:r>
        <w:continuationSeparator/>
      </w:r>
    </w:p>
    <w:p w:rsidR="00203831" w:rsidRDefault="00203831"/>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Angsana New">
    <w:panose1 w:val="02020603050405020304"/>
    <w:charset w:val="DE"/>
    <w:family w:val="roman"/>
    <w:notTrueType/>
    <w:pitch w:val="variable"/>
    <w:sig w:usb0="01000001" w:usb1="00000000" w:usb2="00000000" w:usb3="00000000" w:csb0="0001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Bell MT">
    <w:panose1 w:val="02020503060305020303"/>
    <w:charset w:val="00"/>
    <w:family w:val="roman"/>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TimesNewRomanPSM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5B" w:rsidRDefault="00D85A5B" w:rsidP="00A72945">
    <w:pPr>
      <w:pStyle w:val="Footer"/>
    </w:pPr>
  </w:p>
  <w:p w:rsidR="00D85A5B" w:rsidRDefault="00D85A5B" w:rsidP="00A7294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5B" w:rsidRDefault="00D85A5B" w:rsidP="00A72945">
    <w:pPr>
      <w:pStyle w:val="Footer"/>
    </w:pPr>
    <w:r>
      <w:t>[</w:t>
    </w:r>
    <w:fldSimple w:instr=" PAGE   \* MERGEFORMAT ">
      <w:r w:rsidR="00437F6B">
        <w:rPr>
          <w:noProof/>
        </w:rPr>
        <w:t>32</w:t>
      </w:r>
    </w:fldSimple>
    <w:r>
      <w:t>]</w:t>
    </w:r>
  </w:p>
  <w:p w:rsidR="00D85A5B" w:rsidRDefault="00D85A5B" w:rsidP="00A729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3831" w:rsidRDefault="00203831" w:rsidP="0038480B">
      <w:r>
        <w:separator/>
      </w:r>
    </w:p>
    <w:p w:rsidR="00203831" w:rsidRDefault="00203831"/>
  </w:footnote>
  <w:footnote w:type="continuationSeparator" w:id="0">
    <w:p w:rsidR="00203831" w:rsidRDefault="00203831" w:rsidP="0038480B">
      <w:r>
        <w:continuationSeparator/>
      </w:r>
    </w:p>
    <w:p w:rsidR="00203831" w:rsidRDefault="00203831"/>
  </w:footnote>
  <w:footnote w:id="1">
    <w:p w:rsidR="00D85A5B" w:rsidRDefault="00D85A5B">
      <w:pPr>
        <w:pStyle w:val="FootnoteText"/>
      </w:pPr>
      <w:r>
        <w:rPr>
          <w:rStyle w:val="FootnoteReference"/>
        </w:rPr>
        <w:footnoteRef/>
      </w:r>
      <w:r>
        <w:t xml:space="preserve"> </w:t>
      </w:r>
      <w:r w:rsidRPr="002D709E">
        <w:t>http://online.wsj.com/article/SB123745823318182841.html</w:t>
      </w:r>
    </w:p>
  </w:footnote>
  <w:footnote w:id="2">
    <w:p w:rsidR="00D85A5B" w:rsidRDefault="00D85A5B" w:rsidP="000E0C5D">
      <w:pPr>
        <w:pStyle w:val="FootnoteText"/>
      </w:pPr>
      <w:r>
        <w:rPr>
          <w:rStyle w:val="FootnoteReference"/>
        </w:rPr>
        <w:footnoteRef/>
      </w:r>
      <w:r>
        <w:t xml:space="preserve"> </w:t>
      </w:r>
      <w:r>
        <w:rPr>
          <w:lang w:val="en-GB"/>
        </w:rPr>
        <w:t xml:space="preserve">The three forms of </w:t>
      </w:r>
      <w:r w:rsidRPr="000E0C5D">
        <w:rPr>
          <w:lang w:val="en-GB"/>
        </w:rPr>
        <w:t xml:space="preserve">the Efficient Market Theory </w:t>
      </w:r>
      <w:r>
        <w:rPr>
          <w:lang w:val="en-GB"/>
        </w:rPr>
        <w:t>(</w:t>
      </w:r>
      <w:r w:rsidRPr="000E0C5D">
        <w:rPr>
          <w:lang w:val="en-GB"/>
        </w:rPr>
        <w:t>EMT</w:t>
      </w:r>
      <w:r>
        <w:rPr>
          <w:lang w:val="en-GB"/>
        </w:rPr>
        <w:t>)</w:t>
      </w:r>
      <w:r w:rsidRPr="000E0C5D">
        <w:rPr>
          <w:lang w:val="en-GB"/>
        </w:rPr>
        <w:t xml:space="preserve"> are: weak</w:t>
      </w:r>
      <w:r>
        <w:rPr>
          <w:lang w:val="en-GB"/>
        </w:rPr>
        <w:t>, semi-strong and strong. In the weak form only historical data reflects the price of a share. In the semi-strong form all relevant public information is reflected in the share price. The strong form states that all information (public and private) is reflected in the stock prices.</w:t>
      </w:r>
    </w:p>
  </w:footnote>
  <w:footnote w:id="3">
    <w:p w:rsidR="00D85A5B" w:rsidRDefault="00D85A5B" w:rsidP="00362C47">
      <w:pPr>
        <w:pStyle w:val="FootnoteText"/>
      </w:pPr>
      <w:r>
        <w:rPr>
          <w:rStyle w:val="FootnoteReference"/>
          <w:rFonts w:cs="Angsana New"/>
        </w:rPr>
        <w:footnoteRef/>
      </w:r>
      <w:r>
        <w:t xml:space="preserve"> </w:t>
      </w:r>
      <w:r w:rsidRPr="00E3561B">
        <w:rPr>
          <w:lang w:val="en-GB"/>
        </w:rPr>
        <w:t>A documentary about the Enron corporation, its faulty and corrupt business practices</w:t>
      </w:r>
      <w:r>
        <w:rPr>
          <w:lang w:val="en-GB"/>
        </w:rPr>
        <w:t xml:space="preserve"> (source: www.imdb.com)</w:t>
      </w:r>
    </w:p>
  </w:footnote>
  <w:footnote w:id="4">
    <w:p w:rsidR="00D85A5B" w:rsidRDefault="00D85A5B" w:rsidP="00362C47">
      <w:pPr>
        <w:pStyle w:val="FootnoteText"/>
      </w:pPr>
      <w:r>
        <w:rPr>
          <w:rStyle w:val="FootnoteReference"/>
        </w:rPr>
        <w:footnoteRef/>
      </w:r>
      <w:r w:rsidRPr="00EA5034">
        <w:rPr>
          <w:lang w:val="fr-FR"/>
        </w:rPr>
        <w:t xml:space="preserve"> (Source: http://en.wikipedia.org/wiki/Accounting_fraud)</w:t>
      </w:r>
    </w:p>
  </w:footnote>
  <w:footnote w:id="5">
    <w:p w:rsidR="00D85A5B" w:rsidRPr="0065693E" w:rsidRDefault="00D85A5B" w:rsidP="00362C47">
      <w:pPr>
        <w:pStyle w:val="FootnoteText"/>
        <w:rPr>
          <w:lang w:val="nl-NL"/>
        </w:rPr>
      </w:pPr>
      <w:r w:rsidRPr="00977125">
        <w:rPr>
          <w:rStyle w:val="FootnoteReference"/>
          <w:lang w:val="en-GB"/>
        </w:rPr>
        <w:footnoteRef/>
      </w:r>
      <w:r>
        <w:rPr>
          <w:lang w:val="nl-NL"/>
        </w:rPr>
        <w:t xml:space="preserve"> Cited from V</w:t>
      </w:r>
      <w:r w:rsidRPr="00977125">
        <w:rPr>
          <w:lang w:val="nl-NL"/>
        </w:rPr>
        <w:t>an der Bauwheden (2003)</w:t>
      </w:r>
    </w:p>
  </w:footnote>
  <w:footnote w:id="6">
    <w:p w:rsidR="00D85A5B" w:rsidRDefault="00D85A5B">
      <w:pPr>
        <w:pStyle w:val="FootnoteText"/>
      </w:pPr>
      <w:r>
        <w:rPr>
          <w:rStyle w:val="FootnoteReference"/>
        </w:rPr>
        <w:footnoteRef/>
      </w:r>
      <w:r>
        <w:t xml:space="preserve"> Benish, 2001, page 10. </w:t>
      </w:r>
    </w:p>
  </w:footnote>
  <w:footnote w:id="7">
    <w:p w:rsidR="00D85A5B" w:rsidRDefault="00D85A5B" w:rsidP="002123A9">
      <w:pPr>
        <w:pStyle w:val="FootnoteText"/>
      </w:pPr>
      <w:r>
        <w:rPr>
          <w:rStyle w:val="FootnoteReference"/>
          <w:rFonts w:cs="Angsana New"/>
        </w:rPr>
        <w:footnoteRef/>
      </w:r>
      <w:r>
        <w:t xml:space="preserve"> </w:t>
      </w:r>
      <w:r>
        <w:rPr>
          <w:lang w:val="en-GB"/>
        </w:rPr>
        <w:t>The use of two-digit SIC levels represents a trade-off between defining industry groupings narrowly enough that the Industry Model captures the industry specific effects versus having enough firms in each industry grouping so that the model can effectively diversify firm specific effects.</w:t>
      </w:r>
    </w:p>
  </w:footnote>
  <w:footnote w:id="8">
    <w:p w:rsidR="00D85A5B" w:rsidRDefault="00D85A5B" w:rsidP="00A41939">
      <w:pPr>
        <w:pStyle w:val="FootnoteText"/>
      </w:pPr>
      <w:r>
        <w:rPr>
          <w:rStyle w:val="FootnoteReference"/>
        </w:rPr>
        <w:footnoteRef/>
      </w:r>
      <w:r>
        <w:t xml:space="preserve"> See Ronin and Yaari (2008) Chapter 10 for historical overview of accrual based Methodology. </w:t>
      </w:r>
    </w:p>
  </w:footnote>
  <w:footnote w:id="9">
    <w:p w:rsidR="00D85A5B" w:rsidRDefault="00D85A5B" w:rsidP="00A41939">
      <w:pPr>
        <w:pStyle w:val="FootnoteText"/>
      </w:pPr>
      <w:r>
        <w:rPr>
          <w:rStyle w:val="FootnoteReference"/>
        </w:rPr>
        <w:footnoteRef/>
      </w:r>
      <w:r>
        <w:t xml:space="preserve"> Total accrual = Normal Accruals (estimated in stage 1) + Discretionary accruals</w:t>
      </w:r>
    </w:p>
  </w:footnote>
  <w:footnote w:id="10">
    <w:p w:rsidR="00D85A5B" w:rsidRDefault="00D85A5B" w:rsidP="00A41939">
      <w:pPr>
        <w:pStyle w:val="FootnoteText"/>
      </w:pPr>
      <w:r>
        <w:rPr>
          <w:rStyle w:val="FootnoteReference"/>
        </w:rPr>
        <w:footnoteRef/>
      </w:r>
      <w:r>
        <w:t xml:space="preserve"> “... when residuals at each end of the [dependant] variable(s) have unequal variances.” Therefore the spread in the data is different. Source: Fields (2002)</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5B" w:rsidRPr="002F04CB" w:rsidRDefault="00D85A5B" w:rsidP="002F04CB">
    <w:pPr>
      <w:pStyle w:val="Header"/>
      <w:pBdr>
        <w:between w:val="single" w:sz="4" w:space="1" w:color="4F81BD"/>
      </w:pBdr>
      <w:spacing w:line="276" w:lineRule="auto"/>
      <w:rPr>
        <w:rFonts w:cs="Arial"/>
        <w:sz w:val="20"/>
        <w:szCs w:val="20"/>
      </w:rPr>
    </w:pPr>
  </w:p>
  <w:p w:rsidR="00D85A5B" w:rsidRPr="002F04CB" w:rsidRDefault="00D85A5B">
    <w:pPr>
      <w:pStyle w:val="Header"/>
      <w:rPr>
        <w:rFonts w:cs="Arial"/>
        <w:sz w:val="20"/>
        <w:szCs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5B" w:rsidRDefault="00D85A5B">
    <w:pPr>
      <w:pStyle w:val="Header"/>
      <w:pBdr>
        <w:between w:val="single" w:sz="4" w:space="1" w:color="4F81BD"/>
      </w:pBdr>
      <w:spacing w:line="276" w:lineRule="auto"/>
      <w:jc w:val="center"/>
    </w:pPr>
  </w:p>
  <w:p w:rsidR="00D85A5B" w:rsidRDefault="00D85A5B" w:rsidP="00A72945">
    <w:pPr>
      <w:pStyle w:val="Header"/>
      <w:tabs>
        <w:tab w:val="clear" w:pos="4536"/>
        <w:tab w:val="clear" w:pos="9072"/>
        <w:tab w:val="left" w:pos="2212"/>
      </w:tabs>
    </w:pP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5B" w:rsidRPr="002F04CB" w:rsidRDefault="00D85A5B" w:rsidP="002F04CB">
    <w:pPr>
      <w:pStyle w:val="Header"/>
      <w:pBdr>
        <w:between w:val="single" w:sz="4" w:space="1" w:color="4F81BD"/>
      </w:pBdr>
      <w:spacing w:line="276" w:lineRule="auto"/>
      <w:rPr>
        <w:rFonts w:cs="Arial"/>
        <w:sz w:val="20"/>
        <w:szCs w:val="20"/>
      </w:rPr>
    </w:pPr>
  </w:p>
  <w:p w:rsidR="00D85A5B" w:rsidRPr="002F04CB" w:rsidRDefault="00D85A5B">
    <w:pPr>
      <w:pStyle w:val="Header"/>
      <w:rPr>
        <w:rFonts w:cs="Arial"/>
        <w:sz w:val="20"/>
        <w:szCs w:val="20"/>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5B" w:rsidRPr="002F04CB" w:rsidRDefault="00D85A5B">
    <w:pPr>
      <w:pStyle w:val="Header"/>
      <w:pBdr>
        <w:between w:val="single" w:sz="4" w:space="1" w:color="4F81BD"/>
      </w:pBdr>
      <w:spacing w:line="276" w:lineRule="auto"/>
      <w:jc w:val="center"/>
      <w:rPr>
        <w:rFonts w:cs="Arial"/>
        <w:sz w:val="20"/>
        <w:szCs w:val="20"/>
      </w:rPr>
    </w:pPr>
    <w:r w:rsidRPr="002F04CB">
      <w:rPr>
        <w:rFonts w:cs="Arial"/>
        <w:sz w:val="20"/>
        <w:szCs w:val="20"/>
        <w:lang w:val="en-US"/>
      </w:rPr>
      <w:t xml:space="preserve">Equity incentives and earnings management in the </w:t>
    </w:r>
    <w:smartTag w:uri="urn:schemas-microsoft-com:office:smarttags" w:element="country-region">
      <w:smartTag w:uri="urn:schemas-microsoft-com:office:smarttags" w:element="place">
        <w:r w:rsidRPr="002F04CB">
          <w:rPr>
            <w:rFonts w:cs="Arial"/>
            <w:sz w:val="20"/>
            <w:szCs w:val="20"/>
            <w:lang w:val="en-US"/>
          </w:rPr>
          <w:t>U.K.</w:t>
        </w:r>
      </w:smartTag>
    </w:smartTag>
  </w:p>
  <w:p w:rsidR="00D85A5B" w:rsidRPr="002F04CB" w:rsidRDefault="00D85A5B" w:rsidP="002F04CB">
    <w:pPr>
      <w:pStyle w:val="Header"/>
      <w:pBdr>
        <w:between w:val="single" w:sz="4" w:space="1" w:color="4F81BD"/>
      </w:pBdr>
      <w:spacing w:line="276" w:lineRule="auto"/>
      <w:rPr>
        <w:rFonts w:cs="Arial"/>
        <w:sz w:val="20"/>
        <w:szCs w:val="20"/>
      </w:rPr>
    </w:pPr>
  </w:p>
  <w:p w:rsidR="00D85A5B" w:rsidRPr="002F04CB" w:rsidRDefault="00D85A5B">
    <w:pPr>
      <w:pStyle w:val="Header"/>
      <w:rPr>
        <w:rFonts w:cs="Arial"/>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D0E92"/>
    <w:multiLevelType w:val="multilevel"/>
    <w:tmpl w:val="13A6379C"/>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nsid w:val="0251039B"/>
    <w:multiLevelType w:val="hybridMultilevel"/>
    <w:tmpl w:val="0B704B58"/>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2">
    <w:nsid w:val="07B67010"/>
    <w:multiLevelType w:val="multilevel"/>
    <w:tmpl w:val="08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0B840863"/>
    <w:multiLevelType w:val="hybridMultilevel"/>
    <w:tmpl w:val="C92A002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D7735BF"/>
    <w:multiLevelType w:val="hybridMultilevel"/>
    <w:tmpl w:val="5ABC4B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767101C"/>
    <w:multiLevelType w:val="hybridMultilevel"/>
    <w:tmpl w:val="8966B6FC"/>
    <w:lvl w:ilvl="0" w:tplc="0413000F">
      <w:start w:val="1"/>
      <w:numFmt w:val="decimal"/>
      <w:lvlText w:val="%1."/>
      <w:lvlJc w:val="left"/>
      <w:pPr>
        <w:ind w:left="3600" w:hanging="360"/>
      </w:pPr>
    </w:lvl>
    <w:lvl w:ilvl="1" w:tplc="04130019" w:tentative="1">
      <w:start w:val="1"/>
      <w:numFmt w:val="lowerLetter"/>
      <w:lvlText w:val="%2."/>
      <w:lvlJc w:val="left"/>
      <w:pPr>
        <w:ind w:left="4320" w:hanging="360"/>
      </w:pPr>
    </w:lvl>
    <w:lvl w:ilvl="2" w:tplc="0413001B" w:tentative="1">
      <w:start w:val="1"/>
      <w:numFmt w:val="lowerRoman"/>
      <w:lvlText w:val="%3."/>
      <w:lvlJc w:val="right"/>
      <w:pPr>
        <w:ind w:left="5040" w:hanging="180"/>
      </w:pPr>
    </w:lvl>
    <w:lvl w:ilvl="3" w:tplc="0413000F" w:tentative="1">
      <w:start w:val="1"/>
      <w:numFmt w:val="decimal"/>
      <w:lvlText w:val="%4."/>
      <w:lvlJc w:val="left"/>
      <w:pPr>
        <w:ind w:left="5760" w:hanging="360"/>
      </w:pPr>
    </w:lvl>
    <w:lvl w:ilvl="4" w:tplc="04130019" w:tentative="1">
      <w:start w:val="1"/>
      <w:numFmt w:val="lowerLetter"/>
      <w:lvlText w:val="%5."/>
      <w:lvlJc w:val="left"/>
      <w:pPr>
        <w:ind w:left="6480" w:hanging="360"/>
      </w:pPr>
    </w:lvl>
    <w:lvl w:ilvl="5" w:tplc="0413001B" w:tentative="1">
      <w:start w:val="1"/>
      <w:numFmt w:val="lowerRoman"/>
      <w:lvlText w:val="%6."/>
      <w:lvlJc w:val="right"/>
      <w:pPr>
        <w:ind w:left="7200" w:hanging="180"/>
      </w:pPr>
    </w:lvl>
    <w:lvl w:ilvl="6" w:tplc="0413000F" w:tentative="1">
      <w:start w:val="1"/>
      <w:numFmt w:val="decimal"/>
      <w:lvlText w:val="%7."/>
      <w:lvlJc w:val="left"/>
      <w:pPr>
        <w:ind w:left="7920" w:hanging="360"/>
      </w:pPr>
    </w:lvl>
    <w:lvl w:ilvl="7" w:tplc="04130019" w:tentative="1">
      <w:start w:val="1"/>
      <w:numFmt w:val="lowerLetter"/>
      <w:lvlText w:val="%8."/>
      <w:lvlJc w:val="left"/>
      <w:pPr>
        <w:ind w:left="8640" w:hanging="360"/>
      </w:pPr>
    </w:lvl>
    <w:lvl w:ilvl="8" w:tplc="0413001B" w:tentative="1">
      <w:start w:val="1"/>
      <w:numFmt w:val="lowerRoman"/>
      <w:lvlText w:val="%9."/>
      <w:lvlJc w:val="right"/>
      <w:pPr>
        <w:ind w:left="9360" w:hanging="180"/>
      </w:pPr>
    </w:lvl>
  </w:abstractNum>
  <w:abstractNum w:abstractNumId="6">
    <w:nsid w:val="1E4734B5"/>
    <w:multiLevelType w:val="hybridMultilevel"/>
    <w:tmpl w:val="4240E56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1EDC2468"/>
    <w:multiLevelType w:val="multilevel"/>
    <w:tmpl w:val="0809001F"/>
    <w:styleLink w:val="Style2"/>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264D1695"/>
    <w:multiLevelType w:val="multilevel"/>
    <w:tmpl w:val="E8047DD0"/>
    <w:lvl w:ilvl="0">
      <w:start w:val="1"/>
      <w:numFmt w:val="decimal"/>
      <w:lvlText w:val="%1"/>
      <w:lvlJc w:val="lef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9">
    <w:nsid w:val="27A77073"/>
    <w:multiLevelType w:val="hybridMultilevel"/>
    <w:tmpl w:val="637C18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F2F4965"/>
    <w:multiLevelType w:val="multilevel"/>
    <w:tmpl w:val="9A18F948"/>
    <w:lvl w:ilvl="0">
      <w:start w:val="1"/>
      <w:numFmt w:val="decimal"/>
      <w:pStyle w:val="Heading1"/>
      <w:lvlText w:val="%1"/>
      <w:lvlJc w:val="left"/>
      <w:pPr>
        <w:tabs>
          <w:tab w:val="num" w:pos="1134"/>
        </w:tabs>
        <w:ind w:left="432" w:hanging="432"/>
      </w:pPr>
      <w:rPr>
        <w:rFonts w:cs="Times New Roman" w:hint="default"/>
      </w:rPr>
    </w:lvl>
    <w:lvl w:ilvl="1">
      <w:start w:val="1"/>
      <w:numFmt w:val="decimal"/>
      <w:pStyle w:val="Heading2"/>
      <w:lvlText w:val="%1.%2"/>
      <w:lvlJc w:val="left"/>
      <w:pPr>
        <w:ind w:left="576" w:hanging="576"/>
      </w:pPr>
      <w:rPr>
        <w:rFonts w:cs="Times New Roman" w:hint="default"/>
      </w:rPr>
    </w:lvl>
    <w:lvl w:ilvl="2">
      <w:start w:val="1"/>
      <w:numFmt w:val="decimal"/>
      <w:pStyle w:val="Heading3"/>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pStyle w:val="Heading5"/>
      <w:lvlText w:val="%1.%2.%3.%4.%5"/>
      <w:lvlJc w:val="left"/>
      <w:pPr>
        <w:ind w:left="1008" w:hanging="1008"/>
      </w:pPr>
      <w:rPr>
        <w:rFonts w:cs="Times New Roman" w:hint="default"/>
      </w:rPr>
    </w:lvl>
    <w:lvl w:ilvl="5">
      <w:start w:val="1"/>
      <w:numFmt w:val="decimal"/>
      <w:pStyle w:val="Heading6"/>
      <w:lvlText w:val="%1.%2.%3.%4.%5.%6"/>
      <w:lvlJc w:val="left"/>
      <w:pPr>
        <w:ind w:left="1152" w:hanging="1152"/>
      </w:pPr>
      <w:rPr>
        <w:rFonts w:cs="Times New Roman" w:hint="default"/>
      </w:rPr>
    </w:lvl>
    <w:lvl w:ilvl="6">
      <w:start w:val="1"/>
      <w:numFmt w:val="decimal"/>
      <w:pStyle w:val="Heading7"/>
      <w:lvlText w:val="%1.%2.%3.%4.%5.%6.%7"/>
      <w:lvlJc w:val="left"/>
      <w:pPr>
        <w:ind w:left="1296" w:hanging="1296"/>
      </w:pPr>
      <w:rPr>
        <w:rFonts w:cs="Times New Roman" w:hint="default"/>
      </w:rPr>
    </w:lvl>
    <w:lvl w:ilvl="7">
      <w:start w:val="1"/>
      <w:numFmt w:val="decimal"/>
      <w:pStyle w:val="Heading8"/>
      <w:lvlText w:val="%1.%2.%3.%4.%5.%6.%7.%8"/>
      <w:lvlJc w:val="left"/>
      <w:pPr>
        <w:ind w:left="1440" w:hanging="1440"/>
      </w:pPr>
      <w:rPr>
        <w:rFonts w:cs="Times New Roman" w:hint="default"/>
      </w:rPr>
    </w:lvl>
    <w:lvl w:ilvl="8">
      <w:start w:val="1"/>
      <w:numFmt w:val="decimal"/>
      <w:pStyle w:val="Heading9"/>
      <w:lvlText w:val="%1.%2.%3.%4.%5.%6.%7.%8.%9"/>
      <w:lvlJc w:val="left"/>
      <w:pPr>
        <w:ind w:left="1584" w:hanging="1584"/>
      </w:pPr>
      <w:rPr>
        <w:rFonts w:cs="Times New Roman" w:hint="default"/>
      </w:rPr>
    </w:lvl>
  </w:abstractNum>
  <w:abstractNum w:abstractNumId="11">
    <w:nsid w:val="371B3E0C"/>
    <w:multiLevelType w:val="hybridMultilevel"/>
    <w:tmpl w:val="2F7E4B8C"/>
    <w:lvl w:ilvl="0" w:tplc="402AFEC4">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2">
    <w:nsid w:val="3D924653"/>
    <w:multiLevelType w:val="multilevel"/>
    <w:tmpl w:val="9DDC6F62"/>
    <w:styleLink w:val="Style1"/>
    <w:lvl w:ilvl="0">
      <w:start w:val="1"/>
      <w:numFmt w:val="decimal"/>
      <w:lvlText w:val="%1.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3">
    <w:nsid w:val="4DF86903"/>
    <w:multiLevelType w:val="multilevel"/>
    <w:tmpl w:val="A32C787C"/>
    <w:lvl w:ilvl="0">
      <w:start w:val="1"/>
      <w:numFmt w:val="decimal"/>
      <w:lvlText w:val="%1.1"/>
      <w:lvlJc w:val="left"/>
      <w:pPr>
        <w:ind w:left="360" w:hanging="360"/>
      </w:pPr>
      <w:rPr>
        <w:rFonts w:cs="Times New Roman" w:hint="default"/>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4">
    <w:nsid w:val="4F664845"/>
    <w:multiLevelType w:val="multilevel"/>
    <w:tmpl w:val="9DDC6F62"/>
    <w:numStyleLink w:val="Style1"/>
  </w:abstractNum>
  <w:abstractNum w:abstractNumId="15">
    <w:nsid w:val="5FFE5C61"/>
    <w:multiLevelType w:val="hybridMultilevel"/>
    <w:tmpl w:val="851CE326"/>
    <w:lvl w:ilvl="0" w:tplc="B254B302">
      <w:start w:val="1"/>
      <w:numFmt w:val="decimal"/>
      <w:lvlText w:val="%1.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6">
    <w:nsid w:val="650D631E"/>
    <w:multiLevelType w:val="multilevel"/>
    <w:tmpl w:val="08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4"/>
  </w:num>
  <w:num w:numId="2">
    <w:abstractNumId w:val="0"/>
  </w:num>
  <w:num w:numId="3">
    <w:abstractNumId w:val="13"/>
  </w:num>
  <w:num w:numId="4">
    <w:abstractNumId w:val="11"/>
  </w:num>
  <w:num w:numId="5">
    <w:abstractNumId w:val="2"/>
  </w:num>
  <w:num w:numId="6">
    <w:abstractNumId w:val="16"/>
  </w:num>
  <w:num w:numId="7">
    <w:abstractNumId w:val="15"/>
  </w:num>
  <w:num w:numId="8">
    <w:abstractNumId w:val="14"/>
  </w:num>
  <w:num w:numId="9">
    <w:abstractNumId w:val="12"/>
  </w:num>
  <w:num w:numId="10">
    <w:abstractNumId w:val="8"/>
  </w:num>
  <w:num w:numId="11">
    <w:abstractNumId w:val="7"/>
  </w:num>
  <w:num w:numId="12">
    <w:abstractNumId w:val="10"/>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
  </w:num>
  <w:num w:numId="16">
    <w:abstractNumId w:val="9"/>
  </w:num>
  <w:num w:numId="17">
    <w:abstractNumId w:val="6"/>
  </w:num>
  <w:num w:numId="18">
    <w:abstractNumId w:val="10"/>
    <w:lvlOverride w:ilvl="0">
      <w:startOverride w:val="6"/>
    </w:lvlOverride>
    <w:lvlOverride w:ilvl="1">
      <w:startOverride w:val="3"/>
    </w:lvlOverride>
  </w:num>
  <w:num w:numId="19">
    <w:abstractNumId w:val="10"/>
    <w:lvlOverride w:ilvl="0">
      <w:startOverride w:val="6"/>
    </w:lvlOverride>
    <w:lvlOverride w:ilvl="1">
      <w:startOverride w:val="1"/>
    </w:lvlOverride>
  </w:num>
  <w:num w:numId="20">
    <w:abstractNumId w:val="10"/>
    <w:lvlOverride w:ilvl="0">
      <w:startOverride w:val="6"/>
    </w:lvlOverride>
    <w:lvlOverride w:ilvl="1">
      <w:startOverride w:val="1"/>
    </w:lvlOverride>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1F08"/>
  <w:defaultTabStop w:val="720"/>
  <w:hyphenationZone w:val="425"/>
  <w:drawingGridHorizontalSpacing w:val="120"/>
  <w:displayHorizontalDrawingGridEvery w:val="2"/>
  <w:characterSpacingControl w:val="doNotCompress"/>
  <w:hdrShapeDefaults>
    <o:shapedefaults v:ext="edit" spidmax="52226">
      <o:colormenu v:ext="edit" strokecolor="none [2406]"/>
    </o:shapedefaults>
  </w:hdrShapeDefaults>
  <w:footnotePr>
    <w:footnote w:id="-1"/>
    <w:footnote w:id="0"/>
  </w:footnotePr>
  <w:endnotePr>
    <w:endnote w:id="-1"/>
    <w:endnote w:id="0"/>
  </w:endnotePr>
  <w:compat>
    <w:applyBreakingRules/>
  </w:compat>
  <w:rsids>
    <w:rsidRoot w:val="00D27BB4"/>
    <w:rsid w:val="00000485"/>
    <w:rsid w:val="00000F27"/>
    <w:rsid w:val="00002084"/>
    <w:rsid w:val="00003647"/>
    <w:rsid w:val="00003945"/>
    <w:rsid w:val="000044AF"/>
    <w:rsid w:val="000053EB"/>
    <w:rsid w:val="00005D88"/>
    <w:rsid w:val="000061DC"/>
    <w:rsid w:val="00010BAE"/>
    <w:rsid w:val="00010EFF"/>
    <w:rsid w:val="00010FDF"/>
    <w:rsid w:val="00011431"/>
    <w:rsid w:val="0001712A"/>
    <w:rsid w:val="00020E65"/>
    <w:rsid w:val="000235D3"/>
    <w:rsid w:val="000254C2"/>
    <w:rsid w:val="00025805"/>
    <w:rsid w:val="00027288"/>
    <w:rsid w:val="00027908"/>
    <w:rsid w:val="00030C8D"/>
    <w:rsid w:val="00030E50"/>
    <w:rsid w:val="000315FC"/>
    <w:rsid w:val="00032098"/>
    <w:rsid w:val="00032E64"/>
    <w:rsid w:val="00034E30"/>
    <w:rsid w:val="00034E3C"/>
    <w:rsid w:val="0003602F"/>
    <w:rsid w:val="00036573"/>
    <w:rsid w:val="000400BF"/>
    <w:rsid w:val="00040493"/>
    <w:rsid w:val="0004081D"/>
    <w:rsid w:val="00043413"/>
    <w:rsid w:val="000436D6"/>
    <w:rsid w:val="000511E0"/>
    <w:rsid w:val="00051E87"/>
    <w:rsid w:val="0005647F"/>
    <w:rsid w:val="000573BA"/>
    <w:rsid w:val="00057C0D"/>
    <w:rsid w:val="00057C1E"/>
    <w:rsid w:val="00061E79"/>
    <w:rsid w:val="0006262E"/>
    <w:rsid w:val="00062F8B"/>
    <w:rsid w:val="0006315E"/>
    <w:rsid w:val="0006600A"/>
    <w:rsid w:val="00066201"/>
    <w:rsid w:val="00067B3E"/>
    <w:rsid w:val="000713D7"/>
    <w:rsid w:val="0007212F"/>
    <w:rsid w:val="000750B5"/>
    <w:rsid w:val="000773FA"/>
    <w:rsid w:val="00077B78"/>
    <w:rsid w:val="00080050"/>
    <w:rsid w:val="000808D7"/>
    <w:rsid w:val="000845BC"/>
    <w:rsid w:val="00084F2B"/>
    <w:rsid w:val="00086BD9"/>
    <w:rsid w:val="0009093C"/>
    <w:rsid w:val="000918FF"/>
    <w:rsid w:val="00093652"/>
    <w:rsid w:val="000954F8"/>
    <w:rsid w:val="00095DB1"/>
    <w:rsid w:val="000965A2"/>
    <w:rsid w:val="000A0C92"/>
    <w:rsid w:val="000A47C7"/>
    <w:rsid w:val="000A5CD8"/>
    <w:rsid w:val="000B04AF"/>
    <w:rsid w:val="000B2B3E"/>
    <w:rsid w:val="000B3C9E"/>
    <w:rsid w:val="000B427D"/>
    <w:rsid w:val="000B558A"/>
    <w:rsid w:val="000C5FA1"/>
    <w:rsid w:val="000C6ACA"/>
    <w:rsid w:val="000D1D7C"/>
    <w:rsid w:val="000D2757"/>
    <w:rsid w:val="000D6C94"/>
    <w:rsid w:val="000D702B"/>
    <w:rsid w:val="000E0C5D"/>
    <w:rsid w:val="000E0ECE"/>
    <w:rsid w:val="000E2709"/>
    <w:rsid w:val="000E2C66"/>
    <w:rsid w:val="000E3966"/>
    <w:rsid w:val="000E4AD5"/>
    <w:rsid w:val="000F0A80"/>
    <w:rsid w:val="000F38D6"/>
    <w:rsid w:val="000F47C0"/>
    <w:rsid w:val="000F69A6"/>
    <w:rsid w:val="000F78D9"/>
    <w:rsid w:val="00100D05"/>
    <w:rsid w:val="00101859"/>
    <w:rsid w:val="001026CF"/>
    <w:rsid w:val="0010275A"/>
    <w:rsid w:val="00104AD1"/>
    <w:rsid w:val="00106853"/>
    <w:rsid w:val="001109E8"/>
    <w:rsid w:val="00111B9B"/>
    <w:rsid w:val="00111F0A"/>
    <w:rsid w:val="0011204C"/>
    <w:rsid w:val="001158BB"/>
    <w:rsid w:val="001166F7"/>
    <w:rsid w:val="00120092"/>
    <w:rsid w:val="0012267B"/>
    <w:rsid w:val="0012464D"/>
    <w:rsid w:val="001251CA"/>
    <w:rsid w:val="001254A2"/>
    <w:rsid w:val="00127ACC"/>
    <w:rsid w:val="00130A6B"/>
    <w:rsid w:val="001359A4"/>
    <w:rsid w:val="0013790A"/>
    <w:rsid w:val="00143122"/>
    <w:rsid w:val="00145456"/>
    <w:rsid w:val="00150C18"/>
    <w:rsid w:val="001530BE"/>
    <w:rsid w:val="001551A5"/>
    <w:rsid w:val="001552F3"/>
    <w:rsid w:val="0015543E"/>
    <w:rsid w:val="001602E7"/>
    <w:rsid w:val="001637F0"/>
    <w:rsid w:val="00164878"/>
    <w:rsid w:val="001678A0"/>
    <w:rsid w:val="001713D1"/>
    <w:rsid w:val="00171FF2"/>
    <w:rsid w:val="001721EB"/>
    <w:rsid w:val="00172345"/>
    <w:rsid w:val="00176348"/>
    <w:rsid w:val="00176785"/>
    <w:rsid w:val="00181496"/>
    <w:rsid w:val="00181583"/>
    <w:rsid w:val="001825FF"/>
    <w:rsid w:val="001829F9"/>
    <w:rsid w:val="001841F4"/>
    <w:rsid w:val="00184498"/>
    <w:rsid w:val="001853F2"/>
    <w:rsid w:val="001856B5"/>
    <w:rsid w:val="00191D36"/>
    <w:rsid w:val="00192787"/>
    <w:rsid w:val="00195291"/>
    <w:rsid w:val="00197CB0"/>
    <w:rsid w:val="001A0B4B"/>
    <w:rsid w:val="001A520C"/>
    <w:rsid w:val="001A57AF"/>
    <w:rsid w:val="001A66E2"/>
    <w:rsid w:val="001B3516"/>
    <w:rsid w:val="001B3CFF"/>
    <w:rsid w:val="001C0B10"/>
    <w:rsid w:val="001C2D87"/>
    <w:rsid w:val="001D003F"/>
    <w:rsid w:val="001D3CAB"/>
    <w:rsid w:val="001D487A"/>
    <w:rsid w:val="001D4DBB"/>
    <w:rsid w:val="001D6947"/>
    <w:rsid w:val="001E1732"/>
    <w:rsid w:val="001E1900"/>
    <w:rsid w:val="001E2614"/>
    <w:rsid w:val="001E4A1A"/>
    <w:rsid w:val="001E5610"/>
    <w:rsid w:val="001E7B79"/>
    <w:rsid w:val="001E7F52"/>
    <w:rsid w:val="001F3770"/>
    <w:rsid w:val="001F4054"/>
    <w:rsid w:val="001F463F"/>
    <w:rsid w:val="001F502A"/>
    <w:rsid w:val="001F6ECB"/>
    <w:rsid w:val="001F775E"/>
    <w:rsid w:val="00202887"/>
    <w:rsid w:val="00203831"/>
    <w:rsid w:val="00205786"/>
    <w:rsid w:val="002059D9"/>
    <w:rsid w:val="00210192"/>
    <w:rsid w:val="002123A9"/>
    <w:rsid w:val="0021255C"/>
    <w:rsid w:val="002127A9"/>
    <w:rsid w:val="00213E5B"/>
    <w:rsid w:val="00215A81"/>
    <w:rsid w:val="00217161"/>
    <w:rsid w:val="002179EB"/>
    <w:rsid w:val="00222EF1"/>
    <w:rsid w:val="00223A34"/>
    <w:rsid w:val="002255C4"/>
    <w:rsid w:val="0022671F"/>
    <w:rsid w:val="00227B26"/>
    <w:rsid w:val="00227DF4"/>
    <w:rsid w:val="00231BB3"/>
    <w:rsid w:val="00235903"/>
    <w:rsid w:val="0023761D"/>
    <w:rsid w:val="00237A78"/>
    <w:rsid w:val="00242603"/>
    <w:rsid w:val="0024375E"/>
    <w:rsid w:val="00244DD6"/>
    <w:rsid w:val="00245102"/>
    <w:rsid w:val="002512EF"/>
    <w:rsid w:val="00252EA7"/>
    <w:rsid w:val="00254007"/>
    <w:rsid w:val="002544A5"/>
    <w:rsid w:val="00254EA5"/>
    <w:rsid w:val="00255A23"/>
    <w:rsid w:val="00256AB7"/>
    <w:rsid w:val="00256E1E"/>
    <w:rsid w:val="00260D05"/>
    <w:rsid w:val="00263C49"/>
    <w:rsid w:val="00266BC8"/>
    <w:rsid w:val="00267EFC"/>
    <w:rsid w:val="00270B93"/>
    <w:rsid w:val="00270FB3"/>
    <w:rsid w:val="0027151C"/>
    <w:rsid w:val="00272545"/>
    <w:rsid w:val="00272CFA"/>
    <w:rsid w:val="0027351D"/>
    <w:rsid w:val="002750D0"/>
    <w:rsid w:val="002821FF"/>
    <w:rsid w:val="002825DD"/>
    <w:rsid w:val="00283BBA"/>
    <w:rsid w:val="00284445"/>
    <w:rsid w:val="002846B5"/>
    <w:rsid w:val="00284ADF"/>
    <w:rsid w:val="00284B46"/>
    <w:rsid w:val="002868D1"/>
    <w:rsid w:val="00290E64"/>
    <w:rsid w:val="0029362E"/>
    <w:rsid w:val="002A1765"/>
    <w:rsid w:val="002A1F60"/>
    <w:rsid w:val="002A256F"/>
    <w:rsid w:val="002A2825"/>
    <w:rsid w:val="002A36BE"/>
    <w:rsid w:val="002A3CDF"/>
    <w:rsid w:val="002A56A0"/>
    <w:rsid w:val="002A7AB7"/>
    <w:rsid w:val="002B01DD"/>
    <w:rsid w:val="002B0381"/>
    <w:rsid w:val="002B0C7F"/>
    <w:rsid w:val="002B158C"/>
    <w:rsid w:val="002B1C1A"/>
    <w:rsid w:val="002B284D"/>
    <w:rsid w:val="002B3EFB"/>
    <w:rsid w:val="002B42B2"/>
    <w:rsid w:val="002B45A4"/>
    <w:rsid w:val="002B54B8"/>
    <w:rsid w:val="002B5F5A"/>
    <w:rsid w:val="002C1DC3"/>
    <w:rsid w:val="002C1E39"/>
    <w:rsid w:val="002C67E9"/>
    <w:rsid w:val="002D4098"/>
    <w:rsid w:val="002D5EC9"/>
    <w:rsid w:val="002D709E"/>
    <w:rsid w:val="002E077B"/>
    <w:rsid w:val="002E25A2"/>
    <w:rsid w:val="002E3495"/>
    <w:rsid w:val="002E4DF5"/>
    <w:rsid w:val="002E516D"/>
    <w:rsid w:val="002E544E"/>
    <w:rsid w:val="002E6484"/>
    <w:rsid w:val="002E6A8C"/>
    <w:rsid w:val="002F04CB"/>
    <w:rsid w:val="002F17FC"/>
    <w:rsid w:val="002F28CD"/>
    <w:rsid w:val="002F333D"/>
    <w:rsid w:val="002F35CF"/>
    <w:rsid w:val="002F3EA5"/>
    <w:rsid w:val="002F449E"/>
    <w:rsid w:val="002F6589"/>
    <w:rsid w:val="00300AF2"/>
    <w:rsid w:val="00302A9F"/>
    <w:rsid w:val="003067D9"/>
    <w:rsid w:val="003073C4"/>
    <w:rsid w:val="00310E1E"/>
    <w:rsid w:val="00312640"/>
    <w:rsid w:val="00312CDF"/>
    <w:rsid w:val="00312DCE"/>
    <w:rsid w:val="00313259"/>
    <w:rsid w:val="003166D8"/>
    <w:rsid w:val="003168DC"/>
    <w:rsid w:val="00317B2B"/>
    <w:rsid w:val="00321DF2"/>
    <w:rsid w:val="00322559"/>
    <w:rsid w:val="00322A8C"/>
    <w:rsid w:val="00322B5A"/>
    <w:rsid w:val="0032484F"/>
    <w:rsid w:val="0032497C"/>
    <w:rsid w:val="00325EDF"/>
    <w:rsid w:val="00330F57"/>
    <w:rsid w:val="003318BD"/>
    <w:rsid w:val="00333758"/>
    <w:rsid w:val="00334FBC"/>
    <w:rsid w:val="003405C1"/>
    <w:rsid w:val="00346322"/>
    <w:rsid w:val="003476C3"/>
    <w:rsid w:val="00347F22"/>
    <w:rsid w:val="0035368B"/>
    <w:rsid w:val="00353700"/>
    <w:rsid w:val="003537B7"/>
    <w:rsid w:val="00353873"/>
    <w:rsid w:val="00355023"/>
    <w:rsid w:val="00355055"/>
    <w:rsid w:val="003555DA"/>
    <w:rsid w:val="00355965"/>
    <w:rsid w:val="00356C49"/>
    <w:rsid w:val="00360AA6"/>
    <w:rsid w:val="00360FC6"/>
    <w:rsid w:val="003627D0"/>
    <w:rsid w:val="00362C47"/>
    <w:rsid w:val="003714FB"/>
    <w:rsid w:val="00373E9D"/>
    <w:rsid w:val="00374817"/>
    <w:rsid w:val="00375835"/>
    <w:rsid w:val="003763EF"/>
    <w:rsid w:val="0037707C"/>
    <w:rsid w:val="0038480B"/>
    <w:rsid w:val="00384E15"/>
    <w:rsid w:val="00384F72"/>
    <w:rsid w:val="003855CF"/>
    <w:rsid w:val="003863D8"/>
    <w:rsid w:val="0038784D"/>
    <w:rsid w:val="00390F42"/>
    <w:rsid w:val="003934D8"/>
    <w:rsid w:val="003937A8"/>
    <w:rsid w:val="0039463D"/>
    <w:rsid w:val="00395D23"/>
    <w:rsid w:val="0039638B"/>
    <w:rsid w:val="003A2CC3"/>
    <w:rsid w:val="003A4FF1"/>
    <w:rsid w:val="003A5318"/>
    <w:rsid w:val="003A574E"/>
    <w:rsid w:val="003A7F75"/>
    <w:rsid w:val="003B00A9"/>
    <w:rsid w:val="003B041F"/>
    <w:rsid w:val="003B115D"/>
    <w:rsid w:val="003B1438"/>
    <w:rsid w:val="003B2335"/>
    <w:rsid w:val="003B3CFC"/>
    <w:rsid w:val="003B558A"/>
    <w:rsid w:val="003B7A52"/>
    <w:rsid w:val="003C0D38"/>
    <w:rsid w:val="003C181E"/>
    <w:rsid w:val="003C1A50"/>
    <w:rsid w:val="003C2F17"/>
    <w:rsid w:val="003C5CF9"/>
    <w:rsid w:val="003C62D5"/>
    <w:rsid w:val="003C68EE"/>
    <w:rsid w:val="003C741E"/>
    <w:rsid w:val="003C76F7"/>
    <w:rsid w:val="003D35FD"/>
    <w:rsid w:val="003D48ED"/>
    <w:rsid w:val="003E0B13"/>
    <w:rsid w:val="003E1A5B"/>
    <w:rsid w:val="003E640C"/>
    <w:rsid w:val="003E6C54"/>
    <w:rsid w:val="003E7654"/>
    <w:rsid w:val="003F0321"/>
    <w:rsid w:val="003F05C1"/>
    <w:rsid w:val="003F0C17"/>
    <w:rsid w:val="003F2505"/>
    <w:rsid w:val="003F56AD"/>
    <w:rsid w:val="00406E81"/>
    <w:rsid w:val="004106ED"/>
    <w:rsid w:val="00412978"/>
    <w:rsid w:val="00413A8B"/>
    <w:rsid w:val="00415573"/>
    <w:rsid w:val="0042067D"/>
    <w:rsid w:val="004206F6"/>
    <w:rsid w:val="0042102E"/>
    <w:rsid w:val="00422CA9"/>
    <w:rsid w:val="00431845"/>
    <w:rsid w:val="00432544"/>
    <w:rsid w:val="0043482A"/>
    <w:rsid w:val="00435817"/>
    <w:rsid w:val="00437CDA"/>
    <w:rsid w:val="00437F6B"/>
    <w:rsid w:val="00442A7A"/>
    <w:rsid w:val="00444308"/>
    <w:rsid w:val="0044565A"/>
    <w:rsid w:val="00447DF6"/>
    <w:rsid w:val="00450761"/>
    <w:rsid w:val="00450797"/>
    <w:rsid w:val="00453548"/>
    <w:rsid w:val="00454B3F"/>
    <w:rsid w:val="00456D78"/>
    <w:rsid w:val="00457041"/>
    <w:rsid w:val="004573BD"/>
    <w:rsid w:val="004632CF"/>
    <w:rsid w:val="004654EB"/>
    <w:rsid w:val="00465EF7"/>
    <w:rsid w:val="004730AB"/>
    <w:rsid w:val="00474D94"/>
    <w:rsid w:val="00477EAF"/>
    <w:rsid w:val="00481AE8"/>
    <w:rsid w:val="00481F58"/>
    <w:rsid w:val="00483810"/>
    <w:rsid w:val="00485BAA"/>
    <w:rsid w:val="00485FA4"/>
    <w:rsid w:val="004865F0"/>
    <w:rsid w:val="00486604"/>
    <w:rsid w:val="0049150E"/>
    <w:rsid w:val="00492468"/>
    <w:rsid w:val="00493A4A"/>
    <w:rsid w:val="00493E58"/>
    <w:rsid w:val="004943AA"/>
    <w:rsid w:val="00496090"/>
    <w:rsid w:val="004A0872"/>
    <w:rsid w:val="004A1588"/>
    <w:rsid w:val="004A2187"/>
    <w:rsid w:val="004A2697"/>
    <w:rsid w:val="004A7F9E"/>
    <w:rsid w:val="004B17C4"/>
    <w:rsid w:val="004B3965"/>
    <w:rsid w:val="004B498C"/>
    <w:rsid w:val="004B5213"/>
    <w:rsid w:val="004B62B7"/>
    <w:rsid w:val="004C1F01"/>
    <w:rsid w:val="004C34D8"/>
    <w:rsid w:val="004C39E8"/>
    <w:rsid w:val="004C6A7D"/>
    <w:rsid w:val="004C6AA3"/>
    <w:rsid w:val="004D38F0"/>
    <w:rsid w:val="004E015F"/>
    <w:rsid w:val="004E0AF1"/>
    <w:rsid w:val="004E1A6B"/>
    <w:rsid w:val="004F0EC8"/>
    <w:rsid w:val="004F13B6"/>
    <w:rsid w:val="004F1F9E"/>
    <w:rsid w:val="004F3C3C"/>
    <w:rsid w:val="0050047A"/>
    <w:rsid w:val="005022B5"/>
    <w:rsid w:val="005023BF"/>
    <w:rsid w:val="00503F14"/>
    <w:rsid w:val="00504FDA"/>
    <w:rsid w:val="00506E8A"/>
    <w:rsid w:val="00507369"/>
    <w:rsid w:val="005102DD"/>
    <w:rsid w:val="00513F5E"/>
    <w:rsid w:val="00521003"/>
    <w:rsid w:val="00523718"/>
    <w:rsid w:val="0052502F"/>
    <w:rsid w:val="00525352"/>
    <w:rsid w:val="00526E8E"/>
    <w:rsid w:val="00530D64"/>
    <w:rsid w:val="0053218D"/>
    <w:rsid w:val="00532527"/>
    <w:rsid w:val="00536F02"/>
    <w:rsid w:val="005371F7"/>
    <w:rsid w:val="005372F7"/>
    <w:rsid w:val="005376B1"/>
    <w:rsid w:val="005419E0"/>
    <w:rsid w:val="005422A4"/>
    <w:rsid w:val="00542926"/>
    <w:rsid w:val="005429A8"/>
    <w:rsid w:val="00542C1D"/>
    <w:rsid w:val="005436FD"/>
    <w:rsid w:val="0054506C"/>
    <w:rsid w:val="00550A9F"/>
    <w:rsid w:val="00553353"/>
    <w:rsid w:val="00560850"/>
    <w:rsid w:val="0056361D"/>
    <w:rsid w:val="00567A50"/>
    <w:rsid w:val="00567C9F"/>
    <w:rsid w:val="005706A6"/>
    <w:rsid w:val="005708CA"/>
    <w:rsid w:val="005718CA"/>
    <w:rsid w:val="00571AC0"/>
    <w:rsid w:val="005724E7"/>
    <w:rsid w:val="00573BB4"/>
    <w:rsid w:val="005759B5"/>
    <w:rsid w:val="00590770"/>
    <w:rsid w:val="005915B5"/>
    <w:rsid w:val="00591EFC"/>
    <w:rsid w:val="0059217A"/>
    <w:rsid w:val="005929A6"/>
    <w:rsid w:val="0059517D"/>
    <w:rsid w:val="00595535"/>
    <w:rsid w:val="00596DEE"/>
    <w:rsid w:val="005A6713"/>
    <w:rsid w:val="005A78F3"/>
    <w:rsid w:val="005B057B"/>
    <w:rsid w:val="005B23C4"/>
    <w:rsid w:val="005B2F03"/>
    <w:rsid w:val="005B3E93"/>
    <w:rsid w:val="005B4202"/>
    <w:rsid w:val="005B49A3"/>
    <w:rsid w:val="005B5986"/>
    <w:rsid w:val="005B78B2"/>
    <w:rsid w:val="005C06C3"/>
    <w:rsid w:val="005C0A08"/>
    <w:rsid w:val="005C1650"/>
    <w:rsid w:val="005C3EA2"/>
    <w:rsid w:val="005C6317"/>
    <w:rsid w:val="005D0297"/>
    <w:rsid w:val="005D1484"/>
    <w:rsid w:val="005D1BF5"/>
    <w:rsid w:val="005D2F79"/>
    <w:rsid w:val="005D36A7"/>
    <w:rsid w:val="005D4B30"/>
    <w:rsid w:val="005D64F5"/>
    <w:rsid w:val="005E2039"/>
    <w:rsid w:val="005E2BDD"/>
    <w:rsid w:val="005E4095"/>
    <w:rsid w:val="005E4752"/>
    <w:rsid w:val="005E4AC0"/>
    <w:rsid w:val="005E611A"/>
    <w:rsid w:val="005E6786"/>
    <w:rsid w:val="005E6A08"/>
    <w:rsid w:val="005E72E9"/>
    <w:rsid w:val="005E772E"/>
    <w:rsid w:val="005F107F"/>
    <w:rsid w:val="005F1E5C"/>
    <w:rsid w:val="005F4EA4"/>
    <w:rsid w:val="005F6A61"/>
    <w:rsid w:val="006007C9"/>
    <w:rsid w:val="006014C4"/>
    <w:rsid w:val="0060197D"/>
    <w:rsid w:val="00603C76"/>
    <w:rsid w:val="006047DB"/>
    <w:rsid w:val="006075CE"/>
    <w:rsid w:val="00607ABE"/>
    <w:rsid w:val="00613763"/>
    <w:rsid w:val="00615AD4"/>
    <w:rsid w:val="00615C50"/>
    <w:rsid w:val="00615EE6"/>
    <w:rsid w:val="0061664B"/>
    <w:rsid w:val="0061683D"/>
    <w:rsid w:val="00617EC6"/>
    <w:rsid w:val="00620885"/>
    <w:rsid w:val="00623103"/>
    <w:rsid w:val="00624DF5"/>
    <w:rsid w:val="006256C2"/>
    <w:rsid w:val="0062590D"/>
    <w:rsid w:val="00625C21"/>
    <w:rsid w:val="00626575"/>
    <w:rsid w:val="006301AB"/>
    <w:rsid w:val="00631893"/>
    <w:rsid w:val="00633F5A"/>
    <w:rsid w:val="00634C2B"/>
    <w:rsid w:val="00636501"/>
    <w:rsid w:val="0064058F"/>
    <w:rsid w:val="00640C0B"/>
    <w:rsid w:val="00641C25"/>
    <w:rsid w:val="00642164"/>
    <w:rsid w:val="00643B0A"/>
    <w:rsid w:val="006476F1"/>
    <w:rsid w:val="006549F1"/>
    <w:rsid w:val="0065693E"/>
    <w:rsid w:val="00656EE5"/>
    <w:rsid w:val="006574FE"/>
    <w:rsid w:val="006608DD"/>
    <w:rsid w:val="00663AE3"/>
    <w:rsid w:val="00667CC8"/>
    <w:rsid w:val="006722DA"/>
    <w:rsid w:val="0067379F"/>
    <w:rsid w:val="0067383A"/>
    <w:rsid w:val="00674870"/>
    <w:rsid w:val="00674A61"/>
    <w:rsid w:val="006847B4"/>
    <w:rsid w:val="0068519A"/>
    <w:rsid w:val="006863BE"/>
    <w:rsid w:val="006902F9"/>
    <w:rsid w:val="006912D2"/>
    <w:rsid w:val="00691DE1"/>
    <w:rsid w:val="0069352E"/>
    <w:rsid w:val="00693E11"/>
    <w:rsid w:val="00694481"/>
    <w:rsid w:val="006965DF"/>
    <w:rsid w:val="006A0C73"/>
    <w:rsid w:val="006A14C1"/>
    <w:rsid w:val="006A1F86"/>
    <w:rsid w:val="006A35AE"/>
    <w:rsid w:val="006A57C7"/>
    <w:rsid w:val="006A59DB"/>
    <w:rsid w:val="006A75D7"/>
    <w:rsid w:val="006B2A2C"/>
    <w:rsid w:val="006B3153"/>
    <w:rsid w:val="006B34A2"/>
    <w:rsid w:val="006B6B83"/>
    <w:rsid w:val="006C1B65"/>
    <w:rsid w:val="006C27D4"/>
    <w:rsid w:val="006C2950"/>
    <w:rsid w:val="006C2AFF"/>
    <w:rsid w:val="006C47EB"/>
    <w:rsid w:val="006C5CF3"/>
    <w:rsid w:val="006C60A5"/>
    <w:rsid w:val="006C6C54"/>
    <w:rsid w:val="006C6FE9"/>
    <w:rsid w:val="006D0DF2"/>
    <w:rsid w:val="006D0F45"/>
    <w:rsid w:val="006D1D46"/>
    <w:rsid w:val="006D22FE"/>
    <w:rsid w:val="006D54D5"/>
    <w:rsid w:val="006D635E"/>
    <w:rsid w:val="006D6941"/>
    <w:rsid w:val="006D6ABD"/>
    <w:rsid w:val="006D74A6"/>
    <w:rsid w:val="006D7717"/>
    <w:rsid w:val="006D7A7B"/>
    <w:rsid w:val="006D7CD0"/>
    <w:rsid w:val="006E0856"/>
    <w:rsid w:val="006E115A"/>
    <w:rsid w:val="006E3F9E"/>
    <w:rsid w:val="006E6081"/>
    <w:rsid w:val="006E628E"/>
    <w:rsid w:val="006E66E7"/>
    <w:rsid w:val="006F27FE"/>
    <w:rsid w:val="006F2A42"/>
    <w:rsid w:val="006F419F"/>
    <w:rsid w:val="006F6492"/>
    <w:rsid w:val="00700A5F"/>
    <w:rsid w:val="00705651"/>
    <w:rsid w:val="00706ECD"/>
    <w:rsid w:val="00707487"/>
    <w:rsid w:val="00710264"/>
    <w:rsid w:val="00711528"/>
    <w:rsid w:val="007122A2"/>
    <w:rsid w:val="00712CF4"/>
    <w:rsid w:val="00713819"/>
    <w:rsid w:val="007143F1"/>
    <w:rsid w:val="0071580B"/>
    <w:rsid w:val="00715C0A"/>
    <w:rsid w:val="007162B2"/>
    <w:rsid w:val="00727F9C"/>
    <w:rsid w:val="00732FC1"/>
    <w:rsid w:val="007404D3"/>
    <w:rsid w:val="00743B9F"/>
    <w:rsid w:val="00744825"/>
    <w:rsid w:val="007456CC"/>
    <w:rsid w:val="00745B41"/>
    <w:rsid w:val="00745D86"/>
    <w:rsid w:val="007464AC"/>
    <w:rsid w:val="007507BB"/>
    <w:rsid w:val="007532EA"/>
    <w:rsid w:val="00754553"/>
    <w:rsid w:val="00754C2B"/>
    <w:rsid w:val="00755F7A"/>
    <w:rsid w:val="00760377"/>
    <w:rsid w:val="00766B3F"/>
    <w:rsid w:val="007672AA"/>
    <w:rsid w:val="00767ECF"/>
    <w:rsid w:val="00767F6F"/>
    <w:rsid w:val="007737B1"/>
    <w:rsid w:val="007743E2"/>
    <w:rsid w:val="0077565F"/>
    <w:rsid w:val="0078156D"/>
    <w:rsid w:val="00781BF7"/>
    <w:rsid w:val="00783DFA"/>
    <w:rsid w:val="0078476E"/>
    <w:rsid w:val="00787D03"/>
    <w:rsid w:val="007904B9"/>
    <w:rsid w:val="007905AB"/>
    <w:rsid w:val="00790E82"/>
    <w:rsid w:val="00791BF3"/>
    <w:rsid w:val="0079301A"/>
    <w:rsid w:val="0079471D"/>
    <w:rsid w:val="00795C47"/>
    <w:rsid w:val="007960D6"/>
    <w:rsid w:val="007A011A"/>
    <w:rsid w:val="007A4924"/>
    <w:rsid w:val="007B2B7B"/>
    <w:rsid w:val="007B2BF0"/>
    <w:rsid w:val="007B5FDA"/>
    <w:rsid w:val="007B6716"/>
    <w:rsid w:val="007B7F41"/>
    <w:rsid w:val="007C0093"/>
    <w:rsid w:val="007C010C"/>
    <w:rsid w:val="007C024C"/>
    <w:rsid w:val="007C0A15"/>
    <w:rsid w:val="007C11AC"/>
    <w:rsid w:val="007C1497"/>
    <w:rsid w:val="007C3E98"/>
    <w:rsid w:val="007C484B"/>
    <w:rsid w:val="007C73A9"/>
    <w:rsid w:val="007D0D94"/>
    <w:rsid w:val="007D1394"/>
    <w:rsid w:val="007D180E"/>
    <w:rsid w:val="007D20C6"/>
    <w:rsid w:val="007D2A67"/>
    <w:rsid w:val="007D2F0D"/>
    <w:rsid w:val="007D6F3A"/>
    <w:rsid w:val="007D7615"/>
    <w:rsid w:val="007D7EDC"/>
    <w:rsid w:val="007D7EF8"/>
    <w:rsid w:val="007E186A"/>
    <w:rsid w:val="007E29AD"/>
    <w:rsid w:val="007E320E"/>
    <w:rsid w:val="007E4F96"/>
    <w:rsid w:val="007E5D78"/>
    <w:rsid w:val="007F021B"/>
    <w:rsid w:val="007F17A6"/>
    <w:rsid w:val="007F3560"/>
    <w:rsid w:val="007F5236"/>
    <w:rsid w:val="007F568C"/>
    <w:rsid w:val="007F5748"/>
    <w:rsid w:val="007F5EBD"/>
    <w:rsid w:val="007F6625"/>
    <w:rsid w:val="007F7D41"/>
    <w:rsid w:val="0080248E"/>
    <w:rsid w:val="008034D7"/>
    <w:rsid w:val="00804803"/>
    <w:rsid w:val="0080778B"/>
    <w:rsid w:val="00810B78"/>
    <w:rsid w:val="00813005"/>
    <w:rsid w:val="00814C95"/>
    <w:rsid w:val="008155ED"/>
    <w:rsid w:val="00816B3B"/>
    <w:rsid w:val="00817EA0"/>
    <w:rsid w:val="00821224"/>
    <w:rsid w:val="0082204B"/>
    <w:rsid w:val="00822790"/>
    <w:rsid w:val="00822905"/>
    <w:rsid w:val="008229F0"/>
    <w:rsid w:val="00823404"/>
    <w:rsid w:val="008260A9"/>
    <w:rsid w:val="00831D42"/>
    <w:rsid w:val="00831D7C"/>
    <w:rsid w:val="0083209F"/>
    <w:rsid w:val="00833047"/>
    <w:rsid w:val="008332B5"/>
    <w:rsid w:val="0083503B"/>
    <w:rsid w:val="008352E7"/>
    <w:rsid w:val="00844F56"/>
    <w:rsid w:val="00844F97"/>
    <w:rsid w:val="00845A5B"/>
    <w:rsid w:val="008478FA"/>
    <w:rsid w:val="0084799A"/>
    <w:rsid w:val="00851B85"/>
    <w:rsid w:val="00854313"/>
    <w:rsid w:val="00856883"/>
    <w:rsid w:val="00860B58"/>
    <w:rsid w:val="00864CC9"/>
    <w:rsid w:val="0086775B"/>
    <w:rsid w:val="00870337"/>
    <w:rsid w:val="008722B7"/>
    <w:rsid w:val="0087256E"/>
    <w:rsid w:val="008732A6"/>
    <w:rsid w:val="00873E73"/>
    <w:rsid w:val="008766B6"/>
    <w:rsid w:val="0087692A"/>
    <w:rsid w:val="00877C1C"/>
    <w:rsid w:val="008804BB"/>
    <w:rsid w:val="00880714"/>
    <w:rsid w:val="0088391D"/>
    <w:rsid w:val="008849D7"/>
    <w:rsid w:val="00885531"/>
    <w:rsid w:val="00887CA8"/>
    <w:rsid w:val="00891553"/>
    <w:rsid w:val="0089333B"/>
    <w:rsid w:val="00896A20"/>
    <w:rsid w:val="00897E64"/>
    <w:rsid w:val="008A4019"/>
    <w:rsid w:val="008A4BD7"/>
    <w:rsid w:val="008A5945"/>
    <w:rsid w:val="008A701E"/>
    <w:rsid w:val="008A70CC"/>
    <w:rsid w:val="008B03CA"/>
    <w:rsid w:val="008B0D83"/>
    <w:rsid w:val="008B2DB1"/>
    <w:rsid w:val="008B6A78"/>
    <w:rsid w:val="008B72ED"/>
    <w:rsid w:val="008C31CB"/>
    <w:rsid w:val="008C346C"/>
    <w:rsid w:val="008C65FF"/>
    <w:rsid w:val="008C710D"/>
    <w:rsid w:val="008C7ECE"/>
    <w:rsid w:val="008D147E"/>
    <w:rsid w:val="008D2FCC"/>
    <w:rsid w:val="008D6953"/>
    <w:rsid w:val="008D76F2"/>
    <w:rsid w:val="008E3AD3"/>
    <w:rsid w:val="008E4CEE"/>
    <w:rsid w:val="008E50CC"/>
    <w:rsid w:val="008E7F4E"/>
    <w:rsid w:val="008F037D"/>
    <w:rsid w:val="008F0C31"/>
    <w:rsid w:val="008F0DF2"/>
    <w:rsid w:val="008F1EF2"/>
    <w:rsid w:val="008F2305"/>
    <w:rsid w:val="008F2576"/>
    <w:rsid w:val="008F26F6"/>
    <w:rsid w:val="008F759B"/>
    <w:rsid w:val="00900361"/>
    <w:rsid w:val="009035D4"/>
    <w:rsid w:val="00903F87"/>
    <w:rsid w:val="0090528A"/>
    <w:rsid w:val="009059AF"/>
    <w:rsid w:val="00905DFA"/>
    <w:rsid w:val="00913111"/>
    <w:rsid w:val="009143B0"/>
    <w:rsid w:val="00915967"/>
    <w:rsid w:val="00916145"/>
    <w:rsid w:val="0091720B"/>
    <w:rsid w:val="0092086D"/>
    <w:rsid w:val="009237D4"/>
    <w:rsid w:val="00923EAA"/>
    <w:rsid w:val="009318A9"/>
    <w:rsid w:val="009318DC"/>
    <w:rsid w:val="00932A7E"/>
    <w:rsid w:val="00937337"/>
    <w:rsid w:val="00942148"/>
    <w:rsid w:val="0094361A"/>
    <w:rsid w:val="00945898"/>
    <w:rsid w:val="009458ED"/>
    <w:rsid w:val="00951E97"/>
    <w:rsid w:val="009542D9"/>
    <w:rsid w:val="00954622"/>
    <w:rsid w:val="0095470E"/>
    <w:rsid w:val="009550A7"/>
    <w:rsid w:val="00961F78"/>
    <w:rsid w:val="0096218F"/>
    <w:rsid w:val="00964788"/>
    <w:rsid w:val="00964EF8"/>
    <w:rsid w:val="009653A3"/>
    <w:rsid w:val="0096594E"/>
    <w:rsid w:val="00965A93"/>
    <w:rsid w:val="0097081B"/>
    <w:rsid w:val="00972D4D"/>
    <w:rsid w:val="00972D6A"/>
    <w:rsid w:val="009740A1"/>
    <w:rsid w:val="00976105"/>
    <w:rsid w:val="00977125"/>
    <w:rsid w:val="009772AD"/>
    <w:rsid w:val="00977D8C"/>
    <w:rsid w:val="00977FC8"/>
    <w:rsid w:val="00980301"/>
    <w:rsid w:val="0098112E"/>
    <w:rsid w:val="00981235"/>
    <w:rsid w:val="009854FC"/>
    <w:rsid w:val="009876BA"/>
    <w:rsid w:val="009919EC"/>
    <w:rsid w:val="00992EC9"/>
    <w:rsid w:val="00993E07"/>
    <w:rsid w:val="009A009E"/>
    <w:rsid w:val="009A0244"/>
    <w:rsid w:val="009A1768"/>
    <w:rsid w:val="009B04A1"/>
    <w:rsid w:val="009B126C"/>
    <w:rsid w:val="009B1CBE"/>
    <w:rsid w:val="009B2570"/>
    <w:rsid w:val="009B27DD"/>
    <w:rsid w:val="009B53E3"/>
    <w:rsid w:val="009B590A"/>
    <w:rsid w:val="009B7408"/>
    <w:rsid w:val="009B7BA7"/>
    <w:rsid w:val="009C5622"/>
    <w:rsid w:val="009C5F28"/>
    <w:rsid w:val="009C679A"/>
    <w:rsid w:val="009C78DD"/>
    <w:rsid w:val="009D054B"/>
    <w:rsid w:val="009D4393"/>
    <w:rsid w:val="009D46D5"/>
    <w:rsid w:val="009D4CD0"/>
    <w:rsid w:val="009D5D8C"/>
    <w:rsid w:val="009D682B"/>
    <w:rsid w:val="009D7D00"/>
    <w:rsid w:val="009E17EA"/>
    <w:rsid w:val="009E1DBE"/>
    <w:rsid w:val="009E338D"/>
    <w:rsid w:val="009E3A57"/>
    <w:rsid w:val="009E63EE"/>
    <w:rsid w:val="009F26F6"/>
    <w:rsid w:val="009F32DC"/>
    <w:rsid w:val="009F4175"/>
    <w:rsid w:val="009F4265"/>
    <w:rsid w:val="009F4765"/>
    <w:rsid w:val="009F4A89"/>
    <w:rsid w:val="009F5B36"/>
    <w:rsid w:val="00A01328"/>
    <w:rsid w:val="00A0248A"/>
    <w:rsid w:val="00A0285C"/>
    <w:rsid w:val="00A034C6"/>
    <w:rsid w:val="00A03673"/>
    <w:rsid w:val="00A06BFE"/>
    <w:rsid w:val="00A107E8"/>
    <w:rsid w:val="00A205D7"/>
    <w:rsid w:val="00A21876"/>
    <w:rsid w:val="00A22091"/>
    <w:rsid w:val="00A22904"/>
    <w:rsid w:val="00A22A43"/>
    <w:rsid w:val="00A238DF"/>
    <w:rsid w:val="00A326BF"/>
    <w:rsid w:val="00A3329E"/>
    <w:rsid w:val="00A342E5"/>
    <w:rsid w:val="00A34562"/>
    <w:rsid w:val="00A36493"/>
    <w:rsid w:val="00A40617"/>
    <w:rsid w:val="00A41939"/>
    <w:rsid w:val="00A45003"/>
    <w:rsid w:val="00A45B8F"/>
    <w:rsid w:val="00A4652F"/>
    <w:rsid w:val="00A4653A"/>
    <w:rsid w:val="00A46EC2"/>
    <w:rsid w:val="00A46FA6"/>
    <w:rsid w:val="00A538F3"/>
    <w:rsid w:val="00A548FC"/>
    <w:rsid w:val="00A569BD"/>
    <w:rsid w:val="00A57BB8"/>
    <w:rsid w:val="00A57C3C"/>
    <w:rsid w:val="00A60CB6"/>
    <w:rsid w:val="00A60CFD"/>
    <w:rsid w:val="00A6451B"/>
    <w:rsid w:val="00A64BB3"/>
    <w:rsid w:val="00A65E1A"/>
    <w:rsid w:val="00A66ABB"/>
    <w:rsid w:val="00A66B48"/>
    <w:rsid w:val="00A715B2"/>
    <w:rsid w:val="00A716F2"/>
    <w:rsid w:val="00A72945"/>
    <w:rsid w:val="00A75291"/>
    <w:rsid w:val="00A75414"/>
    <w:rsid w:val="00A76D52"/>
    <w:rsid w:val="00A77422"/>
    <w:rsid w:val="00A77834"/>
    <w:rsid w:val="00A77C18"/>
    <w:rsid w:val="00A77E9F"/>
    <w:rsid w:val="00A867E2"/>
    <w:rsid w:val="00A907FB"/>
    <w:rsid w:val="00A92498"/>
    <w:rsid w:val="00A92911"/>
    <w:rsid w:val="00A92CD2"/>
    <w:rsid w:val="00A93321"/>
    <w:rsid w:val="00A94D03"/>
    <w:rsid w:val="00A95E0E"/>
    <w:rsid w:val="00A97EAF"/>
    <w:rsid w:val="00AA4ED3"/>
    <w:rsid w:val="00AA5A11"/>
    <w:rsid w:val="00AA67C1"/>
    <w:rsid w:val="00AA6C5B"/>
    <w:rsid w:val="00AB044F"/>
    <w:rsid w:val="00AB0D90"/>
    <w:rsid w:val="00AC4EF3"/>
    <w:rsid w:val="00AC517B"/>
    <w:rsid w:val="00AC618F"/>
    <w:rsid w:val="00AC6563"/>
    <w:rsid w:val="00AC67B4"/>
    <w:rsid w:val="00AC706E"/>
    <w:rsid w:val="00AC78F2"/>
    <w:rsid w:val="00AD642E"/>
    <w:rsid w:val="00AE2C80"/>
    <w:rsid w:val="00AE4596"/>
    <w:rsid w:val="00AE74B5"/>
    <w:rsid w:val="00AF1BFF"/>
    <w:rsid w:val="00AF2DE5"/>
    <w:rsid w:val="00AF50B8"/>
    <w:rsid w:val="00AF7E47"/>
    <w:rsid w:val="00B0048D"/>
    <w:rsid w:val="00B01B60"/>
    <w:rsid w:val="00B01DB9"/>
    <w:rsid w:val="00B02792"/>
    <w:rsid w:val="00B0343A"/>
    <w:rsid w:val="00B03455"/>
    <w:rsid w:val="00B066B3"/>
    <w:rsid w:val="00B06CB0"/>
    <w:rsid w:val="00B075A9"/>
    <w:rsid w:val="00B10C13"/>
    <w:rsid w:val="00B12E85"/>
    <w:rsid w:val="00B1517D"/>
    <w:rsid w:val="00B17528"/>
    <w:rsid w:val="00B17808"/>
    <w:rsid w:val="00B22556"/>
    <w:rsid w:val="00B261CC"/>
    <w:rsid w:val="00B2754C"/>
    <w:rsid w:val="00B30E36"/>
    <w:rsid w:val="00B3525B"/>
    <w:rsid w:val="00B35505"/>
    <w:rsid w:val="00B35521"/>
    <w:rsid w:val="00B35849"/>
    <w:rsid w:val="00B3686E"/>
    <w:rsid w:val="00B42594"/>
    <w:rsid w:val="00B4294E"/>
    <w:rsid w:val="00B43AA6"/>
    <w:rsid w:val="00B46038"/>
    <w:rsid w:val="00B46377"/>
    <w:rsid w:val="00B46490"/>
    <w:rsid w:val="00B468B4"/>
    <w:rsid w:val="00B50577"/>
    <w:rsid w:val="00B514C3"/>
    <w:rsid w:val="00B518F2"/>
    <w:rsid w:val="00B533B6"/>
    <w:rsid w:val="00B55C00"/>
    <w:rsid w:val="00B57982"/>
    <w:rsid w:val="00B57B0E"/>
    <w:rsid w:val="00B60F1E"/>
    <w:rsid w:val="00B62FA7"/>
    <w:rsid w:val="00B66B46"/>
    <w:rsid w:val="00B67368"/>
    <w:rsid w:val="00B674F1"/>
    <w:rsid w:val="00B67CA3"/>
    <w:rsid w:val="00B700EB"/>
    <w:rsid w:val="00B70F08"/>
    <w:rsid w:val="00B7688E"/>
    <w:rsid w:val="00B80CCD"/>
    <w:rsid w:val="00B819C8"/>
    <w:rsid w:val="00B92699"/>
    <w:rsid w:val="00B93A80"/>
    <w:rsid w:val="00B9549E"/>
    <w:rsid w:val="00B95804"/>
    <w:rsid w:val="00B958D7"/>
    <w:rsid w:val="00B964EE"/>
    <w:rsid w:val="00BA1957"/>
    <w:rsid w:val="00BA21ED"/>
    <w:rsid w:val="00BA38D5"/>
    <w:rsid w:val="00BA3C09"/>
    <w:rsid w:val="00BA52AE"/>
    <w:rsid w:val="00BA68FC"/>
    <w:rsid w:val="00BA7C58"/>
    <w:rsid w:val="00BC16F8"/>
    <w:rsid w:val="00BC26BC"/>
    <w:rsid w:val="00BC5A95"/>
    <w:rsid w:val="00BC5AFF"/>
    <w:rsid w:val="00BC6028"/>
    <w:rsid w:val="00BC7C34"/>
    <w:rsid w:val="00BD0CA1"/>
    <w:rsid w:val="00BD2E64"/>
    <w:rsid w:val="00BD38F4"/>
    <w:rsid w:val="00BD3E39"/>
    <w:rsid w:val="00BD476C"/>
    <w:rsid w:val="00BD75B4"/>
    <w:rsid w:val="00BD7B59"/>
    <w:rsid w:val="00BD7C2F"/>
    <w:rsid w:val="00BE205E"/>
    <w:rsid w:val="00BE2FC6"/>
    <w:rsid w:val="00BE4D18"/>
    <w:rsid w:val="00BE6D0A"/>
    <w:rsid w:val="00BE6E19"/>
    <w:rsid w:val="00BF1421"/>
    <w:rsid w:val="00BF4CD8"/>
    <w:rsid w:val="00BF617B"/>
    <w:rsid w:val="00BF77DA"/>
    <w:rsid w:val="00C05476"/>
    <w:rsid w:val="00C0633E"/>
    <w:rsid w:val="00C06D0B"/>
    <w:rsid w:val="00C07554"/>
    <w:rsid w:val="00C07A6C"/>
    <w:rsid w:val="00C11474"/>
    <w:rsid w:val="00C12045"/>
    <w:rsid w:val="00C15418"/>
    <w:rsid w:val="00C15A19"/>
    <w:rsid w:val="00C15F3B"/>
    <w:rsid w:val="00C15F49"/>
    <w:rsid w:val="00C205D7"/>
    <w:rsid w:val="00C20CAC"/>
    <w:rsid w:val="00C21C28"/>
    <w:rsid w:val="00C221E5"/>
    <w:rsid w:val="00C25E18"/>
    <w:rsid w:val="00C2739B"/>
    <w:rsid w:val="00C27923"/>
    <w:rsid w:val="00C325F0"/>
    <w:rsid w:val="00C33FA5"/>
    <w:rsid w:val="00C36760"/>
    <w:rsid w:val="00C37C68"/>
    <w:rsid w:val="00C425BF"/>
    <w:rsid w:val="00C42F62"/>
    <w:rsid w:val="00C4377E"/>
    <w:rsid w:val="00C52522"/>
    <w:rsid w:val="00C53AE4"/>
    <w:rsid w:val="00C53DAF"/>
    <w:rsid w:val="00C55E2B"/>
    <w:rsid w:val="00C562B2"/>
    <w:rsid w:val="00C65562"/>
    <w:rsid w:val="00C711CC"/>
    <w:rsid w:val="00C71998"/>
    <w:rsid w:val="00C71C7F"/>
    <w:rsid w:val="00C74999"/>
    <w:rsid w:val="00C7566C"/>
    <w:rsid w:val="00C75B1E"/>
    <w:rsid w:val="00C779A8"/>
    <w:rsid w:val="00C80167"/>
    <w:rsid w:val="00C818F4"/>
    <w:rsid w:val="00C81F42"/>
    <w:rsid w:val="00C839B4"/>
    <w:rsid w:val="00C87C76"/>
    <w:rsid w:val="00C9091B"/>
    <w:rsid w:val="00C92AF5"/>
    <w:rsid w:val="00C94BE9"/>
    <w:rsid w:val="00CA1525"/>
    <w:rsid w:val="00CA3139"/>
    <w:rsid w:val="00CA4CB3"/>
    <w:rsid w:val="00CA6F55"/>
    <w:rsid w:val="00CB02CD"/>
    <w:rsid w:val="00CB0529"/>
    <w:rsid w:val="00CB0D82"/>
    <w:rsid w:val="00CB21E1"/>
    <w:rsid w:val="00CB3737"/>
    <w:rsid w:val="00CB3F0C"/>
    <w:rsid w:val="00CB5783"/>
    <w:rsid w:val="00CB66DE"/>
    <w:rsid w:val="00CB6BEA"/>
    <w:rsid w:val="00CB728C"/>
    <w:rsid w:val="00CB7AD3"/>
    <w:rsid w:val="00CC01A5"/>
    <w:rsid w:val="00CC153A"/>
    <w:rsid w:val="00CC30F5"/>
    <w:rsid w:val="00CC5404"/>
    <w:rsid w:val="00CC64B8"/>
    <w:rsid w:val="00CD08B3"/>
    <w:rsid w:val="00CE12D3"/>
    <w:rsid w:val="00CE17C3"/>
    <w:rsid w:val="00CE27E6"/>
    <w:rsid w:val="00CE2C87"/>
    <w:rsid w:val="00CE479A"/>
    <w:rsid w:val="00CE4CD0"/>
    <w:rsid w:val="00CE4DB1"/>
    <w:rsid w:val="00CF09DB"/>
    <w:rsid w:val="00CF102F"/>
    <w:rsid w:val="00CF2F58"/>
    <w:rsid w:val="00CF3993"/>
    <w:rsid w:val="00CF4990"/>
    <w:rsid w:val="00CF4D36"/>
    <w:rsid w:val="00CF5C63"/>
    <w:rsid w:val="00D000C7"/>
    <w:rsid w:val="00D005E0"/>
    <w:rsid w:val="00D026ED"/>
    <w:rsid w:val="00D02911"/>
    <w:rsid w:val="00D02A95"/>
    <w:rsid w:val="00D05085"/>
    <w:rsid w:val="00D07068"/>
    <w:rsid w:val="00D114A0"/>
    <w:rsid w:val="00D11D98"/>
    <w:rsid w:val="00D12298"/>
    <w:rsid w:val="00D129D5"/>
    <w:rsid w:val="00D133EA"/>
    <w:rsid w:val="00D134BD"/>
    <w:rsid w:val="00D135D0"/>
    <w:rsid w:val="00D13C0C"/>
    <w:rsid w:val="00D14277"/>
    <w:rsid w:val="00D1572D"/>
    <w:rsid w:val="00D1647B"/>
    <w:rsid w:val="00D17D69"/>
    <w:rsid w:val="00D2425B"/>
    <w:rsid w:val="00D24506"/>
    <w:rsid w:val="00D24A48"/>
    <w:rsid w:val="00D24E97"/>
    <w:rsid w:val="00D27BB4"/>
    <w:rsid w:val="00D3045E"/>
    <w:rsid w:val="00D326A4"/>
    <w:rsid w:val="00D32C49"/>
    <w:rsid w:val="00D34495"/>
    <w:rsid w:val="00D3471B"/>
    <w:rsid w:val="00D34DE6"/>
    <w:rsid w:val="00D34E3A"/>
    <w:rsid w:val="00D3664A"/>
    <w:rsid w:val="00D41396"/>
    <w:rsid w:val="00D41ED1"/>
    <w:rsid w:val="00D47ACE"/>
    <w:rsid w:val="00D54E83"/>
    <w:rsid w:val="00D55257"/>
    <w:rsid w:val="00D55519"/>
    <w:rsid w:val="00D5636B"/>
    <w:rsid w:val="00D571E9"/>
    <w:rsid w:val="00D574B0"/>
    <w:rsid w:val="00D60435"/>
    <w:rsid w:val="00D61975"/>
    <w:rsid w:val="00D63389"/>
    <w:rsid w:val="00D63915"/>
    <w:rsid w:val="00D63AD2"/>
    <w:rsid w:val="00D6626A"/>
    <w:rsid w:val="00D676E4"/>
    <w:rsid w:val="00D67E52"/>
    <w:rsid w:val="00D70D70"/>
    <w:rsid w:val="00D72220"/>
    <w:rsid w:val="00D74088"/>
    <w:rsid w:val="00D75138"/>
    <w:rsid w:val="00D75472"/>
    <w:rsid w:val="00D7592A"/>
    <w:rsid w:val="00D770FC"/>
    <w:rsid w:val="00D81A5A"/>
    <w:rsid w:val="00D840AB"/>
    <w:rsid w:val="00D841C3"/>
    <w:rsid w:val="00D8569F"/>
    <w:rsid w:val="00D859EE"/>
    <w:rsid w:val="00D85A5B"/>
    <w:rsid w:val="00D86178"/>
    <w:rsid w:val="00D87D50"/>
    <w:rsid w:val="00D90EC9"/>
    <w:rsid w:val="00D92859"/>
    <w:rsid w:val="00D92D29"/>
    <w:rsid w:val="00D93120"/>
    <w:rsid w:val="00D940DA"/>
    <w:rsid w:val="00D9468C"/>
    <w:rsid w:val="00D9554E"/>
    <w:rsid w:val="00D97FFD"/>
    <w:rsid w:val="00DA1AE6"/>
    <w:rsid w:val="00DA1EBA"/>
    <w:rsid w:val="00DA23CC"/>
    <w:rsid w:val="00DA5F10"/>
    <w:rsid w:val="00DA651E"/>
    <w:rsid w:val="00DA67D1"/>
    <w:rsid w:val="00DB62D9"/>
    <w:rsid w:val="00DB7AC5"/>
    <w:rsid w:val="00DB7D83"/>
    <w:rsid w:val="00DC0427"/>
    <w:rsid w:val="00DD01E4"/>
    <w:rsid w:val="00DD10C5"/>
    <w:rsid w:val="00DD4F1F"/>
    <w:rsid w:val="00DD5B32"/>
    <w:rsid w:val="00DD5C09"/>
    <w:rsid w:val="00DE09C8"/>
    <w:rsid w:val="00DE0A6E"/>
    <w:rsid w:val="00DE1CAC"/>
    <w:rsid w:val="00DE3DC2"/>
    <w:rsid w:val="00DE43FE"/>
    <w:rsid w:val="00DE56DC"/>
    <w:rsid w:val="00DF1BF8"/>
    <w:rsid w:val="00DF288C"/>
    <w:rsid w:val="00DF4BE3"/>
    <w:rsid w:val="00DF5AC7"/>
    <w:rsid w:val="00DF6422"/>
    <w:rsid w:val="00DF6475"/>
    <w:rsid w:val="00DF783C"/>
    <w:rsid w:val="00DF78EE"/>
    <w:rsid w:val="00E0378D"/>
    <w:rsid w:val="00E041DD"/>
    <w:rsid w:val="00E04883"/>
    <w:rsid w:val="00E10CA4"/>
    <w:rsid w:val="00E126BC"/>
    <w:rsid w:val="00E128B1"/>
    <w:rsid w:val="00E1294E"/>
    <w:rsid w:val="00E12E77"/>
    <w:rsid w:val="00E14999"/>
    <w:rsid w:val="00E15601"/>
    <w:rsid w:val="00E2139E"/>
    <w:rsid w:val="00E21F1A"/>
    <w:rsid w:val="00E220FB"/>
    <w:rsid w:val="00E239B8"/>
    <w:rsid w:val="00E24297"/>
    <w:rsid w:val="00E316B3"/>
    <w:rsid w:val="00E32601"/>
    <w:rsid w:val="00E33CA8"/>
    <w:rsid w:val="00E344D4"/>
    <w:rsid w:val="00E3549C"/>
    <w:rsid w:val="00E3561B"/>
    <w:rsid w:val="00E3562A"/>
    <w:rsid w:val="00E356A3"/>
    <w:rsid w:val="00E35A27"/>
    <w:rsid w:val="00E37BFE"/>
    <w:rsid w:val="00E42BCC"/>
    <w:rsid w:val="00E47A20"/>
    <w:rsid w:val="00E51980"/>
    <w:rsid w:val="00E54250"/>
    <w:rsid w:val="00E609D5"/>
    <w:rsid w:val="00E644D5"/>
    <w:rsid w:val="00E7084E"/>
    <w:rsid w:val="00E7237E"/>
    <w:rsid w:val="00E728E7"/>
    <w:rsid w:val="00E73271"/>
    <w:rsid w:val="00E73BC8"/>
    <w:rsid w:val="00E73ED7"/>
    <w:rsid w:val="00E7543C"/>
    <w:rsid w:val="00E75534"/>
    <w:rsid w:val="00E75791"/>
    <w:rsid w:val="00E75F8B"/>
    <w:rsid w:val="00E77FB8"/>
    <w:rsid w:val="00E82512"/>
    <w:rsid w:val="00E82891"/>
    <w:rsid w:val="00E84B3A"/>
    <w:rsid w:val="00E85EC4"/>
    <w:rsid w:val="00E87BDE"/>
    <w:rsid w:val="00E9089B"/>
    <w:rsid w:val="00E9133B"/>
    <w:rsid w:val="00E91803"/>
    <w:rsid w:val="00E94004"/>
    <w:rsid w:val="00E95E6F"/>
    <w:rsid w:val="00E966C1"/>
    <w:rsid w:val="00E96AC5"/>
    <w:rsid w:val="00EA0878"/>
    <w:rsid w:val="00EA2896"/>
    <w:rsid w:val="00EA2E06"/>
    <w:rsid w:val="00EA313D"/>
    <w:rsid w:val="00EA36D8"/>
    <w:rsid w:val="00EA3F5C"/>
    <w:rsid w:val="00EA5034"/>
    <w:rsid w:val="00EB1011"/>
    <w:rsid w:val="00EB34EE"/>
    <w:rsid w:val="00EB3E68"/>
    <w:rsid w:val="00EC3BBA"/>
    <w:rsid w:val="00EC58B4"/>
    <w:rsid w:val="00ED2712"/>
    <w:rsid w:val="00ED30BC"/>
    <w:rsid w:val="00ED6188"/>
    <w:rsid w:val="00ED731E"/>
    <w:rsid w:val="00ED7B72"/>
    <w:rsid w:val="00EE0F71"/>
    <w:rsid w:val="00EE2CD6"/>
    <w:rsid w:val="00EE52BC"/>
    <w:rsid w:val="00EE6489"/>
    <w:rsid w:val="00EF0011"/>
    <w:rsid w:val="00EF0A07"/>
    <w:rsid w:val="00EF1E28"/>
    <w:rsid w:val="00EF48DC"/>
    <w:rsid w:val="00EF541E"/>
    <w:rsid w:val="00EF5ED0"/>
    <w:rsid w:val="00EF7EC0"/>
    <w:rsid w:val="00F00870"/>
    <w:rsid w:val="00F00BBB"/>
    <w:rsid w:val="00F0214C"/>
    <w:rsid w:val="00F02E28"/>
    <w:rsid w:val="00F02E90"/>
    <w:rsid w:val="00F035F6"/>
    <w:rsid w:val="00F04738"/>
    <w:rsid w:val="00F04A8E"/>
    <w:rsid w:val="00F04F53"/>
    <w:rsid w:val="00F05284"/>
    <w:rsid w:val="00F05905"/>
    <w:rsid w:val="00F1066B"/>
    <w:rsid w:val="00F115B7"/>
    <w:rsid w:val="00F160C9"/>
    <w:rsid w:val="00F17731"/>
    <w:rsid w:val="00F20C5E"/>
    <w:rsid w:val="00F20D84"/>
    <w:rsid w:val="00F21B7A"/>
    <w:rsid w:val="00F231B3"/>
    <w:rsid w:val="00F233D7"/>
    <w:rsid w:val="00F254F9"/>
    <w:rsid w:val="00F25F32"/>
    <w:rsid w:val="00F30B97"/>
    <w:rsid w:val="00F31DFC"/>
    <w:rsid w:val="00F323B2"/>
    <w:rsid w:val="00F32445"/>
    <w:rsid w:val="00F352A7"/>
    <w:rsid w:val="00F401DA"/>
    <w:rsid w:val="00F41126"/>
    <w:rsid w:val="00F41ED3"/>
    <w:rsid w:val="00F4238A"/>
    <w:rsid w:val="00F423D6"/>
    <w:rsid w:val="00F4382D"/>
    <w:rsid w:val="00F44929"/>
    <w:rsid w:val="00F4630B"/>
    <w:rsid w:val="00F46F65"/>
    <w:rsid w:val="00F500C1"/>
    <w:rsid w:val="00F50431"/>
    <w:rsid w:val="00F5125F"/>
    <w:rsid w:val="00F51A1C"/>
    <w:rsid w:val="00F51F19"/>
    <w:rsid w:val="00F5548A"/>
    <w:rsid w:val="00F554B8"/>
    <w:rsid w:val="00F5566E"/>
    <w:rsid w:val="00F57640"/>
    <w:rsid w:val="00F57A8D"/>
    <w:rsid w:val="00F6078E"/>
    <w:rsid w:val="00F62899"/>
    <w:rsid w:val="00F62922"/>
    <w:rsid w:val="00F64363"/>
    <w:rsid w:val="00F664BC"/>
    <w:rsid w:val="00F727C9"/>
    <w:rsid w:val="00F7304B"/>
    <w:rsid w:val="00F73488"/>
    <w:rsid w:val="00F73513"/>
    <w:rsid w:val="00F74BCB"/>
    <w:rsid w:val="00F77668"/>
    <w:rsid w:val="00F77E61"/>
    <w:rsid w:val="00F81094"/>
    <w:rsid w:val="00F81927"/>
    <w:rsid w:val="00F81B0D"/>
    <w:rsid w:val="00F8380B"/>
    <w:rsid w:val="00F864B4"/>
    <w:rsid w:val="00F9005D"/>
    <w:rsid w:val="00F9226B"/>
    <w:rsid w:val="00F92721"/>
    <w:rsid w:val="00F92B40"/>
    <w:rsid w:val="00F93090"/>
    <w:rsid w:val="00F936E3"/>
    <w:rsid w:val="00F939C3"/>
    <w:rsid w:val="00F939F4"/>
    <w:rsid w:val="00F93D9F"/>
    <w:rsid w:val="00F93DC3"/>
    <w:rsid w:val="00F95471"/>
    <w:rsid w:val="00F976DE"/>
    <w:rsid w:val="00FA1961"/>
    <w:rsid w:val="00FA1EEB"/>
    <w:rsid w:val="00FA7E1C"/>
    <w:rsid w:val="00FA7E23"/>
    <w:rsid w:val="00FB2189"/>
    <w:rsid w:val="00FB2CEF"/>
    <w:rsid w:val="00FB4BA6"/>
    <w:rsid w:val="00FB7BC5"/>
    <w:rsid w:val="00FC0C29"/>
    <w:rsid w:val="00FC188F"/>
    <w:rsid w:val="00FC430B"/>
    <w:rsid w:val="00FC478E"/>
    <w:rsid w:val="00FC590C"/>
    <w:rsid w:val="00FD0D8E"/>
    <w:rsid w:val="00FD24DF"/>
    <w:rsid w:val="00FD37CE"/>
    <w:rsid w:val="00FD46EC"/>
    <w:rsid w:val="00FD6EAC"/>
    <w:rsid w:val="00FE3FAA"/>
    <w:rsid w:val="00FE6269"/>
    <w:rsid w:val="00FE6629"/>
    <w:rsid w:val="00FE676A"/>
    <w:rsid w:val="00FE6BDD"/>
    <w:rsid w:val="00FE7932"/>
    <w:rsid w:val="00FF0448"/>
    <w:rsid w:val="00FF120B"/>
    <w:rsid w:val="00FF2DD0"/>
    <w:rsid w:val="00FF38FE"/>
    <w:rsid w:val="00FF52C3"/>
    <w:rsid w:val="00FF60D4"/>
    <w:rsid w:val="00FF6162"/>
    <w:rsid w:val="00FF6293"/>
    <w:rsid w:val="00FF7A7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52226">
      <o:colormenu v:ext="edit" strokecolor="none [2406]"/>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l-NL" w:eastAsia="nl-N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F28CD"/>
    <w:pPr>
      <w:spacing w:line="360" w:lineRule="auto"/>
      <w:jc w:val="both"/>
    </w:pPr>
    <w:rPr>
      <w:rFonts w:ascii="Arial" w:hAnsi="Arial" w:cs="Angsana New"/>
      <w:sz w:val="24"/>
      <w:szCs w:val="24"/>
      <w:lang w:val="en-AU" w:eastAsia="en-AU" w:bidi="th-TH"/>
    </w:rPr>
  </w:style>
  <w:style w:type="paragraph" w:styleId="Heading1">
    <w:name w:val="heading 1"/>
    <w:basedOn w:val="Normal"/>
    <w:next w:val="Normal"/>
    <w:link w:val="Heading1Char"/>
    <w:uiPriority w:val="99"/>
    <w:qFormat/>
    <w:rsid w:val="008E7F4E"/>
    <w:pPr>
      <w:keepNext/>
      <w:keepLines/>
      <w:numPr>
        <w:numId w:val="12"/>
      </w:numPr>
      <w:spacing w:before="480" w:line="480" w:lineRule="auto"/>
      <w:outlineLvl w:val="0"/>
    </w:pPr>
    <w:rPr>
      <w:rFonts w:cs="Times New Roman"/>
      <w:b/>
      <w:bCs/>
      <w:sz w:val="32"/>
      <w:szCs w:val="28"/>
      <w:lang w:val="nl-NL" w:eastAsia="en-US" w:bidi="ar-SA"/>
    </w:rPr>
  </w:style>
  <w:style w:type="paragraph" w:styleId="Heading2">
    <w:name w:val="heading 2"/>
    <w:basedOn w:val="Normal"/>
    <w:next w:val="Normal"/>
    <w:link w:val="Heading2Char"/>
    <w:uiPriority w:val="99"/>
    <w:qFormat/>
    <w:rsid w:val="003B3CFC"/>
    <w:pPr>
      <w:keepNext/>
      <w:numPr>
        <w:ilvl w:val="1"/>
        <w:numId w:val="12"/>
      </w:numPr>
      <w:spacing w:before="240" w:after="60"/>
      <w:outlineLvl w:val="1"/>
    </w:pPr>
    <w:rPr>
      <w:rFonts w:cs="Arial"/>
      <w:b/>
      <w:bCs/>
      <w:i/>
      <w:iCs/>
      <w:sz w:val="28"/>
      <w:szCs w:val="28"/>
      <w:lang w:val="en-GB"/>
    </w:rPr>
  </w:style>
  <w:style w:type="paragraph" w:styleId="Heading3">
    <w:name w:val="heading 3"/>
    <w:basedOn w:val="Normal"/>
    <w:next w:val="Normal"/>
    <w:link w:val="Heading3Char"/>
    <w:uiPriority w:val="99"/>
    <w:qFormat/>
    <w:rsid w:val="005D4B30"/>
    <w:pPr>
      <w:keepNext/>
      <w:numPr>
        <w:ilvl w:val="2"/>
        <w:numId w:val="12"/>
      </w:numPr>
      <w:spacing w:before="240" w:after="60"/>
      <w:outlineLvl w:val="2"/>
    </w:pPr>
    <w:rPr>
      <w:rFonts w:cs="Arial"/>
      <w:b/>
      <w:bCs/>
      <w:sz w:val="26"/>
      <w:szCs w:val="26"/>
    </w:rPr>
  </w:style>
  <w:style w:type="paragraph" w:styleId="Heading4">
    <w:name w:val="heading 4"/>
    <w:basedOn w:val="Normal"/>
    <w:next w:val="Normal"/>
    <w:link w:val="Heading4Char"/>
    <w:uiPriority w:val="99"/>
    <w:qFormat/>
    <w:rsid w:val="000E2C66"/>
    <w:pPr>
      <w:keepNext/>
      <w:spacing w:before="240" w:after="60"/>
      <w:outlineLvl w:val="3"/>
    </w:pPr>
    <w:rPr>
      <w:rFonts w:ascii="Calibri" w:hAnsi="Calibri"/>
      <w:b/>
      <w:bCs/>
      <w:sz w:val="28"/>
      <w:szCs w:val="35"/>
    </w:rPr>
  </w:style>
  <w:style w:type="paragraph" w:styleId="Heading5">
    <w:name w:val="heading 5"/>
    <w:basedOn w:val="Normal"/>
    <w:next w:val="Normal"/>
    <w:link w:val="Heading5Char"/>
    <w:uiPriority w:val="99"/>
    <w:qFormat/>
    <w:rsid w:val="00972D6A"/>
    <w:pPr>
      <w:numPr>
        <w:ilvl w:val="4"/>
        <w:numId w:val="12"/>
      </w:numPr>
      <w:spacing w:before="240" w:after="60"/>
      <w:outlineLvl w:val="4"/>
    </w:pPr>
    <w:rPr>
      <w:rFonts w:ascii="Calibri" w:hAnsi="Calibri"/>
      <w:b/>
      <w:bCs/>
      <w:i/>
      <w:iCs/>
      <w:sz w:val="26"/>
      <w:szCs w:val="33"/>
    </w:rPr>
  </w:style>
  <w:style w:type="paragraph" w:styleId="Heading6">
    <w:name w:val="heading 6"/>
    <w:basedOn w:val="Normal"/>
    <w:next w:val="Normal"/>
    <w:link w:val="Heading6Char"/>
    <w:uiPriority w:val="99"/>
    <w:qFormat/>
    <w:rsid w:val="008E7F4E"/>
    <w:pPr>
      <w:numPr>
        <w:ilvl w:val="5"/>
        <w:numId w:val="12"/>
      </w:numPr>
      <w:spacing w:before="240" w:after="60"/>
      <w:outlineLvl w:val="5"/>
    </w:pPr>
    <w:rPr>
      <w:rFonts w:ascii="Calibri" w:hAnsi="Calibri"/>
      <w:b/>
      <w:bCs/>
      <w:sz w:val="22"/>
      <w:szCs w:val="28"/>
    </w:rPr>
  </w:style>
  <w:style w:type="paragraph" w:styleId="Heading7">
    <w:name w:val="heading 7"/>
    <w:basedOn w:val="Normal"/>
    <w:next w:val="Normal"/>
    <w:link w:val="Heading7Char"/>
    <w:uiPriority w:val="99"/>
    <w:qFormat/>
    <w:rsid w:val="008E7F4E"/>
    <w:pPr>
      <w:numPr>
        <w:ilvl w:val="6"/>
        <w:numId w:val="12"/>
      </w:numPr>
      <w:spacing w:before="240" w:after="60"/>
      <w:outlineLvl w:val="6"/>
    </w:pPr>
    <w:rPr>
      <w:rFonts w:ascii="Calibri" w:hAnsi="Calibri"/>
      <w:szCs w:val="30"/>
    </w:rPr>
  </w:style>
  <w:style w:type="paragraph" w:styleId="Heading8">
    <w:name w:val="heading 8"/>
    <w:basedOn w:val="Normal"/>
    <w:next w:val="Normal"/>
    <w:link w:val="Heading8Char"/>
    <w:uiPriority w:val="99"/>
    <w:qFormat/>
    <w:rsid w:val="008E7F4E"/>
    <w:pPr>
      <w:numPr>
        <w:ilvl w:val="7"/>
        <w:numId w:val="12"/>
      </w:numPr>
      <w:spacing w:before="240" w:after="60"/>
      <w:outlineLvl w:val="7"/>
    </w:pPr>
    <w:rPr>
      <w:rFonts w:ascii="Calibri" w:hAnsi="Calibri"/>
      <w:i/>
      <w:iCs/>
      <w:szCs w:val="30"/>
    </w:rPr>
  </w:style>
  <w:style w:type="paragraph" w:styleId="Heading9">
    <w:name w:val="heading 9"/>
    <w:basedOn w:val="Normal"/>
    <w:next w:val="Normal"/>
    <w:link w:val="Heading9Char"/>
    <w:uiPriority w:val="99"/>
    <w:qFormat/>
    <w:rsid w:val="008E7F4E"/>
    <w:pPr>
      <w:numPr>
        <w:ilvl w:val="8"/>
        <w:numId w:val="12"/>
      </w:numPr>
      <w:spacing w:before="240" w:after="60"/>
      <w:outlineLvl w:val="8"/>
    </w:pPr>
    <w:rPr>
      <w:rFonts w:ascii="Cambria" w:hAnsi="Cambria"/>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E7F4E"/>
    <w:rPr>
      <w:rFonts w:ascii="Arial" w:hAnsi="Arial" w:cs="Times New Roman"/>
      <w:b/>
      <w:bCs/>
      <w:sz w:val="28"/>
      <w:szCs w:val="28"/>
      <w:lang w:val="nl-NL" w:eastAsia="en-US"/>
    </w:rPr>
  </w:style>
  <w:style w:type="character" w:customStyle="1" w:styleId="Heading2Char">
    <w:name w:val="Heading 2 Char"/>
    <w:basedOn w:val="DefaultParagraphFont"/>
    <w:link w:val="Heading2"/>
    <w:uiPriority w:val="99"/>
    <w:locked/>
    <w:rsid w:val="003B3CFC"/>
    <w:rPr>
      <w:rFonts w:ascii="Arial" w:hAnsi="Arial" w:cs="Arial"/>
      <w:b/>
      <w:bCs/>
      <w:i/>
      <w:iCs/>
      <w:sz w:val="28"/>
      <w:szCs w:val="28"/>
      <w:lang w:eastAsia="en-AU" w:bidi="th-TH"/>
    </w:rPr>
  </w:style>
  <w:style w:type="character" w:customStyle="1" w:styleId="Heading3Char">
    <w:name w:val="Heading 3 Char"/>
    <w:basedOn w:val="DefaultParagraphFont"/>
    <w:link w:val="Heading3"/>
    <w:uiPriority w:val="99"/>
    <w:locked/>
    <w:rsid w:val="005D4B30"/>
    <w:rPr>
      <w:rFonts w:ascii="Arial" w:hAnsi="Arial" w:cs="Arial"/>
      <w:b/>
      <w:bCs/>
      <w:sz w:val="26"/>
      <w:szCs w:val="26"/>
      <w:lang w:val="en-AU" w:eastAsia="en-AU" w:bidi="th-TH"/>
    </w:rPr>
  </w:style>
  <w:style w:type="character" w:customStyle="1" w:styleId="Heading4Char">
    <w:name w:val="Heading 4 Char"/>
    <w:basedOn w:val="DefaultParagraphFont"/>
    <w:link w:val="Heading4"/>
    <w:uiPriority w:val="99"/>
    <w:semiHidden/>
    <w:locked/>
    <w:rsid w:val="008E7F4E"/>
    <w:rPr>
      <w:rFonts w:ascii="Calibri" w:hAnsi="Calibri" w:cs="Angsana New"/>
      <w:b/>
      <w:bCs/>
      <w:sz w:val="35"/>
      <w:szCs w:val="35"/>
      <w:lang w:val="en-AU" w:eastAsia="en-AU" w:bidi="th-TH"/>
    </w:rPr>
  </w:style>
  <w:style w:type="character" w:customStyle="1" w:styleId="Heading5Char">
    <w:name w:val="Heading 5 Char"/>
    <w:basedOn w:val="DefaultParagraphFont"/>
    <w:link w:val="Heading5"/>
    <w:uiPriority w:val="99"/>
    <w:semiHidden/>
    <w:locked/>
    <w:rsid w:val="00972D6A"/>
    <w:rPr>
      <w:rFonts w:ascii="Calibri" w:hAnsi="Calibri" w:cs="Angsana New"/>
      <w:b/>
      <w:bCs/>
      <w:i/>
      <w:iCs/>
      <w:sz w:val="33"/>
      <w:szCs w:val="33"/>
      <w:lang w:val="en-AU" w:eastAsia="en-AU" w:bidi="th-TH"/>
    </w:rPr>
  </w:style>
  <w:style w:type="character" w:customStyle="1" w:styleId="Heading6Char">
    <w:name w:val="Heading 6 Char"/>
    <w:basedOn w:val="DefaultParagraphFont"/>
    <w:link w:val="Heading6"/>
    <w:uiPriority w:val="99"/>
    <w:semiHidden/>
    <w:locked/>
    <w:rsid w:val="008E7F4E"/>
    <w:rPr>
      <w:rFonts w:ascii="Calibri" w:hAnsi="Calibri" w:cs="Angsana New"/>
      <w:b/>
      <w:bCs/>
      <w:sz w:val="28"/>
      <w:szCs w:val="28"/>
      <w:lang w:val="en-AU" w:eastAsia="en-AU" w:bidi="th-TH"/>
    </w:rPr>
  </w:style>
  <w:style w:type="character" w:customStyle="1" w:styleId="Heading7Char">
    <w:name w:val="Heading 7 Char"/>
    <w:basedOn w:val="DefaultParagraphFont"/>
    <w:link w:val="Heading7"/>
    <w:uiPriority w:val="99"/>
    <w:semiHidden/>
    <w:locked/>
    <w:rsid w:val="008E7F4E"/>
    <w:rPr>
      <w:rFonts w:ascii="Calibri" w:hAnsi="Calibri" w:cs="Angsana New"/>
      <w:sz w:val="30"/>
      <w:szCs w:val="30"/>
      <w:lang w:val="en-AU" w:eastAsia="en-AU" w:bidi="th-TH"/>
    </w:rPr>
  </w:style>
  <w:style w:type="character" w:customStyle="1" w:styleId="Heading8Char">
    <w:name w:val="Heading 8 Char"/>
    <w:basedOn w:val="DefaultParagraphFont"/>
    <w:link w:val="Heading8"/>
    <w:uiPriority w:val="99"/>
    <w:semiHidden/>
    <w:locked/>
    <w:rsid w:val="008E7F4E"/>
    <w:rPr>
      <w:rFonts w:ascii="Calibri" w:hAnsi="Calibri" w:cs="Angsana New"/>
      <w:i/>
      <w:iCs/>
      <w:sz w:val="30"/>
      <w:szCs w:val="30"/>
      <w:lang w:val="en-AU" w:eastAsia="en-AU" w:bidi="th-TH"/>
    </w:rPr>
  </w:style>
  <w:style w:type="character" w:customStyle="1" w:styleId="Heading9Char">
    <w:name w:val="Heading 9 Char"/>
    <w:basedOn w:val="DefaultParagraphFont"/>
    <w:link w:val="Heading9"/>
    <w:uiPriority w:val="99"/>
    <w:semiHidden/>
    <w:locked/>
    <w:rsid w:val="008E7F4E"/>
    <w:rPr>
      <w:rFonts w:ascii="Cambria" w:hAnsi="Cambria" w:cs="Angsana New"/>
      <w:sz w:val="28"/>
      <w:szCs w:val="28"/>
      <w:lang w:val="en-AU" w:eastAsia="en-AU" w:bidi="th-TH"/>
    </w:rPr>
  </w:style>
  <w:style w:type="paragraph" w:styleId="NoSpacing">
    <w:name w:val="No Spacing"/>
    <w:link w:val="NoSpacingChar"/>
    <w:uiPriority w:val="1"/>
    <w:qFormat/>
    <w:rsid w:val="0038480B"/>
    <w:rPr>
      <w:rFonts w:ascii="Calibri" w:hAnsi="Calibri"/>
      <w:lang w:eastAsia="en-US"/>
    </w:rPr>
  </w:style>
  <w:style w:type="character" w:customStyle="1" w:styleId="NoSpacingChar">
    <w:name w:val="No Spacing Char"/>
    <w:basedOn w:val="DefaultParagraphFont"/>
    <w:link w:val="NoSpacing"/>
    <w:uiPriority w:val="1"/>
    <w:locked/>
    <w:rsid w:val="0038480B"/>
    <w:rPr>
      <w:rFonts w:ascii="Calibri" w:hAnsi="Calibri" w:cs="Times New Roman"/>
      <w:sz w:val="22"/>
      <w:szCs w:val="22"/>
      <w:lang w:val="nl-NL" w:eastAsia="en-US" w:bidi="ar-SA"/>
    </w:rPr>
  </w:style>
  <w:style w:type="paragraph" w:styleId="BalloonText">
    <w:name w:val="Balloon Text"/>
    <w:basedOn w:val="Normal"/>
    <w:link w:val="BalloonTextChar"/>
    <w:uiPriority w:val="99"/>
    <w:rsid w:val="0038480B"/>
    <w:rPr>
      <w:rFonts w:ascii="Tahoma" w:hAnsi="Tahoma"/>
      <w:sz w:val="16"/>
      <w:szCs w:val="20"/>
    </w:rPr>
  </w:style>
  <w:style w:type="character" w:customStyle="1" w:styleId="BalloonTextChar">
    <w:name w:val="Balloon Text Char"/>
    <w:basedOn w:val="DefaultParagraphFont"/>
    <w:link w:val="BalloonText"/>
    <w:uiPriority w:val="99"/>
    <w:locked/>
    <w:rsid w:val="0038480B"/>
    <w:rPr>
      <w:rFonts w:ascii="Tahoma" w:hAnsi="Tahoma" w:cs="Angsana New"/>
      <w:sz w:val="16"/>
      <w:lang w:val="en-AU" w:eastAsia="en-AU" w:bidi="th-TH"/>
    </w:rPr>
  </w:style>
  <w:style w:type="paragraph" w:styleId="Header">
    <w:name w:val="header"/>
    <w:basedOn w:val="Normal"/>
    <w:link w:val="HeaderChar"/>
    <w:uiPriority w:val="99"/>
    <w:rsid w:val="0038480B"/>
    <w:pPr>
      <w:tabs>
        <w:tab w:val="center" w:pos="4536"/>
        <w:tab w:val="right" w:pos="9072"/>
      </w:tabs>
    </w:pPr>
    <w:rPr>
      <w:szCs w:val="30"/>
    </w:rPr>
  </w:style>
  <w:style w:type="character" w:customStyle="1" w:styleId="HeaderChar">
    <w:name w:val="Header Char"/>
    <w:basedOn w:val="DefaultParagraphFont"/>
    <w:link w:val="Header"/>
    <w:uiPriority w:val="99"/>
    <w:locked/>
    <w:rsid w:val="0038480B"/>
    <w:rPr>
      <w:rFonts w:cs="Angsana New"/>
      <w:sz w:val="30"/>
      <w:szCs w:val="30"/>
      <w:lang w:val="en-AU" w:eastAsia="en-AU" w:bidi="th-TH"/>
    </w:rPr>
  </w:style>
  <w:style w:type="paragraph" w:styleId="Footer">
    <w:name w:val="footer"/>
    <w:basedOn w:val="Normal"/>
    <w:link w:val="FooterChar"/>
    <w:uiPriority w:val="99"/>
    <w:rsid w:val="00A72945"/>
    <w:pPr>
      <w:tabs>
        <w:tab w:val="center" w:pos="4536"/>
        <w:tab w:val="right" w:pos="9072"/>
      </w:tabs>
      <w:jc w:val="center"/>
    </w:pPr>
    <w:rPr>
      <w:szCs w:val="30"/>
    </w:rPr>
  </w:style>
  <w:style w:type="character" w:customStyle="1" w:styleId="FooterChar">
    <w:name w:val="Footer Char"/>
    <w:basedOn w:val="DefaultParagraphFont"/>
    <w:link w:val="Footer"/>
    <w:uiPriority w:val="99"/>
    <w:locked/>
    <w:rsid w:val="00A72945"/>
    <w:rPr>
      <w:rFonts w:ascii="Arial" w:hAnsi="Arial" w:cs="Angsana New"/>
      <w:sz w:val="30"/>
      <w:szCs w:val="30"/>
      <w:lang w:val="en-AU" w:eastAsia="en-AU" w:bidi="th-TH"/>
    </w:rPr>
  </w:style>
  <w:style w:type="paragraph" w:styleId="Bibliography">
    <w:name w:val="Bibliography"/>
    <w:basedOn w:val="Normal"/>
    <w:next w:val="Normal"/>
    <w:uiPriority w:val="99"/>
    <w:rsid w:val="008C65FF"/>
    <w:rPr>
      <w:szCs w:val="30"/>
    </w:rPr>
  </w:style>
  <w:style w:type="table" w:styleId="TableSimple2">
    <w:name w:val="Table Simple 2"/>
    <w:basedOn w:val="TableNormal"/>
    <w:uiPriority w:val="99"/>
    <w:rsid w:val="00821224"/>
    <w:rPr>
      <w:sz w:val="20"/>
      <w:szCs w:val="20"/>
    </w:rPr>
    <w:tblPr>
      <w:tblInd w:w="0" w:type="dxa"/>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paragraph" w:styleId="FootnoteText">
    <w:name w:val="footnote text"/>
    <w:basedOn w:val="Normal"/>
    <w:link w:val="FootnoteTextChar"/>
    <w:uiPriority w:val="99"/>
    <w:rsid w:val="00972D6A"/>
    <w:rPr>
      <w:sz w:val="20"/>
      <w:szCs w:val="25"/>
    </w:rPr>
  </w:style>
  <w:style w:type="character" w:customStyle="1" w:styleId="FootnoteTextChar">
    <w:name w:val="Footnote Text Char"/>
    <w:basedOn w:val="DefaultParagraphFont"/>
    <w:link w:val="FootnoteText"/>
    <w:uiPriority w:val="99"/>
    <w:locked/>
    <w:rsid w:val="00972D6A"/>
    <w:rPr>
      <w:rFonts w:ascii="Arial" w:hAnsi="Arial" w:cs="Angsana New"/>
      <w:sz w:val="25"/>
      <w:szCs w:val="25"/>
      <w:lang w:val="en-AU" w:eastAsia="en-AU" w:bidi="th-TH"/>
    </w:rPr>
  </w:style>
  <w:style w:type="character" w:styleId="FootnoteReference">
    <w:name w:val="footnote reference"/>
    <w:basedOn w:val="DefaultParagraphFont"/>
    <w:uiPriority w:val="99"/>
    <w:rsid w:val="00972D6A"/>
    <w:rPr>
      <w:rFonts w:cs="Times New Roman"/>
      <w:vertAlign w:val="superscript"/>
    </w:rPr>
  </w:style>
  <w:style w:type="character" w:styleId="LineNumber">
    <w:name w:val="line number"/>
    <w:basedOn w:val="DefaultParagraphFont"/>
    <w:uiPriority w:val="99"/>
    <w:rsid w:val="008E7F4E"/>
    <w:rPr>
      <w:rFonts w:cs="Times New Roman"/>
    </w:rPr>
  </w:style>
  <w:style w:type="paragraph" w:styleId="TOCHeading">
    <w:name w:val="TOC Heading"/>
    <w:basedOn w:val="Heading1"/>
    <w:next w:val="Normal"/>
    <w:uiPriority w:val="99"/>
    <w:qFormat/>
    <w:rsid w:val="00816B3B"/>
    <w:pPr>
      <w:numPr>
        <w:numId w:val="0"/>
      </w:numPr>
      <w:spacing w:line="276" w:lineRule="auto"/>
      <w:jc w:val="left"/>
      <w:outlineLvl w:val="9"/>
    </w:pPr>
    <w:rPr>
      <w:rFonts w:ascii="Cambria" w:hAnsi="Cambria"/>
      <w:color w:val="365F91"/>
      <w:sz w:val="28"/>
      <w:lang w:val="en-US"/>
    </w:rPr>
  </w:style>
  <w:style w:type="paragraph" w:styleId="TOC1">
    <w:name w:val="toc 1"/>
    <w:basedOn w:val="Normal"/>
    <w:next w:val="Normal"/>
    <w:autoRedefine/>
    <w:uiPriority w:val="39"/>
    <w:rsid w:val="00143122"/>
    <w:pPr>
      <w:tabs>
        <w:tab w:val="left" w:pos="480"/>
        <w:tab w:val="right" w:leader="dot" w:pos="9061"/>
      </w:tabs>
    </w:pPr>
    <w:rPr>
      <w:b/>
      <w:noProof/>
      <w:szCs w:val="30"/>
      <w:lang w:val="en-GB"/>
    </w:rPr>
  </w:style>
  <w:style w:type="paragraph" w:styleId="TOC2">
    <w:name w:val="toc 2"/>
    <w:basedOn w:val="Normal"/>
    <w:next w:val="Normal"/>
    <w:autoRedefine/>
    <w:uiPriority w:val="39"/>
    <w:rsid w:val="00816B3B"/>
    <w:pPr>
      <w:ind w:left="240"/>
    </w:pPr>
    <w:rPr>
      <w:szCs w:val="30"/>
    </w:rPr>
  </w:style>
  <w:style w:type="paragraph" w:styleId="TOC3">
    <w:name w:val="toc 3"/>
    <w:basedOn w:val="Normal"/>
    <w:next w:val="Normal"/>
    <w:autoRedefine/>
    <w:uiPriority w:val="39"/>
    <w:rsid w:val="00816B3B"/>
    <w:pPr>
      <w:ind w:left="480"/>
    </w:pPr>
    <w:rPr>
      <w:szCs w:val="30"/>
    </w:rPr>
  </w:style>
  <w:style w:type="character" w:styleId="Hyperlink">
    <w:name w:val="Hyperlink"/>
    <w:basedOn w:val="DefaultParagraphFont"/>
    <w:uiPriority w:val="99"/>
    <w:rsid w:val="00816B3B"/>
    <w:rPr>
      <w:rFonts w:cs="Times New Roman"/>
      <w:color w:val="0000FF"/>
      <w:u w:val="single"/>
    </w:rPr>
  </w:style>
  <w:style w:type="character" w:styleId="CommentReference">
    <w:name w:val="annotation reference"/>
    <w:basedOn w:val="DefaultParagraphFont"/>
    <w:uiPriority w:val="99"/>
    <w:rsid w:val="00A66ABB"/>
    <w:rPr>
      <w:rFonts w:cs="Times New Roman"/>
      <w:sz w:val="16"/>
      <w:szCs w:val="16"/>
    </w:rPr>
  </w:style>
  <w:style w:type="paragraph" w:styleId="CommentText">
    <w:name w:val="annotation text"/>
    <w:basedOn w:val="Normal"/>
    <w:link w:val="CommentTextChar"/>
    <w:uiPriority w:val="99"/>
    <w:rsid w:val="00A66ABB"/>
    <w:pPr>
      <w:spacing w:line="240" w:lineRule="auto"/>
    </w:pPr>
    <w:rPr>
      <w:sz w:val="20"/>
      <w:szCs w:val="25"/>
    </w:rPr>
  </w:style>
  <w:style w:type="character" w:customStyle="1" w:styleId="CommentTextChar">
    <w:name w:val="Comment Text Char"/>
    <w:basedOn w:val="DefaultParagraphFont"/>
    <w:link w:val="CommentText"/>
    <w:uiPriority w:val="99"/>
    <w:locked/>
    <w:rsid w:val="00A66ABB"/>
    <w:rPr>
      <w:rFonts w:ascii="Arial" w:hAnsi="Arial" w:cs="Angsana New"/>
      <w:sz w:val="25"/>
      <w:szCs w:val="25"/>
      <w:lang w:val="en-AU" w:eastAsia="en-AU" w:bidi="th-TH"/>
    </w:rPr>
  </w:style>
  <w:style w:type="paragraph" w:styleId="CommentSubject">
    <w:name w:val="annotation subject"/>
    <w:basedOn w:val="CommentText"/>
    <w:next w:val="CommentText"/>
    <w:link w:val="CommentSubjectChar"/>
    <w:uiPriority w:val="99"/>
    <w:rsid w:val="00A66ABB"/>
    <w:rPr>
      <w:b/>
      <w:bCs/>
    </w:rPr>
  </w:style>
  <w:style w:type="character" w:customStyle="1" w:styleId="CommentSubjectChar">
    <w:name w:val="Comment Subject Char"/>
    <w:basedOn w:val="CommentTextChar"/>
    <w:link w:val="CommentSubject"/>
    <w:uiPriority w:val="99"/>
    <w:locked/>
    <w:rsid w:val="00A66ABB"/>
    <w:rPr>
      <w:b/>
      <w:bCs/>
    </w:rPr>
  </w:style>
  <w:style w:type="paragraph" w:styleId="Caption">
    <w:name w:val="caption"/>
    <w:basedOn w:val="Normal"/>
    <w:next w:val="Normal"/>
    <w:uiPriority w:val="99"/>
    <w:qFormat/>
    <w:rsid w:val="004865F0"/>
    <w:pPr>
      <w:spacing w:after="200" w:line="240" w:lineRule="auto"/>
      <w:jc w:val="right"/>
    </w:pPr>
    <w:rPr>
      <w:bCs/>
      <w:sz w:val="18"/>
      <w:szCs w:val="22"/>
    </w:rPr>
  </w:style>
  <w:style w:type="character" w:styleId="PlaceholderText">
    <w:name w:val="Placeholder Text"/>
    <w:basedOn w:val="DefaultParagraphFont"/>
    <w:uiPriority w:val="99"/>
    <w:semiHidden/>
    <w:rsid w:val="00FC478E"/>
    <w:rPr>
      <w:rFonts w:cs="Times New Roman"/>
      <w:color w:val="808080"/>
    </w:rPr>
  </w:style>
  <w:style w:type="paragraph" w:styleId="ListParagraph">
    <w:name w:val="List Paragraph"/>
    <w:basedOn w:val="Normal"/>
    <w:uiPriority w:val="99"/>
    <w:qFormat/>
    <w:rsid w:val="00B06CB0"/>
    <w:pPr>
      <w:ind w:left="720"/>
      <w:contextualSpacing/>
    </w:pPr>
    <w:rPr>
      <w:szCs w:val="30"/>
    </w:rPr>
  </w:style>
  <w:style w:type="table" w:styleId="TableGrid">
    <w:name w:val="Table Grid"/>
    <w:basedOn w:val="TableNormal"/>
    <w:uiPriority w:val="99"/>
    <w:rsid w:val="00A57BB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MediumShading2-Accent11">
    <w:name w:val="Medium Shading 2 - Accent 11"/>
    <w:uiPriority w:val="99"/>
    <w:rsid w:val="00A57BB8"/>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MediumList2-Accent1">
    <w:name w:val="Medium List 2 Accent 1"/>
    <w:basedOn w:val="TableNormal"/>
    <w:uiPriority w:val="99"/>
    <w:rsid w:val="00A0285C"/>
    <w:rPr>
      <w:rFonts w:ascii="Cambria" w:hAnsi="Cambria"/>
      <w:color w:val="000000"/>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numbering" w:customStyle="1" w:styleId="Style2">
    <w:name w:val="Style2"/>
    <w:rsid w:val="007614B3"/>
    <w:pPr>
      <w:numPr>
        <w:numId w:val="11"/>
      </w:numPr>
    </w:pPr>
  </w:style>
  <w:style w:type="numbering" w:customStyle="1" w:styleId="Style1">
    <w:name w:val="Style1"/>
    <w:rsid w:val="007614B3"/>
    <w:pPr>
      <w:numPr>
        <w:numId w:val="9"/>
      </w:numPr>
    </w:pPr>
  </w:style>
</w:styles>
</file>

<file path=word/webSettings.xml><?xml version="1.0" encoding="utf-8"?>
<w:webSettings xmlns:r="http://schemas.openxmlformats.org/officeDocument/2006/relationships" xmlns:w="http://schemas.openxmlformats.org/wordprocessingml/2006/main">
  <w:divs>
    <w:div w:id="1359965819">
      <w:marLeft w:val="0"/>
      <w:marRight w:val="0"/>
      <w:marTop w:val="0"/>
      <w:marBottom w:val="0"/>
      <w:divBdr>
        <w:top w:val="none" w:sz="0" w:space="0" w:color="auto"/>
        <w:left w:val="none" w:sz="0" w:space="0" w:color="auto"/>
        <w:bottom w:val="none" w:sz="0" w:space="0" w:color="auto"/>
        <w:right w:val="none" w:sz="0" w:space="0" w:color="auto"/>
      </w:divBdr>
    </w:div>
    <w:div w:id="1359965820">
      <w:marLeft w:val="0"/>
      <w:marRight w:val="0"/>
      <w:marTop w:val="0"/>
      <w:marBottom w:val="0"/>
      <w:divBdr>
        <w:top w:val="none" w:sz="0" w:space="0" w:color="auto"/>
        <w:left w:val="none" w:sz="0" w:space="0" w:color="auto"/>
        <w:bottom w:val="none" w:sz="0" w:space="0" w:color="auto"/>
        <w:right w:val="none" w:sz="0" w:space="0" w:color="auto"/>
      </w:divBdr>
    </w:div>
    <w:div w:id="1359965821">
      <w:marLeft w:val="0"/>
      <w:marRight w:val="0"/>
      <w:marTop w:val="0"/>
      <w:marBottom w:val="0"/>
      <w:divBdr>
        <w:top w:val="none" w:sz="0" w:space="0" w:color="auto"/>
        <w:left w:val="none" w:sz="0" w:space="0" w:color="auto"/>
        <w:bottom w:val="none" w:sz="0" w:space="0" w:color="auto"/>
        <w:right w:val="none" w:sz="0" w:space="0" w:color="auto"/>
      </w:divBdr>
    </w:div>
    <w:div w:id="1359965822">
      <w:marLeft w:val="0"/>
      <w:marRight w:val="0"/>
      <w:marTop w:val="0"/>
      <w:marBottom w:val="0"/>
      <w:divBdr>
        <w:top w:val="none" w:sz="0" w:space="0" w:color="auto"/>
        <w:left w:val="none" w:sz="0" w:space="0" w:color="auto"/>
        <w:bottom w:val="none" w:sz="0" w:space="0" w:color="auto"/>
        <w:right w:val="none" w:sz="0" w:space="0" w:color="auto"/>
      </w:divBdr>
    </w:div>
    <w:div w:id="1359965823">
      <w:marLeft w:val="0"/>
      <w:marRight w:val="0"/>
      <w:marTop w:val="0"/>
      <w:marBottom w:val="0"/>
      <w:divBdr>
        <w:top w:val="none" w:sz="0" w:space="0" w:color="auto"/>
        <w:left w:val="none" w:sz="0" w:space="0" w:color="auto"/>
        <w:bottom w:val="none" w:sz="0" w:space="0" w:color="auto"/>
        <w:right w:val="none" w:sz="0" w:space="0" w:color="auto"/>
      </w:divBdr>
    </w:div>
    <w:div w:id="1359965824">
      <w:marLeft w:val="0"/>
      <w:marRight w:val="0"/>
      <w:marTop w:val="0"/>
      <w:marBottom w:val="0"/>
      <w:divBdr>
        <w:top w:val="none" w:sz="0" w:space="0" w:color="auto"/>
        <w:left w:val="none" w:sz="0" w:space="0" w:color="auto"/>
        <w:bottom w:val="none" w:sz="0" w:space="0" w:color="auto"/>
        <w:right w:val="none" w:sz="0" w:space="0" w:color="auto"/>
      </w:divBdr>
    </w:div>
    <w:div w:id="1359965825">
      <w:marLeft w:val="0"/>
      <w:marRight w:val="0"/>
      <w:marTop w:val="0"/>
      <w:marBottom w:val="0"/>
      <w:divBdr>
        <w:top w:val="none" w:sz="0" w:space="0" w:color="auto"/>
        <w:left w:val="none" w:sz="0" w:space="0" w:color="auto"/>
        <w:bottom w:val="none" w:sz="0" w:space="0" w:color="auto"/>
        <w:right w:val="none" w:sz="0" w:space="0" w:color="auto"/>
      </w:divBdr>
    </w:div>
    <w:div w:id="1359965826">
      <w:marLeft w:val="0"/>
      <w:marRight w:val="0"/>
      <w:marTop w:val="0"/>
      <w:marBottom w:val="0"/>
      <w:divBdr>
        <w:top w:val="none" w:sz="0" w:space="0" w:color="auto"/>
        <w:left w:val="none" w:sz="0" w:space="0" w:color="auto"/>
        <w:bottom w:val="none" w:sz="0" w:space="0" w:color="auto"/>
        <w:right w:val="none" w:sz="0" w:space="0" w:color="auto"/>
      </w:divBdr>
    </w:div>
    <w:div w:id="1359965827">
      <w:marLeft w:val="0"/>
      <w:marRight w:val="0"/>
      <w:marTop w:val="0"/>
      <w:marBottom w:val="0"/>
      <w:divBdr>
        <w:top w:val="none" w:sz="0" w:space="0" w:color="auto"/>
        <w:left w:val="none" w:sz="0" w:space="0" w:color="auto"/>
        <w:bottom w:val="none" w:sz="0" w:space="0" w:color="auto"/>
        <w:right w:val="none" w:sz="0" w:space="0" w:color="auto"/>
      </w:divBdr>
    </w:div>
    <w:div w:id="1359965828">
      <w:marLeft w:val="0"/>
      <w:marRight w:val="0"/>
      <w:marTop w:val="0"/>
      <w:marBottom w:val="0"/>
      <w:divBdr>
        <w:top w:val="none" w:sz="0" w:space="0" w:color="auto"/>
        <w:left w:val="none" w:sz="0" w:space="0" w:color="auto"/>
        <w:bottom w:val="none" w:sz="0" w:space="0" w:color="auto"/>
        <w:right w:val="none" w:sz="0" w:space="0" w:color="auto"/>
      </w:divBdr>
    </w:div>
    <w:div w:id="2112434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AD78BD-7F59-4360-BB51-891331371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750</TotalTime>
  <Pages>64</Pages>
  <Words>18160</Words>
  <Characters>99881</Characters>
  <Application>Microsoft Office Word</Application>
  <DocSecurity>0</DocSecurity>
  <Lines>832</Lines>
  <Paragraphs>235</Paragraphs>
  <ScaleCrop>false</ScaleCrop>
  <HeadingPairs>
    <vt:vector size="2" baseType="variant">
      <vt:variant>
        <vt:lpstr>Title</vt:lpstr>
      </vt:variant>
      <vt:variant>
        <vt:i4>1</vt:i4>
      </vt:variant>
    </vt:vector>
  </HeadingPairs>
  <TitlesOfParts>
    <vt:vector size="1" baseType="lpstr">
      <vt:lpstr>The relation between equity incentives and earnings management in the u.k.</vt:lpstr>
    </vt:vector>
  </TitlesOfParts>
  <Company>Erasmus Universiteit Rotterdam</Company>
  <LinksUpToDate>false</LinksUpToDate>
  <CharactersWithSpaces>117806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relation between equity incentives and earnings management in the u.k.</dc:title>
  <dc:subject/>
  <dc:creator>Shaun Balvers</dc:creator>
  <cp:keywords/>
  <dc:description/>
  <cp:lastModifiedBy>Vos, John de</cp:lastModifiedBy>
  <cp:revision>76</cp:revision>
  <cp:lastPrinted>2010-10-05T09:40:00Z</cp:lastPrinted>
  <dcterms:created xsi:type="dcterms:W3CDTF">2010-10-04T11:59:00Z</dcterms:created>
  <dcterms:modified xsi:type="dcterms:W3CDTF">2010-10-10T14:49:00Z</dcterms:modified>
</cp:coreProperties>
</file>