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Override PartName="/customXml/itemProps1.xml" ContentType="application/vnd.openxmlformats-officedocument.customXmlProperties+xml"/>
  <Override PartName="/docProps/custom.xml" ContentType="application/vnd.openxmlformats-officedocument.custom-propertie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Default Extension="rels" ContentType="application/vnd.openxmlformats-package.relationships+xml"/>
  <Override PartName="/word/numbering.xml" ContentType="application/vnd.openxmlformats-officedocument.wordprocessingml.numbering+xml"/>
  <Override PartName="/word/theme/theme1.xml" ContentType="application/vnd.openxmlformats-officedocument.theme+xml"/>
  <Override PartName="/word/footer2.xml" ContentType="application/vnd.openxmlformats-officedocument.wordprocessingml.footer+xml"/>
  <Override PartName="/word/endnotes.xml" ContentType="application/vnd.openxmlformats-officedocument.wordprocessingml.endnotes+xml"/>
</Types>
</file>

<file path=_rels/.rels><?xml version="1.0" encoding="UTF-8" standalone="yes"?>
<Relationships xmlns="http://schemas.openxmlformats.org/package/2006/relationships"><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652D1F" w:rsidRDefault="00382FAC" w:rsidP="00A56715">
      <w:pPr>
        <w:spacing w:line="360" w:lineRule="auto"/>
        <w:rPr>
          <w:b/>
          <w:bCs/>
        </w:rPr>
      </w:pPr>
      <w:r>
        <w:rPr>
          <w:b/>
          <w:bCs/>
        </w:rPr>
        <w:t>Erasmus Universiteit Rotterdam</w:t>
      </w:r>
    </w:p>
    <w:p w:rsidR="00382FAC" w:rsidRDefault="00382FAC" w:rsidP="00A56715">
      <w:pPr>
        <w:spacing w:line="360" w:lineRule="auto"/>
        <w:rPr>
          <w:b/>
          <w:bCs/>
        </w:rPr>
      </w:pPr>
      <w:r>
        <w:rPr>
          <w:b/>
          <w:bCs/>
        </w:rPr>
        <w:t>Faculteit der Ec</w:t>
      </w:r>
      <w:r w:rsidR="00342D59">
        <w:rPr>
          <w:b/>
          <w:bCs/>
        </w:rPr>
        <w:t>o</w:t>
      </w:r>
      <w:r>
        <w:rPr>
          <w:b/>
          <w:bCs/>
        </w:rPr>
        <w:t>nomische Wetenschappen</w:t>
      </w:r>
    </w:p>
    <w:p w:rsidR="00382FAC" w:rsidRDefault="00382FAC" w:rsidP="00A56715">
      <w:pPr>
        <w:spacing w:line="360" w:lineRule="auto"/>
        <w:rPr>
          <w:b/>
          <w:bCs/>
        </w:rPr>
      </w:pPr>
      <w:r>
        <w:rPr>
          <w:b/>
          <w:bCs/>
        </w:rPr>
        <w:t>Materscriptie</w:t>
      </w:r>
    </w:p>
    <w:p w:rsidR="00652D1F" w:rsidRDefault="00652D1F" w:rsidP="00A56715">
      <w:pPr>
        <w:spacing w:line="360" w:lineRule="auto"/>
        <w:rPr>
          <w:b/>
          <w:bCs/>
        </w:rPr>
      </w:pPr>
    </w:p>
    <w:p w:rsidR="00652D1F" w:rsidRDefault="00652D1F" w:rsidP="00A56715">
      <w:pPr>
        <w:spacing w:line="360" w:lineRule="auto"/>
        <w:rPr>
          <w:b/>
          <w:bCs/>
        </w:rPr>
      </w:pPr>
    </w:p>
    <w:p w:rsidR="00652D1F" w:rsidRDefault="00652D1F" w:rsidP="00A56715">
      <w:pPr>
        <w:spacing w:line="360" w:lineRule="auto"/>
        <w:rPr>
          <w:b/>
          <w:bCs/>
        </w:rPr>
      </w:pPr>
    </w:p>
    <w:p w:rsidR="00652D1F" w:rsidRDefault="00652D1F" w:rsidP="00A56715">
      <w:pPr>
        <w:spacing w:line="360" w:lineRule="auto"/>
        <w:rPr>
          <w:b/>
          <w:bCs/>
        </w:rPr>
      </w:pPr>
    </w:p>
    <w:p w:rsidR="00652D1F" w:rsidRDefault="00652D1F" w:rsidP="00A56715">
      <w:pPr>
        <w:spacing w:line="360" w:lineRule="auto"/>
        <w:rPr>
          <w:b/>
          <w:bCs/>
        </w:rPr>
      </w:pPr>
    </w:p>
    <w:p w:rsidR="00652D1F" w:rsidRPr="00E949F0" w:rsidRDefault="00652D1F" w:rsidP="00A56715">
      <w:pPr>
        <w:spacing w:line="360" w:lineRule="auto"/>
        <w:rPr>
          <w:b/>
          <w:bCs/>
          <w:lang w:val="fr-FR"/>
        </w:rPr>
      </w:pPr>
    </w:p>
    <w:p w:rsidR="00652D1F" w:rsidRPr="00EC18F1" w:rsidRDefault="00652D1F" w:rsidP="00AC0BC5">
      <w:pPr>
        <w:spacing w:line="360" w:lineRule="auto"/>
        <w:jc w:val="center"/>
        <w:rPr>
          <w:b/>
          <w:bCs/>
          <w:lang w:val="fr-FR"/>
        </w:rPr>
      </w:pPr>
      <w:r w:rsidRPr="00EC18F1">
        <w:rPr>
          <w:b/>
          <w:bCs/>
          <w:sz w:val="48"/>
          <w:lang w:val="fr-FR"/>
        </w:rPr>
        <w:t>Art. 10a VpB</w:t>
      </w:r>
      <w:r w:rsidRPr="00EC18F1">
        <w:rPr>
          <w:b/>
          <w:bCs/>
          <w:lang w:val="fr-FR"/>
        </w:rPr>
        <w:t xml:space="preserve"> </w:t>
      </w:r>
      <w:r w:rsidRPr="00EC18F1">
        <w:rPr>
          <w:b/>
          <w:bCs/>
          <w:sz w:val="48"/>
          <w:lang w:val="fr-FR"/>
        </w:rPr>
        <w:t xml:space="preserve"> Conformit</w:t>
      </w:r>
      <w:r>
        <w:rPr>
          <w:b/>
          <w:bCs/>
          <w:sz w:val="48"/>
          <w:lang w:val="fr-FR"/>
        </w:rPr>
        <w:t>é Europé</w:t>
      </w:r>
      <w:r w:rsidRPr="00EC18F1">
        <w:rPr>
          <w:b/>
          <w:bCs/>
          <w:sz w:val="48"/>
          <w:lang w:val="fr-FR"/>
        </w:rPr>
        <w:t>enne?</w:t>
      </w: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652D1F" w:rsidP="00A56715">
      <w:pPr>
        <w:spacing w:line="360" w:lineRule="auto"/>
        <w:rPr>
          <w:b/>
          <w:bCs/>
          <w:lang w:val="fr-FR"/>
        </w:rPr>
      </w:pPr>
    </w:p>
    <w:p w:rsidR="00652D1F" w:rsidRPr="00EC18F1" w:rsidRDefault="00382FAC" w:rsidP="00A56715">
      <w:pPr>
        <w:spacing w:line="360" w:lineRule="auto"/>
        <w:rPr>
          <w:b/>
          <w:bCs/>
          <w:lang w:val="fr-FR"/>
        </w:rPr>
      </w:pPr>
      <w:r>
        <w:rPr>
          <w:b/>
          <w:bCs/>
          <w:lang w:val="fr-FR"/>
        </w:rPr>
        <w:t>Naam: C.A.G.J. von Meijenfeldt</w:t>
      </w:r>
    </w:p>
    <w:p w:rsidR="00652D1F" w:rsidRDefault="00382FAC" w:rsidP="00E949F0">
      <w:pPr>
        <w:spacing w:line="360" w:lineRule="auto"/>
        <w:rPr>
          <w:b/>
          <w:bCs/>
          <w:lang w:val="fr-FR"/>
        </w:rPr>
      </w:pPr>
      <w:r>
        <w:rPr>
          <w:b/>
          <w:bCs/>
          <w:lang w:val="fr-FR"/>
        </w:rPr>
        <w:t>Studentnummer: 323915</w:t>
      </w:r>
    </w:p>
    <w:p w:rsidR="00382FAC" w:rsidRDefault="00382FAC" w:rsidP="00E949F0">
      <w:pPr>
        <w:spacing w:line="360" w:lineRule="auto"/>
        <w:rPr>
          <w:b/>
          <w:bCs/>
          <w:lang w:val="fr-FR"/>
        </w:rPr>
      </w:pPr>
      <w:r>
        <w:rPr>
          <w:b/>
          <w:bCs/>
          <w:lang w:val="fr-FR"/>
        </w:rPr>
        <w:t>Begeleider : mr. D.E. van Sprundel</w:t>
      </w:r>
    </w:p>
    <w:p w:rsidR="00652D1F" w:rsidRPr="0035059B" w:rsidRDefault="00382FAC" w:rsidP="00382FAC">
      <w:pPr>
        <w:spacing w:line="360" w:lineRule="auto"/>
        <w:rPr>
          <w:b/>
          <w:bCs/>
          <w:lang w:val="fr-FR"/>
        </w:rPr>
      </w:pPr>
      <w:r>
        <w:rPr>
          <w:b/>
          <w:bCs/>
          <w:lang w:val="fr-FR"/>
        </w:rPr>
        <w:t>Rotterdam : 7 maart 2011</w:t>
      </w:r>
    </w:p>
    <w:p w:rsidR="00652D1F" w:rsidRDefault="00652D1F" w:rsidP="00E474BA">
      <w:pPr>
        <w:rPr>
          <w:b/>
          <w:bCs/>
        </w:rPr>
      </w:pPr>
      <w:r>
        <w:rPr>
          <w:b/>
          <w:bCs/>
        </w:rPr>
        <w:t>1.</w:t>
      </w:r>
      <w:r w:rsidR="00342D59">
        <w:rPr>
          <w:b/>
          <w:bCs/>
        </w:rPr>
        <w:t xml:space="preserve"> </w:t>
      </w:r>
      <w:r>
        <w:rPr>
          <w:b/>
          <w:bCs/>
        </w:rPr>
        <w:t>Inleiding</w:t>
      </w:r>
    </w:p>
    <w:p w:rsidR="00652D1F" w:rsidRDefault="00652D1F" w:rsidP="00E474BA">
      <w:pPr>
        <w:rPr>
          <w:b/>
          <w:bCs/>
        </w:rPr>
      </w:pPr>
    </w:p>
    <w:p w:rsidR="00652D1F" w:rsidRPr="009757AF" w:rsidRDefault="00652D1F" w:rsidP="00E474BA">
      <w:pPr>
        <w:spacing w:line="288" w:lineRule="auto"/>
        <w:rPr>
          <w:bCs/>
        </w:rPr>
      </w:pPr>
      <w:r w:rsidRPr="009757AF">
        <w:rPr>
          <w:bCs/>
        </w:rPr>
        <w:t xml:space="preserve">1.1 </w:t>
      </w:r>
      <w:r w:rsidR="00342D59">
        <w:rPr>
          <w:bCs/>
        </w:rPr>
        <w:tab/>
      </w:r>
      <w:r w:rsidRPr="009757AF">
        <w:rPr>
          <w:bCs/>
        </w:rPr>
        <w:t>I</w:t>
      </w:r>
      <w:r>
        <w:rPr>
          <w:bCs/>
        </w:rPr>
        <w:t>ntroductie</w:t>
      </w:r>
    </w:p>
    <w:p w:rsidR="00652D1F" w:rsidRDefault="00652D1F" w:rsidP="00E474BA">
      <w:pPr>
        <w:spacing w:line="288" w:lineRule="auto"/>
        <w:rPr>
          <w:bCs/>
        </w:rPr>
      </w:pPr>
      <w:r w:rsidRPr="009757AF">
        <w:rPr>
          <w:bCs/>
        </w:rPr>
        <w:t xml:space="preserve">1.2 </w:t>
      </w:r>
      <w:r w:rsidR="00342D59">
        <w:rPr>
          <w:bCs/>
        </w:rPr>
        <w:tab/>
      </w:r>
      <w:r w:rsidRPr="009757AF">
        <w:rPr>
          <w:bCs/>
        </w:rPr>
        <w:t>Probleemstelling</w:t>
      </w:r>
    </w:p>
    <w:p w:rsidR="00652D1F" w:rsidRDefault="00652D1F" w:rsidP="00E474BA">
      <w:pPr>
        <w:spacing w:line="288" w:lineRule="auto"/>
        <w:rPr>
          <w:bCs/>
        </w:rPr>
      </w:pPr>
      <w:r>
        <w:rPr>
          <w:bCs/>
        </w:rPr>
        <w:t>1.3</w:t>
      </w:r>
      <w:r w:rsidRPr="009757AF">
        <w:rPr>
          <w:bCs/>
        </w:rPr>
        <w:t xml:space="preserve"> </w:t>
      </w:r>
      <w:r w:rsidR="00342D59">
        <w:rPr>
          <w:bCs/>
        </w:rPr>
        <w:tab/>
      </w:r>
      <w:r w:rsidRPr="009757AF">
        <w:rPr>
          <w:bCs/>
        </w:rPr>
        <w:t>Opzet</w:t>
      </w:r>
      <w:r>
        <w:rPr>
          <w:bCs/>
        </w:rPr>
        <w:t xml:space="preserve"> en hoofdstukindeling</w:t>
      </w:r>
    </w:p>
    <w:p w:rsidR="00652D1F" w:rsidRPr="009757AF" w:rsidRDefault="00652D1F" w:rsidP="00E474BA">
      <w:pPr>
        <w:spacing w:line="288" w:lineRule="auto"/>
        <w:rPr>
          <w:bCs/>
        </w:rPr>
      </w:pPr>
    </w:p>
    <w:p w:rsidR="00652D1F" w:rsidRPr="008F14CA" w:rsidRDefault="00652D1F" w:rsidP="00E474BA">
      <w:pPr>
        <w:rPr>
          <w:b/>
          <w:bCs/>
        </w:rPr>
      </w:pPr>
    </w:p>
    <w:p w:rsidR="00652D1F" w:rsidRDefault="00652D1F" w:rsidP="00E474BA">
      <w:pPr>
        <w:rPr>
          <w:b/>
          <w:bCs/>
        </w:rPr>
      </w:pPr>
      <w:r>
        <w:rPr>
          <w:b/>
          <w:bCs/>
        </w:rPr>
        <w:t>2.</w:t>
      </w:r>
      <w:r w:rsidRPr="00364DCA">
        <w:rPr>
          <w:b/>
          <w:bCs/>
        </w:rPr>
        <w:t xml:space="preserve"> Artikel 10a van de Wet op de Vennootschapsbelasting</w:t>
      </w:r>
      <w:r>
        <w:rPr>
          <w:b/>
          <w:bCs/>
        </w:rPr>
        <w:t xml:space="preserve"> 1969</w:t>
      </w:r>
    </w:p>
    <w:p w:rsidR="00652D1F" w:rsidRPr="00364DCA" w:rsidRDefault="00652D1F" w:rsidP="00E474BA">
      <w:pPr>
        <w:rPr>
          <w:b/>
          <w:bCs/>
        </w:rPr>
      </w:pPr>
    </w:p>
    <w:p w:rsidR="00652D1F" w:rsidRPr="00364DCA" w:rsidRDefault="00652D1F" w:rsidP="00E474BA">
      <w:pPr>
        <w:spacing w:line="288" w:lineRule="auto"/>
        <w:rPr>
          <w:bCs/>
        </w:rPr>
      </w:pPr>
      <w:r>
        <w:rPr>
          <w:bCs/>
        </w:rPr>
        <w:t>2.1</w:t>
      </w:r>
      <w:r w:rsidRPr="00364DCA">
        <w:rPr>
          <w:bCs/>
        </w:rPr>
        <w:t xml:space="preserve"> </w:t>
      </w:r>
      <w:r w:rsidR="00342D59">
        <w:rPr>
          <w:bCs/>
        </w:rPr>
        <w:tab/>
      </w:r>
      <w:r w:rsidRPr="00364DCA">
        <w:rPr>
          <w:bCs/>
        </w:rPr>
        <w:t>Centrale gedachte</w:t>
      </w:r>
    </w:p>
    <w:p w:rsidR="00652D1F" w:rsidRPr="00364DCA" w:rsidRDefault="00652D1F" w:rsidP="00E474BA">
      <w:pPr>
        <w:spacing w:line="288" w:lineRule="auto"/>
        <w:rPr>
          <w:bCs/>
        </w:rPr>
      </w:pPr>
      <w:r>
        <w:rPr>
          <w:bCs/>
        </w:rPr>
        <w:t>2.2</w:t>
      </w:r>
      <w:r w:rsidRPr="00364DCA">
        <w:rPr>
          <w:bCs/>
        </w:rPr>
        <w:t xml:space="preserve"> </w:t>
      </w:r>
      <w:r w:rsidR="00342D59">
        <w:rPr>
          <w:bCs/>
        </w:rPr>
        <w:tab/>
      </w:r>
      <w:r w:rsidRPr="00364DCA">
        <w:rPr>
          <w:bCs/>
        </w:rPr>
        <w:t>Toepassingsbereik</w:t>
      </w:r>
    </w:p>
    <w:p w:rsidR="00652D1F" w:rsidRPr="00364DCA" w:rsidRDefault="00652D1F" w:rsidP="00E474BA">
      <w:pPr>
        <w:spacing w:line="288" w:lineRule="auto"/>
        <w:rPr>
          <w:bCs/>
        </w:rPr>
      </w:pPr>
      <w:r>
        <w:rPr>
          <w:bCs/>
        </w:rPr>
        <w:t>2.3</w:t>
      </w:r>
      <w:r w:rsidRPr="00364DCA">
        <w:rPr>
          <w:bCs/>
        </w:rPr>
        <w:t xml:space="preserve"> </w:t>
      </w:r>
      <w:r w:rsidR="00342D59">
        <w:rPr>
          <w:bCs/>
        </w:rPr>
        <w:tab/>
      </w:r>
      <w:r w:rsidRPr="00364DCA">
        <w:rPr>
          <w:bCs/>
        </w:rPr>
        <w:t>Werking artikel 10a van de Wet op de Vennootschapsbelasting</w:t>
      </w:r>
    </w:p>
    <w:p w:rsidR="00652D1F" w:rsidRPr="00364DCA" w:rsidRDefault="00652D1F" w:rsidP="00E474BA">
      <w:pPr>
        <w:spacing w:line="288" w:lineRule="auto"/>
        <w:rPr>
          <w:bCs/>
        </w:rPr>
      </w:pPr>
      <w:r>
        <w:rPr>
          <w:bCs/>
        </w:rPr>
        <w:t>2.4</w:t>
      </w:r>
      <w:r w:rsidRPr="00364DCA">
        <w:rPr>
          <w:bCs/>
        </w:rPr>
        <w:t xml:space="preserve"> </w:t>
      </w:r>
      <w:r w:rsidR="00342D59">
        <w:rPr>
          <w:bCs/>
        </w:rPr>
        <w:tab/>
      </w:r>
      <w:r w:rsidRPr="00364DCA">
        <w:rPr>
          <w:bCs/>
        </w:rPr>
        <w:t>Invulling kernbegrippen</w:t>
      </w:r>
    </w:p>
    <w:p w:rsidR="00652D1F" w:rsidRPr="00364DCA" w:rsidRDefault="00652D1F" w:rsidP="00E474BA">
      <w:pPr>
        <w:spacing w:line="288" w:lineRule="auto"/>
        <w:rPr>
          <w:bCs/>
        </w:rPr>
      </w:pPr>
      <w:r>
        <w:rPr>
          <w:bCs/>
        </w:rPr>
        <w:t>2.4</w:t>
      </w:r>
      <w:r w:rsidRPr="00364DCA">
        <w:rPr>
          <w:bCs/>
        </w:rPr>
        <w:t>.1</w:t>
      </w:r>
      <w:r w:rsidR="00342D59">
        <w:rPr>
          <w:bCs/>
        </w:rPr>
        <w:tab/>
      </w:r>
      <w:r w:rsidRPr="00364DCA">
        <w:rPr>
          <w:bCs/>
        </w:rPr>
        <w:t>Zakelijke overwegingen in de zin van artikel 10a</w:t>
      </w:r>
    </w:p>
    <w:p w:rsidR="00652D1F" w:rsidRPr="00364DCA" w:rsidRDefault="00652D1F" w:rsidP="00E474BA">
      <w:pPr>
        <w:spacing w:line="288" w:lineRule="auto"/>
        <w:rPr>
          <w:bCs/>
        </w:rPr>
      </w:pPr>
      <w:r>
        <w:rPr>
          <w:bCs/>
        </w:rPr>
        <w:t>2.4</w:t>
      </w:r>
      <w:r w:rsidRPr="00364DCA">
        <w:rPr>
          <w:bCs/>
        </w:rPr>
        <w:t>.1.1 Visie wetgevende en uitvoerende macht</w:t>
      </w:r>
    </w:p>
    <w:p w:rsidR="00652D1F" w:rsidRPr="00364DCA" w:rsidRDefault="00652D1F" w:rsidP="00E474BA">
      <w:pPr>
        <w:spacing w:line="288" w:lineRule="auto"/>
        <w:rPr>
          <w:bCs/>
        </w:rPr>
      </w:pPr>
      <w:r>
        <w:rPr>
          <w:bCs/>
        </w:rPr>
        <w:t>2.4</w:t>
      </w:r>
      <w:r w:rsidRPr="00364DCA">
        <w:rPr>
          <w:bCs/>
        </w:rPr>
        <w:t xml:space="preserve">.1.2 Visie </w:t>
      </w:r>
      <w:r>
        <w:rPr>
          <w:bCs/>
        </w:rPr>
        <w:t>rechterlijke macht</w:t>
      </w:r>
    </w:p>
    <w:p w:rsidR="00652D1F" w:rsidRPr="00364DCA" w:rsidRDefault="00652D1F" w:rsidP="00E474BA">
      <w:pPr>
        <w:spacing w:line="288" w:lineRule="auto"/>
        <w:rPr>
          <w:bCs/>
        </w:rPr>
      </w:pPr>
      <w:r>
        <w:rPr>
          <w:bCs/>
        </w:rPr>
        <w:t>2.4</w:t>
      </w:r>
      <w:r w:rsidRPr="00364DCA">
        <w:rPr>
          <w:bCs/>
        </w:rPr>
        <w:t xml:space="preserve">.2 </w:t>
      </w:r>
      <w:r w:rsidR="00342D59">
        <w:rPr>
          <w:bCs/>
        </w:rPr>
        <w:tab/>
      </w:r>
      <w:r w:rsidRPr="00364DCA">
        <w:rPr>
          <w:bCs/>
        </w:rPr>
        <w:t>Overwegende mate</w:t>
      </w:r>
    </w:p>
    <w:p w:rsidR="00652D1F" w:rsidRPr="00364DCA" w:rsidRDefault="00652D1F" w:rsidP="00E474BA">
      <w:pPr>
        <w:spacing w:line="288" w:lineRule="auto"/>
        <w:rPr>
          <w:bCs/>
        </w:rPr>
      </w:pPr>
      <w:r>
        <w:rPr>
          <w:bCs/>
        </w:rPr>
        <w:t>2.4</w:t>
      </w:r>
      <w:r w:rsidRPr="00364DCA">
        <w:rPr>
          <w:bCs/>
        </w:rPr>
        <w:t xml:space="preserve">.3 </w:t>
      </w:r>
      <w:r w:rsidR="00342D59">
        <w:rPr>
          <w:bCs/>
        </w:rPr>
        <w:tab/>
      </w:r>
      <w:r>
        <w:rPr>
          <w:bCs/>
        </w:rPr>
        <w:t>Verband</w:t>
      </w:r>
    </w:p>
    <w:p w:rsidR="00652D1F" w:rsidRPr="00364DCA" w:rsidRDefault="00652D1F" w:rsidP="00E474BA">
      <w:pPr>
        <w:spacing w:line="288" w:lineRule="auto"/>
        <w:rPr>
          <w:bCs/>
        </w:rPr>
      </w:pPr>
      <w:r>
        <w:rPr>
          <w:bCs/>
        </w:rPr>
        <w:t>2.4</w:t>
      </w:r>
      <w:r w:rsidRPr="00364DCA">
        <w:rPr>
          <w:bCs/>
        </w:rPr>
        <w:t>.3.1 Visie wetgevende en uitvoerende macht</w:t>
      </w:r>
    </w:p>
    <w:p w:rsidR="00652D1F" w:rsidRPr="00364DCA" w:rsidRDefault="00652D1F" w:rsidP="00E474BA">
      <w:pPr>
        <w:spacing w:line="288" w:lineRule="auto"/>
        <w:rPr>
          <w:bCs/>
        </w:rPr>
      </w:pPr>
      <w:r>
        <w:rPr>
          <w:bCs/>
        </w:rPr>
        <w:t>2.4</w:t>
      </w:r>
      <w:r w:rsidRPr="00364DCA">
        <w:rPr>
          <w:bCs/>
        </w:rPr>
        <w:t>.3.2 Visie rechte</w:t>
      </w:r>
      <w:r>
        <w:rPr>
          <w:bCs/>
        </w:rPr>
        <w:t>r</w:t>
      </w:r>
      <w:r w:rsidRPr="00364DCA">
        <w:rPr>
          <w:bCs/>
        </w:rPr>
        <w:t>lijke macht</w:t>
      </w:r>
    </w:p>
    <w:p w:rsidR="00652D1F" w:rsidRPr="00364DCA" w:rsidRDefault="00652D1F" w:rsidP="00E474BA">
      <w:pPr>
        <w:rPr>
          <w:b/>
          <w:bCs/>
        </w:rPr>
      </w:pPr>
    </w:p>
    <w:p w:rsidR="00652D1F" w:rsidRDefault="00652D1F" w:rsidP="00E474BA">
      <w:pPr>
        <w:rPr>
          <w:b/>
          <w:bCs/>
        </w:rPr>
      </w:pPr>
      <w:r>
        <w:rPr>
          <w:b/>
          <w:bCs/>
        </w:rPr>
        <w:t>3.</w:t>
      </w:r>
      <w:r w:rsidRPr="00364DCA">
        <w:rPr>
          <w:b/>
          <w:bCs/>
        </w:rPr>
        <w:t xml:space="preserve"> Toegang</w:t>
      </w:r>
      <w:r>
        <w:rPr>
          <w:b/>
          <w:bCs/>
        </w:rPr>
        <w:t xml:space="preserve"> tot het Verdrag betreffende de werking van de Europese Unie</w:t>
      </w:r>
    </w:p>
    <w:p w:rsidR="00652D1F" w:rsidRPr="00364DCA" w:rsidRDefault="00652D1F" w:rsidP="00E474BA">
      <w:pPr>
        <w:rPr>
          <w:b/>
          <w:bCs/>
        </w:rPr>
      </w:pPr>
    </w:p>
    <w:p w:rsidR="00652D1F" w:rsidRPr="00364DCA" w:rsidRDefault="00652D1F" w:rsidP="00E474BA">
      <w:pPr>
        <w:spacing w:line="288" w:lineRule="auto"/>
        <w:rPr>
          <w:bCs/>
        </w:rPr>
      </w:pPr>
      <w:r>
        <w:rPr>
          <w:bCs/>
        </w:rPr>
        <w:t>3.1</w:t>
      </w:r>
      <w:r w:rsidRPr="00364DCA">
        <w:rPr>
          <w:bCs/>
        </w:rPr>
        <w:t xml:space="preserve"> </w:t>
      </w:r>
      <w:r w:rsidR="00342D59">
        <w:rPr>
          <w:bCs/>
        </w:rPr>
        <w:tab/>
      </w:r>
      <w:r w:rsidRPr="00364DCA">
        <w:rPr>
          <w:bCs/>
        </w:rPr>
        <w:t>Mogelijk van toepassing zijnde verdragsvrijheden</w:t>
      </w:r>
    </w:p>
    <w:p w:rsidR="00652D1F" w:rsidRPr="00364DCA" w:rsidRDefault="00652D1F" w:rsidP="00E474BA">
      <w:pPr>
        <w:spacing w:line="288" w:lineRule="auto"/>
        <w:rPr>
          <w:bCs/>
        </w:rPr>
      </w:pPr>
      <w:r>
        <w:rPr>
          <w:bCs/>
        </w:rPr>
        <w:t>3.1</w:t>
      </w:r>
      <w:r w:rsidRPr="00364DCA">
        <w:rPr>
          <w:bCs/>
        </w:rPr>
        <w:t xml:space="preserve">.1 </w:t>
      </w:r>
      <w:r w:rsidR="00342D59">
        <w:rPr>
          <w:bCs/>
        </w:rPr>
        <w:tab/>
      </w:r>
      <w:r w:rsidRPr="00364DCA">
        <w:rPr>
          <w:bCs/>
        </w:rPr>
        <w:t>Vrijheid van vestiging</w:t>
      </w:r>
    </w:p>
    <w:p w:rsidR="00652D1F" w:rsidRPr="00364DCA" w:rsidRDefault="00652D1F" w:rsidP="00E474BA">
      <w:pPr>
        <w:spacing w:line="288" w:lineRule="auto"/>
        <w:rPr>
          <w:bCs/>
        </w:rPr>
      </w:pPr>
      <w:r>
        <w:rPr>
          <w:bCs/>
        </w:rPr>
        <w:t>3.1</w:t>
      </w:r>
      <w:r w:rsidRPr="00364DCA">
        <w:rPr>
          <w:bCs/>
        </w:rPr>
        <w:t xml:space="preserve">.2 </w:t>
      </w:r>
      <w:r w:rsidR="00342D59">
        <w:rPr>
          <w:bCs/>
        </w:rPr>
        <w:tab/>
      </w:r>
      <w:r w:rsidRPr="00364DCA">
        <w:rPr>
          <w:bCs/>
        </w:rPr>
        <w:t>Vrijheid van kapitaalverkeer</w:t>
      </w:r>
    </w:p>
    <w:p w:rsidR="00652D1F" w:rsidRPr="00364DCA" w:rsidRDefault="00652D1F" w:rsidP="00E474BA">
      <w:pPr>
        <w:spacing w:line="288" w:lineRule="auto"/>
        <w:rPr>
          <w:bCs/>
        </w:rPr>
      </w:pPr>
      <w:r>
        <w:rPr>
          <w:bCs/>
        </w:rPr>
        <w:t>3.1</w:t>
      </w:r>
      <w:r w:rsidRPr="00364DCA">
        <w:rPr>
          <w:bCs/>
        </w:rPr>
        <w:t xml:space="preserve">.3 </w:t>
      </w:r>
      <w:r w:rsidR="00342D59">
        <w:rPr>
          <w:bCs/>
        </w:rPr>
        <w:tab/>
      </w:r>
      <w:r w:rsidRPr="00364DCA">
        <w:rPr>
          <w:bCs/>
        </w:rPr>
        <w:t>Vrijheid van diensten</w:t>
      </w:r>
    </w:p>
    <w:p w:rsidR="00652D1F" w:rsidRPr="00364DCA" w:rsidRDefault="00652D1F" w:rsidP="00E474BA">
      <w:pPr>
        <w:spacing w:line="288" w:lineRule="auto"/>
        <w:rPr>
          <w:bCs/>
        </w:rPr>
      </w:pPr>
      <w:r>
        <w:rPr>
          <w:bCs/>
        </w:rPr>
        <w:t>3.2</w:t>
      </w:r>
      <w:r w:rsidRPr="00364DCA">
        <w:rPr>
          <w:bCs/>
        </w:rPr>
        <w:t xml:space="preserve"> </w:t>
      </w:r>
      <w:r w:rsidR="00342D59">
        <w:rPr>
          <w:bCs/>
        </w:rPr>
        <w:tab/>
      </w:r>
      <w:r w:rsidRPr="00364DCA">
        <w:rPr>
          <w:bCs/>
        </w:rPr>
        <w:t>Bepaling toepasselijke vrijheid</w:t>
      </w:r>
    </w:p>
    <w:p w:rsidR="00652D1F" w:rsidRPr="00364DCA" w:rsidRDefault="00652D1F" w:rsidP="00E474BA">
      <w:pPr>
        <w:spacing w:line="288" w:lineRule="auto"/>
        <w:rPr>
          <w:bCs/>
        </w:rPr>
      </w:pPr>
      <w:r>
        <w:rPr>
          <w:bCs/>
        </w:rPr>
        <w:t xml:space="preserve">3.2.1 </w:t>
      </w:r>
      <w:r w:rsidR="00342D59">
        <w:rPr>
          <w:bCs/>
        </w:rPr>
        <w:tab/>
      </w:r>
      <w:r>
        <w:rPr>
          <w:bCs/>
        </w:rPr>
        <w:t>B</w:t>
      </w:r>
      <w:r w:rsidRPr="00364DCA">
        <w:rPr>
          <w:bCs/>
        </w:rPr>
        <w:t>eperkte vrijheden</w:t>
      </w:r>
    </w:p>
    <w:p w:rsidR="00652D1F" w:rsidRPr="00364DCA" w:rsidRDefault="00652D1F" w:rsidP="00E474BA">
      <w:pPr>
        <w:spacing w:line="288" w:lineRule="auto"/>
        <w:rPr>
          <w:bCs/>
        </w:rPr>
      </w:pPr>
      <w:r>
        <w:rPr>
          <w:bCs/>
        </w:rPr>
        <w:t>3.2</w:t>
      </w:r>
      <w:r w:rsidRPr="00364DCA">
        <w:rPr>
          <w:bCs/>
        </w:rPr>
        <w:t xml:space="preserve">.2 </w:t>
      </w:r>
      <w:r w:rsidR="00342D59">
        <w:rPr>
          <w:bCs/>
        </w:rPr>
        <w:tab/>
      </w:r>
      <w:r w:rsidRPr="00364DCA">
        <w:rPr>
          <w:bCs/>
        </w:rPr>
        <w:t>Dominantieregel</w:t>
      </w:r>
    </w:p>
    <w:p w:rsidR="00652D1F" w:rsidRDefault="00652D1F" w:rsidP="00E474BA">
      <w:pPr>
        <w:spacing w:line="288" w:lineRule="auto"/>
        <w:rPr>
          <w:bCs/>
        </w:rPr>
      </w:pPr>
      <w:r>
        <w:rPr>
          <w:bCs/>
        </w:rPr>
        <w:t>3.2</w:t>
      </w:r>
      <w:r w:rsidRPr="00364DCA">
        <w:rPr>
          <w:bCs/>
        </w:rPr>
        <w:t xml:space="preserve">.3 </w:t>
      </w:r>
      <w:r w:rsidR="00342D59">
        <w:rPr>
          <w:bCs/>
        </w:rPr>
        <w:tab/>
      </w:r>
      <w:r w:rsidRPr="00364DCA">
        <w:rPr>
          <w:bCs/>
        </w:rPr>
        <w:t>Vrijheid van vestiging en vrijheid van kapitaalverkeer</w:t>
      </w:r>
    </w:p>
    <w:p w:rsidR="00652D1F" w:rsidRPr="00364DCA" w:rsidRDefault="00652D1F" w:rsidP="00E474BA">
      <w:pPr>
        <w:spacing w:line="288" w:lineRule="auto"/>
        <w:rPr>
          <w:bCs/>
        </w:rPr>
      </w:pPr>
      <w:r>
        <w:rPr>
          <w:bCs/>
        </w:rPr>
        <w:t xml:space="preserve">3.3 </w:t>
      </w:r>
      <w:r w:rsidR="00342D59">
        <w:rPr>
          <w:bCs/>
        </w:rPr>
        <w:tab/>
      </w:r>
      <w:r>
        <w:rPr>
          <w:bCs/>
        </w:rPr>
        <w:t>Situaties die onder artikel 10a vallen en toetsbaar zijn aan de vrijheid van vestiging</w:t>
      </w:r>
    </w:p>
    <w:p w:rsidR="00652D1F" w:rsidRPr="00364DCA" w:rsidRDefault="00652D1F" w:rsidP="00E474BA">
      <w:pPr>
        <w:spacing w:line="288" w:lineRule="auto"/>
        <w:rPr>
          <w:bCs/>
        </w:rPr>
      </w:pPr>
      <w:r>
        <w:rPr>
          <w:bCs/>
        </w:rPr>
        <w:t>3.4</w:t>
      </w:r>
      <w:r w:rsidRPr="00364DCA">
        <w:rPr>
          <w:bCs/>
        </w:rPr>
        <w:t xml:space="preserve"> </w:t>
      </w:r>
      <w:r w:rsidR="00342D59">
        <w:rPr>
          <w:bCs/>
        </w:rPr>
        <w:tab/>
      </w:r>
      <w:r w:rsidRPr="00364DCA">
        <w:rPr>
          <w:bCs/>
        </w:rPr>
        <w:t xml:space="preserve">Misbruik en toegang </w:t>
      </w:r>
      <w:r>
        <w:rPr>
          <w:bCs/>
        </w:rPr>
        <w:t xml:space="preserve">tot het </w:t>
      </w:r>
      <w:r w:rsidRPr="00364DCA">
        <w:rPr>
          <w:bCs/>
        </w:rPr>
        <w:t>V</w:t>
      </w:r>
      <w:r>
        <w:rPr>
          <w:bCs/>
        </w:rPr>
        <w:t>erdrag betreffende de werking van de Europese Unie</w:t>
      </w:r>
    </w:p>
    <w:p w:rsidR="00652D1F" w:rsidRDefault="00652D1F" w:rsidP="00E474BA">
      <w:pPr>
        <w:spacing w:line="288" w:lineRule="auto"/>
        <w:rPr>
          <w:bCs/>
        </w:rPr>
      </w:pPr>
      <w:r>
        <w:rPr>
          <w:bCs/>
        </w:rPr>
        <w:t>3.5</w:t>
      </w:r>
      <w:r w:rsidRPr="00364DCA">
        <w:rPr>
          <w:bCs/>
        </w:rPr>
        <w:t xml:space="preserve"> </w:t>
      </w:r>
      <w:r w:rsidR="00342D59">
        <w:rPr>
          <w:bCs/>
        </w:rPr>
        <w:tab/>
      </w:r>
      <w:r w:rsidRPr="00364DCA">
        <w:rPr>
          <w:bCs/>
        </w:rPr>
        <w:t>Conclusie</w:t>
      </w:r>
      <w:r>
        <w:rPr>
          <w:bCs/>
        </w:rPr>
        <w:t>;</w:t>
      </w:r>
      <w:r w:rsidRPr="00364DCA">
        <w:rPr>
          <w:bCs/>
        </w:rPr>
        <w:t xml:space="preserve"> toegang </w:t>
      </w:r>
      <w:r>
        <w:rPr>
          <w:bCs/>
        </w:rPr>
        <w:t>tot het Verdrag betreffende de werking van de Europese Unie</w:t>
      </w:r>
    </w:p>
    <w:p w:rsidR="00652D1F" w:rsidRDefault="00652D1F" w:rsidP="00E474BA">
      <w:pPr>
        <w:rPr>
          <w:b/>
          <w:bCs/>
        </w:rPr>
      </w:pPr>
    </w:p>
    <w:p w:rsidR="00652D1F" w:rsidRDefault="00652D1F" w:rsidP="00E474BA">
      <w:pPr>
        <w:rPr>
          <w:b/>
          <w:bCs/>
        </w:rPr>
      </w:pPr>
      <w:r>
        <w:rPr>
          <w:b/>
          <w:bCs/>
        </w:rPr>
        <w:t>4.</w:t>
      </w:r>
      <w:r w:rsidRPr="00364DCA">
        <w:rPr>
          <w:b/>
          <w:bCs/>
        </w:rPr>
        <w:t xml:space="preserve"> Vaststelling eventuele belemmering</w:t>
      </w:r>
    </w:p>
    <w:p w:rsidR="00652D1F" w:rsidRPr="009B5308" w:rsidRDefault="00652D1F" w:rsidP="00E474BA">
      <w:pPr>
        <w:rPr>
          <w:bCs/>
        </w:rPr>
      </w:pPr>
    </w:p>
    <w:p w:rsidR="00652D1F" w:rsidRPr="00364DCA" w:rsidRDefault="00652D1F" w:rsidP="00E474BA">
      <w:pPr>
        <w:spacing w:line="288" w:lineRule="auto"/>
        <w:rPr>
          <w:bCs/>
        </w:rPr>
      </w:pPr>
      <w:r>
        <w:rPr>
          <w:bCs/>
        </w:rPr>
        <w:t>4.1</w:t>
      </w:r>
      <w:r w:rsidRPr="00364DCA">
        <w:rPr>
          <w:bCs/>
        </w:rPr>
        <w:t xml:space="preserve"> </w:t>
      </w:r>
      <w:r w:rsidR="00342D59">
        <w:rPr>
          <w:bCs/>
        </w:rPr>
        <w:tab/>
      </w:r>
      <w:r w:rsidRPr="00364DCA">
        <w:rPr>
          <w:bCs/>
        </w:rPr>
        <w:t>Soorten belemmeringen</w:t>
      </w:r>
    </w:p>
    <w:p w:rsidR="00652D1F" w:rsidRPr="00364DCA" w:rsidRDefault="00652D1F" w:rsidP="00E474BA">
      <w:pPr>
        <w:spacing w:line="288" w:lineRule="auto"/>
        <w:rPr>
          <w:bCs/>
        </w:rPr>
      </w:pPr>
      <w:r>
        <w:rPr>
          <w:bCs/>
        </w:rPr>
        <w:t>4.1</w:t>
      </w:r>
      <w:r w:rsidRPr="00364DCA">
        <w:rPr>
          <w:bCs/>
        </w:rPr>
        <w:t>.1</w:t>
      </w:r>
      <w:r w:rsidR="00342D59">
        <w:rPr>
          <w:bCs/>
        </w:rPr>
        <w:tab/>
      </w:r>
      <w:r w:rsidRPr="00364DCA">
        <w:rPr>
          <w:bCs/>
        </w:rPr>
        <w:t>Gelijke situatie</w:t>
      </w:r>
    </w:p>
    <w:p w:rsidR="00652D1F" w:rsidRPr="00364DCA" w:rsidRDefault="00652D1F" w:rsidP="00E474BA">
      <w:pPr>
        <w:spacing w:line="288" w:lineRule="auto"/>
        <w:rPr>
          <w:bCs/>
        </w:rPr>
      </w:pPr>
      <w:r>
        <w:rPr>
          <w:bCs/>
        </w:rPr>
        <w:t>4.1</w:t>
      </w:r>
      <w:r w:rsidRPr="00364DCA">
        <w:rPr>
          <w:bCs/>
        </w:rPr>
        <w:t xml:space="preserve">.2 </w:t>
      </w:r>
      <w:r w:rsidR="00342D59">
        <w:rPr>
          <w:bCs/>
        </w:rPr>
        <w:tab/>
      </w:r>
      <w:r w:rsidRPr="00364DCA">
        <w:rPr>
          <w:bCs/>
        </w:rPr>
        <w:t>Indirecte situatie</w:t>
      </w:r>
    </w:p>
    <w:p w:rsidR="00652D1F" w:rsidRPr="00364DCA" w:rsidRDefault="00652D1F" w:rsidP="00E474BA">
      <w:pPr>
        <w:spacing w:line="288" w:lineRule="auto"/>
        <w:rPr>
          <w:bCs/>
        </w:rPr>
      </w:pPr>
      <w:r>
        <w:rPr>
          <w:bCs/>
        </w:rPr>
        <w:t>4.1.3</w:t>
      </w:r>
      <w:r w:rsidRPr="00364DCA">
        <w:rPr>
          <w:bCs/>
        </w:rPr>
        <w:t xml:space="preserve"> </w:t>
      </w:r>
      <w:r w:rsidR="00342D59">
        <w:rPr>
          <w:bCs/>
        </w:rPr>
        <w:tab/>
      </w:r>
      <w:r w:rsidRPr="00364DCA">
        <w:rPr>
          <w:bCs/>
        </w:rPr>
        <w:t>Non-discriminerende maatregelen die het vrije verkeer belemmeren</w:t>
      </w:r>
    </w:p>
    <w:p w:rsidR="00652D1F" w:rsidRPr="000E0A6A" w:rsidRDefault="00652D1F" w:rsidP="00915978">
      <w:pPr>
        <w:spacing w:line="288" w:lineRule="auto"/>
        <w:rPr>
          <w:bCs/>
        </w:rPr>
      </w:pPr>
      <w:r w:rsidRPr="000E0A6A">
        <w:rPr>
          <w:bCs/>
        </w:rPr>
        <w:t xml:space="preserve">4.2 </w:t>
      </w:r>
      <w:r w:rsidR="00342D59">
        <w:rPr>
          <w:bCs/>
        </w:rPr>
        <w:tab/>
      </w:r>
      <w:r w:rsidRPr="000E0A6A">
        <w:rPr>
          <w:bCs/>
        </w:rPr>
        <w:t>Artikel 10a categorie 2 of categorie 3 belemmering?</w:t>
      </w:r>
    </w:p>
    <w:p w:rsidR="00652D1F" w:rsidRPr="008F14CA" w:rsidRDefault="00652D1F" w:rsidP="00E474BA">
      <w:pPr>
        <w:spacing w:line="288" w:lineRule="auto"/>
        <w:rPr>
          <w:bCs/>
        </w:rPr>
      </w:pPr>
      <w:r>
        <w:rPr>
          <w:bCs/>
        </w:rPr>
        <w:t>4.3</w:t>
      </w:r>
      <w:r w:rsidRPr="008F14CA">
        <w:rPr>
          <w:bCs/>
        </w:rPr>
        <w:t xml:space="preserve"> </w:t>
      </w:r>
      <w:r w:rsidR="00342D59">
        <w:rPr>
          <w:bCs/>
        </w:rPr>
        <w:tab/>
      </w:r>
      <w:r w:rsidRPr="008F14CA">
        <w:rPr>
          <w:bCs/>
        </w:rPr>
        <w:t>Conclusie</w:t>
      </w:r>
      <w:r>
        <w:rPr>
          <w:bCs/>
        </w:rPr>
        <w:t>;</w:t>
      </w:r>
      <w:r w:rsidRPr="008F14CA">
        <w:rPr>
          <w:bCs/>
        </w:rPr>
        <w:t xml:space="preserve"> vaststelling belemmering</w:t>
      </w:r>
    </w:p>
    <w:p w:rsidR="00652D1F" w:rsidRPr="008F14CA" w:rsidRDefault="00652D1F" w:rsidP="00E474BA">
      <w:pPr>
        <w:rPr>
          <w:b/>
          <w:bCs/>
        </w:rPr>
      </w:pPr>
    </w:p>
    <w:p w:rsidR="00652D1F" w:rsidRDefault="00652D1F" w:rsidP="00E474BA">
      <w:pPr>
        <w:rPr>
          <w:b/>
          <w:bCs/>
        </w:rPr>
      </w:pPr>
      <w:r>
        <w:rPr>
          <w:b/>
          <w:bCs/>
        </w:rPr>
        <w:t>5.</w:t>
      </w:r>
      <w:r w:rsidRPr="00364DCA">
        <w:rPr>
          <w:b/>
          <w:bCs/>
        </w:rPr>
        <w:t xml:space="preserve"> Rechtvaardigingsgrond</w:t>
      </w:r>
      <w:r>
        <w:rPr>
          <w:b/>
          <w:bCs/>
        </w:rPr>
        <w:t>en</w:t>
      </w:r>
    </w:p>
    <w:p w:rsidR="00652D1F" w:rsidRPr="00364DCA" w:rsidRDefault="00652D1F" w:rsidP="00E474BA">
      <w:pPr>
        <w:rPr>
          <w:b/>
          <w:bCs/>
        </w:rPr>
      </w:pPr>
    </w:p>
    <w:p w:rsidR="00652D1F" w:rsidRPr="00364DCA" w:rsidRDefault="00652D1F" w:rsidP="00E474BA">
      <w:pPr>
        <w:spacing w:line="288" w:lineRule="auto"/>
        <w:rPr>
          <w:bCs/>
        </w:rPr>
      </w:pPr>
      <w:r>
        <w:rPr>
          <w:bCs/>
        </w:rPr>
        <w:t>5.1</w:t>
      </w:r>
      <w:r w:rsidRPr="00364DCA">
        <w:rPr>
          <w:bCs/>
        </w:rPr>
        <w:t xml:space="preserve"> </w:t>
      </w:r>
      <w:r w:rsidR="00342D59">
        <w:rPr>
          <w:bCs/>
        </w:rPr>
        <w:tab/>
      </w:r>
      <w:r w:rsidRPr="00364DCA">
        <w:rPr>
          <w:bCs/>
        </w:rPr>
        <w:t>Dwingende reden van algemeen belang/rechtvaardigingsgrond</w:t>
      </w:r>
    </w:p>
    <w:p w:rsidR="00652D1F" w:rsidRPr="00364DCA" w:rsidRDefault="00652D1F" w:rsidP="00E474BA">
      <w:pPr>
        <w:spacing w:line="288" w:lineRule="auto"/>
        <w:rPr>
          <w:bCs/>
        </w:rPr>
      </w:pPr>
      <w:r>
        <w:rPr>
          <w:bCs/>
        </w:rPr>
        <w:t xml:space="preserve">5.2 </w:t>
      </w:r>
      <w:r w:rsidR="00342D59">
        <w:rPr>
          <w:bCs/>
        </w:rPr>
        <w:tab/>
      </w:r>
      <w:r>
        <w:rPr>
          <w:bCs/>
        </w:rPr>
        <w:t>Misbruik in EU</w:t>
      </w:r>
      <w:r w:rsidRPr="00364DCA">
        <w:rPr>
          <w:bCs/>
        </w:rPr>
        <w:t xml:space="preserve"> verband</w:t>
      </w:r>
    </w:p>
    <w:p w:rsidR="00652D1F" w:rsidRPr="00364DCA" w:rsidRDefault="00652D1F" w:rsidP="00E474BA">
      <w:pPr>
        <w:spacing w:line="288" w:lineRule="auto"/>
        <w:rPr>
          <w:bCs/>
        </w:rPr>
      </w:pPr>
      <w:r>
        <w:rPr>
          <w:bCs/>
        </w:rPr>
        <w:t>5.2</w:t>
      </w:r>
      <w:r w:rsidRPr="00364DCA">
        <w:rPr>
          <w:bCs/>
        </w:rPr>
        <w:t xml:space="preserve">.1 </w:t>
      </w:r>
      <w:r w:rsidR="00342D59">
        <w:rPr>
          <w:bCs/>
        </w:rPr>
        <w:tab/>
      </w:r>
      <w:r w:rsidRPr="00364DCA">
        <w:rPr>
          <w:bCs/>
        </w:rPr>
        <w:t>Volstrekt kunstmatige constructie</w:t>
      </w:r>
    </w:p>
    <w:p w:rsidR="00652D1F" w:rsidRDefault="00652D1F" w:rsidP="00E474BA">
      <w:pPr>
        <w:spacing w:line="288" w:lineRule="auto"/>
        <w:rPr>
          <w:bCs/>
        </w:rPr>
      </w:pPr>
      <w:r>
        <w:rPr>
          <w:bCs/>
        </w:rPr>
        <w:t>5.2</w:t>
      </w:r>
      <w:r w:rsidRPr="00364DCA">
        <w:rPr>
          <w:bCs/>
        </w:rPr>
        <w:t xml:space="preserve">.2 </w:t>
      </w:r>
      <w:r w:rsidR="00342D59">
        <w:rPr>
          <w:bCs/>
        </w:rPr>
        <w:tab/>
      </w:r>
      <w:r w:rsidRPr="00364DCA">
        <w:rPr>
          <w:bCs/>
        </w:rPr>
        <w:t>Misbruikintentie</w:t>
      </w:r>
    </w:p>
    <w:p w:rsidR="00652D1F" w:rsidRPr="00364DCA" w:rsidRDefault="00652D1F" w:rsidP="00E474BA">
      <w:pPr>
        <w:spacing w:line="288" w:lineRule="auto"/>
        <w:rPr>
          <w:bCs/>
        </w:rPr>
      </w:pPr>
      <w:r>
        <w:rPr>
          <w:bCs/>
        </w:rPr>
        <w:t xml:space="preserve">5.3 </w:t>
      </w:r>
      <w:r w:rsidR="00342D59">
        <w:rPr>
          <w:bCs/>
        </w:rPr>
        <w:tab/>
      </w:r>
      <w:r>
        <w:rPr>
          <w:bCs/>
        </w:rPr>
        <w:t>Artikel 10a en het EU misbruikbegrip</w:t>
      </w:r>
    </w:p>
    <w:p w:rsidR="00652D1F" w:rsidRPr="00364DCA" w:rsidRDefault="00652D1F" w:rsidP="00E474BA">
      <w:pPr>
        <w:spacing w:line="288" w:lineRule="auto"/>
        <w:rPr>
          <w:bCs/>
        </w:rPr>
      </w:pPr>
      <w:r>
        <w:rPr>
          <w:bCs/>
        </w:rPr>
        <w:t>5.4</w:t>
      </w:r>
      <w:r w:rsidRPr="00364DCA">
        <w:rPr>
          <w:bCs/>
        </w:rPr>
        <w:t xml:space="preserve"> </w:t>
      </w:r>
      <w:r w:rsidR="00342D59">
        <w:rPr>
          <w:bCs/>
        </w:rPr>
        <w:tab/>
      </w:r>
      <w:r w:rsidRPr="00364DCA">
        <w:rPr>
          <w:bCs/>
        </w:rPr>
        <w:t>Conclusie</w:t>
      </w:r>
      <w:r>
        <w:rPr>
          <w:bCs/>
        </w:rPr>
        <w:t>;</w:t>
      </w:r>
      <w:r w:rsidRPr="00364DCA">
        <w:rPr>
          <w:bCs/>
        </w:rPr>
        <w:t xml:space="preserve"> </w:t>
      </w:r>
      <w:r>
        <w:rPr>
          <w:bCs/>
        </w:rPr>
        <w:t>rechtvaardigingsgronden in verband met artikel 10a</w:t>
      </w:r>
    </w:p>
    <w:p w:rsidR="00652D1F" w:rsidRPr="00364DCA" w:rsidRDefault="00652D1F" w:rsidP="00E474BA">
      <w:pPr>
        <w:rPr>
          <w:b/>
          <w:bCs/>
        </w:rPr>
      </w:pPr>
    </w:p>
    <w:p w:rsidR="00652D1F" w:rsidRDefault="00652D1F" w:rsidP="00E474BA">
      <w:pPr>
        <w:rPr>
          <w:b/>
          <w:bCs/>
        </w:rPr>
      </w:pPr>
      <w:r>
        <w:rPr>
          <w:b/>
          <w:bCs/>
        </w:rPr>
        <w:t>6.</w:t>
      </w:r>
      <w:r w:rsidRPr="00364DCA">
        <w:rPr>
          <w:b/>
          <w:bCs/>
        </w:rPr>
        <w:t xml:space="preserve"> Het evenredigheidsbeginsel en artikel 10a</w:t>
      </w:r>
    </w:p>
    <w:p w:rsidR="00652D1F" w:rsidRPr="00364DCA" w:rsidRDefault="00652D1F" w:rsidP="00E474BA">
      <w:pPr>
        <w:rPr>
          <w:b/>
          <w:bCs/>
        </w:rPr>
      </w:pPr>
    </w:p>
    <w:p w:rsidR="00652D1F" w:rsidRPr="00364DCA" w:rsidRDefault="00652D1F" w:rsidP="00E474BA">
      <w:pPr>
        <w:spacing w:line="288" w:lineRule="auto"/>
        <w:rPr>
          <w:bCs/>
        </w:rPr>
      </w:pPr>
      <w:r>
        <w:rPr>
          <w:bCs/>
        </w:rPr>
        <w:t>6.1</w:t>
      </w:r>
      <w:r w:rsidRPr="00364DCA">
        <w:rPr>
          <w:bCs/>
        </w:rPr>
        <w:t xml:space="preserve"> </w:t>
      </w:r>
      <w:r w:rsidR="00342D59">
        <w:rPr>
          <w:bCs/>
        </w:rPr>
        <w:tab/>
      </w:r>
      <w:r w:rsidRPr="00364DCA">
        <w:rPr>
          <w:bCs/>
        </w:rPr>
        <w:t>Het evenredigheidsbeginsel</w:t>
      </w:r>
    </w:p>
    <w:p w:rsidR="00652D1F" w:rsidRPr="00364DCA" w:rsidRDefault="00652D1F" w:rsidP="00E474BA">
      <w:pPr>
        <w:spacing w:line="288" w:lineRule="auto"/>
        <w:rPr>
          <w:bCs/>
        </w:rPr>
      </w:pPr>
      <w:r>
        <w:rPr>
          <w:bCs/>
        </w:rPr>
        <w:t xml:space="preserve">6.2 </w:t>
      </w:r>
      <w:r w:rsidR="00342D59">
        <w:rPr>
          <w:bCs/>
        </w:rPr>
        <w:tab/>
      </w:r>
      <w:r>
        <w:rPr>
          <w:bCs/>
        </w:rPr>
        <w:t>Aandachtspunten EU</w:t>
      </w:r>
      <w:r w:rsidRPr="00364DCA">
        <w:rPr>
          <w:bCs/>
        </w:rPr>
        <w:t xml:space="preserve"> toetsing</w:t>
      </w:r>
    </w:p>
    <w:p w:rsidR="00652D1F" w:rsidRPr="00364DCA" w:rsidRDefault="00652D1F" w:rsidP="00E474BA">
      <w:pPr>
        <w:spacing w:line="288" w:lineRule="auto"/>
        <w:rPr>
          <w:bCs/>
        </w:rPr>
      </w:pPr>
      <w:r>
        <w:rPr>
          <w:bCs/>
        </w:rPr>
        <w:t>6.2</w:t>
      </w:r>
      <w:r w:rsidRPr="00364DCA">
        <w:rPr>
          <w:bCs/>
        </w:rPr>
        <w:t xml:space="preserve">.1 </w:t>
      </w:r>
      <w:r w:rsidR="00342D59">
        <w:rPr>
          <w:bCs/>
        </w:rPr>
        <w:tab/>
      </w:r>
      <w:r w:rsidRPr="00364DCA">
        <w:rPr>
          <w:bCs/>
        </w:rPr>
        <w:t>Compenserende heffingstoets en de verrekening van verliezen</w:t>
      </w:r>
    </w:p>
    <w:p w:rsidR="00652D1F" w:rsidRPr="00364DCA" w:rsidRDefault="00652D1F" w:rsidP="00E474BA">
      <w:pPr>
        <w:spacing w:line="288" w:lineRule="auto"/>
        <w:rPr>
          <w:bCs/>
        </w:rPr>
      </w:pPr>
      <w:r>
        <w:rPr>
          <w:bCs/>
        </w:rPr>
        <w:t xml:space="preserve">6.2.2 </w:t>
      </w:r>
      <w:r w:rsidR="00342D59">
        <w:rPr>
          <w:bCs/>
        </w:rPr>
        <w:tab/>
      </w:r>
      <w:r>
        <w:rPr>
          <w:bCs/>
        </w:rPr>
        <w:t>De invulling van het begrip</w:t>
      </w:r>
      <w:r w:rsidRPr="00364DCA">
        <w:rPr>
          <w:bCs/>
        </w:rPr>
        <w:t xml:space="preserve"> belang en de aanwezigheid van verbondenheid</w:t>
      </w:r>
    </w:p>
    <w:p w:rsidR="00652D1F" w:rsidRPr="00364DCA" w:rsidRDefault="00652D1F" w:rsidP="00E474BA">
      <w:pPr>
        <w:spacing w:line="288" w:lineRule="auto"/>
        <w:rPr>
          <w:bCs/>
        </w:rPr>
      </w:pPr>
      <w:r>
        <w:rPr>
          <w:bCs/>
        </w:rPr>
        <w:t>6.2</w:t>
      </w:r>
      <w:r w:rsidRPr="00364DCA">
        <w:rPr>
          <w:bCs/>
        </w:rPr>
        <w:t xml:space="preserve">.3 </w:t>
      </w:r>
      <w:r w:rsidR="00342D59">
        <w:rPr>
          <w:bCs/>
        </w:rPr>
        <w:tab/>
      </w:r>
      <w:r w:rsidRPr="00364DCA">
        <w:rPr>
          <w:bCs/>
        </w:rPr>
        <w:t xml:space="preserve">Verband tussen schuldverhouding en rechtshandeling in </w:t>
      </w:r>
      <w:r>
        <w:rPr>
          <w:bCs/>
        </w:rPr>
        <w:t>EU</w:t>
      </w:r>
      <w:r w:rsidRPr="00364DCA">
        <w:rPr>
          <w:bCs/>
        </w:rPr>
        <w:t xml:space="preserve"> context</w:t>
      </w:r>
    </w:p>
    <w:p w:rsidR="00652D1F" w:rsidRPr="00364DCA" w:rsidRDefault="00652D1F" w:rsidP="00E474BA">
      <w:pPr>
        <w:spacing w:line="288" w:lineRule="auto"/>
        <w:rPr>
          <w:bCs/>
        </w:rPr>
      </w:pPr>
      <w:r>
        <w:rPr>
          <w:bCs/>
        </w:rPr>
        <w:t>6.2</w:t>
      </w:r>
      <w:r w:rsidRPr="00364DCA">
        <w:rPr>
          <w:bCs/>
        </w:rPr>
        <w:t xml:space="preserve">.4 </w:t>
      </w:r>
      <w:r w:rsidR="00342D59">
        <w:rPr>
          <w:bCs/>
        </w:rPr>
        <w:tab/>
      </w:r>
      <w:r>
        <w:rPr>
          <w:bCs/>
        </w:rPr>
        <w:t xml:space="preserve">‘Verschillende </w:t>
      </w:r>
      <w:r w:rsidRPr="00364DCA">
        <w:rPr>
          <w:bCs/>
        </w:rPr>
        <w:t>wegen</w:t>
      </w:r>
      <w:r>
        <w:rPr>
          <w:bCs/>
        </w:rPr>
        <w:t>’-</w:t>
      </w:r>
      <w:r w:rsidRPr="00364DCA">
        <w:rPr>
          <w:bCs/>
        </w:rPr>
        <w:t>leer in de rechtspraak van het Hof van Justitie</w:t>
      </w:r>
    </w:p>
    <w:p w:rsidR="00652D1F" w:rsidRDefault="00652D1F" w:rsidP="00E474BA">
      <w:pPr>
        <w:spacing w:line="288" w:lineRule="auto"/>
        <w:rPr>
          <w:bCs/>
        </w:rPr>
      </w:pPr>
      <w:r>
        <w:rPr>
          <w:bCs/>
        </w:rPr>
        <w:t>6.2</w:t>
      </w:r>
      <w:r w:rsidRPr="00364DCA">
        <w:rPr>
          <w:bCs/>
        </w:rPr>
        <w:t xml:space="preserve">.5 </w:t>
      </w:r>
      <w:r w:rsidR="00342D59">
        <w:rPr>
          <w:bCs/>
        </w:rPr>
        <w:tab/>
      </w:r>
      <w:r w:rsidRPr="00364DCA">
        <w:rPr>
          <w:bCs/>
        </w:rPr>
        <w:t>Het z</w:t>
      </w:r>
      <w:r>
        <w:rPr>
          <w:bCs/>
        </w:rPr>
        <w:t>akelijkheidscriterium in EU</w:t>
      </w:r>
      <w:r w:rsidRPr="00364DCA">
        <w:rPr>
          <w:bCs/>
        </w:rPr>
        <w:t xml:space="preserve"> verband</w:t>
      </w:r>
    </w:p>
    <w:p w:rsidR="00652D1F" w:rsidRPr="00364DCA" w:rsidRDefault="00652D1F" w:rsidP="00E474BA">
      <w:pPr>
        <w:spacing w:line="288" w:lineRule="auto"/>
        <w:rPr>
          <w:bCs/>
        </w:rPr>
      </w:pPr>
      <w:r>
        <w:rPr>
          <w:bCs/>
        </w:rPr>
        <w:t xml:space="preserve">6.2.6 </w:t>
      </w:r>
      <w:r w:rsidR="00342D59">
        <w:rPr>
          <w:bCs/>
        </w:rPr>
        <w:tab/>
      </w:r>
      <w:r>
        <w:rPr>
          <w:bCs/>
        </w:rPr>
        <w:t>Aannemen van misbruik op grond van tarief</w:t>
      </w:r>
    </w:p>
    <w:p w:rsidR="00652D1F" w:rsidRPr="00364DCA" w:rsidRDefault="00652D1F" w:rsidP="00E474BA">
      <w:pPr>
        <w:spacing w:line="288" w:lineRule="auto"/>
        <w:rPr>
          <w:bCs/>
        </w:rPr>
      </w:pPr>
      <w:r>
        <w:rPr>
          <w:bCs/>
        </w:rPr>
        <w:t>6.3</w:t>
      </w:r>
      <w:r w:rsidRPr="00364DCA">
        <w:rPr>
          <w:bCs/>
        </w:rPr>
        <w:t xml:space="preserve"> </w:t>
      </w:r>
      <w:r w:rsidR="00342D59">
        <w:rPr>
          <w:bCs/>
        </w:rPr>
        <w:tab/>
      </w:r>
      <w:r w:rsidRPr="00364DCA">
        <w:rPr>
          <w:bCs/>
        </w:rPr>
        <w:t>Bewijslast</w:t>
      </w:r>
    </w:p>
    <w:p w:rsidR="00652D1F" w:rsidRPr="00364DCA" w:rsidRDefault="00652D1F" w:rsidP="00E474BA">
      <w:pPr>
        <w:spacing w:line="288" w:lineRule="auto"/>
        <w:rPr>
          <w:bCs/>
        </w:rPr>
      </w:pPr>
      <w:r>
        <w:rPr>
          <w:bCs/>
        </w:rPr>
        <w:t>6.3.1</w:t>
      </w:r>
      <w:r w:rsidRPr="00364DCA">
        <w:rPr>
          <w:bCs/>
        </w:rPr>
        <w:t xml:space="preserve"> </w:t>
      </w:r>
      <w:r w:rsidR="00342D59">
        <w:rPr>
          <w:bCs/>
        </w:rPr>
        <w:tab/>
      </w:r>
      <w:r w:rsidRPr="00364DCA">
        <w:rPr>
          <w:bCs/>
        </w:rPr>
        <w:t>Effectiviteitsbeginsel</w:t>
      </w:r>
    </w:p>
    <w:p w:rsidR="00652D1F" w:rsidRPr="00364DCA" w:rsidRDefault="00652D1F" w:rsidP="00E474BA">
      <w:pPr>
        <w:spacing w:line="288" w:lineRule="auto"/>
        <w:rPr>
          <w:bCs/>
        </w:rPr>
      </w:pPr>
      <w:r>
        <w:rPr>
          <w:bCs/>
        </w:rPr>
        <w:t>6.3.2</w:t>
      </w:r>
      <w:r w:rsidRPr="00364DCA">
        <w:rPr>
          <w:bCs/>
        </w:rPr>
        <w:t xml:space="preserve"> </w:t>
      </w:r>
      <w:r w:rsidR="00342D59">
        <w:rPr>
          <w:bCs/>
        </w:rPr>
        <w:tab/>
      </w:r>
      <w:r w:rsidRPr="00364DCA">
        <w:rPr>
          <w:bCs/>
        </w:rPr>
        <w:t>Gelijkwaardigheidsbeginsel</w:t>
      </w:r>
    </w:p>
    <w:p w:rsidR="00652D1F" w:rsidRDefault="00652D1F" w:rsidP="00E474BA">
      <w:pPr>
        <w:spacing w:line="288" w:lineRule="auto"/>
        <w:rPr>
          <w:bCs/>
        </w:rPr>
      </w:pPr>
      <w:r>
        <w:rPr>
          <w:bCs/>
        </w:rPr>
        <w:t xml:space="preserve">6.3.3 </w:t>
      </w:r>
      <w:r w:rsidR="00342D59">
        <w:rPr>
          <w:bCs/>
        </w:rPr>
        <w:tab/>
      </w:r>
      <w:r>
        <w:rPr>
          <w:bCs/>
        </w:rPr>
        <w:t>Artikel 10a en de bewijslast</w:t>
      </w:r>
      <w:r w:rsidRPr="00364DCA">
        <w:rPr>
          <w:bCs/>
        </w:rPr>
        <w:t>verdeling</w:t>
      </w:r>
    </w:p>
    <w:p w:rsidR="00652D1F" w:rsidRPr="00364DCA" w:rsidRDefault="00652D1F" w:rsidP="00E474BA">
      <w:pPr>
        <w:spacing w:line="288" w:lineRule="auto"/>
        <w:rPr>
          <w:bCs/>
        </w:rPr>
      </w:pPr>
      <w:r>
        <w:rPr>
          <w:bCs/>
        </w:rPr>
        <w:t xml:space="preserve">6.4 </w:t>
      </w:r>
      <w:r w:rsidR="00342D59">
        <w:rPr>
          <w:bCs/>
        </w:rPr>
        <w:tab/>
      </w:r>
      <w:r>
        <w:rPr>
          <w:bCs/>
        </w:rPr>
        <w:t>Sanctie</w:t>
      </w:r>
    </w:p>
    <w:p w:rsidR="00652D1F" w:rsidRDefault="00652D1F" w:rsidP="00E474BA">
      <w:pPr>
        <w:spacing w:line="288" w:lineRule="auto"/>
        <w:rPr>
          <w:bCs/>
        </w:rPr>
      </w:pPr>
      <w:r>
        <w:rPr>
          <w:bCs/>
        </w:rPr>
        <w:t>6.5</w:t>
      </w:r>
      <w:r w:rsidRPr="00364DCA">
        <w:rPr>
          <w:bCs/>
        </w:rPr>
        <w:t xml:space="preserve"> </w:t>
      </w:r>
      <w:r w:rsidR="00342D59">
        <w:rPr>
          <w:bCs/>
        </w:rPr>
        <w:tab/>
      </w:r>
      <w:r w:rsidRPr="00364DCA">
        <w:rPr>
          <w:bCs/>
        </w:rPr>
        <w:t>Conclusie</w:t>
      </w:r>
      <w:r>
        <w:rPr>
          <w:bCs/>
        </w:rPr>
        <w:t>; strijdigheden</w:t>
      </w:r>
    </w:p>
    <w:p w:rsidR="00652D1F" w:rsidRDefault="00652D1F" w:rsidP="00E474BA">
      <w:pPr>
        <w:rPr>
          <w:b/>
          <w:bCs/>
        </w:rPr>
      </w:pPr>
    </w:p>
    <w:p w:rsidR="00652D1F" w:rsidRDefault="00652D1F" w:rsidP="00E474BA">
      <w:pPr>
        <w:rPr>
          <w:b/>
          <w:bCs/>
        </w:rPr>
      </w:pPr>
      <w:r w:rsidRPr="00364DCA">
        <w:rPr>
          <w:b/>
          <w:bCs/>
        </w:rPr>
        <w:t>7. Conclusie</w:t>
      </w:r>
    </w:p>
    <w:p w:rsidR="00652D1F" w:rsidRDefault="00652D1F" w:rsidP="00E474BA">
      <w:pPr>
        <w:rPr>
          <w:b/>
          <w:bCs/>
        </w:rPr>
      </w:pPr>
    </w:p>
    <w:p w:rsidR="00652D1F" w:rsidRDefault="00652D1F" w:rsidP="00E474BA">
      <w:r>
        <w:rPr>
          <w:b/>
          <w:bCs/>
        </w:rPr>
        <w:t>8. Literatuurlijst</w:t>
      </w:r>
    </w:p>
    <w:p w:rsidR="00652D1F" w:rsidRPr="00E949F0" w:rsidRDefault="00652D1F" w:rsidP="00AC0BC5"/>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r>
        <w:rPr>
          <w:b/>
          <w:bCs/>
          <w:u w:val="single"/>
        </w:rPr>
        <w:t>1. Introductie</w:t>
      </w:r>
    </w:p>
    <w:p w:rsidR="00652D1F" w:rsidRDefault="00652D1F" w:rsidP="00AC0BC5">
      <w:pPr>
        <w:spacing w:line="360" w:lineRule="auto"/>
        <w:rPr>
          <w:b/>
          <w:bCs/>
          <w:u w:val="single"/>
        </w:rPr>
      </w:pPr>
    </w:p>
    <w:p w:rsidR="00652D1F" w:rsidRDefault="00652D1F" w:rsidP="00AC0BC5">
      <w:pPr>
        <w:spacing w:line="360" w:lineRule="auto"/>
        <w:rPr>
          <w:b/>
          <w:bCs/>
          <w:u w:val="single"/>
        </w:rPr>
      </w:pPr>
      <w:r>
        <w:rPr>
          <w:b/>
          <w:bCs/>
          <w:u w:val="single"/>
        </w:rPr>
        <w:t>1.1 I</w:t>
      </w:r>
      <w:r w:rsidRPr="00347436">
        <w:rPr>
          <w:b/>
          <w:bCs/>
          <w:u w:val="single"/>
        </w:rPr>
        <w:t>nleiding</w:t>
      </w:r>
    </w:p>
    <w:p w:rsidR="00652D1F" w:rsidRDefault="00652D1F" w:rsidP="00AC0BC5">
      <w:pPr>
        <w:spacing w:line="360" w:lineRule="auto"/>
        <w:rPr>
          <w:b/>
          <w:bCs/>
          <w:u w:val="single"/>
        </w:rPr>
      </w:pPr>
    </w:p>
    <w:p w:rsidR="00652D1F" w:rsidRDefault="00652D1F" w:rsidP="00AC0BC5">
      <w:pPr>
        <w:spacing w:line="360" w:lineRule="auto"/>
        <w:rPr>
          <w:bCs/>
        </w:rPr>
      </w:pPr>
      <w:r>
        <w:rPr>
          <w:bCs/>
        </w:rPr>
        <w:t xml:space="preserve">Artikel 10a van de Wet op de Vennootschapsbelasting 1969 (hierna: Wet VpB) is in 1996 ingevoerd en beperkt de renteaftrek in bepaalde groepssituaties, hetgeen tot dubbele belastingheffing binnen een groep kan leiden. Dit is uiteraard een zeer onaangenaam gevolg, met name vanwege de wijze waarop artikel 10a toepassing vindt. Artikel 10a blijkt namelijk voornamelijk toepassing te vinden in de grensoverschrijdende situatie. In de literatuur is dan ook meerdere malen de vraag opgeworpen of artikel 10a wel in overeenstemming is met de EU verdragsvrijheden. </w:t>
      </w:r>
    </w:p>
    <w:p w:rsidR="00652D1F" w:rsidRDefault="00652D1F" w:rsidP="00AC0BC5">
      <w:pPr>
        <w:spacing w:line="360" w:lineRule="auto"/>
        <w:rPr>
          <w:bCs/>
        </w:rPr>
      </w:pPr>
    </w:p>
    <w:p w:rsidR="00652D1F" w:rsidRDefault="00652D1F" w:rsidP="00AC0BC5">
      <w:pPr>
        <w:spacing w:line="360" w:lineRule="auto"/>
        <w:rPr>
          <w:bCs/>
        </w:rPr>
      </w:pPr>
      <w:r>
        <w:rPr>
          <w:bCs/>
        </w:rPr>
        <w:t>In dit onderzoek zal worden geanalyseerd of deze vraag bevestigend dan wel ontkennend dient te worden beantwoord. In de literatuur wordt voornamelijk gesproken over de compenserende heffingstoets, in dit onderzoek wordt echter een iets wijder net uitgezet om eventuele strijdigheden te ondervangen. Want hoewel, zoals zal blijken, dit de reden voor de ontstane situatie is, is het vervolgens vereist het gehele artikel te analyseren om vast te kunnen stellen of er ook daadwerkelijk sprake is van een verboden belemmering. De probleemstelling luidt derhalve als volgt.</w:t>
      </w:r>
    </w:p>
    <w:p w:rsidR="00652D1F" w:rsidRDefault="00652D1F" w:rsidP="00AC0BC5">
      <w:pPr>
        <w:spacing w:line="360" w:lineRule="auto"/>
        <w:rPr>
          <w:bCs/>
        </w:rPr>
      </w:pPr>
    </w:p>
    <w:p w:rsidR="00652D1F" w:rsidRDefault="00652D1F" w:rsidP="00AC0BC5">
      <w:pPr>
        <w:spacing w:line="360" w:lineRule="auto"/>
        <w:rPr>
          <w:b/>
          <w:bCs/>
          <w:u w:val="single"/>
        </w:rPr>
      </w:pPr>
    </w:p>
    <w:p w:rsidR="00652D1F" w:rsidRDefault="00652D1F" w:rsidP="00AC0BC5">
      <w:pPr>
        <w:spacing w:line="360" w:lineRule="auto"/>
        <w:rPr>
          <w:b/>
          <w:bCs/>
          <w:u w:val="single"/>
        </w:rPr>
      </w:pPr>
      <w:r>
        <w:rPr>
          <w:b/>
          <w:bCs/>
          <w:u w:val="single"/>
        </w:rPr>
        <w:t>1.2 Probleemstelling</w:t>
      </w:r>
    </w:p>
    <w:p w:rsidR="00652D1F" w:rsidRDefault="00652D1F" w:rsidP="00AC0BC5">
      <w:pPr>
        <w:spacing w:line="360" w:lineRule="auto"/>
        <w:rPr>
          <w:b/>
          <w:bCs/>
          <w:u w:val="single"/>
        </w:rPr>
      </w:pPr>
    </w:p>
    <w:p w:rsidR="00652D1F" w:rsidRDefault="00652D1F" w:rsidP="00476B17">
      <w:pPr>
        <w:spacing w:line="360" w:lineRule="auto"/>
        <w:rPr>
          <w:bCs/>
        </w:rPr>
      </w:pPr>
      <w:r>
        <w:rPr>
          <w:bCs/>
        </w:rPr>
        <w:t>Artikel 10a Wet VpB is in strijd met de verdragsvrijheden van het Verdrag betreffende de werking van de Europese Unie en dient dan ook te worden aangepast.</w:t>
      </w:r>
    </w:p>
    <w:p w:rsidR="00652D1F" w:rsidRDefault="00652D1F" w:rsidP="00476B17">
      <w:pPr>
        <w:spacing w:line="360" w:lineRule="auto"/>
        <w:rPr>
          <w:bCs/>
        </w:rPr>
      </w:pPr>
    </w:p>
    <w:p w:rsidR="00652D1F" w:rsidRDefault="00652D1F" w:rsidP="00476B17">
      <w:pPr>
        <w:spacing w:line="360" w:lineRule="auto"/>
        <w:rPr>
          <w:bCs/>
        </w:rPr>
      </w:pPr>
    </w:p>
    <w:p w:rsidR="00652D1F" w:rsidRDefault="00652D1F" w:rsidP="00AC0BC5">
      <w:pPr>
        <w:spacing w:line="360" w:lineRule="auto"/>
        <w:rPr>
          <w:b/>
          <w:bCs/>
          <w:u w:val="single"/>
        </w:rPr>
      </w:pPr>
      <w:r>
        <w:rPr>
          <w:b/>
          <w:bCs/>
          <w:u w:val="single"/>
        </w:rPr>
        <w:t xml:space="preserve">1.3 </w:t>
      </w:r>
      <w:r w:rsidRPr="00347436">
        <w:rPr>
          <w:b/>
          <w:bCs/>
          <w:u w:val="single"/>
        </w:rPr>
        <w:t>Opzet</w:t>
      </w:r>
      <w:r>
        <w:rPr>
          <w:b/>
          <w:bCs/>
          <w:u w:val="single"/>
        </w:rPr>
        <w:t xml:space="preserve"> en hoofdstukindeling</w:t>
      </w:r>
    </w:p>
    <w:p w:rsidR="00652D1F" w:rsidRDefault="00652D1F" w:rsidP="00AC0BC5">
      <w:pPr>
        <w:spacing w:line="360" w:lineRule="auto"/>
        <w:rPr>
          <w:b/>
          <w:bCs/>
          <w:u w:val="single"/>
        </w:rPr>
      </w:pPr>
    </w:p>
    <w:p w:rsidR="00652D1F" w:rsidRPr="00476B17" w:rsidRDefault="00652D1F" w:rsidP="003F6EA6">
      <w:pPr>
        <w:spacing w:line="360" w:lineRule="auto"/>
        <w:rPr>
          <w:bCs/>
        </w:rPr>
      </w:pPr>
      <w:r>
        <w:rPr>
          <w:bCs/>
        </w:rPr>
        <w:t>Allereerst zal er een weergave worden gegeven van artikel 10a Wet VpB. Deze bestaat uit een uiteenzetting van de centrale gedachte achter artikel 10a alsmede de werking van de wettekst en de invulling die aan de daarin besloten kernbegrippen wordt gegeven door de wetgever, de rechterlijke macht en uitvoerende macht. Op deze wijze wordt het doel en de werking van artikel 10a inzichtelijk gemaakt zodat deze in het licht van de verdragsvrijheden kan worden beoordeeld. Omdat in dit onderzoek enkel zal worden ingegaan op de EU-rechtelijke aspecten van artikel 10a, zal er geen aandacht worden besteed aan de inhoudelijke overwegingen omtrent de criteria die artikel 10a hanteert, echter enkel aan de uitwerking die deze hebben in de praktijk. Dit omdat enkel het effect van de bepaling van belang is voor het vaststellen van een eventuele strijdigheid.</w:t>
      </w:r>
    </w:p>
    <w:p w:rsidR="00652D1F" w:rsidRDefault="00652D1F" w:rsidP="005E3382">
      <w:pPr>
        <w:spacing w:line="360" w:lineRule="auto"/>
        <w:rPr>
          <w:bCs/>
        </w:rPr>
      </w:pPr>
    </w:p>
    <w:p w:rsidR="00652D1F" w:rsidRDefault="00652D1F" w:rsidP="00AC0BC5">
      <w:pPr>
        <w:spacing w:line="360" w:lineRule="auto"/>
        <w:rPr>
          <w:bCs/>
        </w:rPr>
      </w:pPr>
      <w:r>
        <w:rPr>
          <w:bCs/>
        </w:rPr>
        <w:t>Nadat is vastgesteld hoe artikel 10a functioneert zal artikel 10a worden getoetst volgens het beslisschema van het Hof van Justitie (hierna: HvJ EG)</w:t>
      </w:r>
      <w:r>
        <w:rPr>
          <w:rStyle w:val="Voetnootmarkering"/>
          <w:bCs/>
        </w:rPr>
        <w:footnoteReference w:id="2"/>
      </w:r>
      <w:r>
        <w:rPr>
          <w:bCs/>
        </w:rPr>
        <w:t>, ten einde vast te stellen of artikel 10a voldoet aan de vereisten van de verdragsvrijheden.</w:t>
      </w:r>
      <w:r>
        <w:rPr>
          <w:rStyle w:val="Voetnootmarkering"/>
          <w:bCs/>
        </w:rPr>
        <w:footnoteReference w:id="3"/>
      </w:r>
      <w:r>
        <w:rPr>
          <w:bCs/>
        </w:rPr>
        <w:t xml:space="preserve"> Dit beslisschema bestaat uit de volgende stappen;</w:t>
      </w:r>
    </w:p>
    <w:p w:rsidR="00652D1F" w:rsidRDefault="00652D1F" w:rsidP="00AC0BC5">
      <w:pPr>
        <w:spacing w:line="360" w:lineRule="auto"/>
        <w:rPr>
          <w:bCs/>
        </w:rPr>
      </w:pPr>
    </w:p>
    <w:p w:rsidR="00652D1F" w:rsidRDefault="00652D1F" w:rsidP="00AC0BC5">
      <w:pPr>
        <w:pStyle w:val="Lijstalinea"/>
        <w:numPr>
          <w:ilvl w:val="0"/>
          <w:numId w:val="4"/>
        </w:numPr>
        <w:spacing w:line="360" w:lineRule="auto"/>
        <w:rPr>
          <w:bCs/>
        </w:rPr>
      </w:pPr>
      <w:r>
        <w:rPr>
          <w:bCs/>
        </w:rPr>
        <w:t>Is er toegang tot het Verdrag betreffende de werking van de Europese Unie (hierna: VwEU) in de gevallen waar artikel 10a op ziet?</w:t>
      </w:r>
    </w:p>
    <w:p w:rsidR="00652D1F" w:rsidRDefault="00652D1F" w:rsidP="00BA384B">
      <w:pPr>
        <w:pStyle w:val="Lijstalinea"/>
        <w:numPr>
          <w:ilvl w:val="0"/>
          <w:numId w:val="4"/>
        </w:numPr>
        <w:spacing w:line="360" w:lineRule="auto"/>
        <w:rPr>
          <w:bCs/>
        </w:rPr>
      </w:pPr>
      <w:r>
        <w:rPr>
          <w:bCs/>
        </w:rPr>
        <w:t>Zo ja; is er sprake van een belemmering ten gevolge van de toepassing van artikel 10a?</w:t>
      </w:r>
    </w:p>
    <w:p w:rsidR="00652D1F" w:rsidRDefault="00652D1F" w:rsidP="00AC0BC5">
      <w:pPr>
        <w:pStyle w:val="Lijstalinea"/>
        <w:numPr>
          <w:ilvl w:val="0"/>
          <w:numId w:val="4"/>
        </w:numPr>
        <w:spacing w:line="360" w:lineRule="auto"/>
        <w:rPr>
          <w:bCs/>
        </w:rPr>
      </w:pPr>
      <w:r>
        <w:rPr>
          <w:bCs/>
        </w:rPr>
        <w:t>Zo ja; bestaat er een rechtvaardigingsgrond voor de aanwezige belemmering?</w:t>
      </w:r>
    </w:p>
    <w:p w:rsidR="00652D1F" w:rsidRDefault="00652D1F" w:rsidP="00D376E4">
      <w:pPr>
        <w:pStyle w:val="Lijstalinea"/>
        <w:numPr>
          <w:ilvl w:val="0"/>
          <w:numId w:val="4"/>
        </w:numPr>
        <w:spacing w:line="360" w:lineRule="auto"/>
        <w:rPr>
          <w:bCs/>
        </w:rPr>
      </w:pPr>
      <w:r>
        <w:rPr>
          <w:bCs/>
        </w:rPr>
        <w:t>Zo ja; voldoet de belemmering aan het noodzakelijkheidsbeginsel?</w:t>
      </w:r>
    </w:p>
    <w:p w:rsidR="00652D1F" w:rsidRDefault="00652D1F" w:rsidP="00D376E4">
      <w:pPr>
        <w:pStyle w:val="Lijstalinea"/>
        <w:numPr>
          <w:ilvl w:val="0"/>
          <w:numId w:val="4"/>
        </w:numPr>
        <w:spacing w:line="360" w:lineRule="auto"/>
        <w:rPr>
          <w:bCs/>
        </w:rPr>
      </w:pPr>
      <w:r>
        <w:rPr>
          <w:bCs/>
        </w:rPr>
        <w:t xml:space="preserve">Zo ja; voldoet de belemmering aan het proportionaliteitsbeginsel? </w:t>
      </w:r>
    </w:p>
    <w:p w:rsidR="00652D1F" w:rsidRDefault="00652D1F" w:rsidP="00AC0BC5">
      <w:pPr>
        <w:spacing w:line="360" w:lineRule="auto"/>
        <w:rPr>
          <w:bCs/>
        </w:rPr>
      </w:pPr>
    </w:p>
    <w:p w:rsidR="00652D1F" w:rsidRDefault="00652D1F" w:rsidP="00D376E4">
      <w:pPr>
        <w:spacing w:line="360" w:lineRule="auto"/>
        <w:rPr>
          <w:bCs/>
        </w:rPr>
      </w:pPr>
      <w:r>
        <w:rPr>
          <w:bCs/>
        </w:rPr>
        <w:t>Dit schema wordt gebruikt als basis voor dit onderzoek, omdat het de wijze van toetsing is die het HvJ EG aanwendt om de eventuele strijdigheid van een bepaling vast te stellen. De oorsprong van deze toetsingswijze ligt in het arrest van het HvJ EG Cassis de Dijon.</w:t>
      </w:r>
      <w:r>
        <w:rPr>
          <w:rStyle w:val="Voetnootmarkering"/>
          <w:bCs/>
        </w:rPr>
        <w:footnoteReference w:id="4"/>
      </w:r>
      <w:r>
        <w:rPr>
          <w:bCs/>
        </w:rPr>
        <w:t xml:space="preserve"> Mijns inziens is dit de enige juiste wijze om dit vast te stellen, aangezien het HvJ EG in de EU de hoogste autoriteit is op het gebied van de uitlegging van de verdragsvrijheden en de vaststelling van eventuele daarmee strijdige nationale wetsbepalingen van de lidstaten. Deze bevoegdheid van het HvJ EG vloeit voort uit hetgeen is vastgelegd in artikel 267 VwEU. In stap vier zal ook de wijze waarop de bewijslast in EU verband dient te worden verdeeld worden besproken. De bovenstaande stappen zullen, met uitzondering van stappen vier en vijf welke worden gevoegd, allemaal een apart hoofdstuk omvatten en aldaar verder worden uitgelegd. Dit zal worden gevolgd door een conclusie waarin uitsluitsel zal worden gegeven met betrekking tot de probleemstelling.</w:t>
      </w:r>
    </w:p>
    <w:p w:rsidR="00652D1F" w:rsidRDefault="00652D1F" w:rsidP="00143984">
      <w:pPr>
        <w:spacing w:line="360" w:lineRule="auto"/>
        <w:rPr>
          <w:bCs/>
        </w:rPr>
      </w:pPr>
    </w:p>
    <w:p w:rsidR="00652D1F" w:rsidRDefault="00652D1F" w:rsidP="00D376E4">
      <w:pPr>
        <w:spacing w:line="360" w:lineRule="auto"/>
        <w:rPr>
          <w:bCs/>
        </w:rPr>
      </w:pPr>
      <w:r>
        <w:rPr>
          <w:bCs/>
        </w:rPr>
        <w:t>De hoofdstukindeling kan derhalve als volgt worden vastgesteld;</w:t>
      </w:r>
    </w:p>
    <w:p w:rsidR="00652D1F" w:rsidRDefault="00652D1F" w:rsidP="00AC0BC5">
      <w:pPr>
        <w:spacing w:line="360" w:lineRule="auto"/>
        <w:rPr>
          <w:bCs/>
        </w:rPr>
      </w:pPr>
    </w:p>
    <w:p w:rsidR="00652D1F" w:rsidRDefault="00652D1F" w:rsidP="005D0493">
      <w:pPr>
        <w:spacing w:line="360" w:lineRule="auto"/>
        <w:ind w:left="360"/>
        <w:rPr>
          <w:bCs/>
        </w:rPr>
      </w:pPr>
      <w:r>
        <w:rPr>
          <w:bCs/>
        </w:rPr>
        <w:t>Hfst. 2. Artikel 10a van de Wet op de Vennootschapsbelasting 1969,</w:t>
      </w:r>
    </w:p>
    <w:p w:rsidR="00652D1F" w:rsidRDefault="00652D1F" w:rsidP="005D0493">
      <w:pPr>
        <w:spacing w:line="360" w:lineRule="auto"/>
        <w:ind w:left="360"/>
      </w:pPr>
      <w:r>
        <w:rPr>
          <w:bCs/>
        </w:rPr>
        <w:t xml:space="preserve">Hfst. 3. </w:t>
      </w:r>
      <w:r w:rsidRPr="005D0493">
        <w:t>Toegang tot het Verdrag betreffende de werking van de Europese Unie</w:t>
      </w:r>
      <w:r>
        <w:t>,</w:t>
      </w:r>
    </w:p>
    <w:p w:rsidR="00652D1F" w:rsidRPr="005D0493" w:rsidRDefault="00652D1F" w:rsidP="005D0493">
      <w:pPr>
        <w:spacing w:line="360" w:lineRule="auto"/>
        <w:ind w:left="360"/>
      </w:pPr>
      <w:r w:rsidRPr="005D0493">
        <w:t>Hfst. 4. Vaststelling eventuele belemmering</w:t>
      </w:r>
      <w:r>
        <w:t>,</w:t>
      </w:r>
    </w:p>
    <w:p w:rsidR="00652D1F" w:rsidRPr="005D0493" w:rsidRDefault="00652D1F" w:rsidP="005D0493">
      <w:pPr>
        <w:spacing w:line="360" w:lineRule="auto"/>
        <w:ind w:left="360"/>
      </w:pPr>
      <w:r w:rsidRPr="005D0493">
        <w:t>Hfst. 5. Rechtvaardigingsgronden</w:t>
      </w:r>
      <w:r>
        <w:t>,</w:t>
      </w:r>
    </w:p>
    <w:p w:rsidR="00652D1F" w:rsidRPr="005D0493" w:rsidRDefault="00652D1F" w:rsidP="005D0493">
      <w:pPr>
        <w:spacing w:line="360" w:lineRule="auto"/>
        <w:ind w:left="360"/>
      </w:pPr>
      <w:r w:rsidRPr="005D0493">
        <w:t>Hfst. 6. Het evenredigheidsbeginsel en artikel 10a</w:t>
      </w:r>
      <w:r>
        <w:t>,</w:t>
      </w:r>
    </w:p>
    <w:p w:rsidR="00652D1F" w:rsidRPr="005D0493" w:rsidRDefault="00652D1F" w:rsidP="005D0493">
      <w:pPr>
        <w:spacing w:line="360" w:lineRule="auto"/>
        <w:ind w:left="360"/>
      </w:pPr>
      <w:r w:rsidRPr="005D0493">
        <w:t>Hfst. 7. Conclusie</w:t>
      </w:r>
      <w:r>
        <w:t>.</w:t>
      </w:r>
    </w:p>
    <w:p w:rsidR="00652D1F" w:rsidRDefault="00652D1F" w:rsidP="005D0493">
      <w:pPr>
        <w:spacing w:line="360" w:lineRule="auto"/>
        <w:ind w:left="360"/>
      </w:pPr>
    </w:p>
    <w:p w:rsidR="00652D1F" w:rsidRDefault="00652D1F" w:rsidP="005D0493">
      <w:pPr>
        <w:spacing w:line="360" w:lineRule="auto"/>
        <w:ind w:left="360"/>
        <w:rPr>
          <w:bCs/>
        </w:rPr>
      </w:pPr>
    </w:p>
    <w:p w:rsidR="00652D1F" w:rsidRPr="005D0493" w:rsidRDefault="00652D1F" w:rsidP="005D0493">
      <w:pPr>
        <w:spacing w:line="360" w:lineRule="auto"/>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r>
        <w:rPr>
          <w:b/>
          <w:bCs/>
          <w:u w:val="single"/>
        </w:rPr>
        <w:t>2 Artikel 10a van de Wet op de Vennootschapsbelasting 1969</w:t>
      </w:r>
    </w:p>
    <w:p w:rsidR="00652D1F" w:rsidRPr="00347436" w:rsidRDefault="00652D1F" w:rsidP="00AC0BC5">
      <w:pPr>
        <w:spacing w:line="360" w:lineRule="auto"/>
        <w:rPr>
          <w:b/>
          <w:bCs/>
          <w:u w:val="single"/>
        </w:rPr>
      </w:pPr>
    </w:p>
    <w:p w:rsidR="00652D1F" w:rsidRPr="00347436" w:rsidRDefault="00652D1F" w:rsidP="00AC0BC5">
      <w:pPr>
        <w:spacing w:line="360" w:lineRule="auto"/>
        <w:rPr>
          <w:b/>
          <w:bCs/>
          <w:u w:val="single"/>
        </w:rPr>
      </w:pPr>
      <w:r>
        <w:rPr>
          <w:b/>
          <w:bCs/>
          <w:u w:val="single"/>
        </w:rPr>
        <w:t xml:space="preserve">2.1 </w:t>
      </w:r>
      <w:r w:rsidRPr="00347436">
        <w:rPr>
          <w:b/>
          <w:bCs/>
          <w:u w:val="single"/>
        </w:rPr>
        <w:t>Centrale gedachte artikel 10a</w:t>
      </w:r>
    </w:p>
    <w:p w:rsidR="00652D1F" w:rsidRPr="00347436" w:rsidRDefault="00652D1F" w:rsidP="00AC0BC5">
      <w:pPr>
        <w:spacing w:line="360" w:lineRule="auto"/>
        <w:rPr>
          <w:b/>
          <w:bCs/>
          <w:u w:val="single"/>
        </w:rPr>
      </w:pPr>
    </w:p>
    <w:p w:rsidR="00652D1F" w:rsidRDefault="00652D1F" w:rsidP="00D376E4">
      <w:pPr>
        <w:spacing w:line="360" w:lineRule="auto"/>
      </w:pPr>
      <w:r w:rsidRPr="00347436">
        <w:t>De centrale ge</w:t>
      </w:r>
      <w:r>
        <w:t>dachte achter artikel 10a</w:t>
      </w:r>
      <w:r w:rsidRPr="00347436">
        <w:t xml:space="preserve"> Wet </w:t>
      </w:r>
      <w:r>
        <w:t>VpB</w:t>
      </w:r>
      <w:r w:rsidRPr="00347436">
        <w:t xml:space="preserve"> vindt </w:t>
      </w:r>
      <w:r>
        <w:t>haar</w:t>
      </w:r>
      <w:r w:rsidRPr="00347436">
        <w:t xml:space="preserve"> oorsprong in de</w:t>
      </w:r>
      <w:r>
        <w:t xml:space="preserve"> toepassing, door de Hoge Raad, van de</w:t>
      </w:r>
      <w:r w:rsidRPr="00347436">
        <w:t xml:space="preserve"> ‘fraus legis’-jurisprudentie </w:t>
      </w:r>
      <w:r>
        <w:t xml:space="preserve">in het geval van zogenoemde </w:t>
      </w:r>
      <w:r w:rsidRPr="00347436">
        <w:t>renteaftrekconstructies</w:t>
      </w:r>
      <w:r>
        <w:t>. Dit valt af te leiden uit de uitdrukkelijke koppeling die de wetgever hiermee maakt in de bespreking van het wetsvoorstel.</w:t>
      </w:r>
      <w:r>
        <w:rPr>
          <w:rStyle w:val="Voetnootmarkering"/>
        </w:rPr>
        <w:footnoteReference w:id="5"/>
      </w:r>
      <w:r w:rsidRPr="00347436">
        <w:t xml:space="preserve"> De vaststelling van fraus legis v</w:t>
      </w:r>
      <w:r>
        <w:t>ereist twee elementen, het norm</w:t>
      </w:r>
      <w:r w:rsidRPr="00347436">
        <w:t>vereiste, de uitkomst van de handelingen is in strijd met doel en strekking van de wet</w:t>
      </w:r>
      <w:r>
        <w:t>,</w:t>
      </w:r>
      <w:r w:rsidRPr="00347436">
        <w:t xml:space="preserve"> alsmede het motiefvereiste, de belastingplichtige had met zijn handelen als doel het verijdelen van de belastingheffing</w:t>
      </w:r>
      <w:r>
        <w:t>.</w:t>
      </w:r>
      <w:r w:rsidRPr="00347436">
        <w:rPr>
          <w:rStyle w:val="Voetnootmarkering"/>
        </w:rPr>
        <w:footnoteReference w:id="6"/>
      </w:r>
      <w:r w:rsidRPr="00347436">
        <w:t xml:space="preserve"> De wetgever wenste door middel van de codificatie van deze jurisprudentie “</w:t>
      </w:r>
      <w:r w:rsidRPr="00C52C64">
        <w:rPr>
          <w:i/>
          <w:iCs/>
        </w:rPr>
        <w:t>duidelijkheid en rechtszekerheid</w:t>
      </w:r>
      <w:r w:rsidRPr="00347436">
        <w:t>”</w:t>
      </w:r>
      <w:r w:rsidRPr="00347436">
        <w:rPr>
          <w:rStyle w:val="Voetnootmarkering"/>
        </w:rPr>
        <w:footnoteReference w:id="7"/>
      </w:r>
      <w:r w:rsidRPr="00347436">
        <w:t xml:space="preserve"> te creëren met betrekking tot de toelaatbaarheid van </w:t>
      </w:r>
      <w:r w:rsidR="00BA759D">
        <w:t>fiscale aftrek van rentebetalingen</w:t>
      </w:r>
      <w:r w:rsidRPr="00347436">
        <w:t xml:space="preserve"> </w:t>
      </w:r>
      <w:r w:rsidR="00BA759D">
        <w:t>wanneer het</w:t>
      </w:r>
      <w:r w:rsidRPr="00347436">
        <w:t xml:space="preserve"> vermoeden van belastingverijdeling </w:t>
      </w:r>
      <w:r>
        <w:t>zou kunnen bestaan</w:t>
      </w:r>
      <w:r w:rsidRPr="00347436">
        <w:t>.</w:t>
      </w:r>
    </w:p>
    <w:p w:rsidR="00652D1F" w:rsidRDefault="00652D1F" w:rsidP="00AC0BC5">
      <w:pPr>
        <w:spacing w:line="360" w:lineRule="auto"/>
      </w:pPr>
    </w:p>
    <w:p w:rsidR="00652D1F" w:rsidRPr="00347436" w:rsidRDefault="00652D1F" w:rsidP="00D376E4">
      <w:pPr>
        <w:spacing w:line="360" w:lineRule="auto"/>
      </w:pPr>
      <w:r w:rsidRPr="00347436">
        <w:t xml:space="preserve">De </w:t>
      </w:r>
      <w:r>
        <w:t>allereerste</w:t>
      </w:r>
      <w:r w:rsidRPr="00347436">
        <w:t xml:space="preserve"> toepassing van het ‘fraus legis’-vraagstuk op </w:t>
      </w:r>
      <w:r>
        <w:t>renteaftrek</w:t>
      </w:r>
      <w:r w:rsidRPr="00347436">
        <w:t xml:space="preserve"> bevindt zich in BNB 1989/217</w:t>
      </w:r>
      <w:r>
        <w:t>.</w:t>
      </w:r>
      <w:r>
        <w:rPr>
          <w:rStyle w:val="Voetnootmarkering"/>
        </w:rPr>
        <w:footnoteReference w:id="8"/>
      </w:r>
      <w:r w:rsidRPr="00347436">
        <w:t xml:space="preserve"> Hierin vond een verhanging binnen een groep van vennootsch</w:t>
      </w:r>
      <w:r>
        <w:t xml:space="preserve">appen plaats, </w:t>
      </w:r>
      <w:r w:rsidR="00342D59">
        <w:t>materieel deed zich daarbij geen verandering voor ten aanzien van de uiteindelijke zeggenschap</w:t>
      </w:r>
      <w:r w:rsidRPr="00347436">
        <w:t xml:space="preserve">. De Hoge Raad </w:t>
      </w:r>
      <w:r>
        <w:t>overwoog dat het oordeel van</w:t>
      </w:r>
      <w:r w:rsidRPr="00347436">
        <w:t xml:space="preserve"> Hof</w:t>
      </w:r>
      <w:r>
        <w:t xml:space="preserve"> Amsterdam,</w:t>
      </w:r>
      <w:r w:rsidRPr="00347436">
        <w:t xml:space="preserve"> dat hieruit viel af te leiden “</w:t>
      </w:r>
      <w:r w:rsidRPr="00C52C64">
        <w:rPr>
          <w:i/>
          <w:iCs/>
        </w:rPr>
        <w:t>dat de doorslaggevende reden voor genoemde transacties de verijdeling van de heffing van vennootschapsbelasting is geweest</w:t>
      </w:r>
      <w:r w:rsidRPr="00347436">
        <w:t>”</w:t>
      </w:r>
      <w:r w:rsidRPr="00347436">
        <w:rPr>
          <w:rStyle w:val="Voetnootmarkering"/>
        </w:rPr>
        <w:footnoteReference w:id="9"/>
      </w:r>
      <w:r>
        <w:t>,</w:t>
      </w:r>
      <w:r w:rsidRPr="00347436">
        <w:t xml:space="preserve"> een juiste gevolgtrekking was. De Hoge Raad bevestigde dat het toestaan van aftrek in dergelijke situaties in </w:t>
      </w:r>
      <w:r w:rsidR="00342D59">
        <w:t>zou druisen tegen</w:t>
      </w:r>
      <w:r w:rsidRPr="00347436">
        <w:t xml:space="preserve"> doel en strekking van artikel 7 van de Wet </w:t>
      </w:r>
      <w:r>
        <w:t>VpB</w:t>
      </w:r>
      <w:r w:rsidRPr="00347436">
        <w:t>. Zulks zou namelijk tot gevolg hebben “</w:t>
      </w:r>
      <w:r w:rsidRPr="00C52C64">
        <w:rPr>
          <w:i/>
          <w:iCs/>
        </w:rPr>
        <w:t>dat een naamloze of besloten vennootschap naar willekeur aanzienlijke bedragen als rente ten laste van haar winst zou kunnen brengen en aldus de heffing van de vennootschapsbelasting geheel of gedeeltelijk zou kunnen verijdelen door - desgewenst herhaaldelijk - zonder dat zulks betekenis zou hebben voor haar vermogenspositie dan wel voor de vermogenspositie of de zeggenschap van degenen bij wie het belang in haar berust, overeenkomstig bedoelde constructie te handelen</w:t>
      </w:r>
      <w:r w:rsidRPr="00347436">
        <w:t>.”</w:t>
      </w:r>
      <w:r w:rsidRPr="00347436">
        <w:rPr>
          <w:rStyle w:val="Voetnootmarkering"/>
        </w:rPr>
        <w:footnoteReference w:id="10"/>
      </w:r>
    </w:p>
    <w:p w:rsidR="00652D1F" w:rsidRPr="00347436" w:rsidRDefault="00652D1F" w:rsidP="00AC0BC5">
      <w:pPr>
        <w:spacing w:line="360" w:lineRule="auto"/>
      </w:pPr>
    </w:p>
    <w:p w:rsidR="00652D1F" w:rsidRPr="00347436" w:rsidRDefault="00652D1F" w:rsidP="00AC0BC5">
      <w:pPr>
        <w:spacing w:line="360" w:lineRule="auto"/>
      </w:pPr>
      <w:r w:rsidRPr="00347436">
        <w:t xml:space="preserve">Echter, naar blijkt uit BNB 1993/196, kon een compenserende heffing </w:t>
      </w:r>
      <w:r>
        <w:t>over de desbetreffende rentebetalingen het gewekte</w:t>
      </w:r>
      <w:r w:rsidRPr="00347436">
        <w:t xml:space="preserve"> vermoeden van belastingverijdeling wegnemen</w:t>
      </w:r>
      <w:r>
        <w:t>.</w:t>
      </w:r>
      <w:r w:rsidRPr="00347436">
        <w:rPr>
          <w:rStyle w:val="Voetnootmarkering"/>
        </w:rPr>
        <w:footnoteReference w:id="11"/>
      </w:r>
      <w:r w:rsidRPr="00347436">
        <w:t xml:space="preserve"> Meer in het bijzonder, de verrekening van deze rentebetalingen met compensabele verliezen stond niet in de weg aan de onderworpenh</w:t>
      </w:r>
      <w:r>
        <w:t>eid van deze rentebetalingen en was</w:t>
      </w:r>
      <w:r w:rsidRPr="00347436">
        <w:t xml:space="preserve"> derhalve volgens de Hoge Raad geen reden om de </w:t>
      </w:r>
      <w:r>
        <w:t xml:space="preserve">aanwezigheid </w:t>
      </w:r>
      <w:r w:rsidRPr="00347436">
        <w:t xml:space="preserve">van belastingontwijking </w:t>
      </w:r>
      <w:r>
        <w:t>te constateren. Hof Amsterdam overwoog hieromtrent;</w:t>
      </w:r>
      <w:r w:rsidRPr="00347436">
        <w:t xml:space="preserve"> “</w:t>
      </w:r>
      <w:r w:rsidRPr="00C52C64">
        <w:rPr>
          <w:i/>
          <w:iCs/>
          <w:lang w:eastAsia="nl-NL"/>
        </w:rPr>
        <w:t>indien een belastingplichtig lichaam dat verliezen geleden heeft, ernaar streeft door het aantrekken van positieve winstbestanddelen de verrekening van die verliezen te bespoedigen en althans verdamping van die verliezen te voorkomen, komt zulks niet in strijd met de strekking van de verliescompensatie. De betaling van de rente door belanghebbende kan dan ook niet met doel en strekking van de wet in strijd geoordeeld worden</w:t>
      </w:r>
      <w:r w:rsidRPr="00347436">
        <w:rPr>
          <w:lang w:eastAsia="nl-NL"/>
        </w:rPr>
        <w:t>.”</w:t>
      </w:r>
      <w:r w:rsidRPr="00347436">
        <w:rPr>
          <w:rStyle w:val="Voetnootmarkering"/>
          <w:lang w:eastAsia="nl-NL"/>
        </w:rPr>
        <w:footnoteReference w:id="12"/>
      </w:r>
      <w:r>
        <w:rPr>
          <w:lang w:eastAsia="nl-NL"/>
        </w:rPr>
        <w:t xml:space="preserve"> Voorgaande geldt, naar blijkt uit BNB 1996/5, ook voor de verrek</w:t>
      </w:r>
      <w:r w:rsidR="00342D59">
        <w:rPr>
          <w:lang w:eastAsia="nl-NL"/>
        </w:rPr>
        <w:t>ening van buitenlandse aanspraken</w:t>
      </w:r>
      <w:r>
        <w:rPr>
          <w:lang w:eastAsia="nl-NL"/>
        </w:rPr>
        <w:t>.</w:t>
      </w:r>
      <w:r>
        <w:rPr>
          <w:rStyle w:val="Voetnootmarkering"/>
          <w:lang w:eastAsia="nl-NL"/>
        </w:rPr>
        <w:footnoteReference w:id="13"/>
      </w:r>
    </w:p>
    <w:p w:rsidR="00652D1F" w:rsidRPr="00347436" w:rsidRDefault="00652D1F" w:rsidP="00AC0BC5">
      <w:pPr>
        <w:spacing w:line="360" w:lineRule="auto"/>
      </w:pPr>
    </w:p>
    <w:p w:rsidR="00652D1F" w:rsidRPr="00347436" w:rsidRDefault="00652D1F" w:rsidP="00FA4904">
      <w:pPr>
        <w:spacing w:line="360" w:lineRule="auto"/>
      </w:pPr>
      <w:r w:rsidRPr="00347436">
        <w:t xml:space="preserve"> Artikel</w:t>
      </w:r>
      <w:r>
        <w:t xml:space="preserve"> 10a verwerkt ook de op fraus legis</w:t>
      </w:r>
      <w:r w:rsidRPr="00347436">
        <w:t xml:space="preserve"> geïnspireerde</w:t>
      </w:r>
      <w:r w:rsidRPr="00347436">
        <w:rPr>
          <w:rStyle w:val="Voetnootmarkering"/>
        </w:rPr>
        <w:footnoteReference w:id="14"/>
      </w:r>
      <w:r w:rsidRPr="00347436">
        <w:t xml:space="preserve"> </w:t>
      </w:r>
      <w:r>
        <w:t>‘verschillende wegen’-</w:t>
      </w:r>
      <w:r w:rsidRPr="00347436">
        <w:t>leer</w:t>
      </w:r>
      <w:r>
        <w:t>.</w:t>
      </w:r>
      <w:r w:rsidRPr="00347436">
        <w:rPr>
          <w:rStyle w:val="Voetnootmarkering"/>
        </w:rPr>
        <w:footnoteReference w:id="15"/>
      </w:r>
      <w:r w:rsidRPr="00347436">
        <w:t xml:space="preserve"> De ‘fraus-legis’-jurisprudentie wenst in beginsel namelijk enkel een beoogde constructie van renteaftrek uit te sluiten op het moment dat deze als geheel van rechtshandelingen op </w:t>
      </w:r>
      <w:r>
        <w:t>fiscale motieven</w:t>
      </w:r>
      <w:r w:rsidRPr="00347436">
        <w:t xml:space="preserve"> berust. De </w:t>
      </w:r>
      <w:r>
        <w:t>‘verschillende wegen’-</w:t>
      </w:r>
      <w:r w:rsidRPr="00347436">
        <w:t>leer past dit princip</w:t>
      </w:r>
      <w:r>
        <w:t>e echter op elk individueel onderdeel</w:t>
      </w:r>
      <w:r w:rsidRPr="00347436">
        <w:t xml:space="preserve"> van een </w:t>
      </w:r>
      <w:r>
        <w:t>structuur toe.</w:t>
      </w:r>
      <w:r w:rsidR="00342D59">
        <w:rPr>
          <w:rStyle w:val="Voetnootmarkering"/>
        </w:rPr>
        <w:footnoteReference w:id="16"/>
      </w:r>
      <w:r w:rsidRPr="00347436">
        <w:t xml:space="preserve"> </w:t>
      </w:r>
      <w:r>
        <w:t>Dit element vindt men terug in</w:t>
      </w:r>
      <w:r w:rsidRPr="00347436">
        <w:t xml:space="preserve"> de dubbele zakelijkheid</w:t>
      </w:r>
      <w:r>
        <w:t>s</w:t>
      </w:r>
      <w:r w:rsidRPr="00347436">
        <w:t xml:space="preserve">toets van artikel 10a. </w:t>
      </w:r>
      <w:r>
        <w:t>Oftewel i</w:t>
      </w:r>
      <w:r w:rsidRPr="00347436">
        <w:t xml:space="preserve">n de woorden van de Hoge Raad in </w:t>
      </w:r>
      <w:r>
        <w:t>zijn arrest</w:t>
      </w:r>
      <w:r w:rsidRPr="00347436">
        <w:t xml:space="preserve"> BNB 1996/4; </w:t>
      </w:r>
      <w:r w:rsidRPr="00347436">
        <w:rPr>
          <w:color w:val="000000"/>
        </w:rPr>
        <w:t>"</w:t>
      </w:r>
      <w:r w:rsidRPr="00C52C64">
        <w:rPr>
          <w:i/>
          <w:iCs/>
          <w:color w:val="000000"/>
        </w:rPr>
        <w:t>De omstandigheid dat een samenstel van rechtshandelingen, in zijn geheel bezien, strekt ter verwezenlijking van zakelijk gefundeerde doeleinden, sluit niet uit dat daarin rechtshandelingen zijn begrepen die voor het bereiken van de doeleinden niet noodzakelijk zijn en die - indien zij voor de heffing van de vennootschapsbelasting zouden worden aanvaard - zouden leiden tot een willekeurige en voortdurende verijdeling van deze heffing</w:t>
      </w:r>
      <w:r w:rsidRPr="00347436">
        <w:rPr>
          <w:color w:val="000000"/>
        </w:rPr>
        <w:t>."</w:t>
      </w:r>
      <w:r w:rsidRPr="00347436">
        <w:rPr>
          <w:rStyle w:val="Voetnootmarkering"/>
          <w:color w:val="000000"/>
        </w:rPr>
        <w:footnoteReference w:id="17"/>
      </w:r>
      <w:r w:rsidRPr="00347436">
        <w:rPr>
          <w:color w:val="000000"/>
        </w:rPr>
        <w:t xml:space="preserve"> Zoals expliciet is be</w:t>
      </w:r>
      <w:r>
        <w:rPr>
          <w:color w:val="000000"/>
        </w:rPr>
        <w:t>vestigd in ‘Werken aan de Winst’</w:t>
      </w:r>
      <w:r>
        <w:rPr>
          <w:rStyle w:val="Voetnootmarkering"/>
          <w:color w:val="000000"/>
        </w:rPr>
        <w:footnoteReference w:id="18"/>
      </w:r>
      <w:r>
        <w:rPr>
          <w:color w:val="000000"/>
        </w:rPr>
        <w:t>,</w:t>
      </w:r>
      <w:r w:rsidRPr="00347436">
        <w:rPr>
          <w:color w:val="000000"/>
        </w:rPr>
        <w:t xml:space="preserve"> is het enkele zakelijke doel van de rechtshandeling niet voldoende, de weg daarna toe, oftewel de lening, dient dat ook te zijn. </w:t>
      </w:r>
      <w:r>
        <w:rPr>
          <w:color w:val="000000"/>
        </w:rPr>
        <w:t xml:space="preserve">Dit betekent echter niet dat bij elke handeling de fiscaal </w:t>
      </w:r>
      <w:r w:rsidR="008560A0">
        <w:rPr>
          <w:color w:val="000000"/>
        </w:rPr>
        <w:t>mist voordelige vormgeving dient te worden verkozen.</w:t>
      </w:r>
      <w:r w:rsidR="008560A0">
        <w:rPr>
          <w:rStyle w:val="Voetnootmarkering"/>
          <w:color w:val="000000"/>
        </w:rPr>
        <w:footnoteReference w:id="19"/>
      </w:r>
      <w:r>
        <w:rPr>
          <w:color w:val="000000"/>
        </w:rPr>
        <w:t xml:space="preserve"> De belanghebbende behoudt zijn keuzevrijheid</w:t>
      </w:r>
      <w:r w:rsidR="00BA759D">
        <w:rPr>
          <w:color w:val="000000"/>
        </w:rPr>
        <w:t>, echter</w:t>
      </w:r>
      <w:r>
        <w:rPr>
          <w:color w:val="000000"/>
        </w:rPr>
        <w:t xml:space="preserve"> dient</w:t>
      </w:r>
      <w:r w:rsidR="00BA759D">
        <w:rPr>
          <w:color w:val="000000"/>
        </w:rPr>
        <w:t xml:space="preserve"> hij</w:t>
      </w:r>
      <w:r>
        <w:rPr>
          <w:color w:val="000000"/>
        </w:rPr>
        <w:t xml:space="preserve"> deze wel in overeenstemming met doel en strekking van de wet uit te oefenen.</w:t>
      </w:r>
      <w:r>
        <w:rPr>
          <w:rStyle w:val="Voetnootmarkering"/>
          <w:color w:val="000000"/>
        </w:rPr>
        <w:footnoteReference w:id="20"/>
      </w: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r>
        <w:rPr>
          <w:b/>
          <w:bCs/>
          <w:u w:val="single"/>
        </w:rPr>
        <w:t>2.2 Toepassingsbereik</w:t>
      </w:r>
    </w:p>
    <w:p w:rsidR="00652D1F" w:rsidRDefault="00652D1F" w:rsidP="00AC0BC5">
      <w:pPr>
        <w:spacing w:line="360" w:lineRule="auto"/>
        <w:rPr>
          <w:b/>
          <w:bCs/>
          <w:u w:val="single"/>
        </w:rPr>
      </w:pPr>
    </w:p>
    <w:p w:rsidR="00652D1F" w:rsidRDefault="00652D1F" w:rsidP="00AC0BC5">
      <w:pPr>
        <w:spacing w:line="360" w:lineRule="auto"/>
        <w:rPr>
          <w:bCs/>
        </w:rPr>
      </w:pPr>
      <w:r>
        <w:rPr>
          <w:bCs/>
        </w:rPr>
        <w:t>Artikel 10a</w:t>
      </w:r>
      <w:r w:rsidRPr="008B47EE">
        <w:rPr>
          <w:bCs/>
        </w:rPr>
        <w:t xml:space="preserve"> kan i</w:t>
      </w:r>
      <w:r>
        <w:rPr>
          <w:bCs/>
        </w:rPr>
        <w:t>n beginsel van toepassing zijn op ieder lichaam dat binnenlands dan wel buitenlands belastingplichtig is voor de Nederlandse winstbelasting, welke wordt geheven uit hoofde van de Wet VpB. Nederlandse vennootschapsbelastingplichtigen worden vervolgens via artikel 7 van deze wet blootgesteld aan de werking van artikel 10a, terwijl dit voor buitenlands belastingplichtigen plaatsheeft via artikel 17. Buitenlandse belastingplichtigen, in tegenstelling tot binnenlands belastingplichtigen, vallen enkel met betrekking tot rentebetalingen die samengehangen met hun in Nederland gedreven ondernemingen, als verwoord in artikel 17 jo. 17a, onder het toepassingsbereik van artikel 10a. Nederlands vennootschapsbelastingplichtigen worden uit hoofde van artikel 2 lid 5 Wet VpB geacht een onderneming te drijven met hun gehele vermogen.</w:t>
      </w:r>
    </w:p>
    <w:p w:rsidR="00652D1F" w:rsidRDefault="00652D1F" w:rsidP="00AC0BC5">
      <w:pPr>
        <w:spacing w:line="360" w:lineRule="auto"/>
        <w:rPr>
          <w:bCs/>
        </w:rPr>
      </w:pPr>
    </w:p>
    <w:p w:rsidR="009E3A91" w:rsidRDefault="009E3A91" w:rsidP="00AC0BC5">
      <w:pPr>
        <w:spacing w:line="360" w:lineRule="auto"/>
        <w:rPr>
          <w:bCs/>
        </w:rPr>
      </w:pPr>
    </w:p>
    <w:p w:rsidR="009E3A91" w:rsidRDefault="009E3A91" w:rsidP="00AC0BC5">
      <w:pPr>
        <w:spacing w:line="360" w:lineRule="auto"/>
        <w:rPr>
          <w:bCs/>
        </w:rPr>
      </w:pPr>
    </w:p>
    <w:p w:rsidR="009E3A91" w:rsidRDefault="009E3A91" w:rsidP="00AC0BC5">
      <w:pPr>
        <w:spacing w:line="360" w:lineRule="auto"/>
        <w:rPr>
          <w:bCs/>
        </w:rPr>
      </w:pPr>
    </w:p>
    <w:p w:rsidR="009E3A91" w:rsidRDefault="009E3A91" w:rsidP="00AC0BC5">
      <w:pPr>
        <w:spacing w:line="360" w:lineRule="auto"/>
        <w:rPr>
          <w:bCs/>
        </w:rPr>
      </w:pPr>
    </w:p>
    <w:p w:rsidR="00652D1F" w:rsidRPr="008B47EE" w:rsidRDefault="00652D1F" w:rsidP="00AC0BC5">
      <w:pPr>
        <w:spacing w:line="360" w:lineRule="auto"/>
        <w:rPr>
          <w:b/>
          <w:bCs/>
          <w:u w:val="single"/>
        </w:rPr>
      </w:pPr>
      <w:r>
        <w:rPr>
          <w:b/>
          <w:bCs/>
          <w:u w:val="single"/>
        </w:rPr>
        <w:t xml:space="preserve">2.3 </w:t>
      </w:r>
      <w:r w:rsidRPr="008B47EE">
        <w:rPr>
          <w:b/>
          <w:bCs/>
          <w:u w:val="single"/>
        </w:rPr>
        <w:t>Werking art 10a</w:t>
      </w:r>
      <w:r>
        <w:rPr>
          <w:b/>
          <w:bCs/>
          <w:u w:val="single"/>
        </w:rPr>
        <w:t xml:space="preserve"> van de Wet op de Vennootschapsbelasting</w:t>
      </w:r>
    </w:p>
    <w:p w:rsidR="00652D1F" w:rsidRPr="008B47EE" w:rsidRDefault="00652D1F" w:rsidP="00AC0BC5">
      <w:pPr>
        <w:spacing w:line="360" w:lineRule="auto"/>
      </w:pPr>
    </w:p>
    <w:p w:rsidR="00652D1F" w:rsidRPr="00347436" w:rsidRDefault="00652D1F" w:rsidP="00AC0BC5">
      <w:pPr>
        <w:spacing w:line="360" w:lineRule="auto"/>
      </w:pPr>
      <w:r w:rsidRPr="00347436">
        <w:t>Artikel 10a bepaalt dat de rente verbandhoudende met</w:t>
      </w:r>
      <w:r>
        <w:t xml:space="preserve"> een ‘besmette’ schuldverhouding</w:t>
      </w:r>
      <w:r w:rsidRPr="00347436">
        <w:t xml:space="preserve"> alsmede de daarmee samenhangende kosten en valutaresultaten niet in aftrek van de belastbare winst mogen worden gebracht. Aan de term ‘schuldverhouding’, naar blijkt uit BNB 2010/215, dient een materiële invulling te worden gegeven</w:t>
      </w:r>
      <w:r>
        <w:t>.</w:t>
      </w:r>
      <w:r w:rsidRPr="00347436">
        <w:rPr>
          <w:rStyle w:val="Voetnootmarkering"/>
        </w:rPr>
        <w:footnoteReference w:id="21"/>
      </w:r>
      <w:r w:rsidRPr="00347436">
        <w:t xml:space="preserve"> Een schuldverhouding wordt in principe ‘besmet’ geacht als deze voldoet aan </w:t>
      </w:r>
      <w:r>
        <w:t xml:space="preserve">de volgende </w:t>
      </w:r>
      <w:r w:rsidRPr="00347436">
        <w:t>twee voorwaarden;</w:t>
      </w:r>
    </w:p>
    <w:p w:rsidR="00652D1F" w:rsidRPr="00347436" w:rsidRDefault="00652D1F" w:rsidP="00AC0BC5">
      <w:pPr>
        <w:spacing w:line="360" w:lineRule="auto"/>
      </w:pPr>
      <w:r w:rsidRPr="00347436">
        <w:t xml:space="preserve"> </w:t>
      </w:r>
    </w:p>
    <w:p w:rsidR="00652D1F" w:rsidRPr="00347436" w:rsidRDefault="00BA759D" w:rsidP="00BA759D">
      <w:pPr>
        <w:spacing w:line="360" w:lineRule="auto"/>
        <w:ind w:left="720" w:hanging="720"/>
      </w:pPr>
      <w:r>
        <w:t>1.</w:t>
      </w:r>
      <w:r>
        <w:tab/>
      </w:r>
      <w:r w:rsidR="00652D1F" w:rsidRPr="00347436">
        <w:t>De schuldverhouding dient rechtens dan wel in feite direct of indirect te bestaan ten opzichte van een verbonden lichaam</w:t>
      </w:r>
      <w:r w:rsidR="00652D1F">
        <w:t xml:space="preserve"> dan wel natuurlijk persoon</w:t>
      </w:r>
      <w:r w:rsidR="00652D1F" w:rsidRPr="00347436">
        <w:rPr>
          <w:rStyle w:val="Voetnootmarkering"/>
        </w:rPr>
        <w:footnoteReference w:id="22"/>
      </w:r>
      <w:r w:rsidR="00652D1F" w:rsidRPr="00347436">
        <w:t>; en</w:t>
      </w:r>
      <w:r w:rsidR="00652D1F">
        <w:t>,</w:t>
      </w:r>
    </w:p>
    <w:p w:rsidR="00652D1F" w:rsidRPr="00347436" w:rsidRDefault="00BA759D" w:rsidP="00BA759D">
      <w:pPr>
        <w:spacing w:line="360" w:lineRule="auto"/>
        <w:ind w:left="720" w:hanging="720"/>
      </w:pPr>
      <w:r>
        <w:t>2.</w:t>
      </w:r>
      <w:r>
        <w:tab/>
      </w:r>
      <w:r w:rsidR="00652D1F" w:rsidRPr="00347436">
        <w:t>de schuldverhouding dient rechtens dan wel in feite direct of indirect verband te houden met een ‘besmettende’ rechtshandeling.</w:t>
      </w:r>
      <w:r w:rsidR="00652D1F">
        <w:rPr>
          <w:rStyle w:val="Voetnootmarkering"/>
        </w:rPr>
        <w:footnoteReference w:id="23"/>
      </w:r>
    </w:p>
    <w:p w:rsidR="00652D1F" w:rsidRPr="00347436" w:rsidRDefault="00652D1F" w:rsidP="00AC0BC5">
      <w:pPr>
        <w:spacing w:line="360" w:lineRule="auto"/>
      </w:pPr>
      <w:r w:rsidRPr="00347436">
        <w:t xml:space="preserve"> </w:t>
      </w:r>
    </w:p>
    <w:p w:rsidR="00652D1F" w:rsidRPr="00347436" w:rsidRDefault="00652D1F" w:rsidP="00D376E4">
      <w:pPr>
        <w:spacing w:line="360" w:lineRule="auto"/>
      </w:pPr>
      <w:r>
        <w:t xml:space="preserve">Ad 1. </w:t>
      </w:r>
      <w:r w:rsidRPr="00347436">
        <w:t xml:space="preserve">Het gebruik van de zinsnede </w:t>
      </w:r>
      <w:r>
        <w:t>‘</w:t>
      </w:r>
      <w:r w:rsidRPr="00347436">
        <w:t>rechtens dan wel in feite direct of indirect verschuldigd/verb</w:t>
      </w:r>
      <w:r>
        <w:t>onden</w:t>
      </w:r>
      <w:r w:rsidRPr="00347436">
        <w:t xml:space="preserve"> met</w:t>
      </w:r>
      <w:r>
        <w:t>’</w:t>
      </w:r>
      <w:r w:rsidRPr="00347436">
        <w:t xml:space="preserve"> impliceert dat er een </w:t>
      </w:r>
      <w:r w:rsidRPr="007D096A">
        <w:t>materiële toetsing van de verschuldigdheid/verbondenheid dient plaats te vinden.</w:t>
      </w:r>
      <w:r w:rsidRPr="007D096A">
        <w:rPr>
          <w:rStyle w:val="Voetnootmarkering"/>
        </w:rPr>
        <w:footnoteReference w:id="24"/>
      </w:r>
      <w:r w:rsidRPr="00347436">
        <w:t xml:space="preserve"> </w:t>
      </w:r>
      <w:r>
        <w:t xml:space="preserve">Gevallen </w:t>
      </w:r>
      <w:r w:rsidR="00F33566">
        <w:t>waarbij derden worden tussengeschakeld of waarin</w:t>
      </w:r>
      <w:r w:rsidRPr="00347436">
        <w:t xml:space="preserve"> vermomde dividenduitkeringen </w:t>
      </w:r>
      <w:r>
        <w:t xml:space="preserve">worden toegepast </w:t>
      </w:r>
      <w:r w:rsidRPr="00347436">
        <w:t xml:space="preserve">zullen derhalve ook </w:t>
      </w:r>
      <w:r>
        <w:t>door</w:t>
      </w:r>
      <w:r w:rsidRPr="00347436">
        <w:t xml:space="preserve"> dit artikel </w:t>
      </w:r>
      <w:r>
        <w:t xml:space="preserve">in de kraag </w:t>
      </w:r>
      <w:r w:rsidRPr="00347436">
        <w:t>worden gevat</w:t>
      </w:r>
      <w:r>
        <w:t>.</w:t>
      </w:r>
      <w:r>
        <w:rPr>
          <w:rStyle w:val="Voetnootmarkering"/>
        </w:rPr>
        <w:footnoteReference w:id="25"/>
      </w:r>
      <w:r w:rsidRPr="00347436">
        <w:t xml:space="preserve"> Daarentegen, </w:t>
      </w:r>
      <w:r w:rsidRPr="009E3A91">
        <w:t>in het geval dat een schuldverhouding formeel tot stand komt ten opzichte van een verbonden partij, waarbij er parallelliteit bestaat met een externe lening, zal deze als extern ingewonnen worden beschouwd,</w:t>
      </w:r>
      <w:r w:rsidRPr="00347436">
        <w:t xml:space="preserve"> ten gevolge waarvan deze bij de toepassing van art</w:t>
      </w:r>
      <w:r>
        <w:t>.</w:t>
      </w:r>
      <w:r w:rsidRPr="00347436">
        <w:t xml:space="preserve"> 10a buiten schot zal blijven</w:t>
      </w:r>
      <w:r>
        <w:t>.</w:t>
      </w:r>
      <w:r w:rsidRPr="00347436">
        <w:rPr>
          <w:rStyle w:val="Voetnootmarkering"/>
        </w:rPr>
        <w:footnoteReference w:id="26"/>
      </w:r>
      <w:r w:rsidRPr="00F81DA6">
        <w:t xml:space="preserve"> </w:t>
      </w:r>
      <w:r>
        <w:t>Op de invulling van ‘direct of indirect’ in de context van het begrip ‘verband’ wordt in het vervolg nog teruggekomen.</w:t>
      </w:r>
    </w:p>
    <w:p w:rsidR="00652D1F" w:rsidRDefault="00652D1F" w:rsidP="00AC0BC5">
      <w:pPr>
        <w:spacing w:line="360" w:lineRule="auto"/>
      </w:pPr>
      <w:r w:rsidRPr="00347436">
        <w:t xml:space="preserve"> </w:t>
      </w:r>
    </w:p>
    <w:p w:rsidR="00652D1F" w:rsidRPr="00347436" w:rsidRDefault="00652D1F" w:rsidP="00AC0BC5">
      <w:pPr>
        <w:spacing w:line="360" w:lineRule="auto"/>
      </w:pPr>
      <w:r w:rsidRPr="00347436">
        <w:t>Lid 4 en lid 5 van art</w:t>
      </w:r>
      <w:r>
        <w:t>.</w:t>
      </w:r>
      <w:r w:rsidRPr="00347436">
        <w:t xml:space="preserve"> 10a geven invulling aan het verbondenheid</w:t>
      </w:r>
      <w:r>
        <w:t>s</w:t>
      </w:r>
      <w:r w:rsidRPr="00347436">
        <w:t>criterium. Hiervan is</w:t>
      </w:r>
      <w:r>
        <w:t>,</w:t>
      </w:r>
      <w:r w:rsidRPr="00347436">
        <w:t xml:space="preserve"> in het geval van lichamen</w:t>
      </w:r>
      <w:r>
        <w:t>,</w:t>
      </w:r>
      <w:r w:rsidRPr="00347436">
        <w:t xml:space="preserve"> sprake als</w:t>
      </w:r>
      <w:r>
        <w:t xml:space="preserve"> een van de lichamen</w:t>
      </w:r>
      <w:r w:rsidRPr="00347436">
        <w:t xml:space="preserve"> een derde belang in het andere lichaam houdt of voor een derde door het andere lichaam wordt gehouden. Ook is er sprake van v</w:t>
      </w:r>
      <w:r>
        <w:t>erbondenheid tussen twee lichamen</w:t>
      </w:r>
      <w:r w:rsidRPr="00347436">
        <w:t xml:space="preserve"> als beide</w:t>
      </w:r>
      <w:r>
        <w:t>n</w:t>
      </w:r>
      <w:r w:rsidRPr="00347436">
        <w:t xml:space="preserve"> voor minimaal een derde door hetzelfde lichaam</w:t>
      </w:r>
      <w:r>
        <w:t xml:space="preserve"> dan wel natuurlijk persoon worden</w:t>
      </w:r>
      <w:r w:rsidRPr="00347436">
        <w:t xml:space="preserve"> gehou</w:t>
      </w:r>
      <w:r>
        <w:t>den alsmede bij lichamen die s</w:t>
      </w:r>
      <w:r w:rsidRPr="00347436">
        <w:t>amen zijn gevoegd in een fiscale eenheid. Verbondenheid tussen een lichaam en een natuurlijk persoon bestaat als deze natuurlijke persoon minimaal een belang van een derde heeft in het lichaam zelf dan wel in een daarmee verbonden lichaam.</w:t>
      </w:r>
    </w:p>
    <w:p w:rsidR="00652D1F" w:rsidRPr="00347436" w:rsidRDefault="00652D1F" w:rsidP="00AC0BC5">
      <w:pPr>
        <w:spacing w:line="360" w:lineRule="auto"/>
      </w:pPr>
      <w:r w:rsidRPr="00347436">
        <w:t xml:space="preserve"> </w:t>
      </w:r>
    </w:p>
    <w:p w:rsidR="00652D1F" w:rsidRPr="00347436" w:rsidRDefault="00652D1F" w:rsidP="00D376E4">
      <w:pPr>
        <w:spacing w:line="360" w:lineRule="auto"/>
      </w:pPr>
      <w:r w:rsidRPr="00347436">
        <w:t>Aan de term belang dient in deze context een materiële invulling te worden gegeven</w:t>
      </w:r>
      <w:r w:rsidRPr="00347436">
        <w:rPr>
          <w:rStyle w:val="Voetnootmarkering"/>
        </w:rPr>
        <w:footnoteReference w:id="27"/>
      </w:r>
      <w:r>
        <w:t>;</w:t>
      </w:r>
      <w:r w:rsidRPr="00347436">
        <w:t xml:space="preserve"> dit kan derhalve zowel een indirect dan wel direct belang in het geplaatste </w:t>
      </w:r>
      <w:r>
        <w:t>of</w:t>
      </w:r>
      <w:r w:rsidRPr="00347436">
        <w:t xml:space="preserve"> gestorte kapitaal omvatten</w:t>
      </w:r>
      <w:r>
        <w:t>.</w:t>
      </w:r>
      <w:r w:rsidRPr="00347436">
        <w:rPr>
          <w:rStyle w:val="Voetnootmarkering"/>
        </w:rPr>
        <w:footnoteReference w:id="28"/>
      </w:r>
      <w:r w:rsidRPr="00347436">
        <w:t xml:space="preserve"> Het ontbreken van een van de</w:t>
      </w:r>
      <w:r>
        <w:t>ze</w:t>
      </w:r>
      <w:r w:rsidRPr="00347436">
        <w:t xml:space="preserve"> twee </w:t>
      </w:r>
      <w:r>
        <w:t>elementen betekent echter</w:t>
      </w:r>
      <w:r w:rsidRPr="00347436">
        <w:t xml:space="preserve"> niet dat er sprake is van onvoldoende belang</w:t>
      </w:r>
      <w:r>
        <w:t>.</w:t>
      </w:r>
      <w:r w:rsidRPr="00347436">
        <w:rPr>
          <w:rStyle w:val="Voetnootmarkering"/>
        </w:rPr>
        <w:footnoteReference w:id="29"/>
      </w:r>
      <w:r w:rsidRPr="00347436">
        <w:t xml:space="preserve"> Ook moeten</w:t>
      </w:r>
      <w:r>
        <w:t>,</w:t>
      </w:r>
      <w:r w:rsidRPr="00347436">
        <w:t xml:space="preserve"> volgens de </w:t>
      </w:r>
      <w:r>
        <w:t>Staatssecretaris,</w:t>
      </w:r>
      <w:r w:rsidRPr="00347436">
        <w:t xml:space="preserve"> bij de bepaling van het belang fiscaal </w:t>
      </w:r>
      <w:r>
        <w:t>ge</w:t>
      </w:r>
      <w:r w:rsidRPr="00347436">
        <w:t>herkwalificeerde leningen worden betrokken</w:t>
      </w:r>
      <w:r>
        <w:t>.</w:t>
      </w:r>
      <w:r w:rsidRPr="00347436">
        <w:rPr>
          <w:rStyle w:val="Voetnootmarkering"/>
        </w:rPr>
        <w:footnoteReference w:id="30"/>
      </w:r>
      <w:r w:rsidRPr="00347436">
        <w:t xml:space="preserve"> In het geval van vennootschappen zonder een in aandelen verdeeld kapitaal dient</w:t>
      </w:r>
      <w:r>
        <w:t>,</w:t>
      </w:r>
      <w:r w:rsidRPr="00347436">
        <w:t xml:space="preserve"> er</w:t>
      </w:r>
      <w:r>
        <w:t>,</w:t>
      </w:r>
      <w:r w:rsidRPr="00347436">
        <w:t xml:space="preserve"> volgens de</w:t>
      </w:r>
      <w:r>
        <w:t xml:space="preserve"> Staatssecretaris, te worden aan</w:t>
      </w:r>
      <w:r w:rsidRPr="00347436">
        <w:t>gesloten bij criteria zoals bijvoorbeeld “</w:t>
      </w:r>
      <w:r w:rsidRPr="00D93EF6">
        <w:rPr>
          <w:i/>
          <w:iCs/>
        </w:rPr>
        <w:t>de statuten, huishoudelijk reglement en andere afgeleide regelingen (bijv. een winstreglement)</w:t>
      </w:r>
      <w:r w:rsidRPr="00347436">
        <w:t>”</w:t>
      </w:r>
      <w:r>
        <w:t>.</w:t>
      </w:r>
      <w:r w:rsidRPr="00347436">
        <w:rPr>
          <w:rStyle w:val="Voetnootmarkering"/>
        </w:rPr>
        <w:footnoteReference w:id="31"/>
      </w:r>
      <w:r w:rsidRPr="00347436">
        <w:t xml:space="preserve"> </w:t>
      </w:r>
      <w:r>
        <w:t>Het is overigens niet vereist dat er beide een financieel belang wordt gehouden alsmede zeggenschap bestaat om verbondenheid te kunnen constateren.</w:t>
      </w:r>
      <w:r>
        <w:rPr>
          <w:rStyle w:val="Voetnootmarkering"/>
        </w:rPr>
        <w:footnoteReference w:id="32"/>
      </w:r>
      <w:r>
        <w:t xml:space="preserve"> </w:t>
      </w:r>
      <w:r w:rsidRPr="00347436">
        <w:t xml:space="preserve">In het geval van verbondenheid met natuurlijke personen dient eenzelfde materiële toetsing plaats te vinden als bij verbondenheid bij lichamen onderling. Deze materiële toetsing vloeit mijns inziens ook logisch voort uit de centrale gedachte achter artikel 10a, het voorkomen dat verscheidene </w:t>
      </w:r>
      <w:r>
        <w:t>belanghebbende</w:t>
      </w:r>
      <w:r w:rsidRPr="00347436">
        <w:t xml:space="preserve">n zich door middel van samenwerking ten onterechte </w:t>
      </w:r>
      <w:r>
        <w:t xml:space="preserve">fiscale </w:t>
      </w:r>
      <w:r w:rsidRPr="00347436">
        <w:t>voordelen kunnen toe-eigenen. In het geval dat er geen materieel</w:t>
      </w:r>
      <w:r>
        <w:t xml:space="preserve"> oftewel daadwerkelijk effectief</w:t>
      </w:r>
      <w:r w:rsidRPr="00347436">
        <w:t xml:space="preserve"> belang wordt gehouden is het uitoefenen van dergelijke invloed </w:t>
      </w:r>
      <w:r>
        <w:t xml:space="preserve">natuurlijk </w:t>
      </w:r>
      <w:r w:rsidRPr="00347436">
        <w:t>niet mogelijk. Men zou</w:t>
      </w:r>
      <w:r>
        <w:t xml:space="preserve"> zich wel kunnen afvragen of</w:t>
      </w:r>
      <w:r w:rsidRPr="00347436">
        <w:t xml:space="preserve"> deze regeling geen overkill bevat</w:t>
      </w:r>
      <w:r>
        <w:t xml:space="preserve">, aangezien zij reeds een derde </w:t>
      </w:r>
      <w:r w:rsidRPr="00347436">
        <w:t>belang in haar toepas</w:t>
      </w:r>
      <w:r>
        <w:t>sing betrekt</w:t>
      </w:r>
      <w:r>
        <w:rPr>
          <w:rStyle w:val="Voetnootmarkering"/>
        </w:rPr>
        <w:footnoteReference w:id="33"/>
      </w:r>
      <w:r>
        <w:t xml:space="preserve"> alsmede het feit dat het niet is vereist dat er een combinatie van financieel belang en zeggenschap bestaat. Daarentegen zal</w:t>
      </w:r>
      <w:r w:rsidRPr="00347436">
        <w:t xml:space="preserve"> artikel 10a in het geval er geen doorslaggevende invloed bestaat</w:t>
      </w:r>
      <w:r>
        <w:t>,</w:t>
      </w:r>
      <w:r w:rsidRPr="00347436">
        <w:t xml:space="preserve"> ten gevolge van een dergelijk belang</w:t>
      </w:r>
      <w:r>
        <w:t>,</w:t>
      </w:r>
      <w:r w:rsidRPr="00347436">
        <w:t xml:space="preserve"> buiten toepassing blijven</w:t>
      </w:r>
      <w:r>
        <w:t>. De reden hiervoor is dat</w:t>
      </w:r>
      <w:r w:rsidRPr="00347436">
        <w:t xml:space="preserve"> er voor de potentiële schuldenaar geen stimulans bestaat deze schuldverhouding te creëren.</w:t>
      </w:r>
    </w:p>
    <w:p w:rsidR="00652D1F" w:rsidRPr="00347436" w:rsidRDefault="00652D1F" w:rsidP="00AC0BC5">
      <w:pPr>
        <w:spacing w:line="360" w:lineRule="auto"/>
      </w:pPr>
      <w:r w:rsidRPr="00347436">
        <w:t xml:space="preserve"> </w:t>
      </w:r>
    </w:p>
    <w:p w:rsidR="00652D1F" w:rsidRPr="00347436" w:rsidRDefault="00652D1F" w:rsidP="00AC0BC5">
      <w:pPr>
        <w:spacing w:line="360" w:lineRule="auto"/>
      </w:pPr>
      <w:r w:rsidRPr="00347436">
        <w:t xml:space="preserve"> </w:t>
      </w:r>
      <w:r>
        <w:t xml:space="preserve">Ad </w:t>
      </w:r>
      <w:r w:rsidRPr="00347436">
        <w:t xml:space="preserve">2. De ‘besmettende’ rechtshandelingen bestaan uit de onderstaande drie handelingen, zoals </w:t>
      </w:r>
      <w:r>
        <w:t xml:space="preserve">is </w:t>
      </w:r>
      <w:r w:rsidRPr="00347436">
        <w:t>omschreven in art 10 a lid 1 sub a, b en c;</w:t>
      </w:r>
    </w:p>
    <w:p w:rsidR="00652D1F" w:rsidRPr="00347436" w:rsidRDefault="00652D1F" w:rsidP="00AC0BC5">
      <w:pPr>
        <w:spacing w:line="360" w:lineRule="auto"/>
      </w:pPr>
      <w:r w:rsidRPr="00347436">
        <w:t xml:space="preserve"> </w:t>
      </w:r>
    </w:p>
    <w:p w:rsidR="00652D1F" w:rsidRPr="00347436" w:rsidRDefault="00652D1F" w:rsidP="00BA759D">
      <w:pPr>
        <w:spacing w:line="360" w:lineRule="auto"/>
        <w:ind w:left="720" w:hanging="720"/>
      </w:pPr>
      <w:r>
        <w:t xml:space="preserve">a. </w:t>
      </w:r>
      <w:r w:rsidR="00BA759D">
        <w:tab/>
      </w:r>
      <w:r w:rsidRPr="00347436">
        <w:t>een winstuitdeling of een teruggaaf van gestort kap</w:t>
      </w:r>
      <w:r>
        <w:t xml:space="preserve">itaal aan een met hem verbonden </w:t>
      </w:r>
      <w:r w:rsidRPr="00347436">
        <w:t xml:space="preserve">lichaam </w:t>
      </w:r>
      <w:r>
        <w:t>of verbonden natuurlijk persoon;</w:t>
      </w:r>
    </w:p>
    <w:p w:rsidR="00652D1F" w:rsidRPr="00347436" w:rsidRDefault="00652D1F" w:rsidP="00AC0BC5">
      <w:pPr>
        <w:spacing w:line="360" w:lineRule="auto"/>
      </w:pPr>
      <w:r>
        <w:t xml:space="preserve">b. </w:t>
      </w:r>
      <w:r w:rsidR="00BA759D">
        <w:tab/>
      </w:r>
      <w:r w:rsidRPr="00347436">
        <w:t>een kapitaalstorting door de belastingplichtige i</w:t>
      </w:r>
      <w:r>
        <w:t>n een met hem verbonden lichaam;</w:t>
      </w:r>
      <w:r w:rsidRPr="00347436">
        <w:t xml:space="preserve"> of</w:t>
      </w:r>
      <w:r>
        <w:t>,</w:t>
      </w:r>
      <w:r w:rsidRPr="00347436">
        <w:t xml:space="preserve"> </w:t>
      </w:r>
    </w:p>
    <w:p w:rsidR="00652D1F" w:rsidRPr="00347436" w:rsidRDefault="00652D1F" w:rsidP="00BA759D">
      <w:pPr>
        <w:spacing w:line="360" w:lineRule="auto"/>
        <w:ind w:left="720" w:hanging="720"/>
      </w:pPr>
      <w:r>
        <w:t xml:space="preserve">c. </w:t>
      </w:r>
      <w:r w:rsidR="00BA759D">
        <w:tab/>
      </w:r>
      <w:r w:rsidRPr="00347436">
        <w:t>de verwerving of uitbreiding van een belang door de belastingplichtige, in een lichaam dat na deze verwerving of uitbreiding een met hem verbonden lichaam is.</w:t>
      </w:r>
      <w:r>
        <w:rPr>
          <w:rStyle w:val="Voetnootmarkering"/>
        </w:rPr>
        <w:footnoteReference w:id="34"/>
      </w:r>
    </w:p>
    <w:p w:rsidR="00652D1F" w:rsidRPr="00347436" w:rsidRDefault="00652D1F" w:rsidP="00AC0BC5">
      <w:pPr>
        <w:spacing w:line="360" w:lineRule="auto"/>
      </w:pPr>
      <w:r w:rsidRPr="00347436">
        <w:t xml:space="preserve"> </w:t>
      </w:r>
    </w:p>
    <w:p w:rsidR="00652D1F" w:rsidRPr="00347436" w:rsidRDefault="00652D1F" w:rsidP="004E042D">
      <w:pPr>
        <w:spacing w:line="360" w:lineRule="auto"/>
      </w:pPr>
      <w:r w:rsidRPr="00347436">
        <w:t xml:space="preserve">Als een van deze rechtshandelingen wordt uitgevoerd </w:t>
      </w:r>
      <w:r>
        <w:t>“</w:t>
      </w:r>
      <w:r w:rsidRPr="0035059B">
        <w:rPr>
          <w:i/>
          <w:iCs/>
        </w:rPr>
        <w:t>door de belastingplichtige, door een met de belastingplichtige verbonden lichaam dat aan deze belasting is onderworpen of door een met hem verbonden natuurlijk persoon die in Nederland</w:t>
      </w:r>
      <w:r>
        <w:t>”</w:t>
      </w:r>
      <w:r>
        <w:rPr>
          <w:rStyle w:val="Voetnootmarkering"/>
        </w:rPr>
        <w:footnoteReference w:id="35"/>
      </w:r>
      <w:r>
        <w:t xml:space="preserve"> resideert, kan de daarmee verband</w:t>
      </w:r>
      <w:r w:rsidRPr="00347436">
        <w:t>houdende geldlening als ‘besmet’ worden aangemerkt.</w:t>
      </w:r>
    </w:p>
    <w:p w:rsidR="00652D1F" w:rsidRPr="00347436" w:rsidRDefault="00652D1F" w:rsidP="00AC0BC5">
      <w:pPr>
        <w:spacing w:line="360" w:lineRule="auto"/>
      </w:pPr>
      <w:r w:rsidRPr="00347436">
        <w:t xml:space="preserve"> </w:t>
      </w:r>
    </w:p>
    <w:p w:rsidR="00652D1F" w:rsidRPr="00347436" w:rsidRDefault="00652D1F" w:rsidP="0035059B">
      <w:pPr>
        <w:spacing w:line="360" w:lineRule="auto"/>
      </w:pPr>
      <w:r w:rsidRPr="00347436">
        <w:t xml:space="preserve">De vaststelling of er wel of </w:t>
      </w:r>
      <w:r>
        <w:t>geen</w:t>
      </w:r>
      <w:r w:rsidRPr="00347436">
        <w:t xml:space="preserve"> sprake is van een verband dient aan de hand van </w:t>
      </w:r>
      <w:r>
        <w:t>“alle relevante omstandigheden”</w:t>
      </w:r>
      <w:r>
        <w:rPr>
          <w:rStyle w:val="Voetnootmarkering"/>
        </w:rPr>
        <w:footnoteReference w:id="36"/>
      </w:r>
      <w:r w:rsidRPr="00347436">
        <w:t xml:space="preserve"> plaats te vinden. </w:t>
      </w:r>
      <w:r>
        <w:t>De bewijslast ligt in dit geval bij de</w:t>
      </w:r>
      <w:r w:rsidRPr="00347436">
        <w:t xml:space="preserve"> inspecteur</w:t>
      </w:r>
      <w:r>
        <w:t>, die derhalve</w:t>
      </w:r>
      <w:r w:rsidRPr="00347436">
        <w:t xml:space="preserve"> aannemelijk </w:t>
      </w:r>
      <w:r>
        <w:t>moet maken</w:t>
      </w:r>
      <w:r w:rsidRPr="00347436">
        <w:t xml:space="preserve"> dat er een mate van samenhang tussen de le</w:t>
      </w:r>
      <w:r>
        <w:t xml:space="preserve">ning en rechtshandeling </w:t>
      </w:r>
      <w:r w:rsidRPr="00D646D8">
        <w:t>bestaat. Factoren zoals tijd en voornemens kunnen hier een</w:t>
      </w:r>
      <w:r w:rsidR="008560A0" w:rsidRPr="00D646D8">
        <w:t xml:space="preserve"> belangrijke</w:t>
      </w:r>
      <w:r w:rsidRPr="00D646D8">
        <w:t xml:space="preserve">, echter niet per </w:t>
      </w:r>
      <w:r w:rsidR="008560A0" w:rsidRPr="00D646D8">
        <w:t>definitie</w:t>
      </w:r>
      <w:r w:rsidRPr="00D646D8">
        <w:t xml:space="preserve"> doorslaggevende, rol in spelen. Na de aanscherping van de formulering, bij de aanpassing welke intrad op 1 januari 2007, is een specifiek voornemen/direct verband niet langer vereist. Reeds het enkele tijdsverloop tussen de rechtshandelingen en bijvoorbeeld het aanwezig zijn van een financieringsbehoefte, zonder specifieke plannen hoe hierin dient te worden voorzien, kan</w:t>
      </w:r>
      <w:r>
        <w:t xml:space="preserve"> </w:t>
      </w:r>
      <w:r w:rsidRPr="00347436">
        <w:t>achteraf leiden tot het benodigde verband</w:t>
      </w:r>
      <w:r>
        <w:t>.</w:t>
      </w:r>
      <w:r w:rsidRPr="00347436">
        <w:rPr>
          <w:rStyle w:val="Voetnootmarkering"/>
        </w:rPr>
        <w:footnoteReference w:id="37"/>
      </w:r>
      <w:r w:rsidRPr="00347436">
        <w:t xml:space="preserve"> Deze intentie van de wetgever </w:t>
      </w:r>
      <w:r>
        <w:t>is</w:t>
      </w:r>
      <w:r w:rsidRPr="00347436">
        <w:t xml:space="preserve"> meer expliciet gemaakt door de toevoeging van het nieuwe tweede lid</w:t>
      </w:r>
      <w:r>
        <w:t>. Hier</w:t>
      </w:r>
      <w:r w:rsidRPr="00347436">
        <w:t xml:space="preserve">in </w:t>
      </w:r>
      <w:r>
        <w:t>is bepaald</w:t>
      </w:r>
      <w:r w:rsidRPr="00347436">
        <w:t xml:space="preserve"> dat een verband ook kan ontstaan als de lening is aangegaan na het u</w:t>
      </w:r>
      <w:r>
        <w:t>itvoeren van de r</w:t>
      </w:r>
      <w:r w:rsidR="008560A0">
        <w:t>echtshandeling. In onderdeel 2.4</w:t>
      </w:r>
      <w:r>
        <w:t xml:space="preserve"> zal verder worden ingegaan op de invulling van het begrip verband in de context van artikel 10a.</w:t>
      </w:r>
    </w:p>
    <w:p w:rsidR="008560A0" w:rsidRDefault="00652D1F" w:rsidP="00AC0BC5">
      <w:pPr>
        <w:spacing w:line="360" w:lineRule="auto"/>
      </w:pPr>
      <w:r w:rsidRPr="00347436">
        <w:t xml:space="preserve"> </w:t>
      </w:r>
    </w:p>
    <w:p w:rsidR="00652D1F" w:rsidRPr="00347436" w:rsidRDefault="00652D1F" w:rsidP="00AC0BC5">
      <w:pPr>
        <w:spacing w:line="360" w:lineRule="auto"/>
      </w:pPr>
      <w:r w:rsidRPr="00347436">
        <w:t>Ten einde aan de</w:t>
      </w:r>
      <w:r>
        <w:t>ze</w:t>
      </w:r>
      <w:r w:rsidRPr="00347436">
        <w:t xml:space="preserve"> beperking te ontkomen zijn er twee tegenbewijsmogelijkheden;</w:t>
      </w:r>
    </w:p>
    <w:p w:rsidR="00652D1F" w:rsidRDefault="00652D1F" w:rsidP="00AC0BC5">
      <w:pPr>
        <w:spacing w:line="360" w:lineRule="auto"/>
      </w:pPr>
      <w:r w:rsidRPr="00347436">
        <w:t xml:space="preserve"> </w:t>
      </w:r>
    </w:p>
    <w:p w:rsidR="00652D1F" w:rsidRPr="00347436" w:rsidRDefault="00A40884" w:rsidP="00A40884">
      <w:pPr>
        <w:spacing w:line="360" w:lineRule="auto"/>
        <w:ind w:left="720" w:hanging="720"/>
      </w:pPr>
      <w:r>
        <w:t>1.</w:t>
      </w:r>
      <w:r>
        <w:tab/>
      </w:r>
      <w:r w:rsidR="00652D1F" w:rsidRPr="00347436">
        <w:t>de belanghebbende kan aannemelij</w:t>
      </w:r>
      <w:r w:rsidR="00652D1F">
        <w:t>k</w:t>
      </w:r>
      <w:r w:rsidR="00652D1F" w:rsidRPr="00347436">
        <w:t xml:space="preserve"> maken dat</w:t>
      </w:r>
      <w:r w:rsidR="00652D1F">
        <w:t>,</w:t>
      </w:r>
      <w:r w:rsidR="00652D1F" w:rsidRPr="00347436">
        <w:t xml:space="preserve"> </w:t>
      </w:r>
      <w:r w:rsidR="00652D1F">
        <w:t>zowel aan</w:t>
      </w:r>
      <w:r w:rsidR="00652D1F" w:rsidRPr="00347436">
        <w:t xml:space="preserve"> de schuldverhouding als aan de rechtshandeling in overwegende mate</w:t>
      </w:r>
      <w:r w:rsidR="00652D1F" w:rsidRPr="00347436">
        <w:rPr>
          <w:rStyle w:val="Voetnootmarkering"/>
        </w:rPr>
        <w:footnoteReference w:id="38"/>
      </w:r>
      <w:r w:rsidR="00652D1F" w:rsidRPr="00347436">
        <w:t xml:space="preserve"> zakelijke overwegingen ten grondslag lagen; of</w:t>
      </w:r>
      <w:r w:rsidR="00652D1F">
        <w:t>,</w:t>
      </w:r>
    </w:p>
    <w:p w:rsidR="00652D1F" w:rsidRPr="00347436" w:rsidRDefault="00A40884" w:rsidP="00A40884">
      <w:pPr>
        <w:spacing w:line="360" w:lineRule="auto"/>
        <w:ind w:left="720" w:hanging="720"/>
      </w:pPr>
      <w:r>
        <w:t>2.</w:t>
      </w:r>
      <w:r>
        <w:tab/>
      </w:r>
      <w:r w:rsidR="00652D1F" w:rsidRPr="00347436">
        <w:t>dat er over de betaalde rente bij het ontvangende subject een compenserende heffing plaatsvindt die resulteert in naar Nederlandse maatstaven redelijke heffing van 10%</w:t>
      </w:r>
      <w:r w:rsidR="00652D1F">
        <w:t>.</w:t>
      </w:r>
      <w:r w:rsidR="00652D1F">
        <w:rPr>
          <w:rStyle w:val="Voetnootmarkering"/>
        </w:rPr>
        <w:footnoteReference w:id="39"/>
      </w:r>
    </w:p>
    <w:p w:rsidR="00652D1F" w:rsidRPr="00347436" w:rsidRDefault="00652D1F" w:rsidP="00AC0BC5">
      <w:pPr>
        <w:spacing w:line="360" w:lineRule="auto"/>
      </w:pPr>
      <w:r w:rsidRPr="00347436">
        <w:t xml:space="preserve"> </w:t>
      </w:r>
    </w:p>
    <w:p w:rsidR="00652D1F" w:rsidRPr="00347436" w:rsidRDefault="00652D1F" w:rsidP="00AC0BC5">
      <w:pPr>
        <w:spacing w:line="360" w:lineRule="auto"/>
      </w:pPr>
      <w:r w:rsidRPr="00347436">
        <w:t>De eerste tegenbewijsmogelijkheid vereist dubbele zakelijkheid, dit houdt in dat niet enkel de zakelijkheid van de schuldverhouding aannemelijk dient</w:t>
      </w:r>
      <w:r>
        <w:t xml:space="preserve"> te worden gemaakt, echter ook die</w:t>
      </w:r>
      <w:r w:rsidRPr="00347436">
        <w:t xml:space="preserve"> </w:t>
      </w:r>
      <w:r>
        <w:t xml:space="preserve">van de </w:t>
      </w:r>
      <w:r w:rsidRPr="00347436">
        <w:t>daarmee verbandhoudende rechtshandeling</w:t>
      </w:r>
      <w:r>
        <w:t>.</w:t>
      </w:r>
      <w:r w:rsidRPr="00347436">
        <w:rPr>
          <w:rStyle w:val="Voetnootmarkering"/>
        </w:rPr>
        <w:footnoteReference w:id="40"/>
      </w:r>
      <w:r w:rsidRPr="00347436">
        <w:t xml:space="preserve"> Aan beide handelingen </w:t>
      </w:r>
      <w:r>
        <w:t>behoren</w:t>
      </w:r>
      <w:r w:rsidRPr="00347436">
        <w:t xml:space="preserve"> aldus in overwegende mate zakelijke overw</w:t>
      </w:r>
      <w:r>
        <w:t>egingen ten grondslag te liggen. V</w:t>
      </w:r>
      <w:r w:rsidRPr="00347436">
        <w:t xml:space="preserve">olgens de </w:t>
      </w:r>
      <w:r>
        <w:t>Staatssecretaris</w:t>
      </w:r>
      <w:r w:rsidRPr="00347436">
        <w:t xml:space="preserve"> betekent dit dat de regeling niet enkel ziet op puur kunstmatige constructies</w:t>
      </w:r>
      <w:r>
        <w:t>.</w:t>
      </w:r>
      <w:r w:rsidRPr="00347436">
        <w:rPr>
          <w:rStyle w:val="Voetnootmarkering"/>
        </w:rPr>
        <w:footnoteReference w:id="41"/>
      </w:r>
      <w:r w:rsidRPr="00347436">
        <w:t xml:space="preserve"> Vooral in het kader van de schuldverhouding is het belangrijk om op te merken dat de zakelijkheidtoets niet is gericht op de zakelijkheid van de voorwaarden </w:t>
      </w:r>
      <w:r>
        <w:t xml:space="preserve">waaronder de schuldverhouding is aangegaan </w:t>
      </w:r>
      <w:r w:rsidRPr="00347436">
        <w:t>echter</w:t>
      </w:r>
      <w:r>
        <w:t>,</w:t>
      </w:r>
      <w:r w:rsidRPr="00347436">
        <w:t xml:space="preserve"> net zoals bij de daarmee verbandhoudende rechtshandeling</w:t>
      </w:r>
      <w:r>
        <w:t>,</w:t>
      </w:r>
      <w:r w:rsidRPr="00347436">
        <w:t xml:space="preserve"> op de ov</w:t>
      </w:r>
      <w:r>
        <w:t>erwegingen die ten grondslag la</w:t>
      </w:r>
      <w:r w:rsidRPr="00347436">
        <w:t>gen aan het aangaan van de schuldverhouding</w:t>
      </w:r>
      <w:r>
        <w:t>.</w:t>
      </w:r>
      <w:r w:rsidRPr="00347436">
        <w:rPr>
          <w:rStyle w:val="Voetnootmarkering"/>
        </w:rPr>
        <w:footnoteReference w:id="42"/>
      </w:r>
    </w:p>
    <w:p w:rsidR="00652D1F" w:rsidRPr="00347436" w:rsidRDefault="00652D1F" w:rsidP="00AC0BC5">
      <w:pPr>
        <w:spacing w:line="360" w:lineRule="auto"/>
      </w:pPr>
    </w:p>
    <w:p w:rsidR="00652D1F" w:rsidRPr="00347436" w:rsidRDefault="00652D1F" w:rsidP="007267EC">
      <w:pPr>
        <w:spacing w:line="360" w:lineRule="auto"/>
      </w:pPr>
      <w:r w:rsidRPr="00347436">
        <w:t xml:space="preserve">De </w:t>
      </w:r>
      <w:r>
        <w:t>Staatssecretaris</w:t>
      </w:r>
      <w:r w:rsidRPr="00347436">
        <w:t xml:space="preserve"> noemt als voorbeelden van zakelijke overwegingen</w:t>
      </w:r>
      <w:r>
        <w:t>,</w:t>
      </w:r>
      <w:r w:rsidRPr="00347436">
        <w:t xml:space="preserve"> </w:t>
      </w:r>
      <w:r>
        <w:t>onder andere,</w:t>
      </w:r>
      <w:r w:rsidRPr="00347436">
        <w:t xml:space="preserve"> bedrijfsopvolging</w:t>
      </w:r>
      <w:r w:rsidRPr="00347436">
        <w:rPr>
          <w:rStyle w:val="Voetnootmarkering"/>
        </w:rPr>
        <w:footnoteReference w:id="43"/>
      </w:r>
      <w:r>
        <w:t>,</w:t>
      </w:r>
      <w:r w:rsidRPr="00347436">
        <w:t xml:space="preserve"> een consistente dividend politiek (in het geval er ook derde aandeelhouders zijn) alsmede pa</w:t>
      </w:r>
      <w:r>
        <w:t>rallelliteit met betrekking tot</w:t>
      </w:r>
      <w:r w:rsidRPr="00347436">
        <w:t xml:space="preserve"> de lening</w:t>
      </w:r>
      <w:r>
        <w:t>.</w:t>
      </w:r>
      <w:r w:rsidRPr="00347436">
        <w:rPr>
          <w:rStyle w:val="Voetnootmarkering"/>
        </w:rPr>
        <w:footnoteReference w:id="44"/>
      </w:r>
      <w:r w:rsidRPr="00347436">
        <w:t xml:space="preserve"> De Hoge Raad lijkt voornamelijk belang te hechten aan </w:t>
      </w:r>
      <w:r>
        <w:t xml:space="preserve">het </w:t>
      </w:r>
      <w:r w:rsidRPr="00347436">
        <w:t>realite</w:t>
      </w:r>
      <w:r>
        <w:t>itsgehalte van de handeling ten</w:t>
      </w:r>
      <w:r w:rsidRPr="00347436">
        <w:t>einde een zakeli</w:t>
      </w:r>
      <w:r>
        <w:t>jk motief te kunnen vaststellen. D</w:t>
      </w:r>
      <w:r w:rsidRPr="00347436">
        <w:t>aarbij blijkt dat aandeelhoudersbelangen geenszins in alle gevallen als onzakelijk dienen te worden beschouwd</w:t>
      </w:r>
      <w:r>
        <w:t>.</w:t>
      </w:r>
      <w:r w:rsidRPr="00347436">
        <w:rPr>
          <w:rStyle w:val="Voetnootmarkering"/>
        </w:rPr>
        <w:footnoteReference w:id="45"/>
      </w:r>
      <w:r w:rsidR="008560A0">
        <w:t xml:space="preserve"> In onderdeel 2.4</w:t>
      </w:r>
      <w:r>
        <w:t xml:space="preserve"> zal er verder worden ingegaan op de begrippen zakelijke overwegingen en overwegende mate.</w:t>
      </w:r>
    </w:p>
    <w:p w:rsidR="00652D1F" w:rsidRPr="00347436" w:rsidRDefault="00652D1F" w:rsidP="00AC0BC5">
      <w:pPr>
        <w:spacing w:line="360" w:lineRule="auto"/>
      </w:pPr>
    </w:p>
    <w:p w:rsidR="00652D1F" w:rsidRDefault="00652D1F" w:rsidP="00AC0BC5">
      <w:pPr>
        <w:spacing w:line="360" w:lineRule="auto"/>
      </w:pPr>
      <w:r>
        <w:t>D</w:t>
      </w:r>
      <w:r w:rsidRPr="00347436">
        <w:t xml:space="preserve">e tweede tegenbewijsmogelijkheid geeft de belanghebbende de </w:t>
      </w:r>
      <w:r>
        <w:t>mogelijkheid</w:t>
      </w:r>
      <w:r w:rsidRPr="00347436">
        <w:t xml:space="preserve"> </w:t>
      </w:r>
      <w:r>
        <w:t xml:space="preserve">om </w:t>
      </w:r>
      <w:r w:rsidRPr="00347436">
        <w:t xml:space="preserve">aan te tonen dat </w:t>
      </w:r>
      <w:r>
        <w:t>de rentebetalingen bij de renteontvangende partij worden onderworpen aan een toereikende compenserende heffing naar de winst. In dat geval is er</w:t>
      </w:r>
      <w:r w:rsidRPr="00347436">
        <w:t xml:space="preserve"> vo</w:t>
      </w:r>
      <w:r>
        <w:t>lgens de wetgever namelijk geen sprake</w:t>
      </w:r>
      <w:r w:rsidRPr="00347436">
        <w:t xml:space="preserve"> van te bestrijden belastingontwijking. Art</w:t>
      </w:r>
      <w:r>
        <w:t>.</w:t>
      </w:r>
      <w:r w:rsidRPr="00347436">
        <w:t xml:space="preserve"> 10a lid 3 sub b stelt dat hiervoor vereist is dat er een heffing van minimaal 10% plaatsheeft over een naar Nederlandse maatstaven te bepalen winst. Dit impliceert dat grondslagafwijkingen tot een onvoldoende dan wel voldoende onderworpenheid kunnen leiden</w:t>
      </w:r>
      <w:r>
        <w:t>.</w:t>
      </w:r>
      <w:r w:rsidRPr="00347436">
        <w:rPr>
          <w:rStyle w:val="Voetnootmarkering"/>
        </w:rPr>
        <w:footnoteReference w:id="46"/>
      </w:r>
      <w:r w:rsidRPr="00347436">
        <w:t xml:space="preserve"> Verder dient er bij de </w:t>
      </w:r>
      <w:r>
        <w:t>bepaling van de onderworpenheid</w:t>
      </w:r>
      <w:r w:rsidRPr="00347436">
        <w:t xml:space="preserve"> acht te worden geslagen op eventuele verrekenbare verliezen </w:t>
      </w:r>
      <w:r>
        <w:t>van de renteontvangende partij. A</w:t>
      </w:r>
      <w:r w:rsidRPr="00347436">
        <w:t>rt</w:t>
      </w:r>
      <w:r>
        <w:t>ikel</w:t>
      </w:r>
      <w:r w:rsidRPr="00347436">
        <w:t xml:space="preserve"> 10a lid 3 sub b stelt </w:t>
      </w:r>
      <w:r>
        <w:t xml:space="preserve">namelijk </w:t>
      </w:r>
      <w:r w:rsidRPr="00347436">
        <w:t>dat er geen sprake mag zijn “</w:t>
      </w:r>
      <w:r w:rsidRPr="00D93EF6">
        <w:rPr>
          <w:i/>
          <w:iCs/>
        </w:rPr>
        <w:t>van verrekening van verliezen of andersoortige aanspraken uit jaren voorafgaande aan het jaar waarin de schuld is aangegaan</w:t>
      </w:r>
      <w:r w:rsidRPr="00347436">
        <w:t xml:space="preserve">” dan wel dat deze met oog op toekomstig verrekenbare verliezen </w:t>
      </w:r>
      <w:r>
        <w:t>of aanspraken is aangegaan. Met betrekking tot de laatst</w:t>
      </w:r>
      <w:r w:rsidRPr="00347436">
        <w:t>genoemde verliezen en aanspraken ligt de bewijslast bij de inspecteur</w:t>
      </w:r>
      <w:r>
        <w:t>.</w:t>
      </w:r>
      <w:r w:rsidRPr="00347436">
        <w:rPr>
          <w:rStyle w:val="Voetnootmarkering"/>
        </w:rPr>
        <w:footnoteReference w:id="47"/>
      </w:r>
      <w:r w:rsidRPr="00347436">
        <w:t xml:space="preserve"> Het </w:t>
      </w:r>
      <w:r>
        <w:t>is derhalve essentieel</w:t>
      </w:r>
      <w:r w:rsidRPr="00347436">
        <w:t xml:space="preserve"> “</w:t>
      </w:r>
      <w:r w:rsidRPr="00D93EF6">
        <w:rPr>
          <w:i/>
          <w:iCs/>
        </w:rPr>
        <w:t>dat er feitelijk over de rente wordt geheven</w:t>
      </w:r>
      <w:r w:rsidRPr="00347436">
        <w:t>”</w:t>
      </w:r>
      <w:r>
        <w:t>.</w:t>
      </w:r>
      <w:r w:rsidRPr="00347436">
        <w:rPr>
          <w:rStyle w:val="Voetnootmarkering"/>
        </w:rPr>
        <w:footnoteReference w:id="48"/>
      </w:r>
      <w:r w:rsidRPr="00347436">
        <w:t xml:space="preserve"> </w:t>
      </w:r>
      <w:r>
        <w:t>Deze wijze van toetsing behelst een aanscherping ten opzichte van de ‘fraus legis’- jurisprudentie, in deze was er namelijk aan het vereiste van een compenserende heffing voldaan wanneer het tarief en de grondslag toereikend waren. Dit was ook het geval wanneer er effectief geen heffing plaatshad ten gevolge van de aanwezigheid van compensabele verliezen bij het renteontvangende lichaam.</w:t>
      </w:r>
    </w:p>
    <w:p w:rsidR="00652D1F" w:rsidRDefault="00652D1F" w:rsidP="00AC0BC5">
      <w:pPr>
        <w:spacing w:line="360" w:lineRule="auto"/>
      </w:pPr>
    </w:p>
    <w:p w:rsidR="00652D1F" w:rsidRDefault="00652D1F" w:rsidP="007267EC">
      <w:pPr>
        <w:spacing w:line="360" w:lineRule="auto"/>
      </w:pPr>
      <w:r w:rsidRPr="00347436">
        <w:t xml:space="preserve">Als </w:t>
      </w:r>
      <w:r>
        <w:t>aangetoond kan worden dat</w:t>
      </w:r>
      <w:r w:rsidRPr="00347436">
        <w:t xml:space="preserve"> aan deze minimale heffing </w:t>
      </w:r>
      <w:r>
        <w:t>wordt voldaan</w:t>
      </w:r>
      <w:r w:rsidRPr="00347436">
        <w:t xml:space="preserve"> is </w:t>
      </w:r>
      <w:r>
        <w:t xml:space="preserve">de belanghebbende er nog niet van verzekerd dat </w:t>
      </w:r>
      <w:r w:rsidRPr="00347436">
        <w:t xml:space="preserve">artikel 10a niet zal worden toegepast. Artikel 10a lid 3 geeft de belastingdienst immers nog de mogelijkheid om aan te tonen dat aan de transacties in overwegende mate </w:t>
      </w:r>
      <w:r>
        <w:t xml:space="preserve">onzakelijke </w:t>
      </w:r>
      <w:r w:rsidRPr="00347436">
        <w:t>motieven ten grondslag l</w:t>
      </w:r>
      <w:r>
        <w:t>agen. In da</w:t>
      </w:r>
      <w:r w:rsidRPr="00347436">
        <w:t xml:space="preserve">t geval </w:t>
      </w:r>
      <w:r>
        <w:t xml:space="preserve">wordt de bewijslast </w:t>
      </w:r>
      <w:r w:rsidRPr="007D096A">
        <w:t>echter verschoven van de belanghebbende naar de inspecteur. Deze tegenbewijsmogelijkheid voor de belastinginspectie is in 2008 toegevoegd, omdat er volgens de Staatssecretaris, vanwege de harde grens van 10%, veel constructies werden opgezet die enkel vanwege fiscale motieven exact op deze grens gingen zitten.</w:t>
      </w:r>
      <w:r w:rsidRPr="007D096A">
        <w:rPr>
          <w:rStyle w:val="Voetnootmarkering"/>
        </w:rPr>
        <w:footnoteReference w:id="49"/>
      </w:r>
      <w:r w:rsidRPr="007D096A">
        <w:t xml:space="preserve"> Als voorbeelden hiervan noemde de Staatssecretaris constructies via Ierland en Cyprus welke respectievelijk een tarief van 12,5% en 10% hanteren bij de heffing van de winstbelasting.</w:t>
      </w:r>
    </w:p>
    <w:p w:rsidR="00652D1F" w:rsidRDefault="00652D1F" w:rsidP="00AC0BC5">
      <w:pPr>
        <w:spacing w:line="360" w:lineRule="auto"/>
      </w:pPr>
    </w:p>
    <w:p w:rsidR="00652D1F" w:rsidRDefault="00652D1F" w:rsidP="007F0076">
      <w:pPr>
        <w:spacing w:line="360" w:lineRule="auto"/>
      </w:pPr>
      <w:r>
        <w:t>Artikel 10a bewerkstelligt door middel van de bovenstaande omstandigheden een vermoeden van misbruik met betrekking tot de aftrek van rentebetalingen, welk vervolgens kan worden weerlegd door het aantonen van zakelijke overwegingen. Belangrijk is het om in deze op te merken dat de tegenbewijsmogelijkheid van een compenserende heffing geenszins een weerleggingsmogelijkheid inhoudt in de context van artikel 10a, maar een objectieve omstandigheid op basis waarvan de wetgever de aanwezigheid van misbruik vaststelt.</w:t>
      </w:r>
    </w:p>
    <w:p w:rsidR="00652D1F" w:rsidRDefault="00652D1F" w:rsidP="00AC0BC5">
      <w:pPr>
        <w:spacing w:line="360" w:lineRule="auto"/>
      </w:pPr>
    </w:p>
    <w:p w:rsidR="00652D1F" w:rsidRDefault="00652D1F" w:rsidP="00AC0BC5">
      <w:pPr>
        <w:spacing w:line="360" w:lineRule="auto"/>
      </w:pPr>
    </w:p>
    <w:p w:rsidR="00652D1F" w:rsidRPr="00347436" w:rsidRDefault="00652D1F" w:rsidP="00AC0BC5">
      <w:pPr>
        <w:spacing w:line="360" w:lineRule="auto"/>
        <w:rPr>
          <w:b/>
          <w:u w:val="single"/>
        </w:rPr>
      </w:pPr>
      <w:r>
        <w:rPr>
          <w:b/>
          <w:u w:val="single"/>
        </w:rPr>
        <w:t xml:space="preserve">2.4 </w:t>
      </w:r>
      <w:r w:rsidRPr="00347436">
        <w:rPr>
          <w:b/>
          <w:u w:val="single"/>
        </w:rPr>
        <w:t>Invulling kernbegrippen artikel 10a</w:t>
      </w:r>
    </w:p>
    <w:p w:rsidR="00652D1F" w:rsidRPr="00347436" w:rsidRDefault="00652D1F" w:rsidP="00AC0BC5">
      <w:pPr>
        <w:spacing w:line="360" w:lineRule="auto"/>
        <w:rPr>
          <w:b/>
          <w:u w:val="single"/>
        </w:rPr>
      </w:pPr>
    </w:p>
    <w:p w:rsidR="00652D1F" w:rsidRPr="00347436" w:rsidRDefault="00652D1F" w:rsidP="00D376E4">
      <w:pPr>
        <w:spacing w:line="360" w:lineRule="auto"/>
      </w:pPr>
      <w:r w:rsidRPr="00347436">
        <w:t>De be</w:t>
      </w:r>
      <w:r>
        <w:t>handeling</w:t>
      </w:r>
      <w:r w:rsidRPr="00347436">
        <w:t xml:space="preserve"> van de kernbegrippen zal worden uitgesplitst in de </w:t>
      </w:r>
      <w:r>
        <w:t>behandeling</w:t>
      </w:r>
      <w:r w:rsidRPr="00347436">
        <w:t xml:space="preserve"> van de visie van de wetgevende, uitvoerende en rech</w:t>
      </w:r>
      <w:r>
        <w:t>terlijke</w:t>
      </w:r>
      <w:r w:rsidRPr="00347436">
        <w:t xml:space="preserve"> macht. </w:t>
      </w:r>
      <w:r>
        <w:t>De reden hiervoor is dat</w:t>
      </w:r>
      <w:r w:rsidRPr="00347436">
        <w:t xml:space="preserve"> niet enkel de letterlijke wettekst van belang is voor de vaststelling van het effect van een bepaling</w:t>
      </w:r>
      <w:r>
        <w:t>,</w:t>
      </w:r>
      <w:r w:rsidRPr="00347436">
        <w:t xml:space="preserve"> </w:t>
      </w:r>
      <w:r>
        <w:t>echter</w:t>
      </w:r>
      <w:r w:rsidRPr="00347436">
        <w:t xml:space="preserve"> ook de effectuering hiervan. Zonder </w:t>
      </w:r>
      <w:r>
        <w:t>een analyse van deze drie elementen</w:t>
      </w:r>
      <w:r w:rsidRPr="00347436">
        <w:t xml:space="preserve"> kan men</w:t>
      </w:r>
      <w:r>
        <w:t xml:space="preserve"> namelijk niet</w:t>
      </w:r>
      <w:r w:rsidRPr="00347436">
        <w:t xml:space="preserve"> het </w:t>
      </w:r>
      <w:r>
        <w:t>werkelijke</w:t>
      </w:r>
      <w:r w:rsidRPr="00347436">
        <w:t xml:space="preserve"> effect van een bepaling vaststellen. </w:t>
      </w:r>
      <w:r>
        <w:t>Een voorbeeld hiervan</w:t>
      </w:r>
      <w:r w:rsidRPr="00347436">
        <w:t xml:space="preserve"> ziet men in de afsluitende rechtsoverwegingen van Cadbury Schweppes</w:t>
      </w:r>
      <w:r>
        <w:t>.</w:t>
      </w:r>
      <w:r w:rsidRPr="00347436">
        <w:rPr>
          <w:rStyle w:val="Voetnootmarkering"/>
        </w:rPr>
        <w:footnoteReference w:id="50"/>
      </w:r>
      <w:r w:rsidRPr="00347436">
        <w:t xml:space="preserve"> Het </w:t>
      </w:r>
      <w:r>
        <w:t>HvJ EG oordeelde</w:t>
      </w:r>
      <w:r w:rsidRPr="00347436">
        <w:t xml:space="preserve"> hierin</w:t>
      </w:r>
      <w:r>
        <w:t>,</w:t>
      </w:r>
      <w:r w:rsidRPr="00347436">
        <w:t xml:space="preserve"> dat de uiteindelijke uitleg die de rechter aan de ‘motive test’ </w:t>
      </w:r>
      <w:r>
        <w:t>van</w:t>
      </w:r>
      <w:r w:rsidRPr="00347436">
        <w:t xml:space="preserve"> de wetsbepaling </w:t>
      </w:r>
      <w:r>
        <w:t xml:space="preserve">in kwestie </w:t>
      </w:r>
      <w:r w:rsidRPr="00347436">
        <w:t>g</w:t>
      </w:r>
      <w:r>
        <w:t>af doorslaggevend wa</w:t>
      </w:r>
      <w:r w:rsidRPr="00347436">
        <w:t xml:space="preserve">s voor de eventuele strijdigheid van de bepaling. </w:t>
      </w:r>
      <w:r>
        <w:t>Hieruit kan men afleiden dat de</w:t>
      </w:r>
      <w:r w:rsidRPr="00347436">
        <w:t xml:space="preserve"> praktische </w:t>
      </w:r>
      <w:r>
        <w:t>uitwerking,</w:t>
      </w:r>
      <w:r w:rsidRPr="00347436">
        <w:t xml:space="preserve"> namelijk de daadwerkelijke tenuitvoerlegging van een regeling</w:t>
      </w:r>
      <w:r>
        <w:t>, in deze</w:t>
      </w:r>
      <w:r w:rsidRPr="00347436">
        <w:t xml:space="preserve"> doors</w:t>
      </w:r>
      <w:r>
        <w:t>laggevend is. Dit is ook logisch. Stel dat een wet een discriminerende bepaling bevat, als deze niet wordt nageleefd zal er niemand tengevolge daarvan worden gediscrimineerd</w:t>
      </w:r>
      <w:r w:rsidRPr="00347436">
        <w:t>.</w:t>
      </w:r>
      <w:r>
        <w:t xml:space="preserve"> Er is gekozen enkel de begrippen zakelijke overwegingen, samenhang en overwegende mate verder uit te lichten, aangezien deze een cruciale rol spelen bij het ontstaan van het vermoeden van misbruik alsmede de ontkrachting daarvan.</w:t>
      </w:r>
    </w:p>
    <w:p w:rsidR="00652D1F" w:rsidRDefault="00652D1F" w:rsidP="00AC0BC5">
      <w:pPr>
        <w:spacing w:line="360" w:lineRule="auto"/>
      </w:pPr>
    </w:p>
    <w:p w:rsidR="00D53DCA" w:rsidRDefault="00D53DCA" w:rsidP="00AC0BC5">
      <w:pPr>
        <w:spacing w:line="360" w:lineRule="auto"/>
      </w:pPr>
    </w:p>
    <w:p w:rsidR="00652D1F" w:rsidRPr="00347436" w:rsidRDefault="00652D1F" w:rsidP="00AC0BC5">
      <w:pPr>
        <w:spacing w:line="360" w:lineRule="auto"/>
      </w:pPr>
      <w:r>
        <w:rPr>
          <w:b/>
          <w:u w:val="single"/>
        </w:rPr>
        <w:t xml:space="preserve">2.4.1 </w:t>
      </w:r>
      <w:r w:rsidRPr="00347436">
        <w:rPr>
          <w:b/>
          <w:u w:val="single"/>
        </w:rPr>
        <w:t>Zakelijke overwegingen in de zin van artikel 10a</w:t>
      </w:r>
    </w:p>
    <w:p w:rsidR="00652D1F" w:rsidRPr="00347436"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 xml:space="preserve">2.4.1.1 </w:t>
      </w:r>
      <w:r w:rsidRPr="00347436">
        <w:rPr>
          <w:b/>
          <w:u w:val="single"/>
        </w:rPr>
        <w:t>visie wetgevende en uitvoerende macht</w:t>
      </w:r>
    </w:p>
    <w:p w:rsidR="00652D1F" w:rsidRPr="00347436" w:rsidRDefault="00652D1F" w:rsidP="00AC0BC5">
      <w:pPr>
        <w:spacing w:line="360" w:lineRule="auto"/>
        <w:rPr>
          <w:b/>
          <w:u w:val="single"/>
        </w:rPr>
      </w:pPr>
    </w:p>
    <w:p w:rsidR="00652D1F" w:rsidRPr="00347436" w:rsidRDefault="00652D1F" w:rsidP="00075252">
      <w:pPr>
        <w:spacing w:line="360" w:lineRule="auto"/>
      </w:pPr>
      <w:r w:rsidRPr="00347436">
        <w:t>De initiële</w:t>
      </w:r>
      <w:r w:rsidRPr="00347436">
        <w:rPr>
          <w:rStyle w:val="Voetnootmarkering"/>
        </w:rPr>
        <w:footnoteReference w:id="51"/>
      </w:r>
      <w:r w:rsidRPr="00347436">
        <w:t xml:space="preserve"> en secundaire</w:t>
      </w:r>
      <w:r w:rsidRPr="00347436">
        <w:rPr>
          <w:rStyle w:val="Voetnootmarkering"/>
        </w:rPr>
        <w:footnoteReference w:id="52"/>
      </w:r>
      <w:r w:rsidRPr="00347436">
        <w:t>, in het kader van ‘Werken aan de Winst’, parlementaire behandeling van het wetsvoorstel en besluiten betreffende de zakelijkheid</w:t>
      </w:r>
      <w:r>
        <w:t>s</w:t>
      </w:r>
      <w:r w:rsidRPr="00347436">
        <w:t xml:space="preserve">toets van artikel 10a Wet </w:t>
      </w:r>
      <w:r>
        <w:t>VpB,</w:t>
      </w:r>
      <w:r w:rsidRPr="00347436">
        <w:t xml:space="preserve"> geven enigszins een beeld van de invulling </w:t>
      </w:r>
      <w:r>
        <w:t>van het begrip zakelijke overwegingen.</w:t>
      </w:r>
      <w:r w:rsidR="007F0C65">
        <w:rPr>
          <w:rStyle w:val="Voetnootmarkering"/>
        </w:rPr>
        <w:footnoteReference w:id="53"/>
      </w:r>
      <w:r w:rsidRPr="00347436">
        <w:t xml:space="preserve"> Met betrekking tot de beweegredenen worden er door de wetgever in de initiële parlementaire behandeling en de behandeling bij de aanpassing van artikel 10a</w:t>
      </w:r>
      <w:r>
        <w:t>,</w:t>
      </w:r>
      <w:r w:rsidRPr="00347436">
        <w:t xml:space="preserve"> ingevolge ‘Werken aan de Winst’</w:t>
      </w:r>
      <w:r>
        <w:t>,</w:t>
      </w:r>
      <w:r w:rsidRPr="00347436">
        <w:t xml:space="preserve"> een aantal voorbeelden gegeven van gevallen waarin er wel dan wel geen zakelijke over</w:t>
      </w:r>
      <w:r>
        <w:t>wegingen aanwezig worden geacht. Z</w:t>
      </w:r>
      <w:r w:rsidRPr="00347436">
        <w:t>oals</w:t>
      </w:r>
      <w:r>
        <w:t xml:space="preserve"> bijvoorbeeld</w:t>
      </w:r>
      <w:r w:rsidRPr="00347436">
        <w:t xml:space="preserve"> </w:t>
      </w:r>
      <w:r>
        <w:t xml:space="preserve">in het geval van </w:t>
      </w:r>
      <w:r w:rsidRPr="00347436">
        <w:t>parallelliteit tussen de interne en een externe lening, een consistente dividendpolitiek en kasrondjes via laagbelaste belastingjurisdicties. Echter</w:t>
      </w:r>
      <w:r>
        <w:t>,</w:t>
      </w:r>
      <w:r w:rsidRPr="00347436">
        <w:t xml:space="preserve"> als men naar de gedachte achter artikel 10a kijkt</w:t>
      </w:r>
      <w:r>
        <w:t>,</w:t>
      </w:r>
      <w:r w:rsidRPr="00347436">
        <w:t xml:space="preserve"> bevreemd</w:t>
      </w:r>
      <w:r>
        <w:t>t</w:t>
      </w:r>
      <w:r w:rsidRPr="00347436">
        <w:t xml:space="preserve"> de keuze voor het criterium ‘zakelijke overwegingen’ enigszins.</w:t>
      </w:r>
      <w:r w:rsidR="007F0C65">
        <w:rPr>
          <w:rStyle w:val="Voetnootmarkering"/>
        </w:rPr>
        <w:footnoteReference w:id="54"/>
      </w:r>
      <w:r w:rsidRPr="00347436">
        <w:t xml:space="preserve"> Bij de ‘motive test’ van de ‘fraus legis’-jurisprudentie was het namelijk </w:t>
      </w:r>
      <w:r>
        <w:t xml:space="preserve">enkel </w:t>
      </w:r>
      <w:r w:rsidRPr="00347436">
        <w:t xml:space="preserve">vereist dat </w:t>
      </w:r>
      <w:r>
        <w:t>de belanghebbende</w:t>
      </w:r>
      <w:r w:rsidRPr="00347436">
        <w:t xml:space="preserve"> zi</w:t>
      </w:r>
      <w:r>
        <w:t xml:space="preserve">jn acties niet baseerde op </w:t>
      </w:r>
      <w:r w:rsidRPr="00347436">
        <w:t>fiscale motieven. De vra</w:t>
      </w:r>
      <w:r>
        <w:t>ag komt derhalve op of dit</w:t>
      </w:r>
      <w:r w:rsidRPr="00347436">
        <w:t xml:space="preserve"> een </w:t>
      </w:r>
      <w:r>
        <w:t xml:space="preserve">wijze van </w:t>
      </w:r>
      <w:r w:rsidR="00A40884">
        <w:t xml:space="preserve">tekstuele </w:t>
      </w:r>
      <w:r>
        <w:t>vastlegging</w:t>
      </w:r>
      <w:r w:rsidRPr="00347436">
        <w:t xml:space="preserve"> betreft of dat de wetgever hiermee een aanscherping beoogt.</w:t>
      </w:r>
    </w:p>
    <w:p w:rsidR="00652D1F" w:rsidRPr="00347436" w:rsidRDefault="00652D1F" w:rsidP="00AC0BC5">
      <w:pPr>
        <w:spacing w:line="360" w:lineRule="auto"/>
      </w:pPr>
    </w:p>
    <w:p w:rsidR="00652D1F" w:rsidRPr="00347436" w:rsidRDefault="00652D1F" w:rsidP="009C1BC8">
      <w:pPr>
        <w:spacing w:line="360" w:lineRule="auto"/>
      </w:pPr>
      <w:r w:rsidRPr="00347436">
        <w:t>Doornebal</w:t>
      </w:r>
      <w:r>
        <w:t xml:space="preserve"> </w:t>
      </w:r>
      <w:r w:rsidRPr="00347436">
        <w:t>stelt dat het hier</w:t>
      </w:r>
      <w:r>
        <w:t xml:space="preserve"> gaat om</w:t>
      </w:r>
      <w:r w:rsidRPr="00347436">
        <w:t xml:space="preserve"> een ongelukkig</w:t>
      </w:r>
      <w:r>
        <w:t>e</w:t>
      </w:r>
      <w:r w:rsidRPr="00347436">
        <w:t xml:space="preserve"> w</w:t>
      </w:r>
      <w:r>
        <w:t>oordkeus van de wetgever</w:t>
      </w:r>
      <w:r w:rsidRPr="00347436">
        <w:t>.</w:t>
      </w:r>
      <w:r w:rsidRPr="00347436">
        <w:rPr>
          <w:rStyle w:val="Voetnootmarkering"/>
        </w:rPr>
        <w:footnoteReference w:id="55"/>
      </w:r>
      <w:r w:rsidRPr="00347436">
        <w:t xml:space="preserve"> Hij </w:t>
      </w:r>
      <w:r>
        <w:t>baseert dit op de plaats van artikel 10a in de structuur van de wet ten opzichte van artikel 7 VpB</w:t>
      </w:r>
      <w:r w:rsidRPr="00347436">
        <w:t xml:space="preserve"> juncto artikel 3.8 </w:t>
      </w:r>
      <w:r>
        <w:t xml:space="preserve">Wet op de </w:t>
      </w:r>
      <w:r w:rsidRPr="00347436">
        <w:t>I</w:t>
      </w:r>
      <w:r>
        <w:t>nkomstenbelasting 2001 (hierna: Wet IB)</w:t>
      </w:r>
      <w:r w:rsidRPr="00347436">
        <w:t>. Zijns inziens betekent het feit dat de rentebetalin</w:t>
      </w:r>
      <w:r>
        <w:t>gen reeds de poort van artikel 7</w:t>
      </w:r>
      <w:r w:rsidRPr="00347436">
        <w:t xml:space="preserve"> zijn gepasseerd dat deze per definitie zakelijk zijn.</w:t>
      </w:r>
      <w:r>
        <w:rPr>
          <w:rStyle w:val="Voetnootmarkering"/>
        </w:rPr>
        <w:footnoteReference w:id="56"/>
      </w:r>
      <w:r w:rsidRPr="00347436">
        <w:t xml:space="preserve"> Daarom kan het begrip ‘zakelijk overwegingen’ volgens Doorn</w:t>
      </w:r>
      <w:r>
        <w:t>e</w:t>
      </w:r>
      <w:r w:rsidRPr="00347436">
        <w:t xml:space="preserve">bal enkel nog op fiscale motieven zijn gericht. Mijns inziens valt dit ook op te maken uit het feit dat de wetgever onder zakelijke overwegingen het belang van </w:t>
      </w:r>
      <w:r>
        <w:t>de gehele groep schaart. D</w:t>
      </w:r>
      <w:r w:rsidRPr="00347436">
        <w:t xml:space="preserve">e verdeling van deze over meerdere rechtslichamen </w:t>
      </w:r>
      <w:r>
        <w:t>is in beginsel niet van invloed,</w:t>
      </w:r>
      <w:r w:rsidRPr="00347436">
        <w:t xml:space="preserve"> </w:t>
      </w:r>
      <w:r>
        <w:t>zoals</w:t>
      </w:r>
      <w:r w:rsidRPr="00347436">
        <w:t xml:space="preserve"> blijkt uit enkele voorbeelden gegeven tijdens de parlementaire behandeling</w:t>
      </w:r>
      <w:r>
        <w:t>.</w:t>
      </w:r>
      <w:r w:rsidRPr="00347436">
        <w:rPr>
          <w:rStyle w:val="Voetnootmarkering"/>
        </w:rPr>
        <w:footnoteReference w:id="57"/>
      </w:r>
      <w:r w:rsidRPr="00347436">
        <w:t xml:space="preserve"> </w:t>
      </w:r>
      <w:r w:rsidRPr="007D096A">
        <w:t xml:space="preserve">De wetgever keurt bijvoorbeeld goed dat het </w:t>
      </w:r>
      <w:r w:rsidR="004353E3">
        <w:t>versrtekken</w:t>
      </w:r>
      <w:r w:rsidRPr="007D096A">
        <w:t xml:space="preserve"> van </w:t>
      </w:r>
      <w:r w:rsidR="00096B85">
        <w:t xml:space="preserve">gelden </w:t>
      </w:r>
      <w:r w:rsidRPr="007D096A">
        <w:t>aan een gelieerd lichaam waarna deze worden teruggeleend, zakelijk kan zijn, mits dit lichaam functioneert als financieringscentrum van de groep. Hieruit</w:t>
      </w:r>
      <w:r w:rsidRPr="00347436">
        <w:t xml:space="preserve"> blijkt duidelijk dat de zakelijke overwegingen niet op het niveau v</w:t>
      </w:r>
      <w:r>
        <w:t>an het individuele lichaam dienen te worden vastgesteld, hetgeen wel het geval is met betrekking tot de individuele onderneming in het kader van artikel 3.8 Wet  IB.</w:t>
      </w:r>
      <w:r w:rsidRPr="00347436">
        <w:t xml:space="preserve"> Daarnaast wordt de term zakelijke overwegingen ook toegepast op rechtshandelingen zoals winstuitkeringen</w:t>
      </w:r>
      <w:r>
        <w:t>,</w:t>
      </w:r>
      <w:r w:rsidRPr="00347436">
        <w:t xml:space="preserve"> welke gezien de begunstigde in de zin van artikel </w:t>
      </w:r>
      <w:r>
        <w:t>3.</w:t>
      </w:r>
      <w:r w:rsidRPr="00347436">
        <w:t xml:space="preserve">8 </w:t>
      </w:r>
      <w:r>
        <w:t xml:space="preserve">Wet IB </w:t>
      </w:r>
      <w:r w:rsidRPr="00347436">
        <w:t xml:space="preserve">nooit </w:t>
      </w:r>
      <w:r>
        <w:t xml:space="preserve">als </w:t>
      </w:r>
      <w:r w:rsidRPr="00347436">
        <w:t xml:space="preserve">zakelijk zouden kunnen worden </w:t>
      </w:r>
      <w:r>
        <w:t>beschouwd.</w:t>
      </w:r>
      <w:r w:rsidRPr="00347436">
        <w:rPr>
          <w:rStyle w:val="Voetnootmarkering"/>
        </w:rPr>
        <w:footnoteReference w:id="58"/>
      </w:r>
      <w:r w:rsidRPr="00347436">
        <w:t xml:space="preserve"> </w:t>
      </w:r>
    </w:p>
    <w:p w:rsidR="00652D1F" w:rsidRPr="00347436" w:rsidRDefault="00652D1F" w:rsidP="00AC0BC5">
      <w:pPr>
        <w:spacing w:line="360" w:lineRule="auto"/>
      </w:pPr>
    </w:p>
    <w:p w:rsidR="00652D1F" w:rsidRPr="00347436" w:rsidRDefault="00652D1F" w:rsidP="00075252">
      <w:pPr>
        <w:spacing w:line="360" w:lineRule="auto"/>
      </w:pPr>
      <w:r w:rsidRPr="00347436">
        <w:t>De wetteksten omtrent de juridische fusie en splitsing zijn een additionele aanwijzing dat de Nederlandse wetgever met zakelijke overwegingen doelt op fiscale motieven</w:t>
      </w:r>
      <w:r>
        <w:t>.</w:t>
      </w:r>
      <w:r w:rsidRPr="00347436">
        <w:rPr>
          <w:rStyle w:val="Voetnootmarkering"/>
        </w:rPr>
        <w:footnoteReference w:id="59"/>
      </w:r>
      <w:r w:rsidR="007F0C65">
        <w:t xml:space="preserve"> Een juridische fusie wordt</w:t>
      </w:r>
      <w:r w:rsidRPr="00347436">
        <w:t xml:space="preserve"> namelijk enkel</w:t>
      </w:r>
      <w:r w:rsidR="00A40884">
        <w:t xml:space="preserve"> fiscaal gefacilit</w:t>
      </w:r>
      <w:r>
        <w:t>eerd</w:t>
      </w:r>
      <w:r w:rsidRPr="00347436">
        <w:t xml:space="preserve"> toegestaan in het geval </w:t>
      </w:r>
      <w:r>
        <w:t xml:space="preserve">dat </w:t>
      </w:r>
      <w:r w:rsidRPr="00347436">
        <w:t xml:space="preserve">deze in overwegende mate is gebaseerd op zakelijke overwegingen. Deze bepaling betreft de implementatie in de Nederlandse </w:t>
      </w:r>
      <w:r>
        <w:t>wetgeving van de ‘antimisbruik’-</w:t>
      </w:r>
      <w:r w:rsidRPr="00347436">
        <w:t xml:space="preserve">bepaling </w:t>
      </w:r>
      <w:r>
        <w:t>welke is opgenomen in</w:t>
      </w:r>
      <w:r w:rsidRPr="00347436">
        <w:t xml:space="preserve"> de Europese Fusierichtlijn. Deze bepaling stelt dat als </w:t>
      </w:r>
      <w:r>
        <w:t>“</w:t>
      </w:r>
      <w:r w:rsidRPr="006B5F93">
        <w:rPr>
          <w:i/>
          <w:iCs/>
        </w:rPr>
        <w:t>het hoofddoel of een van de hoofddoelen van een fusie het ontgaan dan wel uitstellen van belasting is</w:t>
      </w:r>
      <w:r>
        <w:t>”</w:t>
      </w:r>
      <w:r>
        <w:rPr>
          <w:rStyle w:val="Voetnootmarkering"/>
        </w:rPr>
        <w:footnoteReference w:id="60"/>
      </w:r>
      <w:r>
        <w:t>,</w:t>
      </w:r>
      <w:r w:rsidRPr="00347436">
        <w:t xml:space="preserve"> de</w:t>
      </w:r>
      <w:r>
        <w:t>ze</w:t>
      </w:r>
      <w:r w:rsidRPr="00347436">
        <w:t xml:space="preserve"> mag worden geweigerd. Het feit dat de wetgever heeft verkozen een andere </w:t>
      </w:r>
      <w:r>
        <w:t>wijze van vastlegging toe te passen</w:t>
      </w:r>
      <w:r w:rsidRPr="00347436">
        <w:t xml:space="preserve"> doet mijns inziens niet af aan de betekenis van deze </w:t>
      </w:r>
      <w:r>
        <w:t>be</w:t>
      </w:r>
      <w:r w:rsidRPr="00347436">
        <w:t>woord</w:t>
      </w:r>
      <w:r>
        <w:t>ingen,</w:t>
      </w:r>
      <w:r w:rsidRPr="00347436">
        <w:t xml:space="preserve"> alsook blijkt uit de jurisprudentie omtrent deze bepaling</w:t>
      </w:r>
      <w:r>
        <w:t>.</w:t>
      </w:r>
      <w:r w:rsidRPr="00347436">
        <w:rPr>
          <w:rStyle w:val="Voetnootmarkering"/>
        </w:rPr>
        <w:footnoteReference w:id="61"/>
      </w:r>
      <w:r w:rsidRPr="00347436">
        <w:t xml:space="preserve"> </w:t>
      </w:r>
      <w:r>
        <w:t>Wel dient hierbij een kanttekening geplaatst te worden,</w:t>
      </w:r>
      <w:r w:rsidRPr="00347436">
        <w:t xml:space="preserve"> de nationale rechter </w:t>
      </w:r>
      <w:r>
        <w:t>is namelijk gehouden</w:t>
      </w:r>
      <w:r w:rsidRPr="00347436">
        <w:t xml:space="preserve"> nationale wetsbepalingen die zijn geïmplementeerd uit hoofde van een richtlijn ook richtlijnconform te interpreteren</w:t>
      </w:r>
      <w:r>
        <w:t>.</w:t>
      </w:r>
      <w:r w:rsidRPr="00347436">
        <w:rPr>
          <w:rStyle w:val="Voetnootmarkering"/>
        </w:rPr>
        <w:footnoteReference w:id="62"/>
      </w:r>
      <w:r>
        <w:t xml:space="preserve"> Zulks is niet het geval</w:t>
      </w:r>
      <w:r w:rsidRPr="00347436">
        <w:t xml:space="preserve"> bij artikel 10a. Toch denk ik dat men wel met zekerheid kan stellen dat de wetgever enkel de intentie heeft om fiscaal geïnitieerde rentebetalingen van aftrek uit te sluiten. Dit </w:t>
      </w:r>
      <w:r>
        <w:t>is voornamelijk b</w:t>
      </w:r>
      <w:r w:rsidRPr="00347436">
        <w:t xml:space="preserve">eredeneerd vanuit de gedachte achter artikel 10a en de sterke koppeling die de wetgever hiermee </w:t>
      </w:r>
      <w:r>
        <w:t>heeft gemaakt</w:t>
      </w:r>
      <w:r w:rsidRPr="00347436">
        <w:t xml:space="preserve"> bij de behandeling van het initiële wetsvoorstel</w:t>
      </w:r>
      <w:r>
        <w:t>.</w:t>
      </w:r>
      <w:r>
        <w:rPr>
          <w:rStyle w:val="Voetnootmarkering"/>
        </w:rPr>
        <w:footnoteReference w:id="63"/>
      </w:r>
    </w:p>
    <w:p w:rsidR="00652D1F" w:rsidRPr="00347436" w:rsidRDefault="00652D1F" w:rsidP="00AC0BC5">
      <w:pPr>
        <w:spacing w:line="360" w:lineRule="auto"/>
      </w:pPr>
    </w:p>
    <w:p w:rsidR="00652D1F" w:rsidRPr="00347436" w:rsidRDefault="00652D1F" w:rsidP="009C1BC8">
      <w:pPr>
        <w:spacing w:line="360" w:lineRule="auto"/>
      </w:pPr>
      <w:r w:rsidRPr="00347436">
        <w:t xml:space="preserve">In het beleid </w:t>
      </w:r>
      <w:r>
        <w:t>b</w:t>
      </w:r>
      <w:r w:rsidRPr="00347436">
        <w:t xml:space="preserve">lijkt de </w:t>
      </w:r>
      <w:r>
        <w:t>Staatssecretaris</w:t>
      </w:r>
      <w:r w:rsidRPr="00347436">
        <w:t xml:space="preserve"> </w:t>
      </w:r>
      <w:r>
        <w:t xml:space="preserve">een </w:t>
      </w:r>
      <w:r w:rsidRPr="00347436">
        <w:t>strengere lijn te voeren. In het</w:t>
      </w:r>
      <w:r>
        <w:t xml:space="preserve"> vraag en antwoord besluit d.d.</w:t>
      </w:r>
      <w:r w:rsidRPr="00347436">
        <w:t xml:space="preserve"> </w:t>
      </w:r>
      <w:r>
        <w:t>2</w:t>
      </w:r>
      <w:r w:rsidRPr="00347436">
        <w:t xml:space="preserve"> november 2001 geeft hij een voorbeeld betreffende zakelijke overwegingen en bedrijfsopvolging</w:t>
      </w:r>
      <w:r>
        <w:t>.</w:t>
      </w:r>
      <w:r w:rsidRPr="00347436">
        <w:rPr>
          <w:rStyle w:val="Voetnootmarkering"/>
        </w:rPr>
        <w:footnoteReference w:id="64"/>
      </w:r>
      <w:r w:rsidRPr="00347436">
        <w:t xml:space="preserve"> </w:t>
      </w:r>
      <w:r>
        <w:t>Uit dit voorbeeld</w:t>
      </w:r>
      <w:r w:rsidRPr="00347436">
        <w:t xml:space="preserve"> komt </w:t>
      </w:r>
      <w:r>
        <w:t>duidelijk</w:t>
      </w:r>
      <w:r w:rsidRPr="00347436">
        <w:t xml:space="preserve"> naar voren dat het hier om een bedrijfsopvolging door een </w:t>
      </w:r>
      <w:r>
        <w:t>actieve overnemer dient te gaan. D</w:t>
      </w:r>
      <w:r w:rsidRPr="00347436">
        <w:t xml:space="preserve">e </w:t>
      </w:r>
      <w:r>
        <w:t>Staatssecretaris</w:t>
      </w:r>
      <w:r w:rsidRPr="00347436">
        <w:t xml:space="preserve"> vereist namelijk dat deze opvolger participeert in de onderneming van de rechtspersoon die hij overneemt. Dit betekent mijns inziens dat de </w:t>
      </w:r>
      <w:r>
        <w:t>Staatssecretaris</w:t>
      </w:r>
      <w:r w:rsidRPr="00347436">
        <w:t xml:space="preserve"> de zakelijke overwegingen bekijkt vanuit het nut van de rechtspersoon, i.c. de continuïteit van de onderneming die wordt gedreven do</w:t>
      </w:r>
      <w:r>
        <w:t>or de rechtspersoon in kwestie.</w:t>
      </w:r>
      <w:r w:rsidRPr="00347436">
        <w:t xml:space="preserve"> Dit in tegenstelling tot de visie van de wetgever die meer de nadruk lijkt te leggen op de afwezigheid van fiscale motieven.</w:t>
      </w:r>
    </w:p>
    <w:p w:rsidR="00D53DCA" w:rsidRDefault="00D53DCA" w:rsidP="00AC0BC5">
      <w:pPr>
        <w:spacing w:line="360" w:lineRule="auto"/>
        <w:rPr>
          <w:b/>
          <w:u w:val="single"/>
        </w:rPr>
      </w:pPr>
    </w:p>
    <w:p w:rsidR="00652D1F" w:rsidRPr="00347436"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 xml:space="preserve">2.4.1.2 </w:t>
      </w:r>
      <w:r w:rsidRPr="00347436">
        <w:rPr>
          <w:b/>
          <w:u w:val="single"/>
        </w:rPr>
        <w:t>visie rechterlijke macht</w:t>
      </w:r>
    </w:p>
    <w:p w:rsidR="00652D1F" w:rsidRPr="00347436" w:rsidRDefault="00652D1F" w:rsidP="00AC0BC5">
      <w:pPr>
        <w:spacing w:line="360" w:lineRule="auto"/>
        <w:rPr>
          <w:b/>
          <w:u w:val="single"/>
        </w:rPr>
      </w:pPr>
    </w:p>
    <w:p w:rsidR="00652D1F" w:rsidRPr="00347436" w:rsidRDefault="00652D1F" w:rsidP="009C1BC8">
      <w:pPr>
        <w:spacing w:line="360" w:lineRule="auto"/>
        <w:rPr>
          <w:rFonts w:eastAsia="Times New Roman"/>
          <w:lang w:eastAsia="en-US"/>
        </w:rPr>
      </w:pPr>
      <w:r w:rsidRPr="00347436">
        <w:t>In de jurisprudentie met betrekking tot het criterium van zakelijke overwegingen in de context van artikel 10a</w:t>
      </w:r>
      <w:r>
        <w:t>,</w:t>
      </w:r>
      <w:r w:rsidRPr="00347436">
        <w:t xml:space="preserve"> zij</w:t>
      </w:r>
      <w:r>
        <w:t>n</w:t>
      </w:r>
      <w:r w:rsidRPr="00347436">
        <w:t xml:space="preserve"> twee belangwekkende </w:t>
      </w:r>
      <w:r>
        <w:t>arresten</w:t>
      </w:r>
      <w:r w:rsidRPr="00347436">
        <w:t xml:space="preserve"> te </w:t>
      </w:r>
      <w:r>
        <w:t>ontwaren</w:t>
      </w:r>
      <w:r w:rsidRPr="00347436">
        <w:t>, te weten BNB 2008/266 en BNB 2010/215.</w:t>
      </w:r>
      <w:r w:rsidR="007F0C65">
        <w:rPr>
          <w:rStyle w:val="Voetnootmarkering"/>
        </w:rPr>
        <w:footnoteReference w:id="65"/>
      </w:r>
      <w:r w:rsidRPr="00347436">
        <w:t xml:space="preserve"> In BNB 2008/266 </w:t>
      </w:r>
      <w:r>
        <w:t>ging</w:t>
      </w:r>
      <w:r w:rsidRPr="00347436">
        <w:t xml:space="preserve"> </w:t>
      </w:r>
      <w:r w:rsidRPr="00E77AA9">
        <w:t>het om een in Zwitserland woonachtige enig aandeelhouder X van twe</w:t>
      </w:r>
      <w:r w:rsidR="00E77AA9" w:rsidRPr="00E77AA9">
        <w:t xml:space="preserve">e in Nederland gevestigde BV’s </w:t>
      </w:r>
      <w:r w:rsidRPr="00E77AA9">
        <w:t xml:space="preserve">A BV en B BV. In december 1998 </w:t>
      </w:r>
      <w:r w:rsidR="00A40884" w:rsidRPr="00E77AA9">
        <w:t>droeg</w:t>
      </w:r>
      <w:r w:rsidRPr="00E77AA9">
        <w:t xml:space="preserve"> X zijn aandelen in A BV </w:t>
      </w:r>
      <w:r w:rsidR="00A40884" w:rsidRPr="00E77AA9">
        <w:t xml:space="preserve">over </w:t>
      </w:r>
      <w:r w:rsidRPr="00E77AA9">
        <w:t>aan B BV</w:t>
      </w:r>
      <w:r w:rsidR="00A40884" w:rsidRPr="00E77AA9">
        <w:t xml:space="preserve"> in ruil voor een vordering op B BV, welke vordering vervolgens werd omgezet in een lijfrenteverplichting.</w:t>
      </w:r>
      <w:r w:rsidR="00A40884">
        <w:t xml:space="preserve"> </w:t>
      </w:r>
      <w:r>
        <w:t>Hof ‘s-Hertogenbosch oordeelde</w:t>
      </w:r>
      <w:r w:rsidRPr="00347436">
        <w:t xml:space="preserve"> in deze zaak dat </w:t>
      </w:r>
      <w:r>
        <w:t>aan deze structuur</w:t>
      </w:r>
      <w:r w:rsidRPr="00347436">
        <w:t xml:space="preserve"> geen zakelijke overwegingen </w:t>
      </w:r>
      <w:r>
        <w:t xml:space="preserve">ten grondslag </w:t>
      </w:r>
      <w:r w:rsidR="00BF6412">
        <w:t>konden lig</w:t>
      </w:r>
      <w:r>
        <w:t>gen,</w:t>
      </w:r>
      <w:r w:rsidRPr="00347436">
        <w:t xml:space="preserve"> aangezien</w:t>
      </w:r>
      <w:r>
        <w:t xml:space="preserve"> deze rechtshandelingen enkel hadden</w:t>
      </w:r>
      <w:r w:rsidRPr="00347436">
        <w:t xml:space="preserve"> plaatsgevonden in het belang van de aandeelhouder en </w:t>
      </w:r>
      <w:r w:rsidR="00BF6412">
        <w:t xml:space="preserve">derhalve </w:t>
      </w:r>
      <w:r w:rsidRPr="00347436">
        <w:t xml:space="preserve">geen rol </w:t>
      </w:r>
      <w:r w:rsidR="00BF6412">
        <w:t>vervulden</w:t>
      </w:r>
      <w:r w:rsidRPr="00347436">
        <w:t xml:space="preserve"> </w:t>
      </w:r>
      <w:r w:rsidR="00BF6412">
        <w:t>b</w:t>
      </w:r>
      <w:r w:rsidRPr="00347436">
        <w:t>in</w:t>
      </w:r>
      <w:r w:rsidR="00BF6412">
        <w:t>nen</w:t>
      </w:r>
      <w:r w:rsidRPr="00347436">
        <w:t xml:space="preserve"> de onderneming </w:t>
      </w:r>
      <w:r w:rsidR="00BF6412">
        <w:t>gedreven door de</w:t>
      </w:r>
      <w:r w:rsidRPr="00347436">
        <w:t xml:space="preserve"> de rechtspersoon in kwestie.</w:t>
      </w:r>
      <w:r>
        <w:t xml:space="preserve"> Z</w:t>
      </w:r>
      <w:r w:rsidRPr="00347436">
        <w:t xml:space="preserve">oals </w:t>
      </w:r>
      <w:r>
        <w:t xml:space="preserve">werd </w:t>
      </w:r>
      <w:r w:rsidRPr="00347436">
        <w:t>aa</w:t>
      </w:r>
      <w:r>
        <w:t>ngehaald door A-G</w:t>
      </w:r>
      <w:r w:rsidRPr="00347436">
        <w:t xml:space="preserve"> Wattel in zijn conclusie bij het onderhavige arrest</w:t>
      </w:r>
      <w:r>
        <w:t>,</w:t>
      </w:r>
      <w:r w:rsidRPr="009C1BC8">
        <w:t xml:space="preserve"> </w:t>
      </w:r>
      <w:r w:rsidRPr="00347436">
        <w:t>merkt</w:t>
      </w:r>
      <w:r>
        <w:t>e</w:t>
      </w:r>
      <w:r w:rsidRPr="00347436">
        <w:t xml:space="preserve"> Van Kalmthout hierover </w:t>
      </w:r>
      <w:r>
        <w:t xml:space="preserve">terecht </w:t>
      </w:r>
      <w:r w:rsidRPr="00347436">
        <w:t xml:space="preserve">op dat </w:t>
      </w:r>
      <w:r w:rsidRPr="00347436">
        <w:rPr>
          <w:lang w:eastAsia="nl-NL"/>
        </w:rPr>
        <w:t xml:space="preserve">de belanghebbende niet enkel aannemelijk </w:t>
      </w:r>
      <w:r>
        <w:rPr>
          <w:lang w:eastAsia="nl-NL"/>
        </w:rPr>
        <w:t>dient te maken</w:t>
      </w:r>
      <w:r w:rsidRPr="00347436">
        <w:rPr>
          <w:lang w:eastAsia="nl-NL"/>
        </w:rPr>
        <w:t xml:space="preserve"> “</w:t>
      </w:r>
      <w:r w:rsidRPr="009B211A">
        <w:rPr>
          <w:i/>
          <w:iCs/>
          <w:lang w:eastAsia="nl-NL"/>
        </w:rPr>
        <w:t>dat de rechtshandeling in meer dan bijkomstige mate is ingegeven door reële, praktische motieven. Er is als het ware een verschuiving opgetreden van een 30%-criterium naar een 70%-criterium. Hij moet veel meer dan in de normale ‘fraus legis’-doctrine zien aan te tonen dat zijn handelen niet fiscaal geïnspireerd was.”</w:t>
      </w:r>
      <w:r w:rsidRPr="00075252">
        <w:rPr>
          <w:rStyle w:val="Voetnootmarkering"/>
          <w:lang w:eastAsia="nl-NL"/>
        </w:rPr>
        <w:footnoteReference w:id="66"/>
      </w:r>
      <w:r w:rsidRPr="009B211A">
        <w:rPr>
          <w:i/>
          <w:iCs/>
          <w:lang w:eastAsia="nl-NL"/>
        </w:rPr>
        <w:t xml:space="preserve"> </w:t>
      </w:r>
      <w:r w:rsidRPr="009B211A">
        <w:rPr>
          <w:lang w:eastAsia="nl-NL"/>
        </w:rPr>
        <w:t xml:space="preserve">De Hoge Raad oordeelt in cassatie dat deze gevolgtrekking juist is, echter hij verbuigt </w:t>
      </w:r>
      <w:r>
        <w:rPr>
          <w:lang w:eastAsia="nl-NL"/>
        </w:rPr>
        <w:t>de redenering van</w:t>
      </w:r>
      <w:r w:rsidRPr="009B211A">
        <w:rPr>
          <w:lang w:eastAsia="nl-NL"/>
        </w:rPr>
        <w:t xml:space="preserve"> Hof </w:t>
      </w:r>
      <w:r>
        <w:t>‘s-Hertogenbosch</w:t>
      </w:r>
      <w:r w:rsidRPr="009B211A">
        <w:rPr>
          <w:lang w:eastAsia="nl-NL"/>
        </w:rPr>
        <w:t xml:space="preserve"> door te stellen dat de</w:t>
      </w:r>
      <w:r w:rsidRPr="009B211A">
        <w:rPr>
          <w:i/>
          <w:iCs/>
          <w:lang w:eastAsia="nl-NL"/>
        </w:rPr>
        <w:t xml:space="preserve"> “</w:t>
      </w:r>
      <w:r w:rsidRPr="009B211A">
        <w:rPr>
          <w:rFonts w:eastAsia="Times New Roman"/>
          <w:i/>
          <w:iCs/>
          <w:lang w:eastAsia="en-US"/>
        </w:rPr>
        <w:t>belanghebbende niet aannemelijk heeft gemaakt dat hieraan in overwegende mate zakelijke overwegingen ten grondslag lagen</w:t>
      </w:r>
      <w:r w:rsidRPr="00347436">
        <w:rPr>
          <w:rFonts w:eastAsia="Times New Roman"/>
          <w:lang w:eastAsia="en-US"/>
        </w:rPr>
        <w:t xml:space="preserve">” </w:t>
      </w:r>
      <w:r>
        <w:rPr>
          <w:rFonts w:eastAsia="Times New Roman"/>
          <w:lang w:eastAsia="en-US"/>
        </w:rPr>
        <w:t>.</w:t>
      </w:r>
      <w:r w:rsidRPr="00347436">
        <w:rPr>
          <w:rStyle w:val="Voetnootmarkering"/>
          <w:rFonts w:eastAsia="Times New Roman"/>
          <w:lang w:val="en-US" w:eastAsia="en-US"/>
        </w:rPr>
        <w:footnoteReference w:id="67"/>
      </w:r>
    </w:p>
    <w:p w:rsidR="00652D1F" w:rsidRPr="00347436" w:rsidRDefault="00652D1F" w:rsidP="00AC0BC5">
      <w:pPr>
        <w:spacing w:line="360" w:lineRule="auto"/>
        <w:rPr>
          <w:rFonts w:eastAsia="Times New Roman"/>
          <w:lang w:eastAsia="en-US"/>
        </w:rPr>
      </w:pPr>
    </w:p>
    <w:p w:rsidR="00652D1F" w:rsidRPr="00347436" w:rsidRDefault="00652D1F" w:rsidP="00075252">
      <w:pPr>
        <w:spacing w:line="360" w:lineRule="auto"/>
        <w:rPr>
          <w:lang w:eastAsia="nl-NL"/>
        </w:rPr>
      </w:pPr>
      <w:r w:rsidRPr="00347436">
        <w:rPr>
          <w:lang w:eastAsia="nl-NL"/>
        </w:rPr>
        <w:t>Uit dit arrest valt mijns inziens op te maken dat de recht</w:t>
      </w:r>
      <w:r>
        <w:rPr>
          <w:lang w:eastAsia="nl-NL"/>
        </w:rPr>
        <w:t>erlijke</w:t>
      </w:r>
      <w:r w:rsidRPr="00347436">
        <w:rPr>
          <w:lang w:eastAsia="nl-NL"/>
        </w:rPr>
        <w:t xml:space="preserve"> macht, net zoals de wetgever, uitgaat van </w:t>
      </w:r>
      <w:r>
        <w:rPr>
          <w:lang w:eastAsia="nl-NL"/>
        </w:rPr>
        <w:t xml:space="preserve">de </w:t>
      </w:r>
      <w:r w:rsidRPr="00347436">
        <w:rPr>
          <w:lang w:eastAsia="nl-NL"/>
        </w:rPr>
        <w:t>materiële werkelijkheid van</w:t>
      </w:r>
      <w:r>
        <w:rPr>
          <w:lang w:eastAsia="nl-NL"/>
        </w:rPr>
        <w:t xml:space="preserve"> de handeling en </w:t>
      </w:r>
      <w:r w:rsidRPr="00347436">
        <w:rPr>
          <w:lang w:eastAsia="nl-NL"/>
        </w:rPr>
        <w:t xml:space="preserve">niet zoals de </w:t>
      </w:r>
      <w:r>
        <w:rPr>
          <w:lang w:eastAsia="nl-NL"/>
        </w:rPr>
        <w:t>Staatssecretaris</w:t>
      </w:r>
      <w:r w:rsidRPr="00347436">
        <w:rPr>
          <w:lang w:eastAsia="nl-NL"/>
        </w:rPr>
        <w:t xml:space="preserve"> </w:t>
      </w:r>
      <w:r>
        <w:rPr>
          <w:lang w:eastAsia="nl-NL"/>
        </w:rPr>
        <w:t xml:space="preserve">in zijn beleid heeft verwoord </w:t>
      </w:r>
      <w:r w:rsidRPr="00347436">
        <w:rPr>
          <w:lang w:eastAsia="nl-NL"/>
        </w:rPr>
        <w:t xml:space="preserve">van het nut daarvan voor de onderneming zelf. </w:t>
      </w:r>
      <w:r>
        <w:rPr>
          <w:lang w:eastAsia="nl-NL"/>
        </w:rPr>
        <w:t>De Hoge Raad</w:t>
      </w:r>
      <w:r w:rsidRPr="00347436">
        <w:rPr>
          <w:lang w:eastAsia="nl-NL"/>
        </w:rPr>
        <w:t xml:space="preserve"> stelt namelijk dat de vaststelling dat de handeling geen nut heeft voor de onderneming juist is, waarna </w:t>
      </w:r>
      <w:r>
        <w:rPr>
          <w:lang w:eastAsia="nl-NL"/>
        </w:rPr>
        <w:t>de Hoge Raad oordeelt</w:t>
      </w:r>
      <w:r w:rsidRPr="00347436">
        <w:rPr>
          <w:lang w:eastAsia="nl-NL"/>
        </w:rPr>
        <w:t xml:space="preserve"> dat de belanghebbende geen zakelijke reden voor deze niet ondernemingsrelevante handeling heeft kunnen aandragen. Beide zaken sluiten elkander dus niet uit</w:t>
      </w:r>
      <w:r>
        <w:rPr>
          <w:lang w:eastAsia="nl-NL"/>
        </w:rPr>
        <w:t>.</w:t>
      </w:r>
      <w:r w:rsidRPr="00347436">
        <w:rPr>
          <w:lang w:eastAsia="nl-NL"/>
        </w:rPr>
        <w:t xml:space="preserve"> </w:t>
      </w:r>
    </w:p>
    <w:p w:rsidR="00652D1F" w:rsidRPr="00347436" w:rsidRDefault="00652D1F" w:rsidP="00AC0BC5">
      <w:pPr>
        <w:spacing w:line="360" w:lineRule="auto"/>
        <w:rPr>
          <w:lang w:eastAsia="nl-NL"/>
        </w:rPr>
      </w:pPr>
    </w:p>
    <w:p w:rsidR="00652D1F" w:rsidRPr="00347436" w:rsidRDefault="00652D1F" w:rsidP="00AC0BC5">
      <w:pPr>
        <w:spacing w:line="360" w:lineRule="auto"/>
        <w:rPr>
          <w:lang w:eastAsia="nl-NL"/>
        </w:rPr>
      </w:pPr>
      <w:r w:rsidRPr="00347436">
        <w:rPr>
          <w:lang w:eastAsia="nl-NL"/>
        </w:rPr>
        <w:t>Na verwijzing kwam deze zaak, als BNB 2010/215, weer terug voor de Hoge Raad en</w:t>
      </w:r>
      <w:r>
        <w:rPr>
          <w:lang w:eastAsia="nl-NL"/>
        </w:rPr>
        <w:t xml:space="preserve"> verduidelijkte de Hoge Raad zijn</w:t>
      </w:r>
      <w:r w:rsidRPr="00347436">
        <w:rPr>
          <w:lang w:eastAsia="nl-NL"/>
        </w:rPr>
        <w:t xml:space="preserve"> eerdere</w:t>
      </w:r>
      <w:r>
        <w:rPr>
          <w:lang w:eastAsia="nl-NL"/>
        </w:rPr>
        <w:t xml:space="preserve"> arrest</w:t>
      </w:r>
      <w:r w:rsidRPr="00347436">
        <w:rPr>
          <w:lang w:eastAsia="nl-NL"/>
        </w:rPr>
        <w:t xml:space="preserve"> omtrent d</w:t>
      </w:r>
      <w:r>
        <w:rPr>
          <w:lang w:eastAsia="nl-NL"/>
        </w:rPr>
        <w:t>it punt. De belanghebbende stelde</w:t>
      </w:r>
      <w:r w:rsidRPr="00347436">
        <w:rPr>
          <w:lang w:eastAsia="nl-NL"/>
        </w:rPr>
        <w:t xml:space="preserve"> in </w:t>
      </w:r>
      <w:r>
        <w:rPr>
          <w:lang w:eastAsia="nl-NL"/>
        </w:rPr>
        <w:t>cassatie dat het oordeel van</w:t>
      </w:r>
      <w:r w:rsidRPr="00347436">
        <w:rPr>
          <w:lang w:eastAsia="nl-NL"/>
        </w:rPr>
        <w:t xml:space="preserve"> Hof </w:t>
      </w:r>
      <w:r>
        <w:t xml:space="preserve">‘s-Hertogenbosch </w:t>
      </w:r>
      <w:r w:rsidRPr="00347436">
        <w:rPr>
          <w:lang w:eastAsia="nl-NL"/>
        </w:rPr>
        <w:t>dat de aandeelhoudersmotieven niet als zakelijk h</w:t>
      </w:r>
      <w:r>
        <w:rPr>
          <w:lang w:eastAsia="nl-NL"/>
        </w:rPr>
        <w:t>adden</w:t>
      </w:r>
      <w:r w:rsidRPr="00347436">
        <w:rPr>
          <w:lang w:eastAsia="nl-NL"/>
        </w:rPr>
        <w:t xml:space="preserve"> te gelden getuig</w:t>
      </w:r>
      <w:r>
        <w:rPr>
          <w:lang w:eastAsia="nl-NL"/>
        </w:rPr>
        <w:t>de</w:t>
      </w:r>
      <w:r w:rsidRPr="00347436">
        <w:rPr>
          <w:lang w:eastAsia="nl-NL"/>
        </w:rPr>
        <w:t xml:space="preserve"> van een onjuiste rechtsopvatting. De Hoge Raad overw</w:t>
      </w:r>
      <w:r>
        <w:rPr>
          <w:lang w:eastAsia="nl-NL"/>
        </w:rPr>
        <w:t>oog</w:t>
      </w:r>
      <w:r w:rsidRPr="00347436">
        <w:rPr>
          <w:lang w:eastAsia="nl-NL"/>
        </w:rPr>
        <w:t xml:space="preserve"> hieromtrent;</w:t>
      </w:r>
    </w:p>
    <w:p w:rsidR="00652D1F" w:rsidRPr="00347436" w:rsidRDefault="00652D1F" w:rsidP="00AC0BC5">
      <w:pPr>
        <w:spacing w:line="360" w:lineRule="auto"/>
        <w:rPr>
          <w:lang w:eastAsia="nl-NL"/>
        </w:rPr>
      </w:pPr>
    </w:p>
    <w:p w:rsidR="00652D1F" w:rsidRPr="00347436" w:rsidRDefault="00652D1F" w:rsidP="00AC0BC5">
      <w:pPr>
        <w:spacing w:line="360" w:lineRule="auto"/>
        <w:rPr>
          <w:rFonts w:eastAsia="Times New Roman"/>
        </w:rPr>
      </w:pPr>
      <w:r w:rsidRPr="00347436">
        <w:rPr>
          <w:lang w:eastAsia="nl-NL"/>
        </w:rPr>
        <w:t xml:space="preserve"> “</w:t>
      </w:r>
      <w:r w:rsidRPr="009B211A">
        <w:rPr>
          <w:rFonts w:eastAsia="Times New Roman"/>
          <w:i/>
          <w:iCs/>
        </w:rPr>
        <w:t>Het middel kan niet tot cassatie leiden omdat het berust op een onjuiste lezing van ’s Hofs uitspraak. Het Hof heeft geoordeeld dat het onderhavige motief van de aandeelhouder van belanghebbende (..) niet afdoet aan het oordeel dat het doorslaggevende motief voor de omzetting het verijdelen van de heffing van vennootschapsbelasting was</w:t>
      </w:r>
      <w:r w:rsidRPr="00347436">
        <w:rPr>
          <w:rFonts w:eastAsia="Times New Roman"/>
        </w:rPr>
        <w:t>.”</w:t>
      </w:r>
      <w:r w:rsidRPr="00347436">
        <w:rPr>
          <w:rStyle w:val="Voetnootmarkering"/>
          <w:rFonts w:eastAsia="Times New Roman"/>
        </w:rPr>
        <w:footnoteReference w:id="68"/>
      </w:r>
    </w:p>
    <w:p w:rsidR="00652D1F" w:rsidRPr="00347436" w:rsidRDefault="00652D1F" w:rsidP="00AC0BC5">
      <w:pPr>
        <w:spacing w:line="360" w:lineRule="auto"/>
        <w:rPr>
          <w:rFonts w:eastAsia="Times New Roman"/>
        </w:rPr>
      </w:pPr>
    </w:p>
    <w:p w:rsidR="00652D1F" w:rsidRPr="00347436" w:rsidRDefault="00652D1F" w:rsidP="00AC0BC5">
      <w:pPr>
        <w:spacing w:line="360" w:lineRule="auto"/>
        <w:rPr>
          <w:rFonts w:eastAsia="Times New Roman"/>
        </w:rPr>
      </w:pPr>
      <w:r w:rsidRPr="00347436">
        <w:rPr>
          <w:rFonts w:eastAsia="Times New Roman"/>
        </w:rPr>
        <w:t>In de daarbij behorende noot stelt Marres dat hieruit kan worden opgemaakt dat de Hoge Raad van mening is dat aandeelhoudersmotieven ook onder de kwalificatie zakelijk</w:t>
      </w:r>
      <w:r>
        <w:rPr>
          <w:rFonts w:eastAsia="Times New Roman"/>
        </w:rPr>
        <w:t>,</w:t>
      </w:r>
      <w:r w:rsidRPr="00347436">
        <w:rPr>
          <w:rFonts w:eastAsia="Times New Roman"/>
        </w:rPr>
        <w:t xml:space="preserve"> in de zin van artikel 10a</w:t>
      </w:r>
      <w:r>
        <w:rPr>
          <w:rFonts w:eastAsia="Times New Roman"/>
        </w:rPr>
        <w:t>,</w:t>
      </w:r>
      <w:r w:rsidRPr="00347436">
        <w:rPr>
          <w:rFonts w:eastAsia="Times New Roman"/>
        </w:rPr>
        <w:t xml:space="preserve"> kunnen vallen</w:t>
      </w:r>
      <w:r>
        <w:rPr>
          <w:rFonts w:eastAsia="Times New Roman"/>
        </w:rPr>
        <w:t>.</w:t>
      </w:r>
      <w:r w:rsidRPr="00347436">
        <w:rPr>
          <w:rStyle w:val="Voetnootmarkering"/>
          <w:rFonts w:eastAsia="Times New Roman"/>
        </w:rPr>
        <w:footnoteReference w:id="69"/>
      </w:r>
      <w:r w:rsidRPr="00347436">
        <w:rPr>
          <w:rFonts w:eastAsia="Times New Roman"/>
        </w:rPr>
        <w:t xml:space="preserve"> Mijns inziens is dit een </w:t>
      </w:r>
      <w:r>
        <w:rPr>
          <w:rFonts w:eastAsia="Times New Roman"/>
        </w:rPr>
        <w:t>juiste</w:t>
      </w:r>
      <w:r w:rsidRPr="00347436">
        <w:rPr>
          <w:rFonts w:eastAsia="Times New Roman"/>
        </w:rPr>
        <w:t xml:space="preserve"> gevolgtrekking</w:t>
      </w:r>
      <w:r>
        <w:rPr>
          <w:rFonts w:eastAsia="Times New Roman"/>
        </w:rPr>
        <w:t>,</w:t>
      </w:r>
      <w:r w:rsidRPr="00347436">
        <w:rPr>
          <w:rFonts w:eastAsia="Times New Roman"/>
        </w:rPr>
        <w:t xml:space="preserve"> aangezien de Hoge Raad hier in feite stelt dat desondanks de </w:t>
      </w:r>
      <w:r>
        <w:rPr>
          <w:rFonts w:eastAsia="Times New Roman"/>
        </w:rPr>
        <w:t xml:space="preserve">aanwezigheid van </w:t>
      </w:r>
      <w:r w:rsidRPr="00347436">
        <w:rPr>
          <w:rFonts w:eastAsia="Times New Roman"/>
        </w:rPr>
        <w:t xml:space="preserve">aandeelhoudersmotieven er geenszins in overwegende mate sprake </w:t>
      </w:r>
      <w:r>
        <w:rPr>
          <w:rFonts w:eastAsia="Times New Roman"/>
        </w:rPr>
        <w:t>is van zakelijke overwegingen.</w:t>
      </w:r>
    </w:p>
    <w:p w:rsidR="00652D1F" w:rsidRDefault="00652D1F" w:rsidP="00AC0BC5">
      <w:pPr>
        <w:spacing w:line="360" w:lineRule="auto"/>
        <w:rPr>
          <w:lang w:eastAsia="nl-NL"/>
        </w:rPr>
      </w:pPr>
    </w:p>
    <w:p w:rsidR="00652D1F" w:rsidRPr="00347436" w:rsidRDefault="00652D1F" w:rsidP="00AC0BC5">
      <w:pPr>
        <w:spacing w:line="360" w:lineRule="auto"/>
        <w:rPr>
          <w:lang w:eastAsia="nl-NL"/>
        </w:rPr>
      </w:pPr>
    </w:p>
    <w:p w:rsidR="00652D1F" w:rsidRPr="00347436" w:rsidRDefault="00652D1F" w:rsidP="00AC0BC5">
      <w:pPr>
        <w:spacing w:line="360" w:lineRule="auto"/>
        <w:rPr>
          <w:b/>
          <w:u w:val="single"/>
          <w:lang w:eastAsia="nl-NL"/>
        </w:rPr>
      </w:pPr>
      <w:r>
        <w:rPr>
          <w:b/>
          <w:u w:val="single"/>
          <w:lang w:eastAsia="nl-NL"/>
        </w:rPr>
        <w:t xml:space="preserve">2.4.2 </w:t>
      </w:r>
      <w:r w:rsidRPr="00347436">
        <w:rPr>
          <w:b/>
          <w:u w:val="single"/>
          <w:lang w:eastAsia="nl-NL"/>
        </w:rPr>
        <w:t>Overwegende mate</w:t>
      </w:r>
    </w:p>
    <w:p w:rsidR="00652D1F" w:rsidRPr="00347436" w:rsidRDefault="00652D1F" w:rsidP="00AC0BC5">
      <w:pPr>
        <w:spacing w:line="360" w:lineRule="auto"/>
        <w:rPr>
          <w:b/>
          <w:u w:val="single"/>
          <w:lang w:eastAsia="nl-NL"/>
        </w:rPr>
      </w:pPr>
    </w:p>
    <w:p w:rsidR="00652D1F" w:rsidRDefault="00652D1F" w:rsidP="009C1BC8">
      <w:pPr>
        <w:spacing w:line="360" w:lineRule="auto"/>
        <w:rPr>
          <w:bCs/>
          <w:lang w:eastAsia="nl-NL"/>
        </w:rPr>
      </w:pPr>
      <w:r w:rsidRPr="00347436">
        <w:rPr>
          <w:bCs/>
          <w:lang w:eastAsia="nl-NL"/>
        </w:rPr>
        <w:t xml:space="preserve">Uit een reeds aangehaalde reactie van de </w:t>
      </w:r>
      <w:r>
        <w:rPr>
          <w:bCs/>
          <w:lang w:eastAsia="nl-NL"/>
        </w:rPr>
        <w:t>Staatssecretaris</w:t>
      </w:r>
      <w:r w:rsidRPr="00347436">
        <w:rPr>
          <w:bCs/>
          <w:lang w:eastAsia="nl-NL"/>
        </w:rPr>
        <w:t xml:space="preserve"> op een schrijven omtrent artikel 10a van de Nederlandse Orde van Belastingadviseurs</w:t>
      </w:r>
      <w:r>
        <w:rPr>
          <w:rStyle w:val="Voetnootmarkering"/>
          <w:bCs/>
          <w:lang w:eastAsia="nl-NL"/>
        </w:rPr>
        <w:footnoteReference w:id="70"/>
      </w:r>
      <w:r w:rsidRPr="00347436">
        <w:rPr>
          <w:bCs/>
          <w:lang w:eastAsia="nl-NL"/>
        </w:rPr>
        <w:t xml:space="preserve"> valt op te maken dat een zakelijk nevendoel geenszins </w:t>
      </w:r>
      <w:r>
        <w:rPr>
          <w:bCs/>
          <w:lang w:eastAsia="nl-NL"/>
        </w:rPr>
        <w:t>toereikend</w:t>
      </w:r>
      <w:r w:rsidRPr="00347436">
        <w:rPr>
          <w:bCs/>
          <w:lang w:eastAsia="nl-NL"/>
        </w:rPr>
        <w:t xml:space="preserve"> is</w:t>
      </w:r>
      <w:r>
        <w:rPr>
          <w:bCs/>
          <w:lang w:eastAsia="nl-NL"/>
        </w:rPr>
        <w:t xml:space="preserve"> voor de vaststelling van eventuele zakelijkheid</w:t>
      </w:r>
      <w:r w:rsidRPr="00347436">
        <w:rPr>
          <w:bCs/>
          <w:lang w:eastAsia="nl-NL"/>
        </w:rPr>
        <w:t xml:space="preserve">. De </w:t>
      </w:r>
      <w:r>
        <w:rPr>
          <w:bCs/>
          <w:lang w:eastAsia="nl-NL"/>
        </w:rPr>
        <w:t>Staatssecretaris</w:t>
      </w:r>
      <w:r w:rsidRPr="00347436">
        <w:rPr>
          <w:bCs/>
          <w:lang w:eastAsia="nl-NL"/>
        </w:rPr>
        <w:t xml:space="preserve"> merkt hierin </w:t>
      </w:r>
      <w:r>
        <w:rPr>
          <w:bCs/>
          <w:lang w:eastAsia="nl-NL"/>
        </w:rPr>
        <w:t xml:space="preserve">namelijk </w:t>
      </w:r>
      <w:r w:rsidRPr="00347436">
        <w:rPr>
          <w:bCs/>
          <w:lang w:eastAsia="nl-NL"/>
        </w:rPr>
        <w:t>op dat</w:t>
      </w:r>
      <w:r>
        <w:rPr>
          <w:bCs/>
          <w:lang w:eastAsia="nl-NL"/>
        </w:rPr>
        <w:t xml:space="preserve"> het hanteren van een volstrekt kunstmatig criterium ervoor zou zorgen da</w:t>
      </w:r>
      <w:r w:rsidRPr="00347436">
        <w:rPr>
          <w:bCs/>
          <w:lang w:eastAsia="nl-NL"/>
        </w:rPr>
        <w:t>t fiscale opzetjes eenvoudig zou</w:t>
      </w:r>
      <w:r>
        <w:rPr>
          <w:bCs/>
          <w:lang w:eastAsia="nl-NL"/>
        </w:rPr>
        <w:t>den</w:t>
      </w:r>
      <w:r w:rsidRPr="00347436">
        <w:rPr>
          <w:bCs/>
          <w:lang w:eastAsia="nl-NL"/>
        </w:rPr>
        <w:t xml:space="preserve"> kunnen </w:t>
      </w:r>
      <w:r>
        <w:rPr>
          <w:bCs/>
          <w:lang w:eastAsia="nl-NL"/>
        </w:rPr>
        <w:t xml:space="preserve">worden </w:t>
      </w:r>
      <w:r w:rsidRPr="00347436">
        <w:rPr>
          <w:bCs/>
          <w:lang w:eastAsia="nl-NL"/>
        </w:rPr>
        <w:t>ontsmet door hier een zakelijk nevendoel aan te verbinden</w:t>
      </w:r>
      <w:r>
        <w:rPr>
          <w:bCs/>
          <w:lang w:eastAsia="nl-NL"/>
        </w:rPr>
        <w:t>.</w:t>
      </w:r>
      <w:r w:rsidRPr="00347436">
        <w:rPr>
          <w:rStyle w:val="Voetnootmarkering"/>
          <w:bCs/>
          <w:lang w:eastAsia="nl-NL"/>
        </w:rPr>
        <w:footnoteReference w:id="71"/>
      </w:r>
      <w:r>
        <w:rPr>
          <w:bCs/>
          <w:lang w:eastAsia="nl-NL"/>
        </w:rPr>
        <w:t xml:space="preserve"> </w:t>
      </w:r>
      <w:r w:rsidRPr="00347436">
        <w:rPr>
          <w:rStyle w:val="Voetnootmarkering"/>
          <w:bCs/>
          <w:lang w:val="en-US" w:eastAsia="nl-NL"/>
        </w:rPr>
        <w:footnoteReference w:id="72"/>
      </w:r>
      <w:r w:rsidRPr="00347436">
        <w:rPr>
          <w:bCs/>
          <w:lang w:eastAsia="nl-NL"/>
        </w:rPr>
        <w:t xml:space="preserve"> </w:t>
      </w:r>
      <w:r>
        <w:rPr>
          <w:bCs/>
          <w:lang w:eastAsia="nl-NL"/>
        </w:rPr>
        <w:t>Hieruit kan men aldus opmaken dat het huidige criterium meer dan een zakelijk nevendoel vereist. Als men hier een parallel trekt met artikel 14a Wet VpB, zoals bij de invulling van de term ‘zakelijke overwegingen’, zou men hieruit kunnen afleiden dat onder overwegende mate ‘hoofddoel danwel een van de hoofddoelen’ dient te worden verstaan.</w:t>
      </w:r>
      <w:r w:rsidR="007F0C65">
        <w:rPr>
          <w:rStyle w:val="Voetnootmarkering"/>
          <w:bCs/>
          <w:lang w:eastAsia="nl-NL"/>
        </w:rPr>
        <w:footnoteReference w:id="73"/>
      </w:r>
      <w:r>
        <w:rPr>
          <w:bCs/>
          <w:lang w:eastAsia="nl-NL"/>
        </w:rPr>
        <w:t xml:space="preserve"> </w:t>
      </w:r>
      <w:r w:rsidRPr="00347436">
        <w:rPr>
          <w:bCs/>
          <w:lang w:eastAsia="nl-NL"/>
        </w:rPr>
        <w:t xml:space="preserve">Een zuiver tekstuele interpretatie suggereert dat ‘overwegende mate’ </w:t>
      </w:r>
      <w:r>
        <w:rPr>
          <w:bCs/>
          <w:lang w:eastAsia="nl-NL"/>
        </w:rPr>
        <w:t>dient</w:t>
      </w:r>
      <w:r w:rsidRPr="00347436">
        <w:rPr>
          <w:bCs/>
          <w:lang w:eastAsia="nl-NL"/>
        </w:rPr>
        <w:t xml:space="preserve"> te worden geïnterpreteerd als zijnde dat de zakelijke motieven zwaarder dienen te wegen dan de fiscale.</w:t>
      </w:r>
      <w:r>
        <w:rPr>
          <w:rStyle w:val="Voetnootmarkering"/>
          <w:bCs/>
          <w:lang w:eastAsia="nl-NL"/>
        </w:rPr>
        <w:footnoteReference w:id="74"/>
      </w:r>
      <w:r w:rsidRPr="00347436">
        <w:rPr>
          <w:bCs/>
          <w:lang w:eastAsia="nl-NL"/>
        </w:rPr>
        <w:t xml:space="preserve"> </w:t>
      </w:r>
    </w:p>
    <w:p w:rsidR="00652D1F" w:rsidRDefault="00652D1F" w:rsidP="00AC0BC5">
      <w:pPr>
        <w:spacing w:line="360" w:lineRule="auto"/>
        <w:rPr>
          <w:bCs/>
          <w:lang w:eastAsia="nl-NL"/>
        </w:rPr>
      </w:pPr>
    </w:p>
    <w:p w:rsidR="00652D1F" w:rsidRDefault="00652D1F" w:rsidP="009A7BF2">
      <w:pPr>
        <w:spacing w:line="360" w:lineRule="auto"/>
        <w:rPr>
          <w:bCs/>
          <w:lang w:eastAsia="nl-NL"/>
        </w:rPr>
      </w:pPr>
      <w:r>
        <w:rPr>
          <w:bCs/>
          <w:lang w:eastAsia="nl-NL"/>
        </w:rPr>
        <w:t>Marres leidt echter uit de overwegingen inzake de ‘fraus legis’-jurisprudentie af dat het benodigd is dat “</w:t>
      </w:r>
      <w:r w:rsidRPr="009B211A">
        <w:rPr>
          <w:bCs/>
          <w:i/>
          <w:iCs/>
          <w:lang w:eastAsia="nl-NL"/>
        </w:rPr>
        <w:t>de rechtshandelingen ook hadden plaatsgevonden zonder de fiscale motieven</w:t>
      </w:r>
      <w:r>
        <w:rPr>
          <w:bCs/>
          <w:lang w:eastAsia="nl-NL"/>
        </w:rPr>
        <w:t>”.</w:t>
      </w:r>
      <w:r>
        <w:rPr>
          <w:rStyle w:val="Voetnootmarkering"/>
          <w:bCs/>
          <w:lang w:eastAsia="nl-NL"/>
        </w:rPr>
        <w:footnoteReference w:id="75"/>
      </w:r>
      <w:r>
        <w:rPr>
          <w:bCs/>
          <w:lang w:eastAsia="nl-NL"/>
        </w:rPr>
        <w:t xml:space="preserve"> Mijns inziens dient dit de juiste interpretatie voor het overwegende mate criterium in artikel 10a te zijn. Dit omdat een handeling die zou zijn uitgevoerd zonder een fiscaal voordeel per definitie zakelijk dient te zijn. Als dit niet het geval zou zijn, zou dit betekenen dat fiscale voordelen uit zakelijk perspectief verantwoordbare acties zou kunnen beperken. Dat de wetgever eenzelfde mening is toegedaan kan volgens Marres ook worden afgeleid uit de wetsgeschiedenis. De wetgever stelt hierin het volgende;</w:t>
      </w:r>
    </w:p>
    <w:p w:rsidR="00652D1F" w:rsidRPr="00DF0760" w:rsidRDefault="00652D1F" w:rsidP="00AC0BC5">
      <w:pPr>
        <w:spacing w:line="360" w:lineRule="auto"/>
        <w:rPr>
          <w:bCs/>
          <w:lang w:eastAsia="nl-NL"/>
        </w:rPr>
      </w:pPr>
    </w:p>
    <w:p w:rsidR="00652D1F" w:rsidRDefault="00652D1F" w:rsidP="00AC0BC5">
      <w:pPr>
        <w:autoSpaceDE w:val="0"/>
        <w:autoSpaceDN w:val="0"/>
        <w:adjustRightInd w:val="0"/>
        <w:spacing w:line="360" w:lineRule="auto"/>
        <w:rPr>
          <w:rFonts w:eastAsia="Times New Roman"/>
          <w:lang w:eastAsia="en-US"/>
        </w:rPr>
      </w:pPr>
      <w:r>
        <w:rPr>
          <w:rFonts w:eastAsia="Times New Roman"/>
          <w:lang w:eastAsia="en-US"/>
        </w:rPr>
        <w:t>”</w:t>
      </w:r>
      <w:r w:rsidRPr="009B211A">
        <w:rPr>
          <w:rFonts w:eastAsia="Times New Roman"/>
          <w:i/>
          <w:iCs/>
          <w:lang w:eastAsia="en-US"/>
        </w:rPr>
        <w:t>De belastingplichtige kan vervolgens weer aannemelijk maken dat er geen sprake is van fraus legis, bijvoorbeeld omdat ook niet-fiscale motieven in overwegende mate een rol hebben gespeeld bij het aangaan van de rechtshandelingen</w:t>
      </w:r>
      <w:r>
        <w:rPr>
          <w:rFonts w:eastAsia="Times New Roman"/>
          <w:lang w:eastAsia="en-US"/>
        </w:rPr>
        <w:t>”</w:t>
      </w:r>
      <w:r>
        <w:rPr>
          <w:rStyle w:val="Voetnootmarkering"/>
          <w:rFonts w:eastAsia="Times New Roman"/>
          <w:lang w:eastAsia="en-US"/>
        </w:rPr>
        <w:footnoteReference w:id="76"/>
      </w:r>
    </w:p>
    <w:p w:rsidR="00652D1F" w:rsidRDefault="00652D1F" w:rsidP="00AC0BC5">
      <w:pPr>
        <w:spacing w:line="360" w:lineRule="auto"/>
        <w:rPr>
          <w:rFonts w:eastAsia="Times New Roman"/>
          <w:lang w:eastAsia="en-US"/>
        </w:rPr>
      </w:pPr>
    </w:p>
    <w:p w:rsidR="00652D1F" w:rsidRPr="00DF0760" w:rsidRDefault="00652D1F" w:rsidP="00AC0BC5">
      <w:pPr>
        <w:spacing w:line="360" w:lineRule="auto"/>
        <w:rPr>
          <w:bCs/>
          <w:lang w:eastAsia="nl-NL"/>
        </w:rPr>
      </w:pPr>
      <w:r>
        <w:rPr>
          <w:rFonts w:eastAsia="Times New Roman"/>
          <w:lang w:eastAsia="en-US"/>
        </w:rPr>
        <w:t>Uit de wijze waarop de wetgever het woord ‘ook’ toepast in de bovenstaande passage blijkt mijns inziens dat een fiscale motief niet prohibitief dient te zijn, mits de handeling ook had plaatsgevonden zonder deze. Daarnaast kan men uit de eerder genoemde rechtsoverweging van de Hoge Raad BNB 2010/215, waarin de Hoge Raad rept over het ‘doorslaggevende motief,’ afleiden dat de rechterlijke macht een zelfde mening is toegedaan.</w:t>
      </w:r>
    </w:p>
    <w:p w:rsidR="00652D1F" w:rsidRDefault="00652D1F" w:rsidP="00AC0BC5">
      <w:pPr>
        <w:spacing w:line="360" w:lineRule="auto"/>
        <w:rPr>
          <w:bCs/>
          <w:lang w:eastAsia="nl-NL"/>
        </w:rPr>
      </w:pPr>
    </w:p>
    <w:p w:rsidR="00652D1F"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2.4.3 Verband</w:t>
      </w:r>
    </w:p>
    <w:p w:rsidR="00652D1F" w:rsidRPr="00347436"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 xml:space="preserve">2.4.3.1 </w:t>
      </w:r>
      <w:r w:rsidRPr="00347436">
        <w:rPr>
          <w:b/>
          <w:u w:val="single"/>
        </w:rPr>
        <w:t>visie wetgevende en uitvoerende macht</w:t>
      </w:r>
    </w:p>
    <w:p w:rsidR="00652D1F" w:rsidRPr="00347436" w:rsidRDefault="00652D1F" w:rsidP="00AC0BC5">
      <w:pPr>
        <w:spacing w:line="360" w:lineRule="auto"/>
        <w:rPr>
          <w:b/>
          <w:u w:val="single"/>
        </w:rPr>
      </w:pPr>
    </w:p>
    <w:p w:rsidR="00652D1F" w:rsidRDefault="00652D1F" w:rsidP="00AB4BD2">
      <w:pPr>
        <w:spacing w:line="360" w:lineRule="auto"/>
        <w:rPr>
          <w:b/>
          <w:u w:val="single"/>
        </w:rPr>
      </w:pPr>
      <w:r w:rsidRPr="00347436">
        <w:t>Uit de wettekst en de parlementaire behandeling kan worden o</w:t>
      </w:r>
      <w:r>
        <w:t xml:space="preserve">pgemaakt dat de term ‘verband’ </w:t>
      </w:r>
      <w:r w:rsidRPr="00347436">
        <w:t xml:space="preserve">ruim dient te worden opgevat. Deze bedoeling is met name expliciet gemaakt door de opname in artikel 10a van, het sinds 2007, </w:t>
      </w:r>
      <w:r>
        <w:t>ver</w:t>
      </w:r>
      <w:r w:rsidRPr="00347436">
        <w:t>nieuw</w:t>
      </w:r>
      <w:r>
        <w:t>d</w:t>
      </w:r>
      <w:r w:rsidRPr="00347436">
        <w:t>e tweede lid</w:t>
      </w:r>
      <w:r>
        <w:t xml:space="preserve"> alsmede de toevoeging van ‘</w:t>
      </w:r>
      <w:r w:rsidRPr="00071577">
        <w:t>direct of indirect</w:t>
      </w:r>
      <w:r>
        <w:t>’ voor de term ‘verband’ in de wettekst.</w:t>
      </w:r>
      <w:r w:rsidRPr="00347436">
        <w:t xml:space="preserve"> Hierin wordt namelijk bepaald dat het verband ook tot stand kan komen als de schuldverhouding </w:t>
      </w:r>
      <w:r>
        <w:t>is ontstaan</w:t>
      </w:r>
      <w:r w:rsidRPr="00347436">
        <w:t xml:space="preserve"> na de uitvoering van de desbetreffende </w:t>
      </w:r>
      <w:r w:rsidRPr="007C6A08">
        <w:t>rechtshandeling.</w:t>
      </w:r>
      <w:r w:rsidR="00122561" w:rsidRPr="007C6A08">
        <w:rPr>
          <w:rStyle w:val="Voetnootmarkering"/>
        </w:rPr>
        <w:t xml:space="preserve"> </w:t>
      </w:r>
      <w:r w:rsidR="00122561" w:rsidRPr="007C6A08">
        <w:rPr>
          <w:rStyle w:val="Voetnootmarkering"/>
        </w:rPr>
        <w:footnoteReference w:id="77"/>
      </w:r>
      <w:r w:rsidR="00122561" w:rsidRPr="007C6A08">
        <w:t xml:space="preserve"> </w:t>
      </w:r>
      <w:r w:rsidRPr="007C6A08">
        <w:t xml:space="preserve"> De wetgever merkt hierover in de parlementaire behandeling op dat het voor het aannemen van een verband niet is vereist dat het concrete voornemen tot het creëren van de schuldverhouding reeds bestond op het moment van het uitvoeren van de rechtshandeling.</w:t>
      </w:r>
      <w:r w:rsidRPr="007C6A08">
        <w:rPr>
          <w:rStyle w:val="Voetnootmarkering"/>
        </w:rPr>
        <w:footnoteReference w:id="78"/>
      </w:r>
      <w:r w:rsidRPr="007C6A08">
        <w:t xml:space="preserve"> De</w:t>
      </w:r>
      <w:r w:rsidRPr="00347436">
        <w:t xml:space="preserve"> </w:t>
      </w:r>
      <w:r>
        <w:t>Staatssecretaris</w:t>
      </w:r>
      <w:r w:rsidRPr="00347436">
        <w:t xml:space="preserve"> </w:t>
      </w:r>
      <w:r>
        <w:t xml:space="preserve">stelt zich, </w:t>
      </w:r>
      <w:r w:rsidRPr="00347436">
        <w:t>met betrekking tot het beleid</w:t>
      </w:r>
      <w:r>
        <w:t xml:space="preserve">, </w:t>
      </w:r>
      <w:r w:rsidRPr="00347436">
        <w:t xml:space="preserve">op </w:t>
      </w:r>
      <w:r>
        <w:t xml:space="preserve">het standpunt </w:t>
      </w:r>
      <w:r w:rsidRPr="00347436">
        <w:t xml:space="preserve">dat artikel 10a </w:t>
      </w:r>
      <w:r>
        <w:t>e</w:t>
      </w:r>
      <w:r w:rsidRPr="00347436">
        <w:t>en jaarlijkse toets betreft</w:t>
      </w:r>
      <w:r>
        <w:t>.</w:t>
      </w:r>
      <w:r w:rsidRPr="00347436">
        <w:rPr>
          <w:rStyle w:val="Voetnootmarkering"/>
        </w:rPr>
        <w:footnoteReference w:id="79"/>
      </w:r>
      <w:r w:rsidRPr="00347436">
        <w:t xml:space="preserve"> Hieruit valt </w:t>
      </w:r>
      <w:r>
        <w:t xml:space="preserve">mijns inziens </w:t>
      </w:r>
      <w:r w:rsidRPr="00347436">
        <w:t xml:space="preserve">op te maken dat er geen duidelijk voornemen </w:t>
      </w:r>
      <w:r>
        <w:t>hoef</w:t>
      </w:r>
      <w:r w:rsidRPr="00347436">
        <w:t xml:space="preserve">t te </w:t>
      </w:r>
      <w:r>
        <w:t>bestaan</w:t>
      </w:r>
      <w:r w:rsidRPr="00347436">
        <w:t xml:space="preserve"> voor de toepassing van deze bepaling</w:t>
      </w:r>
      <w:r>
        <w:t>, e</w:t>
      </w:r>
      <w:r w:rsidRPr="00347436">
        <w:t>r dient enkel aan de formele o</w:t>
      </w:r>
      <w:r>
        <w:t>mstandigheden te worden voldaan. H</w:t>
      </w:r>
      <w:r w:rsidRPr="00347436">
        <w:t>et begrip ‘</w:t>
      </w:r>
      <w:r>
        <w:t>verband</w:t>
      </w:r>
      <w:r w:rsidRPr="00347436">
        <w:t>’ in de wetsbepaling lijkt daarmee te zijn verstoken van reële inhoud.</w:t>
      </w:r>
      <w:r>
        <w:t xml:space="preserve"> </w:t>
      </w: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2.4.3.2</w:t>
      </w:r>
      <w:r w:rsidRPr="00347436">
        <w:rPr>
          <w:b/>
          <w:u w:val="single"/>
        </w:rPr>
        <w:t xml:space="preserve"> visie rechterlijke macht</w:t>
      </w:r>
    </w:p>
    <w:p w:rsidR="00652D1F" w:rsidRPr="00347436" w:rsidRDefault="00652D1F" w:rsidP="00AC0BC5">
      <w:pPr>
        <w:spacing w:line="360" w:lineRule="auto"/>
        <w:rPr>
          <w:b/>
          <w:u w:val="single"/>
        </w:rPr>
      </w:pPr>
    </w:p>
    <w:p w:rsidR="00652D1F" w:rsidRPr="00347436" w:rsidRDefault="00652D1F" w:rsidP="00AB4BD2">
      <w:pPr>
        <w:spacing w:line="360" w:lineRule="auto"/>
      </w:pPr>
      <w:r w:rsidRPr="00347436">
        <w:t>In de jurisprudentie is de invulling van het begrip ‘</w:t>
      </w:r>
      <w:r>
        <w:t>verband</w:t>
      </w:r>
      <w:r w:rsidRPr="00347436">
        <w:t>’</w:t>
      </w:r>
      <w:r>
        <w:t>,</w:t>
      </w:r>
      <w:r w:rsidRPr="00347436">
        <w:t xml:space="preserve"> in de context van artikel 10a</w:t>
      </w:r>
      <w:r>
        <w:t>,</w:t>
      </w:r>
      <w:r w:rsidRPr="00347436">
        <w:t xml:space="preserve"> meerdere malen aan de orde geweest, tw</w:t>
      </w:r>
      <w:r>
        <w:t>ee belangwekkende arresten daarover</w:t>
      </w:r>
      <w:r w:rsidRPr="00347436">
        <w:t xml:space="preserve"> zijn BNB 2005/51 en BNB 2005/304.</w:t>
      </w:r>
      <w:r w:rsidR="00122561">
        <w:rPr>
          <w:rStyle w:val="Voetnootmarkering"/>
        </w:rPr>
        <w:footnoteReference w:id="80"/>
      </w:r>
      <w:r w:rsidRPr="00347436">
        <w:t xml:space="preserve"> BNB 2005/51 </w:t>
      </w:r>
      <w:r>
        <w:t>draaide om</w:t>
      </w:r>
      <w:r w:rsidRPr="00347436">
        <w:t xml:space="preserve"> een vennootschap die een hotel uitbaatte, wiens aandelen werden gehouden door een stichting. In oktober 1997 besloot de vennootschap tot het uitkeren van een dividend aan haar </w:t>
      </w:r>
      <w:r>
        <w:t xml:space="preserve">enig </w:t>
      </w:r>
      <w:r w:rsidRPr="00347436">
        <w:t xml:space="preserve">aandeelhouder, waarna zij in januari 1998 ter financiering van de verbouwing van </w:t>
      </w:r>
      <w:r w:rsidR="00BF6412">
        <w:t>een deel van het hotel</w:t>
      </w:r>
      <w:r>
        <w:t xml:space="preserve"> een lening aantrok van dez</w:t>
      </w:r>
      <w:r w:rsidR="00BF6412">
        <w:t>e z</w:t>
      </w:r>
      <w:r>
        <w:t>elfde</w:t>
      </w:r>
      <w:r w:rsidRPr="00347436">
        <w:t xml:space="preserve"> aandeelhouder. De inspecteur stel</w:t>
      </w:r>
      <w:r>
        <w:t>de</w:t>
      </w:r>
      <w:r w:rsidRPr="00347436">
        <w:t xml:space="preserve"> zich op het standpunt dat in d</w:t>
      </w:r>
      <w:r>
        <w:t>eze artikel 10a toepassing diende</w:t>
      </w:r>
      <w:r w:rsidRPr="00347436">
        <w:t xml:space="preserve"> te </w:t>
      </w:r>
      <w:r>
        <w:t>vinden. Hof Den Haag besloot</w:t>
      </w:r>
      <w:r w:rsidRPr="00347436">
        <w:t xml:space="preserve"> echter dat het b</w:t>
      </w:r>
      <w:r>
        <w:t>enodigde verband tussen de recht</w:t>
      </w:r>
      <w:r w:rsidRPr="00347436">
        <w:t>shandeli</w:t>
      </w:r>
      <w:r>
        <w:t>ng en de schuldverhouding ontbrak. De Hoge Raad stelde in cassatie</w:t>
      </w:r>
      <w:r w:rsidRPr="00347436">
        <w:t xml:space="preserve"> dat “</w:t>
      </w:r>
      <w:r>
        <w:rPr>
          <w:i/>
          <w:iCs/>
        </w:rPr>
        <w:t>h</w:t>
      </w:r>
      <w:r w:rsidRPr="00071577">
        <w:rPr>
          <w:i/>
          <w:iCs/>
        </w:rPr>
        <w:t>et oordeel van het Hof (..) geen blijk</w:t>
      </w:r>
      <w:r w:rsidRPr="00347436">
        <w:t>” g</w:t>
      </w:r>
      <w:r>
        <w:t>af</w:t>
      </w:r>
      <w:r w:rsidRPr="00347436">
        <w:t xml:space="preserve"> “</w:t>
      </w:r>
      <w:r w:rsidRPr="00071577">
        <w:rPr>
          <w:i/>
          <w:iCs/>
        </w:rPr>
        <w:t>van een onjuiste rechtsopvatting</w:t>
      </w:r>
      <w:r w:rsidRPr="00347436">
        <w:t>”</w:t>
      </w:r>
      <w:r w:rsidRPr="00347436">
        <w:rPr>
          <w:rStyle w:val="Voetnootmarkering"/>
        </w:rPr>
        <w:footnoteReference w:id="81"/>
      </w:r>
      <w:r>
        <w:t>, noch diende</w:t>
      </w:r>
      <w:r w:rsidRPr="00347436">
        <w:t xml:space="preserve"> dit</w:t>
      </w:r>
      <w:r>
        <w:t xml:space="preserve"> oordeel</w:t>
      </w:r>
      <w:r w:rsidRPr="00347436">
        <w:t xml:space="preserve"> volgens de Hoge Raad als onbegrijpelijk te worden gezien.</w:t>
      </w:r>
    </w:p>
    <w:p w:rsidR="00652D1F" w:rsidRPr="00347436" w:rsidRDefault="00652D1F" w:rsidP="00AC0BC5">
      <w:pPr>
        <w:spacing w:line="360" w:lineRule="auto"/>
      </w:pPr>
    </w:p>
    <w:p w:rsidR="00652D1F" w:rsidRPr="00347436" w:rsidRDefault="00652D1F" w:rsidP="009C1BC8">
      <w:pPr>
        <w:spacing w:line="360" w:lineRule="auto"/>
      </w:pPr>
      <w:r w:rsidRPr="00347436">
        <w:t>Hof Den Haag oordee</w:t>
      </w:r>
      <w:r>
        <w:t>lde dat, ondanks het feit dat</w:t>
      </w:r>
      <w:r w:rsidRPr="00347436">
        <w:t xml:space="preserve"> op </w:t>
      </w:r>
      <w:r>
        <w:t xml:space="preserve">het </w:t>
      </w:r>
      <w:r w:rsidRPr="00347436">
        <w:t>moment van de declaratie van het dividend de b</w:t>
      </w:r>
      <w:r w:rsidR="00122561">
        <w:t>elanghebbende reeds bewust</w:t>
      </w:r>
      <w:r w:rsidRPr="00347436">
        <w:t xml:space="preserve"> was van de op handen zijnde financieringsbehoefte</w:t>
      </w:r>
      <w:r>
        <w:t>,</w:t>
      </w:r>
      <w:r w:rsidRPr="00347436">
        <w:t xml:space="preserve"> </w:t>
      </w:r>
      <w:r>
        <w:t xml:space="preserve">dit </w:t>
      </w:r>
      <w:r w:rsidRPr="00347436">
        <w:t xml:space="preserve">niet voldoende was </w:t>
      </w:r>
      <w:r>
        <w:t>om vast te stellen dat er sprake was</w:t>
      </w:r>
      <w:r w:rsidRPr="00347436">
        <w:t xml:space="preserve"> van een verband tussen </w:t>
      </w:r>
      <w:r>
        <w:t>deze twee. Dit voornamelijk vanwege</w:t>
      </w:r>
      <w:r w:rsidRPr="00347436">
        <w:t xml:space="preserve"> het feit dat er ten tijde van de uitkering van het dividend geen concrete plannen bestonden in deze behoefte te voorzien door middel van het aantrekken van een lening bij de aandeelhouder. </w:t>
      </w:r>
      <w:r w:rsidR="00122561">
        <w:t>Het feit</w:t>
      </w:r>
      <w:r w:rsidRPr="00347436">
        <w:t xml:space="preserve"> dat de vennootschap ook een lening had kunnen aantrekken bij een externe inst</w:t>
      </w:r>
      <w:r>
        <w:t>elling deed hieraan volgens</w:t>
      </w:r>
      <w:r w:rsidRPr="00347436">
        <w:t xml:space="preserve"> Hof</w:t>
      </w:r>
      <w:r>
        <w:t xml:space="preserve"> Den Haag</w:t>
      </w:r>
      <w:r w:rsidRPr="00347436">
        <w:t xml:space="preserve"> niets af. Hieruit valt </w:t>
      </w:r>
      <w:r>
        <w:t>mijns inziens op te maken dat</w:t>
      </w:r>
      <w:r w:rsidRPr="00347436">
        <w:t xml:space="preserve"> Hof </w:t>
      </w:r>
      <w:r>
        <w:t xml:space="preserve">Den Haag </w:t>
      </w:r>
      <w:r w:rsidRPr="00347436">
        <w:t>en de Hoge Raad een concreet verband tussen beiden vereisen</w:t>
      </w:r>
      <w:r>
        <w:t>,</w:t>
      </w:r>
      <w:r w:rsidRPr="00347436">
        <w:t xml:space="preserve"> een vooropgesteld plan aldus. Daarnaast blijkt ook duidelijk dat de eigen ondernemingsvrijheid wordt gerespecteerd, de vennootschap kr</w:t>
      </w:r>
      <w:r>
        <w:t>eeg namelijk de ruimte van</w:t>
      </w:r>
      <w:r w:rsidRPr="00347436">
        <w:t xml:space="preserve"> Hof</w:t>
      </w:r>
      <w:r>
        <w:t xml:space="preserve"> Den Haag</w:t>
      </w:r>
      <w:r w:rsidRPr="00347436">
        <w:t xml:space="preserve"> en de Hoge Raad </w:t>
      </w:r>
      <w:r>
        <w:t>zelf invulling te geven aan</w:t>
      </w:r>
      <w:r w:rsidRPr="00347436">
        <w:t xml:space="preserve"> hoe zij aan </w:t>
      </w:r>
      <w:r>
        <w:t>haar</w:t>
      </w:r>
      <w:r w:rsidRPr="00347436">
        <w:t xml:space="preserve"> financieringsbehoefte wens</w:t>
      </w:r>
      <w:r>
        <w:t>te</w:t>
      </w:r>
      <w:r w:rsidRPr="00347436">
        <w:t xml:space="preserve"> te voldoen</w:t>
      </w:r>
      <w:r>
        <w:t>.</w:t>
      </w:r>
      <w:r w:rsidRPr="00347436">
        <w:rPr>
          <w:rStyle w:val="Voetnootmarkering"/>
        </w:rPr>
        <w:footnoteReference w:id="82"/>
      </w:r>
      <w:r w:rsidRPr="00347436">
        <w:t xml:space="preserve"> Wel dient hier bij aangetekend te worden dat de voorwaarden bij de bank ongunstiger waren, dus vanuit bedrijfseconomisch perspectief was dit ook het beste alternatief.</w:t>
      </w:r>
      <w:r>
        <w:rPr>
          <w:rStyle w:val="Voetnootmarkering"/>
        </w:rPr>
        <w:footnoteReference w:id="83"/>
      </w:r>
      <w:r w:rsidRPr="00347436">
        <w:t xml:space="preserve"> </w:t>
      </w:r>
      <w:r w:rsidR="00122561">
        <w:rPr>
          <w:rStyle w:val="Voetnootmarkering"/>
        </w:rPr>
        <w:footnoteReference w:id="84"/>
      </w:r>
    </w:p>
    <w:p w:rsidR="00652D1F" w:rsidRPr="00347436" w:rsidRDefault="00652D1F" w:rsidP="00AC0BC5">
      <w:pPr>
        <w:spacing w:line="360" w:lineRule="auto"/>
      </w:pPr>
    </w:p>
    <w:p w:rsidR="00652D1F" w:rsidRPr="00347436" w:rsidRDefault="00652D1F" w:rsidP="00781035">
      <w:pPr>
        <w:spacing w:line="360" w:lineRule="auto"/>
      </w:pPr>
      <w:r w:rsidRPr="007C6A08">
        <w:t xml:space="preserve">BNB 2005/304 draaide om een vennootschap, X BV, wiens aandelen werden gehouden door een Franse rechtspersoon, I SA, terwijl X BV zelf alle aandelen hield in een Belgische vennootschap H. X BV deed in 1988 een kapitaalstorting in H, waarna H in 1989 een bedrag uitleende aan I SA. Vervolgens heeft X BV twee bedragen geleend, allereerst leende zij geld van I SA om een deelneming, J BV, aan te kunnen schaffen, waarna zij in de periode 1990 t/m 1992 verscheidene bedragen van H leende om de voorgenoemde schuld te kunnen aflossen. Volgens de inspecteur was er in deze sprake van een </w:t>
      </w:r>
      <w:r w:rsidR="007C6A08">
        <w:t>geval</w:t>
      </w:r>
      <w:r w:rsidRPr="007C6A08">
        <w:t xml:space="preserve"> als bedoeld in artikel 10a lid 2 sub c, zijns inziens had de lening van X BV aan I SA niet hoeven te ontstaan als de eerdere kapitaalstorting niet had plaatsgevonden. De inspecteur stelde hierin de aanwezigheid van een onderling verband. Hof Arnhem overwoog dat de grote overeenkomst tussen het gestorte, doorgeleende en geleende bedrag de aanwezigheid van een verband deed vermoeden. Volgens Hof Arnhem diende de belanghebbende</w:t>
      </w:r>
      <w:r>
        <w:t xml:space="preserve"> dit vermoeden te ontkrachten,</w:t>
      </w:r>
      <w:r w:rsidRPr="00347436">
        <w:t xml:space="preserve"> belanghebbende slaagde hier niet in</w:t>
      </w:r>
      <w:r>
        <w:t>.</w:t>
      </w:r>
      <w:r w:rsidRPr="00347436">
        <w:rPr>
          <w:rStyle w:val="Voetnootmarkering"/>
        </w:rPr>
        <w:footnoteReference w:id="85"/>
      </w:r>
    </w:p>
    <w:p w:rsidR="00652D1F" w:rsidRPr="00347436" w:rsidRDefault="00652D1F" w:rsidP="00AC0BC5">
      <w:pPr>
        <w:spacing w:line="360" w:lineRule="auto"/>
      </w:pPr>
    </w:p>
    <w:p w:rsidR="00652D1F" w:rsidRPr="00347436" w:rsidRDefault="00652D1F" w:rsidP="00AC0BC5">
      <w:pPr>
        <w:spacing w:line="360" w:lineRule="auto"/>
      </w:pPr>
      <w:r w:rsidRPr="00347436">
        <w:t>I</w:t>
      </w:r>
      <w:r>
        <w:t>n cassatie vernietigde de Hoge R</w:t>
      </w:r>
      <w:r w:rsidRPr="00347436">
        <w:t>aad het oordeel van Hof Arnhem met de volgende overweging; “</w:t>
      </w:r>
      <w:r w:rsidRPr="00781035">
        <w:rPr>
          <w:i/>
          <w:iCs/>
        </w:rPr>
        <w:t>hiervan uitgaande kan, reeds omdat belanghebbende te tijde van het verrichten van de kapitaalstorting in H nog niet het voornemen had de aandelen in J te verwerven, geen andere gevolgtrekking worden gemaakt dan dat de onderhavige geldleningen geen verband houden in de zin van artikel 10a, lid 2, letter c</w:t>
      </w:r>
      <w:r w:rsidRPr="00347436">
        <w:t>.”</w:t>
      </w:r>
      <w:r w:rsidRPr="00347436">
        <w:rPr>
          <w:rStyle w:val="Voetnootmarkering"/>
        </w:rPr>
        <w:footnoteReference w:id="86"/>
      </w:r>
      <w:r w:rsidRPr="00347436">
        <w:t xml:space="preserve"> Ditmaal g</w:t>
      </w:r>
      <w:r>
        <w:t>af</w:t>
      </w:r>
      <w:r w:rsidRPr="00347436">
        <w:t xml:space="preserve"> de Hoge Raad expliciet aan, hetgeen zij in BNB 2005/51 reeds bevestigde, </w:t>
      </w:r>
      <w:r>
        <w:t xml:space="preserve">dat </w:t>
      </w:r>
      <w:r w:rsidRPr="00347436">
        <w:t>voor het aanwezig zijn van een verband</w:t>
      </w:r>
      <w:r>
        <w:t>,</w:t>
      </w:r>
      <w:r w:rsidRPr="00347436">
        <w:t xml:space="preserve"> in de zin van artikel 10a</w:t>
      </w:r>
      <w:r>
        <w:t>,</w:t>
      </w:r>
      <w:r w:rsidRPr="00347436">
        <w:t xml:space="preserve"> dient er een concreet verband tussen de verscheidene handelingen </w:t>
      </w:r>
      <w:r>
        <w:t xml:space="preserve">dient </w:t>
      </w:r>
      <w:r w:rsidRPr="00347436">
        <w:t xml:space="preserve">te bestaan, </w:t>
      </w:r>
      <w:r>
        <w:t xml:space="preserve">zoals </w:t>
      </w:r>
      <w:r w:rsidRPr="00347436">
        <w:t xml:space="preserve">bijvoorbeeld een concreet vaststelbaar voornemen. Het enkele aanwezig zijn van een voorzienbare behoefte dan wel een numeriek verband is niet </w:t>
      </w:r>
      <w:r>
        <w:t>voldoende</w:t>
      </w:r>
      <w:r w:rsidRPr="00347436">
        <w:t>, de Hoge Raad vereist ‘intentie tot’, een subjectief element</w:t>
      </w:r>
      <w:r>
        <w:t>.</w:t>
      </w:r>
      <w:r w:rsidRPr="00347436">
        <w:rPr>
          <w:rStyle w:val="Voetnootmarkering"/>
        </w:rPr>
        <w:footnoteReference w:id="87"/>
      </w:r>
      <w:r w:rsidRPr="00347436">
        <w:t xml:space="preserve"> De vraag </w:t>
      </w:r>
      <w:r>
        <w:t>komt echter op</w:t>
      </w:r>
      <w:r w:rsidRPr="00347436">
        <w:t xml:space="preserve"> of de Hoge Raad onder de huidige wetgeving tot een gelijkl</w:t>
      </w:r>
      <w:r>
        <w:t>uidend oordeel zou zijn gekomen.</w:t>
      </w:r>
      <w:r w:rsidRPr="00347436">
        <w:t xml:space="preserve"> </w:t>
      </w:r>
      <w:r>
        <w:t>B</w:t>
      </w:r>
      <w:r w:rsidRPr="00347436">
        <w:t>ij de aanpassingen a</w:t>
      </w:r>
      <w:r>
        <w:t>an artikel 10a heeft de wetgever</w:t>
      </w:r>
      <w:r w:rsidRPr="00347436">
        <w:t xml:space="preserve"> </w:t>
      </w:r>
      <w:r>
        <w:t xml:space="preserve">namelijk duidelijk </w:t>
      </w:r>
      <w:r w:rsidRPr="00347436">
        <w:t>aangegeven dat een concreet voornemen niet langer is vereist</w:t>
      </w:r>
      <w:r>
        <w:t xml:space="preserve"> en zichzelf daarmee van de bovenstaande jurisprudentie gedistantieerd.</w:t>
      </w:r>
      <w:r>
        <w:rPr>
          <w:rStyle w:val="Voetnootmarkering"/>
        </w:rPr>
        <w:footnoteReference w:id="88"/>
      </w:r>
      <w:r>
        <w:t xml:space="preserve"> Dit zal derhalve een aanzienlijke aanscherping ten opzichte van de ‘fraus legis’-jurisprudentie</w:t>
      </w:r>
      <w:r w:rsidRPr="00886C1F">
        <w:t xml:space="preserve"> </w:t>
      </w:r>
      <w:r>
        <w:t>inhouden, deze vereist namelijk een duidelijk subjectief element. Nu dat een verband mogelijk reeds uit een achteraf ontstane numerieke overeenkomst kan voortspruiten, lijkt dit element te zijn geminimaliseerd tot bijzaak.</w:t>
      </w:r>
    </w:p>
    <w:p w:rsidR="00652D1F" w:rsidRDefault="00652D1F" w:rsidP="00AC0BC5">
      <w:pPr>
        <w:spacing w:line="360" w:lineRule="auto"/>
      </w:pPr>
    </w:p>
    <w:p w:rsidR="00652D1F" w:rsidRDefault="00652D1F" w:rsidP="00AC0BC5">
      <w:pPr>
        <w:spacing w:line="360" w:lineRule="auto"/>
      </w:pPr>
    </w:p>
    <w:p w:rsidR="00652D1F" w:rsidRDefault="00652D1F" w:rsidP="00AC0BC5">
      <w:pPr>
        <w:spacing w:line="360" w:lineRule="auto"/>
      </w:pPr>
    </w:p>
    <w:p w:rsidR="00652D1F" w:rsidRDefault="00652D1F" w:rsidP="00AC0BC5">
      <w:pPr>
        <w:spacing w:line="360" w:lineRule="auto"/>
      </w:pPr>
    </w:p>
    <w:p w:rsidR="00652D1F" w:rsidRDefault="00652D1F" w:rsidP="00AC0BC5">
      <w:pPr>
        <w:spacing w:line="360" w:lineRule="auto"/>
      </w:pPr>
    </w:p>
    <w:p w:rsidR="00652D1F" w:rsidRPr="00347436" w:rsidRDefault="00652D1F" w:rsidP="00AC0BC5">
      <w:pPr>
        <w:spacing w:line="360" w:lineRule="auto"/>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r>
        <w:rPr>
          <w:b/>
          <w:bCs/>
          <w:u w:val="single"/>
        </w:rPr>
        <w:t xml:space="preserve">3 </w:t>
      </w:r>
      <w:r w:rsidRPr="00347436">
        <w:rPr>
          <w:b/>
          <w:bCs/>
          <w:u w:val="single"/>
        </w:rPr>
        <w:t xml:space="preserve">Toegang tot </w:t>
      </w:r>
      <w:r>
        <w:rPr>
          <w:b/>
          <w:bCs/>
          <w:u w:val="single"/>
        </w:rPr>
        <w:t>het Verdrag betreffende</w:t>
      </w:r>
      <w:r w:rsidRPr="00347436">
        <w:rPr>
          <w:b/>
          <w:bCs/>
          <w:u w:val="single"/>
        </w:rPr>
        <w:t xml:space="preserve"> de Werking van de Europese Unie</w:t>
      </w:r>
    </w:p>
    <w:p w:rsidR="00652D1F" w:rsidRPr="00347436" w:rsidRDefault="00652D1F" w:rsidP="00AC0BC5">
      <w:pPr>
        <w:spacing w:line="360" w:lineRule="auto"/>
        <w:rPr>
          <w:b/>
          <w:bCs/>
          <w:u w:val="single"/>
        </w:rPr>
      </w:pPr>
    </w:p>
    <w:p w:rsidR="00652D1F" w:rsidRPr="00347436" w:rsidRDefault="00652D1F" w:rsidP="00AB4BD2">
      <w:pPr>
        <w:spacing w:line="360" w:lineRule="auto"/>
        <w:rPr>
          <w:bCs/>
        </w:rPr>
      </w:pPr>
      <w:r w:rsidRPr="00347436">
        <w:rPr>
          <w:bCs/>
        </w:rPr>
        <w:t>Om een regeling</w:t>
      </w:r>
      <w:r>
        <w:rPr>
          <w:bCs/>
        </w:rPr>
        <w:t xml:space="preserve"> van een lidstaat</w:t>
      </w:r>
      <w:r w:rsidRPr="00347436">
        <w:rPr>
          <w:bCs/>
        </w:rPr>
        <w:t xml:space="preserve"> te kunnen toe</w:t>
      </w:r>
      <w:r>
        <w:rPr>
          <w:bCs/>
        </w:rPr>
        <w:t>tsen aan de vrijheden van het VwEU, dient de toepassing</w:t>
      </w:r>
      <w:r w:rsidRPr="00347436">
        <w:rPr>
          <w:bCs/>
        </w:rPr>
        <w:t xml:space="preserve"> van een regeling te voldoen aan de voorwaarden </w:t>
      </w:r>
      <w:r>
        <w:rPr>
          <w:bCs/>
        </w:rPr>
        <w:t xml:space="preserve">voor de toepassing </w:t>
      </w:r>
      <w:r w:rsidRPr="00347436">
        <w:rPr>
          <w:bCs/>
        </w:rPr>
        <w:t xml:space="preserve">van een van de </w:t>
      </w:r>
      <w:r>
        <w:rPr>
          <w:bCs/>
        </w:rPr>
        <w:t xml:space="preserve">daarin besloten </w:t>
      </w:r>
      <w:r w:rsidRPr="00347436">
        <w:rPr>
          <w:bCs/>
        </w:rPr>
        <w:t>vrijheden</w:t>
      </w:r>
      <w:r>
        <w:rPr>
          <w:bCs/>
        </w:rPr>
        <w:t>.</w:t>
      </w:r>
      <w:r w:rsidRPr="00347436">
        <w:rPr>
          <w:rStyle w:val="Voetnootmarkering"/>
          <w:bCs/>
        </w:rPr>
        <w:footnoteReference w:id="89"/>
      </w:r>
      <w:r w:rsidRPr="00347436">
        <w:rPr>
          <w:bCs/>
        </w:rPr>
        <w:t xml:space="preserve"> In het </w:t>
      </w:r>
      <w:r>
        <w:rPr>
          <w:bCs/>
        </w:rPr>
        <w:t xml:space="preserve">hier </w:t>
      </w:r>
      <w:r w:rsidRPr="00347436">
        <w:rPr>
          <w:bCs/>
        </w:rPr>
        <w:t xml:space="preserve">volgende </w:t>
      </w:r>
      <w:r>
        <w:rPr>
          <w:bCs/>
        </w:rPr>
        <w:t>hoofdstuk</w:t>
      </w:r>
      <w:r w:rsidRPr="00347436">
        <w:rPr>
          <w:bCs/>
        </w:rPr>
        <w:t xml:space="preserve"> za</w:t>
      </w:r>
      <w:r>
        <w:rPr>
          <w:bCs/>
        </w:rPr>
        <w:t>l de toegang tot het Vw</w:t>
      </w:r>
      <w:r w:rsidRPr="00347436">
        <w:rPr>
          <w:bCs/>
        </w:rPr>
        <w:t xml:space="preserve">EU in het geval van de toepassing van artikel 10a Wet </w:t>
      </w:r>
      <w:r>
        <w:rPr>
          <w:bCs/>
        </w:rPr>
        <w:t>VpB</w:t>
      </w:r>
      <w:r w:rsidRPr="00347436">
        <w:rPr>
          <w:bCs/>
        </w:rPr>
        <w:t xml:space="preserve"> worden bepaald. De vaststelling hiervan zal in twee stappen</w:t>
      </w:r>
      <w:r>
        <w:rPr>
          <w:bCs/>
        </w:rPr>
        <w:t xml:space="preserve"> plaatsvinden. Al</w:t>
      </w:r>
      <w:r w:rsidRPr="00347436">
        <w:rPr>
          <w:bCs/>
        </w:rPr>
        <w:t xml:space="preserve">lereerst zal worden bepaald welke vrijheden in potentie van toepassing zijn op artikel </w:t>
      </w:r>
      <w:r>
        <w:rPr>
          <w:bCs/>
        </w:rPr>
        <w:t>10a waarna,</w:t>
      </w:r>
      <w:r w:rsidRPr="00347436">
        <w:rPr>
          <w:bCs/>
        </w:rPr>
        <w:t xml:space="preserve"> aan de hand van de dominantieregel</w:t>
      </w:r>
      <w:r>
        <w:rPr>
          <w:bCs/>
        </w:rPr>
        <w:t>,</w:t>
      </w:r>
      <w:r w:rsidRPr="00347436">
        <w:rPr>
          <w:bCs/>
        </w:rPr>
        <w:t xml:space="preserve"> </w:t>
      </w:r>
      <w:r>
        <w:rPr>
          <w:bCs/>
        </w:rPr>
        <w:t xml:space="preserve">zal </w:t>
      </w:r>
      <w:r w:rsidRPr="00347436">
        <w:rPr>
          <w:bCs/>
        </w:rPr>
        <w:t>worden vastgesteld</w:t>
      </w:r>
      <w:r>
        <w:rPr>
          <w:bCs/>
        </w:rPr>
        <w:t xml:space="preserve"> of een van deze vrijhe</w:t>
      </w:r>
      <w:r w:rsidRPr="00347436">
        <w:rPr>
          <w:bCs/>
        </w:rPr>
        <w:t>d</w:t>
      </w:r>
      <w:r>
        <w:rPr>
          <w:bCs/>
        </w:rPr>
        <w:t>en</w:t>
      </w:r>
      <w:r w:rsidRPr="00347436">
        <w:rPr>
          <w:bCs/>
        </w:rPr>
        <w:t xml:space="preserve"> prioriteit dient te hebben. In het eerste deel zal de mogelijke toepasbaarheid van</w:t>
      </w:r>
      <w:r w:rsidRPr="00AE6C0B">
        <w:rPr>
          <w:bCs/>
        </w:rPr>
        <w:t xml:space="preserve"> </w:t>
      </w:r>
      <w:r w:rsidRPr="00347436">
        <w:rPr>
          <w:bCs/>
        </w:rPr>
        <w:t>de vrijheid van vestiging</w:t>
      </w:r>
      <w:r>
        <w:rPr>
          <w:bCs/>
        </w:rPr>
        <w:t>,</w:t>
      </w:r>
      <w:r w:rsidRPr="00347436">
        <w:rPr>
          <w:bCs/>
        </w:rPr>
        <w:t xml:space="preserve"> </w:t>
      </w:r>
      <w:r>
        <w:rPr>
          <w:bCs/>
        </w:rPr>
        <w:t>de vrijheid van kapitaalverkeer</w:t>
      </w:r>
      <w:r w:rsidRPr="00347436">
        <w:rPr>
          <w:bCs/>
        </w:rPr>
        <w:t xml:space="preserve"> en de vrijheid van diensten bij de toetsing van artikel 10a </w:t>
      </w:r>
      <w:r>
        <w:rPr>
          <w:bCs/>
        </w:rPr>
        <w:t>Wet VpB</w:t>
      </w:r>
      <w:r w:rsidRPr="00347436">
        <w:rPr>
          <w:bCs/>
        </w:rPr>
        <w:t xml:space="preserve"> </w:t>
      </w:r>
      <w:r>
        <w:rPr>
          <w:bCs/>
        </w:rPr>
        <w:t>worden besproken</w:t>
      </w:r>
      <w:r w:rsidRPr="00347436">
        <w:rPr>
          <w:bCs/>
        </w:rPr>
        <w:t>. In het tw</w:t>
      </w:r>
      <w:r>
        <w:rPr>
          <w:bCs/>
        </w:rPr>
        <w:t>eede deel zal de dominantieregel</w:t>
      </w:r>
      <w:r w:rsidRPr="00347436">
        <w:rPr>
          <w:bCs/>
        </w:rPr>
        <w:t xml:space="preserve"> worden besproken en </w:t>
      </w:r>
      <w:r>
        <w:rPr>
          <w:bCs/>
        </w:rPr>
        <w:t xml:space="preserve">zal er </w:t>
      </w:r>
      <w:r w:rsidRPr="00347436">
        <w:rPr>
          <w:bCs/>
        </w:rPr>
        <w:t xml:space="preserve">worden bepaald hoe deze uitwerkt in het geval van </w:t>
      </w:r>
      <w:r>
        <w:rPr>
          <w:bCs/>
        </w:rPr>
        <w:t>de toetsing van artikel 10a. In aanvulling hierop zal ook worden besproken wat de invloed is van misbruik op toegang tot het VwEU alsmede in welke gevallen lichamen die worden getroffen door artikel 10a aanspraak kunnen maken op de dominante vrijheid.</w:t>
      </w:r>
    </w:p>
    <w:p w:rsidR="00652D1F" w:rsidRDefault="00652D1F" w:rsidP="00AC0BC5">
      <w:pPr>
        <w:spacing w:line="360" w:lineRule="auto"/>
        <w:rPr>
          <w:b/>
          <w:bCs/>
          <w:u w:val="single"/>
        </w:rPr>
      </w:pPr>
    </w:p>
    <w:p w:rsidR="00652D1F" w:rsidRPr="00347436" w:rsidRDefault="00652D1F" w:rsidP="00AC0BC5">
      <w:pPr>
        <w:spacing w:line="360" w:lineRule="auto"/>
        <w:rPr>
          <w:b/>
          <w:bCs/>
          <w:u w:val="single"/>
        </w:rPr>
      </w:pPr>
    </w:p>
    <w:p w:rsidR="00652D1F" w:rsidRDefault="00652D1F" w:rsidP="00AC0BC5">
      <w:pPr>
        <w:spacing w:line="360" w:lineRule="auto"/>
        <w:rPr>
          <w:b/>
          <w:bCs/>
          <w:u w:val="single"/>
        </w:rPr>
      </w:pPr>
      <w:r>
        <w:rPr>
          <w:b/>
          <w:bCs/>
          <w:u w:val="single"/>
        </w:rPr>
        <w:t>3.1 Mogelijk van toepassing zijnde verdragsvrijheden</w:t>
      </w:r>
    </w:p>
    <w:p w:rsidR="00652D1F" w:rsidRDefault="00652D1F" w:rsidP="00AC0BC5">
      <w:pPr>
        <w:spacing w:line="360" w:lineRule="auto"/>
        <w:rPr>
          <w:b/>
          <w:bCs/>
          <w:u w:val="single"/>
        </w:rPr>
      </w:pPr>
    </w:p>
    <w:p w:rsidR="00652D1F" w:rsidRPr="00EA6BDE" w:rsidRDefault="00652D1F" w:rsidP="00AC0BC5">
      <w:pPr>
        <w:spacing w:line="360" w:lineRule="auto"/>
        <w:rPr>
          <w:b/>
          <w:bCs/>
          <w:u w:val="single"/>
        </w:rPr>
      </w:pPr>
      <w:r>
        <w:rPr>
          <w:b/>
          <w:bCs/>
          <w:u w:val="single"/>
        </w:rPr>
        <w:t>3.1</w:t>
      </w:r>
      <w:r w:rsidRPr="00EA6BDE">
        <w:rPr>
          <w:b/>
          <w:bCs/>
          <w:u w:val="single"/>
        </w:rPr>
        <w:t>.1 Vrijheid van vestiging</w:t>
      </w:r>
    </w:p>
    <w:p w:rsidR="00652D1F" w:rsidRPr="00347436" w:rsidRDefault="00652D1F" w:rsidP="00AC0BC5">
      <w:pPr>
        <w:spacing w:line="360" w:lineRule="auto"/>
        <w:rPr>
          <w:u w:val="single"/>
        </w:rPr>
      </w:pPr>
    </w:p>
    <w:p w:rsidR="00652D1F" w:rsidRPr="00347436" w:rsidRDefault="00652D1F" w:rsidP="009C1BC8">
      <w:pPr>
        <w:spacing w:line="360" w:lineRule="auto"/>
      </w:pPr>
      <w:r>
        <w:t>Art. 49 lid 1 van het VwEU bepaalt;</w:t>
      </w:r>
      <w:r w:rsidRPr="00347436">
        <w:t xml:space="preserve"> “</w:t>
      </w:r>
      <w:r w:rsidRPr="00071577">
        <w:rPr>
          <w:i/>
          <w:iCs/>
        </w:rPr>
        <w:t>In het kader van de volgende bepalingen zijn beperkingen van de vrijheid van vestiging voor onderdanen van een lidstaat op het grondgebied van een andere lidstaat verboden. Dit verbod heeft eveneens betrekking op beperkingen betreffende de oprichting van agentschappen, filialen of dochterondernemingen door de onderdanen van een lidstaat die op het grondgebied van een lidstaat zijn gevestigd</w:t>
      </w:r>
      <w:r w:rsidRPr="00347436">
        <w:t>.”</w:t>
      </w:r>
      <w:r w:rsidRPr="00347436">
        <w:rPr>
          <w:rStyle w:val="Voetnootmarkering"/>
        </w:rPr>
        <w:footnoteReference w:id="90"/>
      </w:r>
      <w:r>
        <w:t xml:space="preserve"> Uit hoofde van artikel 54 Vw</w:t>
      </w:r>
      <w:r w:rsidRPr="00347436">
        <w:t xml:space="preserve">EU is deze bepaling ook van toepassing op </w:t>
      </w:r>
      <w:r>
        <w:t>rechtspersonen</w:t>
      </w:r>
      <w:r w:rsidRPr="00347436">
        <w:t xml:space="preserve"> “</w:t>
      </w:r>
      <w:r w:rsidRPr="00071577">
        <w:rPr>
          <w:i/>
          <w:iCs/>
        </w:rPr>
        <w:t>welke hun statutaire zetel, hun hoofdbestuur of hun hoofdvestiging binnen de Unie hebben</w:t>
      </w:r>
      <w:r w:rsidRPr="00347436">
        <w:t>”</w:t>
      </w:r>
      <w:r>
        <w:t>.</w:t>
      </w:r>
      <w:r w:rsidRPr="00347436">
        <w:rPr>
          <w:rStyle w:val="Voetnootmarkering"/>
        </w:rPr>
        <w:footnoteReference w:id="91"/>
      </w:r>
      <w:r w:rsidRPr="00347436">
        <w:t xml:space="preserve"> De </w:t>
      </w:r>
      <w:r>
        <w:t>rechtspersonen</w:t>
      </w:r>
      <w:r w:rsidRPr="00347436">
        <w:t xml:space="preserve"> die hier in beginsel onder worden begrepen zijn</w:t>
      </w:r>
      <w:r>
        <w:t xml:space="preserve"> die “</w:t>
      </w:r>
      <w:r w:rsidRPr="00071577">
        <w:rPr>
          <w:i/>
          <w:iCs/>
        </w:rPr>
        <w:t xml:space="preserve"> naar publiek- en privaatrecht, met uitzondering van deze die geen winstoogmerk hebben</w:t>
      </w:r>
      <w:r w:rsidRPr="00347436">
        <w:t>.” Tevens heeft de Raad goedgekeurd dat vennootschappen zonder rechtspersoonlijkheid ook een beroep op de vrijheid van vestiging kunnen doen</w:t>
      </w:r>
      <w:r w:rsidRPr="00347436">
        <w:rPr>
          <w:rStyle w:val="Voetnootmarkering"/>
        </w:rPr>
        <w:footnoteReference w:id="92"/>
      </w:r>
      <w:r w:rsidRPr="00347436">
        <w:t xml:space="preserve">, derhalve zullen </w:t>
      </w:r>
      <w:r>
        <w:t xml:space="preserve">in beginsel </w:t>
      </w:r>
      <w:r w:rsidRPr="00347436">
        <w:t>alle in Nederland gevestigde vennootschapsbelastingplic</w:t>
      </w:r>
      <w:r>
        <w:t>htige entiteiten onder artikel 4</w:t>
      </w:r>
      <w:r w:rsidRPr="00347436">
        <w:t xml:space="preserve">9 </w:t>
      </w:r>
      <w:r>
        <w:t xml:space="preserve">kunnen </w:t>
      </w:r>
      <w:r w:rsidRPr="00347436">
        <w:t xml:space="preserve">vallen. Het winstoogmerkvereiste zou eventueel van invloed op de </w:t>
      </w:r>
      <w:r>
        <w:t>reikwijdte</w:t>
      </w:r>
      <w:r w:rsidRPr="00347436">
        <w:t xml:space="preserve"> van deze bepaling kunnen zijn, echter hier wordt in de literatuur een zeer beperkt toepassingsbereik aan toegekend</w:t>
      </w:r>
      <w:r>
        <w:t>.</w:t>
      </w:r>
      <w:r w:rsidRPr="00347436">
        <w:rPr>
          <w:rStyle w:val="Voetnootmarkering"/>
        </w:rPr>
        <w:footnoteReference w:id="93"/>
      </w:r>
      <w:r>
        <w:t xml:space="preserve"> Daarnaast zal artikel 10a in dergelijke situaties doorgaans geen toepassing vinden aangezien er geen belang is.</w:t>
      </w:r>
    </w:p>
    <w:p w:rsidR="00652D1F" w:rsidRPr="00347436" w:rsidRDefault="00652D1F" w:rsidP="00AC0BC5">
      <w:pPr>
        <w:spacing w:line="360" w:lineRule="auto"/>
      </w:pPr>
    </w:p>
    <w:p w:rsidR="00652D1F" w:rsidRPr="00347436" w:rsidRDefault="00652D1F" w:rsidP="008744A3">
      <w:pPr>
        <w:spacing w:line="360" w:lineRule="auto"/>
      </w:pPr>
      <w:r>
        <w:t>Een beroep op artikel 49 vereist</w:t>
      </w:r>
      <w:r w:rsidRPr="00347436">
        <w:t xml:space="preserve"> de aanwezigheid van een vestiging in een andere lidstaat. Uit de arresten Gebhard</w:t>
      </w:r>
      <w:r w:rsidR="004A142B">
        <w:t>,</w:t>
      </w:r>
      <w:r w:rsidRPr="00347436">
        <w:t xml:space="preserve"> </w:t>
      </w:r>
      <w:r w:rsidR="004A142B">
        <w:t xml:space="preserve">Polysar </w:t>
      </w:r>
      <w:r w:rsidRPr="00347436">
        <w:t>en Factortame</w:t>
      </w:r>
      <w:r>
        <w:t xml:space="preserve"> II</w:t>
      </w:r>
      <w:r w:rsidRPr="00347436">
        <w:t xml:space="preserve"> kan worden afgeleid wat er onder het begrip vestiging dient te worden verstaa</w:t>
      </w:r>
      <w:r>
        <w:t>n</w:t>
      </w:r>
      <w:r>
        <w:rPr>
          <w:rStyle w:val="Voetnootmarkering"/>
        </w:rPr>
        <w:footnoteReference w:id="94"/>
      </w:r>
      <w:r>
        <w:t>,</w:t>
      </w:r>
      <w:r w:rsidRPr="00347436">
        <w:t xml:space="preserve"> namelijk het uitvoeren v</w:t>
      </w:r>
      <w:r>
        <w:t>an een economische activiteit “</w:t>
      </w:r>
      <w:r w:rsidRPr="00071577">
        <w:rPr>
          <w:i/>
          <w:iCs/>
        </w:rPr>
        <w:t>door middel van een duurzame vestiging voor onbepaalde tijd in een andere lidstaat</w:t>
      </w:r>
      <w:r w:rsidRPr="00347436">
        <w:t>”</w:t>
      </w:r>
      <w:r>
        <w:t>.</w:t>
      </w:r>
      <w:r w:rsidRPr="00347436">
        <w:rPr>
          <w:rStyle w:val="Voetnootmarkering"/>
        </w:rPr>
        <w:footnoteReference w:id="95"/>
      </w:r>
      <w:r w:rsidRPr="00347436">
        <w:t xml:space="preserve"> Een economische activiteit dient in dit kader te worden geïnterpreteerd als een reële activiteit.</w:t>
      </w:r>
      <w:r w:rsidR="004A142B">
        <w:rPr>
          <w:rStyle w:val="Voetnootmarkering"/>
        </w:rPr>
        <w:footnoteReference w:id="96"/>
      </w:r>
      <w:r w:rsidRPr="00347436">
        <w:t xml:space="preserve"> Mijns inziens zal dit in bijna alle </w:t>
      </w:r>
      <w:r>
        <w:t>gevallen waar artikel 10a</w:t>
      </w:r>
      <w:r w:rsidRPr="00347436">
        <w:t xml:space="preserve"> Wet </w:t>
      </w:r>
      <w:r>
        <w:t>VpB</w:t>
      </w:r>
      <w:r w:rsidRPr="00347436">
        <w:t xml:space="preserve"> in een relevante wijze van toepassing kan worden op een secundaire vestiging in Nederl</w:t>
      </w:r>
      <w:r>
        <w:t>and het geval zijn. Dit</w:t>
      </w:r>
      <w:r w:rsidRPr="00347436">
        <w:t xml:space="preserve"> aangezien er </w:t>
      </w:r>
      <w:r>
        <w:t>in de overige gevallen doorgaans</w:t>
      </w:r>
      <w:r w:rsidRPr="00347436">
        <w:t xml:space="preserve"> geen belastbare winst zal zijn en derhalve geen belang. In bijvoorbeeld het geval van een passieve holdingcompany, welke ingevolge Polysar geen economische activiteit heeft</w:t>
      </w:r>
      <w:r w:rsidRPr="00347436">
        <w:rPr>
          <w:rStyle w:val="Voetnootmarkering"/>
        </w:rPr>
        <w:footnoteReference w:id="97"/>
      </w:r>
      <w:r w:rsidRPr="00347436">
        <w:t xml:space="preserve">, zal er </w:t>
      </w:r>
      <w:r>
        <w:t xml:space="preserve">in beginsel </w:t>
      </w:r>
      <w:r w:rsidRPr="00347436">
        <w:t>geen belastbare winst zijn vanwege de toepassing van de deelnemingsvrijstelling.</w:t>
      </w:r>
      <w:r>
        <w:rPr>
          <w:rStyle w:val="Voetnootmarkering"/>
        </w:rPr>
        <w:footnoteReference w:id="98"/>
      </w:r>
      <w:r w:rsidRPr="00347436">
        <w:t xml:space="preserve"> </w:t>
      </w:r>
      <w:r>
        <w:t>Terwijl er in de gevallen waar</w:t>
      </w:r>
      <w:r w:rsidRPr="00347436">
        <w:t xml:space="preserve"> er wel</w:t>
      </w:r>
      <w:r>
        <w:t xml:space="preserve"> belastbare</w:t>
      </w:r>
      <w:r w:rsidRPr="00347436">
        <w:t xml:space="preserve"> winst </w:t>
      </w:r>
      <w:r>
        <w:t>in Nederland opkomt, er</w:t>
      </w:r>
      <w:r w:rsidRPr="00347436">
        <w:t xml:space="preserve"> doorgaans oo</w:t>
      </w:r>
      <w:r>
        <w:t>k een economische activiteit zal plaatsvinden die deze genereert</w:t>
      </w:r>
      <w:r w:rsidRPr="00347436">
        <w:t>, bijvoorbeeld het management van investeringen</w:t>
      </w:r>
      <w:r>
        <w:t>.</w:t>
      </w:r>
      <w:r w:rsidRPr="00347436">
        <w:rPr>
          <w:rStyle w:val="Voetnootmarkering"/>
        </w:rPr>
        <w:footnoteReference w:id="99"/>
      </w:r>
      <w:r w:rsidRPr="00347436">
        <w:t xml:space="preserve"> </w:t>
      </w:r>
      <w:r>
        <w:t>Dit niet in de laatste plaats vanwege de grote gelijkenis tussen de voorwaarden voor het bestaan van de inkomstenbron ‘onderneming’</w:t>
      </w:r>
      <w:r>
        <w:rPr>
          <w:rStyle w:val="Voetnootmarkering"/>
        </w:rPr>
        <w:footnoteReference w:id="100"/>
      </w:r>
      <w:r>
        <w:t xml:space="preserve"> en het communautaire begrip ‘vestiging’. Hoewel een Nederlands vennootschapsbelastingplichtig lichaam, op grond van art. 2 lid 5 Wet VpB, natuurlijk wordt geacht een onderneming te drijven met zijn gehele vermogen. </w:t>
      </w:r>
      <w:r w:rsidRPr="00347436">
        <w:t xml:space="preserve">Een probleem zou zich eventueel wel kunnen voordoen bij samenloop van de toepassing van artikel 10a op een </w:t>
      </w:r>
      <w:r>
        <w:t xml:space="preserve">passieve </w:t>
      </w:r>
      <w:r w:rsidRPr="00347436">
        <w:t>holdingcompany met laagbelaste beleggingsdeelnemingen, in dat geval is er namelijk geen economische activiteit</w:t>
      </w:r>
      <w:r>
        <w:t>,</w:t>
      </w:r>
      <w:r w:rsidRPr="00347436">
        <w:t xml:space="preserve"> echter wel belastbare winst. </w:t>
      </w:r>
    </w:p>
    <w:p w:rsidR="00652D1F" w:rsidRPr="00347436" w:rsidRDefault="00652D1F" w:rsidP="00AC0BC5">
      <w:pPr>
        <w:spacing w:line="360" w:lineRule="auto"/>
      </w:pPr>
    </w:p>
    <w:p w:rsidR="00652D1F" w:rsidRPr="00347436" w:rsidRDefault="00652D1F" w:rsidP="00AC0BC5">
      <w:pPr>
        <w:spacing w:line="360" w:lineRule="auto"/>
        <w:rPr>
          <w:iCs/>
        </w:rPr>
      </w:pPr>
      <w:r w:rsidRPr="00347436">
        <w:t xml:space="preserve">Aan het vereiste van een duurzame vestiging moet volgens het </w:t>
      </w:r>
      <w:r>
        <w:t>HvJ EG</w:t>
      </w:r>
      <w:r w:rsidRPr="00347436">
        <w:t xml:space="preserve"> een zeer ruime betekenis worden toegekend</w:t>
      </w:r>
      <w:r>
        <w:rPr>
          <w:rStyle w:val="Voetnootmarkering"/>
        </w:rPr>
        <w:footnoteReference w:id="101"/>
      </w:r>
      <w:r>
        <w:t>, zoals</w:t>
      </w:r>
      <w:r w:rsidRPr="00347436">
        <w:t xml:space="preserve"> blijkt uit het arrest Duitsland vs. Commissie, C-191/99. Hierin overweegt het </w:t>
      </w:r>
      <w:r>
        <w:t>HvJ EG</w:t>
      </w:r>
      <w:r w:rsidRPr="00347436">
        <w:t xml:space="preserve"> dat reeds het hebben</w:t>
      </w:r>
      <w:r w:rsidRPr="00347436">
        <w:rPr>
          <w:i/>
          <w:iCs/>
        </w:rPr>
        <w:t xml:space="preserve"> “</w:t>
      </w:r>
      <w:r w:rsidRPr="00071577">
        <w:rPr>
          <w:i/>
        </w:rPr>
        <w:t>van een eenvoudig bureau, beheerd door eigen personeel van de onderneming of door een zelfstandig persoon die echter gemachtigd is duurzaam voor die onderneming op te treden zoals een agentschap dit zou doen</w:t>
      </w:r>
      <w:r w:rsidRPr="00347436">
        <w:rPr>
          <w:iCs/>
        </w:rPr>
        <w:t>”</w:t>
      </w:r>
      <w:r w:rsidRPr="00347436">
        <w:rPr>
          <w:rStyle w:val="Voetnootmarkering"/>
          <w:iCs/>
        </w:rPr>
        <w:footnoteReference w:id="102"/>
      </w:r>
      <w:r w:rsidRPr="00347436">
        <w:rPr>
          <w:iCs/>
        </w:rPr>
        <w:t xml:space="preserve"> volstaat als vestiging. </w:t>
      </w:r>
      <w:r>
        <w:rPr>
          <w:iCs/>
        </w:rPr>
        <w:t xml:space="preserve">Bij Nederlands vennootschapsbelastingplichtige </w:t>
      </w:r>
      <w:r w:rsidRPr="00347436">
        <w:rPr>
          <w:iCs/>
        </w:rPr>
        <w:t>lichamen</w:t>
      </w:r>
      <w:r>
        <w:rPr>
          <w:iCs/>
        </w:rPr>
        <w:t>,</w:t>
      </w:r>
      <w:r w:rsidRPr="00347436">
        <w:rPr>
          <w:iCs/>
        </w:rPr>
        <w:t xml:space="preserve"> welke binnen het toepassingsbereik van artikel 10a vallen</w:t>
      </w:r>
      <w:r>
        <w:rPr>
          <w:iCs/>
        </w:rPr>
        <w:t>,</w:t>
      </w:r>
      <w:r w:rsidRPr="00347436">
        <w:rPr>
          <w:iCs/>
        </w:rPr>
        <w:t xml:space="preserve"> </w:t>
      </w:r>
      <w:r>
        <w:rPr>
          <w:iCs/>
        </w:rPr>
        <w:t xml:space="preserve">zal </w:t>
      </w:r>
      <w:r w:rsidRPr="00347436">
        <w:rPr>
          <w:iCs/>
        </w:rPr>
        <w:t>doorgaans ook aan de</w:t>
      </w:r>
      <w:r>
        <w:rPr>
          <w:iCs/>
        </w:rPr>
        <w:t>ze</w:t>
      </w:r>
      <w:r w:rsidRPr="00347436">
        <w:rPr>
          <w:iCs/>
        </w:rPr>
        <w:t xml:space="preserve"> tweede eis voor de toepasselijkheid van de vrijheid van vestiging zijn voldaan. </w:t>
      </w:r>
      <w:r>
        <w:rPr>
          <w:iCs/>
        </w:rPr>
        <w:t xml:space="preserve">Dit gezien de noodzaak van deze om überhaupt een winstgenererende activiteit te kunnen ontplooien. </w:t>
      </w:r>
      <w:r w:rsidRPr="00347436">
        <w:rPr>
          <w:iCs/>
        </w:rPr>
        <w:t xml:space="preserve">Uit deze vaststelling vloeit mijns inziens automatisch voort dat </w:t>
      </w:r>
      <w:r>
        <w:rPr>
          <w:iCs/>
        </w:rPr>
        <w:t xml:space="preserve">doorgaans </w:t>
      </w:r>
      <w:r w:rsidRPr="00347436">
        <w:rPr>
          <w:iCs/>
        </w:rPr>
        <w:t>ook zal worden voldaan aan het ‘onbepaalde tijd’ criterium alvorens men effectief belastingplichtig zal worden onder de Ned</w:t>
      </w:r>
      <w:r>
        <w:rPr>
          <w:iCs/>
        </w:rPr>
        <w:t>erlandse vennootschapsbelasting en uit diens hoofde wordt blootgesteld aan de toepassing van artikel 10a.</w:t>
      </w:r>
    </w:p>
    <w:p w:rsidR="00652D1F" w:rsidRPr="00347436" w:rsidRDefault="00652D1F" w:rsidP="00AC0BC5">
      <w:pPr>
        <w:spacing w:line="360" w:lineRule="auto"/>
        <w:rPr>
          <w:iCs/>
        </w:rPr>
      </w:pPr>
    </w:p>
    <w:p w:rsidR="00652D1F" w:rsidRPr="00347436" w:rsidRDefault="00652D1F" w:rsidP="004E145E">
      <w:pPr>
        <w:spacing w:line="360" w:lineRule="auto"/>
        <w:rPr>
          <w:iCs/>
        </w:rPr>
      </w:pPr>
      <w:r w:rsidRPr="00347436">
        <w:rPr>
          <w:iCs/>
        </w:rPr>
        <w:t>Interessant is het om in de context van de</w:t>
      </w:r>
      <w:r>
        <w:rPr>
          <w:iCs/>
        </w:rPr>
        <w:t xml:space="preserve"> boven</w:t>
      </w:r>
      <w:r w:rsidRPr="00347436">
        <w:rPr>
          <w:iCs/>
        </w:rPr>
        <w:t xml:space="preserve"> aangehaalde rechtsoverweging op te merken dat</w:t>
      </w:r>
      <w:r>
        <w:rPr>
          <w:iCs/>
        </w:rPr>
        <w:t>,</w:t>
      </w:r>
      <w:r w:rsidRPr="00347436">
        <w:rPr>
          <w:iCs/>
        </w:rPr>
        <w:t xml:space="preserve"> hoewel het begrip vestiging ruim dient te worden geïnterpretee</w:t>
      </w:r>
      <w:r>
        <w:rPr>
          <w:iCs/>
        </w:rPr>
        <w:t>rd,</w:t>
      </w:r>
      <w:r w:rsidRPr="00347436">
        <w:rPr>
          <w:iCs/>
        </w:rPr>
        <w:t xml:space="preserve"> het essentiële element de deelname in het economische verkeer namens de onderneming lijkt te zijn. Dit blijkt mij</w:t>
      </w:r>
      <w:r>
        <w:rPr>
          <w:iCs/>
        </w:rPr>
        <w:t>ns inziens voornamelijk uit de</w:t>
      </w:r>
      <w:r w:rsidRPr="00347436">
        <w:rPr>
          <w:iCs/>
        </w:rPr>
        <w:t xml:space="preserve"> wijze waarop het </w:t>
      </w:r>
      <w:r>
        <w:rPr>
          <w:iCs/>
        </w:rPr>
        <w:t>HvJ EG</w:t>
      </w:r>
      <w:r w:rsidRPr="00347436">
        <w:rPr>
          <w:iCs/>
        </w:rPr>
        <w:t xml:space="preserve"> het woord ‘echter’ toepast in </w:t>
      </w:r>
      <w:r>
        <w:rPr>
          <w:iCs/>
        </w:rPr>
        <w:t xml:space="preserve">deze </w:t>
      </w:r>
      <w:r w:rsidRPr="00347436">
        <w:rPr>
          <w:iCs/>
        </w:rPr>
        <w:t>overweging. Daarnaast zou me</w:t>
      </w:r>
      <w:r>
        <w:rPr>
          <w:iCs/>
        </w:rPr>
        <w:t>n dit ook kunnen opmaken uit de</w:t>
      </w:r>
      <w:r w:rsidRPr="00347436">
        <w:rPr>
          <w:iCs/>
        </w:rPr>
        <w:t xml:space="preserve"> grote gelijkenis die deze overweging lijkt te hebben met de invulling die het OECD geeft aan het begrip ‘vaste inrichting’</w:t>
      </w:r>
      <w:r>
        <w:rPr>
          <w:iCs/>
        </w:rPr>
        <w:t>,</w:t>
      </w:r>
      <w:r w:rsidRPr="00347436">
        <w:rPr>
          <w:iCs/>
        </w:rPr>
        <w:t xml:space="preserve"> waarbij deelname aan het economisch verkeer ook als </w:t>
      </w:r>
      <w:r>
        <w:rPr>
          <w:iCs/>
        </w:rPr>
        <w:t xml:space="preserve">het </w:t>
      </w:r>
      <w:r w:rsidRPr="00347436">
        <w:rPr>
          <w:iCs/>
        </w:rPr>
        <w:t>doorslaggevend</w:t>
      </w:r>
      <w:r>
        <w:rPr>
          <w:iCs/>
        </w:rPr>
        <w:t>e</w:t>
      </w:r>
      <w:r w:rsidRPr="00347436">
        <w:rPr>
          <w:iCs/>
        </w:rPr>
        <w:t xml:space="preserve"> element geldt</w:t>
      </w:r>
      <w:r>
        <w:rPr>
          <w:iCs/>
        </w:rPr>
        <w:t>.</w:t>
      </w:r>
      <w:r w:rsidRPr="00347436">
        <w:rPr>
          <w:rStyle w:val="Voetnootmarkering"/>
          <w:iCs/>
        </w:rPr>
        <w:footnoteReference w:id="103"/>
      </w:r>
      <w:r w:rsidRPr="00347436">
        <w:rPr>
          <w:iCs/>
        </w:rPr>
        <w:t xml:space="preserve"> </w:t>
      </w:r>
    </w:p>
    <w:p w:rsidR="00652D1F" w:rsidRDefault="00652D1F" w:rsidP="00AB4BD2">
      <w:pPr>
        <w:spacing w:line="360" w:lineRule="auto"/>
      </w:pPr>
      <w:r w:rsidRPr="00D646D8">
        <w:rPr>
          <w:iCs/>
        </w:rPr>
        <w:t>Zoals kan worden afgeleid uit het bovenstaande worden geen vergelijkbare eisen gesteld aan de primaire vestiging.</w:t>
      </w:r>
      <w:r w:rsidRPr="00347436">
        <w:rPr>
          <w:iCs/>
        </w:rPr>
        <w:t xml:space="preserve"> Dit komt ook naar voren in Centros waar</w:t>
      </w:r>
      <w:r>
        <w:rPr>
          <w:iCs/>
        </w:rPr>
        <w:t>, hoewel</w:t>
      </w:r>
      <w:r w:rsidRPr="00347436">
        <w:rPr>
          <w:iCs/>
        </w:rPr>
        <w:t xml:space="preserve"> de hoofdvestiging in Engeland geen enkele economische activiteit u</w:t>
      </w:r>
      <w:r>
        <w:rPr>
          <w:iCs/>
        </w:rPr>
        <w:t xml:space="preserve">itoefent, het beroep op de </w:t>
      </w:r>
      <w:r w:rsidRPr="00347436">
        <w:rPr>
          <w:iCs/>
        </w:rPr>
        <w:t>verdragsvrijheden wel wordt gehonoreerd.</w:t>
      </w:r>
      <w:r w:rsidR="00D646D8">
        <w:rPr>
          <w:rStyle w:val="Voetnootmarkering"/>
          <w:iCs/>
        </w:rPr>
        <w:footnoteReference w:id="104"/>
      </w:r>
      <w:r w:rsidRPr="00347436">
        <w:rPr>
          <w:iCs/>
        </w:rPr>
        <w:t xml:space="preserve"> Het </w:t>
      </w:r>
      <w:r>
        <w:rPr>
          <w:iCs/>
        </w:rPr>
        <w:t>HvJ EG oordeelt met be</w:t>
      </w:r>
      <w:r w:rsidRPr="00347436">
        <w:rPr>
          <w:iCs/>
        </w:rPr>
        <w:t>trekking</w:t>
      </w:r>
      <w:r>
        <w:rPr>
          <w:iCs/>
        </w:rPr>
        <w:t xml:space="preserve"> tot</w:t>
      </w:r>
      <w:r w:rsidRPr="00347436">
        <w:rPr>
          <w:iCs/>
        </w:rPr>
        <w:t xml:space="preserve"> </w:t>
      </w:r>
      <w:r>
        <w:rPr>
          <w:iCs/>
        </w:rPr>
        <w:t>de primaire vestiging</w:t>
      </w:r>
      <w:r w:rsidRPr="00347436">
        <w:rPr>
          <w:iCs/>
        </w:rPr>
        <w:t xml:space="preserve"> dat </w:t>
      </w:r>
      <w:r>
        <w:rPr>
          <w:iCs/>
        </w:rPr>
        <w:t>“</w:t>
      </w:r>
      <w:r w:rsidRPr="00071577">
        <w:rPr>
          <w:i/>
          <w:lang w:eastAsia="nl-NL"/>
        </w:rPr>
        <w:t xml:space="preserve"> het recht om een vennootschap op te richten in overeenstemming met de wetgeving van een lidstaat en filialen in het leven te roepen in andere lidstaten, is inherent aan de uitoefening, binnen een gemeenschappelijke markt, van de door het Verdrag gewaarborgde vrijheid van vestiging</w:t>
      </w:r>
      <w:r w:rsidRPr="00347436">
        <w:rPr>
          <w:lang w:eastAsia="nl-NL"/>
        </w:rPr>
        <w:t>”</w:t>
      </w:r>
      <w:r>
        <w:rPr>
          <w:lang w:eastAsia="nl-NL"/>
        </w:rPr>
        <w:t>.</w:t>
      </w:r>
      <w:r w:rsidRPr="00347436">
        <w:rPr>
          <w:rStyle w:val="Voetnootmarkering"/>
          <w:lang w:val="en-US" w:eastAsia="nl-NL"/>
        </w:rPr>
        <w:footnoteReference w:id="105"/>
      </w:r>
      <w:r>
        <w:rPr>
          <w:lang w:eastAsia="nl-NL"/>
        </w:rPr>
        <w:t xml:space="preserve"> </w:t>
      </w:r>
      <w:r w:rsidRPr="00D646D8">
        <w:rPr>
          <w:lang w:eastAsia="nl-NL"/>
        </w:rPr>
        <w:t>Dit recht wordt d</w:t>
      </w:r>
      <w:r w:rsidR="001A1C81" w:rsidRPr="00D646D8">
        <w:rPr>
          <w:lang w:eastAsia="nl-NL"/>
        </w:rPr>
        <w:t>us</w:t>
      </w:r>
      <w:r w:rsidRPr="00D646D8">
        <w:rPr>
          <w:lang w:eastAsia="nl-NL"/>
        </w:rPr>
        <w:t xml:space="preserve"> niet afhankelijk gesteld van de activiteiten van de primaire vestiging.</w:t>
      </w:r>
      <w:r>
        <w:rPr>
          <w:lang w:eastAsia="nl-NL"/>
        </w:rPr>
        <w:t xml:space="preserve"> </w:t>
      </w:r>
      <w:r w:rsidRPr="00347436">
        <w:t xml:space="preserve">In het geval dat de primaire vestiging zich in Nederland bevindt zal er </w:t>
      </w:r>
      <w:r>
        <w:t>d</w:t>
      </w:r>
      <w:r w:rsidR="001A1C81">
        <w:t>aarom</w:t>
      </w:r>
      <w:r>
        <w:t xml:space="preserve"> </w:t>
      </w:r>
      <w:r w:rsidRPr="00347436">
        <w:t xml:space="preserve">dienen te worden getoetst of de secundaire vestiging in de andere lidstaat aan de bovengenoemde vereisten voldoet ten einde vast te </w:t>
      </w:r>
      <w:r>
        <w:t xml:space="preserve">kunnen </w:t>
      </w:r>
      <w:r w:rsidRPr="00347436">
        <w:t xml:space="preserve">stellen of er toegang tot de vrijheid van vestiging bestaat. </w:t>
      </w:r>
      <w:r>
        <w:t>Dit kan bijvoorbeeld van belang zijn in het geval de primaire vestiging een passieve holdingcompany is met laagbelaste investeringen welke een lening heeft verkregen van een dochter in een laagbelaste lidstaat.</w:t>
      </w:r>
    </w:p>
    <w:p w:rsidR="00652D1F" w:rsidRDefault="00652D1F" w:rsidP="00AC0BC5">
      <w:pPr>
        <w:spacing w:line="360" w:lineRule="auto"/>
      </w:pPr>
    </w:p>
    <w:p w:rsidR="00652D1F"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 xml:space="preserve">3.1.2 </w:t>
      </w:r>
      <w:r w:rsidRPr="00347436">
        <w:rPr>
          <w:b/>
          <w:u w:val="single"/>
        </w:rPr>
        <w:t>Vrijheid van kapitaalverkeer</w:t>
      </w:r>
    </w:p>
    <w:p w:rsidR="00652D1F" w:rsidRPr="00347436" w:rsidRDefault="00652D1F" w:rsidP="00AC0BC5">
      <w:pPr>
        <w:spacing w:line="360" w:lineRule="auto"/>
        <w:rPr>
          <w:b/>
          <w:u w:val="single"/>
        </w:rPr>
      </w:pPr>
    </w:p>
    <w:p w:rsidR="00652D1F" w:rsidRPr="00347436" w:rsidRDefault="00652D1F" w:rsidP="004E145E">
      <w:pPr>
        <w:spacing w:line="360" w:lineRule="auto"/>
      </w:pPr>
      <w:r>
        <w:t>In artikel 63 Vw</w:t>
      </w:r>
      <w:r w:rsidRPr="00347436">
        <w:t>EU is bepaald dat alle beperkingen van het betaling</w:t>
      </w:r>
      <w:r>
        <w:t>s</w:t>
      </w:r>
      <w:r w:rsidRPr="00347436">
        <w:t>- en kapitaalverkeer tussen lidstaten onderling alsmede ten opzichte van derde landen in beginsel verboden zijn. Om een beroep te kunnen doen op deze bepaling gelden derhalve twee vereisten</w:t>
      </w:r>
      <w:r>
        <w:t>;</w:t>
      </w:r>
      <w:r w:rsidRPr="00347436">
        <w:t xml:space="preserve"> de aanwezigheid van kapitaal- dan wel beta</w:t>
      </w:r>
      <w:r>
        <w:t>lingsverkeer en ten tweede dient</w:t>
      </w:r>
      <w:r w:rsidRPr="00347436">
        <w:t xml:space="preserve"> d</w:t>
      </w:r>
      <w:r>
        <w:t>it</w:t>
      </w:r>
      <w:r w:rsidRPr="00347436">
        <w:t xml:space="preserve"> grensoversch</w:t>
      </w:r>
      <w:r>
        <w:t>rijdend plaats te vinden. Het Vw</w:t>
      </w:r>
      <w:r w:rsidRPr="00347436">
        <w:t xml:space="preserve">EU geeft geen verdere invulling </w:t>
      </w:r>
      <w:r>
        <w:t>aan</w:t>
      </w:r>
      <w:r w:rsidRPr="00347436">
        <w:t xml:space="preserve"> de begrippen kapitaal- en betalingsverkeer</w:t>
      </w:r>
      <w:r>
        <w:t>.</w:t>
      </w:r>
      <w:r w:rsidRPr="00347436">
        <w:t xml:space="preserve"> </w:t>
      </w:r>
      <w:r>
        <w:t>H</w:t>
      </w:r>
      <w:r w:rsidRPr="00347436">
        <w:t xml:space="preserve">iervoor kan, naar blijkt de rechtspraak van de het </w:t>
      </w:r>
      <w:r>
        <w:t>HvJ EG</w:t>
      </w:r>
      <w:r w:rsidRPr="00347436">
        <w:rPr>
          <w:rStyle w:val="Voetnootmarkering"/>
        </w:rPr>
        <w:footnoteReference w:id="106"/>
      </w:r>
      <w:r w:rsidRPr="00347436">
        <w:t>, aan</w:t>
      </w:r>
      <w:r>
        <w:t>sluiting worden gezocht bij de N</w:t>
      </w:r>
      <w:r w:rsidRPr="00347436">
        <w:t>omenclatuur van de richtlijn 88/361/EE</w:t>
      </w:r>
      <w:r>
        <w:t>G.</w:t>
      </w:r>
      <w:r>
        <w:rPr>
          <w:rStyle w:val="Voetnootmarkering"/>
        </w:rPr>
        <w:footnoteReference w:id="107"/>
      </w:r>
      <w:r>
        <w:t xml:space="preserve"> De N</w:t>
      </w:r>
      <w:r w:rsidRPr="00347436">
        <w:t>omenclatuur van de Richtlijn 88/361/EEG bevat een niet limitatieve uiteenzetting van het begrip kapitaalverke</w:t>
      </w:r>
      <w:r>
        <w:t>er. Volgens onderdeel 8 van de N</w:t>
      </w:r>
      <w:r w:rsidRPr="00347436">
        <w:t>omenclatuur bevat het begrip kapitaalverkeer onder andere ‘financiële leningen en kredieten’</w:t>
      </w:r>
      <w:r w:rsidRPr="00347436">
        <w:rPr>
          <w:rStyle w:val="Voetnootmarkering"/>
        </w:rPr>
        <w:footnoteReference w:id="108"/>
      </w:r>
      <w:r w:rsidRPr="00347436">
        <w:t>, derhalve kan artikel 10a in beginsel worden getoetst aan de vrijheid van kapitaalverkeer</w:t>
      </w:r>
      <w:r>
        <w:t>. A</w:t>
      </w:r>
      <w:r w:rsidRPr="00347436">
        <w:t xml:space="preserve">rtikel 10a ziet </w:t>
      </w:r>
      <w:r>
        <w:t xml:space="preserve">namelijk mede </w:t>
      </w:r>
      <w:r w:rsidRPr="00347436">
        <w:t>op rentebetalingen in verband met grensoverschrijdend verst</w:t>
      </w:r>
      <w:r>
        <w:t>rekte leningen en kredieten. De toepasselijkheid van de vrijheid van kapitaalverkeer</w:t>
      </w:r>
      <w:r w:rsidRPr="00347436">
        <w:t xml:space="preserve"> wordt onder</w:t>
      </w:r>
      <w:r>
        <w:t xml:space="preserve"> </w:t>
      </w:r>
      <w:r w:rsidRPr="00347436">
        <w:t>meer bevestigd in Fidium Finanz</w:t>
      </w:r>
      <w:r>
        <w:t>,</w:t>
      </w:r>
      <w:r w:rsidRPr="00347436">
        <w:t xml:space="preserve"> waar de vrijheid van kapitaalverkeer in beginsel van toepassing wordt geacht.</w:t>
      </w:r>
      <w:r w:rsidRPr="00347436">
        <w:rPr>
          <w:rStyle w:val="Voetnootmarkering"/>
        </w:rPr>
        <w:footnoteReference w:id="109"/>
      </w:r>
    </w:p>
    <w:p w:rsidR="00652D1F" w:rsidRDefault="00652D1F" w:rsidP="00AC0BC5">
      <w:pPr>
        <w:spacing w:line="360" w:lineRule="auto"/>
      </w:pPr>
    </w:p>
    <w:p w:rsidR="00652D1F" w:rsidRDefault="00652D1F" w:rsidP="00AC0BC5">
      <w:pPr>
        <w:spacing w:line="360" w:lineRule="auto"/>
      </w:pPr>
    </w:p>
    <w:p w:rsidR="00652D1F" w:rsidRPr="00347436" w:rsidRDefault="00652D1F" w:rsidP="00AC0BC5">
      <w:pPr>
        <w:spacing w:line="360" w:lineRule="auto"/>
        <w:rPr>
          <w:b/>
          <w:u w:val="single"/>
        </w:rPr>
      </w:pPr>
      <w:r>
        <w:rPr>
          <w:b/>
          <w:u w:val="single"/>
        </w:rPr>
        <w:t xml:space="preserve">3.1.3 </w:t>
      </w:r>
      <w:r w:rsidRPr="00347436">
        <w:rPr>
          <w:b/>
          <w:u w:val="single"/>
        </w:rPr>
        <w:t>Vrijheid van diensten</w:t>
      </w:r>
    </w:p>
    <w:p w:rsidR="00652D1F" w:rsidRPr="00347436" w:rsidRDefault="00652D1F" w:rsidP="00AC0BC5">
      <w:pPr>
        <w:spacing w:line="360" w:lineRule="auto"/>
        <w:rPr>
          <w:b/>
          <w:u w:val="single"/>
        </w:rPr>
      </w:pPr>
    </w:p>
    <w:p w:rsidR="00652D1F" w:rsidRPr="00347436" w:rsidRDefault="00652D1F" w:rsidP="00AC0BC5">
      <w:pPr>
        <w:spacing w:line="360" w:lineRule="auto"/>
        <w:rPr>
          <w:lang w:eastAsia="nl-NL"/>
        </w:rPr>
      </w:pPr>
      <w:r w:rsidRPr="00347436">
        <w:t>De vrijheid van diensten verbiedt “</w:t>
      </w:r>
      <w:r w:rsidRPr="00071577">
        <w:rPr>
          <w:i/>
          <w:iCs/>
          <w:lang w:eastAsia="nl-NL"/>
        </w:rPr>
        <w:t>beperkingen op het vrij verrichten van diensten binnen de Unie (..) ten aanzien van de onderdanen der lidstaten die in een andere lidstaat zijn gevestigd dan dat, waarin degene is gevestigd te wiens behoeve de dienst wordt verricht</w:t>
      </w:r>
      <w:r w:rsidRPr="00347436">
        <w:rPr>
          <w:lang w:eastAsia="nl-NL"/>
        </w:rPr>
        <w:t>”</w:t>
      </w:r>
      <w:r>
        <w:rPr>
          <w:lang w:eastAsia="nl-NL"/>
        </w:rPr>
        <w:t>.</w:t>
      </w:r>
      <w:r w:rsidRPr="00347436">
        <w:rPr>
          <w:rStyle w:val="Voetnootmarkering"/>
          <w:lang w:eastAsia="nl-NL"/>
        </w:rPr>
        <w:footnoteReference w:id="110"/>
      </w:r>
      <w:r w:rsidRPr="00347436">
        <w:rPr>
          <w:lang w:eastAsia="nl-NL"/>
        </w:rPr>
        <w:t xml:space="preserve"> De toepassing van deze bepaling vereist derhalve twee elementen, allereerst dient er een dienst te worden verricht en ten tweede dient deze dienst grensoverschrijdend te worden verricht tussen twee lidstaten door een inwoner van een lidstaat. Het grensoverschrijdende element wordt duidelijk verondersteld, echter de</w:t>
      </w:r>
      <w:r>
        <w:rPr>
          <w:lang w:eastAsia="nl-NL"/>
        </w:rPr>
        <w:t xml:space="preserve"> vraag rijst; wat wordt er in EU</w:t>
      </w:r>
      <w:r w:rsidRPr="00347436">
        <w:rPr>
          <w:lang w:eastAsia="nl-NL"/>
        </w:rPr>
        <w:t xml:space="preserve"> verband verstaan onder een dienst?</w:t>
      </w:r>
    </w:p>
    <w:p w:rsidR="00652D1F" w:rsidRPr="00347436" w:rsidRDefault="00652D1F" w:rsidP="00AC0BC5">
      <w:pPr>
        <w:spacing w:line="360" w:lineRule="auto"/>
        <w:rPr>
          <w:lang w:eastAsia="nl-NL"/>
        </w:rPr>
      </w:pPr>
    </w:p>
    <w:p w:rsidR="00652D1F" w:rsidRPr="005D59C2" w:rsidRDefault="00652D1F" w:rsidP="00AC0BC5">
      <w:pPr>
        <w:spacing w:line="360" w:lineRule="auto"/>
        <w:rPr>
          <w:b/>
          <w:u w:val="single"/>
        </w:rPr>
      </w:pPr>
      <w:r>
        <w:rPr>
          <w:lang w:eastAsia="nl-NL"/>
        </w:rPr>
        <w:t>Uit artikel 57 van het Vw</w:t>
      </w:r>
      <w:r w:rsidRPr="00347436">
        <w:rPr>
          <w:lang w:eastAsia="nl-NL"/>
        </w:rPr>
        <w:t xml:space="preserve">EU blijkt dat diensten voornamelijk zijn </w:t>
      </w:r>
      <w:r>
        <w:rPr>
          <w:lang w:eastAsia="nl-NL"/>
        </w:rPr>
        <w:t xml:space="preserve">de </w:t>
      </w:r>
      <w:r w:rsidRPr="00347436">
        <w:rPr>
          <w:lang w:eastAsia="nl-NL"/>
        </w:rPr>
        <w:t>“</w:t>
      </w:r>
      <w:r w:rsidRPr="00071577">
        <w:rPr>
          <w:i/>
          <w:iCs/>
          <w:lang w:eastAsia="nl-NL"/>
        </w:rPr>
        <w:t>werkzaamheden van industriële aard, commerciële aard, ambacht en de vrije beroepen welke tegen vergoeding worden verricht</w:t>
      </w:r>
      <w:r w:rsidRPr="00347436">
        <w:rPr>
          <w:lang w:eastAsia="nl-NL"/>
        </w:rPr>
        <w:t>”</w:t>
      </w:r>
      <w:r>
        <w:rPr>
          <w:lang w:eastAsia="nl-NL"/>
        </w:rPr>
        <w:t>.</w:t>
      </w:r>
      <w:r w:rsidRPr="00347436">
        <w:rPr>
          <w:rStyle w:val="Voetnootmarkering"/>
          <w:lang w:eastAsia="nl-NL"/>
        </w:rPr>
        <w:footnoteReference w:id="111"/>
      </w:r>
      <w:r w:rsidRPr="00347436">
        <w:rPr>
          <w:lang w:eastAsia="nl-NL"/>
        </w:rPr>
        <w:t xml:space="preserve"> Dat het verstrekken van leningen dan wel kredieten hier ook onder kan vallen </w:t>
      </w:r>
      <w:r w:rsidRPr="005D59C2">
        <w:rPr>
          <w:lang w:eastAsia="nl-NL"/>
        </w:rPr>
        <w:t>valt op te maken uit Fidium Finanz.</w:t>
      </w:r>
      <w:r w:rsidR="004A142B" w:rsidRPr="005D59C2">
        <w:rPr>
          <w:rStyle w:val="Voetnootmarkering"/>
          <w:lang w:eastAsia="nl-NL"/>
        </w:rPr>
        <w:footnoteReference w:id="112"/>
      </w:r>
      <w:r w:rsidRPr="005D59C2">
        <w:t xml:space="preserve"> In Fidium Finanz ging het om een Duitse regeling die </w:t>
      </w:r>
      <w:r w:rsidR="005D59C2">
        <w:t>stelde</w:t>
      </w:r>
      <w:r w:rsidRPr="005D59C2">
        <w:t xml:space="preserve"> dat een in Duitsland opererende kredietinstelling over </w:t>
      </w:r>
      <w:r w:rsidR="00C677B3" w:rsidRPr="005D59C2">
        <w:t>een vergunning van de ‘bundesanstalt</w:t>
      </w:r>
      <w:r w:rsidRPr="005D59C2">
        <w:t xml:space="preserve">’ </w:t>
      </w:r>
      <w:r w:rsidR="005D59C2">
        <w:t>diende te beschikken</w:t>
      </w:r>
      <w:r w:rsidRPr="005D59C2">
        <w:t xml:space="preserve">. Om in aanmerking te kunnen komen voor de toekenning hiervan, diende de instelling in Duitsland te </w:t>
      </w:r>
      <w:r w:rsidR="005D59C2" w:rsidRPr="005D59C2">
        <w:t>beschikken over een bij- dan wel hoofdkantoor in Duitsland welke transacties en diensten verrichtte</w:t>
      </w:r>
      <w:r w:rsidRPr="00DF2761">
        <w:rPr>
          <w:highlight w:val="magenta"/>
        </w:rPr>
        <w:t>.</w:t>
      </w:r>
      <w:r w:rsidRPr="00DF2761">
        <w:rPr>
          <w:rStyle w:val="Voetnootmarkering"/>
        </w:rPr>
        <w:footnoteReference w:id="113"/>
      </w:r>
      <w:r w:rsidRPr="00347436">
        <w:t xml:space="preserve"> In de prejudiciële vragen van de Duitse re</w:t>
      </w:r>
      <w:r w:rsidRPr="005D59C2">
        <w:t>chter aan het HvJ EG wordt allereerst ingegaan op de toepasselijke vrijheid, de Duitse rechter wil namelijk allereerst weten of het hier draait om de vrijheid van kapitaalverkeer dan wel de vrijheid van vestiging.</w:t>
      </w:r>
    </w:p>
    <w:p w:rsidR="00652D1F" w:rsidRPr="005D59C2" w:rsidRDefault="00652D1F" w:rsidP="00AC0BC5">
      <w:pPr>
        <w:spacing w:line="360" w:lineRule="auto"/>
      </w:pPr>
    </w:p>
    <w:p w:rsidR="00652D1F" w:rsidRPr="005D59C2" w:rsidRDefault="00652D1F" w:rsidP="00AC0BC5">
      <w:pPr>
        <w:spacing w:line="360" w:lineRule="auto"/>
      </w:pPr>
      <w:r w:rsidRPr="005D59C2">
        <w:t>In de beantwoording hiervan stelt het HvJ EG dat het buiten kijf staat dat het ondernemingsgewijs verlenen van krediet een dienst is in de zin van het vrije verkeer van diensten.</w:t>
      </w:r>
      <w:r w:rsidRPr="005D59C2">
        <w:rPr>
          <w:rStyle w:val="Voetnootmarkering"/>
        </w:rPr>
        <w:footnoteReference w:id="114"/>
      </w:r>
      <w:r w:rsidRPr="005D59C2">
        <w:t xml:space="preserve"> Het is volgens het HvJ EG niet van belang welke vorm deze instelling aanneemt, aldus of deze bijvoorbeeld een officieel gecertificeerde bank is, het draait om de daadwerkelijke activiteit. Daarnaast valt het verlenen van kredieten volgens het HvJ EG ook onder de vrijheid van kapitaalverkeer. Dit volgt uit de referentie van het HvJ EG aan de Nomenclatuur van richtlijn 88/361</w:t>
      </w:r>
      <w:r w:rsidRPr="005D59C2">
        <w:rPr>
          <w:rStyle w:val="Voetnootmarkering"/>
        </w:rPr>
        <w:footnoteReference w:id="115"/>
      </w:r>
      <w:r w:rsidRPr="005D59C2">
        <w:t>, welke volgens het HvJ EG nog immer zijn waarde als richtsnoer behoudt. Het HvJ EG is echter van mening dat, gezien het feit dat de maatregel is gericht op instellingen die op bedrijfsmatige wijze financiële diensten verlenen, er primair sprake is van een beperking van dienstverlening, daarom is enkel het vrije verkeer van diensten van toepassing.</w:t>
      </w:r>
      <w:r w:rsidRPr="005D59C2">
        <w:rPr>
          <w:rStyle w:val="Voetnootmarkering"/>
        </w:rPr>
        <w:footnoteReference w:id="116"/>
      </w:r>
      <w:r w:rsidRPr="005D59C2">
        <w:t xml:space="preserve"> </w:t>
      </w:r>
    </w:p>
    <w:p w:rsidR="00652D1F" w:rsidRPr="005D59C2" w:rsidRDefault="00652D1F" w:rsidP="00AC0BC5">
      <w:pPr>
        <w:spacing w:line="360" w:lineRule="auto"/>
      </w:pPr>
    </w:p>
    <w:p w:rsidR="00652D1F" w:rsidRPr="00347436" w:rsidRDefault="00652D1F" w:rsidP="00AB4BD2">
      <w:pPr>
        <w:spacing w:line="360" w:lineRule="auto"/>
      </w:pPr>
      <w:r w:rsidRPr="005D59C2">
        <w:t>Als men het voorgaande op de werking en het doel van artikel 10a Wet VpB betrekt is het duidelijk dat deze niet dient te worden getoetst aan het vrije verkeer van diensten. Het essentiële element voor de toepasselijkheid van het vrije verkeer van diensten ligt namelijk in het gericht zijn op dienstverleningsinstellingen, waarvoor het is vereist, naar blijkt uit Fidium Finanz, dat de instelling op bedrijfsmatige wijze diensten verleent. Artikel 10a, daarentegen, richt zich niet op transacties die op commerciële basis worden verricht, zij richt zich namelijk in beginsel op elke vorm van kredietverstrekking zowel bedrijfsmatig dan wel incidenteel.</w:t>
      </w:r>
      <w:r w:rsidR="004A142B" w:rsidRPr="005D59C2">
        <w:rPr>
          <w:rStyle w:val="Voetnootmarkering"/>
        </w:rPr>
        <w:footnoteReference w:id="117"/>
      </w:r>
      <w:r w:rsidRPr="00347436">
        <w:t xml:space="preserve"> Men zou zelfs kunnen stellen dat artikel 10a zich totaal niet op </w:t>
      </w:r>
      <w:r>
        <w:t>bedrijfsmatige</w:t>
      </w:r>
      <w:r w:rsidRPr="00347436">
        <w:t xml:space="preserve"> vormen van kredietverstrekking richt</w:t>
      </w:r>
      <w:r>
        <w:t>,</w:t>
      </w:r>
      <w:r w:rsidRPr="00347436">
        <w:t xml:space="preserve"> aangezien zij enkel tot doel heeft onza</w:t>
      </w:r>
      <w:r>
        <w:t>kelijke leningen uit te sluiten. H</w:t>
      </w:r>
      <w:r w:rsidRPr="00347436">
        <w:t>et dubbele zakelijkheid</w:t>
      </w:r>
      <w:r>
        <w:t>s</w:t>
      </w:r>
      <w:r w:rsidRPr="00347436">
        <w:t>vereiste</w:t>
      </w:r>
      <w:r>
        <w:t xml:space="preserve"> zou hier</w:t>
      </w:r>
      <w:r w:rsidRPr="00347436">
        <w:t xml:space="preserve"> </w:t>
      </w:r>
      <w:r>
        <w:t xml:space="preserve">echter </w:t>
      </w:r>
      <w:r w:rsidRPr="00347436">
        <w:t>roet in het eten kunnen gooien.</w:t>
      </w:r>
    </w:p>
    <w:p w:rsidR="00652D1F" w:rsidRDefault="00652D1F" w:rsidP="00AC0BC5">
      <w:pPr>
        <w:spacing w:line="360" w:lineRule="auto"/>
      </w:pPr>
    </w:p>
    <w:p w:rsidR="00652D1F" w:rsidRPr="00347436" w:rsidRDefault="00652D1F" w:rsidP="00AC0BC5">
      <w:pPr>
        <w:spacing w:line="360" w:lineRule="auto"/>
      </w:pPr>
      <w:r>
        <w:rPr>
          <w:b/>
          <w:bCs/>
          <w:u w:val="single"/>
        </w:rPr>
        <w:t xml:space="preserve">3.2 </w:t>
      </w:r>
      <w:r w:rsidRPr="00347436">
        <w:rPr>
          <w:b/>
          <w:bCs/>
          <w:u w:val="single"/>
        </w:rPr>
        <w:t>Bepaling toepasselijke vrijheid</w:t>
      </w:r>
    </w:p>
    <w:p w:rsidR="00652D1F" w:rsidRPr="00347436"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3.2.1 Beperkte vrijheden</w:t>
      </w:r>
    </w:p>
    <w:p w:rsidR="00652D1F" w:rsidRPr="00347436" w:rsidRDefault="00652D1F" w:rsidP="00AC0BC5">
      <w:pPr>
        <w:spacing w:line="360" w:lineRule="auto"/>
      </w:pPr>
    </w:p>
    <w:p w:rsidR="00652D1F" w:rsidRPr="00347436" w:rsidRDefault="00652D1F" w:rsidP="00225414">
      <w:pPr>
        <w:spacing w:line="360" w:lineRule="auto"/>
      </w:pPr>
      <w:r w:rsidRPr="00347436">
        <w:t>Naar blijkt</w:t>
      </w:r>
      <w:r>
        <w:t>,</w:t>
      </w:r>
      <w:r w:rsidRPr="00347436">
        <w:t xml:space="preserve"> kan een beperking van de renteaftrek en daarmee van de rentebetalingen ten gevolge van d</w:t>
      </w:r>
      <w:r>
        <w:t>e werking van artikel 10a</w:t>
      </w:r>
      <w:r w:rsidRPr="00347436">
        <w:t xml:space="preserve"> </w:t>
      </w:r>
      <w:r>
        <w:t>Wet VpB</w:t>
      </w:r>
      <w:r w:rsidRPr="00347436">
        <w:t xml:space="preserve"> een beperking voor meerdere verdrag</w:t>
      </w:r>
      <w:r>
        <w:t>s</w:t>
      </w:r>
      <w:r w:rsidRPr="00347436">
        <w:t>vrijheden inhouden, nam</w:t>
      </w:r>
      <w:r>
        <w:t>elijk de vrijheid van vestiging en de</w:t>
      </w:r>
      <w:r w:rsidRPr="00347436">
        <w:t xml:space="preserve"> vrijheid van kapitaalverkeer. De bepaling van de voorrang van de vrijheid van kapitaalverkeer enerzijds en een andere verdrag</w:t>
      </w:r>
      <w:r>
        <w:t>s</w:t>
      </w:r>
      <w:r w:rsidRPr="00347436">
        <w:t xml:space="preserve">vrijheid anderzijds is altijd een heet hangijzer geweest vanwege </w:t>
      </w:r>
      <w:r>
        <w:t xml:space="preserve">de </w:t>
      </w:r>
      <w:r w:rsidRPr="00347436">
        <w:t xml:space="preserve">werking van </w:t>
      </w:r>
      <w:r>
        <w:t>de vrijheid van kapitaalverkeer ten opzichte van derde landen</w:t>
      </w:r>
      <w:r w:rsidRPr="00347436">
        <w:t>. In het hierop volgende onderdeel zulle</w:t>
      </w:r>
      <w:r>
        <w:t>n de beperkte verdragsvrijheden</w:t>
      </w:r>
      <w:r w:rsidRPr="00347436">
        <w:t xml:space="preserve"> en de </w:t>
      </w:r>
      <w:r>
        <w:t>basis</w:t>
      </w:r>
      <w:r w:rsidRPr="00347436">
        <w:t xml:space="preserve"> waarop hun eventuele primaat aan de hand van de dominantierege</w:t>
      </w:r>
      <w:r>
        <w:t>l wordt bepaald worden besproken. Dit zal worden gevolgd door</w:t>
      </w:r>
      <w:r w:rsidRPr="00347436">
        <w:t xml:space="preserve"> de vaststelling van de vrijheid</w:t>
      </w:r>
      <w:r>
        <w:t xml:space="preserve"> dan wel vrijheden</w:t>
      </w:r>
      <w:r w:rsidRPr="00347436">
        <w:t xml:space="preserve"> aan welke artikel 10a dient te worden getoetst.</w:t>
      </w:r>
    </w:p>
    <w:p w:rsidR="00652D1F" w:rsidRDefault="00652D1F" w:rsidP="00AC0BC5">
      <w:pPr>
        <w:rPr>
          <w:b/>
          <w:bCs/>
          <w:u w:val="single"/>
        </w:rPr>
      </w:pPr>
    </w:p>
    <w:p w:rsidR="00652D1F" w:rsidRDefault="00652D1F" w:rsidP="00AC0BC5">
      <w:pPr>
        <w:rPr>
          <w:b/>
          <w:bCs/>
          <w:u w:val="single"/>
        </w:rPr>
      </w:pPr>
    </w:p>
    <w:p w:rsidR="00652D1F" w:rsidRPr="00347436" w:rsidRDefault="00652D1F" w:rsidP="00AC0BC5">
      <w:pPr>
        <w:rPr>
          <w:b/>
          <w:bCs/>
          <w:u w:val="single"/>
        </w:rPr>
      </w:pPr>
      <w:r>
        <w:rPr>
          <w:b/>
          <w:bCs/>
          <w:u w:val="single"/>
        </w:rPr>
        <w:t xml:space="preserve">3.2.2 </w:t>
      </w:r>
      <w:r w:rsidRPr="00347436">
        <w:rPr>
          <w:b/>
          <w:bCs/>
          <w:u w:val="single"/>
        </w:rPr>
        <w:t>Dominantie regel</w:t>
      </w:r>
    </w:p>
    <w:p w:rsidR="00652D1F" w:rsidRPr="00347436" w:rsidRDefault="00652D1F" w:rsidP="00AC0BC5">
      <w:pPr>
        <w:spacing w:line="360" w:lineRule="auto"/>
        <w:rPr>
          <w:b/>
          <w:bCs/>
          <w:u w:val="single"/>
        </w:rPr>
      </w:pPr>
    </w:p>
    <w:p w:rsidR="00652D1F" w:rsidRPr="00347436" w:rsidRDefault="00652D1F" w:rsidP="005E650D">
      <w:pPr>
        <w:spacing w:line="360" w:lineRule="auto"/>
        <w:rPr>
          <w:bCs/>
        </w:rPr>
      </w:pPr>
      <w:r>
        <w:rPr>
          <w:bCs/>
        </w:rPr>
        <w:t>In het Vw</w:t>
      </w:r>
      <w:r w:rsidRPr="00347436">
        <w:rPr>
          <w:bCs/>
        </w:rPr>
        <w:t xml:space="preserve">EU zijn geen voorrangregels </w:t>
      </w:r>
      <w:r>
        <w:rPr>
          <w:bCs/>
        </w:rPr>
        <w:t>opgenomen</w:t>
      </w:r>
      <w:r w:rsidRPr="00347436">
        <w:rPr>
          <w:bCs/>
        </w:rPr>
        <w:t xml:space="preserve"> welke de toetsing van maatregelen aan meerdere verdrags</w:t>
      </w:r>
      <w:r>
        <w:rPr>
          <w:bCs/>
        </w:rPr>
        <w:t>vrijheden verbiedt, echter</w:t>
      </w:r>
      <w:r w:rsidRPr="00347436">
        <w:rPr>
          <w:bCs/>
        </w:rPr>
        <w:t xml:space="preserve"> het </w:t>
      </w:r>
      <w:r>
        <w:rPr>
          <w:bCs/>
        </w:rPr>
        <w:t>HvJ EG</w:t>
      </w:r>
      <w:r w:rsidRPr="00347436">
        <w:rPr>
          <w:bCs/>
        </w:rPr>
        <w:t xml:space="preserve"> </w:t>
      </w:r>
      <w:r>
        <w:rPr>
          <w:bCs/>
        </w:rPr>
        <w:t>heeft</w:t>
      </w:r>
      <w:r w:rsidRPr="00347436">
        <w:rPr>
          <w:bCs/>
        </w:rPr>
        <w:t xml:space="preserve"> zijn eigen voorrangsregel ontwikkeld ten einde een juiste toepassing van de verdragsvrijheden te bewerkstelligen</w:t>
      </w:r>
      <w:r>
        <w:rPr>
          <w:bCs/>
        </w:rPr>
        <w:t>.</w:t>
      </w:r>
      <w:r w:rsidRPr="00347436">
        <w:rPr>
          <w:rStyle w:val="Voetnootmarkering"/>
          <w:bCs/>
        </w:rPr>
        <w:footnoteReference w:id="118"/>
      </w:r>
      <w:r>
        <w:rPr>
          <w:bCs/>
        </w:rPr>
        <w:t xml:space="preserve"> Zonder deze voorrangsregel</w:t>
      </w:r>
      <w:r w:rsidRPr="00347436">
        <w:rPr>
          <w:bCs/>
        </w:rPr>
        <w:t xml:space="preserve"> was het namelijk mogelijk</w:t>
      </w:r>
      <w:r>
        <w:rPr>
          <w:bCs/>
        </w:rPr>
        <w:t xml:space="preserve"> geweest voor derde landen een indirect</w:t>
      </w:r>
      <w:r w:rsidRPr="00347436">
        <w:rPr>
          <w:bCs/>
        </w:rPr>
        <w:t xml:space="preserve"> recht op vrijheid van vestiging te ve</w:t>
      </w:r>
      <w:r>
        <w:rPr>
          <w:bCs/>
        </w:rPr>
        <w:t>rwerven</w:t>
      </w:r>
      <w:r w:rsidRPr="00347436">
        <w:rPr>
          <w:bCs/>
        </w:rPr>
        <w:t xml:space="preserve">, aangezien beperkingen van de vrijheid van vestiging veelal ten gevolge hebben dat de vrijheid van kapitaalverkeer ook wordt </w:t>
      </w:r>
      <w:r w:rsidRPr="005D59C2">
        <w:rPr>
          <w:bCs/>
        </w:rPr>
        <w:t>beperkt. De eerste aanzet tot de ontwikkeling van deze voorrangsregel is gegeven in het arrest Schindler.</w:t>
      </w:r>
      <w:r w:rsidR="004A142B" w:rsidRPr="005D59C2">
        <w:rPr>
          <w:rStyle w:val="Voetnootmarkering"/>
          <w:bCs/>
        </w:rPr>
        <w:footnoteReference w:id="119"/>
      </w:r>
      <w:r>
        <w:rPr>
          <w:bCs/>
        </w:rPr>
        <w:t xml:space="preserve"> H</w:t>
      </w:r>
      <w:r w:rsidRPr="00347436">
        <w:rPr>
          <w:bCs/>
        </w:rPr>
        <w:t xml:space="preserve">ierin </w:t>
      </w:r>
      <w:r>
        <w:rPr>
          <w:bCs/>
        </w:rPr>
        <w:t>ging</w:t>
      </w:r>
      <w:r w:rsidRPr="00347436">
        <w:rPr>
          <w:bCs/>
        </w:rPr>
        <w:t xml:space="preserve"> het om een invoerverbod op loten en andere kansspelbewijzen van loterijen en dergelijke welke in andere lidstaten werden georganiseerd. De belanghebbende voerde aan dat het verbieden van de invoer van de loten een verboden beperking van het vrije verkeer van goederen inhield. Het </w:t>
      </w:r>
      <w:r>
        <w:rPr>
          <w:bCs/>
        </w:rPr>
        <w:t xml:space="preserve">HvJ EG </w:t>
      </w:r>
      <w:r w:rsidRPr="00347436">
        <w:rPr>
          <w:bCs/>
        </w:rPr>
        <w:t xml:space="preserve">oordeelde </w:t>
      </w:r>
      <w:r>
        <w:rPr>
          <w:bCs/>
        </w:rPr>
        <w:t>daarentegen</w:t>
      </w:r>
      <w:r w:rsidRPr="00347436">
        <w:rPr>
          <w:bCs/>
        </w:rPr>
        <w:t xml:space="preserve"> dat zulks niet het geval was</w:t>
      </w:r>
      <w:r>
        <w:rPr>
          <w:bCs/>
        </w:rPr>
        <w:t>,</w:t>
      </w:r>
      <w:r w:rsidRPr="00347436">
        <w:rPr>
          <w:bCs/>
        </w:rPr>
        <w:t xml:space="preserve"> aangezien de intraco</w:t>
      </w:r>
      <w:r>
        <w:rPr>
          <w:bCs/>
        </w:rPr>
        <w:t>mmunautaire verplaatsing van de</w:t>
      </w:r>
      <w:r w:rsidRPr="00347436">
        <w:rPr>
          <w:bCs/>
        </w:rPr>
        <w:t xml:space="preserve"> loten zelf niet de activiteit van de loterij was, echter enkel een bijproduct van de dienst die de loterij leverde. De verspreiding van de loten was “geen doel op zich”</w:t>
      </w:r>
      <w:r w:rsidRPr="00347436">
        <w:rPr>
          <w:rStyle w:val="Voetnootmarkering"/>
          <w:bCs/>
        </w:rPr>
        <w:footnoteReference w:id="120"/>
      </w:r>
      <w:r w:rsidRPr="00347436">
        <w:rPr>
          <w:bCs/>
        </w:rPr>
        <w:t xml:space="preserve">, het </w:t>
      </w:r>
      <w:r>
        <w:rPr>
          <w:bCs/>
        </w:rPr>
        <w:t>HvJ EG</w:t>
      </w:r>
      <w:r w:rsidRPr="00347436">
        <w:rPr>
          <w:bCs/>
        </w:rPr>
        <w:t xml:space="preserve"> concludeerde vervolgens dat deze beperking diende te worden getoetst aan de hand van het vrije verkeer van diensten. </w:t>
      </w:r>
      <w:r>
        <w:rPr>
          <w:bCs/>
        </w:rPr>
        <w:t xml:space="preserve">Het arrest </w:t>
      </w:r>
      <w:r w:rsidRPr="00347436">
        <w:rPr>
          <w:bCs/>
        </w:rPr>
        <w:t xml:space="preserve">Schindler toonde hiermee aan dat er enkel aan de dominante vrijheid dient te worden getoetst en dat eventuele bijkomende beperkingen </w:t>
      </w:r>
      <w:r w:rsidRPr="005D59C2">
        <w:rPr>
          <w:bCs/>
        </w:rPr>
        <w:t>geen additionele toetsing rechtvaardigen. Wel moet hierbij worden opgemerkt dat wanneer het niet mogelijk is een dominante vrijheid te bepalen toetsing aan beide vrijheden plaats dient te vinden.</w:t>
      </w:r>
    </w:p>
    <w:p w:rsidR="00652D1F" w:rsidRPr="00347436" w:rsidRDefault="00652D1F" w:rsidP="00AC0BC5">
      <w:pPr>
        <w:spacing w:line="360" w:lineRule="auto"/>
        <w:rPr>
          <w:bCs/>
        </w:rPr>
      </w:pPr>
    </w:p>
    <w:p w:rsidR="00652D1F" w:rsidRDefault="00652D1F" w:rsidP="005E650D">
      <w:pPr>
        <w:spacing w:line="360" w:lineRule="auto"/>
      </w:pPr>
      <w:r w:rsidRPr="005D59C2">
        <w:rPr>
          <w:bCs/>
        </w:rPr>
        <w:t xml:space="preserve">Deze regel is bevestigd en meer expliciet gemaakt in de arresten Canal Satelite Digital en Karner. In deze arresten heeft het HvJ EG </w:t>
      </w:r>
      <w:r w:rsidR="009B6542" w:rsidRPr="005D59C2">
        <w:rPr>
          <w:bCs/>
        </w:rPr>
        <w:t xml:space="preserve">het volgende algemeen toepasbare beginsel </w:t>
      </w:r>
      <w:r w:rsidRPr="005D59C2">
        <w:rPr>
          <w:bCs/>
        </w:rPr>
        <w:t>geformuleerd; wanneer een nationale maatregel meerdere vrijheden beperkt,</w:t>
      </w:r>
      <w:r>
        <w:rPr>
          <w:bCs/>
        </w:rPr>
        <w:t xml:space="preserve"> “</w:t>
      </w:r>
      <w:r w:rsidRPr="00071577">
        <w:rPr>
          <w:bCs/>
          <w:i/>
          <w:iCs/>
        </w:rPr>
        <w:t xml:space="preserve">onderzoekt het </w:t>
      </w:r>
      <w:r>
        <w:rPr>
          <w:bCs/>
          <w:i/>
          <w:iCs/>
        </w:rPr>
        <w:t>HvJ EG</w:t>
      </w:r>
      <w:r w:rsidRPr="00071577">
        <w:rPr>
          <w:bCs/>
          <w:i/>
          <w:iCs/>
        </w:rPr>
        <w:t xml:space="preserve"> de maatregel in beginsel slechts ten aanzien van een van deze twee vrijheden, indien uit de omstandigheden van de zaak blijkt dat een van de vrijheden volledig ondergeschikt is aan de andere en daarmee kan worden verbonden</w:t>
      </w:r>
      <w:r w:rsidRPr="00347436">
        <w:rPr>
          <w:bCs/>
        </w:rPr>
        <w:t>.”</w:t>
      </w:r>
      <w:r w:rsidRPr="00347436">
        <w:rPr>
          <w:rStyle w:val="Voetnootmarkering"/>
          <w:bCs/>
        </w:rPr>
        <w:footnoteReference w:id="121"/>
      </w:r>
      <w:r w:rsidRPr="00347436">
        <w:rPr>
          <w:bCs/>
        </w:rPr>
        <w:t xml:space="preserve"> Dit houdt aldus in dat enkel zal worden getoetst aan de vrijheid </w:t>
      </w:r>
      <w:r>
        <w:rPr>
          <w:bCs/>
        </w:rPr>
        <w:t>die primair wordt</w:t>
      </w:r>
      <w:r w:rsidRPr="00347436">
        <w:rPr>
          <w:bCs/>
        </w:rPr>
        <w:t xml:space="preserve"> beperkt, </w:t>
      </w:r>
      <w:r>
        <w:rPr>
          <w:bCs/>
        </w:rPr>
        <w:t>wanneer er ten gevolge hiervan</w:t>
      </w:r>
      <w:r w:rsidRPr="00347436">
        <w:rPr>
          <w:bCs/>
        </w:rPr>
        <w:t xml:space="preserve"> een verdere vrijheid wordt beperkt rechtvaardigt dit geen afzonderlijke toetsing. Dit komt met betrekking tot de rangorde tussen de vrijheid van vestiging en vrijheid van kapitaalverkeer</w:t>
      </w:r>
      <w:r>
        <w:rPr>
          <w:bCs/>
        </w:rPr>
        <w:t>,</w:t>
      </w:r>
      <w:r w:rsidRPr="00347436">
        <w:rPr>
          <w:bCs/>
        </w:rPr>
        <w:t xml:space="preserve"> onder andere</w:t>
      </w:r>
      <w:r>
        <w:rPr>
          <w:bCs/>
        </w:rPr>
        <w:t>,</w:t>
      </w:r>
      <w:r w:rsidRPr="00347436">
        <w:rPr>
          <w:bCs/>
        </w:rPr>
        <w:t xml:space="preserve"> duidelijk</w:t>
      </w:r>
      <w:r>
        <w:rPr>
          <w:bCs/>
        </w:rPr>
        <w:t xml:space="preserve"> naar voren in het arrest Burda.</w:t>
      </w:r>
      <w:r w:rsidRPr="00347436">
        <w:rPr>
          <w:bCs/>
        </w:rPr>
        <w:t xml:space="preserve"> </w:t>
      </w:r>
      <w:r>
        <w:rPr>
          <w:bCs/>
        </w:rPr>
        <w:t>In dit arrest stelt</w:t>
      </w:r>
      <w:r w:rsidRPr="00347436">
        <w:rPr>
          <w:bCs/>
        </w:rPr>
        <w:t xml:space="preserve"> het </w:t>
      </w:r>
      <w:r>
        <w:rPr>
          <w:bCs/>
        </w:rPr>
        <w:t>HvJ EG dat;</w:t>
      </w:r>
      <w:r w:rsidRPr="00347436">
        <w:rPr>
          <w:bCs/>
        </w:rPr>
        <w:t xml:space="preserve"> “</w:t>
      </w:r>
      <w:r>
        <w:rPr>
          <w:i/>
          <w:iCs/>
        </w:rPr>
        <w:t>z</w:t>
      </w:r>
      <w:r w:rsidRPr="00071577">
        <w:rPr>
          <w:i/>
          <w:iCs/>
        </w:rPr>
        <w:t>elfs al zou de toepassing van de bepalingen (…) beperkende gevolgen hebben voor het vrije verkeer van kapitaal, uit de rechtspraak volgt in elk geval dat dergelijke beperkingen een onvermijdelijk gevolg zijn van een eventuele belemmering van de vrijheid van vestiging, zodat zij niet een autonome toetsing van die wettelijke regeling aan artikel 73 B van het Verdrag rechtvaardigen</w:t>
      </w:r>
      <w:r w:rsidRPr="00347436">
        <w:t>.”</w:t>
      </w:r>
      <w:r w:rsidRPr="00347436">
        <w:rPr>
          <w:rStyle w:val="Voetnootmarkering"/>
        </w:rPr>
        <w:footnoteReference w:id="122"/>
      </w:r>
    </w:p>
    <w:p w:rsidR="00652D1F" w:rsidRPr="00347436" w:rsidRDefault="00652D1F" w:rsidP="00AC0BC5">
      <w:pPr>
        <w:spacing w:line="360" w:lineRule="auto"/>
      </w:pPr>
    </w:p>
    <w:p w:rsidR="00652D1F"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 xml:space="preserve">3.2.3 </w:t>
      </w:r>
      <w:r w:rsidRPr="00347436">
        <w:rPr>
          <w:b/>
          <w:u w:val="single"/>
        </w:rPr>
        <w:t>Vrijheid van vestiging en vrijheid van kapitaalverkeer</w:t>
      </w:r>
    </w:p>
    <w:p w:rsidR="00652D1F" w:rsidRPr="00347436" w:rsidRDefault="00652D1F" w:rsidP="00AC0BC5">
      <w:pPr>
        <w:spacing w:line="360" w:lineRule="auto"/>
        <w:rPr>
          <w:b/>
          <w:u w:val="single"/>
        </w:rPr>
      </w:pPr>
    </w:p>
    <w:p w:rsidR="00652D1F" w:rsidRPr="00347436" w:rsidRDefault="00652D1F" w:rsidP="00AC0BC5">
      <w:pPr>
        <w:spacing w:line="360" w:lineRule="auto"/>
      </w:pPr>
      <w:r w:rsidRPr="00347436">
        <w:t xml:space="preserve">De bepaling van de dominantie van de vrijheid van kapitaalverkeer enerzijds dan wel de vrijheid van vestiging anderzijds is in de jurisprudentie van het </w:t>
      </w:r>
      <w:r>
        <w:t>HvJ EG</w:t>
      </w:r>
      <w:r w:rsidRPr="00347436">
        <w:t>, mede vanwege de derde werking van de vrijheid van kapitaalverkeer, velen malen aan bod geweest</w:t>
      </w:r>
      <w:r>
        <w:t>.</w:t>
      </w:r>
      <w:r w:rsidRPr="00347436">
        <w:rPr>
          <w:rStyle w:val="Voetnootmarkering"/>
        </w:rPr>
        <w:footnoteReference w:id="123"/>
      </w:r>
      <w:r w:rsidRPr="00347436">
        <w:t xml:space="preserve"> In het onderstaande zal allereerst het doorslaggevende criterium in de rangorde tussen beide bovengenoemde vrijheden worden besproken</w:t>
      </w:r>
      <w:r>
        <w:t>,</w:t>
      </w:r>
      <w:r w:rsidRPr="00347436">
        <w:t xml:space="preserve"> waarna zal worden vastgesteld welke v</w:t>
      </w:r>
      <w:r>
        <w:t>rijheid prioriteit heeft bij de toetsing van artikel 10a</w:t>
      </w:r>
      <w:r w:rsidRPr="00347436">
        <w:t xml:space="preserve"> Wet </w:t>
      </w:r>
      <w:r>
        <w:t>VpB.</w:t>
      </w:r>
      <w:r w:rsidRPr="00347436">
        <w:t xml:space="preserve"> </w:t>
      </w:r>
    </w:p>
    <w:p w:rsidR="00652D1F" w:rsidRPr="00347436" w:rsidRDefault="00652D1F" w:rsidP="00AC0BC5">
      <w:pPr>
        <w:spacing w:line="360" w:lineRule="auto"/>
      </w:pPr>
    </w:p>
    <w:p w:rsidR="00652D1F" w:rsidRPr="00347436" w:rsidRDefault="00652D1F" w:rsidP="00AC0BC5">
      <w:pPr>
        <w:spacing w:line="360" w:lineRule="auto"/>
      </w:pPr>
      <w:r w:rsidRPr="00347436">
        <w:t>Uit de</w:t>
      </w:r>
      <w:r>
        <w:t>ze</w:t>
      </w:r>
      <w:r w:rsidRPr="00347436">
        <w:t xml:space="preserve"> jurisprudentie blijkt dat ‘beslissende invloed’ in de deelnemingsverhouding het doorslaggevende c</w:t>
      </w:r>
      <w:r>
        <w:t>riterium is. D</w:t>
      </w:r>
      <w:r w:rsidRPr="00347436">
        <w:t>eze opvatting wordt ook in de literatuur onderschreven</w:t>
      </w:r>
      <w:r>
        <w:t>.</w:t>
      </w:r>
      <w:r w:rsidRPr="00347436">
        <w:rPr>
          <w:rStyle w:val="Voetnootmarkering"/>
        </w:rPr>
        <w:footnoteReference w:id="124"/>
      </w:r>
      <w:r w:rsidRPr="00347436">
        <w:t xml:space="preserve"> De eerste aanzet tot de formulering van dit criterium werd gegeven in het Baars arrest. In dit arrest </w:t>
      </w:r>
      <w:r>
        <w:t>ging</w:t>
      </w:r>
      <w:r w:rsidRPr="00347436">
        <w:t xml:space="preserve"> het om een Nederlandse </w:t>
      </w:r>
      <w:r w:rsidR="000870ED">
        <w:t>belanghebbende</w:t>
      </w:r>
      <w:r w:rsidRPr="00347436">
        <w:t xml:space="preserve"> die </w:t>
      </w:r>
      <w:r w:rsidR="000870ED">
        <w:t>alle aandelen hield</w:t>
      </w:r>
      <w:r w:rsidRPr="00347436">
        <w:t xml:space="preserve"> in een Ierse vennootschap. </w:t>
      </w:r>
      <w:r w:rsidR="000870ED">
        <w:t xml:space="preserve">Belanghebbende mocht </w:t>
      </w:r>
      <w:r w:rsidRPr="00347436">
        <w:t xml:space="preserve">de ondernemingsvrijstelling in de </w:t>
      </w:r>
      <w:r w:rsidR="000870ED">
        <w:t xml:space="preserve">toenmalige </w:t>
      </w:r>
      <w:r>
        <w:t>Nederlandse kapitaalsbelasting</w:t>
      </w:r>
      <w:r w:rsidR="000870ED">
        <w:t xml:space="preserve"> echter niet toepassen</w:t>
      </w:r>
      <w:r>
        <w:t>. D</w:t>
      </w:r>
      <w:r w:rsidRPr="00347436">
        <w:t>it omdat de vennootschap</w:t>
      </w:r>
      <w:r>
        <w:t>,</w:t>
      </w:r>
      <w:r w:rsidRPr="00347436">
        <w:t xml:space="preserve"> waarin hij het aanmerkelijk belang bezat</w:t>
      </w:r>
      <w:r w:rsidR="000870ED">
        <w:t xml:space="preserve"> niet in Nederland gevestigd was. Tijdens zijn rechtsgang </w:t>
      </w:r>
      <w:r w:rsidRPr="00347436">
        <w:t xml:space="preserve">beriep </w:t>
      </w:r>
      <w:r w:rsidR="000870ED">
        <w:t>hij zich</w:t>
      </w:r>
      <w:r w:rsidRPr="00347436">
        <w:t xml:space="preserve"> op zowel de vrijheid van vestiging </w:t>
      </w:r>
      <w:r>
        <w:t>als</w:t>
      </w:r>
      <w:r w:rsidRPr="00347436">
        <w:t xml:space="preserve"> de vrijheid van kapitaalverkeer. In het antwoord op de prejudiciële vragen</w:t>
      </w:r>
      <w:r>
        <w:t>,</w:t>
      </w:r>
      <w:r w:rsidRPr="00347436">
        <w:t xml:space="preserve"> die </w:t>
      </w:r>
      <w:r>
        <w:t>in deze</w:t>
      </w:r>
      <w:r w:rsidRPr="00347436">
        <w:t xml:space="preserve"> door de Nederlandse rechter </w:t>
      </w:r>
      <w:r>
        <w:t xml:space="preserve">aan het HvJ EG </w:t>
      </w:r>
      <w:r w:rsidRPr="00347436">
        <w:t>werden gesteld</w:t>
      </w:r>
      <w:r>
        <w:t>, oordeelde h</w:t>
      </w:r>
      <w:r w:rsidRPr="00347436">
        <w:t xml:space="preserve">et </w:t>
      </w:r>
      <w:r>
        <w:t>HvJ EG</w:t>
      </w:r>
      <w:r w:rsidRPr="00347436">
        <w:t xml:space="preserve"> dat de weigering van de toekenning van de ondernemingsvrijstelling op basis van de Nederlandse wetgeving diende te worden getoetst aan de vrijheid van vestiging. Het </w:t>
      </w:r>
      <w:r>
        <w:t>HvJ EG motiveerde dit antwoord als volgt;</w:t>
      </w:r>
    </w:p>
    <w:p w:rsidR="00652D1F" w:rsidRPr="00347436" w:rsidRDefault="00652D1F" w:rsidP="00AC0BC5">
      <w:pPr>
        <w:spacing w:line="360" w:lineRule="auto"/>
      </w:pPr>
    </w:p>
    <w:p w:rsidR="00652D1F" w:rsidRDefault="00652D1F" w:rsidP="00AC0BC5">
      <w:pPr>
        <w:spacing w:line="360" w:lineRule="auto"/>
        <w:rPr>
          <w:i/>
          <w:iCs/>
        </w:rPr>
      </w:pPr>
      <w:r w:rsidRPr="00341A3A">
        <w:rPr>
          <w:i/>
          <w:iCs/>
        </w:rPr>
        <w:t>“-20. Een aanmerkelijk belang in de zin van het Nederlandse recht, waarvan in wezen sprake is wanneer iemand in de loop van de laatste vijf jaren ten minste een derde van de aandelen van een vennootschap en meer dan zeven honderdsten van het nominaal gestorte kapitaal in zijn bezit had, impliceert niet noodzakelijkerwijs de zeggenschap over of het beheer van de vennootschap, aspecten die samenhangen met de uitoefening van het recht van vestiging. De omstandigheid dat een lidstaat zijn belastingplichtigen geen ondernemingsvrijstelling verleent wegens een volgens de nationale wetgeving bestaand aanmerkelijk belang in een in een andere lidstaat gevestigde vennootschap, hoeft bijgevolg niet noodzakelijkerwijs van invloed te zijn op de vrijheid van vestiging.</w:t>
      </w:r>
    </w:p>
    <w:p w:rsidR="00652D1F" w:rsidRPr="00341A3A" w:rsidRDefault="00652D1F" w:rsidP="00AC0BC5">
      <w:pPr>
        <w:spacing w:line="360" w:lineRule="auto"/>
        <w:rPr>
          <w:i/>
          <w:iCs/>
        </w:rPr>
      </w:pPr>
    </w:p>
    <w:p w:rsidR="00652D1F" w:rsidRPr="00347436" w:rsidRDefault="00652D1F" w:rsidP="00AC0BC5">
      <w:pPr>
        <w:spacing w:line="360" w:lineRule="auto"/>
      </w:pPr>
      <w:r w:rsidRPr="00341A3A">
        <w:rPr>
          <w:i/>
          <w:iCs/>
        </w:rPr>
        <w:t>-21. In het hoofdgeding gaat het evenwel om een onderdaan van een lidstaat die aldaar woont en die alle aandelen van een in een andere lidstaat gevestigde vennootschap bezit. Met een 100%-deelneming in het kapitaal van een in een andere lidstaat gevestigde vennootschap valt een dergelijke belastingplichtige stellig binnen de werkingssfeer van de verdragsbepalingen inzake het recht van vestiging</w:t>
      </w:r>
      <w:r>
        <w:t>.</w:t>
      </w:r>
      <w:r w:rsidRPr="00347436">
        <w:t>”</w:t>
      </w:r>
      <w:r w:rsidRPr="00347436">
        <w:rPr>
          <w:rStyle w:val="Voetnootmarkering"/>
        </w:rPr>
        <w:footnoteReference w:id="125"/>
      </w:r>
    </w:p>
    <w:p w:rsidR="00652D1F" w:rsidRPr="00347436" w:rsidRDefault="00652D1F" w:rsidP="00AC0BC5">
      <w:pPr>
        <w:spacing w:line="360" w:lineRule="auto"/>
      </w:pPr>
    </w:p>
    <w:p w:rsidR="00652D1F" w:rsidRPr="00347436" w:rsidRDefault="00652D1F" w:rsidP="008744A3">
      <w:pPr>
        <w:spacing w:line="360" w:lineRule="auto"/>
      </w:pPr>
      <w:r w:rsidRPr="00292A58">
        <w:t>Uit deze rechtsoverwegingen komt</w:t>
      </w:r>
      <w:r w:rsidRPr="00347436">
        <w:t xml:space="preserve"> duidelijk naar voren dat</w:t>
      </w:r>
      <w:r>
        <w:t>,</w:t>
      </w:r>
      <w:r w:rsidRPr="00347436">
        <w:t xml:space="preserve"> gezien het feit dat de belanghebbende een 100% belang in de Ierse vennootschap heeft, </w:t>
      </w:r>
      <w:r>
        <w:t>hetgeen</w:t>
      </w:r>
      <w:r w:rsidRPr="00347436">
        <w:t xml:space="preserve"> hem de doorslaggevende zeggenschap geeft over het lichaam, de regeling inbreuk maakt op de vrijheid van vestiging. Dit kan men af</w:t>
      </w:r>
      <w:r>
        <w:t xml:space="preserve"> leiden uit de analyse van het HvJ EG,</w:t>
      </w:r>
      <w:r w:rsidRPr="00347436">
        <w:t xml:space="preserve"> </w:t>
      </w:r>
      <w:r>
        <w:t>hie</w:t>
      </w:r>
      <w:r w:rsidRPr="00347436">
        <w:t xml:space="preserve">rin wordt </w:t>
      </w:r>
      <w:r>
        <w:t xml:space="preserve">namelijk eerst </w:t>
      </w:r>
      <w:r w:rsidRPr="00347436">
        <w:t xml:space="preserve">gesteld dat </w:t>
      </w:r>
      <w:r>
        <w:t>vanwege</w:t>
      </w:r>
      <w:r w:rsidRPr="00347436">
        <w:t xml:space="preserve"> </w:t>
      </w:r>
      <w:r>
        <w:t xml:space="preserve">het feit </w:t>
      </w:r>
      <w:r w:rsidRPr="00347436">
        <w:t>dat de aanmerkelijk belang regeling zowel inbreuk maakt op verhoudingen waarin geen sprake is van doorslaggevende zeggenschap, c.q. een belang van minder dan 50%</w:t>
      </w:r>
      <w:r>
        <w:t>,</w:t>
      </w:r>
      <w:r w:rsidRPr="00347436">
        <w:t xml:space="preserve"> er niet per definitie sprake hoeft te zijn van een inbre</w:t>
      </w:r>
      <w:r>
        <w:t>uk op de vrijheid van vestiging. E</w:t>
      </w:r>
      <w:r w:rsidRPr="00347436">
        <w:t>chter</w:t>
      </w:r>
      <w:r>
        <w:t>,</w:t>
      </w:r>
      <w:r w:rsidRPr="00347436">
        <w:t xml:space="preserve"> omda</w:t>
      </w:r>
      <w:r>
        <w:t xml:space="preserve">t het belang i.c. 100% bedraagt is er toch sprake </w:t>
      </w:r>
      <w:r w:rsidRPr="00347436">
        <w:t xml:space="preserve">van doorslaggevende zeggenschap </w:t>
      </w:r>
      <w:r>
        <w:t xml:space="preserve">en dient er derhalve </w:t>
      </w:r>
      <w:r w:rsidRPr="00347436">
        <w:t xml:space="preserve">te worden getoetst aan de vrijheid van vestiging. </w:t>
      </w:r>
    </w:p>
    <w:p w:rsidR="00652D1F" w:rsidRPr="00347436" w:rsidRDefault="00652D1F" w:rsidP="00AC0BC5">
      <w:pPr>
        <w:spacing w:line="360" w:lineRule="auto"/>
      </w:pPr>
    </w:p>
    <w:p w:rsidR="00652D1F" w:rsidRPr="00347436" w:rsidRDefault="00652D1F" w:rsidP="00935E01">
      <w:pPr>
        <w:spacing w:line="360" w:lineRule="auto"/>
      </w:pPr>
      <w:r w:rsidRPr="00292A58">
        <w:t>In het arrest Uberseering</w:t>
      </w:r>
      <w:r w:rsidRPr="00347436">
        <w:t xml:space="preserve"> wordt</w:t>
      </w:r>
      <w:r>
        <w:t xml:space="preserve"> dit criterium</w:t>
      </w:r>
      <w:r w:rsidRPr="00347436">
        <w:t xml:space="preserve">, onder verwijzing naar Baars, </w:t>
      </w:r>
      <w:r>
        <w:t xml:space="preserve">vervolgens meer </w:t>
      </w:r>
      <w:r w:rsidRPr="00347436">
        <w:t xml:space="preserve">expliciet gemaakt door het </w:t>
      </w:r>
      <w:r>
        <w:t>HvJ EG</w:t>
      </w:r>
      <w:r w:rsidRPr="00347436">
        <w:t>.</w:t>
      </w:r>
      <w:r w:rsidR="004A142B">
        <w:rPr>
          <w:rStyle w:val="Voetnootmarkering"/>
        </w:rPr>
        <w:footnoteReference w:id="126"/>
      </w:r>
      <w:r w:rsidRPr="00347436">
        <w:t xml:space="preserve"> In Uberseering ging het om de erkenning van de procesbevoegdheid van een vennootschap opgericht </w:t>
      </w:r>
      <w:r>
        <w:t>naar het recht van een lidstaat</w:t>
      </w:r>
      <w:r w:rsidRPr="00347436">
        <w:t xml:space="preserve"> die haar statutaire zetel verplaatste naar een andere lidstaat, door de ontvangende lidstaat. In deze zaak doet, zoals in Baars, de belanghebbende een beroep op zowel de vrijheid van vestiging als op de vrijheid van kapitaalverkeer. Dienaangaande overwoog het </w:t>
      </w:r>
      <w:r>
        <w:t>HvJ EG het onderstaande;</w:t>
      </w:r>
    </w:p>
    <w:p w:rsidR="00652D1F" w:rsidRPr="00347436" w:rsidRDefault="00652D1F" w:rsidP="00AC0BC5">
      <w:pPr>
        <w:spacing w:line="360" w:lineRule="auto"/>
      </w:pPr>
    </w:p>
    <w:p w:rsidR="00652D1F" w:rsidRPr="00347436" w:rsidRDefault="00652D1F" w:rsidP="00AC0BC5">
      <w:pPr>
        <w:spacing w:line="360" w:lineRule="auto"/>
        <w:rPr>
          <w:color w:val="000000"/>
        </w:rPr>
      </w:pPr>
      <w:r w:rsidRPr="00347436">
        <w:rPr>
          <w:color w:val="000000"/>
        </w:rPr>
        <w:t>“</w:t>
      </w:r>
      <w:r w:rsidRPr="00341A3A">
        <w:rPr>
          <w:i/>
          <w:iCs/>
          <w:color w:val="000000"/>
        </w:rPr>
        <w:t>77 Er zij overigens aan herinnerd dat de verwerving, door een of meerdere natuurlijke personen met verblijfplaats in een lidstaat, van aandelen van een in een andere lidstaat opgerichte en gevestigde vennootschap, in beginsel binnen de werkingssfeer van de verdragsbepalingen inzake het vrije kapitaalverkeer valt, zolang deze deelneming aan deze natuurlijke personen geen zodanige invloed op de besluiten van de vennootschap verleent dat zij de activiteiten ervan kunnen bepalen. Indien echter alle aandelen van een vennootschap met statutaire zetel in een andere lidstaat worden verworven en deze deelneming een zodanige invloed op de besluiten van de vennootschap verleent dat de betrokkenen de activiteiten ervan kunnen bepalen, zijn de verdragsbepalingen inzake de vrijheid van vestiging van toepassing</w:t>
      </w:r>
      <w:r w:rsidRPr="00347436">
        <w:rPr>
          <w:color w:val="000000"/>
        </w:rPr>
        <w:t>.”</w:t>
      </w:r>
      <w:r w:rsidRPr="00347436">
        <w:rPr>
          <w:rStyle w:val="Voetnootmarkering"/>
          <w:color w:val="000000"/>
        </w:rPr>
        <w:footnoteReference w:id="127"/>
      </w:r>
    </w:p>
    <w:p w:rsidR="00652D1F" w:rsidRPr="00347436" w:rsidRDefault="00652D1F" w:rsidP="00AC0BC5">
      <w:pPr>
        <w:spacing w:line="360" w:lineRule="auto"/>
        <w:rPr>
          <w:color w:val="000000"/>
        </w:rPr>
      </w:pPr>
    </w:p>
    <w:p w:rsidR="00652D1F" w:rsidRPr="00347436" w:rsidRDefault="00652D1F" w:rsidP="00935E01">
      <w:pPr>
        <w:spacing w:line="360" w:lineRule="auto"/>
        <w:rPr>
          <w:color w:val="000000"/>
        </w:rPr>
      </w:pPr>
      <w:r w:rsidRPr="00347436">
        <w:rPr>
          <w:color w:val="000000"/>
        </w:rPr>
        <w:t xml:space="preserve">Uit deze rechtsoverweging </w:t>
      </w:r>
      <w:r>
        <w:rPr>
          <w:color w:val="000000"/>
        </w:rPr>
        <w:t xml:space="preserve">komt expliciet naar voren </w:t>
      </w:r>
      <w:r w:rsidRPr="00347436">
        <w:rPr>
          <w:color w:val="000000"/>
        </w:rPr>
        <w:t xml:space="preserve">hetgeen welk reeds </w:t>
      </w:r>
      <w:r w:rsidR="009B6542">
        <w:rPr>
          <w:color w:val="000000"/>
        </w:rPr>
        <w:t xml:space="preserve">impliciet </w:t>
      </w:r>
      <w:r w:rsidRPr="00347436">
        <w:rPr>
          <w:color w:val="000000"/>
        </w:rPr>
        <w:t>kon worde</w:t>
      </w:r>
      <w:r w:rsidR="009B6542">
        <w:rPr>
          <w:color w:val="000000"/>
        </w:rPr>
        <w:t>n opgemaakt</w:t>
      </w:r>
      <w:r>
        <w:rPr>
          <w:color w:val="000000"/>
        </w:rPr>
        <w:t xml:space="preserve"> uit het arrest Baars; i</w:t>
      </w:r>
      <w:r w:rsidRPr="00347436">
        <w:rPr>
          <w:color w:val="000000"/>
        </w:rPr>
        <w:t>s er sprake van een beslissende mate van invloed</w:t>
      </w:r>
      <w:r>
        <w:rPr>
          <w:color w:val="000000"/>
        </w:rPr>
        <w:t xml:space="preserve"> dan</w:t>
      </w:r>
      <w:r w:rsidRPr="00347436">
        <w:rPr>
          <w:color w:val="000000"/>
        </w:rPr>
        <w:t xml:space="preserve"> dient men te toetsen aan de vrijheid van vestiging</w:t>
      </w:r>
      <w:r>
        <w:rPr>
          <w:color w:val="000000"/>
        </w:rPr>
        <w:t>, i</w:t>
      </w:r>
      <w:r w:rsidRPr="00347436">
        <w:rPr>
          <w:color w:val="000000"/>
        </w:rPr>
        <w:t xml:space="preserve">s er geen sprake van een beslissende mate van invloed </w:t>
      </w:r>
      <w:r>
        <w:rPr>
          <w:color w:val="000000"/>
        </w:rPr>
        <w:t xml:space="preserve">dan </w:t>
      </w:r>
      <w:r w:rsidRPr="00347436">
        <w:rPr>
          <w:color w:val="000000"/>
        </w:rPr>
        <w:t xml:space="preserve">dient men te toetsen aan de vrijheid van kapitaalverkeer. Het afwijkende </w:t>
      </w:r>
      <w:r>
        <w:rPr>
          <w:color w:val="000000"/>
        </w:rPr>
        <w:t>oordeel</w:t>
      </w:r>
      <w:r w:rsidRPr="00347436">
        <w:rPr>
          <w:color w:val="000000"/>
        </w:rPr>
        <w:t xml:space="preserve"> in</w:t>
      </w:r>
      <w:r>
        <w:rPr>
          <w:color w:val="000000"/>
        </w:rPr>
        <w:t xml:space="preserve"> het</w:t>
      </w:r>
      <w:r w:rsidRPr="00347436">
        <w:rPr>
          <w:color w:val="000000"/>
        </w:rPr>
        <w:t xml:space="preserve"> Glaxo Wellcome </w:t>
      </w:r>
      <w:r>
        <w:rPr>
          <w:color w:val="000000"/>
        </w:rPr>
        <w:t>arrest</w:t>
      </w:r>
      <w:r w:rsidRPr="00347436">
        <w:rPr>
          <w:color w:val="000000"/>
        </w:rPr>
        <w:t xml:space="preserve"> doet hier mijn</w:t>
      </w:r>
      <w:r>
        <w:rPr>
          <w:color w:val="000000"/>
        </w:rPr>
        <w:t xml:space="preserve">s inziens niet aan af. </w:t>
      </w:r>
      <w:r w:rsidRPr="00347436">
        <w:rPr>
          <w:color w:val="000000"/>
        </w:rPr>
        <w:t xml:space="preserve">De grootte van de invloed over de dochter droeg </w:t>
      </w:r>
      <w:r>
        <w:rPr>
          <w:color w:val="000000"/>
        </w:rPr>
        <w:t xml:space="preserve">hierin </w:t>
      </w:r>
      <w:r w:rsidRPr="00347436">
        <w:rPr>
          <w:color w:val="000000"/>
        </w:rPr>
        <w:t>niet bij aan het voordeel dat de regeling in deze kwestie belemmerde, dit kwam namelijk enkel</w:t>
      </w:r>
      <w:r>
        <w:rPr>
          <w:color w:val="000000"/>
        </w:rPr>
        <w:t xml:space="preserve"> </w:t>
      </w:r>
      <w:r w:rsidRPr="00347436">
        <w:rPr>
          <w:color w:val="000000"/>
        </w:rPr>
        <w:t>voort uit een eenzijdige actie van het aandeelhoudende lichaam</w:t>
      </w:r>
      <w:r>
        <w:rPr>
          <w:color w:val="000000"/>
        </w:rPr>
        <w:t>.</w:t>
      </w:r>
      <w:r w:rsidRPr="00347436">
        <w:rPr>
          <w:rStyle w:val="Voetnootmarkering"/>
          <w:color w:val="000000"/>
        </w:rPr>
        <w:footnoteReference w:id="128"/>
      </w:r>
      <w:r w:rsidRPr="00347436">
        <w:rPr>
          <w:color w:val="000000"/>
        </w:rPr>
        <w:t xml:space="preserve"> Derhalve was hier</w:t>
      </w:r>
      <w:r>
        <w:rPr>
          <w:color w:val="000000"/>
        </w:rPr>
        <w:t xml:space="preserve"> mijns inziens</w:t>
      </w:r>
      <w:r w:rsidRPr="00347436">
        <w:rPr>
          <w:color w:val="000000"/>
        </w:rPr>
        <w:t xml:space="preserve"> geen sprake van </w:t>
      </w:r>
      <w:r>
        <w:rPr>
          <w:color w:val="000000"/>
        </w:rPr>
        <w:t>de uitoefening</w:t>
      </w:r>
      <w:r w:rsidRPr="00347436">
        <w:rPr>
          <w:color w:val="000000"/>
        </w:rPr>
        <w:t xml:space="preserve"> van de vrijheid van vestiging.</w:t>
      </w:r>
    </w:p>
    <w:p w:rsidR="00652D1F" w:rsidRPr="00347436" w:rsidRDefault="00652D1F" w:rsidP="00AC0BC5">
      <w:pPr>
        <w:spacing w:line="360" w:lineRule="auto"/>
        <w:rPr>
          <w:color w:val="000000"/>
        </w:rPr>
      </w:pPr>
    </w:p>
    <w:p w:rsidR="00652D1F" w:rsidRPr="00347436" w:rsidRDefault="00652D1F" w:rsidP="00AC0BC5">
      <w:pPr>
        <w:spacing w:line="360" w:lineRule="auto"/>
        <w:rPr>
          <w:color w:val="000000"/>
        </w:rPr>
      </w:pPr>
      <w:r w:rsidRPr="00347436">
        <w:rPr>
          <w:color w:val="000000"/>
        </w:rPr>
        <w:t xml:space="preserve">Hoewel hiermee het ‘beslissende invloed’ criterium was geboren, bestond en bestaat er nog immer discussie over de vaststelling van de aanwezigheid van dit element, voornamelijk met betrekking </w:t>
      </w:r>
      <w:r>
        <w:rPr>
          <w:color w:val="000000"/>
        </w:rPr>
        <w:t xml:space="preserve">tot </w:t>
      </w:r>
      <w:r w:rsidRPr="00347436">
        <w:rPr>
          <w:color w:val="000000"/>
        </w:rPr>
        <w:t>zogenaamde generieke wetgeving</w:t>
      </w:r>
      <w:r>
        <w:rPr>
          <w:color w:val="000000"/>
        </w:rPr>
        <w:t>.</w:t>
      </w:r>
      <w:r w:rsidRPr="00347436">
        <w:rPr>
          <w:rStyle w:val="Voetnootmarkering"/>
          <w:color w:val="000000"/>
        </w:rPr>
        <w:footnoteReference w:id="129"/>
      </w:r>
      <w:r w:rsidRPr="00347436">
        <w:rPr>
          <w:color w:val="000000"/>
        </w:rPr>
        <w:t xml:space="preserve"> Er zijn namelijk twee verschillende categorieën we</w:t>
      </w:r>
      <w:r>
        <w:rPr>
          <w:color w:val="000000"/>
        </w:rPr>
        <w:t>tgeving met betrekking tot de toepassing van het ‘beslissende invloed’-</w:t>
      </w:r>
      <w:r w:rsidRPr="00347436">
        <w:rPr>
          <w:color w:val="000000"/>
        </w:rPr>
        <w:t>criterium</w:t>
      </w:r>
      <w:r>
        <w:rPr>
          <w:color w:val="000000"/>
        </w:rPr>
        <w:t xml:space="preserve"> te onderscheiden</w:t>
      </w:r>
      <w:r w:rsidRPr="00347436">
        <w:rPr>
          <w:color w:val="000000"/>
        </w:rPr>
        <w:t>, generieke en specifieke wetgeving. Generieke wetgeving heeft zowel effect in situaties waarin er sprake is van een beslissende mate van invloed als in situaties waarin dit niet het geval is. Specifieke wetgeving</w:t>
      </w:r>
      <w:r>
        <w:rPr>
          <w:color w:val="000000"/>
        </w:rPr>
        <w:t>,</w:t>
      </w:r>
      <w:r w:rsidRPr="00347436">
        <w:rPr>
          <w:color w:val="000000"/>
        </w:rPr>
        <w:t xml:space="preserve"> daarentegen</w:t>
      </w:r>
      <w:r>
        <w:rPr>
          <w:color w:val="000000"/>
        </w:rPr>
        <w:t>,</w:t>
      </w:r>
      <w:r w:rsidRPr="00347436">
        <w:rPr>
          <w:color w:val="000000"/>
        </w:rPr>
        <w:t xml:space="preserve"> is enkel van toepassing in situaties waarin er wel dan wel geen sprake is van een beslissende mate van invloed. </w:t>
      </w:r>
    </w:p>
    <w:p w:rsidR="00652D1F" w:rsidRPr="00347436" w:rsidRDefault="00652D1F" w:rsidP="00AC0BC5">
      <w:pPr>
        <w:spacing w:line="360" w:lineRule="auto"/>
        <w:rPr>
          <w:color w:val="000000"/>
        </w:rPr>
      </w:pPr>
    </w:p>
    <w:p w:rsidR="00652D1F" w:rsidRDefault="00652D1F" w:rsidP="00935E01">
      <w:pPr>
        <w:spacing w:line="360" w:lineRule="auto"/>
        <w:rPr>
          <w:color w:val="000000"/>
        </w:rPr>
      </w:pPr>
      <w:r w:rsidRPr="00347436">
        <w:rPr>
          <w:color w:val="000000"/>
        </w:rPr>
        <w:t xml:space="preserve">Er zal </w:t>
      </w:r>
      <w:r>
        <w:rPr>
          <w:color w:val="000000"/>
        </w:rPr>
        <w:t xml:space="preserve">in het vervolg </w:t>
      </w:r>
      <w:r w:rsidRPr="00347436">
        <w:rPr>
          <w:color w:val="000000"/>
        </w:rPr>
        <w:t xml:space="preserve">enkel worden in gegaan op de bepaling van </w:t>
      </w:r>
      <w:r>
        <w:rPr>
          <w:color w:val="000000"/>
        </w:rPr>
        <w:t xml:space="preserve">de toepasselijke vrijheid </w:t>
      </w:r>
      <w:r w:rsidRPr="00347436">
        <w:rPr>
          <w:color w:val="000000"/>
        </w:rPr>
        <w:t xml:space="preserve">in gevallen van specifieke wetgeving, dit omdat artikel 10a een dergelijke vorm aanneemt. Artikel 10a Wet </w:t>
      </w:r>
      <w:r>
        <w:rPr>
          <w:color w:val="000000"/>
        </w:rPr>
        <w:t>VpB</w:t>
      </w:r>
      <w:r w:rsidRPr="00347436">
        <w:rPr>
          <w:color w:val="000000"/>
        </w:rPr>
        <w:t xml:space="preserve"> is</w:t>
      </w:r>
      <w:r>
        <w:rPr>
          <w:color w:val="000000"/>
        </w:rPr>
        <w:t xml:space="preserve"> er namelijk enkel op gericht om</w:t>
      </w:r>
      <w:r w:rsidRPr="00347436">
        <w:rPr>
          <w:color w:val="000000"/>
        </w:rPr>
        <w:t xml:space="preserve"> winstdrainage naar laagbelaste groepsmaatschappijen te voorkomen. Winstdrainage is een ‘activiteit’ die het lichaam zelf niet ten goede</w:t>
      </w:r>
      <w:r>
        <w:rPr>
          <w:color w:val="000000"/>
        </w:rPr>
        <w:t xml:space="preserve"> komt, echter</w:t>
      </w:r>
      <w:r w:rsidRPr="00347436">
        <w:rPr>
          <w:color w:val="000000"/>
        </w:rPr>
        <w:t xml:space="preserve"> aan de groep waarvan deze deel uitmaakt welke wordt aangestuurd door de moeder. Derhalve kan men concluderen dat het lichaam op zich, als alleenstaande handelend, deze acties ten einde winstdrainage mogelijk te maken ni</w:t>
      </w:r>
      <w:r>
        <w:rPr>
          <w:color w:val="000000"/>
        </w:rPr>
        <w:t>et zou hebben ondernomen, maar</w:t>
      </w:r>
      <w:r w:rsidRPr="00347436">
        <w:rPr>
          <w:color w:val="000000"/>
        </w:rPr>
        <w:t xml:space="preserve"> hier vanwege de beslissende mate van invloed welke de andere groepsmaatschappijen en uiteindelijk de moedermaatschappij over haar heeft toe over is gegaan. Dit beeld wordt versterkt door de tegenbewijsmogelijkheid op basis van zakelijke overweging, in andere woorden als de ondernomen actie wel ten goede komt aan het lichaam hoeft deze niet te zijn ingegeven door de moeder en is de regeling niet van toepassing. Daarom is deze wetgeving ontworpen om enkel van toepassing te zijn op situaties waarin er een beslissende mate van invloed over de </w:t>
      </w:r>
      <w:r>
        <w:rPr>
          <w:color w:val="000000"/>
        </w:rPr>
        <w:t>in</w:t>
      </w:r>
      <w:r w:rsidRPr="00347436">
        <w:rPr>
          <w:color w:val="000000"/>
        </w:rPr>
        <w:t>lenende maatschappij aanwezig is en wordt uitgeoefend</w:t>
      </w:r>
      <w:r>
        <w:rPr>
          <w:color w:val="000000"/>
        </w:rPr>
        <w:t>,</w:t>
      </w:r>
      <w:r w:rsidRPr="00347436">
        <w:rPr>
          <w:color w:val="000000"/>
        </w:rPr>
        <w:t xml:space="preserve"> waarmee kan worden vastgesteld dat </w:t>
      </w:r>
      <w:r>
        <w:rPr>
          <w:color w:val="000000"/>
        </w:rPr>
        <w:t xml:space="preserve">enkel </w:t>
      </w:r>
      <w:r w:rsidRPr="00347436">
        <w:rPr>
          <w:color w:val="000000"/>
        </w:rPr>
        <w:t>de vrijheid van vestiging in het spel is</w:t>
      </w:r>
      <w:r>
        <w:rPr>
          <w:color w:val="000000"/>
        </w:rPr>
        <w:t>.</w:t>
      </w:r>
      <w:r w:rsidRPr="00347436">
        <w:rPr>
          <w:rStyle w:val="Voetnootmarkering"/>
          <w:color w:val="000000"/>
        </w:rPr>
        <w:footnoteReference w:id="130"/>
      </w:r>
      <w:r w:rsidRPr="00347436">
        <w:rPr>
          <w:color w:val="000000"/>
        </w:rPr>
        <w:t xml:space="preserve"> </w:t>
      </w:r>
    </w:p>
    <w:p w:rsidR="00652D1F" w:rsidRDefault="00652D1F" w:rsidP="00AC0BC5">
      <w:pPr>
        <w:spacing w:line="360" w:lineRule="auto"/>
        <w:rPr>
          <w:color w:val="000000"/>
        </w:rPr>
      </w:pPr>
    </w:p>
    <w:p w:rsidR="00652D1F" w:rsidRDefault="00652D1F" w:rsidP="00DD01E7">
      <w:pPr>
        <w:spacing w:line="360" w:lineRule="auto"/>
        <w:rPr>
          <w:color w:val="000000"/>
        </w:rPr>
      </w:pPr>
      <w:r w:rsidRPr="00347436">
        <w:rPr>
          <w:color w:val="000000"/>
        </w:rPr>
        <w:t xml:space="preserve">Het feit dat de regeling van toepassing kan zijn vanaf deelnemingsrelaties groter dan </w:t>
      </w:r>
      <w:r>
        <w:rPr>
          <w:color w:val="000000"/>
        </w:rPr>
        <w:t>een derde</w:t>
      </w:r>
      <w:r w:rsidRPr="00347436">
        <w:rPr>
          <w:color w:val="000000"/>
        </w:rPr>
        <w:t xml:space="preserve"> doet hier mijns inziens niet aan af, men zal</w:t>
      </w:r>
      <w:r>
        <w:rPr>
          <w:color w:val="000000"/>
        </w:rPr>
        <w:t xml:space="preserve"> namelijk, zoals reeds is aangehaald,</w:t>
      </w:r>
      <w:r w:rsidRPr="00347436">
        <w:rPr>
          <w:color w:val="000000"/>
        </w:rPr>
        <w:t xml:space="preserve"> enkel niet aan het zakelijkheid</w:t>
      </w:r>
      <w:r>
        <w:rPr>
          <w:color w:val="000000"/>
        </w:rPr>
        <w:t>s</w:t>
      </w:r>
      <w:r w:rsidRPr="00347436">
        <w:rPr>
          <w:color w:val="000000"/>
        </w:rPr>
        <w:t>criterium kunnen voldoen als men deze acties onderneemt ten behoeve en derhalve op aangeven van een bovenliggend lichaam</w:t>
      </w:r>
      <w:r>
        <w:rPr>
          <w:color w:val="000000"/>
        </w:rPr>
        <w:t>.</w:t>
      </w:r>
      <w:r>
        <w:rPr>
          <w:rStyle w:val="Voetnootmarkering"/>
          <w:color w:val="000000"/>
        </w:rPr>
        <w:footnoteReference w:id="131"/>
      </w:r>
      <w:r>
        <w:rPr>
          <w:color w:val="000000"/>
        </w:rPr>
        <w:t xml:space="preserve"> Dit is mijns inziens, zoals men kan afleiden uit Lasertec r.o. 22, ook de mening van het HvJ EG.</w:t>
      </w:r>
      <w:r>
        <w:rPr>
          <w:rStyle w:val="Voetnootmarkering"/>
          <w:color w:val="000000"/>
        </w:rPr>
        <w:footnoteReference w:id="132"/>
      </w:r>
      <w:r>
        <w:rPr>
          <w:color w:val="000000"/>
        </w:rPr>
        <w:t xml:space="preserve"> Het HvJ EG stelt hier namelijk in dat; </w:t>
      </w:r>
    </w:p>
    <w:p w:rsidR="00652D1F" w:rsidRDefault="00652D1F" w:rsidP="00AC0BC5">
      <w:pPr>
        <w:spacing w:line="360" w:lineRule="auto"/>
        <w:rPr>
          <w:color w:val="000000"/>
        </w:rPr>
      </w:pPr>
    </w:p>
    <w:p w:rsidR="00652D1F" w:rsidRDefault="00652D1F" w:rsidP="00AC0BC5">
      <w:pPr>
        <w:spacing w:line="360" w:lineRule="auto"/>
      </w:pPr>
      <w:r>
        <w:t>“</w:t>
      </w:r>
      <w:r w:rsidRPr="00341A3A">
        <w:rPr>
          <w:i/>
          <w:iCs/>
        </w:rPr>
        <w:t>Uit het feit dat met een dergelijk belang een geringer belang wordt gelijkgesteld dat toch een beslissende invloed op de betrokken vennootschap geeft, blijkt, zoals de Commissie in haar schriftelijke opmerkingen heeft beklemtoond, dat in de geest van de Duitse wetgever de in het hoofdgeding aan de orde zijnde nationale maatregel onafhankelijk van een vaste drempel dient te gelden voor belangen die het mogelijk maken een zekere invloed op de besluiten van de betrokken vennootschap uit te oefenen en de activiteiten te bepalen</w:t>
      </w:r>
      <w:r>
        <w:rPr>
          <w:i/>
          <w:iCs/>
        </w:rPr>
        <w:t>.</w:t>
      </w:r>
      <w:r>
        <w:t>”</w:t>
      </w:r>
      <w:r>
        <w:rPr>
          <w:rStyle w:val="Voetnootmarkering"/>
        </w:rPr>
        <w:footnoteReference w:id="133"/>
      </w:r>
    </w:p>
    <w:p w:rsidR="00652D1F" w:rsidRDefault="00652D1F" w:rsidP="00AC0BC5">
      <w:pPr>
        <w:spacing w:line="360" w:lineRule="auto"/>
      </w:pPr>
    </w:p>
    <w:p w:rsidR="00652D1F" w:rsidRPr="00347436" w:rsidRDefault="00652D1F" w:rsidP="00935E01">
      <w:pPr>
        <w:spacing w:line="360" w:lineRule="auto"/>
        <w:rPr>
          <w:color w:val="000000"/>
        </w:rPr>
      </w:pPr>
      <w:r>
        <w:rPr>
          <w:color w:val="000000"/>
        </w:rPr>
        <w:t>Ook in het geval dat dit overkoepelende orgaan niet zou bestaan uit een lichaam dat een belang heeft met doorslaggevende invloed, maar uit drie samenwerkende lichamen die allemaal een belang van een derde houden, dient men naar mijn mening nog immer te toetsen aan de vrijheid van vestiging. Er wordt in een dergelijke situatie namelijk beslissende invloed uitgeoefend op het rentebetalende lichaam. Dat de lichamen die dit doen normaal als individuen functioneren en feitelijk als individu dergelijke invloed niet zouden kunnen uitoefenen, doet niet af aan het feit dat zij in deze als een eenheid functioneren. Deze constatering rechtvaardigt mijns inziens de gevolgtrekking dat een dergelijk consortium zijn vrijheid van vestiging uitoefent.</w:t>
      </w:r>
      <w:r>
        <w:rPr>
          <w:rStyle w:val="Voetnootmarkering"/>
          <w:color w:val="000000"/>
        </w:rPr>
        <w:footnoteReference w:id="134"/>
      </w:r>
    </w:p>
    <w:p w:rsidR="00652D1F" w:rsidRPr="00347436" w:rsidRDefault="00652D1F" w:rsidP="00AC0BC5">
      <w:pPr>
        <w:spacing w:line="360" w:lineRule="auto"/>
        <w:rPr>
          <w:color w:val="000000"/>
        </w:rPr>
      </w:pPr>
    </w:p>
    <w:p w:rsidR="00652D1F" w:rsidRPr="00347436" w:rsidRDefault="00652D1F" w:rsidP="00935E01">
      <w:pPr>
        <w:spacing w:line="360" w:lineRule="auto"/>
        <w:rPr>
          <w:color w:val="000000"/>
        </w:rPr>
      </w:pPr>
      <w:r>
        <w:rPr>
          <w:color w:val="000000"/>
        </w:rPr>
        <w:t>Nu</w:t>
      </w:r>
      <w:r w:rsidRPr="00347436">
        <w:rPr>
          <w:color w:val="000000"/>
        </w:rPr>
        <w:t xml:space="preserve"> is vastgesteld dat artikel 10a Wet </w:t>
      </w:r>
      <w:r>
        <w:rPr>
          <w:color w:val="000000"/>
        </w:rPr>
        <w:t>VpB</w:t>
      </w:r>
      <w:r w:rsidRPr="00347436">
        <w:rPr>
          <w:color w:val="000000"/>
        </w:rPr>
        <w:t xml:space="preserve"> specifieke wetgeving betreft, die enkel ziet op deelnemingsverhouding waarin er sprake is van een beslissende mate van invloed</w:t>
      </w:r>
      <w:r>
        <w:rPr>
          <w:color w:val="000000"/>
        </w:rPr>
        <w:t>,</w:t>
      </w:r>
      <w:r w:rsidRPr="00347436">
        <w:rPr>
          <w:color w:val="000000"/>
        </w:rPr>
        <w:t xml:space="preserve"> kan men concluderen dat artikel 10a uitsluitend dient te worden getoetst aan de vrijheid van vestiging. Dit betekent dat artikel 10a op basis van de vrijheden niet zal kunnen worden aangevochten door belanghebbenden gevestigd in derde landen </w:t>
      </w:r>
      <w:r>
        <w:rPr>
          <w:color w:val="000000"/>
        </w:rPr>
        <w:t xml:space="preserve">dan wel LGO </w:t>
      </w:r>
      <w:r w:rsidRPr="00347436">
        <w:rPr>
          <w:color w:val="000000"/>
        </w:rPr>
        <w:t>zonder een vaste inrichting in een lidstaat welke hen toegang zou kunnen verschaffen tot de vrijheid van vestiging.</w:t>
      </w: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r>
        <w:rPr>
          <w:b/>
          <w:u w:val="single"/>
        </w:rPr>
        <w:t xml:space="preserve">3.3 </w:t>
      </w:r>
      <w:r w:rsidRPr="00F740D7">
        <w:rPr>
          <w:b/>
          <w:u w:val="single"/>
        </w:rPr>
        <w:t>Situaties die onder artikel 10a vallen en toetsbaar zijn aan vrijheid van vestiging</w:t>
      </w:r>
    </w:p>
    <w:p w:rsidR="00652D1F" w:rsidRDefault="00652D1F" w:rsidP="00AC0BC5">
      <w:pPr>
        <w:spacing w:line="360" w:lineRule="auto"/>
        <w:rPr>
          <w:b/>
          <w:u w:val="single"/>
        </w:rPr>
      </w:pPr>
    </w:p>
    <w:p w:rsidR="00652D1F" w:rsidRDefault="00652D1F" w:rsidP="00AC0BC5">
      <w:pPr>
        <w:spacing w:line="360" w:lineRule="auto"/>
      </w:pPr>
      <w:r>
        <w:t>Zoals blijkt uit de antwoorden van het HvJ EG in Thin Cap GLO (hierna: Thin Cap GLO)</w:t>
      </w:r>
      <w:r>
        <w:rPr>
          <w:rStyle w:val="Voetnootmarkering"/>
        </w:rPr>
        <w:footnoteReference w:id="135"/>
      </w:r>
      <w:r>
        <w:t>, kan niet in alle situaties waar het gaat om de aftrekbaarheid van rentebetalingen welke plaatshebben tussen groepsmaatschappijen een succesvol beroep worden gedaan op de vrijheid van vestiging. Om te bepalen of er toegang bestaat tot de vrijheid van vestiging is het van belang om dit te analyseren vanuit de positie van degene die deze uitoefent. In r.o. 99 stelt het HvJ EG hieromtrent;</w:t>
      </w:r>
    </w:p>
    <w:p w:rsidR="00652D1F" w:rsidRDefault="00652D1F" w:rsidP="00AC0BC5">
      <w:pPr>
        <w:spacing w:line="360" w:lineRule="auto"/>
      </w:pPr>
    </w:p>
    <w:p w:rsidR="00652D1F" w:rsidRPr="00622ECB" w:rsidRDefault="00652D1F" w:rsidP="00AC0BC5">
      <w:pPr>
        <w:spacing w:line="360" w:lineRule="auto"/>
        <w:rPr>
          <w:rFonts w:eastAsia="Times New Roman" w:cs="Verdana"/>
          <w:lang w:eastAsia="nl-NL"/>
        </w:rPr>
      </w:pPr>
      <w:r w:rsidRPr="00622ECB">
        <w:rPr>
          <w:rFonts w:eastAsia="Times New Roman" w:cs="Verdana"/>
          <w:lang w:eastAsia="nl-NL"/>
        </w:rPr>
        <w:t> “</w:t>
      </w:r>
      <w:r w:rsidRPr="00341A3A">
        <w:rPr>
          <w:rFonts w:eastAsia="Times New Roman" w:cs="Verdana"/>
          <w:i/>
          <w:iCs/>
          <w:lang w:eastAsia="nl-NL"/>
        </w:rPr>
        <w:t>Wanneer de lidstaat die deze wettelijke regeling heeft vastgesteld in een dergelijke situatie de door de kredietnemer betaalde rente als winstuitkering kwalificeert, grijpt deze maatregel immers niet in de vrijheid van vestiging van de kredietgever in, maar uitsluitend in die van de gelieerde vennootschap die een zodanige controle uitoefent op de twee andere betrokken vennootschappen dat zij de keuze van financiering van die vennootschappen kan beïnvloeden. Voor zover die gelieerde vennootschap niet in een lidstaat is gevestigd in de zin van artikel 48 EG, is artikel 43 EG niet van toepassing</w:t>
      </w:r>
      <w:r w:rsidRPr="00622ECB">
        <w:rPr>
          <w:rFonts w:eastAsia="Times New Roman" w:cs="Verdana"/>
          <w:lang w:eastAsia="nl-NL"/>
        </w:rPr>
        <w:t xml:space="preserve">” </w:t>
      </w:r>
    </w:p>
    <w:p w:rsidR="00652D1F" w:rsidRPr="00EA6EF7" w:rsidRDefault="00652D1F" w:rsidP="00AC0BC5">
      <w:pPr>
        <w:spacing w:line="360" w:lineRule="auto"/>
      </w:pPr>
    </w:p>
    <w:p w:rsidR="00652D1F" w:rsidRDefault="00652D1F" w:rsidP="008744A3">
      <w:pPr>
        <w:spacing w:line="360" w:lineRule="auto"/>
      </w:pPr>
      <w:r>
        <w:t>Voor artikel 10a betekent dit dat, enkel in het geval dat zowel het controlerende lichaam als het gecontroleerde lichaam in een lidstaat zijn gevestigd, er een effectief beroep op de vrijheid van vestiging kan worden gedaan. Namelijk, enkel in dit geval wordt er vestigingsvrijheid uitgeoefend. Zoals naar voren komt uit r.o. 95, alsmede uit punt 95 van de bijbehorende conclusie, van het bovengenoemde arrest geldt dit ook als de lening afkomstig is van een dochter uit een derde land. Hieruit kan men afleiden dat als er een lening wordt verstrekt door een in een derde land gevestigde maatschappij met een in een lidstaat gevestigde moedermaatschappij, de rentebetalende partij op bescherming kan rekenen uit hoofde van de vrijheid van vestiging.</w:t>
      </w:r>
    </w:p>
    <w:p w:rsidR="00652D1F" w:rsidRDefault="00652D1F" w:rsidP="00AC0BC5">
      <w:pPr>
        <w:spacing w:line="360" w:lineRule="auto"/>
      </w:pPr>
    </w:p>
    <w:p w:rsidR="00652D1F" w:rsidRDefault="00652D1F" w:rsidP="00AC0BC5">
      <w:pPr>
        <w:spacing w:line="360" w:lineRule="auto"/>
      </w:pPr>
    </w:p>
    <w:p w:rsidR="00652D1F" w:rsidRPr="00347436" w:rsidRDefault="00652D1F" w:rsidP="00AC0BC5">
      <w:pPr>
        <w:spacing w:line="360" w:lineRule="auto"/>
        <w:rPr>
          <w:b/>
          <w:u w:val="single"/>
        </w:rPr>
      </w:pPr>
      <w:r>
        <w:rPr>
          <w:b/>
          <w:u w:val="single"/>
        </w:rPr>
        <w:t xml:space="preserve">3.5 </w:t>
      </w:r>
      <w:r w:rsidRPr="00347436">
        <w:rPr>
          <w:b/>
          <w:u w:val="single"/>
        </w:rPr>
        <w:t>Misbruik en toegang tot het V</w:t>
      </w:r>
      <w:r>
        <w:rPr>
          <w:b/>
          <w:u w:val="single"/>
        </w:rPr>
        <w:t>wEU</w:t>
      </w:r>
    </w:p>
    <w:p w:rsidR="00652D1F" w:rsidRPr="00347436" w:rsidRDefault="00652D1F" w:rsidP="00AC0BC5">
      <w:pPr>
        <w:spacing w:line="360" w:lineRule="auto"/>
        <w:rPr>
          <w:lang w:eastAsia="nl-NL"/>
        </w:rPr>
      </w:pPr>
    </w:p>
    <w:p w:rsidR="00652D1F" w:rsidRDefault="00652D1F" w:rsidP="00AC0BC5">
      <w:pPr>
        <w:spacing w:line="360" w:lineRule="auto"/>
        <w:rPr>
          <w:lang w:eastAsia="nl-NL"/>
        </w:rPr>
      </w:pPr>
      <w:r w:rsidRPr="00347436">
        <w:rPr>
          <w:lang w:eastAsia="nl-NL"/>
        </w:rPr>
        <w:t>Mijns inziens bestaat er in het geval van misbruik toegang tot de verdragsvrijheden voor de misbruiker</w:t>
      </w:r>
      <w:r>
        <w:rPr>
          <w:lang w:eastAsia="nl-NL"/>
        </w:rPr>
        <w:t>.</w:t>
      </w:r>
      <w:r w:rsidRPr="00347436">
        <w:rPr>
          <w:rStyle w:val="Voetnootmarkering"/>
          <w:lang w:eastAsia="nl-NL"/>
        </w:rPr>
        <w:footnoteReference w:id="136"/>
      </w:r>
      <w:r w:rsidRPr="00347436">
        <w:rPr>
          <w:lang w:eastAsia="nl-NL"/>
        </w:rPr>
        <w:t xml:space="preserve"> </w:t>
      </w:r>
      <w:r>
        <w:rPr>
          <w:lang w:eastAsia="nl-NL"/>
        </w:rPr>
        <w:t>Uit de arresten Ninni-Orasche, TV10 en Centros kan men opmaken dat bij de bepaling van de beroepsmogelijkheid op het VwEU de subjectieve intentie van de belanghebbende geen rol speelt, deze dient enkel aan de hand van de objectieve omstandigheden te worden bepaald.</w:t>
      </w:r>
      <w:r>
        <w:rPr>
          <w:rStyle w:val="Voetnootmarkering"/>
          <w:lang w:eastAsia="nl-NL"/>
        </w:rPr>
        <w:footnoteReference w:id="137"/>
      </w:r>
      <w:r>
        <w:rPr>
          <w:lang w:eastAsia="nl-NL"/>
        </w:rPr>
        <w:t xml:space="preserve"> Het HvJ EG oordeelde in Centros als volgt;</w:t>
      </w:r>
    </w:p>
    <w:p w:rsidR="00652D1F" w:rsidRPr="00746F3F" w:rsidRDefault="00652D1F" w:rsidP="00AC0BC5">
      <w:pPr>
        <w:spacing w:line="360" w:lineRule="auto"/>
        <w:rPr>
          <w:lang w:eastAsia="nl-NL"/>
        </w:rPr>
      </w:pPr>
    </w:p>
    <w:p w:rsidR="00652D1F" w:rsidRDefault="00652D1F" w:rsidP="00AC0BC5">
      <w:pPr>
        <w:spacing w:line="360" w:lineRule="auto"/>
      </w:pPr>
      <w:r>
        <w:t>“</w:t>
      </w:r>
      <w:r w:rsidRPr="00341A3A">
        <w:rPr>
          <w:i/>
          <w:iCs/>
        </w:rPr>
        <w:t>Wat ten slotte de argumentatie betreft dat de verwijzende rechter op basis van de omstandigheden van de zaak moet nagaan of verzoekster in het hoofdgeding op bedrieglijke wijze heeft geprobeerd een situatie op te zetten waarin zij met een beroep op de hoedanigheid van werknemer in de zin van artikel 48 van het Verdrag aanspraak kon maken op aan deze hoedanigheid verbonden voordelen, kan worden volstaan met op te merken dat de rechten die de communautaire rechtsorde verleent krachtens de bepalingen inzake het vrije verkeer van werknemers, slechts kunnen worden misbruikt door iemand die voldoet aan de voorwaarden om als werknemer in de zin van de aangehaalde bepaling te worden aangemerkt, en dus ratione personae binnen de werkingssfeer van het Verdrag valt. De kwestie van het rechtsmisbruik kan bijgevolg geen invloed hebben op het antwoord op de eerste vraag</w:t>
      </w:r>
      <w:r w:rsidRPr="00746F3F">
        <w:t>.</w:t>
      </w:r>
      <w:r>
        <w:t>”</w:t>
      </w:r>
      <w:r>
        <w:rPr>
          <w:rStyle w:val="Voetnootmarkering"/>
        </w:rPr>
        <w:footnoteReference w:id="138"/>
      </w:r>
    </w:p>
    <w:p w:rsidR="00652D1F" w:rsidRDefault="00652D1F" w:rsidP="00AC0BC5">
      <w:pPr>
        <w:spacing w:line="360" w:lineRule="auto"/>
      </w:pPr>
    </w:p>
    <w:p w:rsidR="00652D1F" w:rsidRPr="00746F3F" w:rsidRDefault="00652D1F" w:rsidP="00AC0BC5">
      <w:pPr>
        <w:spacing w:line="360" w:lineRule="auto"/>
        <w:rPr>
          <w:lang w:eastAsia="nl-NL"/>
        </w:rPr>
      </w:pPr>
      <w:r>
        <w:t>Het HvJ EG stelt hiermee buiten kijf dat als aan de voorwaarden voor toepassing van een verdragsvrijheid wordt voldaan, het feit dat de wijze waarop gebruik van deze vrijheid wordt gemaakt niet de initiële toepasselijkheid mitigeert. Dit punt is ook onomstreden in de literatuur.</w:t>
      </w:r>
      <w:r>
        <w:rPr>
          <w:rStyle w:val="Voetnootmarkering"/>
        </w:rPr>
        <w:footnoteReference w:id="139"/>
      </w:r>
    </w:p>
    <w:p w:rsidR="00652D1F" w:rsidRDefault="00652D1F" w:rsidP="00AC0BC5">
      <w:pPr>
        <w:spacing w:line="360" w:lineRule="auto"/>
        <w:rPr>
          <w:lang w:eastAsia="nl-NL"/>
        </w:rPr>
      </w:pPr>
    </w:p>
    <w:p w:rsidR="00652D1F" w:rsidRDefault="00652D1F" w:rsidP="00AC0BC5">
      <w:pPr>
        <w:spacing w:line="360" w:lineRule="auto"/>
        <w:rPr>
          <w:lang w:eastAsia="nl-NL"/>
        </w:rPr>
      </w:pPr>
      <w:r>
        <w:rPr>
          <w:lang w:eastAsia="nl-NL"/>
        </w:rPr>
        <w:t xml:space="preserve">Wel dient de situatie van misbruik duidelijk te worden onderscheiden van de situatie waarin er geen toegang bestaat omdat men niet voldoet aan de objectieve voorwaarden. </w:t>
      </w:r>
      <w:r>
        <w:t>Enigszins bevreemdend zijn in dit kader namelijk de contrasten tussen de arresten Ninni-Orasche en Cadbury Schweppes. In Ninni-Orasche stelt het HvJ EG, zoals hierboven is weergegeven, dat misbruik toegang tot het VwEU geenszins uitsluit. De vaststelling van misbruik gebeurt namelijk in EU-rechtelijke context, derhalve voldoet Ninni-Orasche in deze aan de vereisten. Wel vereist het HvJ EG in Ninni-Orasche dat de belanghebbende aan de materiële vereisten van het begrip werknemer in de zin van de onderhavige vrijheid voldoet, hetgeen een verdere dan enkel een formele toetsing vereist.</w:t>
      </w:r>
    </w:p>
    <w:p w:rsidR="00652D1F" w:rsidRDefault="00652D1F" w:rsidP="00AC0BC5">
      <w:pPr>
        <w:spacing w:line="360" w:lineRule="auto"/>
      </w:pPr>
    </w:p>
    <w:p w:rsidR="00652D1F" w:rsidRDefault="00652D1F" w:rsidP="00162F9F">
      <w:pPr>
        <w:spacing w:line="360" w:lineRule="auto"/>
      </w:pPr>
      <w:r>
        <w:t>Als men dit vervolgens vergelijkt met de overwegingen inzake misbruik en de voorwaarden van de aanwezigheid van een vestiging van het HvJ EG inzake Cadbury Schweppes zorgt dit voor enige verwarring. Het HvJ EG stelt hierin namelijk dat de strijd tegen misbruik enkel kan worden gerechtvaardigd in het geval van de bestrijding van volstrekt kunstmatige constructies. Deze constructies houden geen verband met de economische realiteit en zijn bedoeld om de belasting te ontduiken. Daarvoor heeft het HvJ EG echter aangegeven dat de vrijheid van vestiging de aanwezigheid van een vestiging vereist, welke in de woorden van het HvJ EG bestaat uit “</w:t>
      </w:r>
      <w:r w:rsidRPr="00341A3A">
        <w:rPr>
          <w:i/>
          <w:iCs/>
        </w:rPr>
        <w:t>de daadwerkelijke uitoefening van een economische activiteit voor onbepaalde tijd door middel van een duurzame vestiging</w:t>
      </w:r>
      <w:r>
        <w:t>”</w:t>
      </w:r>
      <w:r>
        <w:rPr>
          <w:rStyle w:val="Voetnootmarkering"/>
        </w:rPr>
        <w:footnoteReference w:id="140"/>
      </w:r>
      <w:r>
        <w:t xml:space="preserve"> in een andere lidstaat.</w:t>
      </w:r>
    </w:p>
    <w:p w:rsidR="00652D1F" w:rsidRDefault="00652D1F" w:rsidP="00AC0BC5">
      <w:pPr>
        <w:spacing w:line="360" w:lineRule="auto"/>
      </w:pPr>
    </w:p>
    <w:p w:rsidR="00652D1F" w:rsidRPr="00146399" w:rsidRDefault="00652D1F" w:rsidP="00DD01E7">
      <w:pPr>
        <w:spacing w:line="360" w:lineRule="auto"/>
      </w:pPr>
      <w:r>
        <w:t>Deze twee rechtsoverwegingen lijken in eerste instantie niet met elkaar te rijmen, zoals ook wordt opgemerkt door Terra en Wattel.</w:t>
      </w:r>
      <w:r>
        <w:rPr>
          <w:rStyle w:val="Voetnootmarkering"/>
        </w:rPr>
        <w:footnoteReference w:id="141"/>
      </w:r>
      <w:r>
        <w:t xml:space="preserve"> Hoe is het immers mogelijk om door middel van een puur kunstmatige constructie toegang te krijgen tot de vrijheid van vestiging, men oefent namelijk geen daadwerkelijke activiteit uit. Duidelijkheid in deze gezaaide verwarring wordt mijns inziens geschapen door rechtsoverwegingen 65 en 66 van Cadbury Schweppes. Het HvJ EG stelt hierin;</w:t>
      </w:r>
    </w:p>
    <w:p w:rsidR="00652D1F" w:rsidRPr="00347436" w:rsidRDefault="00652D1F" w:rsidP="00AC0BC5">
      <w:pPr>
        <w:spacing w:line="360" w:lineRule="auto"/>
        <w:rPr>
          <w:color w:val="000066"/>
        </w:rPr>
      </w:pPr>
    </w:p>
    <w:p w:rsidR="00652D1F" w:rsidRPr="00341A3A" w:rsidRDefault="00652D1F" w:rsidP="00AC0BC5">
      <w:pPr>
        <w:spacing w:before="100" w:beforeAutospacing="1" w:after="240" w:line="360" w:lineRule="auto"/>
        <w:ind w:left="567" w:hanging="539"/>
        <w:rPr>
          <w:rFonts w:eastAsia="Times New Roman"/>
          <w:i/>
          <w:iCs/>
          <w:lang w:eastAsia="en-US"/>
        </w:rPr>
      </w:pPr>
      <w:r w:rsidRPr="00010A75">
        <w:rPr>
          <w:rFonts w:eastAsia="Times New Roman"/>
          <w:lang w:eastAsia="en-US"/>
        </w:rPr>
        <w:t>“</w:t>
      </w:r>
      <w:r>
        <w:rPr>
          <w:rFonts w:eastAsia="Times New Roman"/>
          <w:i/>
          <w:iCs/>
          <w:lang w:eastAsia="en-US"/>
        </w:rPr>
        <w:t>65    </w:t>
      </w:r>
      <w:r w:rsidRPr="00341A3A">
        <w:rPr>
          <w:rFonts w:eastAsia="Times New Roman"/>
          <w:i/>
          <w:iCs/>
          <w:lang w:eastAsia="en-US"/>
        </w:rPr>
        <w:t> In deze omstandigheden is de wetgeving op de GBV</w:t>
      </w:r>
      <w:r w:rsidRPr="00162F9F">
        <w:rPr>
          <w:rStyle w:val="Voetnootmarkering"/>
          <w:rFonts w:eastAsia="Times New Roman"/>
          <w:lang w:eastAsia="en-US"/>
        </w:rPr>
        <w:footnoteReference w:id="142"/>
      </w:r>
      <w:r w:rsidRPr="00341A3A">
        <w:rPr>
          <w:rFonts w:eastAsia="Times New Roman"/>
          <w:i/>
          <w:iCs/>
          <w:lang w:eastAsia="en-US"/>
        </w:rPr>
        <w:t xml:space="preserve"> slechts in overeenstemming met het gemeenschapsrecht indien de toepassing van de belasting waarin deze wetgeving voorziet, is uitgesloten wanneer, ondanks het bestaan van een fiscale beweegreden, de oprichting van een GBV verbonden is met een economische realiteit.</w:t>
      </w:r>
    </w:p>
    <w:p w:rsidR="00652D1F" w:rsidRDefault="00652D1F" w:rsidP="00AC0BC5">
      <w:pPr>
        <w:spacing w:before="100" w:beforeAutospacing="1" w:after="240" w:line="360" w:lineRule="auto"/>
        <w:ind w:left="567" w:hanging="539"/>
        <w:rPr>
          <w:rFonts w:eastAsia="Times New Roman"/>
          <w:lang w:eastAsia="en-US"/>
        </w:rPr>
      </w:pPr>
      <w:r w:rsidRPr="00341A3A">
        <w:rPr>
          <w:rFonts w:eastAsia="Times New Roman"/>
          <w:i/>
          <w:iCs/>
          <w:lang w:eastAsia="en-US"/>
        </w:rPr>
        <w:t>66      Deze oprichting moet verbonden zijn met een reële vestiging die daadwerkelijk een economische activiteit in de lidstaat van ontvangst uitoefent, zoals blijkt uit de in de punten 52 tot en met 54 van het onderhavige arrest aangehaalde rechtspraak.</w:t>
      </w:r>
      <w:r w:rsidRPr="00010A75">
        <w:rPr>
          <w:rFonts w:eastAsia="Times New Roman"/>
          <w:lang w:eastAsia="en-US"/>
        </w:rPr>
        <w:t>”</w:t>
      </w:r>
      <w:r>
        <w:rPr>
          <w:rStyle w:val="Voetnootmarkering"/>
          <w:rFonts w:eastAsia="Times New Roman"/>
          <w:lang w:eastAsia="en-US"/>
        </w:rPr>
        <w:footnoteReference w:id="143"/>
      </w:r>
    </w:p>
    <w:p w:rsidR="00652D1F" w:rsidRDefault="00652D1F" w:rsidP="00DD01E7">
      <w:pPr>
        <w:spacing w:before="100" w:beforeAutospacing="1" w:after="240" w:line="360" w:lineRule="auto"/>
        <w:rPr>
          <w:rFonts w:eastAsia="Times New Roman"/>
          <w:lang w:eastAsia="en-US"/>
        </w:rPr>
      </w:pPr>
      <w:r>
        <w:rPr>
          <w:rFonts w:eastAsia="Times New Roman"/>
          <w:lang w:eastAsia="en-US"/>
        </w:rPr>
        <w:t>Het sleutelwoord in deze overwegingen is mijns inziens ‘verbonden’. Men dient allereerst te beschikken over een vestiging bestaande uit reële economische activiteiten. Als dit het geval is dient nog te worden beoordeeld in hoeverre de activiteiten die plaatsvinden ook hiermee verbonden zijn, of zij hier deel vanuit maken. Deze verbondenheid wordt ingevuld aan de hand van het hebben van reële economische redenen voor deze activiteit, oftewel de afwezigheid van een volstrekt kunstmatige constructie. In andere woorden; de GBV is een kunstmatige constructie als deze niet is verbonden met een reële economische activiteit, een vestiging. De GBV zelf wordt in beginsel niet als vestiging gezien. Ook Marres trekt op basis van de bovenstaande ongerijmdheid de conclusie dat het hebben van een reële vestiging is vereist.</w:t>
      </w:r>
      <w:r>
        <w:rPr>
          <w:rStyle w:val="Voetnootmarkering"/>
          <w:rFonts w:eastAsia="Times New Roman"/>
          <w:lang w:eastAsia="en-US"/>
        </w:rPr>
        <w:footnoteReference w:id="144"/>
      </w:r>
    </w:p>
    <w:p w:rsidR="00652D1F" w:rsidRPr="00347436" w:rsidRDefault="00652D1F" w:rsidP="00AC0BC5">
      <w:pPr>
        <w:spacing w:line="360" w:lineRule="auto"/>
      </w:pPr>
      <w:r w:rsidRPr="00292A58">
        <w:rPr>
          <w:rFonts w:eastAsia="Times New Roman"/>
          <w:lang w:eastAsia="en-US"/>
        </w:rPr>
        <w:t>Belangrijk om op te merken is dat, voornamelijk uit het arrest van het HvJ EG inzake Ninni-Orasche, duidelijk valt op te maken dat het verkrijgen van toegang geenszins een loze formaliteit betreft.</w:t>
      </w:r>
      <w:r>
        <w:rPr>
          <w:rFonts w:eastAsia="Times New Roman"/>
          <w:lang w:eastAsia="en-US"/>
        </w:rPr>
        <w:t xml:space="preserve"> De vestiging dient materiële werkelijkheid te bezitten. Het HvJ EG oordeelt namelijk, in niet mis te verstane bewoordingen; </w:t>
      </w:r>
      <w:r w:rsidRPr="001529FE">
        <w:rPr>
          <w:rFonts w:eastAsia="Times New Roman"/>
          <w:lang w:eastAsia="en-US"/>
        </w:rPr>
        <w:t>“</w:t>
      </w:r>
      <w:r w:rsidRPr="00341A3A">
        <w:rPr>
          <w:i/>
          <w:iCs/>
        </w:rPr>
        <w:t>Wél is voor de hoedanigheid van werknemer vereist, dat de betrokkene reële en daadwerkelijke arbeid verricht, die niet van zo geringe omvang is dat het om louter marginale en bijkomstige werkzaamheden gaat</w:t>
      </w:r>
      <w:r w:rsidRPr="001529FE">
        <w:t>”</w:t>
      </w:r>
      <w:r>
        <w:t>. In dezelfde zin valt uit de redenering van het HvJ EG in Centros a contrario op te maken dat, hoewel het hoofdhuis geen reële activiteiten dient te hebben ten einde toegang tot het VwEU te verkrijgen, dit bij de secundaire vestiging wel is vereist.</w:t>
      </w:r>
    </w:p>
    <w:p w:rsidR="00652D1F" w:rsidRDefault="00652D1F" w:rsidP="00AC0BC5">
      <w:pPr>
        <w:spacing w:line="360" w:lineRule="auto"/>
        <w:rPr>
          <w:rFonts w:eastAsia="Times New Roman"/>
          <w:lang w:eastAsia="en-US"/>
        </w:rPr>
      </w:pPr>
    </w:p>
    <w:p w:rsidR="00652D1F" w:rsidRDefault="00652D1F" w:rsidP="00615215">
      <w:pPr>
        <w:spacing w:line="360" w:lineRule="auto"/>
        <w:rPr>
          <w:bCs/>
        </w:rPr>
      </w:pPr>
      <w:r>
        <w:rPr>
          <w:lang w:eastAsia="nl-NL"/>
        </w:rPr>
        <w:t xml:space="preserve">Toetsing door het HvJ EG betekent mijns inziens echter niet dat men voldoet aan vereisten voor toegang tot het VwEU, dit is aan nationale rechter. </w:t>
      </w:r>
      <w:r w:rsidRPr="00347436">
        <w:rPr>
          <w:bCs/>
        </w:rPr>
        <w:t>In het geval dat een vennootschap zich op verdrag</w:t>
      </w:r>
      <w:r>
        <w:rPr>
          <w:bCs/>
        </w:rPr>
        <w:t>s</w:t>
      </w:r>
      <w:r w:rsidRPr="00347436">
        <w:rPr>
          <w:bCs/>
        </w:rPr>
        <w:t>vrijheden beroept</w:t>
      </w:r>
      <w:r>
        <w:rPr>
          <w:bCs/>
        </w:rPr>
        <w:t xml:space="preserve"> </w:t>
      </w:r>
      <w:r w:rsidRPr="00347436">
        <w:rPr>
          <w:bCs/>
        </w:rPr>
        <w:t>draait het om de toet</w:t>
      </w:r>
      <w:r>
        <w:rPr>
          <w:bCs/>
        </w:rPr>
        <w:t>sing van een nationale regeling. H</w:t>
      </w:r>
      <w:r w:rsidRPr="00347436">
        <w:rPr>
          <w:bCs/>
        </w:rPr>
        <w:t xml:space="preserve">et plaatsvinden van deze toetsing zegt mijns inziens niks over de status van de toegang van de vennootschap die hier een beroep op doet. Het is belangrijk om goed te analyseren wat het </w:t>
      </w:r>
      <w:r>
        <w:rPr>
          <w:bCs/>
        </w:rPr>
        <w:t>HvJ EG</w:t>
      </w:r>
      <w:r w:rsidRPr="00347436">
        <w:rPr>
          <w:bCs/>
        </w:rPr>
        <w:t xml:space="preserve"> toetst als een </w:t>
      </w:r>
      <w:r>
        <w:rPr>
          <w:bCs/>
        </w:rPr>
        <w:t>belanghebbende een</w:t>
      </w:r>
      <w:r w:rsidRPr="00347436">
        <w:rPr>
          <w:bCs/>
        </w:rPr>
        <w:t xml:space="preserve"> beroep doet op de toepass</w:t>
      </w:r>
      <w:r>
        <w:rPr>
          <w:bCs/>
        </w:rPr>
        <w:t>ing van een verdragsvrijheid. Zij toetst</w:t>
      </w:r>
      <w:r w:rsidRPr="00347436">
        <w:rPr>
          <w:bCs/>
        </w:rPr>
        <w:t xml:space="preserve"> de regeling, de beoordeling of deze toepassing dient te vinden in de onderhavige casus is aan de discretie van de nationale rechter</w:t>
      </w:r>
      <w:r>
        <w:rPr>
          <w:bCs/>
        </w:rPr>
        <w:t>.</w:t>
      </w:r>
      <w:r>
        <w:rPr>
          <w:rStyle w:val="Voetnootmarkering"/>
          <w:bCs/>
        </w:rPr>
        <w:footnoteReference w:id="145"/>
      </w:r>
      <w:r>
        <w:rPr>
          <w:bCs/>
        </w:rPr>
        <w:t xml:space="preserve"> Hetgeen in overeenstemming is met de gedachte achter artikel 267 van het VwEU, uit hoofde waarvan het HvJ EG de nationale wetgeving mag toetsen.</w:t>
      </w:r>
      <w:r>
        <w:rPr>
          <w:rStyle w:val="Voetnootmarkering"/>
          <w:bCs/>
        </w:rPr>
        <w:footnoteReference w:id="146"/>
      </w:r>
      <w:r>
        <w:rPr>
          <w:bCs/>
        </w:rPr>
        <w:t xml:space="preserve"> Dit komt ook naar voren als men beziet dat prejudiciële vragen worden gesteld over de regeling en niet de situatie</w:t>
      </w:r>
      <w:r w:rsidRPr="00347436">
        <w:rPr>
          <w:bCs/>
        </w:rPr>
        <w:t xml:space="preserve">. </w:t>
      </w:r>
      <w:r>
        <w:rPr>
          <w:bCs/>
        </w:rPr>
        <w:t xml:space="preserve">Daarnaast komt dit ook </w:t>
      </w:r>
      <w:r w:rsidRPr="00347436">
        <w:rPr>
          <w:bCs/>
        </w:rPr>
        <w:t>terug in de alom</w:t>
      </w:r>
      <w:r>
        <w:rPr>
          <w:bCs/>
        </w:rPr>
        <w:t xml:space="preserve"> bekende rechtsoverweging dat “</w:t>
      </w:r>
      <w:r w:rsidRPr="00615215">
        <w:rPr>
          <w:i/>
          <w:iCs/>
        </w:rPr>
        <w:t>de directe belastingen weliswaar tot de bevoegdheid van de lidstaten, doch zijn deze verplicht, die bevoegdheid in overeenstemming met het gemeenschapsrecht uit te oefenen</w:t>
      </w:r>
      <w:r>
        <w:t>.”</w:t>
      </w:r>
      <w:r w:rsidRPr="00347436">
        <w:rPr>
          <w:rStyle w:val="Voetnootmarkering"/>
          <w:bCs/>
        </w:rPr>
        <w:footnoteReference w:id="147"/>
      </w:r>
      <w:r w:rsidRPr="00347436">
        <w:rPr>
          <w:bCs/>
        </w:rPr>
        <w:t xml:space="preserve"> Hiermee zegt het</w:t>
      </w:r>
      <w:r>
        <w:rPr>
          <w:bCs/>
        </w:rPr>
        <w:t xml:space="preserve"> HvJ EG mijns inziens</w:t>
      </w:r>
      <w:r w:rsidRPr="00347436">
        <w:rPr>
          <w:bCs/>
        </w:rPr>
        <w:t xml:space="preserve"> dat zij de situatie niet toetst</w:t>
      </w:r>
      <w:r>
        <w:rPr>
          <w:bCs/>
        </w:rPr>
        <w:t>. H</w:t>
      </w:r>
      <w:r w:rsidRPr="00347436">
        <w:rPr>
          <w:bCs/>
        </w:rPr>
        <w:t xml:space="preserve">et </w:t>
      </w:r>
      <w:r>
        <w:rPr>
          <w:bCs/>
        </w:rPr>
        <w:t>HvJ EG</w:t>
      </w:r>
      <w:r w:rsidRPr="00347436">
        <w:rPr>
          <w:bCs/>
        </w:rPr>
        <w:t xml:space="preserve"> toetst enkel de regeling om vast te stellen of de regeling tot een resultaat leidt welk in overe</w:t>
      </w:r>
      <w:r>
        <w:rPr>
          <w:bCs/>
        </w:rPr>
        <w:t>enstemming is met hetgeen het EU</w:t>
      </w:r>
      <w:r w:rsidRPr="00347436">
        <w:rPr>
          <w:bCs/>
        </w:rPr>
        <w:t xml:space="preserve">-recht wenst te bereiken. </w:t>
      </w:r>
      <w:r>
        <w:rPr>
          <w:bCs/>
        </w:rPr>
        <w:t xml:space="preserve">Ook </w:t>
      </w:r>
      <w:r w:rsidRPr="00347436">
        <w:rPr>
          <w:bCs/>
        </w:rPr>
        <w:t xml:space="preserve">ziet men </w:t>
      </w:r>
      <w:r>
        <w:rPr>
          <w:bCs/>
        </w:rPr>
        <w:t>dit</w:t>
      </w:r>
      <w:r w:rsidRPr="00347436">
        <w:rPr>
          <w:bCs/>
        </w:rPr>
        <w:t xml:space="preserve"> terug in een andere vaak terugk</w:t>
      </w:r>
      <w:r>
        <w:rPr>
          <w:bCs/>
        </w:rPr>
        <w:t>erende</w:t>
      </w:r>
      <w:r w:rsidRPr="00347436">
        <w:rPr>
          <w:bCs/>
        </w:rPr>
        <w:t xml:space="preserve"> rechtsoverweging namelijk dat “</w:t>
      </w:r>
      <w:r w:rsidRPr="00341A3A">
        <w:rPr>
          <w:bCs/>
          <w:i/>
          <w:iCs/>
        </w:rPr>
        <w:t>bij de beoordeling van het gedrag van de belastingplichtige (..) in het bijzonder rekening</w:t>
      </w:r>
      <w:r w:rsidRPr="00347436">
        <w:rPr>
          <w:bCs/>
        </w:rPr>
        <w:t>” moet “</w:t>
      </w:r>
      <w:r w:rsidRPr="00341A3A">
        <w:rPr>
          <w:bCs/>
          <w:i/>
          <w:iCs/>
        </w:rPr>
        <w:t>worden gehouden met het doel dat met de vrijheid (..) wordt beoogd</w:t>
      </w:r>
      <w:r w:rsidRPr="00347436">
        <w:rPr>
          <w:bCs/>
        </w:rPr>
        <w:t>”</w:t>
      </w:r>
      <w:r>
        <w:rPr>
          <w:bCs/>
        </w:rPr>
        <w:t>.</w:t>
      </w:r>
      <w:r w:rsidRPr="00347436">
        <w:rPr>
          <w:rStyle w:val="Voetnootmarkering"/>
          <w:bCs/>
        </w:rPr>
        <w:footnoteReference w:id="148"/>
      </w:r>
      <w:r w:rsidRPr="00347436">
        <w:rPr>
          <w:bCs/>
        </w:rPr>
        <w:t xml:space="preserve"> Het </w:t>
      </w:r>
      <w:r>
        <w:rPr>
          <w:bCs/>
        </w:rPr>
        <w:t>HvJ EG,</w:t>
      </w:r>
      <w:r w:rsidRPr="00347436">
        <w:rPr>
          <w:bCs/>
        </w:rPr>
        <w:t xml:space="preserve"> naar blijkt</w:t>
      </w:r>
      <w:r>
        <w:rPr>
          <w:bCs/>
        </w:rPr>
        <w:t>,</w:t>
      </w:r>
      <w:r w:rsidRPr="00347436">
        <w:rPr>
          <w:bCs/>
        </w:rPr>
        <w:t xml:space="preserve"> toetst hier de uitkomst van</w:t>
      </w:r>
      <w:r>
        <w:rPr>
          <w:bCs/>
        </w:rPr>
        <w:t xml:space="preserve"> deze beoordeling, de uitkomst</w:t>
      </w:r>
      <w:r w:rsidRPr="00347436">
        <w:rPr>
          <w:bCs/>
        </w:rPr>
        <w:t xml:space="preserve"> van de nationale regeling aldus. Dit betekent mijns inziens</w:t>
      </w:r>
      <w:r>
        <w:rPr>
          <w:bCs/>
        </w:rPr>
        <w:t>,</w:t>
      </w:r>
      <w:r w:rsidRPr="00347436">
        <w:rPr>
          <w:bCs/>
        </w:rPr>
        <w:t xml:space="preserve"> niet zoals Smit</w:t>
      </w:r>
      <w:r>
        <w:rPr>
          <w:bCs/>
        </w:rPr>
        <w:t>, Merks</w:t>
      </w:r>
      <w:r w:rsidRPr="00347436">
        <w:rPr>
          <w:bCs/>
        </w:rPr>
        <w:t xml:space="preserve"> en Kiekebeld stellen</w:t>
      </w:r>
      <w:r>
        <w:rPr>
          <w:bCs/>
        </w:rPr>
        <w:t>,</w:t>
      </w:r>
      <w:r w:rsidRPr="00347436">
        <w:rPr>
          <w:bCs/>
        </w:rPr>
        <w:t xml:space="preserve"> dat het </w:t>
      </w:r>
      <w:r>
        <w:rPr>
          <w:bCs/>
        </w:rPr>
        <w:t>HvJ EG</w:t>
      </w:r>
      <w:r w:rsidRPr="00347436">
        <w:rPr>
          <w:bCs/>
        </w:rPr>
        <w:t xml:space="preserve"> van mening is dat Cadbury Schweppes toegang heeft tot de verdragsvrijheden</w:t>
      </w:r>
      <w:r>
        <w:rPr>
          <w:bCs/>
        </w:rPr>
        <w:t>.</w:t>
      </w:r>
      <w:r w:rsidRPr="00347436">
        <w:rPr>
          <w:rStyle w:val="Voetnootmarkering"/>
          <w:bCs/>
        </w:rPr>
        <w:footnoteReference w:id="149"/>
      </w:r>
      <w:r>
        <w:rPr>
          <w:bCs/>
        </w:rPr>
        <w:t xml:space="preserve"> D</w:t>
      </w:r>
      <w:r w:rsidRPr="00347436">
        <w:rPr>
          <w:bCs/>
        </w:rPr>
        <w:t>it is aan de nationale rechter, zij stelt enkel vast of de regeling strijdig is</w:t>
      </w:r>
      <w:r>
        <w:rPr>
          <w:bCs/>
        </w:rPr>
        <w:t>.</w:t>
      </w:r>
      <w:r>
        <w:rPr>
          <w:rStyle w:val="Voetnootmarkering"/>
          <w:bCs/>
        </w:rPr>
        <w:footnoteReference w:id="150"/>
      </w:r>
      <w:r w:rsidRPr="00347436">
        <w:rPr>
          <w:bCs/>
        </w:rPr>
        <w:t xml:space="preserve"> </w:t>
      </w:r>
    </w:p>
    <w:p w:rsidR="00652D1F" w:rsidRPr="00B76120" w:rsidRDefault="00652D1F" w:rsidP="00AC0BC5">
      <w:pPr>
        <w:spacing w:line="360" w:lineRule="auto"/>
        <w:rPr>
          <w:lang w:eastAsia="nl-NL"/>
        </w:rPr>
      </w:pPr>
    </w:p>
    <w:p w:rsidR="00652D1F" w:rsidRPr="00347436" w:rsidRDefault="00652D1F" w:rsidP="00AC0BC5">
      <w:pPr>
        <w:spacing w:line="360" w:lineRule="auto"/>
        <w:rPr>
          <w:bCs/>
        </w:rPr>
      </w:pPr>
      <w:r w:rsidRPr="00347436">
        <w:rPr>
          <w:bCs/>
        </w:rPr>
        <w:t>Deze benaderingswijze vi</w:t>
      </w:r>
      <w:r>
        <w:rPr>
          <w:bCs/>
        </w:rPr>
        <w:t>ndt ook steun in een andere vaak terugkerende</w:t>
      </w:r>
      <w:r w:rsidRPr="00347436">
        <w:rPr>
          <w:bCs/>
        </w:rPr>
        <w:t xml:space="preserve"> overweging van het </w:t>
      </w:r>
      <w:r>
        <w:rPr>
          <w:bCs/>
        </w:rPr>
        <w:t>HvJ EG</w:t>
      </w:r>
      <w:r w:rsidRPr="00347436">
        <w:rPr>
          <w:bCs/>
        </w:rPr>
        <w:t>, namelijk;</w:t>
      </w:r>
    </w:p>
    <w:p w:rsidR="00652D1F" w:rsidRPr="00347436" w:rsidRDefault="00652D1F" w:rsidP="00AC0BC5">
      <w:pPr>
        <w:spacing w:line="360" w:lineRule="auto"/>
        <w:rPr>
          <w:bCs/>
        </w:rPr>
      </w:pPr>
    </w:p>
    <w:p w:rsidR="00652D1F" w:rsidRPr="00347436" w:rsidRDefault="00652D1F" w:rsidP="00AC0BC5">
      <w:pPr>
        <w:spacing w:line="360" w:lineRule="auto"/>
        <w:rPr>
          <w:lang w:eastAsia="nl-NL"/>
        </w:rPr>
      </w:pPr>
      <w:r w:rsidRPr="00347436">
        <w:rPr>
          <w:bCs/>
        </w:rPr>
        <w:t xml:space="preserve"> “</w:t>
      </w:r>
      <w:r w:rsidRPr="00341A3A">
        <w:rPr>
          <w:i/>
          <w:iCs/>
          <w:lang w:eastAsia="nl-NL"/>
        </w:rPr>
        <w:t>Onderdanen van een lidstaat mogen de krachtens het Verdrag geschapen mogelijkheden inderdaad niet misbruiken om zich te onttrekken aan de werkingssfeer van hun nationale wetgeving. Zij kunnen zich niet met het oog op misbruik of bedrog beroepen op het gemeenschapsrecht</w:t>
      </w:r>
      <w:r w:rsidRPr="00347436">
        <w:rPr>
          <w:lang w:eastAsia="nl-NL"/>
        </w:rPr>
        <w:t>”</w:t>
      </w:r>
      <w:r w:rsidRPr="00347436">
        <w:rPr>
          <w:rStyle w:val="Voetnootmarkering"/>
          <w:lang w:eastAsia="nl-NL"/>
        </w:rPr>
        <w:footnoteReference w:id="151"/>
      </w:r>
      <w:r w:rsidRPr="00347436">
        <w:rPr>
          <w:lang w:eastAsia="nl-NL"/>
        </w:rPr>
        <w:t xml:space="preserve"> </w:t>
      </w:r>
    </w:p>
    <w:p w:rsidR="00652D1F" w:rsidRPr="00347436" w:rsidRDefault="00652D1F" w:rsidP="00AC0BC5">
      <w:pPr>
        <w:spacing w:line="360" w:lineRule="auto"/>
        <w:rPr>
          <w:lang w:eastAsia="nl-NL"/>
        </w:rPr>
      </w:pPr>
    </w:p>
    <w:p w:rsidR="00652D1F" w:rsidRPr="00347436" w:rsidRDefault="00652D1F" w:rsidP="006E0C96">
      <w:pPr>
        <w:spacing w:line="360" w:lineRule="auto"/>
        <w:rPr>
          <w:lang w:eastAsia="nl-NL"/>
        </w:rPr>
      </w:pPr>
      <w:r w:rsidRPr="00347436">
        <w:rPr>
          <w:lang w:eastAsia="nl-NL"/>
        </w:rPr>
        <w:t xml:space="preserve">Hierbij haalt het </w:t>
      </w:r>
      <w:r>
        <w:rPr>
          <w:lang w:eastAsia="nl-NL"/>
        </w:rPr>
        <w:t>HvJ EG</w:t>
      </w:r>
      <w:r w:rsidRPr="00347436">
        <w:rPr>
          <w:lang w:eastAsia="nl-NL"/>
        </w:rPr>
        <w:t xml:space="preserve"> drie arresten aan Bouchoucha, Centros en Knoors, waarbij Centros in deze context voornamelijk een doorverwijzing naar Paletta betreft</w:t>
      </w:r>
      <w:r>
        <w:rPr>
          <w:lang w:eastAsia="nl-NL"/>
        </w:rPr>
        <w:t>.</w:t>
      </w:r>
      <w:r w:rsidRPr="00347436">
        <w:rPr>
          <w:rStyle w:val="Voetnootmarkering"/>
          <w:lang w:eastAsia="nl-NL"/>
        </w:rPr>
        <w:footnoteReference w:id="152"/>
      </w:r>
      <w:r w:rsidRPr="00347436">
        <w:rPr>
          <w:lang w:eastAsia="nl-NL"/>
        </w:rPr>
        <w:t xml:space="preserve"> Hetgeen echter opvalt aan de arresten Bouchoucha en Knoors is dat het misbruik ten gevolge waarvan het beroep wordt geweigerd </w:t>
      </w:r>
      <w:r>
        <w:rPr>
          <w:lang w:eastAsia="nl-NL"/>
        </w:rPr>
        <w:t>het abusievelijk gebruik van een EU</w:t>
      </w:r>
      <w:r w:rsidRPr="00347436">
        <w:rPr>
          <w:lang w:eastAsia="nl-NL"/>
        </w:rPr>
        <w:t xml:space="preserve">-richtlijn </w:t>
      </w:r>
      <w:r>
        <w:rPr>
          <w:lang w:eastAsia="nl-NL"/>
        </w:rPr>
        <w:t xml:space="preserve">betreft </w:t>
      </w:r>
      <w:r w:rsidRPr="00347436">
        <w:rPr>
          <w:lang w:eastAsia="nl-NL"/>
        </w:rPr>
        <w:t>en</w:t>
      </w:r>
      <w:r>
        <w:rPr>
          <w:lang w:eastAsia="nl-NL"/>
        </w:rPr>
        <w:t xml:space="preserve"> niet</w:t>
      </w:r>
      <w:r w:rsidRPr="00347436">
        <w:rPr>
          <w:lang w:eastAsia="nl-NL"/>
        </w:rPr>
        <w:t xml:space="preserve"> </w:t>
      </w:r>
      <w:r>
        <w:rPr>
          <w:lang w:eastAsia="nl-NL"/>
        </w:rPr>
        <w:t>dat van</w:t>
      </w:r>
      <w:r w:rsidRPr="00347436">
        <w:rPr>
          <w:lang w:eastAsia="nl-NL"/>
        </w:rPr>
        <w:t xml:space="preserve"> een verdragsvrijheid</w:t>
      </w:r>
      <w:r>
        <w:rPr>
          <w:lang w:eastAsia="nl-NL"/>
        </w:rPr>
        <w:t>.</w:t>
      </w:r>
      <w:r w:rsidRPr="00347436">
        <w:rPr>
          <w:rStyle w:val="Voetnootmarkering"/>
          <w:lang w:eastAsia="nl-NL"/>
        </w:rPr>
        <w:footnoteReference w:id="153"/>
      </w:r>
      <w:r w:rsidRPr="00347436">
        <w:rPr>
          <w:lang w:eastAsia="nl-NL"/>
        </w:rPr>
        <w:t xml:space="preserve"> Dit is </w:t>
      </w:r>
      <w:r>
        <w:rPr>
          <w:lang w:eastAsia="nl-NL"/>
        </w:rPr>
        <w:t xml:space="preserve">mijns inziens </w:t>
      </w:r>
      <w:r w:rsidRPr="00347436">
        <w:rPr>
          <w:lang w:eastAsia="nl-NL"/>
        </w:rPr>
        <w:t xml:space="preserve">het geval omdat het </w:t>
      </w:r>
      <w:r>
        <w:rPr>
          <w:lang w:eastAsia="nl-NL"/>
        </w:rPr>
        <w:t>HvJ EG</w:t>
      </w:r>
      <w:r w:rsidRPr="00347436">
        <w:rPr>
          <w:lang w:eastAsia="nl-NL"/>
        </w:rPr>
        <w:t xml:space="preserve"> nu wel bij machte is de </w:t>
      </w:r>
      <w:r>
        <w:rPr>
          <w:lang w:eastAsia="nl-NL"/>
        </w:rPr>
        <w:t xml:space="preserve">feitelijke </w:t>
      </w:r>
      <w:r w:rsidRPr="00347436">
        <w:rPr>
          <w:lang w:eastAsia="nl-NL"/>
        </w:rPr>
        <w:t>situatie te beoordelen</w:t>
      </w:r>
      <w:r>
        <w:rPr>
          <w:lang w:eastAsia="nl-NL"/>
        </w:rPr>
        <w:t>, dit omdat het een EU-</w:t>
      </w:r>
      <w:r w:rsidRPr="00347436">
        <w:rPr>
          <w:lang w:eastAsia="nl-NL"/>
        </w:rPr>
        <w:t xml:space="preserve">regeling </w:t>
      </w:r>
      <w:r>
        <w:rPr>
          <w:lang w:eastAsia="nl-NL"/>
        </w:rPr>
        <w:t>betreft</w:t>
      </w:r>
      <w:r w:rsidRPr="00347436">
        <w:rPr>
          <w:lang w:eastAsia="nl-NL"/>
        </w:rPr>
        <w:t xml:space="preserve"> e</w:t>
      </w:r>
      <w:r>
        <w:rPr>
          <w:lang w:eastAsia="nl-NL"/>
        </w:rPr>
        <w:t>n niet</w:t>
      </w:r>
      <w:r w:rsidRPr="00347436">
        <w:rPr>
          <w:lang w:eastAsia="nl-NL"/>
        </w:rPr>
        <w:t xml:space="preserve"> een nationale bepaling waarover zij geen directe bevoegdheid heeft. </w:t>
      </w:r>
      <w:r>
        <w:rPr>
          <w:lang w:eastAsia="nl-NL"/>
        </w:rPr>
        <w:t>In het geval van de toetsing van directe belastingen aan het VwEU oordeelt het HvJ EG daarom door middel van een toetsing van de regeling aan het VwEU, de uitkomst wordt daardoor vanuit EU</w:t>
      </w:r>
      <w:r w:rsidRPr="00347436">
        <w:rPr>
          <w:lang w:eastAsia="nl-NL"/>
        </w:rPr>
        <w:t xml:space="preserve"> perspectief gelegitimeerd.</w:t>
      </w:r>
    </w:p>
    <w:p w:rsidR="00652D1F" w:rsidRDefault="00652D1F" w:rsidP="00AC0BC5">
      <w:pPr>
        <w:spacing w:line="360" w:lineRule="auto"/>
      </w:pPr>
    </w:p>
    <w:p w:rsidR="00652D1F" w:rsidRPr="005E38FB" w:rsidRDefault="00652D1F" w:rsidP="00AC0BC5">
      <w:pPr>
        <w:spacing w:line="360" w:lineRule="auto"/>
        <w:rPr>
          <w:b/>
          <w:u w:val="single"/>
        </w:rPr>
      </w:pPr>
      <w:r>
        <w:rPr>
          <w:b/>
          <w:u w:val="single"/>
        </w:rPr>
        <w:t>3.6 conclusie toegang tot Vw</w:t>
      </w:r>
      <w:r w:rsidRPr="005E38FB">
        <w:rPr>
          <w:b/>
          <w:u w:val="single"/>
        </w:rPr>
        <w:t xml:space="preserve">EU </w:t>
      </w:r>
    </w:p>
    <w:p w:rsidR="00652D1F" w:rsidRDefault="00652D1F" w:rsidP="00AC0BC5">
      <w:pPr>
        <w:spacing w:line="360" w:lineRule="auto"/>
        <w:rPr>
          <w:b/>
          <w:bCs/>
          <w:u w:val="single"/>
        </w:rPr>
      </w:pPr>
      <w:r>
        <w:rPr>
          <w:b/>
          <w:bCs/>
          <w:u w:val="single"/>
        </w:rPr>
        <w:t xml:space="preserve"> </w:t>
      </w:r>
    </w:p>
    <w:p w:rsidR="00652D1F" w:rsidRPr="00263874" w:rsidRDefault="00652D1F" w:rsidP="00DD01E7">
      <w:pPr>
        <w:spacing w:line="360" w:lineRule="auto"/>
        <w:rPr>
          <w:bCs/>
        </w:rPr>
      </w:pPr>
      <w:r>
        <w:rPr>
          <w:bCs/>
        </w:rPr>
        <w:t>Op basis van het</w:t>
      </w:r>
      <w:r w:rsidRPr="00263874">
        <w:rPr>
          <w:bCs/>
        </w:rPr>
        <w:t xml:space="preserve"> bovenstaande </w:t>
      </w:r>
      <w:r>
        <w:rPr>
          <w:bCs/>
        </w:rPr>
        <w:t>kan worden geconcludeerd</w:t>
      </w:r>
      <w:r w:rsidRPr="00263874">
        <w:rPr>
          <w:bCs/>
        </w:rPr>
        <w:t xml:space="preserve"> dat belanghebbende</w:t>
      </w:r>
      <w:r>
        <w:rPr>
          <w:bCs/>
        </w:rPr>
        <w:t>n,</w:t>
      </w:r>
      <w:r w:rsidRPr="00263874">
        <w:rPr>
          <w:bCs/>
        </w:rPr>
        <w:t xml:space="preserve"> welke geconfronteerd worden met de toepassing van artikel 10a</w:t>
      </w:r>
      <w:r>
        <w:rPr>
          <w:bCs/>
        </w:rPr>
        <w:t>,</w:t>
      </w:r>
      <w:r w:rsidRPr="00263874">
        <w:rPr>
          <w:bCs/>
        </w:rPr>
        <w:t xml:space="preserve"> onder voorwaarden een beroep kunnen doen op het VwEU. Dit beroep kan enkel worden gericht tot de vrijheid van vestiging, dit te</w:t>
      </w:r>
      <w:r>
        <w:rPr>
          <w:bCs/>
        </w:rPr>
        <w:t>n</w:t>
      </w:r>
      <w:r w:rsidRPr="00263874">
        <w:rPr>
          <w:bCs/>
        </w:rPr>
        <w:t xml:space="preserve"> gevolge van de focus van artikel 10a op de aanwezigheid van beslissende invloed. Hieruit vloeit voort </w:t>
      </w:r>
      <w:r>
        <w:rPr>
          <w:bCs/>
        </w:rPr>
        <w:t>dat het is vereist dat de belanghebbende die deze invloed uitoefent in een lidstaat is gevestigd.</w:t>
      </w:r>
      <w:r w:rsidRPr="00263874">
        <w:rPr>
          <w:bCs/>
        </w:rPr>
        <w:t xml:space="preserve"> Daarnaast is het ook van belang dat de </w:t>
      </w:r>
      <w:r>
        <w:rPr>
          <w:bCs/>
        </w:rPr>
        <w:t>aangestuurde</w:t>
      </w:r>
      <w:r w:rsidRPr="00263874">
        <w:rPr>
          <w:bCs/>
        </w:rPr>
        <w:t xml:space="preserve"> een reële vestiging heeft in de lidstaat in kwestie</w:t>
      </w:r>
      <w:r>
        <w:rPr>
          <w:bCs/>
        </w:rPr>
        <w:t xml:space="preserve"> alsmede dat de aansturende partij in een lidstaat is gevestigd</w:t>
      </w:r>
      <w:r w:rsidRPr="00263874">
        <w:rPr>
          <w:bCs/>
        </w:rPr>
        <w:t xml:space="preserve">. </w:t>
      </w:r>
      <w:r>
        <w:rPr>
          <w:bCs/>
        </w:rPr>
        <w:t>De</w:t>
      </w:r>
      <w:r w:rsidRPr="00263874">
        <w:rPr>
          <w:bCs/>
        </w:rPr>
        <w:t xml:space="preserve"> aanwezigheid va</w:t>
      </w:r>
      <w:r>
        <w:rPr>
          <w:bCs/>
        </w:rPr>
        <w:t>n</w:t>
      </w:r>
      <w:r w:rsidRPr="00263874">
        <w:rPr>
          <w:bCs/>
        </w:rPr>
        <w:t xml:space="preserve"> eventu</w:t>
      </w:r>
      <w:r>
        <w:rPr>
          <w:bCs/>
        </w:rPr>
        <w:t>eel misbruik</w:t>
      </w:r>
      <w:r w:rsidRPr="00263874">
        <w:rPr>
          <w:bCs/>
        </w:rPr>
        <w:t xml:space="preserve"> </w:t>
      </w:r>
      <w:r>
        <w:rPr>
          <w:bCs/>
        </w:rPr>
        <w:t>heeft echter geen invloed op de beantwoording van het toegangsvraagstuk. Daarentegen is het wel vereist dat</w:t>
      </w:r>
      <w:r w:rsidRPr="00125317">
        <w:rPr>
          <w:bCs/>
        </w:rPr>
        <w:t xml:space="preserve"> </w:t>
      </w:r>
      <w:r w:rsidRPr="00263874">
        <w:rPr>
          <w:bCs/>
        </w:rPr>
        <w:t>op materieel niveau aan de objectieve voorwaarden</w:t>
      </w:r>
      <w:r>
        <w:rPr>
          <w:bCs/>
        </w:rPr>
        <w:t xml:space="preserve"> voor het bestaan van een vestiging</w:t>
      </w:r>
      <w:r w:rsidRPr="00263874">
        <w:rPr>
          <w:bCs/>
        </w:rPr>
        <w:t xml:space="preserve"> is voldaan</w:t>
      </w:r>
      <w:r>
        <w:rPr>
          <w:bCs/>
        </w:rPr>
        <w:t>,</w:t>
      </w:r>
      <w:r w:rsidRPr="00263874">
        <w:rPr>
          <w:bCs/>
        </w:rPr>
        <w:t xml:space="preserve"> </w:t>
      </w:r>
      <w:r>
        <w:rPr>
          <w:bCs/>
        </w:rPr>
        <w:t xml:space="preserve">zonder dit </w:t>
      </w:r>
      <w:r w:rsidRPr="00263874">
        <w:rPr>
          <w:bCs/>
        </w:rPr>
        <w:t>kan er geen toetsing plaatsvinden</w:t>
      </w:r>
      <w:r>
        <w:rPr>
          <w:bCs/>
        </w:rPr>
        <w:t>.</w:t>
      </w: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Pr="00347436" w:rsidRDefault="00652D1F" w:rsidP="00AC0BC5">
      <w:pPr>
        <w:spacing w:line="360" w:lineRule="auto"/>
        <w:rPr>
          <w:b/>
          <w:bCs/>
          <w:u w:val="single"/>
        </w:rPr>
      </w:pPr>
      <w:r>
        <w:rPr>
          <w:b/>
          <w:bCs/>
          <w:u w:val="single"/>
        </w:rPr>
        <w:t>4. Vaststelling eventuele b</w:t>
      </w:r>
      <w:r w:rsidRPr="00347436">
        <w:rPr>
          <w:b/>
          <w:bCs/>
          <w:u w:val="single"/>
        </w:rPr>
        <w:t>elemmering</w:t>
      </w:r>
    </w:p>
    <w:p w:rsidR="00652D1F" w:rsidRPr="00382FAC" w:rsidRDefault="00652D1F" w:rsidP="00AC0BC5">
      <w:pPr>
        <w:spacing w:line="360" w:lineRule="auto"/>
        <w:rPr>
          <w:color w:val="000000" w:themeColor="text1"/>
        </w:rPr>
      </w:pPr>
    </w:p>
    <w:p w:rsidR="00652D1F" w:rsidRPr="00347436" w:rsidRDefault="00652D1F" w:rsidP="00AC0BC5">
      <w:pPr>
        <w:spacing w:line="360" w:lineRule="auto"/>
        <w:rPr>
          <w:b/>
          <w:bCs/>
        </w:rPr>
      </w:pPr>
      <w:r>
        <w:rPr>
          <w:b/>
          <w:bCs/>
          <w:u w:val="single"/>
        </w:rPr>
        <w:t xml:space="preserve">4.1 </w:t>
      </w:r>
      <w:r w:rsidRPr="00347436">
        <w:rPr>
          <w:b/>
          <w:bCs/>
          <w:u w:val="single"/>
        </w:rPr>
        <w:t>Soorten belemmeringen</w:t>
      </w:r>
    </w:p>
    <w:p w:rsidR="00652D1F" w:rsidRPr="00347436" w:rsidRDefault="00652D1F" w:rsidP="00AC0BC5">
      <w:pPr>
        <w:spacing w:line="360" w:lineRule="auto"/>
        <w:rPr>
          <w:u w:val="single"/>
        </w:rPr>
      </w:pPr>
    </w:p>
    <w:p w:rsidR="00652D1F" w:rsidRPr="00347436" w:rsidRDefault="00652D1F" w:rsidP="00301E22">
      <w:pPr>
        <w:spacing w:line="360" w:lineRule="auto"/>
      </w:pPr>
      <w:r w:rsidRPr="00347436">
        <w:t xml:space="preserve">De volgende stap in </w:t>
      </w:r>
      <w:r>
        <w:t>het beslisschema, welk toetst of</w:t>
      </w:r>
      <w:r w:rsidRPr="00347436">
        <w:t xml:space="preserve"> artikel 10a Wet </w:t>
      </w:r>
      <w:r>
        <w:t>VpB</w:t>
      </w:r>
      <w:r w:rsidRPr="00347436">
        <w:t xml:space="preserve"> een ongeoorloofde belemmering van de vrijheid van vestiging inhoudt</w:t>
      </w:r>
      <w:r>
        <w:t>,</w:t>
      </w:r>
      <w:r w:rsidRPr="00347436">
        <w:t xml:space="preserve"> is de eventuele vaststelling van de aanwezigheid van een belemmering welke wordt veroorzaakt door de werking van artikel 10a. Volgens Kapteyn en Verloren van Themaat zijn er drie verschillende soorten belemmeringen</w:t>
      </w:r>
      <w:r>
        <w:t>;</w:t>
      </w:r>
    </w:p>
    <w:p w:rsidR="00652D1F" w:rsidRPr="00347436" w:rsidRDefault="00652D1F" w:rsidP="00AC0BC5">
      <w:pPr>
        <w:spacing w:line="360" w:lineRule="auto"/>
      </w:pPr>
    </w:p>
    <w:p w:rsidR="00652D1F" w:rsidRPr="00347436" w:rsidRDefault="00652D1F" w:rsidP="00AC0BC5">
      <w:pPr>
        <w:numPr>
          <w:ilvl w:val="0"/>
          <w:numId w:val="1"/>
        </w:numPr>
        <w:spacing w:line="360" w:lineRule="auto"/>
      </w:pPr>
      <w:r w:rsidRPr="00347436">
        <w:t>directe discriminatie op basis van nationaliteit dan wel woonplaats,</w:t>
      </w:r>
    </w:p>
    <w:p w:rsidR="00652D1F" w:rsidRPr="00347436" w:rsidRDefault="00652D1F" w:rsidP="00AC0BC5">
      <w:pPr>
        <w:numPr>
          <w:ilvl w:val="0"/>
          <w:numId w:val="1"/>
        </w:numPr>
        <w:spacing w:line="360" w:lineRule="auto"/>
      </w:pPr>
      <w:r w:rsidRPr="00347436">
        <w:t>indirecte discriminatie op basis van nationaliteit dan wel woonplaats; of</w:t>
      </w:r>
    </w:p>
    <w:p w:rsidR="00652D1F" w:rsidRPr="00347436" w:rsidRDefault="00652D1F" w:rsidP="00AC0BC5">
      <w:pPr>
        <w:numPr>
          <w:ilvl w:val="0"/>
          <w:numId w:val="1"/>
        </w:numPr>
        <w:spacing w:line="360" w:lineRule="auto"/>
      </w:pPr>
      <w:r w:rsidRPr="00347436">
        <w:t>een maatregel die de grensoverschrijdende situatie onaantrekkelijker maakt</w:t>
      </w:r>
      <w:r>
        <w:t>,</w:t>
      </w:r>
      <w:r w:rsidRPr="00347436">
        <w:t xml:space="preserve"> welke echter ook </w:t>
      </w:r>
      <w:r>
        <w:t xml:space="preserve">in </w:t>
      </w:r>
      <w:r w:rsidRPr="00347436">
        <w:t>i</w:t>
      </w:r>
      <w:r>
        <w:t>nterne situaties wordt toegepast</w:t>
      </w:r>
      <w:r w:rsidRPr="00347436">
        <w:t>.</w:t>
      </w:r>
      <w:r w:rsidRPr="00301E22">
        <w:rPr>
          <w:rStyle w:val="Voetnootmarkering"/>
        </w:rPr>
        <w:t xml:space="preserve"> </w:t>
      </w:r>
      <w:r w:rsidRPr="00347436">
        <w:rPr>
          <w:rStyle w:val="Voetnootmarkering"/>
        </w:rPr>
        <w:footnoteReference w:id="154"/>
      </w:r>
    </w:p>
    <w:p w:rsidR="00652D1F" w:rsidRPr="00347436" w:rsidRDefault="00652D1F" w:rsidP="00AC0BC5">
      <w:pPr>
        <w:spacing w:line="360" w:lineRule="auto"/>
      </w:pPr>
    </w:p>
    <w:p w:rsidR="00652D1F" w:rsidRDefault="00652D1F" w:rsidP="00DD01E7">
      <w:pPr>
        <w:spacing w:line="360" w:lineRule="auto"/>
      </w:pPr>
      <w:r w:rsidRPr="00347436">
        <w:t xml:space="preserve">Aangezien artikel 10a Wet </w:t>
      </w:r>
      <w:r>
        <w:t>VpB</w:t>
      </w:r>
      <w:r w:rsidRPr="00347436">
        <w:t xml:space="preserve"> geen directe verwijzingen naar nationaliteit dan wel woonplaats bevat</w:t>
      </w:r>
      <w:r>
        <w:t>,</w:t>
      </w:r>
      <w:r w:rsidRPr="00347436">
        <w:t xml:space="preserve"> kan zij geen directe</w:t>
      </w:r>
      <w:r>
        <w:t xml:space="preserve"> discriminatoire werking hebben. Derhalve zullen</w:t>
      </w:r>
      <w:r w:rsidRPr="00347436">
        <w:t xml:space="preserve"> in het onderstaa</w:t>
      </w:r>
      <w:r>
        <w:t>nde, enkel belemmeringen van de</w:t>
      </w:r>
      <w:r w:rsidRPr="00347436">
        <w:t xml:space="preserve"> bovenstaande soort</w:t>
      </w:r>
      <w:r>
        <w:t>en</w:t>
      </w:r>
      <w:r w:rsidRPr="00347436">
        <w:t xml:space="preserve"> 2 en 3 verder worden uitgewerkt</w:t>
      </w:r>
      <w:r>
        <w:t>,</w:t>
      </w:r>
      <w:r w:rsidRPr="00347436">
        <w:t xml:space="preserve"> ten einde vast te stellen </w:t>
      </w:r>
      <w:r>
        <w:t xml:space="preserve">of artikel 10a onder een van deze categorieën valt. </w:t>
      </w:r>
      <w:r w:rsidRPr="00347436">
        <w:t>Naast de bovenstaande</w:t>
      </w:r>
      <w:r>
        <w:t xml:space="preserve"> categorieën noemt de Vakstudie N</w:t>
      </w:r>
      <w:r w:rsidRPr="00347436">
        <w:t>ieuws nog een vierde categorie</w:t>
      </w:r>
      <w:r>
        <w:t>,</w:t>
      </w:r>
      <w:r w:rsidRPr="00347436">
        <w:t xml:space="preserve"> namelijk een maatregel die discrimineert tussen de interne</w:t>
      </w:r>
      <w:r>
        <w:t xml:space="preserve"> en intracommunautaire situatie. M</w:t>
      </w:r>
      <w:r w:rsidRPr="00347436">
        <w:t xml:space="preserve">ijns inziens is dit echter hetzelfde als een </w:t>
      </w:r>
      <w:r>
        <w:t xml:space="preserve">directe dan wel </w:t>
      </w:r>
      <w:r w:rsidRPr="00347436">
        <w:t>indirecte discriminatie aangezien dit enkel effect zal hebben bij inwoners van andere lidstaten.</w:t>
      </w:r>
      <w:r w:rsidRPr="00347436">
        <w:rPr>
          <w:rStyle w:val="Voetnootmarkering"/>
        </w:rPr>
        <w:footnoteReference w:id="155"/>
      </w:r>
      <w:r w:rsidRPr="00347436">
        <w:t xml:space="preserve"> </w:t>
      </w:r>
      <w:r w:rsidRPr="00347436">
        <w:rPr>
          <w:rStyle w:val="Voetnootmarkering"/>
        </w:rPr>
        <w:footnoteReference w:id="156"/>
      </w:r>
      <w:r>
        <w:t xml:space="preserve"> </w:t>
      </w:r>
    </w:p>
    <w:p w:rsidR="00652D1F" w:rsidRDefault="00652D1F" w:rsidP="00AC0BC5">
      <w:pPr>
        <w:spacing w:line="360" w:lineRule="auto"/>
      </w:pPr>
    </w:p>
    <w:p w:rsidR="00652D1F" w:rsidRPr="00347436" w:rsidRDefault="00652D1F" w:rsidP="008744A3">
      <w:pPr>
        <w:spacing w:line="360" w:lineRule="auto"/>
      </w:pPr>
      <w:r>
        <w:t>De aanwezigheid van een dispariteit kan mijns inziens worden uitgesloten, aangezien de belemmering noch in het geval dat het renteontvangende lichaam over compensabele verliezen beschikt, noch in het geval dat dit lichaam niet is onderworpen aan winstbelasting zal verdwijnen als beide lidstaten hetzelfde systeem hanteren.</w:t>
      </w:r>
      <w:r>
        <w:rPr>
          <w:rStyle w:val="Voetnootmarkering"/>
        </w:rPr>
        <w:footnoteReference w:id="157"/>
      </w:r>
      <w:r>
        <w:t xml:space="preserve"> Dit zou namelijk vereisen dat het Nederlandse systeem bij het niet toestaan van de aftrek de betalingen bij de ontvanger zou vrijstellen van heffing.</w:t>
      </w:r>
      <w:r w:rsidR="004A142B">
        <w:rPr>
          <w:rStyle w:val="Voetnootmarkering"/>
        </w:rPr>
        <w:footnoteReference w:id="158"/>
      </w:r>
      <w:r w:rsidR="004A142B">
        <w:t xml:space="preserve"> D</w:t>
      </w:r>
      <w:r>
        <w:t xml:space="preserve">at aftrek niet wordt toegestaan omdat het renteontvangende lichaam is onderworpen aan een belastingregime welk een lager tarief hanteert, </w:t>
      </w:r>
      <w:r w:rsidR="004A142B">
        <w:t>betekent mijns inziens niet dat er sprake is</w:t>
      </w:r>
      <w:r>
        <w:t xml:space="preserve"> van een dispariteit. Hoewel, het juist is dat renteaftrek zou worden toegestaan als het andere land hetzelfde tarief zou hanteren, dit betekent echter in deze niet dat er sprake is van een dispariteit.</w:t>
      </w:r>
      <w:r>
        <w:rPr>
          <w:rStyle w:val="Voetnootmarkering"/>
        </w:rPr>
        <w:footnoteReference w:id="159"/>
      </w:r>
      <w:r>
        <w:t xml:space="preserve"> Het tarief is namelijk geen verschil tussen de systemen van de wetgeving van de beide landen waaruit het nadeel voortvloeit, echter een omstandigheid op basis waarvan het nadeel wordt </w:t>
      </w:r>
      <w:r w:rsidRPr="00292A58">
        <w:t xml:space="preserve">toegekend. Artikel 10a legt derhalve zelf een nadeel op, hetgeen vereist is voor het kunnen </w:t>
      </w:r>
      <w:r w:rsidR="00292A58">
        <w:t>vaststellen van een belemmering, z</w:t>
      </w:r>
      <w:r w:rsidRPr="00292A58">
        <w:t>oals men kan afleiden uit het oordeel van het HvJ EG in het arrest Amurta.</w:t>
      </w:r>
      <w:r w:rsidRPr="00292A58">
        <w:rPr>
          <w:rStyle w:val="Voetnootmarkering"/>
        </w:rPr>
        <w:footnoteReference w:id="160"/>
      </w:r>
      <w:r>
        <w:t xml:space="preserve"> In aanvulling hierop dient te worden aangetekend dat het nadeel, welk artikel 10a veroorzaakt, niet wordt geneutraliseerd uit hoofde van een </w:t>
      </w:r>
      <w:r w:rsidR="004A142B">
        <w:t>v</w:t>
      </w:r>
      <w:r>
        <w:t>erdrag. De belemmering die voortvloeit uit artikel 10a kan dus niet op deze wijze van een eventuele strijdigheid worden geabsolveerd.</w:t>
      </w:r>
      <w:r>
        <w:rPr>
          <w:rStyle w:val="Voetnootmarkering"/>
        </w:rPr>
        <w:footnoteReference w:id="161"/>
      </w:r>
    </w:p>
    <w:p w:rsidR="00652D1F" w:rsidRDefault="00652D1F" w:rsidP="00AC0BC5">
      <w:pPr>
        <w:spacing w:line="360" w:lineRule="auto"/>
        <w:rPr>
          <w:b/>
          <w:u w:val="single"/>
        </w:rPr>
      </w:pPr>
    </w:p>
    <w:p w:rsidR="00652D1F" w:rsidRDefault="00652D1F" w:rsidP="00AC0BC5">
      <w:pPr>
        <w:rPr>
          <w:b/>
          <w:u w:val="single"/>
        </w:rPr>
      </w:pPr>
    </w:p>
    <w:p w:rsidR="00652D1F" w:rsidRPr="00684EBB" w:rsidRDefault="00652D1F" w:rsidP="00AC0BC5">
      <w:pPr>
        <w:pStyle w:val="c01pointnumerotealtn"/>
        <w:ind w:left="0" w:firstLine="0"/>
        <w:jc w:val="left"/>
        <w:rPr>
          <w:b/>
          <w:u w:val="single"/>
          <w:lang w:val="nl-NL"/>
        </w:rPr>
      </w:pPr>
      <w:r>
        <w:rPr>
          <w:rFonts w:eastAsia="SimSun"/>
          <w:b/>
          <w:u w:val="single"/>
          <w:lang w:val="nl-NL" w:eastAsia="zh-CN"/>
        </w:rPr>
        <w:t xml:space="preserve">4.1.1 </w:t>
      </w:r>
      <w:r w:rsidRPr="00684EBB">
        <w:rPr>
          <w:b/>
          <w:u w:val="single"/>
          <w:lang w:val="nl-NL"/>
        </w:rPr>
        <w:t xml:space="preserve">Gelijke situatie </w:t>
      </w:r>
      <w:bookmarkStart w:id="0" w:name="point22"/>
    </w:p>
    <w:bookmarkEnd w:id="0"/>
    <w:p w:rsidR="00652D1F" w:rsidRPr="00347436" w:rsidRDefault="00652D1F" w:rsidP="00AC0BC5">
      <w:pPr>
        <w:spacing w:line="360" w:lineRule="auto"/>
        <w:rPr>
          <w:b/>
          <w:u w:val="single"/>
        </w:rPr>
      </w:pPr>
    </w:p>
    <w:p w:rsidR="00652D1F" w:rsidRDefault="00652D1F" w:rsidP="0036647E">
      <w:pPr>
        <w:spacing w:line="360" w:lineRule="auto"/>
      </w:pPr>
      <w:r w:rsidRPr="00347436">
        <w:t>Een discriminatie kan zich enkel voordoen in het geval dat er onderscheid wordt gemaakt</w:t>
      </w:r>
      <w:r>
        <w:t xml:space="preserve"> in</w:t>
      </w:r>
      <w:r w:rsidRPr="00347436">
        <w:t xml:space="preserve"> de behandeling van twee objectief vergelijkbare gevallen.</w:t>
      </w:r>
      <w:r w:rsidR="004A142B">
        <w:rPr>
          <w:rStyle w:val="Voetnootmarkering"/>
        </w:rPr>
        <w:footnoteReference w:id="162"/>
      </w:r>
      <w:r w:rsidRPr="00347436">
        <w:t xml:space="preserve"> Dit blijkt onder ander</w:t>
      </w:r>
      <w:r>
        <w:t>e</w:t>
      </w:r>
      <w:r w:rsidRPr="00347436">
        <w:t xml:space="preserve"> uit de arresten Schumacker en Gschwind</w:t>
      </w:r>
      <w:r>
        <w:t>.</w:t>
      </w:r>
      <w:r>
        <w:rPr>
          <w:rStyle w:val="Voetnootmarkering"/>
        </w:rPr>
        <w:footnoteReference w:id="163"/>
      </w:r>
      <w:r w:rsidRPr="00347436">
        <w:t xml:space="preserve"> In Schumacker </w:t>
      </w:r>
      <w:r>
        <w:t xml:space="preserve">ging </w:t>
      </w:r>
      <w:r w:rsidRPr="00347436">
        <w:t>het om een Belgisch</w:t>
      </w:r>
      <w:r>
        <w:t>e</w:t>
      </w:r>
      <w:r w:rsidRPr="00347436">
        <w:t xml:space="preserve"> ingezetene die zijn werkzaamheden in Duitsland ver</w:t>
      </w:r>
      <w:r>
        <w:t>richtte. In tegenstelling tot</w:t>
      </w:r>
      <w:r w:rsidRPr="00347436">
        <w:t xml:space="preserve"> een Duits</w:t>
      </w:r>
      <w:r>
        <w:t>e</w:t>
      </w:r>
      <w:r w:rsidRPr="00347436">
        <w:t xml:space="preserve"> ingezetene die aldaar zijn arbeid verrichtte</w:t>
      </w:r>
      <w:r>
        <w:t>,</w:t>
      </w:r>
      <w:r w:rsidRPr="00347436">
        <w:t xml:space="preserve"> </w:t>
      </w:r>
      <w:r w:rsidRPr="00292A58">
        <w:t>werd hij op basis van zijn residentie uitgesloten van enkele fiscale faciliteiten. Het HvJ EG oordeelde dat ingezetene</w:t>
      </w:r>
      <w:r w:rsidR="004F5D0C" w:rsidRPr="00292A58">
        <w:t>n</w:t>
      </w:r>
      <w:r w:rsidRPr="00292A58">
        <w:t xml:space="preserve"> en niet-ingezetene</w:t>
      </w:r>
      <w:r w:rsidR="004F5D0C" w:rsidRPr="00292A58">
        <w:t>n zich</w:t>
      </w:r>
      <w:r w:rsidRPr="00292A58">
        <w:t xml:space="preserve"> voor de heffing van de directe belasting </w:t>
      </w:r>
      <w:r w:rsidR="004F5D0C" w:rsidRPr="00292A58">
        <w:t xml:space="preserve">doorgaans </w:t>
      </w:r>
      <w:r w:rsidRPr="00292A58">
        <w:t>niet in een vergelijkbare positie bevinden.</w:t>
      </w:r>
      <w:r w:rsidR="00C24922" w:rsidRPr="00292A58">
        <w:rPr>
          <w:rStyle w:val="Voetnootmarkering"/>
        </w:rPr>
        <w:footnoteReference w:id="164"/>
      </w:r>
      <w:r w:rsidRPr="00347436">
        <w:t xml:space="preserve"> Echter</w:t>
      </w:r>
      <w:r>
        <w:t xml:space="preserve">, </w:t>
      </w:r>
    </w:p>
    <w:p w:rsidR="00652D1F" w:rsidRDefault="00652D1F" w:rsidP="00AC0BC5">
      <w:pPr>
        <w:spacing w:line="360" w:lineRule="auto"/>
      </w:pPr>
    </w:p>
    <w:p w:rsidR="00652D1F" w:rsidRDefault="00652D1F" w:rsidP="00AC0BC5">
      <w:pPr>
        <w:spacing w:line="360" w:lineRule="auto"/>
        <w:rPr>
          <w:rFonts w:eastAsia="Times New Roman"/>
          <w:lang w:eastAsia="en-US"/>
        </w:rPr>
      </w:pPr>
      <w:r w:rsidRPr="00347436">
        <w:t xml:space="preserve"> “</w:t>
      </w:r>
      <w:r w:rsidRPr="00837602">
        <w:rPr>
          <w:rFonts w:eastAsia="Times New Roman"/>
          <w:i/>
          <w:iCs/>
          <w:lang w:eastAsia="en-US"/>
        </w:rPr>
        <w:t>in een geval als het onderhavige, waarin de niet-ingezetene geen inkomsten van betekenis geniet in de woonstaat en het grootste deel van zijn belastbaar inkomen verwerft door de arbeid verricht in een andere staat, met als gevolg dat de woonstaat hem niet de voordelen kan toekennen die voortvloeien uit de inaanmerkingneming van zijn persoonlijke en gezinssituatie. (...) Tussen de situatie van een dergelijke niet-ingezetene en die van een in een soortgelijke functie werkzame ingezetene bestaat geen objectief verschil dat grond kan opleveren voor een verschillende behandeling</w:t>
      </w:r>
      <w:r w:rsidRPr="00347436">
        <w:rPr>
          <w:rFonts w:eastAsia="Times New Roman"/>
          <w:lang w:eastAsia="en-US"/>
        </w:rPr>
        <w:t>”</w:t>
      </w:r>
      <w:r>
        <w:rPr>
          <w:rFonts w:eastAsia="Times New Roman"/>
          <w:lang w:eastAsia="en-US"/>
        </w:rPr>
        <w:t>.</w:t>
      </w:r>
      <w:r w:rsidRPr="00347436">
        <w:rPr>
          <w:rStyle w:val="Voetnootmarkering"/>
          <w:rFonts w:eastAsia="Times New Roman"/>
          <w:lang w:eastAsia="en-US"/>
        </w:rPr>
        <w:footnoteReference w:id="165"/>
      </w:r>
      <w:r w:rsidRPr="00347436">
        <w:rPr>
          <w:rFonts w:eastAsia="Times New Roman"/>
          <w:lang w:eastAsia="en-US"/>
        </w:rPr>
        <w:t xml:space="preserve"> </w:t>
      </w:r>
    </w:p>
    <w:p w:rsidR="00652D1F" w:rsidRDefault="00652D1F" w:rsidP="00AC0BC5">
      <w:pPr>
        <w:spacing w:line="360" w:lineRule="auto"/>
        <w:rPr>
          <w:rFonts w:eastAsia="Times New Roman"/>
          <w:lang w:eastAsia="en-US"/>
        </w:rPr>
      </w:pPr>
    </w:p>
    <w:p w:rsidR="00652D1F" w:rsidRPr="00145149" w:rsidRDefault="00652D1F" w:rsidP="0036647E">
      <w:pPr>
        <w:spacing w:line="360" w:lineRule="auto"/>
      </w:pPr>
      <w:r w:rsidRPr="00347436">
        <w:rPr>
          <w:rFonts w:eastAsia="Times New Roman"/>
          <w:lang w:eastAsia="en-US"/>
        </w:rPr>
        <w:t xml:space="preserve"> Het is dus belangrijk om vast te stellen of de belastingplichtige</w:t>
      </w:r>
      <w:r>
        <w:rPr>
          <w:rFonts w:eastAsia="Times New Roman"/>
          <w:lang w:eastAsia="en-US"/>
        </w:rPr>
        <w:t>n</w:t>
      </w:r>
      <w:r w:rsidRPr="00347436">
        <w:rPr>
          <w:rFonts w:eastAsia="Times New Roman"/>
          <w:lang w:eastAsia="en-US"/>
        </w:rPr>
        <w:t xml:space="preserve"> zich in het kader dan wel </w:t>
      </w:r>
      <w:r>
        <w:rPr>
          <w:rFonts w:eastAsia="Times New Roman"/>
          <w:lang w:eastAsia="en-US"/>
        </w:rPr>
        <w:t>de doelstelling van een</w:t>
      </w:r>
      <w:r w:rsidRPr="00347436">
        <w:rPr>
          <w:rFonts w:eastAsia="Times New Roman"/>
          <w:lang w:eastAsia="en-US"/>
        </w:rPr>
        <w:t xml:space="preserve"> regeling in een verg</w:t>
      </w:r>
      <w:r>
        <w:rPr>
          <w:rFonts w:eastAsia="Times New Roman"/>
          <w:lang w:eastAsia="en-US"/>
        </w:rPr>
        <w:t>elijkbare positie bevinden, alvorens men kan vast stellen of</w:t>
      </w:r>
      <w:r w:rsidRPr="00347436">
        <w:rPr>
          <w:rFonts w:eastAsia="Times New Roman"/>
          <w:lang w:eastAsia="en-US"/>
        </w:rPr>
        <w:t xml:space="preserve"> </w:t>
      </w:r>
      <w:r>
        <w:rPr>
          <w:rFonts w:eastAsia="Times New Roman"/>
          <w:lang w:eastAsia="en-US"/>
        </w:rPr>
        <w:t xml:space="preserve">er </w:t>
      </w:r>
      <w:r w:rsidRPr="00347436">
        <w:rPr>
          <w:rFonts w:eastAsia="Times New Roman"/>
          <w:lang w:eastAsia="en-US"/>
        </w:rPr>
        <w:t>sprake is van discriminatie</w:t>
      </w:r>
      <w:r>
        <w:rPr>
          <w:rFonts w:eastAsia="Times New Roman"/>
          <w:lang w:eastAsia="en-US"/>
        </w:rPr>
        <w:t>.</w:t>
      </w:r>
    </w:p>
    <w:p w:rsidR="00652D1F" w:rsidRDefault="00652D1F" w:rsidP="00AC0BC5">
      <w:pPr>
        <w:spacing w:line="360" w:lineRule="auto"/>
        <w:rPr>
          <w:rFonts w:eastAsia="Times New Roman"/>
          <w:lang w:eastAsia="en-US"/>
        </w:rPr>
      </w:pPr>
    </w:p>
    <w:p w:rsidR="00652D1F" w:rsidRPr="00347436" w:rsidRDefault="00652D1F" w:rsidP="00792C1A">
      <w:pPr>
        <w:spacing w:line="360" w:lineRule="auto"/>
        <w:rPr>
          <w:rFonts w:eastAsia="Times New Roman"/>
          <w:lang w:eastAsia="en-US"/>
        </w:rPr>
      </w:pPr>
      <w:r w:rsidRPr="00292A58">
        <w:rPr>
          <w:rFonts w:eastAsia="Times New Roman"/>
          <w:lang w:eastAsia="en-US"/>
        </w:rPr>
        <w:t xml:space="preserve">Uit X Holding BV komt </w:t>
      </w:r>
      <w:r w:rsidR="004F5D0C" w:rsidRPr="00292A58">
        <w:rPr>
          <w:rFonts w:eastAsia="Times New Roman"/>
          <w:lang w:eastAsia="en-US"/>
        </w:rPr>
        <w:t xml:space="preserve">namelijk </w:t>
      </w:r>
      <w:r w:rsidRPr="00292A58">
        <w:rPr>
          <w:rFonts w:eastAsia="Times New Roman"/>
          <w:lang w:eastAsia="en-US"/>
        </w:rPr>
        <w:t xml:space="preserve">naar voren dat de vergelijkbaarheid van </w:t>
      </w:r>
      <w:r w:rsidR="000870ED" w:rsidRPr="00292A58">
        <w:rPr>
          <w:rFonts w:eastAsia="Times New Roman"/>
          <w:lang w:eastAsia="en-US"/>
        </w:rPr>
        <w:t xml:space="preserve">beide situaties </w:t>
      </w:r>
      <w:r w:rsidR="000870ED" w:rsidRPr="00292A58">
        <w:rPr>
          <w:rFonts w:eastAsia="Times New Roman"/>
          <w:i/>
          <w:lang w:eastAsia="en-US"/>
        </w:rPr>
        <w:t xml:space="preserve">“moet worden onderzocht op basis van het </w:t>
      </w:r>
      <w:r w:rsidRPr="00292A58">
        <w:rPr>
          <w:i/>
          <w:iCs/>
        </w:rPr>
        <w:t>door de betrokken nationale bepalingen nagestreefde doel</w:t>
      </w:r>
      <w:r w:rsidRPr="00292A58">
        <w:t>”.</w:t>
      </w:r>
      <w:r w:rsidRPr="00292A58">
        <w:rPr>
          <w:rStyle w:val="Voetnootmarkering"/>
        </w:rPr>
        <w:footnoteReference w:id="166"/>
      </w:r>
      <w:r>
        <w:t xml:space="preserve"> Mijns inziens zijn beide situaties in beginsel met elkaar vergelijkbaar, beide zijn namelijk volledig onderworpen aan de Nederlandse belastingheffing.</w:t>
      </w:r>
      <w:r>
        <w:rPr>
          <w:rStyle w:val="Voetnootmarkering"/>
        </w:rPr>
        <w:footnoteReference w:id="167"/>
      </w:r>
      <w:r>
        <w:t xml:space="preserve"> Het feit deze grensoverschrijdend plaatsvinden</w:t>
      </w:r>
      <w:r>
        <w:rPr>
          <w:rStyle w:val="Voetnootmarkering"/>
        </w:rPr>
        <w:footnoteReference w:id="168"/>
      </w:r>
      <w:r>
        <w:t>, noch het feit dat er van een belastingtarief kan worden geprofiteerd mag hier in beginsel aan af doen, aangezien dit niet gelijkgeschakeld mag worden met de aanwezigheid van misbruik.</w:t>
      </w:r>
      <w:r>
        <w:rPr>
          <w:rStyle w:val="Voetnootmarkering"/>
        </w:rPr>
        <w:footnoteReference w:id="169"/>
      </w:r>
    </w:p>
    <w:p w:rsidR="00652D1F" w:rsidRPr="00347436" w:rsidRDefault="00652D1F" w:rsidP="00AC0BC5">
      <w:pPr>
        <w:spacing w:line="360" w:lineRule="auto"/>
      </w:pPr>
    </w:p>
    <w:p w:rsidR="00652D1F" w:rsidRPr="00347436" w:rsidRDefault="00652D1F" w:rsidP="00792C1A">
      <w:pPr>
        <w:spacing w:line="360" w:lineRule="auto"/>
      </w:pPr>
      <w:r>
        <w:t xml:space="preserve">In dit kader moet er mijns inziens </w:t>
      </w:r>
      <w:r w:rsidRPr="00347436">
        <w:t>bij de bepaling van de aanwezigheid van een discriminatie</w:t>
      </w:r>
      <w:r>
        <w:t>,</w:t>
      </w:r>
      <w:r w:rsidRPr="00347436">
        <w:t xml:space="preserve"> in het geval van artikel 10a</w:t>
      </w:r>
      <w:r>
        <w:t>,</w:t>
      </w:r>
      <w:r w:rsidRPr="00347436">
        <w:t xml:space="preserve"> </w:t>
      </w:r>
      <w:r>
        <w:t xml:space="preserve">ook </w:t>
      </w:r>
      <w:r w:rsidRPr="00347436">
        <w:t xml:space="preserve">worden gekeken of vennootschappen met verscheidene </w:t>
      </w:r>
      <w:r>
        <w:t>‘</w:t>
      </w:r>
      <w:r w:rsidRPr="00347436">
        <w:t>nationaliteiten</w:t>
      </w:r>
      <w:r>
        <w:t>’</w:t>
      </w:r>
      <w:r w:rsidRPr="00347436">
        <w:t xml:space="preserve"> ten gevolge van deze</w:t>
      </w:r>
      <w:r>
        <w:t>lfde redenen worden uitgesloten. E</w:t>
      </w:r>
      <w:r w:rsidRPr="00347436">
        <w:t xml:space="preserve">r dient rekening te worden gehouden met de vraag of beide </w:t>
      </w:r>
      <w:r>
        <w:t>gronden</w:t>
      </w:r>
      <w:r w:rsidRPr="00347436">
        <w:t xml:space="preserve"> wel </w:t>
      </w:r>
      <w:r>
        <w:t xml:space="preserve">met elkaar </w:t>
      </w:r>
      <w:r w:rsidRPr="00347436">
        <w:t>vergelijkbaar zijn</w:t>
      </w:r>
      <w:r>
        <w:t>, dit ziet men ook bij de toetsing in het arrest Schempp.</w:t>
      </w:r>
      <w:r>
        <w:rPr>
          <w:rStyle w:val="Voetnootmarkering"/>
        </w:rPr>
        <w:footnoteReference w:id="170"/>
      </w:r>
      <w:r w:rsidRPr="00347436">
        <w:t xml:space="preserve"> </w:t>
      </w:r>
      <w:r>
        <w:t xml:space="preserve">In het arrest Schempp gaf het HvJ EG namelijk aan dat alimentatiebetalingen welke niet bij de ontvangende partij worden belast niet vergelijkbaar zijn met alimentatiebetalingen welke wel bij de ontvangende partij worden onderworpen aan belastingheffing, zelfs wanneer deze heffing niet wordt geëffectueerd. Wel dient hierbij aangetekend te worden dat, zoals blijkt uit Eurowings, het niveau van onderworpenheid geen objectief verschil betreft. </w:t>
      </w:r>
      <w:r w:rsidRPr="00347436">
        <w:t>Niet voldoen aan de compenserende heffingstoets ten gevolge van de aanwezigheid van compensabele verliezen doet zich zowel in interne en grensoverschrijdende gevallen voor. Dit betekent</w:t>
      </w:r>
      <w:r>
        <w:t>, met het oog op het voorgaande,</w:t>
      </w:r>
      <w:r w:rsidRPr="00347436">
        <w:t xml:space="preserve"> echter niet dat artikel 10a niet discrimineert omdat het zowel in interne als in</w:t>
      </w:r>
      <w:r>
        <w:t xml:space="preserve"> grensoverschrijdende situaties</w:t>
      </w:r>
      <w:r w:rsidRPr="00347436">
        <w:t xml:space="preserve"> effect kan hebben. In het geval dat er geen compensabele verliezen aanwezig zijn zal </w:t>
      </w:r>
      <w:r>
        <w:t>een</w:t>
      </w:r>
      <w:r w:rsidRPr="00347436">
        <w:t xml:space="preserve"> Nederlandse </w:t>
      </w:r>
      <w:r>
        <w:t xml:space="preserve">belastbare </w:t>
      </w:r>
      <w:r w:rsidRPr="00347436">
        <w:t>vennootschap niet worden uitgesloten</w:t>
      </w:r>
      <w:r>
        <w:t>,</w:t>
      </w:r>
      <w:r w:rsidRPr="00347436">
        <w:t xml:space="preserve"> terwijl de buitenlandse vennootschap wel dit risico loopt. Als de rentebetalingen plaatsvinden ten gunste van een Nederlands onbelast lichaam</w:t>
      </w:r>
      <w:r>
        <w:t>,</w:t>
      </w:r>
      <w:r w:rsidRPr="00347436">
        <w:t xml:space="preserve"> zoals gebeurd</w:t>
      </w:r>
      <w:r>
        <w:t>e</w:t>
      </w:r>
      <w:r w:rsidRPr="00347436">
        <w:t xml:space="preserve"> in BNB 2005/51</w:t>
      </w:r>
      <w:r>
        <w:t>,</w:t>
      </w:r>
      <w:r w:rsidRPr="00347436">
        <w:t xml:space="preserve"> is dit niet vergelijkbaar met de situatie dat deze plaatsvinden ten gunste van een belast lichaam welke is gevestigd in een belastingjurisdictie waar het tarief </w:t>
      </w:r>
      <w:r>
        <w:t xml:space="preserve">van de winstbelasting </w:t>
      </w:r>
      <w:r w:rsidRPr="00347436">
        <w:t>niet aan het minimale tarief van de compenserende heffingstoets voldoet. In beide gevallen zijn zij onvoldoende belast</w:t>
      </w:r>
      <w:r>
        <w:t>,</w:t>
      </w:r>
      <w:r w:rsidRPr="00347436">
        <w:t xml:space="preserve"> echter in beide gevallen is dit het resultaat van totaal vers</w:t>
      </w:r>
      <w:r>
        <w:t>chillende</w:t>
      </w:r>
      <w:r w:rsidRPr="00347436">
        <w:t xml:space="preserve"> redenen.</w:t>
      </w:r>
    </w:p>
    <w:p w:rsidR="00652D1F" w:rsidRDefault="00652D1F" w:rsidP="00AC0BC5">
      <w:pPr>
        <w:spacing w:line="360" w:lineRule="auto"/>
      </w:pPr>
    </w:p>
    <w:p w:rsidR="00652D1F" w:rsidRDefault="00652D1F" w:rsidP="00AC0BC5">
      <w:pPr>
        <w:spacing w:line="360" w:lineRule="auto"/>
      </w:pPr>
    </w:p>
    <w:p w:rsidR="00652D1F" w:rsidRPr="005E38FB" w:rsidRDefault="00652D1F" w:rsidP="00AC0BC5">
      <w:pPr>
        <w:spacing w:line="360" w:lineRule="auto"/>
        <w:rPr>
          <w:b/>
          <w:bCs/>
          <w:u w:val="single"/>
        </w:rPr>
      </w:pPr>
      <w:r>
        <w:rPr>
          <w:b/>
          <w:u w:val="single"/>
        </w:rPr>
        <w:t>4.1</w:t>
      </w:r>
      <w:r w:rsidRPr="005E38FB">
        <w:rPr>
          <w:b/>
          <w:u w:val="single"/>
        </w:rPr>
        <w:t xml:space="preserve">.2 </w:t>
      </w:r>
      <w:r w:rsidRPr="005E38FB">
        <w:rPr>
          <w:b/>
          <w:bCs/>
          <w:u w:val="single"/>
        </w:rPr>
        <w:t>Indirecte discriminatie</w:t>
      </w:r>
    </w:p>
    <w:p w:rsidR="00652D1F" w:rsidRPr="00347436" w:rsidRDefault="00652D1F" w:rsidP="00AC0BC5">
      <w:pPr>
        <w:spacing w:line="360" w:lineRule="auto"/>
        <w:rPr>
          <w:b/>
          <w:bCs/>
          <w:u w:val="single"/>
        </w:rPr>
      </w:pPr>
    </w:p>
    <w:p w:rsidR="00652D1F" w:rsidRPr="00347436" w:rsidRDefault="00652D1F" w:rsidP="00AC0BC5">
      <w:pPr>
        <w:spacing w:line="360" w:lineRule="auto"/>
      </w:pPr>
      <w:r w:rsidRPr="00347436">
        <w:t xml:space="preserve">Bij een indirecte discriminatie is er sprake van een belemmering zonder een expliciete verwijzing naar nationaliteit dan wel woonplaats, die echter materieel hetzelfde </w:t>
      </w:r>
      <w:r>
        <w:t>effect heeft</w:t>
      </w:r>
      <w:r w:rsidRPr="00347436">
        <w:t>.</w:t>
      </w:r>
    </w:p>
    <w:p w:rsidR="00652D1F" w:rsidRPr="00347436" w:rsidRDefault="00652D1F" w:rsidP="00AC0BC5">
      <w:pPr>
        <w:spacing w:line="360" w:lineRule="auto"/>
      </w:pPr>
      <w:r>
        <w:t>Voorbeelden</w:t>
      </w:r>
      <w:r w:rsidRPr="00347436">
        <w:t xml:space="preserve"> hiervan </w:t>
      </w:r>
      <w:r w:rsidRPr="00292A58">
        <w:t>zijn onder andere te vinden in de arresten Sea Fisheries Orders II en Baxter.</w:t>
      </w:r>
      <w:r w:rsidRPr="00292A58">
        <w:rPr>
          <w:rStyle w:val="Voetnootmarkering"/>
        </w:rPr>
        <w:footnoteReference w:id="171"/>
      </w:r>
      <w:r w:rsidRPr="00292A58">
        <w:t xml:space="preserve"> In het arrest Sea Fisheries Orders II ging</w:t>
      </w:r>
      <w:r w:rsidRPr="00347436">
        <w:t xml:space="preserve"> het om een maatregel die Ierland trof in het kader van het conserveren en rationeel exploiteren van haar visgronden. Ingevolge deze regeling werden boten die langer waren dan 33 meter en een motor </w:t>
      </w:r>
      <w:r>
        <w:t xml:space="preserve">hadden </w:t>
      </w:r>
      <w:r w:rsidRPr="00347436">
        <w:t>die krachtiger was dan 1100 paardenkrachten uitgesloten van het vissen in de exclusieve Ierse visgronden</w:t>
      </w:r>
      <w:r>
        <w:t>.</w:t>
      </w:r>
      <w:r w:rsidRPr="00347436">
        <w:rPr>
          <w:rStyle w:val="Voetnootmarkering"/>
        </w:rPr>
        <w:footnoteReference w:id="172"/>
      </w:r>
      <w:r w:rsidRPr="00347436">
        <w:t xml:space="preserve"> Ho</w:t>
      </w:r>
      <w:r>
        <w:t>ewel deze regeling in principe</w:t>
      </w:r>
      <w:r w:rsidRPr="00347436">
        <w:t xml:space="preserve"> zowel </w:t>
      </w:r>
      <w:r>
        <w:t xml:space="preserve">voor </w:t>
      </w:r>
      <w:r w:rsidRPr="00347436">
        <w:t xml:space="preserve">Ierse vissers als voor vissers van andere lidstaten gold, achtte het </w:t>
      </w:r>
      <w:r>
        <w:t>HvJ EG</w:t>
      </w:r>
      <w:r w:rsidRPr="00347436">
        <w:t xml:space="preserve"> toch een discriminerende belemmering aanwezig. De Ierse maatregel had namelijk de volgende twee effecten. Allereerst werd de Ierse vissersvloot nagenoeg niet getroffen </w:t>
      </w:r>
      <w:r>
        <w:t xml:space="preserve">door deze regeling, </w:t>
      </w:r>
      <w:r w:rsidRPr="00347436">
        <w:t xml:space="preserve">aangezien er </w:t>
      </w:r>
      <w:r>
        <w:t>vrijwel</w:t>
      </w:r>
      <w:r w:rsidRPr="00347436">
        <w:t xml:space="preserve"> geen boten waren in de Ierse vloot die niet aan deze voorwaarden voldeden</w:t>
      </w:r>
      <w:r>
        <w:t>.</w:t>
      </w:r>
      <w:r w:rsidRPr="00347436">
        <w:rPr>
          <w:rStyle w:val="Voetnootmarkering"/>
        </w:rPr>
        <w:footnoteReference w:id="173"/>
      </w:r>
      <w:r w:rsidRPr="00347436">
        <w:t xml:space="preserve"> Tegelijkertijd werden </w:t>
      </w:r>
      <w:r>
        <w:t>zowel de Nederlandse als de</w:t>
      </w:r>
      <w:r w:rsidRPr="00347436">
        <w:t xml:space="preserve"> Franse vissersvloot nagenoeg geheel uitgesloten van toegang tot de Ierse visgronden, aangezien hun vissersvloot </w:t>
      </w:r>
      <w:r>
        <w:t>vrijwel</w:t>
      </w:r>
      <w:r w:rsidRPr="00347436">
        <w:t xml:space="preserve"> geheel </w:t>
      </w:r>
      <w:r>
        <w:t xml:space="preserve">niet </w:t>
      </w:r>
      <w:r w:rsidRPr="00347436">
        <w:t>aan deze eisen voldeed</w:t>
      </w:r>
      <w:r>
        <w:t>.</w:t>
      </w:r>
      <w:r w:rsidRPr="00347436">
        <w:rPr>
          <w:rStyle w:val="Voetnootmarkering"/>
        </w:rPr>
        <w:footnoteReference w:id="174"/>
      </w:r>
      <w:r>
        <w:t xml:space="preserve"> Derhalve oordeelde het HvJ EG</w:t>
      </w:r>
      <w:r w:rsidRPr="00347436">
        <w:t xml:space="preserve"> dat, hoewel er geen sprake was van directe discriminatie, er gezien het resultaat materieel wel sprake was van </w:t>
      </w:r>
      <w:r>
        <w:t xml:space="preserve">een </w:t>
      </w:r>
      <w:r w:rsidRPr="00347436">
        <w:t>discrimin</w:t>
      </w:r>
      <w:r>
        <w:t>erende werking</w:t>
      </w:r>
      <w:r w:rsidRPr="00347436">
        <w:t xml:space="preserve"> hetgeen in strijd is met </w:t>
      </w:r>
      <w:r>
        <w:t>de EU verdragsvrijheden.</w:t>
      </w:r>
      <w:r w:rsidRPr="00347436">
        <w:rPr>
          <w:rStyle w:val="Voetnootmarkering"/>
        </w:rPr>
        <w:footnoteReference w:id="175"/>
      </w:r>
      <w:r w:rsidRPr="00347436">
        <w:t xml:space="preserve"> Belangrijk </w:t>
      </w:r>
      <w:r>
        <w:t xml:space="preserve">in deze is </w:t>
      </w:r>
      <w:r w:rsidRPr="00347436">
        <w:t xml:space="preserve">om op te merken dat de Britse vloot nagenoeg geheel buiten schot bleef, hieruit blijkt dat het voor het aanwezig zijn van een discriminatie niet </w:t>
      </w:r>
      <w:r>
        <w:t>is vereist</w:t>
      </w:r>
      <w:r w:rsidRPr="00347436">
        <w:t xml:space="preserve"> dat alle andere lidstaten </w:t>
      </w:r>
      <w:r>
        <w:t xml:space="preserve">mede </w:t>
      </w:r>
      <w:r w:rsidRPr="00347436">
        <w:t>worden benadeeld door de maatregel.</w:t>
      </w:r>
    </w:p>
    <w:p w:rsidR="00652D1F" w:rsidRPr="00347436" w:rsidRDefault="00652D1F" w:rsidP="00AC0BC5">
      <w:pPr>
        <w:spacing w:line="360" w:lineRule="auto"/>
      </w:pPr>
    </w:p>
    <w:p w:rsidR="00652D1F" w:rsidRPr="00347436" w:rsidRDefault="00652D1F" w:rsidP="00EE2C45">
      <w:pPr>
        <w:spacing w:line="360" w:lineRule="auto"/>
      </w:pPr>
      <w:r w:rsidRPr="00292A58">
        <w:t>Het arrest Baxter</w:t>
      </w:r>
      <w:r w:rsidRPr="00347436">
        <w:t xml:space="preserve"> draait om een soortgelijke discriminatie. De Franse belastingwetgeving bevatte een bijzondere heffing</w:t>
      </w:r>
      <w:r>
        <w:t>,</w:t>
      </w:r>
      <w:r w:rsidRPr="00347436">
        <w:t xml:space="preserve"> waarbij de Franse omzet exclusief belasti</w:t>
      </w:r>
      <w:r>
        <w:t>ng als heffingsgrondslag diende.</w:t>
      </w:r>
      <w:r w:rsidRPr="00347436">
        <w:t xml:space="preserve"> </w:t>
      </w:r>
      <w:r>
        <w:t xml:space="preserve">De door een belanghebbende gemaakte </w:t>
      </w:r>
      <w:r w:rsidRPr="00347436">
        <w:t xml:space="preserve">onderzoeksuitgaven mochten </w:t>
      </w:r>
      <w:r>
        <w:t xml:space="preserve">echter </w:t>
      </w:r>
      <w:r w:rsidRPr="00347436">
        <w:t xml:space="preserve">op de heffing in aftrek worden gebracht. De voorwaarde die aan deze aftrek werd gesteld, was dat de onderzoeksactiviteiten met betrekking tot welke de uitgaven waren gedaan in Frankrijk </w:t>
      </w:r>
      <w:r>
        <w:t>hadden</w:t>
      </w:r>
      <w:r w:rsidRPr="00347436">
        <w:t xml:space="preserve"> </w:t>
      </w:r>
      <w:r>
        <w:t>plaats</w:t>
      </w:r>
      <w:r w:rsidRPr="00347436">
        <w:t>gevonden</w:t>
      </w:r>
      <w:r>
        <w:t>.</w:t>
      </w:r>
      <w:r w:rsidRPr="00347436">
        <w:rPr>
          <w:rStyle w:val="Voetnootmarkering"/>
        </w:rPr>
        <w:footnoteReference w:id="176"/>
      </w:r>
      <w:r w:rsidRPr="00347436">
        <w:t xml:space="preserve"> Het </w:t>
      </w:r>
      <w:r>
        <w:t>HvJ EG</w:t>
      </w:r>
      <w:r w:rsidRPr="00347436">
        <w:t xml:space="preserve"> oordeelde dat deze regeling ondernemingen met de hoofdzetel in Frankrijk zelf bevoordeelde aangezien deze</w:t>
      </w:r>
      <w:r>
        <w:t>,</w:t>
      </w:r>
      <w:r w:rsidRPr="00347436">
        <w:t xml:space="preserve"> meer dan ondernemingen met enkel een filiaal in Frankrijk, geneigd zouden zijn hun onderzoeksactiviteiten in Frankrijk te laten plaatsvinden</w:t>
      </w:r>
      <w:r>
        <w:t>.</w:t>
      </w:r>
      <w:r w:rsidRPr="00347436">
        <w:rPr>
          <w:rStyle w:val="Voetnootmarkering"/>
        </w:rPr>
        <w:footnoteReference w:id="177"/>
      </w:r>
      <w:r w:rsidRPr="00347436">
        <w:t xml:space="preserve"> Uit deze twee voorbeelden kan men aldus opmaken dat een indirecte discriminatie op basis van n</w:t>
      </w:r>
      <w:r>
        <w:t>ationaliteit dan wel woonplaats</w:t>
      </w:r>
      <w:r w:rsidRPr="00347436">
        <w:t xml:space="preserve"> betekent</w:t>
      </w:r>
      <w:r>
        <w:t>,</w:t>
      </w:r>
      <w:r w:rsidRPr="00347436">
        <w:t xml:space="preserve"> </w:t>
      </w:r>
      <w:r>
        <w:t>dat</w:t>
      </w:r>
      <w:r w:rsidRPr="00347436">
        <w:t xml:space="preserve"> een voorwaarde </w:t>
      </w:r>
      <w:r>
        <w:t xml:space="preserve">wordt gesteld </w:t>
      </w:r>
      <w:r w:rsidRPr="00347436">
        <w:t xml:space="preserve">waaraan een inwoner dan wel burger van de desbetreffende lidstaat </w:t>
      </w:r>
      <w:r>
        <w:t>sneller</w:t>
      </w:r>
      <w:r w:rsidRPr="00347436">
        <w:t xml:space="preserve"> zal voldoen terwijl het voor de inwoner dan wel burger van een</w:t>
      </w:r>
      <w:r>
        <w:t xml:space="preserve"> </w:t>
      </w:r>
      <w:r w:rsidRPr="00347436">
        <w:t xml:space="preserve">andere lidstaat </w:t>
      </w:r>
      <w:r>
        <w:t>bezwarend</w:t>
      </w:r>
      <w:r w:rsidRPr="00347436">
        <w:t xml:space="preserve"> is </w:t>
      </w:r>
      <w:r>
        <w:t xml:space="preserve">om </w:t>
      </w:r>
      <w:r w:rsidRPr="00347436">
        <w:t>hieraan te voldoen</w:t>
      </w:r>
      <w:r>
        <w:t>.</w:t>
      </w:r>
      <w:r w:rsidRPr="00347436">
        <w:rPr>
          <w:rStyle w:val="Voetnootmarkering"/>
        </w:rPr>
        <w:footnoteReference w:id="178"/>
      </w:r>
      <w:r w:rsidRPr="00347436">
        <w:t xml:space="preserve"> Men sluit dus niet aan bij de nationaliteit dan wel vestigingsplaats</w:t>
      </w:r>
      <w:r>
        <w:t>,</w:t>
      </w:r>
      <w:r w:rsidRPr="00347436">
        <w:t xml:space="preserve"> ec</w:t>
      </w:r>
      <w:r>
        <w:t>hter bij een kenmerk dat hier</w:t>
      </w:r>
      <w:r w:rsidRPr="00347436">
        <w:t xml:space="preserve"> </w:t>
      </w:r>
      <w:r>
        <w:t>nauw mee in verband staat.</w:t>
      </w:r>
    </w:p>
    <w:p w:rsidR="00652D1F" w:rsidRDefault="00652D1F" w:rsidP="00AC0BC5">
      <w:pPr>
        <w:spacing w:line="360" w:lineRule="auto"/>
        <w:rPr>
          <w:b/>
          <w:bCs/>
          <w:u w:val="single"/>
        </w:rPr>
      </w:pPr>
    </w:p>
    <w:p w:rsidR="00652D1F" w:rsidRDefault="00652D1F" w:rsidP="00AC0BC5">
      <w:pPr>
        <w:spacing w:line="360" w:lineRule="auto"/>
        <w:rPr>
          <w:b/>
          <w:bCs/>
          <w:u w:val="single"/>
        </w:rPr>
      </w:pPr>
    </w:p>
    <w:p w:rsidR="00652D1F" w:rsidRPr="00347436" w:rsidRDefault="00652D1F" w:rsidP="00AC0BC5">
      <w:pPr>
        <w:spacing w:line="360" w:lineRule="auto"/>
        <w:rPr>
          <w:b/>
          <w:bCs/>
          <w:u w:val="single"/>
        </w:rPr>
      </w:pPr>
      <w:r>
        <w:rPr>
          <w:b/>
          <w:bCs/>
          <w:u w:val="single"/>
        </w:rPr>
        <w:t xml:space="preserve">4.1.3 </w:t>
      </w:r>
      <w:r w:rsidRPr="00347436">
        <w:rPr>
          <w:b/>
          <w:bCs/>
          <w:u w:val="single"/>
        </w:rPr>
        <w:t>Non-discriminerende maatregelen die het vrije verkeer belemmeren</w:t>
      </w:r>
    </w:p>
    <w:p w:rsidR="00652D1F" w:rsidRPr="00347436" w:rsidRDefault="00652D1F" w:rsidP="00AC0BC5">
      <w:pPr>
        <w:spacing w:line="360" w:lineRule="auto"/>
      </w:pPr>
    </w:p>
    <w:p w:rsidR="00652D1F" w:rsidRDefault="00652D1F" w:rsidP="00AC0BC5">
      <w:pPr>
        <w:spacing w:line="360" w:lineRule="auto"/>
      </w:pPr>
      <w:r>
        <w:t>Non-</w:t>
      </w:r>
      <w:r w:rsidRPr="00347436">
        <w:t xml:space="preserve">discriminerende maatregelen die het vrije verkeer belemmeren, zijn maatregelen die direct noch indirect onderscheid </w:t>
      </w:r>
      <w:r w:rsidRPr="00292A58">
        <w:t>naar nationaliteit dan wel woonplaats maken, echter wel de intracommunautaire grensoverschrijdende activiteiten belemmeren.</w:t>
      </w:r>
      <w:r w:rsidRPr="00292A58">
        <w:rPr>
          <w:rStyle w:val="Voetnootmarkering"/>
        </w:rPr>
        <w:footnoteReference w:id="179"/>
      </w:r>
      <w:r w:rsidRPr="00292A58">
        <w:t xml:space="preserve"> Een voorbeeld hiervan vindt men in het arrest Alpine Investments.</w:t>
      </w:r>
      <w:r w:rsidRPr="00292A58">
        <w:rPr>
          <w:rStyle w:val="Voetnootmarkering"/>
        </w:rPr>
        <w:footnoteReference w:id="180"/>
      </w:r>
      <w:r w:rsidRPr="00292A58">
        <w:t xml:space="preserve"> Alpine Investments was een Nederlandse vennootschap die zich bezigde met de goederentermijnhandel. Onderdeel hiervan was het contacteren van eventuele investeerders zonder dat deze hiervoor toestemming hadden gegeven. Ten gevolge van klachten met betrekking tot deze zogenoemde ‘cold calls’ vaardigde</w:t>
      </w:r>
      <w:r w:rsidRPr="00347436">
        <w:t xml:space="preserve"> de minister van Financiën bij ministerieel besluit een verbod op dergelijke contacteringen uit</w:t>
      </w:r>
      <w:r>
        <w:t>,</w:t>
      </w:r>
      <w:r w:rsidRPr="00347436">
        <w:t xml:space="preserve"> </w:t>
      </w:r>
      <w:r>
        <w:t xml:space="preserve">welk </w:t>
      </w:r>
      <w:r w:rsidRPr="00347436">
        <w:t xml:space="preserve">zowel </w:t>
      </w:r>
      <w:r>
        <w:t xml:space="preserve">werking had </w:t>
      </w:r>
      <w:r w:rsidRPr="00347436">
        <w:t xml:space="preserve">in binnenlandse als </w:t>
      </w:r>
      <w:r>
        <w:t xml:space="preserve">in </w:t>
      </w:r>
      <w:r w:rsidRPr="00347436">
        <w:t xml:space="preserve">intracommunautaire verhoudingen. Hoewel deze maatregel geenszins discrimineerde achtte het </w:t>
      </w:r>
      <w:r>
        <w:t>HvJ EG</w:t>
      </w:r>
      <w:r w:rsidRPr="00347436">
        <w:t xml:space="preserve"> wel een belemmering aanwezig</w:t>
      </w:r>
      <w:r>
        <w:t>,</w:t>
      </w:r>
      <w:r w:rsidRPr="00347436">
        <w:t xml:space="preserve"> omdat het de toegang tot de intracommunautaire markt bemoeilijkte door middel van het stellen van een algemeen van toepassing zijnde voorwaarde</w:t>
      </w:r>
      <w:r>
        <w:t>.</w:t>
      </w:r>
      <w:r w:rsidRPr="00347436">
        <w:rPr>
          <w:rStyle w:val="Voetnootmarkering"/>
        </w:rPr>
        <w:footnoteReference w:id="181"/>
      </w:r>
    </w:p>
    <w:p w:rsidR="00652D1F" w:rsidRDefault="00652D1F" w:rsidP="00AC0BC5">
      <w:pPr>
        <w:spacing w:line="360" w:lineRule="auto"/>
      </w:pPr>
    </w:p>
    <w:p w:rsidR="00652D1F" w:rsidRDefault="00652D1F" w:rsidP="00792C1A">
      <w:pPr>
        <w:spacing w:line="360" w:lineRule="auto"/>
      </w:pPr>
      <w:r>
        <w:t>In de literatuur bestaat er discussie over de invulling van deze derde categorie. Zoals aangehaald door Vleggeert is Kessler</w:t>
      </w:r>
      <w:r>
        <w:rPr>
          <w:rStyle w:val="Voetnootmarkering"/>
        </w:rPr>
        <w:footnoteReference w:id="182"/>
      </w:r>
      <w:r>
        <w:t xml:space="preserve"> van mening dat elke regeling die de grensoverschrijdende situatie onaantrekkelijker maakt een belemmering is. Vleggeert zelf sluit zich echter aan bij de mening van Schnitger die stelt dat dit enkel het geval is wanneer de regeling toegang tot een ander</w:t>
      </w:r>
      <w:r w:rsidR="00C24922">
        <w:t>e markt onmogelijk maakt. E</w:t>
      </w:r>
      <w:r>
        <w:t>chter</w:t>
      </w:r>
      <w:r w:rsidR="00C24922">
        <w:t>,</w:t>
      </w:r>
      <w:r>
        <w:t xml:space="preserve"> niet in het geval dat deze ten gevolge hiervan enigszins onaantrekkelijker word, mits deze zonder onderscheid wordt toegepast. Anders zou volgens Schnitger namelijk elke vorm van belastingheffing een belemmering vormen.</w:t>
      </w:r>
      <w:r>
        <w:rPr>
          <w:rStyle w:val="Voetnootmarkering"/>
        </w:rPr>
        <w:footnoteReference w:id="183"/>
      </w:r>
      <w:r>
        <w:t xml:space="preserve"> Volgens Vleggeert ondersteunt het HvJ EG deze opvatting en heeft het deze impliciet bevestigd in Thin Cap GLO. Vleggeert schrijft hieromtrent het volgende;</w:t>
      </w:r>
    </w:p>
    <w:p w:rsidR="00652D1F" w:rsidRDefault="00652D1F" w:rsidP="00AC0BC5">
      <w:pPr>
        <w:spacing w:line="360" w:lineRule="auto"/>
      </w:pPr>
    </w:p>
    <w:p w:rsidR="00652D1F" w:rsidRDefault="00652D1F" w:rsidP="00AC0BC5">
      <w:pPr>
        <w:spacing w:line="360" w:lineRule="auto"/>
      </w:pPr>
      <w:r>
        <w:t>“</w:t>
      </w:r>
      <w:r w:rsidRPr="00433ABB">
        <w:rPr>
          <w:i/>
          <w:iCs/>
        </w:rPr>
        <w:t>Was het Hof immers van mening geweest dat het feit dat de aftrek van de rente werd geweigerd op zichzelf al een beperking had kunnen opleveren, dan had het niet kunnen beslissen dat de destijds geldende Britse regeling tegen onderkapitalisatie onder voorwaarden in overeenstemming was met de vrijheid van vestiging</w:t>
      </w:r>
      <w:r>
        <w:t>.”</w:t>
      </w:r>
      <w:r>
        <w:rPr>
          <w:rStyle w:val="Voetnootmarkering"/>
        </w:rPr>
        <w:footnoteReference w:id="184"/>
      </w:r>
    </w:p>
    <w:p w:rsidR="00652D1F" w:rsidRDefault="00652D1F" w:rsidP="00AC0BC5">
      <w:pPr>
        <w:spacing w:line="360" w:lineRule="auto"/>
      </w:pPr>
    </w:p>
    <w:p w:rsidR="00652D1F" w:rsidRDefault="00652D1F" w:rsidP="00EE2C45">
      <w:pPr>
        <w:spacing w:line="360" w:lineRule="auto"/>
      </w:pPr>
      <w:r>
        <w:t>Dit is mijns inziens incorrect aangezien het HvJ EG hierin oordeelde dat de belemmering niet strijdig was aangezien zij kon steunen op een dwingende reden van algemeen belang, namelijk de bestrijding van misbruik.</w:t>
      </w:r>
      <w:r>
        <w:rPr>
          <w:rStyle w:val="Voetnootmarkering"/>
        </w:rPr>
        <w:footnoteReference w:id="185"/>
      </w:r>
      <w:r>
        <w:t xml:space="preserve"> Deze rechtvaardigingsgrond zou net zoveel gelding hebben in het geval van een niet discriminatoire belemmering, derhalve valt uit dit oordeel mijns inziens niets af te leiden over de vereiste karaktereigenschappen van een belemmering met betrekking tot een discriminatoir element.</w:t>
      </w:r>
    </w:p>
    <w:p w:rsidR="00652D1F" w:rsidRDefault="00652D1F" w:rsidP="00AC0BC5">
      <w:pPr>
        <w:spacing w:line="360" w:lineRule="auto"/>
      </w:pPr>
    </w:p>
    <w:p w:rsidR="00652D1F" w:rsidRDefault="00652D1F" w:rsidP="00AC0BC5">
      <w:pPr>
        <w:spacing w:line="360" w:lineRule="auto"/>
      </w:pPr>
      <w:r>
        <w:t>Zowel de Cursus Belastingrecht</w:t>
      </w:r>
      <w:r>
        <w:rPr>
          <w:rStyle w:val="Voetnootmarkering"/>
        </w:rPr>
        <w:footnoteReference w:id="186"/>
      </w:r>
      <w:r>
        <w:t xml:space="preserve"> alsmede Vleggeert beamen het standpunt van Schnitger en stellen dat enkel regels </w:t>
      </w:r>
      <w:r w:rsidR="00073318">
        <w:t xml:space="preserve">‘zonder onderscheid’ </w:t>
      </w:r>
      <w:r>
        <w:t>welke de toegang t</w:t>
      </w:r>
      <w:r w:rsidR="00073318">
        <w:t xml:space="preserve">ot een markt versperren </w:t>
      </w:r>
      <w:r>
        <w:t>als verboden moeten worden beschouwd. Hoewel ik het eens ben met hun redenering dat het niet mogelijk is dat elke vorm van belastingheffing als een belemmering wordt gezien, is dit mijns inziens een te extreme conclusie. Dit betekent immers niet dat vormen van belastingheffing welke zonder onderscheid worden toegepast geen verboden belemmerende werking kunnen hebben.</w:t>
      </w:r>
    </w:p>
    <w:p w:rsidR="00652D1F" w:rsidRDefault="00652D1F" w:rsidP="00AC0BC5">
      <w:pPr>
        <w:spacing w:line="360" w:lineRule="auto"/>
      </w:pPr>
    </w:p>
    <w:p w:rsidR="00652D1F" w:rsidRDefault="00652D1F" w:rsidP="00792C1A">
      <w:pPr>
        <w:spacing w:line="360" w:lineRule="auto"/>
      </w:pPr>
      <w:r>
        <w:t>Doorslaggevend is mijns inziens, zoals naar voren komt in Danske Bilimportorer, of er ook een dergelijke werking vanuit gaat.</w:t>
      </w:r>
      <w:r>
        <w:rPr>
          <w:rStyle w:val="Voetnootmarkering"/>
        </w:rPr>
        <w:footnoteReference w:id="187"/>
      </w:r>
      <w:r>
        <w:t xml:space="preserve"> Hierin </w:t>
      </w:r>
      <w:r w:rsidRPr="00292A58">
        <w:t>was er namelijk geen sprake van discriminatie, echter gezien het feit dat de heffing zo extreem was dat deze een blokkerend effect kon hebben werd deze potentieel als een belemmering overwogen. Enkel</w:t>
      </w:r>
      <w:r>
        <w:t xml:space="preserve"> vanwege het feit dat deze in de realiteit geen remmende werking had was in deze geen sprake van een belemmering.</w:t>
      </w:r>
      <w:r>
        <w:rPr>
          <w:rStyle w:val="Voetnootmarkering"/>
        </w:rPr>
        <w:footnoteReference w:id="188"/>
      </w:r>
      <w:r>
        <w:t xml:space="preserve"> Als men dit doortrekt naar artikel 10a zou men kunnen stellen dat als deze reëel de vestiging op basis van bepaalde schuldgedreven financieringsstructuren, welke in de interne vestigingsmarkt plaatshebben, belemmert, deze dan in beginsel niet mag worden toegestaan. Het feit dat een groep de structurering van de financiering anders zou kunnen vormgeven doet hier mijns inziens niet aan af. In het arrest Alpine Investments had men namelijk ook op andere manieren contact kunnen zoeken met potentiële klanten, dit deed echter niets af aan de aanwezigheid van een belemmering. Nog duidelijker blijkt dit uit r.o. 161 en 162 van het arrest the FII Group Litigation, waarin het HvJ EG oordeelt; </w:t>
      </w:r>
    </w:p>
    <w:p w:rsidR="00652D1F" w:rsidRDefault="00652D1F" w:rsidP="00AC0BC5">
      <w:pPr>
        <w:spacing w:line="360" w:lineRule="auto"/>
      </w:pPr>
    </w:p>
    <w:p w:rsidR="00652D1F" w:rsidRPr="00433ABB" w:rsidRDefault="00652D1F" w:rsidP="00AC0BC5">
      <w:pPr>
        <w:widowControl w:val="0"/>
        <w:autoSpaceDE w:val="0"/>
        <w:autoSpaceDN w:val="0"/>
        <w:adjustRightInd w:val="0"/>
        <w:spacing w:after="320" w:line="360" w:lineRule="auto"/>
        <w:ind w:left="40"/>
        <w:rPr>
          <w:rFonts w:eastAsia="Times New Roman" w:cs="Verdana"/>
          <w:i/>
          <w:iCs/>
          <w:lang w:eastAsia="en-US"/>
        </w:rPr>
      </w:pPr>
      <w:r w:rsidRPr="0022365F">
        <w:rPr>
          <w:rFonts w:eastAsia="Times New Roman" w:cs="Verdana"/>
          <w:lang w:eastAsia="en-US"/>
        </w:rPr>
        <w:t>“</w:t>
      </w:r>
      <w:r w:rsidRPr="00433ABB">
        <w:rPr>
          <w:rFonts w:eastAsia="Times New Roman" w:cs="Verdana"/>
          <w:i/>
          <w:iCs/>
          <w:lang w:eastAsia="en-US"/>
        </w:rPr>
        <w:t>161 Ook het argument dat de verschillen in behandeling van de uitkering van buitenlandse dividenden in het kader van de FID-regeling geen beperking van de vrijheid van vestiging opleveren, daar deze regeling louter optioneel is, moet worden afgewezen.</w:t>
      </w:r>
    </w:p>
    <w:p w:rsidR="00652D1F" w:rsidRDefault="00652D1F" w:rsidP="00AC0BC5">
      <w:pPr>
        <w:spacing w:line="360" w:lineRule="auto"/>
      </w:pPr>
      <w:r w:rsidRPr="00433ABB">
        <w:rPr>
          <w:rFonts w:eastAsia="Times New Roman" w:cs="Verdana"/>
          <w:i/>
          <w:iCs/>
          <w:lang w:eastAsia="en-US"/>
        </w:rPr>
        <w:t>162    Zoals verzoeksters in het hoofdgeding opmerken, is een nationale regeling die het vrije verkeer beperkt immers zelfs in strijd met het gemeenschapsrecht als de toepassing daarvan facultatief is.</w:t>
      </w:r>
      <w:r w:rsidRPr="0022365F">
        <w:rPr>
          <w:rFonts w:eastAsia="Times New Roman" w:cs="Verdana"/>
          <w:lang w:eastAsia="en-US"/>
        </w:rPr>
        <w:t>”</w:t>
      </w:r>
      <w:r w:rsidRPr="00055911">
        <w:rPr>
          <w:rStyle w:val="Voetnootmarkering"/>
          <w:rFonts w:eastAsia="Times New Roman"/>
          <w:lang w:val="en-US" w:eastAsia="en-US"/>
        </w:rPr>
        <w:footnoteReference w:id="189"/>
      </w:r>
    </w:p>
    <w:p w:rsidR="00652D1F" w:rsidRDefault="00652D1F" w:rsidP="00AC0BC5">
      <w:pPr>
        <w:spacing w:line="360" w:lineRule="auto"/>
      </w:pPr>
    </w:p>
    <w:p w:rsidR="00652D1F" w:rsidRDefault="00652D1F" w:rsidP="00AC0BC5">
      <w:pPr>
        <w:spacing w:line="360" w:lineRule="auto"/>
      </w:pPr>
      <w:r>
        <w:t>Daarnaast is het ook essentieel dat dit effect niet in gelijke mate wordt gevoeld in zowel de interne als de grensoverschrijdende situatie. Zoals blijkt uit Mobistar en Viacom kan een maatregel enkel als een verboden belemmering gelden als deze een onderscheid tussen de interne en grensoverschrijdende situatie veroorzaakt.</w:t>
      </w:r>
      <w:r>
        <w:rPr>
          <w:rStyle w:val="Voetnootmarkering"/>
        </w:rPr>
        <w:footnoteReference w:id="190"/>
      </w:r>
      <w:r>
        <w:t xml:space="preserve"> Het HvJ EG oordeelde hieromtrent in Mobistar dat;</w:t>
      </w:r>
    </w:p>
    <w:p w:rsidR="00652D1F" w:rsidRPr="006212EE" w:rsidRDefault="00652D1F" w:rsidP="00AC0BC5">
      <w:pPr>
        <w:spacing w:line="360" w:lineRule="auto"/>
      </w:pPr>
    </w:p>
    <w:p w:rsidR="00652D1F" w:rsidRDefault="00652D1F" w:rsidP="00AC0BC5">
      <w:pPr>
        <w:spacing w:line="360" w:lineRule="auto"/>
      </w:pPr>
      <w:r w:rsidRPr="00EC18F1">
        <w:rPr>
          <w:rFonts w:eastAsia="Times New Roman" w:cs="Verdana"/>
          <w:lang w:eastAsia="en-US"/>
        </w:rPr>
        <w:t>“</w:t>
      </w:r>
      <w:r w:rsidRPr="00433ABB">
        <w:rPr>
          <w:rFonts w:eastAsia="Times New Roman" w:cs="Verdana"/>
          <w:i/>
          <w:iCs/>
          <w:lang w:eastAsia="en-US"/>
        </w:rPr>
        <w:t>Artikel 59 van het Verdrag heeft daarentegen geen betrekking op maatregelen die uitsluitend tot gevolg hebben dat er voor de dienstverrichting in kwestie extra kosten ontstaan en die het verrichten van diensten tussen lidstaten en het verrichten van diensten binnen één lidstaat gelijkelijk raken</w:t>
      </w:r>
      <w:r w:rsidRPr="00EC18F1">
        <w:rPr>
          <w:rFonts w:eastAsia="Times New Roman" w:cs="Verdana"/>
          <w:lang w:eastAsia="en-US"/>
        </w:rPr>
        <w:t>”</w:t>
      </w:r>
      <w:r w:rsidRPr="006212EE">
        <w:rPr>
          <w:rStyle w:val="Voetnootmarkering"/>
          <w:rFonts w:eastAsia="Times New Roman"/>
          <w:lang w:val="en-US" w:eastAsia="en-US"/>
        </w:rPr>
        <w:footnoteReference w:id="191"/>
      </w:r>
    </w:p>
    <w:p w:rsidR="00D53DCA" w:rsidRDefault="00D53DCA" w:rsidP="00433ABB">
      <w:pPr>
        <w:pStyle w:val="Lijstalinea"/>
        <w:spacing w:line="360" w:lineRule="auto"/>
        <w:ind w:left="0"/>
        <w:rPr>
          <w:b/>
          <w:bCs/>
          <w:u w:val="single"/>
          <w:lang w:val="en-US"/>
        </w:rPr>
      </w:pPr>
    </w:p>
    <w:p w:rsidR="00C24922" w:rsidRDefault="00C24922" w:rsidP="00433ABB">
      <w:pPr>
        <w:pStyle w:val="Lijstalinea"/>
        <w:spacing w:line="360" w:lineRule="auto"/>
        <w:ind w:left="0"/>
        <w:rPr>
          <w:b/>
          <w:bCs/>
          <w:u w:val="single"/>
          <w:lang w:val="en-US"/>
        </w:rPr>
      </w:pPr>
    </w:p>
    <w:p w:rsidR="00652D1F" w:rsidRPr="00502D29" w:rsidRDefault="00652D1F" w:rsidP="00433ABB">
      <w:pPr>
        <w:pStyle w:val="Lijstalinea"/>
        <w:spacing w:line="360" w:lineRule="auto"/>
        <w:ind w:left="0"/>
        <w:rPr>
          <w:lang w:val="en-US"/>
        </w:rPr>
      </w:pPr>
      <w:r>
        <w:rPr>
          <w:b/>
          <w:bCs/>
          <w:u w:val="single"/>
          <w:lang w:val="en-US"/>
        </w:rPr>
        <w:t xml:space="preserve">4.2 </w:t>
      </w:r>
      <w:r w:rsidRPr="00502D29">
        <w:rPr>
          <w:b/>
          <w:bCs/>
          <w:u w:val="single"/>
          <w:lang w:val="en-US"/>
        </w:rPr>
        <w:t>Art 10a categorie 2 of categorie 3?</w:t>
      </w:r>
    </w:p>
    <w:p w:rsidR="00652D1F" w:rsidRPr="00E21160" w:rsidRDefault="00652D1F" w:rsidP="00AC0BC5">
      <w:pPr>
        <w:spacing w:line="360" w:lineRule="auto"/>
        <w:rPr>
          <w:b/>
          <w:bCs/>
          <w:u w:val="single"/>
          <w:lang w:val="en-US"/>
        </w:rPr>
      </w:pPr>
    </w:p>
    <w:p w:rsidR="00652D1F" w:rsidRPr="00347436" w:rsidRDefault="00652D1F" w:rsidP="0037271B">
      <w:pPr>
        <w:spacing w:line="360" w:lineRule="auto"/>
      </w:pPr>
      <w:r w:rsidRPr="00347436">
        <w:t xml:space="preserve">Dat artikel 10a Wet </w:t>
      </w:r>
      <w:r>
        <w:t xml:space="preserve">VpB </w:t>
      </w:r>
      <w:r w:rsidRPr="00347436">
        <w:t>op zichzelf al een belemmering is</w:t>
      </w:r>
      <w:r>
        <w:t>,</w:t>
      </w:r>
      <w:r w:rsidRPr="00347436">
        <w:t xml:space="preserve"> is inherent aan de werking </w:t>
      </w:r>
      <w:r>
        <w:t>van artikel 10a. Z</w:t>
      </w:r>
      <w:r w:rsidRPr="00347436">
        <w:t>ij beperkt namelijk de aftrek van rentebetalin</w:t>
      </w:r>
      <w:r>
        <w:t xml:space="preserve">gen aan verbonden lichamen. De </w:t>
      </w:r>
      <w:r w:rsidRPr="00347436">
        <w:t>vraag die derhalv</w:t>
      </w:r>
      <w:r>
        <w:t>e d</w:t>
      </w:r>
      <w:r w:rsidRPr="00347436">
        <w:t>ient te worden beantwoord is</w:t>
      </w:r>
      <w:r>
        <w:t xml:space="preserve"> of</w:t>
      </w:r>
      <w:r w:rsidRPr="00347436">
        <w:t xml:space="preserve"> artikel 10a een discriminatoir element bevat</w:t>
      </w:r>
      <w:r>
        <w:t>, dan wel in de grensoverschrijdende situatie slechter uitpakt</w:t>
      </w:r>
      <w:r w:rsidRPr="00347436">
        <w:t>. Mijns inziens, als ook is opg</w:t>
      </w:r>
      <w:r>
        <w:t>emerkt in de literatuur, zou er een</w:t>
      </w:r>
      <w:r w:rsidRPr="00347436">
        <w:t xml:space="preserve"> discriminatoire element besloten kunnen liggen in het gebruik van het belastingtarief als bewijsvermoeden in de compenserende heffingstoets</w:t>
      </w:r>
      <w:r>
        <w:t>.</w:t>
      </w:r>
      <w:r w:rsidRPr="00347436">
        <w:rPr>
          <w:rStyle w:val="Voetnootmarkering"/>
        </w:rPr>
        <w:footnoteReference w:id="192"/>
      </w:r>
      <w:r w:rsidRPr="00347436">
        <w:t xml:space="preserve"> De compenserende heffingstoets zorgt er namelijk voor dat </w:t>
      </w:r>
      <w:r>
        <w:t xml:space="preserve">de </w:t>
      </w:r>
      <w:r w:rsidRPr="00347436">
        <w:t>belastingp</w:t>
      </w:r>
      <w:r>
        <w:t>lichtige op basis van het op het renteontvangende lichaam</w:t>
      </w:r>
      <w:r w:rsidRPr="00347436">
        <w:t xml:space="preserve"> van toepassing zijnde belastingtarief in een gunstigere bewijspositie kan worden gebracht</w:t>
      </w:r>
      <w:r>
        <w:t>.</w:t>
      </w:r>
      <w:r>
        <w:rPr>
          <w:rStyle w:val="Voetnootmarkering"/>
        </w:rPr>
        <w:footnoteReference w:id="193"/>
      </w:r>
      <w:r w:rsidRPr="00347436">
        <w:t xml:space="preserve"> </w:t>
      </w:r>
    </w:p>
    <w:p w:rsidR="00652D1F" w:rsidRPr="00347436" w:rsidRDefault="00652D1F" w:rsidP="00AC0BC5">
      <w:pPr>
        <w:spacing w:line="360" w:lineRule="auto"/>
      </w:pPr>
    </w:p>
    <w:p w:rsidR="00652D1F" w:rsidRPr="00347436" w:rsidRDefault="00652D1F" w:rsidP="00792C1A">
      <w:pPr>
        <w:spacing w:line="360" w:lineRule="auto"/>
      </w:pPr>
      <w:r w:rsidRPr="00347436">
        <w:t xml:space="preserve">Mijns inziens is een onderscheid naar belastingtarief een indirecte discriminatie naar woonplaats. Het belastingtarief waaraan een renteontvangend lichaam is onderworpen is namelijk onlosmakelijk verbonden met haar vestigingsplaats, het is een </w:t>
      </w:r>
      <w:r>
        <w:t>duidelijk</w:t>
      </w:r>
      <w:r w:rsidRPr="00347436">
        <w:t xml:space="preserve"> kenmerk van het land waarin het is gevestigd. Daarom staat dit </w:t>
      </w:r>
      <w:r>
        <w:t xml:space="preserve">mijns inziens </w:t>
      </w:r>
      <w:r w:rsidRPr="00347436">
        <w:t xml:space="preserve">gelijk met een verwijzing naar </w:t>
      </w:r>
      <w:r>
        <w:t xml:space="preserve">het desbetreffende land. </w:t>
      </w:r>
      <w:r w:rsidRPr="00347436">
        <w:t xml:space="preserve">Een vennootschap met gelijke kenmerken zal </w:t>
      </w:r>
      <w:r>
        <w:t xml:space="preserve">daarom </w:t>
      </w:r>
      <w:r w:rsidRPr="00347436">
        <w:t xml:space="preserve">ongelijk behandeld worden op basis van </w:t>
      </w:r>
      <w:r>
        <w:t xml:space="preserve">het op het renteontvangende lichaam van toepassing zijnde </w:t>
      </w:r>
      <w:r w:rsidRPr="00347436">
        <w:t xml:space="preserve">belastingtarief oftewel vestigingsplaats. Het feit dat slechts enkele landen hierdoor worden getroffen doet hier niets aan af. Uit het hiervoor besproken arrest Sea Fisheries Orders II komt namelijk duidelijk naar voren dat dit niet afdoet aan </w:t>
      </w:r>
      <w:r>
        <w:t>een eventuele</w:t>
      </w:r>
      <w:r w:rsidRPr="00347436">
        <w:t xml:space="preserve"> discriminatie/belemmering.</w:t>
      </w:r>
    </w:p>
    <w:p w:rsidR="00652D1F" w:rsidRPr="00347436" w:rsidRDefault="00652D1F" w:rsidP="00AC0BC5">
      <w:pPr>
        <w:spacing w:line="360" w:lineRule="auto"/>
      </w:pPr>
    </w:p>
    <w:p w:rsidR="00652D1F" w:rsidRPr="00347436" w:rsidRDefault="00652D1F" w:rsidP="0037271B">
      <w:pPr>
        <w:spacing w:line="360" w:lineRule="auto"/>
      </w:pPr>
      <w:r w:rsidRPr="00347436">
        <w:t>Dit zal er mijns inziens toe leiden dat artikel 10a i</w:t>
      </w:r>
      <w:r>
        <w:t>n vergelijkbare situaties van de eerste categorie enkel</w:t>
      </w:r>
      <w:r w:rsidRPr="00347436">
        <w:t xml:space="preserve"> van toepassing zal zijn</w:t>
      </w:r>
      <w:r>
        <w:t xml:space="preserve"> grensoverschrijdende gevallen</w:t>
      </w:r>
      <w:r w:rsidRPr="00347436">
        <w:t xml:space="preserve">. Bij artikel 10a zijn namelijk drie </w:t>
      </w:r>
      <w:r>
        <w:t xml:space="preserve">categorieën </w:t>
      </w:r>
      <w:r w:rsidRPr="00347436">
        <w:t xml:space="preserve">vergelijkbare situaties te onderscheiden, </w:t>
      </w:r>
      <w:r>
        <w:t>te weten</w:t>
      </w:r>
      <w:r w:rsidRPr="00347436">
        <w:t>;</w:t>
      </w:r>
    </w:p>
    <w:p w:rsidR="00652D1F" w:rsidRPr="00347436" w:rsidRDefault="00652D1F" w:rsidP="00AC0BC5">
      <w:pPr>
        <w:spacing w:line="360" w:lineRule="auto"/>
      </w:pPr>
    </w:p>
    <w:p w:rsidR="00652D1F" w:rsidRPr="00347436" w:rsidRDefault="00652D1F" w:rsidP="00AC0BC5">
      <w:pPr>
        <w:numPr>
          <w:ilvl w:val="0"/>
          <w:numId w:val="2"/>
        </w:numPr>
        <w:spacing w:line="360" w:lineRule="auto"/>
      </w:pPr>
      <w:r w:rsidRPr="00347436">
        <w:t xml:space="preserve">het renteontvangende lichaam is aan een winstbelasting onderworpen, </w:t>
      </w:r>
    </w:p>
    <w:p w:rsidR="00652D1F" w:rsidRPr="00347436" w:rsidRDefault="00652D1F" w:rsidP="00AC0BC5">
      <w:pPr>
        <w:numPr>
          <w:ilvl w:val="0"/>
          <w:numId w:val="2"/>
        </w:numPr>
        <w:spacing w:line="360" w:lineRule="auto"/>
      </w:pPr>
      <w:r w:rsidRPr="00347436">
        <w:t>het renteontvangende lichaam heeft</w:t>
      </w:r>
      <w:r>
        <w:t xml:space="preserve"> of verwacht compensabele verliezen, of</w:t>
      </w:r>
    </w:p>
    <w:p w:rsidR="00652D1F" w:rsidRPr="00347436" w:rsidRDefault="00652D1F" w:rsidP="00AC0BC5">
      <w:pPr>
        <w:numPr>
          <w:ilvl w:val="0"/>
          <w:numId w:val="2"/>
        </w:numPr>
        <w:spacing w:line="360" w:lineRule="auto"/>
      </w:pPr>
      <w:r w:rsidRPr="00347436">
        <w:t>het renteontvangende lichaam is niet onderworpen aan een winstbelasting</w:t>
      </w:r>
    </w:p>
    <w:p w:rsidR="00652D1F" w:rsidRPr="00347436" w:rsidRDefault="00652D1F" w:rsidP="00AC0BC5">
      <w:pPr>
        <w:spacing w:line="360" w:lineRule="auto"/>
      </w:pPr>
    </w:p>
    <w:p w:rsidR="00652D1F" w:rsidRDefault="00652D1F" w:rsidP="00BB72F8">
      <w:pPr>
        <w:spacing w:line="360" w:lineRule="auto"/>
      </w:pPr>
      <w:r w:rsidRPr="00347436">
        <w:t>In situatie drie zal de toepassing van artikel 10a in beide</w:t>
      </w:r>
      <w:r>
        <w:t>,</w:t>
      </w:r>
      <w:r w:rsidRPr="00347436">
        <w:t xml:space="preserve"> de interne en grensoverschrijdende</w:t>
      </w:r>
      <w:r>
        <w:t>,</w:t>
      </w:r>
      <w:r w:rsidRPr="00347436">
        <w:t xml:space="preserve"> situatie</w:t>
      </w:r>
      <w:r>
        <w:t>s</w:t>
      </w:r>
      <w:r w:rsidRPr="00347436">
        <w:t xml:space="preserve"> tot een geli</w:t>
      </w:r>
      <w:r>
        <w:t xml:space="preserve">jke uitkomst leiden. In het geval van situatie 1 </w:t>
      </w:r>
      <w:r w:rsidRPr="00347436">
        <w:t>zal er in de grensoverschrijdende situatie een nadeel ontstaan voor vennootschappen welke rentebetalingen</w:t>
      </w:r>
      <w:r>
        <w:t xml:space="preserve"> doen</w:t>
      </w:r>
      <w:r w:rsidRPr="00347436">
        <w:t xml:space="preserve"> aan lichamen in laagbelaste jurisdicties. </w:t>
      </w:r>
      <w:r>
        <w:t>Hetgeen</w:t>
      </w:r>
      <w:r w:rsidRPr="00347436">
        <w:t xml:space="preserve"> mijns inziens in de praktijk </w:t>
      </w:r>
      <w:r>
        <w:t xml:space="preserve">leidt tot een hogere frequentie van de toepassing van artikel 10a bij lichamen gelegen in laagbelaste belastingsjurisdicties in vergelijking met lichamen gelegen in volgens artikel 10a adequaat belaste belastingsjurisdicties, bovendien zal artikel 10a geheel geen toepassing vinden in de interne situatie. </w:t>
      </w:r>
      <w:r w:rsidRPr="00347436">
        <w:t>Ook zal artikel 10a in gelijke interne situaties niet van toepassing zijn wanneer men interne situaties en grensoverschrijdende situaties vergelijkt</w:t>
      </w:r>
      <w:r>
        <w:t>,</w:t>
      </w:r>
      <w:r w:rsidRPr="00347436">
        <w:t xml:space="preserve"> omdat er in grensoverschrijdende situaties wel winst valt te behalen door het verstrekken van leningen vanwege afwijkende belastingtarieven.</w:t>
      </w:r>
      <w:r>
        <w:t xml:space="preserve"> Dit leidt derhalve tot een discriminatoire benadeling. </w:t>
      </w:r>
    </w:p>
    <w:p w:rsidR="00652D1F" w:rsidRDefault="00652D1F" w:rsidP="00AC0BC5">
      <w:pPr>
        <w:spacing w:line="360" w:lineRule="auto"/>
      </w:pPr>
    </w:p>
    <w:p w:rsidR="00652D1F" w:rsidRDefault="00652D1F" w:rsidP="00EE2C45">
      <w:pPr>
        <w:spacing w:line="360" w:lineRule="auto"/>
      </w:pPr>
      <w:r>
        <w:t>De initiële uitsluiting ten gevolge van compensabele verliezen vindt zowel in de interne als in de communautaire situatie plaats en is daarom een belemmering ten gevolge van een maatregel zonder onderscheid. De vraag die hier derhalve dient te worden beantwoord is of dit in de grensoverschrijdende situatie tot een nadeligere positie lijdt dan in de interne situatie. Als men artikel 10a op zich beziet is dit geenszins het geval, echter als men het ‘fiscale eenheid’-regime in het perspectief betrekt verandert deze situatie. Het ‘fiscale eenheid’-regime maakt het in de interne situatie, in tegenstelling tot de grensoverschrijdende situatie, immers mogelijk om de verliezen en winsten van een groep met elkaar te verrekenen. Waardoor er voor deze lichamen geen noodzaak zal zijn om dergelijke op verliesverrekening gerichte Nederlandse structuren op te zetten. Derhalve ben ik van mening dat het vereiste van een effectieve heffing, in het geval van de aanwezigheid van compensabele verliezen, ook als een in beginsel verboden belemmering dient te worden ervaren. Dit in beginsel ongeoorloofde verschil doet zich echter enkel voor in het geval dat er een belang wordt gehouden welk in aanmerking zou komen voor de vorming van een fiscale eenheid wanneer het twee in Nederland gevestigde rechtslichamen zouden betreffen.</w:t>
      </w:r>
    </w:p>
    <w:p w:rsidR="00652D1F" w:rsidRPr="00347436" w:rsidRDefault="00652D1F" w:rsidP="00AC0BC5">
      <w:pPr>
        <w:spacing w:line="360" w:lineRule="auto"/>
      </w:pPr>
    </w:p>
    <w:p w:rsidR="00652D1F" w:rsidRPr="00347436" w:rsidRDefault="00652D1F" w:rsidP="00EE2C45">
      <w:pPr>
        <w:spacing w:line="360" w:lineRule="auto"/>
      </w:pPr>
      <w:r w:rsidRPr="00347436">
        <w:t xml:space="preserve">Daarnaast is de zwaardere bewijslast </w:t>
      </w:r>
      <w:r>
        <w:t xml:space="preserve">op basis van het tarief </w:t>
      </w:r>
      <w:r w:rsidRPr="00347436">
        <w:t>zelf ook een discriminatoire belemmering. Dat het gebruik van een bewijsvermoeden</w:t>
      </w:r>
      <w:r>
        <w:t>,</w:t>
      </w:r>
      <w:r w:rsidRPr="00347436">
        <w:t xml:space="preserve"> waardoor niet elke belanghebbende een gelijke bewijslast zal komen te dragen</w:t>
      </w:r>
      <w:r>
        <w:t>,</w:t>
      </w:r>
      <w:r w:rsidRPr="00347436">
        <w:t xml:space="preserve"> een belemmering kan zijn</w:t>
      </w:r>
      <w:r>
        <w:t xml:space="preserve"> volgt uit het arrest </w:t>
      </w:r>
      <w:r w:rsidRPr="00347436">
        <w:t xml:space="preserve">Vestergaard. Bent Vestergaard was een Deens burger die een beroepsopleiding in het buitenland had gevolgd, meer </w:t>
      </w:r>
      <w:r>
        <w:t>concreet</w:t>
      </w:r>
      <w:r w:rsidRPr="00347436">
        <w:t xml:space="preserve"> in een buitenlandse plaats met een toeristisch karakte</w:t>
      </w:r>
      <w:r>
        <w:t>r, Kreta. Het Deense recht stond</w:t>
      </w:r>
      <w:r w:rsidRPr="00347436">
        <w:t xml:space="preserve"> aftrek van uitgaven in verband met het volgen van cursussen in het verband van een beroepsopleiding in binnen- en buitenland toe. In het geval dat dez</w:t>
      </w:r>
      <w:r>
        <w:t>e cursussen echter plaats</w:t>
      </w:r>
      <w:r w:rsidRPr="00347436">
        <w:t>had</w:t>
      </w:r>
      <w:r w:rsidR="00C24922">
        <w:t>den in een in buitenlands toeristisch gebied</w:t>
      </w:r>
      <w:r w:rsidRPr="00347436">
        <w:t xml:space="preserve"> stelde het Deense recht een extra vereiste, namelijk dat de belanghebbende bewijs overlegde met betrekking tot de inhoud van de cursus</w:t>
      </w:r>
      <w:r>
        <w:t xml:space="preserve"> en de verhouding van de cursus</w:t>
      </w:r>
      <w:r w:rsidRPr="00347436">
        <w:t xml:space="preserve">duur tot het verblijf in het </w:t>
      </w:r>
      <w:r w:rsidRPr="00292A58">
        <w:t>buitenland.</w:t>
      </w:r>
      <w:r w:rsidR="00045A87" w:rsidRPr="00292A58">
        <w:rPr>
          <w:rStyle w:val="Voetnootmarkering"/>
        </w:rPr>
        <w:footnoteReference w:id="194"/>
      </w:r>
      <w:r w:rsidRPr="00292A58">
        <w:t xml:space="preserve"> Het</w:t>
      </w:r>
      <w:r>
        <w:t xml:space="preserve"> HvJ EG</w:t>
      </w:r>
      <w:r w:rsidRPr="00347436">
        <w:t xml:space="preserve"> oordeelde dat deze </w:t>
      </w:r>
      <w:r>
        <w:t xml:space="preserve">wijze van </w:t>
      </w:r>
      <w:r w:rsidRPr="00347436">
        <w:t xml:space="preserve">toepassing </w:t>
      </w:r>
      <w:r>
        <w:t xml:space="preserve">van de regeling </w:t>
      </w:r>
      <w:r w:rsidRPr="00347436">
        <w:t xml:space="preserve">de toegang </w:t>
      </w:r>
      <w:r>
        <w:t>daartoe</w:t>
      </w:r>
      <w:r w:rsidRPr="00347436">
        <w:t xml:space="preserve"> bemoeilijkte </w:t>
      </w:r>
      <w:r>
        <w:t xml:space="preserve">en </w:t>
      </w:r>
      <w:r w:rsidRPr="00347436">
        <w:t xml:space="preserve">er </w:t>
      </w:r>
      <w:r>
        <w:t xml:space="preserve">in deze </w:t>
      </w:r>
      <w:r w:rsidRPr="00347436">
        <w:t>sprake was van een</w:t>
      </w:r>
      <w:r>
        <w:t xml:space="preserve"> in eerste instantie</w:t>
      </w:r>
      <w:r w:rsidRPr="00347436">
        <w:t xml:space="preserve"> verboden verschil in behandeling</w:t>
      </w:r>
      <w:r>
        <w:t>.</w:t>
      </w:r>
      <w:r w:rsidRPr="00347436">
        <w:rPr>
          <w:rStyle w:val="Voetnootmarkering"/>
        </w:rPr>
        <w:footnoteReference w:id="195"/>
      </w:r>
      <w:r w:rsidRPr="00347436">
        <w:t xml:space="preserve"> Een </w:t>
      </w:r>
      <w:r>
        <w:t xml:space="preserve">onevenredig toegepaste </w:t>
      </w:r>
      <w:r w:rsidRPr="00347436">
        <w:t>zwaardere bewijslast is dus in eerste instantie niet toegestaan.</w:t>
      </w:r>
      <w:r>
        <w:t xml:space="preserve"> Artikel 10a legt de belanghebbende in grensoverschrijdende gevallen in twee gevallen een zwaardere bewijslast op in vergelijking tot de interne situatie, zowel bij het tegenbewijs op basis van de compenserende heffing als bij de zakelijke overwegingen. In de interne situatie zal namelijk altijd aan de compenserende heffingstoets worden voldaan alsmede zal deze naar alle waarschijnlijkheid nooit dienen te worden aangetoond aangezien de inspectie in de interne situatie reeds over alle gegevens beschikt.</w:t>
      </w:r>
    </w:p>
    <w:p w:rsidR="00652D1F" w:rsidRDefault="00652D1F" w:rsidP="00AC0BC5">
      <w:pPr>
        <w:spacing w:line="360" w:lineRule="auto"/>
      </w:pPr>
    </w:p>
    <w:p w:rsidR="00652D1F" w:rsidRDefault="00652D1F" w:rsidP="00AC0BC5">
      <w:pPr>
        <w:spacing w:line="360" w:lineRule="auto"/>
      </w:pPr>
    </w:p>
    <w:p w:rsidR="00652D1F" w:rsidRPr="005E38FB" w:rsidRDefault="00652D1F" w:rsidP="00AC0BC5">
      <w:pPr>
        <w:spacing w:line="360" w:lineRule="auto"/>
        <w:rPr>
          <w:b/>
          <w:u w:val="single"/>
        </w:rPr>
      </w:pPr>
      <w:r>
        <w:rPr>
          <w:b/>
          <w:u w:val="single"/>
        </w:rPr>
        <w:t>4.3</w:t>
      </w:r>
      <w:r w:rsidRPr="005E38FB">
        <w:rPr>
          <w:b/>
          <w:u w:val="single"/>
        </w:rPr>
        <w:t xml:space="preserve"> Conclusie vaststelling belemmering</w:t>
      </w:r>
    </w:p>
    <w:p w:rsidR="00652D1F" w:rsidRPr="00347436" w:rsidRDefault="00652D1F" w:rsidP="00AC0BC5">
      <w:pPr>
        <w:spacing w:line="360" w:lineRule="auto"/>
      </w:pPr>
    </w:p>
    <w:p w:rsidR="00652D1F" w:rsidRDefault="00652D1F" w:rsidP="00DC6555">
      <w:pPr>
        <w:spacing w:line="360" w:lineRule="auto"/>
      </w:pPr>
      <w:r w:rsidRPr="00347436">
        <w:t>Co</w:t>
      </w:r>
      <w:r>
        <w:t>ncluderend kan men stellen dat a</w:t>
      </w:r>
      <w:r w:rsidRPr="00347436">
        <w:t xml:space="preserve">rtikel 10a van de Wet </w:t>
      </w:r>
      <w:r>
        <w:t>VpB met betrekking tot de toepassing van de compenserende heffingstoets een belemmering van</w:t>
      </w:r>
      <w:r w:rsidRPr="00347436">
        <w:t xml:space="preserve"> de tweede c</w:t>
      </w:r>
      <w:r>
        <w:t xml:space="preserve">ategorie is, aangezien de </w:t>
      </w:r>
      <w:r w:rsidRPr="00347436">
        <w:t xml:space="preserve">toepassing </w:t>
      </w:r>
      <w:r>
        <w:t xml:space="preserve">van artikel 10a </w:t>
      </w:r>
      <w:r w:rsidRPr="00347436">
        <w:t xml:space="preserve">grotendeels afhankelijk wordt gesteld van het </w:t>
      </w:r>
      <w:r>
        <w:t xml:space="preserve">op het renteontvangende lichaam </w:t>
      </w:r>
      <w:r w:rsidRPr="00347436">
        <w:t>van toepassing zijnde tarief. Ook in het geval dat de belastingdienst in haar uitvoeringsbeleid de letter van de wet wel ten volste naleeft zal artike</w:t>
      </w:r>
      <w:r>
        <w:t>l 10a enkel</w:t>
      </w:r>
      <w:r w:rsidRPr="00347436">
        <w:t xml:space="preserve"> van toepassing zijn in grensoverschrijdende situaties.</w:t>
      </w:r>
      <w:r>
        <w:rPr>
          <w:rStyle w:val="Voetnootmarkering"/>
        </w:rPr>
        <w:footnoteReference w:id="196"/>
      </w:r>
      <w:r w:rsidRPr="00347436">
        <w:t xml:space="preserve"> </w:t>
      </w:r>
      <w:r>
        <w:t>In het geval van de toepassing van artikel 10a in intracommunautaire situaties bij vrijgestelde lichamen is er geen sprake van een verboden belemmering, aangezien deze zowel in de interne als de grensoverschrijdende situatie tot een vergelijkbaar resultaat zal leiden. Wanneer het renteontvangende lichaam beschikt, dan wel zal beschikken over compensabele verliezen kan artikel 10a een belemmering in de derde categorie behelzen. De invulling van de bewijslast</w:t>
      </w:r>
      <w:r w:rsidRPr="00347436">
        <w:t>verdeling aan de hand van het tarief in de com</w:t>
      </w:r>
      <w:r>
        <w:t xml:space="preserve">penserende heffingstoets is </w:t>
      </w:r>
      <w:r w:rsidRPr="00347436">
        <w:t xml:space="preserve">daarnaast nog een additionele belemmering van de tweede categorie. Derhalve zal </w:t>
      </w:r>
      <w:r>
        <w:t>hierna zowel</w:t>
      </w:r>
      <w:r w:rsidRPr="00347436">
        <w:t xml:space="preserve"> de belemmering bestaande uit artikel 10a zelf </w:t>
      </w:r>
      <w:r>
        <w:t>alsmede de wijze waarop de bewijslast is verdeeld worden onderzocht</w:t>
      </w:r>
      <w:r w:rsidRPr="00347436">
        <w:t xml:space="preserve">. </w:t>
      </w:r>
    </w:p>
    <w:p w:rsidR="00652D1F" w:rsidRDefault="00652D1F" w:rsidP="00AC0BC5">
      <w:pPr>
        <w:spacing w:line="360" w:lineRule="auto"/>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Pr="005E38FB" w:rsidRDefault="00652D1F" w:rsidP="00AC0BC5">
      <w:pPr>
        <w:spacing w:line="360" w:lineRule="auto"/>
        <w:rPr>
          <w:b/>
          <w:u w:val="single"/>
        </w:rPr>
      </w:pPr>
      <w:r>
        <w:rPr>
          <w:b/>
          <w:u w:val="single"/>
        </w:rPr>
        <w:t>5.</w:t>
      </w:r>
      <w:r w:rsidRPr="005E38FB">
        <w:rPr>
          <w:b/>
          <w:u w:val="single"/>
        </w:rPr>
        <w:t xml:space="preserve"> </w:t>
      </w:r>
      <w:r>
        <w:rPr>
          <w:b/>
          <w:u w:val="single"/>
        </w:rPr>
        <w:t>Aanwezigheid van een r</w:t>
      </w:r>
      <w:r w:rsidRPr="005E38FB">
        <w:rPr>
          <w:b/>
          <w:u w:val="single"/>
        </w:rPr>
        <w:t>echtvaardigingsgrond</w:t>
      </w:r>
    </w:p>
    <w:p w:rsidR="00652D1F" w:rsidRPr="00347436" w:rsidRDefault="00652D1F" w:rsidP="00AC0BC5">
      <w:pPr>
        <w:spacing w:line="360" w:lineRule="auto"/>
      </w:pPr>
    </w:p>
    <w:p w:rsidR="00652D1F" w:rsidRDefault="00652D1F" w:rsidP="00AC0BC5">
      <w:pPr>
        <w:spacing w:line="360" w:lineRule="auto"/>
        <w:rPr>
          <w:b/>
          <w:u w:val="single"/>
        </w:rPr>
      </w:pPr>
      <w:r>
        <w:rPr>
          <w:b/>
          <w:u w:val="single"/>
        </w:rPr>
        <w:t>5.1 Dwingende redenen van algemeen belang/rechtvaardigingsgronden</w:t>
      </w:r>
    </w:p>
    <w:p w:rsidR="00652D1F" w:rsidRDefault="00652D1F" w:rsidP="00AC0BC5">
      <w:pPr>
        <w:spacing w:line="360" w:lineRule="auto"/>
        <w:rPr>
          <w:b/>
          <w:u w:val="single"/>
        </w:rPr>
      </w:pPr>
    </w:p>
    <w:p w:rsidR="00652D1F" w:rsidRDefault="00652D1F" w:rsidP="00DC6555">
      <w:pPr>
        <w:spacing w:line="360" w:lineRule="auto"/>
      </w:pPr>
      <w:r>
        <w:t>Artikel 10a zal enkel aan de rechtvaardigingsgrond van misbruik worden getoetst, omdat, hoewel artikel 10a een grondslagbeschermende functie heeft, zij primair een antimisbruik karakter heeft. Naar mijn mening zijn de rechtvaardigingsgronden ‘fiscale cohesie’ en ‘misbruik/volstrekt kunstmatig’ toegespitst op verscheidene situaties. De dwingende reden van algemeen belang ‘fiscale cohesie’ vindt namelijk toepassing in het geval dat er sprake is van de reguliere toepassing van een regeling die in grensoverschrijdende gevallen tot een onwenselijk resultaat leidt.</w:t>
      </w:r>
      <w:r w:rsidR="00C24922">
        <w:rPr>
          <w:rStyle w:val="Voetnootmarkering"/>
        </w:rPr>
        <w:footnoteReference w:id="197"/>
      </w:r>
      <w:r>
        <w:t xml:space="preserve"> In het geval van misbruik daarentegen gaat het om de bestrijding van gedragingen die zowel in interne als grensoverschrijdende situaties tot een onwenselijk resultaat leiden, een resultaat welk in strijd is met doel en strekking van de wet. Aangezien artikel 10a zich ten doel heeft gesteld om rentebetalingen op basis van fiscale motieven uit te sluiten van aftrek gaat het hier om een antimisbruik regeling. Een regeling die gericht is tegen het onjuist gebruikmaken van het winstbegrip en niet zoals, bijvoorbeeld in het geval van de beperking op de toepassing van het ‘fiscale eenheid’-regime, de juiste toepassing van een regeling welke grensoverschrijdend onwenselijk uitpakt.</w:t>
      </w:r>
      <w:r>
        <w:rPr>
          <w:rStyle w:val="Voetnootmarkering"/>
        </w:rPr>
        <w:footnoteReference w:id="198"/>
      </w:r>
      <w:r>
        <w:t xml:space="preserve"> Derhalve ben ik het ook oneens met het feit dat de Vakstudie Nieuws Marks &amp; Spencer (hierna: M&amp;S) als een misbruikarrest classificeert, M&amp;S maakt namelijk geen misbruik echter gebruik van een regeling. Dit laat natuurlijk onverlet het feit dat er door middel van een dergelijke regeling misbruik kan worden gepleegd door het schuiven van winsten naar laagbelaste jurisdicties, mits er sprake is van een puur kunstmatige constructie.</w:t>
      </w:r>
      <w:r>
        <w:rPr>
          <w:rStyle w:val="Voetnootmarkering"/>
        </w:rPr>
        <w:footnoteReference w:id="199"/>
      </w:r>
      <w:r>
        <w:t xml:space="preserve"> </w:t>
      </w:r>
    </w:p>
    <w:p w:rsidR="00652D1F" w:rsidRDefault="00652D1F" w:rsidP="00AC0BC5">
      <w:pPr>
        <w:spacing w:line="360" w:lineRule="auto"/>
      </w:pPr>
    </w:p>
    <w:p w:rsidR="00652D1F" w:rsidRDefault="00652D1F" w:rsidP="00DC6555">
      <w:pPr>
        <w:spacing w:line="360" w:lineRule="auto"/>
      </w:pPr>
      <w:r>
        <w:t>Wel dient bij het bovenstaande te worden aangetekend dat antimisbruik maatregelen wel een cohesie bewarende functie hebben. Men zou derhalve kunnen stellen dat zij een ondersoort van de grondslagbeschermende maatregelen zijn. Wattel en Terra gaan verder en stellen dat naast ‘fiscale cohesie’ misbruik zijn waarde als rechtvaardigingsgrond heeft verloren.</w:t>
      </w:r>
      <w:r>
        <w:rPr>
          <w:rStyle w:val="Voetnootmarkering"/>
        </w:rPr>
        <w:footnoteReference w:id="200"/>
      </w:r>
      <w:r>
        <w:t xml:space="preserve"> Als het aankomt op de vaststelling van de aanwezigheid van een rechtvaardiging hebben zij hier zeer zeker gelijk in, echter miskennen zij hiermee een ander essentieel element van het beslisschema namelijk het evenredigheidsbeginsel. Zoals duidelijk blijkt uit M&amp;S kan een regeling, welke is gerechtvaardigd uit hoofde van de bescherming van de fiscale cohesie, in het uiterste geval wel worden ingeperkt ten gevolge van de evenwichtigheidtoets. In het geval van misbruik zal dit nooit het geval zijn, aangezien misbruik geen legitiem doel van de interne markt nastreeft.</w:t>
      </w:r>
      <w:r w:rsidR="00C24922">
        <w:rPr>
          <w:rStyle w:val="Voetnootmarkering"/>
        </w:rPr>
        <w:footnoteReference w:id="201"/>
      </w: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r>
        <w:rPr>
          <w:b/>
          <w:u w:val="single"/>
        </w:rPr>
        <w:t>5.2 Misbruik in EU</w:t>
      </w:r>
      <w:r w:rsidRPr="00347436">
        <w:rPr>
          <w:b/>
          <w:u w:val="single"/>
        </w:rPr>
        <w:t xml:space="preserve"> verband</w:t>
      </w:r>
    </w:p>
    <w:p w:rsidR="00652D1F" w:rsidRPr="00347436" w:rsidRDefault="00652D1F" w:rsidP="00AC0BC5">
      <w:pPr>
        <w:spacing w:line="360" w:lineRule="auto"/>
        <w:rPr>
          <w:b/>
          <w:u w:val="single"/>
        </w:rPr>
      </w:pPr>
    </w:p>
    <w:p w:rsidR="00652D1F" w:rsidRPr="00347436" w:rsidRDefault="00652D1F" w:rsidP="00EE2C45">
      <w:pPr>
        <w:spacing w:line="360" w:lineRule="auto"/>
      </w:pPr>
      <w:r>
        <w:t>Nu dat is vastgesteld dat</w:t>
      </w:r>
      <w:r w:rsidRPr="00347436">
        <w:t xml:space="preserve"> artikel 10a een belemmering</w:t>
      </w:r>
      <w:r>
        <w:t xml:space="preserve"> is</w:t>
      </w:r>
      <w:r w:rsidRPr="00347436">
        <w:t>,</w:t>
      </w:r>
      <w:r>
        <w:t xml:space="preserve"> welke aldus enkel kan worden gerechtvaardigd uit hoofde van de dwingende reden van algemeen belang misbruik, dient de reikwijdte hiervan te worden vastgesteld, zodat artikel 10a ten opzichte hiervan kan worden beoordeeld aan de hand van het evenredigheidsbeginsel. Om de reikwijdte van deze dwingende reden van algemeen belang</w:t>
      </w:r>
      <w:r w:rsidRPr="00347436">
        <w:t xml:space="preserve"> vast te kunnen stellen zal de invulling welk </w:t>
      </w:r>
      <w:r>
        <w:t>de</w:t>
      </w:r>
      <w:r w:rsidRPr="00347436">
        <w:t xml:space="preserve"> communautaire recht</w:t>
      </w:r>
      <w:r>
        <w:t>spraak</w:t>
      </w:r>
      <w:r w:rsidRPr="00347436">
        <w:t xml:space="preserve"> aan misbruik geeft worden besproken.</w:t>
      </w:r>
    </w:p>
    <w:p w:rsidR="00652D1F" w:rsidRPr="00347436" w:rsidRDefault="00652D1F" w:rsidP="00AC0BC5">
      <w:pPr>
        <w:spacing w:line="360" w:lineRule="auto"/>
      </w:pPr>
    </w:p>
    <w:p w:rsidR="00652D1F" w:rsidRPr="00347436" w:rsidRDefault="00652D1F" w:rsidP="00B2202F">
      <w:pPr>
        <w:spacing w:line="360" w:lineRule="auto"/>
      </w:pPr>
      <w:r w:rsidRPr="00347436">
        <w:t xml:space="preserve">Uit de jurisprudentie van het </w:t>
      </w:r>
      <w:r>
        <w:t>HvJ EG</w:t>
      </w:r>
      <w:r w:rsidRPr="00347436">
        <w:t xml:space="preserve"> valt op te maken dat de aanwezigheid van misbruik kan worden vastgesteld wanneer “</w:t>
      </w:r>
      <w:r w:rsidRPr="007538BA">
        <w:rPr>
          <w:i/>
          <w:iCs/>
        </w:rPr>
        <w:t>er een volstrekt kunstmatige constructie bestaat die alleen bedoeld is om (..) belasting te ontwijken</w:t>
      </w:r>
      <w:r w:rsidRPr="00347436">
        <w:t>.”</w:t>
      </w:r>
      <w:r w:rsidRPr="00347436">
        <w:rPr>
          <w:rStyle w:val="Voetnootmarkering"/>
        </w:rPr>
        <w:footnoteReference w:id="202"/>
      </w:r>
      <w:r w:rsidRPr="00347436">
        <w:t xml:space="preserve"> Dit vereist, net zoals de Nederlandse ‘fraus legis’-jurisprudentie, twee elementen</w:t>
      </w:r>
      <w:r>
        <w:t>,</w:t>
      </w:r>
      <w:r w:rsidRPr="00347436">
        <w:t xml:space="preserve"> een subjectief element</w:t>
      </w:r>
      <w:r>
        <w:t>,</w:t>
      </w:r>
      <w:r w:rsidRPr="00347436">
        <w:t xml:space="preserve"> namelijk de bedoeling tot ontwijking en een objectief element</w:t>
      </w:r>
      <w:r>
        <w:t>,</w:t>
      </w:r>
      <w:r w:rsidRPr="00347436">
        <w:t xml:space="preserve"> de vaststelling van volstrekte kunstmatigheid</w:t>
      </w:r>
      <w:r>
        <w:t>.</w:t>
      </w:r>
      <w:r w:rsidRPr="00347436">
        <w:rPr>
          <w:rStyle w:val="Voetnootmarkering"/>
        </w:rPr>
        <w:footnoteReference w:id="203"/>
      </w:r>
      <w:r>
        <w:t xml:space="preserve"> Weber stelt de aanwezigheid van een derde vereiste, namelijk het voordeelvereiste. Hier zal echter niet verder op worden ingegaan aangezien dit, mijns inziens, inherent is aan het ontwijken van belasting.</w:t>
      </w:r>
      <w:r>
        <w:rPr>
          <w:rStyle w:val="Voetnootmarkering"/>
        </w:rPr>
        <w:footnoteReference w:id="204"/>
      </w:r>
      <w:r>
        <w:t xml:space="preserve"> Dat dit in de Nederlandse ‘fraus legis’-jurisprudentie ook het geval is kan men afleiden uit de zuiverende werking van een compenserende heffing.</w:t>
      </w:r>
      <w:r>
        <w:rPr>
          <w:rStyle w:val="Voetnootmarkering"/>
        </w:rPr>
        <w:footnoteReference w:id="205"/>
      </w:r>
      <w:r>
        <w:t xml:space="preserve"> </w:t>
      </w:r>
      <w:r w:rsidRPr="00347436">
        <w:t xml:space="preserve">In de volgende onderdelen zullen beide worden besproken </w:t>
      </w:r>
      <w:r>
        <w:t xml:space="preserve">aan de hand van </w:t>
      </w:r>
      <w:r w:rsidRPr="00347436">
        <w:t>relevante jurisprudentie en literatuur.</w:t>
      </w: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 xml:space="preserve">5.2.1 </w:t>
      </w:r>
      <w:r w:rsidRPr="00347436">
        <w:rPr>
          <w:b/>
          <w:u w:val="single"/>
        </w:rPr>
        <w:t>Volstrekt kunstmatige constructie</w:t>
      </w:r>
    </w:p>
    <w:p w:rsidR="00652D1F" w:rsidRPr="00347436" w:rsidRDefault="00652D1F" w:rsidP="00AC0BC5">
      <w:pPr>
        <w:spacing w:line="360" w:lineRule="auto"/>
        <w:rPr>
          <w:b/>
          <w:u w:val="single"/>
        </w:rPr>
      </w:pPr>
    </w:p>
    <w:p w:rsidR="00652D1F" w:rsidRPr="00347436" w:rsidRDefault="00652D1F" w:rsidP="00EE2C45">
      <w:pPr>
        <w:spacing w:line="360" w:lineRule="auto"/>
      </w:pPr>
      <w:r>
        <w:t>Lankhorst-</w:t>
      </w:r>
      <w:r w:rsidRPr="00347436">
        <w:t>Hohorst was een van de eerste arresten waarin het kunstmatigheid</w:t>
      </w:r>
      <w:r>
        <w:t>s</w:t>
      </w:r>
      <w:r w:rsidRPr="00347436">
        <w:t>criterium werd toege</w:t>
      </w:r>
      <w:r>
        <w:t>past.</w:t>
      </w:r>
      <w:r w:rsidR="00C24922">
        <w:rPr>
          <w:rStyle w:val="Voetnootmarkering"/>
        </w:rPr>
        <w:footnoteReference w:id="206"/>
      </w:r>
      <w:r>
        <w:t xml:space="preserve"> </w:t>
      </w:r>
      <w:r w:rsidRPr="00347436">
        <w:t xml:space="preserve">In </w:t>
      </w:r>
      <w:r>
        <w:t>dit arrest</w:t>
      </w:r>
      <w:r w:rsidRPr="00347436">
        <w:t xml:space="preserve"> draaide het om een Duitse wetsbepaling die rentebetalingen aan </w:t>
      </w:r>
      <w:r w:rsidR="00C24922">
        <w:t>houders van deelnemingen</w:t>
      </w:r>
      <w:r w:rsidRPr="00347436">
        <w:t xml:space="preserve"> enkel in aftrek toestond</w:t>
      </w:r>
      <w:r>
        <w:t>,</w:t>
      </w:r>
      <w:r w:rsidRPr="00347436">
        <w:t xml:space="preserve"> mits deze plaat</w:t>
      </w:r>
      <w:r>
        <w:t>s</w:t>
      </w:r>
      <w:r w:rsidRPr="00347436">
        <w:t xml:space="preserve">vonden ten gunste van een voor de Duitse </w:t>
      </w:r>
      <w:r w:rsidRPr="00292A58">
        <w:t>vennootschapsbelasting aftrekgerechtigde en “</w:t>
      </w:r>
      <w:r w:rsidRPr="00292A58">
        <w:rPr>
          <w:i/>
          <w:iCs/>
        </w:rPr>
        <w:t>voorzover het vreemd vermogen op enig tijdstip in het boekjaar meer dan driemaal de deelneming in het kapitaal van de aandeelhouder heeft bedragen, tenzij de kapitaalvennootschap dit vreemd vermogen bij voor het overige gelijke omstandigheden ook van een derde had kunnen verkrijgen</w:t>
      </w:r>
      <w:r w:rsidRPr="00292A58">
        <w:t>”.</w:t>
      </w:r>
      <w:r w:rsidRPr="00292A58">
        <w:rPr>
          <w:rStyle w:val="Voetnootmarkering"/>
        </w:rPr>
        <w:footnoteReference w:id="207"/>
      </w:r>
      <w:r w:rsidRPr="00292A58">
        <w:t xml:space="preserve"> Het HvJ EG oordeelde dat deze regeling “</w:t>
      </w:r>
      <w:r w:rsidRPr="00292A58">
        <w:rPr>
          <w:i/>
          <w:iCs/>
        </w:rPr>
        <w:t>niet specifiek tot doel heeft puur kunstmatige constructies</w:t>
      </w:r>
      <w:r w:rsidRPr="00292A58">
        <w:t>”</w:t>
      </w:r>
      <w:r w:rsidRPr="00292A58">
        <w:rPr>
          <w:rStyle w:val="Voetnootmarkering"/>
        </w:rPr>
        <w:footnoteReference w:id="208"/>
      </w:r>
      <w:r w:rsidRPr="00292A58">
        <w:t xml:space="preserve"> uit te sluiten, echter ook in andere situaties van toepassing zou worden. In de onderhavige zaak werden de gelden namelijk aangewend om haar rentelasten te verminderen, het feit dat daar een belastingvoordeel bij werd behaald deed niet af aan legitimiteit van de transacties.</w:t>
      </w:r>
      <w:r w:rsidRPr="00292A58">
        <w:rPr>
          <w:rStyle w:val="Voetnootmarkering"/>
        </w:rPr>
        <w:footnoteReference w:id="209"/>
      </w:r>
    </w:p>
    <w:p w:rsidR="00652D1F" w:rsidRPr="00347436" w:rsidRDefault="00652D1F" w:rsidP="00AC0BC5">
      <w:pPr>
        <w:spacing w:line="360" w:lineRule="auto"/>
      </w:pPr>
    </w:p>
    <w:p w:rsidR="00652D1F" w:rsidRPr="00347436" w:rsidRDefault="00652D1F" w:rsidP="009602FF">
      <w:pPr>
        <w:spacing w:line="360" w:lineRule="auto"/>
        <w:rPr>
          <w:rFonts w:eastAsia="Times New Roman"/>
          <w:lang w:eastAsia="en-US"/>
        </w:rPr>
      </w:pPr>
      <w:r w:rsidRPr="00347436">
        <w:t xml:space="preserve">Hetgeen duidelijk uit de </w:t>
      </w:r>
      <w:r w:rsidR="001911CE">
        <w:t>misbruik</w:t>
      </w:r>
      <w:r w:rsidRPr="00347436">
        <w:t>jurisprudentie naar</w:t>
      </w:r>
      <w:r>
        <w:t xml:space="preserve"> </w:t>
      </w:r>
      <w:r w:rsidRPr="00347436">
        <w:t>voren komt is</w:t>
      </w:r>
      <w:r>
        <w:t>,</w:t>
      </w:r>
      <w:r w:rsidRPr="00347436">
        <w:t xml:space="preserve"> dat het feit dat een vennootschap een gelieerd lichaam heeft dat in een andere lidstaat is gevestigd en </w:t>
      </w:r>
      <w:r>
        <w:t>uit die hoofde</w:t>
      </w:r>
      <w:r w:rsidRPr="00347436">
        <w:t xml:space="preserve"> bepaalde fiscale voordelen geniet niet het vermoeden van misbruik rechtvaardigt</w:t>
      </w:r>
      <w:r>
        <w:t>.</w:t>
      </w:r>
      <w:r w:rsidRPr="00347436">
        <w:rPr>
          <w:rStyle w:val="Voetnootmarkering"/>
        </w:rPr>
        <w:footnoteReference w:id="210"/>
      </w:r>
      <w:r w:rsidRPr="00347436">
        <w:t xml:space="preserve"> In ICI overweegt het </w:t>
      </w:r>
      <w:r>
        <w:t xml:space="preserve">HvJ EG </w:t>
      </w:r>
      <w:r w:rsidRPr="00347436">
        <w:t>hieromtrent: “</w:t>
      </w:r>
      <w:r w:rsidRPr="007538BA">
        <w:rPr>
          <w:rFonts w:eastAsia="Times New Roman"/>
          <w:i/>
          <w:iCs/>
          <w:lang w:eastAsia="en-US"/>
        </w:rPr>
        <w:t>De vestiging van een vennootschap buiten het Verenigd Koninkrijk betekent op zich evenwel niet, dat er sprake is van belastingontduiking, aangezien de betrokken vennootschap hoe dan ook onderworpen is aan het belastingstelsel van de staat van vestiging</w:t>
      </w:r>
      <w:r w:rsidRPr="00347436">
        <w:rPr>
          <w:rFonts w:eastAsia="Times New Roman"/>
          <w:lang w:eastAsia="en-US"/>
        </w:rPr>
        <w:t>.”</w:t>
      </w:r>
      <w:r w:rsidRPr="00347436">
        <w:rPr>
          <w:rStyle w:val="Voetnootmarkering"/>
          <w:rFonts w:eastAsia="Times New Roman"/>
          <w:lang w:eastAsia="en-US"/>
        </w:rPr>
        <w:footnoteReference w:id="211"/>
      </w:r>
      <w:r w:rsidRPr="00347436">
        <w:rPr>
          <w:rFonts w:eastAsia="Times New Roman"/>
          <w:lang w:eastAsia="en-US"/>
        </w:rPr>
        <w:t xml:space="preserve"> Zelfs als deze in een schadelijke belastingsjurisdictie is gevestigd zou dit aan het bovenstaande geen afbreuk mogen doen</w:t>
      </w:r>
      <w:r>
        <w:rPr>
          <w:rFonts w:eastAsia="Times New Roman"/>
          <w:lang w:eastAsia="en-US"/>
        </w:rPr>
        <w:t>.</w:t>
      </w:r>
      <w:r w:rsidRPr="00347436">
        <w:rPr>
          <w:rStyle w:val="Voetnootmarkering"/>
          <w:rFonts w:eastAsia="Times New Roman"/>
          <w:lang w:eastAsia="en-US"/>
        </w:rPr>
        <w:footnoteReference w:id="212"/>
      </w:r>
    </w:p>
    <w:p w:rsidR="00652D1F" w:rsidRPr="00347436" w:rsidRDefault="00652D1F" w:rsidP="00AC0BC5">
      <w:pPr>
        <w:spacing w:line="360" w:lineRule="auto"/>
        <w:rPr>
          <w:rFonts w:eastAsia="Times New Roman"/>
          <w:lang w:eastAsia="en-US"/>
        </w:rPr>
      </w:pPr>
    </w:p>
    <w:p w:rsidR="00652D1F" w:rsidRPr="00347436" w:rsidRDefault="00652D1F" w:rsidP="00B2202F">
      <w:pPr>
        <w:spacing w:line="360" w:lineRule="auto"/>
        <w:rPr>
          <w:rFonts w:eastAsia="Times New Roman"/>
          <w:lang w:eastAsia="en-US"/>
        </w:rPr>
      </w:pPr>
      <w:r w:rsidRPr="00347436">
        <w:rPr>
          <w:rFonts w:eastAsia="Times New Roman"/>
          <w:lang w:eastAsia="en-US"/>
        </w:rPr>
        <w:t>Misbruik van de vrijheid van vestiging moet daarentegen worden beoordeeld vanuit “</w:t>
      </w:r>
      <w:r w:rsidRPr="007538BA">
        <w:rPr>
          <w:rFonts w:eastAsia="Times New Roman"/>
          <w:i/>
          <w:iCs/>
          <w:lang w:eastAsia="en-US"/>
        </w:rPr>
        <w:t>het doel dat met de vrijheid van vestiging wordt beoogd</w:t>
      </w:r>
      <w:r w:rsidRPr="00347436">
        <w:rPr>
          <w:rFonts w:eastAsia="Times New Roman"/>
          <w:lang w:eastAsia="en-US"/>
        </w:rPr>
        <w:t>”</w:t>
      </w:r>
      <w:r>
        <w:rPr>
          <w:rFonts w:eastAsia="Times New Roman"/>
          <w:lang w:eastAsia="en-US"/>
        </w:rPr>
        <w:t>.</w:t>
      </w:r>
      <w:r w:rsidRPr="00347436">
        <w:rPr>
          <w:rStyle w:val="Voetnootmarkering"/>
          <w:rFonts w:eastAsia="Times New Roman"/>
          <w:lang w:eastAsia="en-US"/>
        </w:rPr>
        <w:footnoteReference w:id="213"/>
      </w:r>
      <w:r w:rsidRPr="00347436">
        <w:rPr>
          <w:rFonts w:eastAsia="Times New Roman"/>
          <w:lang w:eastAsia="en-US"/>
        </w:rPr>
        <w:t xml:space="preserve"> De vrijheid van vestiging stree</w:t>
      </w:r>
      <w:r>
        <w:rPr>
          <w:rFonts w:eastAsia="Times New Roman"/>
          <w:lang w:eastAsia="en-US"/>
        </w:rPr>
        <w:t>ft er na de ‘economische vervlechting’</w:t>
      </w:r>
      <w:r w:rsidRPr="00347436">
        <w:rPr>
          <w:rFonts w:eastAsia="Times New Roman"/>
          <w:lang w:eastAsia="en-US"/>
        </w:rPr>
        <w:t xml:space="preserve"> van de Europese </w:t>
      </w:r>
      <w:r>
        <w:rPr>
          <w:rFonts w:eastAsia="Times New Roman"/>
          <w:lang w:eastAsia="en-US"/>
        </w:rPr>
        <w:t>Unie</w:t>
      </w:r>
      <w:r w:rsidRPr="00347436">
        <w:rPr>
          <w:rFonts w:eastAsia="Times New Roman"/>
          <w:lang w:eastAsia="en-US"/>
        </w:rPr>
        <w:t xml:space="preserve"> te bevorderen door het verbieden van belemmeringen </w:t>
      </w:r>
      <w:r>
        <w:rPr>
          <w:rFonts w:eastAsia="Times New Roman"/>
          <w:lang w:eastAsia="en-US"/>
        </w:rPr>
        <w:t xml:space="preserve">die </w:t>
      </w:r>
      <w:r w:rsidRPr="00347436">
        <w:rPr>
          <w:rFonts w:eastAsia="Times New Roman"/>
          <w:lang w:eastAsia="en-US"/>
        </w:rPr>
        <w:t>ten koste</w:t>
      </w:r>
      <w:r>
        <w:rPr>
          <w:rFonts w:eastAsia="Times New Roman"/>
          <w:lang w:eastAsia="en-US"/>
        </w:rPr>
        <w:t xml:space="preserve"> gaan</w:t>
      </w:r>
      <w:r w:rsidRPr="00347436">
        <w:rPr>
          <w:rFonts w:eastAsia="Times New Roman"/>
          <w:lang w:eastAsia="en-US"/>
        </w:rPr>
        <w:t xml:space="preserve"> van reële economische activiteiten.</w:t>
      </w:r>
      <w:r w:rsidRPr="00347436">
        <w:rPr>
          <w:rStyle w:val="Voetnootmarkering"/>
          <w:rFonts w:eastAsia="Times New Roman"/>
          <w:lang w:eastAsia="en-US"/>
        </w:rPr>
        <w:footnoteReference w:id="214"/>
      </w:r>
      <w:r w:rsidRPr="00347436">
        <w:rPr>
          <w:rFonts w:eastAsia="Times New Roman"/>
          <w:lang w:eastAsia="en-US"/>
        </w:rPr>
        <w:t xml:space="preserve"> Hieruit vloeit voort dat de vrijheid van vestiging strekt ter bescherming van “</w:t>
      </w:r>
      <w:r w:rsidRPr="007538BA">
        <w:rPr>
          <w:rFonts w:eastAsia="Times New Roman"/>
          <w:i/>
          <w:iCs/>
          <w:lang w:eastAsia="en-US"/>
        </w:rPr>
        <w:t>de daadwerkelijke uitoefening van een economische activiteit voor onbepaalde tijd door middel van een duurzame vestiging</w:t>
      </w:r>
      <w:r w:rsidRPr="00347436">
        <w:rPr>
          <w:rFonts w:eastAsia="Times New Roman"/>
          <w:lang w:eastAsia="en-US"/>
        </w:rPr>
        <w:t>”</w:t>
      </w:r>
      <w:r w:rsidRPr="00347436">
        <w:rPr>
          <w:rStyle w:val="Voetnootmarkering"/>
          <w:rFonts w:eastAsia="Times New Roman"/>
          <w:lang w:eastAsia="en-US"/>
        </w:rPr>
        <w:footnoteReference w:id="215"/>
      </w:r>
      <w:r w:rsidRPr="00347436">
        <w:rPr>
          <w:rFonts w:eastAsia="Times New Roman"/>
          <w:lang w:eastAsia="en-US"/>
        </w:rPr>
        <w:t xml:space="preserve"> in een lidstaat, zoals reeds eerder </w:t>
      </w:r>
      <w:r>
        <w:rPr>
          <w:rFonts w:eastAsia="Times New Roman"/>
          <w:lang w:eastAsia="en-US"/>
        </w:rPr>
        <w:t xml:space="preserve">is </w:t>
      </w:r>
      <w:r w:rsidRPr="00347436">
        <w:rPr>
          <w:rFonts w:eastAsia="Times New Roman"/>
          <w:lang w:eastAsia="en-US"/>
        </w:rPr>
        <w:t xml:space="preserve">aangehaald. </w:t>
      </w:r>
      <w:r>
        <w:rPr>
          <w:rFonts w:eastAsia="Times New Roman"/>
          <w:lang w:eastAsia="en-US"/>
        </w:rPr>
        <w:t>Als misbruik in EU</w:t>
      </w:r>
      <w:r w:rsidRPr="00347436">
        <w:rPr>
          <w:rFonts w:eastAsia="Times New Roman"/>
          <w:lang w:eastAsia="en-US"/>
        </w:rPr>
        <w:t xml:space="preserve"> context </w:t>
      </w:r>
      <w:r>
        <w:rPr>
          <w:rFonts w:eastAsia="Times New Roman"/>
          <w:lang w:eastAsia="en-US"/>
        </w:rPr>
        <w:t>wordt derhalve</w:t>
      </w:r>
      <w:r w:rsidRPr="00347436">
        <w:rPr>
          <w:rFonts w:eastAsia="Times New Roman"/>
          <w:lang w:eastAsia="en-US"/>
        </w:rPr>
        <w:t xml:space="preserve"> enkel beschouwd de creatie van volstrekt kunstmatige constructies</w:t>
      </w:r>
      <w:r>
        <w:rPr>
          <w:rFonts w:eastAsia="Times New Roman"/>
          <w:lang w:eastAsia="en-US"/>
        </w:rPr>
        <w:t>,</w:t>
      </w:r>
      <w:r w:rsidRPr="00347436">
        <w:rPr>
          <w:rFonts w:eastAsia="Times New Roman"/>
          <w:lang w:eastAsia="en-US"/>
        </w:rPr>
        <w:t xml:space="preserve"> hetgeen inhoud</w:t>
      </w:r>
      <w:r>
        <w:rPr>
          <w:rFonts w:eastAsia="Times New Roman"/>
          <w:lang w:eastAsia="en-US"/>
        </w:rPr>
        <w:t>t</w:t>
      </w:r>
      <w:r w:rsidRPr="00347436">
        <w:rPr>
          <w:rFonts w:eastAsia="Times New Roman"/>
          <w:lang w:eastAsia="en-US"/>
        </w:rPr>
        <w:t xml:space="preserve"> een activiteit zonder </w:t>
      </w:r>
      <w:r>
        <w:rPr>
          <w:rFonts w:eastAsia="Times New Roman"/>
          <w:lang w:eastAsia="en-US"/>
        </w:rPr>
        <w:t xml:space="preserve">enige verbondenheid met de </w:t>
      </w:r>
      <w:r w:rsidRPr="00347436">
        <w:rPr>
          <w:rFonts w:eastAsia="Times New Roman"/>
          <w:lang w:eastAsia="en-US"/>
        </w:rPr>
        <w:t xml:space="preserve">economische realiteit en geldt voor hen aldus geen bescherming. </w:t>
      </w:r>
      <w:r>
        <w:rPr>
          <w:rFonts w:eastAsia="Times New Roman"/>
          <w:lang w:eastAsia="en-US"/>
        </w:rPr>
        <w:t>Essentieel in deze is ondermeer dat men ook de mogelijkheid bezit deze omstandigheden te creëren en die</w:t>
      </w:r>
      <w:r w:rsidR="001911CE">
        <w:rPr>
          <w:rFonts w:eastAsia="Times New Roman"/>
          <w:lang w:eastAsia="en-US"/>
        </w:rPr>
        <w:t>novereenkomstig heeft gecreëerd, anders kan er namelijk nooit sprake zijn van intentie.</w:t>
      </w:r>
    </w:p>
    <w:p w:rsidR="00652D1F" w:rsidRPr="00347436" w:rsidRDefault="00652D1F" w:rsidP="00AC0BC5">
      <w:pPr>
        <w:spacing w:line="360" w:lineRule="auto"/>
        <w:rPr>
          <w:rFonts w:eastAsia="Times New Roman"/>
          <w:lang w:eastAsia="en-US"/>
        </w:rPr>
      </w:pPr>
    </w:p>
    <w:p w:rsidR="00652D1F" w:rsidRDefault="00652D1F" w:rsidP="008D407D">
      <w:pPr>
        <w:spacing w:line="360" w:lineRule="auto"/>
        <w:rPr>
          <w:lang w:eastAsia="nl-NL"/>
        </w:rPr>
      </w:pPr>
      <w:r>
        <w:rPr>
          <w:lang w:eastAsia="nl-NL"/>
        </w:rPr>
        <w:t>De vraag rijst nu op welk</w:t>
      </w:r>
      <w:r w:rsidRPr="00347436">
        <w:rPr>
          <w:lang w:eastAsia="nl-NL"/>
        </w:rPr>
        <w:t xml:space="preserve"> niveau deze </w:t>
      </w:r>
      <w:r>
        <w:rPr>
          <w:lang w:eastAsia="nl-NL"/>
        </w:rPr>
        <w:t>toets dient te worden toegepast?</w:t>
      </w:r>
      <w:r w:rsidRPr="00347436">
        <w:rPr>
          <w:lang w:eastAsia="nl-NL"/>
        </w:rPr>
        <w:t xml:space="preserve"> Zuivert de aanwezigheid van enig</w:t>
      </w:r>
      <w:r>
        <w:rPr>
          <w:lang w:eastAsia="nl-NL"/>
        </w:rPr>
        <w:t>e</w:t>
      </w:r>
      <w:r w:rsidRPr="00347436">
        <w:rPr>
          <w:lang w:eastAsia="nl-NL"/>
        </w:rPr>
        <w:t xml:space="preserve"> </w:t>
      </w:r>
      <w:r>
        <w:rPr>
          <w:lang w:eastAsia="nl-NL"/>
        </w:rPr>
        <w:t>reële activiteit alle transa</w:t>
      </w:r>
      <w:r w:rsidRPr="00347436">
        <w:rPr>
          <w:lang w:eastAsia="nl-NL"/>
        </w:rPr>
        <w:t>cties van een vestiging of dient dat per t</w:t>
      </w:r>
      <w:r>
        <w:rPr>
          <w:lang w:eastAsia="nl-NL"/>
        </w:rPr>
        <w:t>ransactie te worden vastgesteld?</w:t>
      </w:r>
      <w:r w:rsidRPr="00347436">
        <w:rPr>
          <w:lang w:eastAsia="nl-NL"/>
        </w:rPr>
        <w:t xml:space="preserve"> </w:t>
      </w:r>
      <w:r>
        <w:rPr>
          <w:lang w:eastAsia="nl-NL"/>
        </w:rPr>
        <w:t>Thin Cap GLO</w:t>
      </w:r>
      <w:r w:rsidRPr="00347436">
        <w:rPr>
          <w:lang w:eastAsia="nl-NL"/>
        </w:rPr>
        <w:t xml:space="preserve"> heeft betrekking op een Britse onderkapitalisatieregeling. Deze stelt dat rentebetalingen in zoverre deze niet </w:t>
      </w:r>
      <w:r>
        <w:rPr>
          <w:lang w:eastAsia="nl-NL"/>
        </w:rPr>
        <w:t>zijn gebaseerd</w:t>
      </w:r>
      <w:r w:rsidRPr="00347436">
        <w:rPr>
          <w:lang w:eastAsia="nl-NL"/>
        </w:rPr>
        <w:t xml:space="preserve"> op commerciële overwegingen niet in aftrek mogen worden gebracht</w:t>
      </w:r>
      <w:r>
        <w:rPr>
          <w:lang w:eastAsia="nl-NL"/>
        </w:rPr>
        <w:t>,</w:t>
      </w:r>
      <w:r w:rsidRPr="00347436">
        <w:rPr>
          <w:lang w:eastAsia="nl-NL"/>
        </w:rPr>
        <w:t xml:space="preserve"> aangezien deze op belastinguitholling oftewel ontwijking zouden zijn gericht. Het </w:t>
      </w:r>
      <w:r>
        <w:rPr>
          <w:lang w:eastAsia="nl-NL"/>
        </w:rPr>
        <w:t>HvJ EG</w:t>
      </w:r>
      <w:r w:rsidRPr="00347436">
        <w:rPr>
          <w:lang w:eastAsia="nl-NL"/>
        </w:rPr>
        <w:t xml:space="preserve"> oordeelt hier</w:t>
      </w:r>
      <w:r>
        <w:rPr>
          <w:lang w:eastAsia="nl-NL"/>
        </w:rPr>
        <w:t>over</w:t>
      </w:r>
      <w:r w:rsidRPr="00347436">
        <w:rPr>
          <w:lang w:eastAsia="nl-NL"/>
        </w:rPr>
        <w:t xml:space="preserve"> dat het niet in aftrek laten van het niet commercieel motiveerbare deel van de transactie in overeenstemming </w:t>
      </w:r>
      <w:r>
        <w:rPr>
          <w:lang w:eastAsia="nl-NL"/>
        </w:rPr>
        <w:t>is met</w:t>
      </w:r>
      <w:r w:rsidRPr="00347436">
        <w:rPr>
          <w:lang w:eastAsia="nl-NL"/>
        </w:rPr>
        <w:t xml:space="preserve"> het toegestane bestrijden van volst</w:t>
      </w:r>
      <w:r>
        <w:rPr>
          <w:lang w:eastAsia="nl-NL"/>
        </w:rPr>
        <w:t xml:space="preserve">rekt kunstmatige constructies. </w:t>
      </w:r>
      <w:r w:rsidRPr="00347436">
        <w:rPr>
          <w:lang w:eastAsia="nl-NL"/>
        </w:rPr>
        <w:t xml:space="preserve">In </w:t>
      </w:r>
      <w:r>
        <w:rPr>
          <w:lang w:eastAsia="nl-NL"/>
        </w:rPr>
        <w:t>r.o.</w:t>
      </w:r>
      <w:r w:rsidRPr="00347436">
        <w:rPr>
          <w:lang w:eastAsia="nl-NL"/>
        </w:rPr>
        <w:t xml:space="preserve"> 81 </w:t>
      </w:r>
      <w:r>
        <w:rPr>
          <w:lang w:eastAsia="nl-NL"/>
        </w:rPr>
        <w:t>stelt</w:t>
      </w:r>
      <w:r w:rsidRPr="00347436">
        <w:rPr>
          <w:lang w:eastAsia="nl-NL"/>
        </w:rPr>
        <w:t xml:space="preserve"> het </w:t>
      </w:r>
      <w:r>
        <w:rPr>
          <w:lang w:eastAsia="nl-NL"/>
        </w:rPr>
        <w:t>HvJ EG</w:t>
      </w:r>
      <w:r w:rsidRPr="00347436">
        <w:rPr>
          <w:lang w:eastAsia="nl-NL"/>
        </w:rPr>
        <w:t xml:space="preserve"> dat</w:t>
      </w:r>
      <w:r>
        <w:rPr>
          <w:lang w:eastAsia="nl-NL"/>
        </w:rPr>
        <w:t>;</w:t>
      </w:r>
    </w:p>
    <w:p w:rsidR="00652D1F" w:rsidRDefault="00652D1F" w:rsidP="00AC0BC5">
      <w:pPr>
        <w:spacing w:line="360" w:lineRule="auto"/>
        <w:rPr>
          <w:lang w:eastAsia="nl-NL"/>
        </w:rPr>
      </w:pPr>
    </w:p>
    <w:p w:rsidR="00652D1F" w:rsidRPr="00347436" w:rsidRDefault="00652D1F" w:rsidP="00AC0BC5">
      <w:pPr>
        <w:spacing w:line="360" w:lineRule="auto"/>
        <w:rPr>
          <w:lang w:eastAsia="nl-NL"/>
        </w:rPr>
      </w:pPr>
      <w:r w:rsidRPr="00347436">
        <w:rPr>
          <w:lang w:eastAsia="nl-NL"/>
        </w:rPr>
        <w:t xml:space="preserve"> “</w:t>
      </w:r>
      <w:r w:rsidRPr="00D6663E">
        <w:rPr>
          <w:i/>
          <w:iCs/>
          <w:lang w:eastAsia="nl-NL"/>
        </w:rPr>
        <w:t>de omstandigheid dat een ingezeten vennootschap van een niet-ingezetenen vennootschap een lening heeft gekregen onder voorwaarden die niet overeenstemmen met hetgeen de betrokken vennootschappen onder normale omstandigheden zouden zijn overeengekomen, vormt voor de lidstaat van vestiging van de kredietnemer immers een objectief en door derden verifieerbaar element om te bepalen of de betrokken transactie geheel of ten dele een louter kunstmatige constructie vormt, die voornamelijk is bedoeld om aan de belastingwetgeving van die lidstaat te ontsnappen. Hierbij gaat het om de vraag of de lening bij gebreke van een bijzondere relatie tussen de betrokken vennootschappen niet zou zijn verstrekt dan wel of deze zou zijn verstrekt voor een ander bedrag of tegen een andere rentevoet</w:t>
      </w:r>
      <w:r w:rsidRPr="00347436">
        <w:rPr>
          <w:lang w:eastAsia="nl-NL"/>
        </w:rPr>
        <w:t>.”</w:t>
      </w:r>
      <w:r>
        <w:rPr>
          <w:rStyle w:val="Voetnootmarkering"/>
          <w:lang w:eastAsia="nl-NL"/>
        </w:rPr>
        <w:footnoteReference w:id="216"/>
      </w:r>
    </w:p>
    <w:p w:rsidR="00652D1F" w:rsidRPr="00347436" w:rsidRDefault="00652D1F" w:rsidP="00AC0BC5">
      <w:pPr>
        <w:spacing w:line="360" w:lineRule="auto"/>
        <w:rPr>
          <w:lang w:eastAsia="nl-NL"/>
        </w:rPr>
      </w:pPr>
    </w:p>
    <w:p w:rsidR="00652D1F" w:rsidRPr="00347436" w:rsidRDefault="00652D1F" w:rsidP="008D407D">
      <w:pPr>
        <w:spacing w:line="360" w:lineRule="auto"/>
        <w:rPr>
          <w:lang w:eastAsia="nl-NL"/>
        </w:rPr>
      </w:pPr>
      <w:r w:rsidRPr="00347436">
        <w:rPr>
          <w:lang w:eastAsia="nl-NL"/>
        </w:rPr>
        <w:t xml:space="preserve">Uit Thin Cap </w:t>
      </w:r>
      <w:r>
        <w:rPr>
          <w:lang w:eastAsia="nl-NL"/>
        </w:rPr>
        <w:t>GLO</w:t>
      </w:r>
      <w:r w:rsidRPr="00347436">
        <w:rPr>
          <w:lang w:eastAsia="nl-NL"/>
        </w:rPr>
        <w:t xml:space="preserve"> blijkt </w:t>
      </w:r>
      <w:r w:rsidR="001911CE">
        <w:rPr>
          <w:lang w:eastAsia="nl-NL"/>
        </w:rPr>
        <w:t>tevens</w:t>
      </w:r>
      <w:r>
        <w:rPr>
          <w:lang w:eastAsia="nl-NL"/>
        </w:rPr>
        <w:t xml:space="preserve"> </w:t>
      </w:r>
      <w:r w:rsidRPr="00347436">
        <w:rPr>
          <w:lang w:eastAsia="nl-NL"/>
        </w:rPr>
        <w:t>dat het overeenkomen van voorwaarden in lenin</w:t>
      </w:r>
      <w:r w:rsidR="001911CE">
        <w:rPr>
          <w:lang w:eastAsia="nl-NL"/>
        </w:rPr>
        <w:t xml:space="preserve">gsovereenkomsten voor zover deze tussen </w:t>
      </w:r>
      <w:r w:rsidR="001911CE" w:rsidRPr="00292A58">
        <w:rPr>
          <w:lang w:eastAsia="nl-NL"/>
        </w:rPr>
        <w:t xml:space="preserve">onafhankelijke derden </w:t>
      </w:r>
      <w:r w:rsidRPr="00292A58">
        <w:rPr>
          <w:lang w:eastAsia="nl-NL"/>
        </w:rPr>
        <w:t>niet overeen zouden zijn gekomen een kunstmatige constructie betreffen. Dit geeft aan dat de reële economische activiteiten toets op partieel niveau kan worden toegepast. Uit Cadbury Schweppes had namelijk kunnen worden opgemaakt dat het enkele hebben van een reële economische vestiging de activiteiten van deze vestiging zuivert. Uit Thin Cap GLO blijkt echter duidelijk dat het om de individuele actie welke het voorwerp van de in het geding zijnde regeling gaat.</w:t>
      </w:r>
    </w:p>
    <w:p w:rsidR="00652D1F" w:rsidRPr="00347436" w:rsidRDefault="00652D1F" w:rsidP="00AC0BC5">
      <w:pPr>
        <w:spacing w:line="360" w:lineRule="auto"/>
        <w:rPr>
          <w:lang w:eastAsia="nl-NL"/>
        </w:rPr>
      </w:pPr>
    </w:p>
    <w:p w:rsidR="00652D1F" w:rsidRPr="001911CE" w:rsidRDefault="00652D1F" w:rsidP="00DC6555">
      <w:pPr>
        <w:spacing w:line="360" w:lineRule="auto"/>
        <w:rPr>
          <w:rFonts w:eastAsia="Times New Roman"/>
          <w:lang w:eastAsia="en-US"/>
        </w:rPr>
      </w:pPr>
      <w:r w:rsidRPr="00347436">
        <w:rPr>
          <w:lang w:eastAsia="nl-NL"/>
        </w:rPr>
        <w:t xml:space="preserve">Het volgende punt dat dient te worden vastgesteld is wanneer er sprake is van een volstrekt kunstmatige constructie, met nadruk op volstrekt. Een aanwijzing hiervoor kan mijns inziens </w:t>
      </w:r>
      <w:r>
        <w:rPr>
          <w:lang w:eastAsia="nl-NL"/>
        </w:rPr>
        <w:t xml:space="preserve">ook </w:t>
      </w:r>
      <w:r w:rsidRPr="00347436">
        <w:rPr>
          <w:lang w:eastAsia="nl-NL"/>
        </w:rPr>
        <w:t xml:space="preserve">worden gevonden in The Thin Cap GLO. Het </w:t>
      </w:r>
      <w:r>
        <w:rPr>
          <w:lang w:eastAsia="nl-NL"/>
        </w:rPr>
        <w:t>HvJ EG oordeelt in dit arrest</w:t>
      </w:r>
      <w:r w:rsidRPr="00347436">
        <w:rPr>
          <w:lang w:eastAsia="nl-NL"/>
        </w:rPr>
        <w:t xml:space="preserve"> dat de renteaftrek niet wordt toegestaan in</w:t>
      </w:r>
      <w:r>
        <w:rPr>
          <w:lang w:eastAsia="nl-NL"/>
        </w:rPr>
        <w:t xml:space="preserve"> zoverre deze bij een</w:t>
      </w:r>
      <w:r w:rsidRPr="00347436">
        <w:rPr>
          <w:lang w:eastAsia="nl-NL"/>
        </w:rPr>
        <w:t xml:space="preserve"> normale derde niet overeen zou zijn gekomen</w:t>
      </w:r>
      <w:r>
        <w:rPr>
          <w:lang w:eastAsia="nl-NL"/>
        </w:rPr>
        <w:t>.</w:t>
      </w:r>
      <w:r w:rsidRPr="00347436">
        <w:rPr>
          <w:rStyle w:val="Voetnootmarkering"/>
          <w:lang w:eastAsia="nl-NL"/>
        </w:rPr>
        <w:footnoteReference w:id="217"/>
      </w:r>
      <w:r w:rsidRPr="00347436">
        <w:rPr>
          <w:lang w:eastAsia="nl-NL"/>
        </w:rPr>
        <w:t xml:space="preserve"> Dit geeft mijns inziens duidelijk aan dat het </w:t>
      </w:r>
      <w:r>
        <w:rPr>
          <w:lang w:eastAsia="nl-NL"/>
        </w:rPr>
        <w:t>HvJ EG</w:t>
      </w:r>
      <w:r w:rsidRPr="00347436">
        <w:rPr>
          <w:lang w:eastAsia="nl-NL"/>
        </w:rPr>
        <w:t xml:space="preserve"> hier een </w:t>
      </w:r>
      <w:r>
        <w:rPr>
          <w:lang w:eastAsia="nl-NL"/>
        </w:rPr>
        <w:t>bedrijfseconomisch ‘</w:t>
      </w:r>
      <w:r w:rsidR="001911CE">
        <w:rPr>
          <w:lang w:eastAsia="nl-NL"/>
        </w:rPr>
        <w:t>conditione sine qua non’</w:t>
      </w:r>
      <w:r w:rsidRPr="00347436">
        <w:rPr>
          <w:lang w:eastAsia="nl-NL"/>
        </w:rPr>
        <w:t xml:space="preserve"> criterium voor ogen heeft. </w:t>
      </w:r>
      <w:r>
        <w:rPr>
          <w:lang w:eastAsia="nl-NL"/>
        </w:rPr>
        <w:t>Om een volstrekt kunstmatige constructie vast te kunnen stellen</w:t>
      </w:r>
      <w:r w:rsidR="001911CE">
        <w:rPr>
          <w:rFonts w:eastAsia="Times New Roman"/>
          <w:lang w:eastAsia="en-US"/>
        </w:rPr>
        <w:t xml:space="preserve"> </w:t>
      </w:r>
      <w:r>
        <w:rPr>
          <w:lang w:eastAsia="nl-NL"/>
        </w:rPr>
        <w:t>i</w:t>
      </w:r>
      <w:r w:rsidRPr="00347436">
        <w:rPr>
          <w:lang w:eastAsia="nl-NL"/>
        </w:rPr>
        <w:t>s</w:t>
      </w:r>
      <w:r>
        <w:rPr>
          <w:lang w:eastAsia="nl-NL"/>
        </w:rPr>
        <w:t xml:space="preserve"> het</w:t>
      </w:r>
      <w:r w:rsidRPr="00347436">
        <w:rPr>
          <w:lang w:eastAsia="nl-NL"/>
        </w:rPr>
        <w:t xml:space="preserve"> derhalve vereist dat de transactie </w:t>
      </w:r>
      <w:r>
        <w:rPr>
          <w:lang w:eastAsia="nl-NL"/>
        </w:rPr>
        <w:t xml:space="preserve">niet </w:t>
      </w:r>
      <w:r w:rsidRPr="00347436">
        <w:rPr>
          <w:lang w:eastAsia="nl-NL"/>
        </w:rPr>
        <w:t xml:space="preserve">zou hebben plaatsgevonden als </w:t>
      </w:r>
      <w:r>
        <w:rPr>
          <w:lang w:eastAsia="nl-NL"/>
        </w:rPr>
        <w:t xml:space="preserve">er geen fiscale voordelen aan verbonden waren geweest </w:t>
      </w:r>
    </w:p>
    <w:p w:rsidR="004F5D0C" w:rsidRDefault="004F5D0C" w:rsidP="00AC0BC5">
      <w:pPr>
        <w:spacing w:line="360" w:lineRule="auto"/>
      </w:pPr>
    </w:p>
    <w:p w:rsidR="00652D1F" w:rsidRDefault="00652D1F" w:rsidP="00AC0BC5">
      <w:pPr>
        <w:spacing w:line="360" w:lineRule="auto"/>
      </w:pPr>
    </w:p>
    <w:p w:rsidR="00652D1F" w:rsidRPr="00347436" w:rsidRDefault="00652D1F" w:rsidP="00AC0BC5">
      <w:pPr>
        <w:spacing w:line="360" w:lineRule="auto"/>
        <w:rPr>
          <w:b/>
          <w:u w:val="single"/>
        </w:rPr>
      </w:pPr>
      <w:r>
        <w:rPr>
          <w:b/>
          <w:u w:val="single"/>
        </w:rPr>
        <w:t xml:space="preserve">5.2.2 </w:t>
      </w:r>
      <w:r w:rsidRPr="00347436">
        <w:rPr>
          <w:b/>
          <w:u w:val="single"/>
        </w:rPr>
        <w:t>Misbruikintentie</w:t>
      </w:r>
    </w:p>
    <w:p w:rsidR="00652D1F" w:rsidRPr="00347436" w:rsidRDefault="00652D1F" w:rsidP="00AC0BC5">
      <w:pPr>
        <w:spacing w:line="360" w:lineRule="auto"/>
      </w:pPr>
    </w:p>
    <w:p w:rsidR="00652D1F" w:rsidRPr="00347436" w:rsidRDefault="00652D1F" w:rsidP="00AC0BC5">
      <w:pPr>
        <w:spacing w:line="360" w:lineRule="auto"/>
      </w:pPr>
      <w:r w:rsidRPr="00347436">
        <w:t xml:space="preserve">Uit Emsland Starke blijkt dat misbruik niet enkel </w:t>
      </w:r>
      <w:r>
        <w:t>uit een objectief element bestaat</w:t>
      </w:r>
      <w:r w:rsidRPr="00347436">
        <w:t>. Het ver</w:t>
      </w:r>
      <w:r>
        <w:t>langt</w:t>
      </w:r>
      <w:r w:rsidRPr="00347436">
        <w:t xml:space="preserve"> volg</w:t>
      </w:r>
      <w:r>
        <w:t>ens het HvJ EG ook “</w:t>
      </w:r>
      <w:r w:rsidRPr="00D6663E">
        <w:rPr>
          <w:i/>
          <w:iCs/>
        </w:rPr>
        <w:t>een subjectief element (..), namelijk de bedoeling om een door de gemeenschapsregeling toegekend voordeel te verkrijgen door kunstmatig de voorwaarden te creëren waaronder het recht op dat voordeel ontstaat</w:t>
      </w:r>
      <w:r w:rsidRPr="00347436">
        <w:t>”</w:t>
      </w:r>
      <w:r>
        <w:t>.</w:t>
      </w:r>
      <w:r w:rsidRPr="00347436">
        <w:rPr>
          <w:rStyle w:val="Voetnootmarkering"/>
        </w:rPr>
        <w:footnoteReference w:id="218"/>
      </w:r>
      <w:r w:rsidRPr="00347436">
        <w:t xml:space="preserve"> Deze eis ziet men ook terugkomen in de rechtspraak van het </w:t>
      </w:r>
      <w:r>
        <w:t>HvJ EG</w:t>
      </w:r>
      <w:r w:rsidRPr="00347436">
        <w:t xml:space="preserve"> </w:t>
      </w:r>
      <w:r>
        <w:t>inzake de directe belastingen. In Cadbury S</w:t>
      </w:r>
      <w:r w:rsidRPr="00347436">
        <w:t>chweppes</w:t>
      </w:r>
      <w:r w:rsidRPr="00347436">
        <w:rPr>
          <w:rStyle w:val="Voetnootmarkering"/>
        </w:rPr>
        <w:footnoteReference w:id="219"/>
      </w:r>
      <w:r w:rsidRPr="00347436">
        <w:t>, Lankhorst</w:t>
      </w:r>
      <w:r>
        <w:t>-</w:t>
      </w:r>
      <w:r w:rsidRPr="00347436">
        <w:t>Hohorst</w:t>
      </w:r>
      <w:r w:rsidRPr="00347436">
        <w:rPr>
          <w:rStyle w:val="Voetnootmarkering"/>
        </w:rPr>
        <w:footnoteReference w:id="220"/>
      </w:r>
      <w:r w:rsidRPr="00347436">
        <w:t xml:space="preserve"> en Thin Cap GLO</w:t>
      </w:r>
      <w:r w:rsidRPr="00347436">
        <w:rPr>
          <w:rStyle w:val="Voetnootmarkering"/>
        </w:rPr>
        <w:footnoteReference w:id="221"/>
      </w:r>
      <w:r w:rsidRPr="00347436">
        <w:t xml:space="preserve"> vereist het </w:t>
      </w:r>
      <w:r>
        <w:t>HvJ EG namelijk</w:t>
      </w:r>
      <w:r w:rsidRPr="00347436">
        <w:t xml:space="preserve"> dat de volstrekt kunstmatige constructies zijn opgezet met het doel een onrechtmatig voordeel te behalen. Dit vereist aldus een gerichte actieve handeling, een handeling met een intentie.</w:t>
      </w:r>
    </w:p>
    <w:p w:rsidR="00652D1F" w:rsidRPr="00347436" w:rsidRDefault="00652D1F" w:rsidP="00AC0BC5">
      <w:pPr>
        <w:spacing w:line="360" w:lineRule="auto"/>
      </w:pPr>
    </w:p>
    <w:p w:rsidR="00652D1F" w:rsidRPr="00347436" w:rsidRDefault="00652D1F" w:rsidP="00DC6555">
      <w:pPr>
        <w:spacing w:line="360" w:lineRule="auto"/>
      </w:pPr>
      <w:r w:rsidRPr="00347436">
        <w:t>Aangezien, zoals Weber aangeeft, deze bedoelingen enkel</w:t>
      </w:r>
      <w:r>
        <w:t xml:space="preserve"> zeker worden bij bekentenissen, </w:t>
      </w:r>
      <w:r w:rsidRPr="00347436">
        <w:t xml:space="preserve">dient </w:t>
      </w:r>
      <w:r>
        <w:t xml:space="preserve">men </w:t>
      </w:r>
      <w:r w:rsidRPr="00347436">
        <w:t>de</w:t>
      </w:r>
      <w:r>
        <w:t>ze</w:t>
      </w:r>
      <w:r w:rsidRPr="00347436">
        <w:t xml:space="preserve"> misbruikintentie uit de obje</w:t>
      </w:r>
      <w:r>
        <w:t xml:space="preserve">ctieve omstandigheden </w:t>
      </w:r>
      <w:r w:rsidRPr="00347436">
        <w:t>af</w:t>
      </w:r>
      <w:r>
        <w:t xml:space="preserve"> te </w:t>
      </w:r>
      <w:r w:rsidRPr="00347436">
        <w:t>leid</w:t>
      </w:r>
      <w:r>
        <w:t>en.</w:t>
      </w:r>
      <w:r w:rsidRPr="00347436">
        <w:rPr>
          <w:rStyle w:val="Voetnootmarkering"/>
        </w:rPr>
        <w:footnoteReference w:id="222"/>
      </w:r>
      <w:r>
        <w:t xml:space="preserve"> In Emsland S</w:t>
      </w:r>
      <w:r w:rsidRPr="00347436">
        <w:t>tarke werd aangehaald dat het samenwerken van de verscheidene participanten als aanwijzing kan gelden voor het vaststellen van deze intentie</w:t>
      </w:r>
      <w:r>
        <w:t>.</w:t>
      </w:r>
      <w:r w:rsidRPr="00347436">
        <w:rPr>
          <w:rStyle w:val="Voetnootmarkering"/>
        </w:rPr>
        <w:footnoteReference w:id="223"/>
      </w:r>
      <w:r w:rsidRPr="00347436">
        <w:t xml:space="preserve"> Met betrekking tot deze puur kunstmatige constructies kan mijns inziens uit Cadbury Schweppes een algemene regel met betrekking tot deze objectieve omstan</w:t>
      </w:r>
      <w:r>
        <w:t xml:space="preserve">digheden worden gedestilleerd. </w:t>
      </w:r>
      <w:r w:rsidRPr="00347436">
        <w:t xml:space="preserve">Deze blijkt uit </w:t>
      </w:r>
      <w:r>
        <w:t xml:space="preserve">rechtsoverwegingen </w:t>
      </w:r>
      <w:r w:rsidRPr="00347436">
        <w:t>63 en 6</w:t>
      </w:r>
      <w:r>
        <w:t>4 waarin het HvJ EG stelt</w:t>
      </w:r>
      <w:r w:rsidRPr="00347436">
        <w:t>;</w:t>
      </w:r>
    </w:p>
    <w:p w:rsidR="00652D1F" w:rsidRPr="00347436" w:rsidRDefault="00652D1F" w:rsidP="00AC0BC5">
      <w:pPr>
        <w:spacing w:line="360" w:lineRule="auto"/>
      </w:pPr>
    </w:p>
    <w:p w:rsidR="00652D1F" w:rsidRPr="00D6663E" w:rsidRDefault="00652D1F" w:rsidP="00AC0BC5">
      <w:pPr>
        <w:spacing w:before="100" w:beforeAutospacing="1" w:after="240" w:line="360" w:lineRule="auto"/>
        <w:ind w:left="567" w:hanging="539"/>
        <w:rPr>
          <w:rFonts w:eastAsia="Times New Roman"/>
          <w:i/>
          <w:iCs/>
          <w:lang w:eastAsia="en-US"/>
        </w:rPr>
      </w:pPr>
      <w:r w:rsidRPr="00347436">
        <w:rPr>
          <w:rFonts w:eastAsia="Times New Roman"/>
          <w:lang w:eastAsia="en-US"/>
        </w:rPr>
        <w:t>“</w:t>
      </w:r>
      <w:r w:rsidRPr="00D6663E">
        <w:rPr>
          <w:rFonts w:eastAsia="Times New Roman"/>
          <w:i/>
          <w:iCs/>
          <w:lang w:eastAsia="en-US"/>
        </w:rPr>
        <w:t>63     Zoals verzoeksters in het hoofdgeding, de Belgische regering en de Commissie hebben opgemerkt, volstaan het feit dat geen enkele uitzondering waarin de wetgeving op de GBV</w:t>
      </w:r>
      <w:r>
        <w:rPr>
          <w:rStyle w:val="Voetnootmarkering"/>
          <w:rFonts w:eastAsia="Times New Roman"/>
          <w:i/>
          <w:iCs/>
          <w:lang w:eastAsia="en-US"/>
        </w:rPr>
        <w:footnoteReference w:id="224"/>
      </w:r>
      <w:r w:rsidRPr="00D6663E">
        <w:rPr>
          <w:rFonts w:eastAsia="Times New Roman"/>
          <w:i/>
          <w:iCs/>
          <w:lang w:eastAsia="en-US"/>
        </w:rPr>
        <w:t xml:space="preserve"> voorziet, van toepassing is, en dat de wil om een belastingvoordeel te verkrijgen aan de bron lag van de oprichting van de GBV, en de transacties tussen deze laatste en de binnenlandse vennootschap niet, om te concluderen dat er een volstrekt kunstmatige constructie bestaat die alleen bedoeld is om deze belasting te ontwijken. </w:t>
      </w:r>
    </w:p>
    <w:p w:rsidR="00652D1F" w:rsidRPr="00D6663E" w:rsidRDefault="00652D1F" w:rsidP="00D6663E">
      <w:pPr>
        <w:numPr>
          <w:ilvl w:val="0"/>
          <w:numId w:val="17"/>
        </w:numPr>
        <w:spacing w:before="100" w:beforeAutospacing="1" w:after="240" w:line="360" w:lineRule="auto"/>
        <w:rPr>
          <w:rFonts w:eastAsia="Times New Roman"/>
          <w:i/>
          <w:iCs/>
          <w:lang w:eastAsia="en-US"/>
        </w:rPr>
      </w:pPr>
      <w:r w:rsidRPr="00D6663E">
        <w:rPr>
          <w:rFonts w:eastAsia="Times New Roman"/>
          <w:i/>
          <w:iCs/>
          <w:lang w:eastAsia="en-US"/>
        </w:rPr>
        <w:t>   Voor de vaststelling van het bestaan van een dergelijke constructie is immers naast een subjectief element, namelijk de wil om een belastingvoordeel te verkrijgen, ook vereist dat uit een geheel van objectieve elementen blijkt dat, in weerwil van de formele vervulling van de door gemeenschapsregeling gestelde voorwaarden, het</w:t>
      </w:r>
      <w:r>
        <w:rPr>
          <w:rFonts w:eastAsia="Times New Roman"/>
          <w:i/>
          <w:iCs/>
          <w:lang w:eastAsia="en-US"/>
        </w:rPr>
        <w:t xml:space="preserve"> door de vrijheid van vestiging </w:t>
      </w:r>
      <w:r w:rsidRPr="00D6663E">
        <w:rPr>
          <w:rFonts w:eastAsia="Times New Roman"/>
          <w:i/>
          <w:iCs/>
          <w:lang w:eastAsia="en-US"/>
        </w:rPr>
        <w:t>beoogde doel – zoals dat in de punten 54 en 55 van dit arrest is uiteengezet – niet werd bereikt</w:t>
      </w:r>
      <w:r w:rsidRPr="00347436">
        <w:rPr>
          <w:rFonts w:eastAsia="Times New Roman"/>
          <w:lang w:eastAsia="en-US"/>
        </w:rPr>
        <w:t>.”</w:t>
      </w:r>
      <w:r>
        <w:rPr>
          <w:rStyle w:val="Voetnootmarkering"/>
          <w:rFonts w:eastAsia="Times New Roman"/>
          <w:lang w:eastAsia="en-US"/>
        </w:rPr>
        <w:footnoteReference w:id="225"/>
      </w:r>
    </w:p>
    <w:p w:rsidR="00652D1F" w:rsidRDefault="00652D1F" w:rsidP="00AC0BC5">
      <w:pPr>
        <w:spacing w:before="100" w:beforeAutospacing="1" w:after="240" w:line="360" w:lineRule="auto"/>
        <w:ind w:left="28"/>
        <w:rPr>
          <w:rFonts w:eastAsia="Times New Roman"/>
          <w:lang w:eastAsia="en-US"/>
        </w:rPr>
      </w:pPr>
      <w:r w:rsidRPr="00347436">
        <w:rPr>
          <w:rFonts w:eastAsia="Times New Roman"/>
          <w:lang w:eastAsia="en-US"/>
        </w:rPr>
        <w:t xml:space="preserve">Het </w:t>
      </w:r>
      <w:r>
        <w:rPr>
          <w:rFonts w:eastAsia="Times New Roman"/>
          <w:lang w:eastAsia="en-US"/>
        </w:rPr>
        <w:t>HvJ EG oordeelt hier namelijk</w:t>
      </w:r>
      <w:r w:rsidRPr="00347436">
        <w:rPr>
          <w:rFonts w:eastAsia="Times New Roman"/>
          <w:lang w:eastAsia="en-US"/>
        </w:rPr>
        <w:t xml:space="preserve"> dat de oorzaak van de opgezette constructie gelijk dient te zijn aan het subjectieve element, de wil om het voordeel te verkrijgen. Mijns inziens kan men hier uit af leiden dat men uit de objectieve omstandigheden kan opmaken dat</w:t>
      </w:r>
      <w:r>
        <w:rPr>
          <w:rFonts w:eastAsia="Times New Roman"/>
          <w:lang w:eastAsia="en-US"/>
        </w:rPr>
        <w:t>,</w:t>
      </w:r>
      <w:r w:rsidRPr="00347436">
        <w:rPr>
          <w:rFonts w:eastAsia="Times New Roman"/>
          <w:lang w:eastAsia="en-US"/>
        </w:rPr>
        <w:t xml:space="preserve"> als deze constructie zonder de fiscale voo</w:t>
      </w:r>
      <w:r>
        <w:rPr>
          <w:rFonts w:eastAsia="Times New Roman"/>
          <w:lang w:eastAsia="en-US"/>
        </w:rPr>
        <w:t>rdelen niet zou zijn opgezet</w:t>
      </w:r>
      <w:r w:rsidRPr="00347436">
        <w:rPr>
          <w:rFonts w:eastAsia="Times New Roman"/>
          <w:lang w:eastAsia="en-US"/>
        </w:rPr>
        <w:t xml:space="preserve"> er dan aan de misbruikintentie is voldaan.</w:t>
      </w:r>
      <w:r w:rsidR="001911CE">
        <w:rPr>
          <w:rStyle w:val="Voetnootmarkering"/>
          <w:rFonts w:eastAsia="Times New Roman"/>
          <w:lang w:eastAsia="en-US"/>
        </w:rPr>
        <w:footnoteReference w:id="226"/>
      </w:r>
      <w:r w:rsidRPr="00347436">
        <w:rPr>
          <w:rFonts w:eastAsia="Times New Roman"/>
          <w:lang w:eastAsia="en-US"/>
        </w:rPr>
        <w:t xml:space="preserve"> Het bovenstaande vind</w:t>
      </w:r>
      <w:r>
        <w:rPr>
          <w:rFonts w:eastAsia="Times New Roman"/>
          <w:lang w:eastAsia="en-US"/>
        </w:rPr>
        <w:t>t</w:t>
      </w:r>
      <w:r w:rsidRPr="00347436">
        <w:rPr>
          <w:rFonts w:eastAsia="Times New Roman"/>
          <w:lang w:eastAsia="en-US"/>
        </w:rPr>
        <w:t xml:space="preserve"> ook steun in Thin Cap GLO waar enkel de rente die vanuit commercieel perspectief kan worden gerechtvaardigd van aftrek mag worden uitgesloten</w:t>
      </w:r>
      <w:r>
        <w:rPr>
          <w:rFonts w:eastAsia="Times New Roman"/>
          <w:lang w:eastAsia="en-US"/>
        </w:rPr>
        <w:t>.</w:t>
      </w:r>
      <w:r w:rsidRPr="00347436">
        <w:rPr>
          <w:rStyle w:val="Voetnootmarkering"/>
          <w:rFonts w:eastAsia="Times New Roman"/>
          <w:lang w:eastAsia="en-US"/>
        </w:rPr>
        <w:footnoteReference w:id="227"/>
      </w:r>
      <w:r>
        <w:rPr>
          <w:rFonts w:eastAsia="Times New Roman"/>
          <w:lang w:eastAsia="en-US"/>
        </w:rPr>
        <w:t xml:space="preserve"> Het HvJ EG</w:t>
      </w:r>
      <w:r w:rsidRPr="00347436">
        <w:rPr>
          <w:rFonts w:eastAsia="Times New Roman"/>
          <w:lang w:eastAsia="en-US"/>
        </w:rPr>
        <w:t xml:space="preserve"> vo</w:t>
      </w:r>
      <w:r>
        <w:rPr>
          <w:rFonts w:eastAsia="Times New Roman"/>
          <w:lang w:eastAsia="en-US"/>
        </w:rPr>
        <w:t>lgt hiermee een a</w:t>
      </w:r>
      <w:r w:rsidRPr="00347436">
        <w:rPr>
          <w:rFonts w:eastAsia="Times New Roman"/>
          <w:lang w:eastAsia="en-US"/>
        </w:rPr>
        <w:t xml:space="preserve"> contrario redenering</w:t>
      </w:r>
      <w:r>
        <w:rPr>
          <w:rFonts w:eastAsia="Times New Roman"/>
          <w:lang w:eastAsia="en-US"/>
        </w:rPr>
        <w:t>,</w:t>
      </w:r>
      <w:r w:rsidRPr="00347436">
        <w:rPr>
          <w:rFonts w:eastAsia="Times New Roman"/>
          <w:lang w:eastAsia="en-US"/>
        </w:rPr>
        <w:t xml:space="preserve"> is er geen </w:t>
      </w:r>
      <w:r>
        <w:rPr>
          <w:rFonts w:eastAsia="Times New Roman"/>
          <w:lang w:eastAsia="en-US"/>
        </w:rPr>
        <w:t>economische</w:t>
      </w:r>
      <w:r w:rsidRPr="00347436">
        <w:rPr>
          <w:rFonts w:eastAsia="Times New Roman"/>
          <w:lang w:eastAsia="en-US"/>
        </w:rPr>
        <w:t xml:space="preserve"> motivatie </w:t>
      </w:r>
      <w:r>
        <w:rPr>
          <w:rFonts w:eastAsia="Times New Roman"/>
          <w:lang w:eastAsia="en-US"/>
        </w:rPr>
        <w:t xml:space="preserve">dan </w:t>
      </w:r>
      <w:r w:rsidRPr="00347436">
        <w:rPr>
          <w:rFonts w:eastAsia="Times New Roman"/>
          <w:lang w:eastAsia="en-US"/>
        </w:rPr>
        <w:t>zal er derhalve een misbruik motief aan ten grondslag liggen.</w:t>
      </w:r>
    </w:p>
    <w:p w:rsidR="00652D1F" w:rsidRPr="00BC1F3A" w:rsidRDefault="00652D1F" w:rsidP="00DC6555">
      <w:pPr>
        <w:spacing w:before="100" w:beforeAutospacing="1" w:after="240" w:line="360" w:lineRule="auto"/>
        <w:ind w:left="28"/>
        <w:rPr>
          <w:rFonts w:eastAsia="Times New Roman"/>
          <w:lang w:eastAsia="en-US"/>
        </w:rPr>
      </w:pPr>
      <w:r>
        <w:rPr>
          <w:rFonts w:eastAsia="Times New Roman"/>
          <w:lang w:eastAsia="en-US"/>
        </w:rPr>
        <w:t>Dit is ook in lijn met het misbruikbegrip als is vastgelegd in de richtlijnen met betrekking tot directe belastingen. Deze stelt namelijk dat wanneer het niet aannemelijk kan worden gemaakt dat zakelijke overwegingen aan de basis van de handeling lagen, deze</w:t>
      </w:r>
      <w:r w:rsidR="001911CE">
        <w:rPr>
          <w:rFonts w:eastAsia="Times New Roman"/>
          <w:lang w:eastAsia="en-US"/>
        </w:rPr>
        <w:t xml:space="preserve"> geacht zal worden te zijn gericht</w:t>
      </w:r>
      <w:r>
        <w:rPr>
          <w:rFonts w:eastAsia="Times New Roman"/>
          <w:lang w:eastAsia="en-US"/>
        </w:rPr>
        <w:t xml:space="preserve"> op belastingontwijking.</w:t>
      </w:r>
      <w:r>
        <w:rPr>
          <w:rStyle w:val="Voetnootmarkering"/>
          <w:rFonts w:eastAsia="Times New Roman"/>
          <w:lang w:eastAsia="en-US"/>
        </w:rPr>
        <w:footnoteReference w:id="228"/>
      </w:r>
      <w:r>
        <w:rPr>
          <w:rFonts w:eastAsia="Times New Roman"/>
          <w:lang w:eastAsia="en-US"/>
        </w:rPr>
        <w:t xml:space="preserve"> </w:t>
      </w:r>
    </w:p>
    <w:p w:rsidR="00652D1F" w:rsidRDefault="00652D1F" w:rsidP="00AC0BC5">
      <w:pPr>
        <w:spacing w:line="360" w:lineRule="auto"/>
        <w:rPr>
          <w:b/>
          <w:bCs/>
          <w:u w:val="single"/>
        </w:rPr>
      </w:pPr>
    </w:p>
    <w:p w:rsidR="00652D1F" w:rsidRDefault="00652D1F" w:rsidP="00AC0BC5">
      <w:pPr>
        <w:spacing w:line="360" w:lineRule="auto"/>
        <w:rPr>
          <w:b/>
          <w:bCs/>
          <w:u w:val="single"/>
        </w:rPr>
      </w:pPr>
      <w:r w:rsidRPr="00627E98">
        <w:rPr>
          <w:b/>
          <w:bCs/>
          <w:u w:val="single"/>
        </w:rPr>
        <w:t xml:space="preserve">5.3 Artikel 10a en het </w:t>
      </w:r>
      <w:r>
        <w:rPr>
          <w:b/>
          <w:bCs/>
          <w:u w:val="single"/>
        </w:rPr>
        <w:t>EU misbruikbegrip</w:t>
      </w:r>
    </w:p>
    <w:p w:rsidR="00652D1F" w:rsidRDefault="00652D1F" w:rsidP="004260A8">
      <w:pPr>
        <w:spacing w:before="100" w:beforeAutospacing="1" w:after="240" w:line="360" w:lineRule="auto"/>
        <w:rPr>
          <w:rFonts w:eastAsia="Times New Roman"/>
          <w:lang w:eastAsia="en-US"/>
        </w:rPr>
      </w:pPr>
      <w:r>
        <w:rPr>
          <w:rFonts w:eastAsia="Times New Roman"/>
          <w:lang w:eastAsia="en-US"/>
        </w:rPr>
        <w:t>Voor artikel 10a betekent het voorgaande dat het samenstel van objectieve elementen, waarbij het bewijsvermoeden van artikel 10a aangrijpt, als een op een voordeel gerichte constructie moet kunnen worden beschouwd. Voor artikel 10a gaat het hierbij om de compenserende heffing, het verband tussen de rechtshandeling en schuldverhouding, alsmede de grootte van het belang. De kunstmatigheid en daarmee de intentie dienen voornamelijk te blijken uit de afwezigheid van een economische grond voor de voordeel behalende constructie. In artikel 10a wordt dit vastgesteld aan de hand van de zakelijkheidstoets, welke bestaat uit twee elementen namelijk het begrip zakelijke overwegingen en ten tweede de maatstaf die deze verbind aan de handelingen, het criterium overwegende mate. In onderdeel 6.2 zal worden getoetst in hoeverre artikel 10a in overeenstemming is met communautaire misbruikbegrip.</w:t>
      </w:r>
    </w:p>
    <w:p w:rsidR="00652D1F" w:rsidRDefault="00652D1F" w:rsidP="00AC0BC5">
      <w:pPr>
        <w:spacing w:before="100" w:beforeAutospacing="1" w:after="240" w:line="360" w:lineRule="auto"/>
        <w:rPr>
          <w:rFonts w:eastAsia="Times New Roman"/>
          <w:b/>
          <w:u w:val="single"/>
          <w:lang w:eastAsia="en-US"/>
        </w:rPr>
      </w:pPr>
    </w:p>
    <w:p w:rsidR="00652D1F" w:rsidRDefault="00652D1F" w:rsidP="00AC0BC5">
      <w:pPr>
        <w:spacing w:before="100" w:beforeAutospacing="1" w:after="240" w:line="360" w:lineRule="auto"/>
        <w:rPr>
          <w:rFonts w:eastAsia="Times New Roman"/>
          <w:b/>
          <w:u w:val="single"/>
          <w:lang w:eastAsia="en-US"/>
        </w:rPr>
      </w:pPr>
      <w:r>
        <w:rPr>
          <w:rFonts w:eastAsia="Times New Roman"/>
          <w:b/>
          <w:u w:val="single"/>
          <w:lang w:eastAsia="en-US"/>
        </w:rPr>
        <w:t>5.4 Conclusie</w:t>
      </w:r>
      <w:r w:rsidRPr="00576414">
        <w:rPr>
          <w:rFonts w:eastAsia="Times New Roman"/>
          <w:b/>
          <w:u w:val="single"/>
          <w:lang w:eastAsia="en-US"/>
        </w:rPr>
        <w:t xml:space="preserve"> rechtvaardigingsgronden in verband met artikel 10a</w:t>
      </w:r>
    </w:p>
    <w:p w:rsidR="00652D1F" w:rsidRPr="00BC1F3A" w:rsidRDefault="00652D1F" w:rsidP="00DC6555">
      <w:pPr>
        <w:spacing w:before="100" w:beforeAutospacing="1" w:after="240" w:line="360" w:lineRule="auto"/>
        <w:rPr>
          <w:rFonts w:eastAsia="Times New Roman"/>
          <w:b/>
          <w:u w:val="single"/>
          <w:lang w:eastAsia="en-US"/>
        </w:rPr>
      </w:pPr>
      <w:r>
        <w:rPr>
          <w:rFonts w:eastAsia="Times New Roman"/>
          <w:lang w:eastAsia="en-US"/>
        </w:rPr>
        <w:t>Gezien de doelstelling van artikel 10a, namelijk het voorkomen van het in de ogen van de wetgever onjuiste gebruik van de renteaftrek met als doel winstdrainage naar laagbelaste landen dan wel entiteiten, dient artikel 10a in beginsel enkel aan de rechtvaardigingsgrond van misbruik te worden getoetst. Voor de vaststelling van misbruik zijn in EU verband twee elementen vereist, een volstrekt kunstmatige constructie en de intentie hiermee een voordeel te behalen welk diensovereenkomstig wordt behaald. Beide elementen worden afgeleid uit de objectieve omstandigheden. Voor de kunstmatige constructie betekent dit dat de activiteit niet kan worden beredeneerd vanuit een reële economische achtergrond. De misbruikintentie, hoewel het subjectieve element, dient ook uit de objectieve omstandigheden te worden opgemaakt. Hierbij is het van belang dat deze kunstmatige constructie niet zou zijn aangegaan als hier geen fiscaal voordeel mee zou zijn te behalen. Als aan deze twee elementen is voldaan in de getroffen situatie is de benadelende behandeling van een belanghebbende in beginsel niet strijdig met het VwEU. Voor artikel 10a houdt dit in dat de omstandigheden waarbij het aangrijpt ter vaststelling van misbruik in overeenstemming dienen zijn met het hierboven beschreven misbruikbegrip.</w:t>
      </w: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r>
        <w:rPr>
          <w:b/>
          <w:u w:val="single"/>
        </w:rPr>
        <w:t>6. Het evenredigheidsbeginsel en bewijslastverdeling artikel 10a</w:t>
      </w:r>
    </w:p>
    <w:p w:rsidR="00652D1F" w:rsidRDefault="00652D1F" w:rsidP="00AC0BC5">
      <w:pPr>
        <w:spacing w:line="360" w:lineRule="auto"/>
      </w:pPr>
    </w:p>
    <w:p w:rsidR="00652D1F" w:rsidRPr="00E67BF9" w:rsidRDefault="00652D1F" w:rsidP="00DC6555">
      <w:pPr>
        <w:spacing w:line="360" w:lineRule="auto"/>
      </w:pPr>
      <w:r>
        <w:t>De toetsing van artikel 10a is tweeledig, men dient namelijk beide de invulling die artikel 10a geeft aan het ontstaan en wegnemen van het vermoeden van misbruik te toetsen alsmede de bewijslastverdeling. In dit hoofdstuk zal allereerst worden onderzocht of artikel 10a tot een juiste vaststelling van misbruik komt. Hierbij zal eerst worden gekeken of het bewijsvermoeden gerechtvaardigd kan worden uit hoofde van de objectieve factoren waarbij artikel 10a aangrijpt en of deze derhalve in overeenstemming zijn met het evenredigheidsbeginsel. Daarbij zal ook worden getoetst of de tegenbewijsmogelijkheid op basis van de zakelijk overwegingen in overeenstemming is met het EU-recht. Hierop volgend wordt onderzocht of de bewijslastverdeling in overeenstemming is met de relevante EU-rechtelijke beginselen. Hierbij zal worden bepaald of de verdeling in overeenstemming is met het effectiviteits- en evenredigheidsbeginsel. Ook zal de door artikel 10a opgelegde sanctie worden besproken.</w:t>
      </w:r>
    </w:p>
    <w:p w:rsidR="00652D1F" w:rsidRDefault="00652D1F" w:rsidP="00AC0BC5">
      <w:pPr>
        <w:spacing w:line="360" w:lineRule="auto"/>
        <w:rPr>
          <w:b/>
          <w:u w:val="single"/>
          <w:lang w:eastAsia="nl-NL"/>
        </w:rPr>
      </w:pPr>
    </w:p>
    <w:p w:rsidR="00652D1F" w:rsidRDefault="00652D1F" w:rsidP="00AC0BC5">
      <w:pPr>
        <w:spacing w:line="360" w:lineRule="auto"/>
        <w:rPr>
          <w:b/>
          <w:u w:val="single"/>
          <w:lang w:eastAsia="nl-NL"/>
        </w:rPr>
      </w:pPr>
    </w:p>
    <w:p w:rsidR="00652D1F" w:rsidRDefault="00652D1F" w:rsidP="00AC0BC5">
      <w:pPr>
        <w:spacing w:line="360" w:lineRule="auto"/>
        <w:rPr>
          <w:b/>
          <w:u w:val="single"/>
          <w:lang w:eastAsia="nl-NL"/>
        </w:rPr>
      </w:pPr>
      <w:r>
        <w:rPr>
          <w:b/>
          <w:u w:val="single"/>
          <w:lang w:eastAsia="nl-NL"/>
        </w:rPr>
        <w:t xml:space="preserve">6.1 </w:t>
      </w:r>
      <w:r w:rsidRPr="008621BE">
        <w:rPr>
          <w:b/>
          <w:u w:val="single"/>
          <w:lang w:eastAsia="nl-NL"/>
        </w:rPr>
        <w:t>Evenredigheidsbeginsel</w:t>
      </w:r>
    </w:p>
    <w:p w:rsidR="00652D1F" w:rsidRDefault="00652D1F" w:rsidP="00AC0BC5">
      <w:pPr>
        <w:spacing w:line="360" w:lineRule="auto"/>
        <w:rPr>
          <w:lang w:eastAsia="nl-NL"/>
        </w:rPr>
      </w:pPr>
    </w:p>
    <w:p w:rsidR="00652D1F" w:rsidRDefault="00652D1F" w:rsidP="00AC0BC5">
      <w:pPr>
        <w:spacing w:line="360" w:lineRule="auto"/>
        <w:rPr>
          <w:lang w:eastAsia="nl-NL"/>
        </w:rPr>
      </w:pPr>
      <w:r>
        <w:rPr>
          <w:lang w:eastAsia="nl-NL"/>
        </w:rPr>
        <w:t>Wanneer is vastgesteld dat er een rechtvaardigingsgrond is voor de belemmering, dient de maatregel te worden getoetst aan het evenredigheidsbeginsel. Dit beginsel is de verzamelnaam voor drie individuele toetsen, de geschiktheidstoets, de noodzakelijkheidstoets en de evenwichtigheidstoets, hoewel de laatste niet consequent lijkt te worden toegepast door het HvJ EG.</w:t>
      </w:r>
      <w:r>
        <w:rPr>
          <w:rStyle w:val="Voetnootmarkering"/>
          <w:lang w:eastAsia="nl-NL"/>
        </w:rPr>
        <w:footnoteReference w:id="229"/>
      </w:r>
      <w:r>
        <w:rPr>
          <w:lang w:eastAsia="nl-NL"/>
        </w:rPr>
        <w:t xml:space="preserve"> </w:t>
      </w:r>
      <w:r w:rsidRPr="008621BE">
        <w:rPr>
          <w:lang w:eastAsia="nl-NL"/>
        </w:rPr>
        <w:t xml:space="preserve">Het geschiktheidsbeginsel houdt in dat de regeling </w:t>
      </w:r>
      <w:r w:rsidR="001911CE">
        <w:rPr>
          <w:lang w:eastAsia="nl-NL"/>
        </w:rPr>
        <w:t>passend</w:t>
      </w:r>
      <w:r w:rsidRPr="008621BE">
        <w:rPr>
          <w:lang w:eastAsia="nl-NL"/>
        </w:rPr>
        <w:t xml:space="preserve"> </w:t>
      </w:r>
      <w:r>
        <w:rPr>
          <w:lang w:eastAsia="nl-NL"/>
        </w:rPr>
        <w:t xml:space="preserve">dient te zijn om het beoogde </w:t>
      </w:r>
      <w:r w:rsidR="001911CE">
        <w:rPr>
          <w:lang w:eastAsia="nl-NL"/>
        </w:rPr>
        <w:t>resultaat</w:t>
      </w:r>
      <w:r>
        <w:rPr>
          <w:lang w:eastAsia="nl-NL"/>
        </w:rPr>
        <w:t xml:space="preserve"> te </w:t>
      </w:r>
      <w:r w:rsidRPr="008621BE">
        <w:rPr>
          <w:lang w:eastAsia="nl-NL"/>
        </w:rPr>
        <w:t>bereiken</w:t>
      </w:r>
      <w:r>
        <w:rPr>
          <w:lang w:eastAsia="nl-NL"/>
        </w:rPr>
        <w:t>.</w:t>
      </w:r>
      <w:r w:rsidRPr="008621BE">
        <w:rPr>
          <w:rStyle w:val="Voetnootmarkering"/>
          <w:lang w:eastAsia="nl-NL"/>
        </w:rPr>
        <w:footnoteReference w:id="230"/>
      </w:r>
      <w:r>
        <w:rPr>
          <w:lang w:eastAsia="nl-NL"/>
        </w:rPr>
        <w:t xml:space="preserve"> Een voorbeeld hiervan kan men vinden in Cadbury Schweppes, het HvJ EG overweegt hierin;</w:t>
      </w:r>
    </w:p>
    <w:p w:rsidR="00652D1F" w:rsidRDefault="00652D1F" w:rsidP="00AC0BC5">
      <w:pPr>
        <w:spacing w:line="360" w:lineRule="auto"/>
        <w:rPr>
          <w:lang w:eastAsia="nl-NL"/>
        </w:rPr>
      </w:pPr>
    </w:p>
    <w:p w:rsidR="00652D1F" w:rsidRDefault="00652D1F" w:rsidP="00AC0BC5">
      <w:pPr>
        <w:spacing w:line="360" w:lineRule="auto"/>
      </w:pPr>
      <w:r>
        <w:t>”</w:t>
      </w:r>
      <w:r w:rsidRPr="00D6663E">
        <w:rPr>
          <w:i/>
          <w:iCs/>
        </w:rPr>
        <w:t>Door te bepalen dat de winst van een GBV die onder een zeer voordelig belastingregime valt, moet worden opgenomen in de belastinggrondslag van de binnenlandse vennootschap, kan de wetgeving op de GBV praktijken tegenwerken die uitsluitend zijn bedoeld om de normaal over winsten uit activiteiten op het nationale grondgebied verschuldigde belasting te ontwijken. Zoals de Franse, de Finse en de Zweedse regering hebben beklemtoond, kan een dergelijke wetgeving dus het doel bereiken waarvoor ze is vastgesteld</w:t>
      </w:r>
      <w:r>
        <w:t>”.</w:t>
      </w:r>
      <w:r>
        <w:rPr>
          <w:rStyle w:val="Voetnootmarkering"/>
        </w:rPr>
        <w:footnoteReference w:id="231"/>
      </w:r>
    </w:p>
    <w:p w:rsidR="00652D1F" w:rsidRDefault="00652D1F" w:rsidP="00AC0BC5">
      <w:pPr>
        <w:spacing w:line="360" w:lineRule="auto"/>
      </w:pPr>
    </w:p>
    <w:p w:rsidR="00652D1F" w:rsidRPr="008621BE" w:rsidRDefault="00652D1F" w:rsidP="00AC0BC5">
      <w:pPr>
        <w:spacing w:line="360" w:lineRule="auto"/>
        <w:rPr>
          <w:lang w:eastAsia="nl-NL"/>
        </w:rPr>
      </w:pPr>
      <w:r>
        <w:t>Mijns inziens kan men met zekerheid stellen dat artikel 10a aan deze toets zal voldoen, aangezien zij tot doel heeft winstdrainage door middel van renteaftrekconstructies te dwarsbomen en zij dit doel wenst te bereiken door middel van het weigeren van deze aftrek. Het middel wat zij hanteert is in staat dit doel te bereiken en is derhalve geschikt.</w:t>
      </w:r>
    </w:p>
    <w:p w:rsidR="00652D1F" w:rsidRDefault="00652D1F" w:rsidP="00AC0BC5">
      <w:pPr>
        <w:spacing w:line="360" w:lineRule="auto"/>
        <w:rPr>
          <w:b/>
          <w:u w:val="single"/>
          <w:lang w:eastAsia="nl-NL"/>
        </w:rPr>
      </w:pPr>
    </w:p>
    <w:p w:rsidR="00652D1F" w:rsidRDefault="00652D1F" w:rsidP="00AC0BC5">
      <w:pPr>
        <w:spacing w:line="360" w:lineRule="auto"/>
        <w:rPr>
          <w:lang w:eastAsia="nl-NL"/>
        </w:rPr>
      </w:pPr>
      <w:r>
        <w:rPr>
          <w:lang w:eastAsia="nl-NL"/>
        </w:rPr>
        <w:t>De</w:t>
      </w:r>
      <w:r w:rsidRPr="008621BE">
        <w:rPr>
          <w:lang w:eastAsia="nl-NL"/>
        </w:rPr>
        <w:t xml:space="preserve"> </w:t>
      </w:r>
      <w:r>
        <w:rPr>
          <w:lang w:eastAsia="nl-NL"/>
        </w:rPr>
        <w:t>noodzakelijkheidstoets</w:t>
      </w:r>
      <w:r w:rsidRPr="008621BE">
        <w:rPr>
          <w:lang w:eastAsia="nl-NL"/>
        </w:rPr>
        <w:t xml:space="preserve"> </w:t>
      </w:r>
      <w:r w:rsidR="001911CE">
        <w:rPr>
          <w:lang w:eastAsia="nl-NL"/>
        </w:rPr>
        <w:t>beoordeelt of</w:t>
      </w:r>
      <w:r w:rsidRPr="008621BE">
        <w:rPr>
          <w:lang w:eastAsia="nl-NL"/>
        </w:rPr>
        <w:t xml:space="preserve"> de regeling niet verder gaat dan is vereist </w:t>
      </w:r>
      <w:r>
        <w:rPr>
          <w:lang w:eastAsia="nl-NL"/>
        </w:rPr>
        <w:t xml:space="preserve">om </w:t>
      </w:r>
      <w:r w:rsidR="001911CE">
        <w:rPr>
          <w:lang w:eastAsia="nl-NL"/>
        </w:rPr>
        <w:t>het beoogde effect te bewerksteligen</w:t>
      </w:r>
      <w:r w:rsidRPr="008621BE">
        <w:rPr>
          <w:rStyle w:val="Voetnootmarkering"/>
          <w:lang w:eastAsia="nl-NL"/>
        </w:rPr>
        <w:footnoteReference w:id="232"/>
      </w:r>
      <w:r w:rsidRPr="008621BE">
        <w:rPr>
          <w:lang w:eastAsia="nl-NL"/>
        </w:rPr>
        <w:t>, bevat de regeling overkill ja dan wel nee</w:t>
      </w:r>
      <w:r>
        <w:rPr>
          <w:lang w:eastAsia="nl-NL"/>
        </w:rPr>
        <w:t>. Nu is vastgesteld dat artikel 10a aan de geschiktheidstoets voldoet zal in de volgende onderdelen de noodzakelijkheidstoets worden toegepast ten einde vast te stellen of artikel 10a ook voor deze toets slaagt. De evenwichtigheidstoets beoordeelt of het nationale belang, dat wordt gediend door de maatregel, opweegt tegen de communautaire nadelen, c.q. de beperking van het vrije verkeer.</w:t>
      </w:r>
      <w:r>
        <w:rPr>
          <w:rStyle w:val="Voetnootmarkering"/>
          <w:lang w:eastAsia="nl-NL"/>
        </w:rPr>
        <w:footnoteReference w:id="233"/>
      </w:r>
      <w:r>
        <w:rPr>
          <w:lang w:eastAsia="nl-NL"/>
        </w:rPr>
        <w:t xml:space="preserve"> Echter, gezien de sporadische toepassing hiervan alsmede het feit dat deze geen toepassing heeft gevonden in de misbruikjurisprudentie omtrent directe belastingen van het HvJ EG, zal deze niet in alle gevallen worden uitgevoerd. Dat deze geen toepassing heeft gevonden is mijns inziens ook logisch, aangezien er door middel van misbruik geen communautair doel gediend kan worden en deze, zoals eerder is aangehaald, derhalve geen gewicht in de schaal legt bij de toepassing van de evenwichtigheidstoets.</w:t>
      </w:r>
    </w:p>
    <w:p w:rsidR="00652D1F" w:rsidRDefault="00652D1F" w:rsidP="00AC0BC5">
      <w:pPr>
        <w:spacing w:line="360" w:lineRule="auto"/>
        <w:rPr>
          <w:lang w:eastAsia="nl-NL"/>
        </w:rPr>
      </w:pPr>
    </w:p>
    <w:p w:rsidR="00652D1F" w:rsidRDefault="00652D1F" w:rsidP="00AC0BC5">
      <w:pPr>
        <w:spacing w:line="360" w:lineRule="auto"/>
        <w:rPr>
          <w:lang w:eastAsia="nl-NL"/>
        </w:rPr>
      </w:pPr>
    </w:p>
    <w:p w:rsidR="00652D1F" w:rsidRPr="000A29D0" w:rsidRDefault="00652D1F" w:rsidP="00AC0BC5">
      <w:pPr>
        <w:spacing w:line="360" w:lineRule="auto"/>
        <w:rPr>
          <w:lang w:eastAsia="nl-NL"/>
        </w:rPr>
      </w:pPr>
      <w:r>
        <w:rPr>
          <w:b/>
          <w:u w:val="single"/>
          <w:lang w:eastAsia="nl-NL"/>
        </w:rPr>
        <w:t>6.2 Aandachtspunten EU toetsing</w:t>
      </w:r>
    </w:p>
    <w:p w:rsidR="00652D1F" w:rsidRDefault="00652D1F" w:rsidP="00AC0BC5">
      <w:pPr>
        <w:spacing w:line="360" w:lineRule="auto"/>
      </w:pPr>
      <w:r>
        <w:t xml:space="preserve"> </w:t>
      </w:r>
    </w:p>
    <w:p w:rsidR="00652D1F" w:rsidRDefault="00652D1F" w:rsidP="00AC0BC5">
      <w:pPr>
        <w:spacing w:line="360" w:lineRule="auto"/>
      </w:pPr>
      <w:r>
        <w:t>Bij de toetsing van artikel 10a aan het evenredigheidsbeginsel en het misbruikbegrip dient te worden onderzocht of het ontstaan en de ontkrachting van het bewijsvermoeden, welk ligt besloten in artikel 10a, daarmee in overeenstemming zijn. De elementen die essentieel zijn voor het ontstaan van het vermoeden zijn de compenserende heffingstoets, het verband tussen rechtshandeling en schuldverhouding en de verbondenheid van de lichamen. Voor de ontkrachting is de inhoud van de criteria overwegende mate en zakelijke overwegingen van doorslaggevend belang. Deze begrippen zullen in het onderstaande aan het evenredigheidsbeginsel en het misbruikbegrip worden getoetst.</w:t>
      </w:r>
    </w:p>
    <w:p w:rsidR="00652D1F" w:rsidRDefault="00652D1F" w:rsidP="00AC0BC5">
      <w:pPr>
        <w:spacing w:line="360" w:lineRule="auto"/>
      </w:pPr>
    </w:p>
    <w:p w:rsidR="00652D1F" w:rsidRDefault="00652D1F" w:rsidP="00AC0BC5">
      <w:pPr>
        <w:spacing w:line="360" w:lineRule="auto"/>
        <w:rPr>
          <w:b/>
          <w:u w:val="single"/>
        </w:rPr>
      </w:pPr>
    </w:p>
    <w:p w:rsidR="00652D1F" w:rsidRDefault="00652D1F" w:rsidP="00AC0BC5">
      <w:pPr>
        <w:spacing w:line="360" w:lineRule="auto"/>
        <w:rPr>
          <w:b/>
          <w:u w:val="single"/>
        </w:rPr>
      </w:pPr>
      <w:r w:rsidRPr="00292A58">
        <w:rPr>
          <w:b/>
          <w:u w:val="single"/>
        </w:rPr>
        <w:t>6.2.1 Compenserende heffingstoets en de verrekening van verliezen</w:t>
      </w:r>
    </w:p>
    <w:p w:rsidR="00652D1F" w:rsidRPr="00A652C7" w:rsidRDefault="00652D1F" w:rsidP="00AC0BC5">
      <w:pPr>
        <w:spacing w:line="360" w:lineRule="auto"/>
        <w:rPr>
          <w:b/>
          <w:u w:val="single"/>
        </w:rPr>
      </w:pPr>
    </w:p>
    <w:p w:rsidR="00652D1F" w:rsidRDefault="00652D1F" w:rsidP="00E8426D">
      <w:pPr>
        <w:spacing w:line="360" w:lineRule="auto"/>
      </w:pPr>
      <w:r w:rsidRPr="00764988">
        <w:t xml:space="preserve">Uitsluiting </w:t>
      </w:r>
      <w:r>
        <w:t xml:space="preserve">van </w:t>
      </w:r>
      <w:r w:rsidRPr="00764988">
        <w:t xml:space="preserve">verrekenbare verliezen in </w:t>
      </w:r>
      <w:r>
        <w:t xml:space="preserve">de </w:t>
      </w:r>
      <w:r w:rsidRPr="00764988">
        <w:t xml:space="preserve">compenserende heffingstoets </w:t>
      </w:r>
      <w:r>
        <w:t xml:space="preserve">is </w:t>
      </w:r>
      <w:r w:rsidRPr="00764988">
        <w:t>in</w:t>
      </w:r>
      <w:r>
        <w:t xml:space="preserve"> strijd met EU-recht. </w:t>
      </w:r>
      <w:r w:rsidRPr="00764988">
        <w:t xml:space="preserve">De compenserende heffingstoets is een element dat bijdraagt aan het vaststellen van het vermoeden van misbruik. De wettekst is zo gestructureerd dat bij de aanwezigheid van een </w:t>
      </w:r>
      <w:r>
        <w:t>naar Nederlandse maatstaven bevredigende</w:t>
      </w:r>
      <w:r w:rsidRPr="00764988">
        <w:t xml:space="preserve"> heffing er in beginsel uit hoofde van de wet geen misbruik aanwezig wordt geacht</w:t>
      </w:r>
      <w:r>
        <w:t>. E</w:t>
      </w:r>
      <w:r w:rsidRPr="00764988">
        <w:t>chter</w:t>
      </w:r>
      <w:r>
        <w:t>,</w:t>
      </w:r>
      <w:r w:rsidRPr="00764988">
        <w:t xml:space="preserve"> in </w:t>
      </w:r>
      <w:r>
        <w:t>het geval dat deze heffing niet</w:t>
      </w:r>
      <w:r w:rsidRPr="00764988">
        <w:t xml:space="preserve"> wordt </w:t>
      </w:r>
      <w:r>
        <w:t>geëffectueerd,</w:t>
      </w:r>
      <w:r w:rsidRPr="00764988">
        <w:t xml:space="preserve"> ten gevolge van de aanwezigheid van compensabele verliezen bij het renteontvangende lichaam</w:t>
      </w:r>
      <w:r>
        <w:t>,</w:t>
      </w:r>
      <w:r w:rsidRPr="00764988">
        <w:t xml:space="preserve"> wordt er alsnog niet voldaan aan de compen</w:t>
      </w:r>
      <w:r>
        <w:t>serende heffingstoets en ontstaat</w:t>
      </w:r>
      <w:r w:rsidRPr="00764988">
        <w:t xml:space="preserve"> het vermoeden van misbruik uit hoofde van de wet. De vraag die aldus dient te worden beantwoord</w:t>
      </w:r>
      <w:r>
        <w:t>,</w:t>
      </w:r>
      <w:r w:rsidRPr="00764988">
        <w:t xml:space="preserve"> met betrekking</w:t>
      </w:r>
      <w:r>
        <w:t xml:space="preserve"> tot het in dit geval in beginsel uitsluiten van aftrek,</w:t>
      </w:r>
      <w:r w:rsidRPr="00764988">
        <w:t xml:space="preserve"> is</w:t>
      </w:r>
      <w:r>
        <w:t>,</w:t>
      </w:r>
      <w:r w:rsidRPr="00764988">
        <w:t xml:space="preserve"> of het verrekenen van compensabele verliezen het vermoeden van misbruik rechtvaardigt.</w:t>
      </w:r>
      <w:r>
        <w:t xml:space="preserve"> Oftewel, is er in een dergelijke situatie überhaupt sprake van misbruik in de afwezigheid van een enkele zakelijke motivatie behalve die van het voorkomen van verliesverdamping.</w:t>
      </w:r>
    </w:p>
    <w:p w:rsidR="00652D1F" w:rsidRPr="00764988" w:rsidRDefault="00652D1F" w:rsidP="00AC0BC5">
      <w:pPr>
        <w:spacing w:line="360" w:lineRule="auto"/>
      </w:pPr>
    </w:p>
    <w:p w:rsidR="00652D1F" w:rsidRDefault="00652D1F" w:rsidP="00AC0BC5">
      <w:pPr>
        <w:spacing w:line="360" w:lineRule="auto"/>
      </w:pPr>
      <w:r w:rsidRPr="00764988">
        <w:t>Naar blijkt uit de ‘</w:t>
      </w:r>
      <w:r>
        <w:t>frau</w:t>
      </w:r>
      <w:r w:rsidRPr="00764988">
        <w:t>s legis’-jurisprudentie leidde het verrekenen van de rentebetalingen niet tot uitsluiting van aftrek. De Hoge Raad was in deze van mening dat</w:t>
      </w:r>
      <w:r>
        <w:t>;</w:t>
      </w:r>
    </w:p>
    <w:p w:rsidR="00652D1F" w:rsidRDefault="00652D1F" w:rsidP="00AC0BC5">
      <w:pPr>
        <w:spacing w:line="360" w:lineRule="auto"/>
      </w:pPr>
    </w:p>
    <w:p w:rsidR="00652D1F" w:rsidRDefault="00652D1F" w:rsidP="00AC0BC5">
      <w:pPr>
        <w:spacing w:line="360" w:lineRule="auto"/>
        <w:rPr>
          <w:rFonts w:eastAsia="Times New Roman"/>
        </w:rPr>
      </w:pPr>
      <w:r>
        <w:t xml:space="preserve"> “</w:t>
      </w:r>
      <w:r w:rsidRPr="00D6663E">
        <w:rPr>
          <w:rFonts w:eastAsia="Times New Roman"/>
          <w:i/>
          <w:iCs/>
        </w:rPr>
        <w:t>indien een belastingplichtig lichaam dat verliezen geleden heeft, ernaar streeft door het aantrekken van positieve winstbestanddelen de verrekening van die verliezen te bespoedigen en althans verdamping van die verliezen te voorkomen, komt zulks niet in strijd met de strekking van de verliescompensatie. De betaling van de rente door belanghebbende kan dan ook niet met doel en strekking van de wet in strijd geoordeeld worden</w:t>
      </w:r>
      <w:r w:rsidRPr="00764988">
        <w:rPr>
          <w:rFonts w:eastAsia="Times New Roman"/>
        </w:rPr>
        <w:t>.”</w:t>
      </w:r>
      <w:r>
        <w:rPr>
          <w:rStyle w:val="Voetnootmarkering"/>
          <w:rFonts w:eastAsia="Times New Roman"/>
        </w:rPr>
        <w:footnoteReference w:id="234"/>
      </w:r>
      <w:r>
        <w:rPr>
          <w:rFonts w:eastAsia="Times New Roman"/>
        </w:rPr>
        <w:t xml:space="preserve"> </w:t>
      </w:r>
    </w:p>
    <w:p w:rsidR="00652D1F" w:rsidRDefault="00652D1F" w:rsidP="00AC0BC5">
      <w:pPr>
        <w:spacing w:line="360" w:lineRule="auto"/>
        <w:rPr>
          <w:rFonts w:eastAsia="Times New Roman"/>
        </w:rPr>
      </w:pPr>
    </w:p>
    <w:p w:rsidR="00652D1F" w:rsidRDefault="00652D1F" w:rsidP="00E8426D">
      <w:pPr>
        <w:spacing w:line="360" w:lineRule="auto"/>
        <w:rPr>
          <w:rFonts w:eastAsia="Times New Roman"/>
        </w:rPr>
      </w:pPr>
      <w:r>
        <w:rPr>
          <w:rFonts w:eastAsia="Times New Roman"/>
        </w:rPr>
        <w:t xml:space="preserve">De vraag die in EU context dient te worden beantwoord is dat deze verrekening van verliezen ook in overeenstemming met het EU-recht, meer in het bijzonder met de vrijheid van vestiging, kan worden geacht. </w:t>
      </w:r>
    </w:p>
    <w:p w:rsidR="00652D1F" w:rsidRDefault="00652D1F" w:rsidP="00AC0BC5">
      <w:pPr>
        <w:spacing w:line="360" w:lineRule="auto"/>
        <w:rPr>
          <w:rFonts w:eastAsia="Times New Roman"/>
        </w:rPr>
      </w:pPr>
    </w:p>
    <w:p w:rsidR="00652D1F" w:rsidRDefault="00652D1F" w:rsidP="00623B21">
      <w:pPr>
        <w:spacing w:line="360" w:lineRule="auto"/>
        <w:rPr>
          <w:rFonts w:eastAsia="Times New Roman"/>
        </w:rPr>
      </w:pPr>
      <w:r>
        <w:rPr>
          <w:rFonts w:eastAsia="Times New Roman"/>
        </w:rPr>
        <w:t>Deze vraag zal in twee delen worden beantwoord. Allereerst zal er worden vastgesteld of hiermee een voordeel wordt behaald. Mocht dit niet het geval zijn, dan zal er worden vastgesteld of er in deze eventueel een beroep kan worden gedaan op de rechtvaardigingsgrond fiscale cohesie. Zoals is gebleken uit de bespreking van misbruik in EU verband vereist misbruik een puur kunstmatige constructie welk een onrechtmatig voordeel wenst te verkrijgen, namelijk het ontwijken van belasting. In het navolgende zal van de volgende situatie worden uitgegaan; moeder en 100% dochter zijn beiden gevestigd in een andere lidstaat en onderworpen aan een soortgelijk belastingtarief, waarbij de dochter beschikt over de compensabele verliezen en de moeder een lening bij de dochter heeft ingewonnen met het enkele doel het verrekenen van verliezen. De gegeven situatie is derhalve een kustmatige constructie, wel</w:t>
      </w:r>
      <w:r>
        <w:t xml:space="preserve"> is het van belang om op te merken dat de verliezen zijn geleden ten gevolge van reële economische activiteiten.</w:t>
      </w:r>
    </w:p>
    <w:p w:rsidR="00652D1F" w:rsidRDefault="00652D1F" w:rsidP="00AC0BC5">
      <w:pPr>
        <w:spacing w:line="360" w:lineRule="auto"/>
        <w:rPr>
          <w:rFonts w:eastAsia="Times New Roman"/>
        </w:rPr>
      </w:pPr>
    </w:p>
    <w:p w:rsidR="00652D1F" w:rsidRDefault="00652D1F" w:rsidP="00EE2C45">
      <w:pPr>
        <w:spacing w:line="360" w:lineRule="auto"/>
      </w:pPr>
      <w:r>
        <w:rPr>
          <w:rFonts w:eastAsia="Times New Roman"/>
        </w:rPr>
        <w:t>Het Nederlandse systeem staat horizontale verliesverrekening, behalve in het geval van de fiscale eenheid, binnen een groep niet toe. Dit staat niet letterlijk in de wettekst, echter volgt uit het systeem van de wet, heffing op het niveau van een individuele belastingplichtige, welke voor de vennootschapsbelasting het individuele lichaam betreft.</w:t>
      </w:r>
      <w:r>
        <w:t xml:space="preserve"> Dit kan er toe leiden dat de onderneming over meer dan zijn totale winst wordt belast wanneer haar verliezen verdampen, omdat deze niet overdraagbaar zijn aan andere lichamen van dezelfde onderneming. Echter, het idee achter de vrijheid van vestiging is dat een als een economisch opererende eenheid niet gehinderd mag worden in zijn vestigingsmogelijkheden. Dat van deze mogelijkheid gebruik wordt gemaakt door een vestiging ondergebracht in een apart rechtslichaam doet in beginsel niks aan de werking van deze gedachte af. Dit blijkt ook uit artikel 54 VwEU, waarin het oprichten van dochterondernemingen ook onder de vrijheid van vestiging wordt geacht te vallen alsmede de rechtspraak van het HvJ EG met als voorbeelden Marks &amp; Spencer en Oy AA.</w:t>
      </w:r>
      <w:r>
        <w:rPr>
          <w:rStyle w:val="Voetnootmarkering"/>
        </w:rPr>
        <w:footnoteReference w:id="235"/>
      </w:r>
      <w:r>
        <w:t xml:space="preserve"> Het feit dat een vestig</w:t>
      </w:r>
      <w:r w:rsidR="001911CE">
        <w:t>ing ondergebracht in een v.i.</w:t>
      </w:r>
      <w:r>
        <w:t xml:space="preserve"> in </w:t>
      </w:r>
      <w:r w:rsidR="001911CE">
        <w:t xml:space="preserve">vergelijking met een vestiging ondergebracht in </w:t>
      </w:r>
      <w:r>
        <w:t>een apart rechtslichaam niet gelijk dienen te worden behandeld</w:t>
      </w:r>
      <w:r>
        <w:rPr>
          <w:rStyle w:val="Voetnootmarkering"/>
        </w:rPr>
        <w:footnoteReference w:id="236"/>
      </w:r>
      <w:r>
        <w:t>, doet mijns inziens niet af aan het feit dat dit niet strijdig met het VwEU kan worden geacht wanneer deze situatie wordt gecreëerd.</w:t>
      </w:r>
    </w:p>
    <w:p w:rsidR="00652D1F" w:rsidRDefault="00652D1F" w:rsidP="00AC0BC5">
      <w:pPr>
        <w:spacing w:line="360" w:lineRule="auto"/>
      </w:pPr>
    </w:p>
    <w:p w:rsidR="00652D1F" w:rsidRDefault="00652D1F" w:rsidP="00623B21">
      <w:pPr>
        <w:spacing w:line="360" w:lineRule="auto"/>
      </w:pPr>
      <w:r>
        <w:t>Als een direct uitvloeisel van deze constatering volgt dat er in het onderhavige geval geen sprake kan zijn van misbruik. Er wordt namelijk niet voldaan aan het voordeelvereiste, de belanghebbende ontwijkt geen belasting. Zij betaalt enkel de belasting die zij dient te betalen. Hierin kan geen voordeel besloten liggen, zij is hier namelijk toe gerechtigd. Op grond hiervan kan men concluderen dat het gebruikmaken van rentebetalingen, met als grond fiscale motieven bestaande uit het benutten van verliesverrekening, niet in strijd met het EU-recht en meer in het bijzonder de vrijheid van vestiging kan worden geacht.</w:t>
      </w:r>
    </w:p>
    <w:p w:rsidR="00652D1F" w:rsidRDefault="00652D1F" w:rsidP="00AC0BC5">
      <w:pPr>
        <w:spacing w:line="360" w:lineRule="auto"/>
      </w:pPr>
    </w:p>
    <w:p w:rsidR="00652D1F" w:rsidRDefault="00652D1F" w:rsidP="00E8426D">
      <w:pPr>
        <w:spacing w:line="360" w:lineRule="auto"/>
      </w:pPr>
      <w:r>
        <w:t>In EU verband is het, naast het voorkomen dat belanghebbende onrechtmatige voordelen verkrijgt door middel van misbruik, in beginsel echter ook van belang om ervoor te waken dat de winsten die opkomen in een lidstaat ook daar tot de belastbare grondslag behoren. Dit is ook het argument voor de ‘fiscale cohesie’ rechtvaardigingsgrond.</w:t>
      </w:r>
      <w:r>
        <w:rPr>
          <w:rStyle w:val="Voetnootmarkering"/>
        </w:rPr>
        <w:footnoteReference w:id="237"/>
      </w:r>
      <w:r>
        <w:t xml:space="preserve"> Deze is mijns inziens in het onderhavige geval duidelijk van toepassing bij het verrekenen van verliezen uit een lidstaat met de winsten uit een andere lidstaat. Dit houdt namelijk een ingrijpende aantasting van de belastbare grondslag van het winstgevende lichaam in.</w:t>
      </w:r>
      <w:r>
        <w:rPr>
          <w:rStyle w:val="Voetnootmarkering"/>
        </w:rPr>
        <w:footnoteReference w:id="238"/>
      </w:r>
      <w:r>
        <w:t xml:space="preserve"> Echter, zoals is gebleken in rechtspraak van het HvJ EG, zijn er aan deze rechtvaardigingsgrond duidelijke grenzen gesteld in de zaken Marks &amp; Spencer en Lidl Belgium</w:t>
      </w:r>
      <w:r>
        <w:rPr>
          <w:rStyle w:val="Voetnootmarkering"/>
        </w:rPr>
        <w:footnoteReference w:id="239"/>
      </w:r>
      <w:r>
        <w:t xml:space="preserve">. Het HvJ EG overwoog hieromtrent in Marks &amp; Spencer; </w:t>
      </w:r>
    </w:p>
    <w:p w:rsidR="00652D1F" w:rsidRPr="00E35621" w:rsidRDefault="00652D1F" w:rsidP="00AC0BC5">
      <w:pPr>
        <w:spacing w:line="360" w:lineRule="auto"/>
        <w:rPr>
          <w:lang w:eastAsia="nl-NL"/>
        </w:rPr>
      </w:pPr>
    </w:p>
    <w:p w:rsidR="00652D1F" w:rsidRDefault="00652D1F" w:rsidP="00AC0BC5">
      <w:pPr>
        <w:spacing w:line="360" w:lineRule="auto"/>
      </w:pPr>
      <w:r w:rsidRPr="00E35621">
        <w:t>r.o. 4      “</w:t>
      </w:r>
      <w:r w:rsidRPr="00D6663E">
        <w:rPr>
          <w:i/>
          <w:iCs/>
        </w:rPr>
        <w:t>Marks &amp; Spencer en de Commissie hebben immers aangevoerd dat er maatregelen mogelijk zijn die minder restrictief zijn dan een algemene uitsluiting van het voordeel van de groepsaftrek. Als voorbeeld geven zij de mogelijkheid om de belastingaftrek afhankelijk te stellen van de voorwaarde dat de buitenlandse dochtervennootschap alle in de lidstaat van vestiging bestaande mogelijkheden van verliesverrekening ten volle heeft benut, of aan de voorwaarde dat latere winst van de niet-ingezetene dochtervennootschap ten belopen van haar vroeger verrekend verlies wordt opgenomen in de belastbare winst van de vennootschap waaraan de groepsaftrek is toegekend</w:t>
      </w:r>
      <w:r w:rsidRPr="00E35621">
        <w:t>.”</w:t>
      </w:r>
      <w:r w:rsidRPr="00E35621">
        <w:rPr>
          <w:rStyle w:val="Voetnootmarkering"/>
        </w:rPr>
        <w:footnoteReference w:id="240"/>
      </w:r>
    </w:p>
    <w:p w:rsidR="00652D1F" w:rsidRDefault="00652D1F" w:rsidP="00AC0BC5">
      <w:pPr>
        <w:spacing w:line="360" w:lineRule="auto"/>
      </w:pPr>
    </w:p>
    <w:p w:rsidR="00652D1F" w:rsidRDefault="00652D1F" w:rsidP="00E8426D">
      <w:pPr>
        <w:spacing w:line="360" w:lineRule="auto"/>
      </w:pPr>
      <w:r>
        <w:t>Zoals Douma</w:t>
      </w:r>
      <w:r w:rsidR="004860EF">
        <w:t xml:space="preserve"> </w:t>
      </w:r>
      <w:r>
        <w:t>aangeeft betreft het hier de toepassing van de evenwichtsgedachte.</w:t>
      </w:r>
      <w:r w:rsidR="004860EF" w:rsidRPr="004860EF">
        <w:rPr>
          <w:rStyle w:val="Voetnootmarkering"/>
        </w:rPr>
        <w:t xml:space="preserve"> </w:t>
      </w:r>
      <w:r w:rsidR="004860EF">
        <w:rPr>
          <w:rStyle w:val="Voetnootmarkering"/>
        </w:rPr>
        <w:footnoteReference w:id="241"/>
      </w:r>
      <w:r w:rsidR="004860EF">
        <w:t xml:space="preserve"> </w:t>
      </w:r>
      <w:r>
        <w:t xml:space="preserve"> Hoewel het beschermen van de belastbare grondslag een legitiem doel is, is deze uiteindelijk ondergeschikt aan het belang van de interne markt. Mijns inziens kan men op basis hiervan de conclusie trekken dat het uit hoofde van de wettekst niet voldoen aan de compenserende heffingstoets, in het geval dat de verliezen niet anderszins verrekenbaar zijn, in de lidstaat van de renteontvangende partij in strijd is met de vrijheid van vestiging. Zulks zal mijns inziens ook dienen te gelden voor andersoortige aanspraken, mits deze voortspruiten uit reële economische activiteiten.</w:t>
      </w:r>
    </w:p>
    <w:p w:rsidR="00652D1F" w:rsidRPr="00AC0BC5" w:rsidRDefault="00652D1F" w:rsidP="00AC0BC5">
      <w:pPr>
        <w:spacing w:line="360" w:lineRule="auto"/>
      </w:pPr>
    </w:p>
    <w:p w:rsidR="00652D1F" w:rsidRDefault="00652D1F" w:rsidP="00AC0BC5">
      <w:pPr>
        <w:spacing w:line="360" w:lineRule="auto"/>
        <w:rPr>
          <w:b/>
          <w:u w:val="single"/>
        </w:rPr>
      </w:pPr>
    </w:p>
    <w:p w:rsidR="00652D1F" w:rsidRPr="00A652C7" w:rsidRDefault="00652D1F" w:rsidP="00AC0BC5">
      <w:pPr>
        <w:spacing w:line="360" w:lineRule="auto"/>
        <w:rPr>
          <w:b/>
          <w:u w:val="single"/>
        </w:rPr>
      </w:pPr>
      <w:r>
        <w:rPr>
          <w:b/>
          <w:u w:val="single"/>
        </w:rPr>
        <w:t>6.2.2 De invulling van het begrip</w:t>
      </w:r>
      <w:r w:rsidRPr="00A652C7">
        <w:rPr>
          <w:b/>
          <w:u w:val="single"/>
        </w:rPr>
        <w:t xml:space="preserve"> belang en de aanwezigheid van verbondenheid</w:t>
      </w:r>
    </w:p>
    <w:p w:rsidR="00652D1F" w:rsidRDefault="00652D1F" w:rsidP="00AC0BC5">
      <w:pPr>
        <w:spacing w:line="360" w:lineRule="auto"/>
      </w:pPr>
    </w:p>
    <w:p w:rsidR="00652D1F" w:rsidRDefault="00652D1F" w:rsidP="002C528E">
      <w:pPr>
        <w:spacing w:line="360" w:lineRule="auto"/>
      </w:pPr>
      <w:r>
        <w:t xml:space="preserve">Een van de omstandigheden waarbij artikel 10a aangrijpt bij de vaststelling van het vermoeden van misbruik is dat er tussen het rentebetalende en ontvangende lichaam een onderling directe dan wel indirecte verbondenheid van een derde bestaat. Mijns inziens is deze grens strijdig met het VwEU. Het streven van artikel 10a is namelijk het uitsluiten van renteaftrek welke is gebaseerd op onzakelijke motieven oftewel op fiscale motieven. Deze rentebetalingen vinden derhalve niet plaats in het belang van de rentebetalende vennootschap. Als een direct uitvloeisel hiervan heeft deze vennootschap geen stimulans om aan een dergelijke structuur mee te werken. Zij zal dit enkel doen op aangegeven van een entiteit die haar controleert en daarbij gebaat is. Ook betekent dit dat het begrip ‘belang’ een samenspel van financieel belang en zeggenschap dient te behelzen. Misbruik kan namelijk niet ontstaan dan wel aanwezig zijn als men niet in de positie is een situatie te creëren waarvan men profiteert. </w:t>
      </w:r>
    </w:p>
    <w:p w:rsidR="00652D1F" w:rsidRDefault="00652D1F" w:rsidP="00AC0BC5">
      <w:pPr>
        <w:spacing w:line="360" w:lineRule="auto"/>
      </w:pPr>
    </w:p>
    <w:p w:rsidR="00652D1F" w:rsidRDefault="00652D1F" w:rsidP="00E8426D">
      <w:pPr>
        <w:spacing w:line="360" w:lineRule="auto"/>
      </w:pPr>
      <w:r>
        <w:t xml:space="preserve">Als een lichaam een aandelenbelang in een andere lichaam houdt ter grootte van een derde, zal deze in beginsel niet in staat zijn een dergelijke invloed op het lichaam, waarin de aandelen </w:t>
      </w:r>
      <w:r w:rsidRPr="00292A58">
        <w:t>worden gehouden, uit te oefenen. Zij is derhalve niet in staat om de voorwaarden te creëren ten gevolge waarvan zij een onrechtmatig voordeel kan verkrijgen. Dit ziet men ook terug in de conclusie van A-G Bot in zijn conclusie bij het Glaxo Wellcome arrest. Hij stelt hierin dat de regeling te ver gaat aangezien het voordeel enkel opkomt in groepssituaties, mijns inziens is dit ook het geval bij artikel 10a.</w:t>
      </w:r>
      <w:r w:rsidRPr="00292A58">
        <w:rPr>
          <w:rStyle w:val="Voetnootmarkering"/>
        </w:rPr>
        <w:footnoteReference w:id="242"/>
      </w:r>
      <w:r w:rsidRPr="00292A58">
        <w:t xml:space="preserve"> Eventueel zou men kunnen stellen dat dit de deur opent voor een consortium om</w:t>
      </w:r>
      <w:r w:rsidR="004860EF" w:rsidRPr="00292A58">
        <w:t xml:space="preserve"> samen te werken. Ik</w:t>
      </w:r>
      <w:r w:rsidR="004860EF">
        <w:t xml:space="preserve"> ben echter</w:t>
      </w:r>
      <w:r>
        <w:t xml:space="preserve"> van mening dat men tegen de toepassing van fraus legis aanloopt, voor hetgeen nog steeds plaats is binnen de toepassing van artikel 10a zoals blijkt uit de jurisprudentie.</w:t>
      </w:r>
      <w:r>
        <w:rPr>
          <w:rStyle w:val="Voetnootmarkering"/>
        </w:rPr>
        <w:footnoteReference w:id="243"/>
      </w:r>
      <w:r>
        <w:t xml:space="preserve"> Daarom is het stellen van de aanwezigheid van misbruik in het geval van een belang van een derde en de invulling die h</w:t>
      </w:r>
      <w:r w:rsidR="003D6C94">
        <w:t xml:space="preserve">ieraan door de wetgever </w:t>
      </w:r>
      <w:r>
        <w:t xml:space="preserve"> wordt gegeven in strijd met het evenredigheidsbeginsel.</w:t>
      </w:r>
    </w:p>
    <w:p w:rsidR="00652D1F" w:rsidRDefault="00652D1F" w:rsidP="00AC0BC5">
      <w:pPr>
        <w:spacing w:line="360" w:lineRule="auto"/>
      </w:pPr>
    </w:p>
    <w:p w:rsidR="00652D1F" w:rsidRDefault="00652D1F" w:rsidP="00CA4C7E">
      <w:pPr>
        <w:spacing w:line="360" w:lineRule="auto"/>
      </w:pPr>
      <w:r>
        <w:t xml:space="preserve">Daarnaast brengt het feit dat er een materiële invulling aan het begrip belang wordt gegeven naar mijn mening mee dat het vereisen van een meerderheidsbelang ontwijkingstructuren niet in de hand zal werken. Mijns inziens zou het beter zijn om aan te sluiten bij de gedachte achter het concernbegrip zoals verwoord in artikel 24b boek 2 BW. Deze stelt dat onder een groep dient te worden verstaan </w:t>
      </w:r>
      <w:r w:rsidRPr="00E81349">
        <w:t>“</w:t>
      </w:r>
      <w:r w:rsidRPr="000A2A2A">
        <w:rPr>
          <w:i/>
          <w:iCs/>
        </w:rPr>
        <w:t>een economische eenheid waarin rechtspersonen en vennootschappen organisatorisch zijn verbonden</w:t>
      </w:r>
      <w:r w:rsidRPr="00E81349">
        <w:t>”</w:t>
      </w:r>
      <w:r>
        <w:t>.</w:t>
      </w:r>
      <w:r>
        <w:rPr>
          <w:rStyle w:val="Voetnootmarkering"/>
        </w:rPr>
        <w:footnoteReference w:id="244"/>
      </w:r>
      <w:r>
        <w:t xml:space="preserve"> Dit begrip doet veel meer dan het huidige criterium recht aan de intenties van artikel 10a, namelijk het bestrijden van misbruik, welk in afwezigheid van de combinatie van economische en organisatorische verwevenheid niet aanwezig zal zijn. </w:t>
      </w:r>
    </w:p>
    <w:p w:rsidR="00652D1F" w:rsidRDefault="00652D1F" w:rsidP="00AC0BC5">
      <w:pPr>
        <w:spacing w:line="360" w:lineRule="auto"/>
      </w:pPr>
    </w:p>
    <w:p w:rsidR="00652D1F" w:rsidRDefault="00652D1F" w:rsidP="00AC0BC5">
      <w:pPr>
        <w:spacing w:line="360" w:lineRule="auto"/>
      </w:pPr>
    </w:p>
    <w:p w:rsidR="00652D1F" w:rsidRDefault="00652D1F" w:rsidP="00AC0BC5">
      <w:pPr>
        <w:spacing w:line="360" w:lineRule="auto"/>
        <w:rPr>
          <w:b/>
          <w:u w:val="single"/>
        </w:rPr>
      </w:pPr>
      <w:r>
        <w:rPr>
          <w:b/>
          <w:u w:val="single"/>
        </w:rPr>
        <w:t xml:space="preserve">6.2.3 </w:t>
      </w:r>
      <w:r w:rsidRPr="00A652C7">
        <w:rPr>
          <w:b/>
          <w:u w:val="single"/>
        </w:rPr>
        <w:t>Verband</w:t>
      </w:r>
      <w:r>
        <w:rPr>
          <w:b/>
          <w:u w:val="single"/>
        </w:rPr>
        <w:t xml:space="preserve"> tussen schuldverhouding en rechtshandeling in EU context</w:t>
      </w:r>
      <w:r w:rsidRPr="00A652C7">
        <w:rPr>
          <w:b/>
          <w:u w:val="single"/>
        </w:rPr>
        <w:t>?</w:t>
      </w:r>
    </w:p>
    <w:p w:rsidR="00652D1F" w:rsidRPr="00A652C7" w:rsidRDefault="00652D1F" w:rsidP="00AC0BC5">
      <w:pPr>
        <w:spacing w:line="360" w:lineRule="auto"/>
        <w:rPr>
          <w:b/>
          <w:u w:val="single"/>
        </w:rPr>
      </w:pPr>
    </w:p>
    <w:p w:rsidR="00652D1F" w:rsidRDefault="00652D1F" w:rsidP="00655FAE">
      <w:pPr>
        <w:spacing w:line="360" w:lineRule="auto"/>
      </w:pPr>
      <w:r>
        <w:t>Zoals blijkt uit de parlemen</w:t>
      </w:r>
      <w:r w:rsidRPr="0017730B">
        <w:t>taire behandeling van artikel 10a</w:t>
      </w:r>
      <w:r>
        <w:t>, in het kader van ‘Werken aan de W</w:t>
      </w:r>
      <w:r w:rsidRPr="0017730B">
        <w:t>inst’</w:t>
      </w:r>
      <w:r>
        <w:t xml:space="preserve">, het nieuwe tweede lid en de toevoeging van direct of indirect voor het begrip verband in de wettekst, </w:t>
      </w:r>
      <w:r w:rsidRPr="0017730B">
        <w:t>is er voor het vaststellen van het vermoeden van misbruik allerminst vereist dat er ten tijde van de eerste van de twee handelingen een concreet plan bestond een dergelijk voordeel te behalen.</w:t>
      </w:r>
      <w:r>
        <w:t xml:space="preserve"> Mijns inziens is de Nederlandse wetgever hiermee, ten gevolge de combinatie van dit ‘verband’ begrip met het vereiste in deze van de dubbele zakelijkheidstoets, in strijd gekomen met de vrijheid van vestiging. Het mogen stellen van het vermoeden van misbruik vereist namelijk de aanwezigheid van de objectieve vaststelling van de aanwezigheid van een voordeel.</w:t>
      </w:r>
    </w:p>
    <w:p w:rsidR="00652D1F" w:rsidRDefault="00652D1F" w:rsidP="00AC0BC5">
      <w:pPr>
        <w:spacing w:line="360" w:lineRule="auto"/>
      </w:pPr>
    </w:p>
    <w:p w:rsidR="00652D1F" w:rsidRDefault="00652D1F" w:rsidP="00E8426D">
      <w:pPr>
        <w:spacing w:line="360" w:lineRule="auto"/>
      </w:pPr>
      <w:r>
        <w:t>In het geval dat een lichaam ten tijde van de eerste handeling een zakelijk ongefundeerde rechtshandeling dan wel schuldverhouding in het leven roept ten gevolge waarvan later een voordeel wordt verkregen bij een zakelijk transactie, betekent zulks niet dat er sprake is van een puur kunstmatig constructie gericht op het behalen van een onrechtmatig voordeel. De eerste handeling betekent op zich zelf bezien namelijk geen voordeel, het voordeel vloeit enkel voort uit de naderhand aangegane schuldverhouding. Als deze niet in concreet verband met elkaar staan kan er nimmer worden gesproken over het creëren van een onrechtmatig voordeel, in ieder geval heeft de eerste handeling daarin geen rol gespeeld. Dit is enkel een gegeven omstandigheid ten tijde van het aangaan van de schuldverhouding. De lening die achteraf wordt aangegaan creëert het voordeel en staat derhalve open voor toetsing. Als de nadien aangegane schuldverhouding zakelijk is onderbouwd dienen de daarmee verbandhoudende rentebetalingen mijns inziens in aftrek te worden toegelaten.</w:t>
      </w:r>
    </w:p>
    <w:p w:rsidR="00652D1F" w:rsidRDefault="00652D1F" w:rsidP="00AC0BC5">
      <w:pPr>
        <w:spacing w:line="360" w:lineRule="auto"/>
      </w:pPr>
    </w:p>
    <w:p w:rsidR="00652D1F" w:rsidRPr="00887558" w:rsidRDefault="00652D1F" w:rsidP="00B2316F">
      <w:pPr>
        <w:spacing w:line="360" w:lineRule="auto"/>
      </w:pPr>
      <w:r>
        <w:t>Dit betekent dat de structuur van artikel 10a waarin het begrip ‘verband’ zonder reële inhoud is, terwijl de enkele zakelijkheid van de handeling ten gevolge waarvan dit verband ontstaat niet voldoet ter zuivering van de rentebetalingen, strijdig is met de vrijheid van vestiging. Dit aangezien de eerste handeling zonder concreet verband met de tweede handeling niet als misbruik mag worden beschouwd. De eerste handeling is in dit geval namelijk geen onderdeel van de oorzaak die het voordeel veroorzaakt en kan derhalve geen onderdeel uitmaken van een potentieel kunstmatige constructie.</w:t>
      </w: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Pr="00AA2D40" w:rsidRDefault="00652D1F" w:rsidP="00AC0BC5">
      <w:pPr>
        <w:spacing w:line="360" w:lineRule="auto"/>
        <w:rPr>
          <w:b/>
          <w:u w:val="single"/>
        </w:rPr>
      </w:pPr>
      <w:r>
        <w:rPr>
          <w:b/>
          <w:u w:val="single"/>
        </w:rPr>
        <w:t>6.2.4 ‘</w:t>
      </w:r>
      <w:r w:rsidRPr="00AA2D40">
        <w:rPr>
          <w:b/>
          <w:u w:val="single"/>
        </w:rPr>
        <w:t>Vers</w:t>
      </w:r>
      <w:r>
        <w:rPr>
          <w:b/>
          <w:u w:val="single"/>
        </w:rPr>
        <w:t>chillende wegen’-leer en de rechts</w:t>
      </w:r>
      <w:r w:rsidRPr="00AA2D40">
        <w:rPr>
          <w:b/>
          <w:u w:val="single"/>
        </w:rPr>
        <w:t xml:space="preserve">praak van het </w:t>
      </w:r>
      <w:r>
        <w:rPr>
          <w:b/>
          <w:u w:val="single"/>
        </w:rPr>
        <w:t>HvJ EG</w:t>
      </w:r>
    </w:p>
    <w:p w:rsidR="00652D1F" w:rsidRDefault="00652D1F" w:rsidP="00AC0BC5">
      <w:pPr>
        <w:spacing w:line="360" w:lineRule="auto"/>
      </w:pPr>
    </w:p>
    <w:p w:rsidR="00652D1F" w:rsidRPr="00292A58" w:rsidRDefault="00652D1F" w:rsidP="00E8426D">
      <w:pPr>
        <w:spacing w:line="360" w:lineRule="auto"/>
      </w:pPr>
      <w:r>
        <w:t>Voor de ‘verschillende wegen’-leer is mijns inziens ruimte in de EU-rechtspraak. Het hebben van een economisch gerechtvaardigd doel zuivert namelijk niet automatisch alle daarin betrokken handelingen. De vraag die daarbij iedere keer dient te worden gesteld is, of deze handeling ook had plaatsgevonden zonder het te verkrijgen voordeel</w:t>
      </w:r>
      <w:r w:rsidRPr="00292A58">
        <w:t>. Hoewel Kokott terecht opmerkt dat het verkiezen van de voordeligste weg het recht van een belanghebbende is</w:t>
      </w:r>
      <w:r w:rsidRPr="00292A58">
        <w:rPr>
          <w:rStyle w:val="Voetnootmarkering"/>
        </w:rPr>
        <w:footnoteReference w:id="245"/>
      </w:r>
      <w:r w:rsidRPr="00292A58">
        <w:t>, dient men wel te bekijken of deze handelingen geen onzakelijke elementen bevatten. Dit ziet men bijvoorbeeld terug bij het vaststellen van een onzakelijke rente in het geval van Thin Cap GLO, de in principe zakelijke lening bevat toch een onzakelijke element, de hoogte van de daarover te betalen rente.</w:t>
      </w:r>
      <w:r w:rsidRPr="00292A58">
        <w:rPr>
          <w:rStyle w:val="Voetnootmarkering"/>
        </w:rPr>
        <w:footnoteReference w:id="246"/>
      </w:r>
      <w:r w:rsidRPr="00292A58">
        <w:t xml:space="preserve"> </w:t>
      </w:r>
    </w:p>
    <w:p w:rsidR="00652D1F" w:rsidRPr="00292A58" w:rsidRDefault="00652D1F" w:rsidP="00AC0BC5">
      <w:pPr>
        <w:spacing w:line="360" w:lineRule="auto"/>
      </w:pPr>
    </w:p>
    <w:p w:rsidR="00652D1F" w:rsidRPr="00292A58" w:rsidRDefault="00652D1F" w:rsidP="00AC0BC5">
      <w:pPr>
        <w:spacing w:line="360" w:lineRule="auto"/>
      </w:pPr>
      <w:r w:rsidRPr="00292A58">
        <w:t xml:space="preserve">Meer expliciet wordt de toepassing van deze mijns inziens gemaakt in Halifax. Het HvJ EG overwoog in deze; </w:t>
      </w:r>
    </w:p>
    <w:p w:rsidR="00652D1F" w:rsidRPr="00292A58" w:rsidRDefault="00652D1F" w:rsidP="00AC0BC5">
      <w:pPr>
        <w:spacing w:line="360" w:lineRule="auto"/>
      </w:pPr>
    </w:p>
    <w:p w:rsidR="00652D1F" w:rsidRPr="00292A58" w:rsidRDefault="00652D1F" w:rsidP="00AC0BC5">
      <w:pPr>
        <w:spacing w:line="360" w:lineRule="auto"/>
      </w:pPr>
      <w:r w:rsidRPr="00292A58">
        <w:t>“</w:t>
      </w:r>
      <w:r w:rsidRPr="00292A58">
        <w:rPr>
          <w:i/>
          <w:iCs/>
        </w:rPr>
        <w:t>Bijgevolg moeten transacties waarmee een misbruik gepaard is gegaan, zo worden geherdefinieerd dat de situatie wordt hersteld zoals zij zou zijn geweest zonder de transacties die dit misbruik vormen</w:t>
      </w:r>
      <w:r w:rsidRPr="00292A58">
        <w:t>.”</w:t>
      </w:r>
      <w:r w:rsidRPr="00292A58">
        <w:rPr>
          <w:rStyle w:val="Voetnootmarkering"/>
        </w:rPr>
        <w:footnoteReference w:id="247"/>
      </w:r>
    </w:p>
    <w:p w:rsidR="00652D1F" w:rsidRPr="00292A58" w:rsidRDefault="00652D1F" w:rsidP="00AC0BC5">
      <w:pPr>
        <w:spacing w:line="360" w:lineRule="auto"/>
      </w:pPr>
    </w:p>
    <w:p w:rsidR="00652D1F" w:rsidRDefault="00652D1F" w:rsidP="0067558B">
      <w:pPr>
        <w:spacing w:line="360" w:lineRule="auto"/>
      </w:pPr>
      <w:r w:rsidRPr="00292A58">
        <w:t xml:space="preserve">De situatie moet derhalve zo worden vormgegeven zoals deze er op basis van </w:t>
      </w:r>
      <w:r w:rsidR="00BD4601" w:rsidRPr="00292A58">
        <w:t xml:space="preserve">zakelijke motieven zou uitzien. </w:t>
      </w:r>
      <w:r w:rsidRPr="00292A58">
        <w:t>Wel dient hierbij te worden aangetekend dat het hier draaide om handelingen die enkel waren gericht op een onzakelijk doel. Echter, mijns inziens blijkt duidelijk uit deze correctiemethode en die van Thin Cap GLO dat een overwegend fiscale handeling in</w:t>
      </w:r>
      <w:r>
        <w:t xml:space="preserve"> een samenstel van rechtshandelingen met een uiteindelijk zakelijk doel naar mening van het HvJ EG dient te worden genegeerd, wanneer deze niet benodigd is om het uiteindelijke doel te bereiken.</w:t>
      </w:r>
    </w:p>
    <w:p w:rsidR="00652D1F" w:rsidRDefault="00652D1F" w:rsidP="00AC0BC5">
      <w:pPr>
        <w:spacing w:line="360" w:lineRule="auto"/>
      </w:pPr>
    </w:p>
    <w:p w:rsidR="00652D1F" w:rsidRDefault="00652D1F" w:rsidP="00AC0BC5">
      <w:pPr>
        <w:spacing w:line="360" w:lineRule="auto"/>
      </w:pPr>
      <w:r>
        <w:t>Hieruit valt ook op te maken dat het overwegende mate criterium, als wordt toegepast in artikel 10a, in overeenstemming is met het EU-recht. Het HvJ EG, naar blijkt uit de bovenaangehaalde rechtspraak, lijkt namelijk een ‘</w:t>
      </w:r>
      <w:r w:rsidR="004860EF">
        <w:t>conditione sine qua non</w:t>
      </w:r>
      <w:r w:rsidR="004B6166">
        <w:t>’</w:t>
      </w:r>
      <w:r>
        <w:t xml:space="preserve"> criterium te hanteren. Dit kan men onder andere opmaken uit de </w:t>
      </w:r>
      <w:r w:rsidRPr="00292A58">
        <w:t>corrigeringswijze die</w:t>
      </w:r>
      <w:r>
        <w:t xml:space="preserve"> het HvJ EG voorstaat in misbruiksituaties. Het HvJ EG vereist namelijk dat de handelingen worden teruggebracht tot op de niet fiscaal gemotiveerde handelingen. De handelingen die niet hadden plaatsgevonden zonder fiscale motieven, hetgeen in overeenstemming is met de ‘verschillende wegen’-leer als is ontwikkeld door de Hoge Raad en gecodificeerd door de wetgever in artikel 10a. </w:t>
      </w:r>
    </w:p>
    <w:p w:rsidR="00652D1F" w:rsidRDefault="00652D1F" w:rsidP="00AC0BC5">
      <w:pPr>
        <w:spacing w:line="360" w:lineRule="auto"/>
      </w:pPr>
    </w:p>
    <w:p w:rsidR="00652D1F" w:rsidRDefault="00652D1F" w:rsidP="00AC0BC5">
      <w:pPr>
        <w:spacing w:line="360" w:lineRule="auto"/>
      </w:pPr>
    </w:p>
    <w:p w:rsidR="00652D1F" w:rsidRPr="00AA2D40" w:rsidRDefault="00652D1F" w:rsidP="00AC0BC5">
      <w:pPr>
        <w:spacing w:line="360" w:lineRule="auto"/>
        <w:rPr>
          <w:b/>
          <w:u w:val="single"/>
        </w:rPr>
      </w:pPr>
      <w:r>
        <w:rPr>
          <w:b/>
          <w:u w:val="single"/>
        </w:rPr>
        <w:t>6.2.5 Het zakelijkheidscriterium in EU</w:t>
      </w:r>
      <w:r w:rsidRPr="00AA2D40">
        <w:rPr>
          <w:b/>
          <w:u w:val="single"/>
        </w:rPr>
        <w:t xml:space="preserve"> verband</w:t>
      </w:r>
    </w:p>
    <w:p w:rsidR="00652D1F" w:rsidRDefault="00652D1F" w:rsidP="00AC0BC5">
      <w:pPr>
        <w:spacing w:line="360" w:lineRule="auto"/>
      </w:pPr>
    </w:p>
    <w:p w:rsidR="00652D1F" w:rsidRDefault="00652D1F" w:rsidP="00712183">
      <w:pPr>
        <w:spacing w:line="360" w:lineRule="auto"/>
        <w:rPr>
          <w:lang w:eastAsia="nl-NL"/>
        </w:rPr>
      </w:pPr>
      <w:r>
        <w:rPr>
          <w:lang w:eastAsia="nl-NL"/>
        </w:rPr>
        <w:t xml:space="preserve">De invulling van het zakelijkheidscriterium zoals wordt voorgestaan door de wetgever en de rechterlijke macht, is mijns inziens in lijn met de invulling die het HvJ EG hieraan wenst te geven. Zolang als er sprake is van acties die puur zijn gericht op het behalen van een fiscaal voordeel terwijl deze niet samenhangen met een economisch reële grond, dan wel een economisch reële handeling dienen, zijn deze niet beschermd. De invulling die de Staatssecretaris daaraan wenst te geven is echter strijdig met het EU-recht, aangezien deze reële economische motieven uitsluit als deze niet direct zijn ontleend aan de onderneming zelf. Uit de EU-rechtspraak kan men mijns inziens op maken dat dergelijke motieven ook worden beschermd door de vrijheid van vestiging, aangezien de aandeelhouder als onderdeel van de gehele economische eenheid dient te worden beschouwd. </w:t>
      </w:r>
    </w:p>
    <w:p w:rsidR="00652D1F" w:rsidRDefault="00652D1F" w:rsidP="00AC0BC5">
      <w:pPr>
        <w:spacing w:line="360" w:lineRule="auto"/>
        <w:rPr>
          <w:lang w:eastAsia="nl-NL"/>
        </w:rPr>
      </w:pPr>
    </w:p>
    <w:p w:rsidR="00652D1F" w:rsidRDefault="00652D1F" w:rsidP="00712183">
      <w:pPr>
        <w:spacing w:line="360" w:lineRule="auto"/>
        <w:rPr>
          <w:lang w:eastAsia="nl-NL"/>
        </w:rPr>
      </w:pPr>
      <w:r>
        <w:rPr>
          <w:lang w:eastAsia="nl-NL"/>
        </w:rPr>
        <w:t>Dit komt bijvoorbeeld naar voren in N vs. Inspecteur waarin het HvJ EG stelt;</w:t>
      </w:r>
    </w:p>
    <w:p w:rsidR="00652D1F" w:rsidRDefault="00652D1F" w:rsidP="00AC0BC5">
      <w:pPr>
        <w:spacing w:line="360" w:lineRule="auto"/>
      </w:pPr>
    </w:p>
    <w:p w:rsidR="00652D1F" w:rsidRDefault="00652D1F" w:rsidP="00AC0BC5">
      <w:pPr>
        <w:spacing w:line="360" w:lineRule="auto"/>
      </w:pPr>
      <w:r w:rsidRPr="005616F8">
        <w:t>“</w:t>
      </w:r>
      <w:r w:rsidRPr="00C523D1">
        <w:rPr>
          <w:i/>
          <w:iCs/>
        </w:rPr>
        <w:t>Een gemeenschapsonderdaan die in een lidstaat woont en die in het kapitaal van een in een andere lidstaat gevestigde vennootschap een deelneming houdt die hem een zodanige invloed op de besluiten van die vennootschap verleent, dat hij de activiteiten ervan kan bepalen – hetgeen altijd het geval is wanneer hij 100 % van de aandeelhoudersrechten bezit – kan derhalve onder de vrijheid van vestiging vallen</w:t>
      </w:r>
      <w:r w:rsidRPr="005616F8">
        <w:t>.”</w:t>
      </w:r>
      <w:r>
        <w:rPr>
          <w:rStyle w:val="Voetnootmarkering"/>
        </w:rPr>
        <w:footnoteReference w:id="248"/>
      </w:r>
    </w:p>
    <w:p w:rsidR="00652D1F" w:rsidRDefault="00652D1F" w:rsidP="00AC0BC5">
      <w:pPr>
        <w:spacing w:line="360" w:lineRule="auto"/>
      </w:pPr>
    </w:p>
    <w:p w:rsidR="00652D1F" w:rsidRDefault="00652D1F" w:rsidP="00AC0BC5">
      <w:pPr>
        <w:spacing w:line="360" w:lineRule="auto"/>
      </w:pPr>
      <w:r>
        <w:t>Hieruit blijkt dat in het geval er een bepaalde mate van organisatorische verwevenheid bestaat, namelijk beslissende invloed, de aandeelhouder als gerechtigde tot de vrijheid van vestiging dient te worden gezien. Daarom dienen de handelingen die plaatsvinden tussen de aandeelhouder en het onderliggende lichaam als de uitoefening van de vrijheid van vestiging te worden aangemerkt en zijn zij niet per definitie onzakelijk. Dit neemt uiteraard niet weg dat er in handelingen tussen het lichaam en zijn aandeelhouder wel misbruik kan worden gepleegd ten gevolge waarvan dergelijke bescherming vervalt.</w:t>
      </w:r>
    </w:p>
    <w:p w:rsidR="00652D1F" w:rsidRDefault="00652D1F" w:rsidP="00AC0BC5">
      <w:pPr>
        <w:spacing w:line="360" w:lineRule="auto"/>
        <w:rPr>
          <w:b/>
          <w:u w:val="single"/>
        </w:rPr>
      </w:pPr>
      <w:r>
        <w:rPr>
          <w:b/>
          <w:u w:val="single"/>
        </w:rPr>
        <w:t>6.2</w:t>
      </w:r>
      <w:r w:rsidRPr="0037092A">
        <w:rPr>
          <w:b/>
          <w:u w:val="single"/>
        </w:rPr>
        <w:t>.6</w:t>
      </w:r>
      <w:r>
        <w:rPr>
          <w:b/>
          <w:u w:val="single"/>
        </w:rPr>
        <w:t xml:space="preserve"> Aannemen van misbruik op grond van tarief </w:t>
      </w:r>
    </w:p>
    <w:p w:rsidR="00652D1F" w:rsidRDefault="00652D1F" w:rsidP="00AC0BC5">
      <w:pPr>
        <w:spacing w:line="360" w:lineRule="auto"/>
        <w:rPr>
          <w:b/>
          <w:u w:val="single"/>
        </w:rPr>
      </w:pPr>
    </w:p>
    <w:p w:rsidR="00652D1F" w:rsidRDefault="00652D1F" w:rsidP="00E8426D">
      <w:pPr>
        <w:spacing w:line="360" w:lineRule="auto"/>
      </w:pPr>
      <w:r>
        <w:t>Zoals blijkt uit Cadbury Schweppes rechtsoverwegingen. 49 en 59 is de enkele omstandigheid dat er een laag tarief geldt in het ontvangende land niet voldoende om de vaststelling van misbruik te rechtvaardigen.</w:t>
      </w:r>
      <w:r>
        <w:rPr>
          <w:rStyle w:val="Voetnootmarkering"/>
        </w:rPr>
        <w:footnoteReference w:id="249"/>
      </w:r>
      <w:r>
        <w:t xml:space="preserve"> Alsmede dient de aanwezigheid van een puur volstrekt kunstmatige constructie te worden aangetoond, een tariefsvoordeel op zichzelf is niet voldoende. Mijns inziens valt hier uit op te maken dat het feit dat de rentebetalingen neerdalen in een laagbelast land het ontstaan van het bewijsvermoeden kan rechtvaardigen, mits dit vermoeden kan worden ontzenuwd op basis van zakelijke overwegingen en dit onderdeel uitmaakt van meerdere omstandigheden die in deze richting wijzen. Hiermee wordt naar mijn mening invulling gegeven aan de wijze waarop de eventuele aanwezigheid van een volstrekt kunstmatige constructie gericht op het behalen van een onrechtmatig voordeel uit de objectieve omstandigheden dient te blijken. De gerechtvaardigdheid van een dergelijk voordeel doet niet af aan de eventuele aanwezigheid van misbruik, bijvoorbeeld in de vorm van goedgekeurde staatssteun. Het is slechts een van de objectieve omstandigheden, alleen niet voldoende echter wel een spaak in het wiel.</w:t>
      </w:r>
      <w:r>
        <w:rPr>
          <w:rStyle w:val="Voetnootmarkering"/>
        </w:rPr>
        <w:footnoteReference w:id="250"/>
      </w:r>
      <w:r>
        <w:t xml:space="preserve"> </w:t>
      </w:r>
    </w:p>
    <w:p w:rsidR="00652D1F" w:rsidRDefault="00652D1F" w:rsidP="00AC0BC5">
      <w:pPr>
        <w:spacing w:line="360" w:lineRule="auto"/>
      </w:pPr>
    </w:p>
    <w:p w:rsidR="00652D1F" w:rsidRDefault="00652D1F" w:rsidP="00AC0BC5">
      <w:pPr>
        <w:spacing w:line="360" w:lineRule="auto"/>
      </w:pPr>
      <w:r>
        <w:t>Het is belangrijk om het bovenstaande te onderscheiden van hetgeen plaatshad in Eurowings. Hierin ging het niet om een regeling die aftrek uitsloot op basis van tarief, echter op grond van het feit dat de heffing over de rentebetalingen niet door het land waarin de aftrek plaatsvond werd geëffectueerd. In een dergelijke situatie kan er geen sprake zijn van de vaststelling van een voordeel aangezien er geen samenhang bestaat tussen de heffingsbevoegde fiscale autoriteit en een laag tarief. Derhalve kan het feit dat een buitenlandse mogendheid heffingsbevoegd is niet gelden als indicator van misbruik. Dit blijkt mijns inziens ook uit Eurowings waarin wordt geoordeeld dat het ‘steeds’ onthouden van het aftrekvoordeel verboden is.</w:t>
      </w:r>
      <w:r>
        <w:rPr>
          <w:rStyle w:val="Voetnootmarkering"/>
        </w:rPr>
        <w:footnoteReference w:id="251"/>
      </w:r>
      <w:r>
        <w:t xml:space="preserve"> De crux ligt hier bij het gebruik van het woord ‘steeds’, aangezien wanneer de onthouding variabel zou zijn deze, mits variërend aan de hand van de juiste factoren, gerechtvaardigd zou kunnen zijn. </w:t>
      </w:r>
    </w:p>
    <w:p w:rsidR="00652D1F" w:rsidRPr="00347436" w:rsidRDefault="00652D1F" w:rsidP="00AC0BC5">
      <w:pPr>
        <w:spacing w:line="360" w:lineRule="auto"/>
        <w:rPr>
          <w:b/>
          <w:u w:val="single"/>
        </w:rPr>
      </w:pPr>
      <w:r>
        <w:rPr>
          <w:b/>
          <w:u w:val="single"/>
          <w:lang w:eastAsia="nl-NL"/>
        </w:rPr>
        <w:t xml:space="preserve">6.3 </w:t>
      </w:r>
      <w:r w:rsidRPr="00347436">
        <w:rPr>
          <w:b/>
          <w:u w:val="single"/>
        </w:rPr>
        <w:t>Bewijslast</w:t>
      </w:r>
    </w:p>
    <w:p w:rsidR="00652D1F" w:rsidRPr="00347436" w:rsidRDefault="00652D1F" w:rsidP="00AC0BC5">
      <w:pPr>
        <w:spacing w:line="360" w:lineRule="auto"/>
        <w:rPr>
          <w:b/>
          <w:u w:val="single"/>
        </w:rPr>
      </w:pPr>
    </w:p>
    <w:p w:rsidR="00652D1F" w:rsidRPr="00347436" w:rsidRDefault="00652D1F" w:rsidP="00E8426D">
      <w:pPr>
        <w:spacing w:line="360" w:lineRule="auto"/>
      </w:pPr>
      <w:r w:rsidRPr="00347436">
        <w:t xml:space="preserve">In Emsland Starke stelt het </w:t>
      </w:r>
      <w:r>
        <w:t>HvJ EG</w:t>
      </w:r>
      <w:r w:rsidRPr="00347436">
        <w:t xml:space="preserve"> dat de bewijsvoering volgens de nationale regels dient plaats te vinden zolang deze geen afbreuk doen aan de volle werking van het gemeenschapsrecht</w:t>
      </w:r>
      <w:r>
        <w:t>.</w:t>
      </w:r>
      <w:r w:rsidRPr="00347436">
        <w:rPr>
          <w:rStyle w:val="Voetnootmarkering"/>
        </w:rPr>
        <w:footnoteReference w:id="252"/>
      </w:r>
      <w:r>
        <w:t xml:space="preserve"> </w:t>
      </w:r>
      <w:r w:rsidRPr="00347436">
        <w:t>In Emsland Starke wordt naar enkele arresten met betrekki</w:t>
      </w:r>
      <w:r>
        <w:t>ng tot de bewijslast</w:t>
      </w:r>
      <w:r w:rsidRPr="00347436">
        <w:t xml:space="preserve">verdeling verwezen, te weten Deutsche Milchkontor, Johnston en FMC. Uit deze arresten vallen twee belangrijke principes met betrekking tot </w:t>
      </w:r>
      <w:r>
        <w:t>van</w:t>
      </w:r>
      <w:r w:rsidRPr="00347436">
        <w:t>uit gemeenschapsperspectief gerechtvaardigde bewijsvoering af te leiden, namelijk h</w:t>
      </w:r>
      <w:r>
        <w:t xml:space="preserve">et effectiviteitbeginsel en het </w:t>
      </w:r>
      <w:r w:rsidRPr="00347436">
        <w:t>gelijkwaardigheidsheidbeginsel</w:t>
      </w:r>
      <w:r>
        <w:t>.</w:t>
      </w:r>
      <w:r w:rsidRPr="00347436">
        <w:rPr>
          <w:rStyle w:val="Voetnootmarkering"/>
        </w:rPr>
        <w:footnoteReference w:id="253"/>
      </w:r>
      <w:r>
        <w:t xml:space="preserve"> Deze beginselen</w:t>
      </w:r>
      <w:r w:rsidRPr="00347436">
        <w:t xml:space="preserve"> </w:t>
      </w:r>
      <w:r>
        <w:t>zullen hieronder</w:t>
      </w:r>
      <w:r w:rsidRPr="00347436">
        <w:t xml:space="preserve"> aan de hand van relevante jurisprudentie worden geëxpliceerd.</w:t>
      </w: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Pr="00347436" w:rsidRDefault="00652D1F" w:rsidP="00AC0BC5">
      <w:pPr>
        <w:spacing w:line="360" w:lineRule="auto"/>
        <w:rPr>
          <w:b/>
          <w:u w:val="single"/>
        </w:rPr>
      </w:pPr>
      <w:r>
        <w:rPr>
          <w:b/>
          <w:u w:val="single"/>
        </w:rPr>
        <w:t xml:space="preserve">6.3.1 </w:t>
      </w:r>
      <w:r w:rsidRPr="00347436">
        <w:rPr>
          <w:b/>
          <w:u w:val="single"/>
        </w:rPr>
        <w:t>Effectiviteitbeginsel</w:t>
      </w:r>
    </w:p>
    <w:p w:rsidR="00652D1F" w:rsidRPr="00347436" w:rsidRDefault="00652D1F" w:rsidP="00AC0BC5">
      <w:pPr>
        <w:spacing w:line="360" w:lineRule="auto"/>
        <w:rPr>
          <w:b/>
          <w:u w:val="single"/>
        </w:rPr>
      </w:pPr>
    </w:p>
    <w:p w:rsidR="00652D1F" w:rsidRPr="00347436" w:rsidRDefault="00652D1F" w:rsidP="00A136C2">
      <w:pPr>
        <w:spacing w:line="360" w:lineRule="auto"/>
      </w:pPr>
      <w:r w:rsidRPr="00292A58">
        <w:t>Het effectiviteitbeginsel houdt in dat inwoners van de lidstaten die recht hebben op een regeling uit hoofde van het gemeenschapsrecht, hier een effectief beroep op moeten kunnen doen.</w:t>
      </w:r>
      <w:r w:rsidR="004B6166" w:rsidRPr="00292A58">
        <w:rPr>
          <w:rStyle w:val="Voetnootmarkering"/>
        </w:rPr>
        <w:footnoteReference w:id="254"/>
      </w:r>
      <w:r w:rsidRPr="00292A58">
        <w:t>In Johnston</w:t>
      </w:r>
      <w:r w:rsidRPr="00347436">
        <w:t xml:space="preserve"> oordeelt het </w:t>
      </w:r>
      <w:r>
        <w:t>HvJ EG</w:t>
      </w:r>
      <w:r w:rsidRPr="00347436">
        <w:t xml:space="preserve"> dat “</w:t>
      </w:r>
      <w:r>
        <w:rPr>
          <w:i/>
          <w:iCs/>
        </w:rPr>
        <w:t>d</w:t>
      </w:r>
      <w:r w:rsidRPr="00C523D1">
        <w:rPr>
          <w:i/>
          <w:iCs/>
        </w:rPr>
        <w:t>e lidstaten ter verwezenlijking van het doel van de richtlijn maatregelen moeten nemen die doeltreffende genoeg zijn, dat de betrokkenen inderdaad voor de nationale rechter een beroep kunnen doen op de aldus toegekende rechten</w:t>
      </w:r>
      <w:r w:rsidRPr="00347436">
        <w:t>”.</w:t>
      </w:r>
      <w:r w:rsidR="00292A58" w:rsidRPr="00292A58">
        <w:rPr>
          <w:rStyle w:val="Voetnootmarkering"/>
        </w:rPr>
        <w:t xml:space="preserve"> </w:t>
      </w:r>
      <w:r w:rsidR="00292A58" w:rsidRPr="00292A58">
        <w:rPr>
          <w:rStyle w:val="Voetnootmarkering"/>
        </w:rPr>
        <w:footnoteReference w:id="255"/>
      </w:r>
      <w:r w:rsidRPr="00347436">
        <w:t xml:space="preserve"> </w:t>
      </w:r>
      <w:r w:rsidRPr="00347436">
        <w:rPr>
          <w:lang w:eastAsia="nl-NL"/>
        </w:rPr>
        <w:t xml:space="preserve">In het onderhavige geval acht het </w:t>
      </w:r>
      <w:r>
        <w:rPr>
          <w:lang w:eastAsia="nl-NL"/>
        </w:rPr>
        <w:t>HvJ EG</w:t>
      </w:r>
      <w:r w:rsidRPr="00347436">
        <w:rPr>
          <w:lang w:eastAsia="nl-NL"/>
        </w:rPr>
        <w:t xml:space="preserve"> dit niet mogelijk aangezien de rechtsgang afhankelijk wordt gesteld van een</w:t>
      </w:r>
      <w:r>
        <w:rPr>
          <w:lang w:eastAsia="nl-NL"/>
        </w:rPr>
        <w:t>,</w:t>
      </w:r>
      <w:r w:rsidRPr="00347436">
        <w:rPr>
          <w:lang w:eastAsia="nl-NL"/>
        </w:rPr>
        <w:t xml:space="preserve"> van een nationale instantie te verkrijgen</w:t>
      </w:r>
      <w:r>
        <w:rPr>
          <w:lang w:eastAsia="nl-NL"/>
        </w:rPr>
        <w:t>, verklaring. Dit betekent</w:t>
      </w:r>
      <w:r w:rsidRPr="00347436">
        <w:rPr>
          <w:lang w:eastAsia="nl-NL"/>
        </w:rPr>
        <w:t xml:space="preserve"> niet dat zulks in geen geval zou zijn toegestaan</w:t>
      </w:r>
      <w:r>
        <w:rPr>
          <w:lang w:eastAsia="nl-NL"/>
        </w:rPr>
        <w:t>. Het is echter</w:t>
      </w:r>
      <w:r w:rsidRPr="00347436">
        <w:rPr>
          <w:lang w:eastAsia="nl-NL"/>
        </w:rPr>
        <w:t xml:space="preserve"> </w:t>
      </w:r>
      <w:r>
        <w:rPr>
          <w:lang w:eastAsia="nl-NL"/>
        </w:rPr>
        <w:t>vereist</w:t>
      </w:r>
      <w:r w:rsidRPr="00347436">
        <w:rPr>
          <w:lang w:eastAsia="nl-NL"/>
        </w:rPr>
        <w:t xml:space="preserve"> dat</w:t>
      </w:r>
      <w:r>
        <w:rPr>
          <w:lang w:eastAsia="nl-NL"/>
        </w:rPr>
        <w:t xml:space="preserve"> een dergelijke be</w:t>
      </w:r>
      <w:r w:rsidRPr="00347436">
        <w:rPr>
          <w:lang w:eastAsia="nl-NL"/>
        </w:rPr>
        <w:t>p</w:t>
      </w:r>
      <w:r>
        <w:rPr>
          <w:lang w:eastAsia="nl-NL"/>
        </w:rPr>
        <w:t>er</w:t>
      </w:r>
      <w:r w:rsidRPr="00347436">
        <w:rPr>
          <w:lang w:eastAsia="nl-NL"/>
        </w:rPr>
        <w:t>king kan worden gerechtvaardigd vanuit het doel en de gedachte van de desbetreffende regeling</w:t>
      </w:r>
      <w:r>
        <w:rPr>
          <w:lang w:eastAsia="nl-NL"/>
        </w:rPr>
        <w:t>.</w:t>
      </w:r>
      <w:r w:rsidRPr="00347436">
        <w:rPr>
          <w:rStyle w:val="Voetnootmarkering"/>
          <w:lang w:val="en-US" w:eastAsia="nl-NL"/>
        </w:rPr>
        <w:footnoteReference w:id="256"/>
      </w:r>
      <w:r w:rsidRPr="00347436">
        <w:rPr>
          <w:lang w:eastAsia="nl-NL"/>
        </w:rPr>
        <w:t xml:space="preserve"> Belangrijk om op te merken in relatie tot het bewijsver</w:t>
      </w:r>
      <w:r>
        <w:rPr>
          <w:lang w:eastAsia="nl-NL"/>
        </w:rPr>
        <w:t>moeden opgenomen in artikel 10a</w:t>
      </w:r>
      <w:r w:rsidRPr="00347436">
        <w:rPr>
          <w:lang w:eastAsia="nl-NL"/>
        </w:rPr>
        <w:t xml:space="preserve"> is</w:t>
      </w:r>
      <w:r>
        <w:rPr>
          <w:lang w:eastAsia="nl-NL"/>
        </w:rPr>
        <w:t>,</w:t>
      </w:r>
      <w:r w:rsidRPr="00347436">
        <w:rPr>
          <w:lang w:eastAsia="nl-NL"/>
        </w:rPr>
        <w:t xml:space="preserve"> dat het met name in het geval van het aanwenden van bewijsvermoedens van belang is dat deze geen </w:t>
      </w:r>
      <w:r w:rsidR="004B6166">
        <w:rPr>
          <w:lang w:eastAsia="nl-NL"/>
        </w:rPr>
        <w:t>onnodig</w:t>
      </w:r>
      <w:r w:rsidRPr="00347436">
        <w:rPr>
          <w:lang w:eastAsia="nl-NL"/>
        </w:rPr>
        <w:t xml:space="preserve"> zware bewijslast creëren</w:t>
      </w:r>
      <w:r>
        <w:rPr>
          <w:lang w:eastAsia="nl-NL"/>
        </w:rPr>
        <w:t xml:space="preserve"> met betrekking tot de toepassing van de renteaftrek.</w:t>
      </w:r>
      <w:r w:rsidRPr="00347436">
        <w:rPr>
          <w:rStyle w:val="Voetnootmarkering"/>
          <w:lang w:val="en-US" w:eastAsia="nl-NL"/>
        </w:rPr>
        <w:footnoteReference w:id="257"/>
      </w:r>
    </w:p>
    <w:p w:rsidR="00652D1F" w:rsidRDefault="00652D1F" w:rsidP="00AC0BC5">
      <w:pPr>
        <w:spacing w:line="360" w:lineRule="auto"/>
        <w:rPr>
          <w:lang w:eastAsia="nl-NL"/>
        </w:rPr>
      </w:pPr>
    </w:p>
    <w:p w:rsidR="00652D1F" w:rsidRDefault="00652D1F" w:rsidP="00AC0BC5">
      <w:pPr>
        <w:spacing w:line="360" w:lineRule="auto"/>
        <w:rPr>
          <w:lang w:eastAsia="nl-NL"/>
        </w:rPr>
      </w:pPr>
    </w:p>
    <w:p w:rsidR="00652D1F" w:rsidRPr="00347436" w:rsidRDefault="00652D1F" w:rsidP="00AC0BC5">
      <w:pPr>
        <w:spacing w:line="360" w:lineRule="auto"/>
        <w:rPr>
          <w:b/>
          <w:u w:val="single"/>
          <w:lang w:eastAsia="nl-NL"/>
        </w:rPr>
      </w:pPr>
      <w:r>
        <w:rPr>
          <w:b/>
          <w:u w:val="single"/>
          <w:lang w:eastAsia="nl-NL"/>
        </w:rPr>
        <w:t xml:space="preserve">6.3.2 </w:t>
      </w:r>
      <w:r w:rsidRPr="00347436">
        <w:rPr>
          <w:b/>
          <w:u w:val="single"/>
          <w:lang w:eastAsia="nl-NL"/>
        </w:rPr>
        <w:t>Gelijkwaardigheidbeginsel</w:t>
      </w:r>
    </w:p>
    <w:p w:rsidR="00652D1F" w:rsidRPr="00347436" w:rsidRDefault="00652D1F" w:rsidP="00AC0BC5">
      <w:pPr>
        <w:spacing w:line="360" w:lineRule="auto"/>
        <w:rPr>
          <w:b/>
          <w:u w:val="single"/>
          <w:lang w:eastAsia="nl-NL"/>
        </w:rPr>
      </w:pPr>
    </w:p>
    <w:p w:rsidR="00652D1F" w:rsidRDefault="00652D1F" w:rsidP="00A136C2">
      <w:pPr>
        <w:spacing w:line="360" w:lineRule="auto"/>
        <w:rPr>
          <w:lang w:eastAsia="nl-NL"/>
        </w:rPr>
      </w:pPr>
      <w:r w:rsidRPr="00347436">
        <w:rPr>
          <w:lang w:eastAsia="nl-NL"/>
        </w:rPr>
        <w:t>Het gelijkwaardigheidbeginsel behelst de toepassing van het non-discriminatie</w:t>
      </w:r>
      <w:r>
        <w:rPr>
          <w:lang w:eastAsia="nl-NL"/>
        </w:rPr>
        <w:t xml:space="preserve"> vereiste</w:t>
      </w:r>
      <w:r w:rsidRPr="00347436">
        <w:rPr>
          <w:lang w:eastAsia="nl-NL"/>
        </w:rPr>
        <w:t xml:space="preserve"> in</w:t>
      </w:r>
      <w:r>
        <w:rPr>
          <w:lang w:eastAsia="nl-NL"/>
        </w:rPr>
        <w:t xml:space="preserve"> de</w:t>
      </w:r>
      <w:r w:rsidRPr="00347436">
        <w:rPr>
          <w:lang w:eastAsia="nl-NL"/>
        </w:rPr>
        <w:t xml:space="preserve"> bewijsvoer</w:t>
      </w:r>
      <w:r>
        <w:rPr>
          <w:lang w:eastAsia="nl-NL"/>
        </w:rPr>
        <w:t>ingscontext. Het HvJ EG</w:t>
      </w:r>
      <w:r w:rsidRPr="00347436">
        <w:rPr>
          <w:lang w:eastAsia="nl-NL"/>
        </w:rPr>
        <w:t xml:space="preserve"> merkt hier in Deutsche Milchkontor over op dat “</w:t>
      </w:r>
      <w:r w:rsidRPr="00C523D1">
        <w:rPr>
          <w:i/>
          <w:iCs/>
          <w:lang w:eastAsia="nl-NL"/>
        </w:rPr>
        <w:t>bij de toepassing van nationaal recht niet mag worden gediscrimineerd vergeleken met procedures ter beslissing van soortgelijke, doch zuiver nationale geschillen</w:t>
      </w:r>
      <w:r w:rsidRPr="00347436">
        <w:rPr>
          <w:lang w:eastAsia="nl-NL"/>
        </w:rPr>
        <w:t>”</w:t>
      </w:r>
      <w:r>
        <w:rPr>
          <w:lang w:eastAsia="nl-NL"/>
        </w:rPr>
        <w:t>.</w:t>
      </w:r>
      <w:r w:rsidRPr="00347436">
        <w:rPr>
          <w:rStyle w:val="Voetnootmarkering"/>
          <w:lang w:val="en-US" w:eastAsia="nl-NL"/>
        </w:rPr>
        <w:footnoteReference w:id="258"/>
      </w:r>
      <w:r w:rsidRPr="00347436">
        <w:rPr>
          <w:lang w:eastAsia="nl-NL"/>
        </w:rPr>
        <w:t xml:space="preserve"> In beginsel mag de nationale wetgever </w:t>
      </w:r>
      <w:r>
        <w:rPr>
          <w:lang w:eastAsia="nl-NL"/>
        </w:rPr>
        <w:t xml:space="preserve">aldus </w:t>
      </w:r>
      <w:r w:rsidRPr="00347436">
        <w:rPr>
          <w:lang w:eastAsia="nl-NL"/>
        </w:rPr>
        <w:t>geen additionele eisen stellen aan de bewijsvoering wanneer deze betrekking heeft op</w:t>
      </w:r>
      <w:r>
        <w:rPr>
          <w:lang w:eastAsia="nl-NL"/>
        </w:rPr>
        <w:t xml:space="preserve"> grensoverschrijdende gevallen</w:t>
      </w:r>
      <w:r w:rsidRPr="00347436">
        <w:rPr>
          <w:lang w:eastAsia="nl-NL"/>
        </w:rPr>
        <w:t>. Dat er grenzen zijn aan dit begin</w:t>
      </w:r>
      <w:r>
        <w:rPr>
          <w:lang w:eastAsia="nl-NL"/>
        </w:rPr>
        <w:t>sel is duidelijk geworden in Pu</w:t>
      </w:r>
      <w:r w:rsidRPr="00347436">
        <w:rPr>
          <w:lang w:eastAsia="nl-NL"/>
        </w:rPr>
        <w:t xml:space="preserve">sa. Hier handelde het om een </w:t>
      </w:r>
      <w:r w:rsidR="004B6166">
        <w:rPr>
          <w:lang w:eastAsia="nl-NL"/>
        </w:rPr>
        <w:t>Finse</w:t>
      </w:r>
      <w:r w:rsidRPr="00347436">
        <w:rPr>
          <w:lang w:eastAsia="nl-NL"/>
        </w:rPr>
        <w:t xml:space="preserve"> regeling die in het geval van buitenlandse inkoms</w:t>
      </w:r>
      <w:r>
        <w:rPr>
          <w:lang w:eastAsia="nl-NL"/>
        </w:rPr>
        <w:t>ten additioneel bewijs vereiste</w:t>
      </w:r>
      <w:r w:rsidRPr="00347436">
        <w:rPr>
          <w:lang w:eastAsia="nl-NL"/>
        </w:rPr>
        <w:t xml:space="preserve"> met betrekking tot de daarover betaalde belasting. Het </w:t>
      </w:r>
      <w:r>
        <w:rPr>
          <w:lang w:eastAsia="nl-NL"/>
        </w:rPr>
        <w:t>HvJ EG</w:t>
      </w:r>
      <w:r w:rsidRPr="00347436">
        <w:rPr>
          <w:lang w:eastAsia="nl-NL"/>
        </w:rPr>
        <w:t xml:space="preserve"> achtte in casu de additionele eis niet strijdig met het gelijkwaardigheidbeginsel</w:t>
      </w:r>
      <w:r>
        <w:rPr>
          <w:lang w:eastAsia="nl-NL"/>
        </w:rPr>
        <w:t>,</w:t>
      </w:r>
      <w:r w:rsidRPr="00347436">
        <w:rPr>
          <w:lang w:eastAsia="nl-NL"/>
        </w:rPr>
        <w:t xml:space="preserve"> aan</w:t>
      </w:r>
      <w:r>
        <w:rPr>
          <w:lang w:eastAsia="nl-NL"/>
        </w:rPr>
        <w:t>ge</w:t>
      </w:r>
      <w:r w:rsidRPr="00347436">
        <w:rPr>
          <w:lang w:eastAsia="nl-NL"/>
        </w:rPr>
        <w:t>zien deze zijns inziens was gerechtvaardigd met oog op het doel van de desbetreffende bepaling</w:t>
      </w:r>
      <w:r>
        <w:rPr>
          <w:lang w:eastAsia="nl-NL"/>
        </w:rPr>
        <w:t>. Ook was deze volgens het HvJ EG</w:t>
      </w:r>
      <w:r w:rsidRPr="00347436">
        <w:rPr>
          <w:lang w:eastAsia="nl-NL"/>
        </w:rPr>
        <w:t xml:space="preserve"> niet </w:t>
      </w:r>
      <w:r w:rsidR="004B6166">
        <w:rPr>
          <w:lang w:eastAsia="nl-NL"/>
        </w:rPr>
        <w:t>onnodig</w:t>
      </w:r>
      <w:r w:rsidRPr="00347436">
        <w:rPr>
          <w:lang w:eastAsia="nl-NL"/>
        </w:rPr>
        <w:t xml:space="preserve"> belastend</w:t>
      </w:r>
      <w:r>
        <w:rPr>
          <w:lang w:eastAsia="nl-NL"/>
        </w:rPr>
        <w:t>, omdat</w:t>
      </w:r>
      <w:r w:rsidRPr="00347436">
        <w:rPr>
          <w:lang w:eastAsia="nl-NL"/>
        </w:rPr>
        <w:t xml:space="preserve"> de </w:t>
      </w:r>
      <w:r w:rsidR="00E02B59">
        <w:rPr>
          <w:lang w:eastAsia="nl-NL"/>
        </w:rPr>
        <w:t>belastingplichtige het best bij machte was het vereiste bewijs te leveren</w:t>
      </w:r>
      <w:r>
        <w:rPr>
          <w:lang w:eastAsia="nl-NL"/>
        </w:rPr>
        <w:t>.</w:t>
      </w:r>
      <w:r w:rsidRPr="00347436">
        <w:rPr>
          <w:rStyle w:val="Voetnootmarkering"/>
          <w:lang w:val="en-US" w:eastAsia="nl-NL"/>
        </w:rPr>
        <w:footnoteReference w:id="259"/>
      </w:r>
      <w:r w:rsidR="009760ED">
        <w:rPr>
          <w:lang w:eastAsia="nl-NL"/>
        </w:rPr>
        <w:t>Deze benadering is recentelijk bevestigd in het Haribo arrest van het HvJ EG.</w:t>
      </w:r>
      <w:r w:rsidR="009760ED">
        <w:rPr>
          <w:rStyle w:val="Voetnootmarkering"/>
          <w:lang w:eastAsia="nl-NL"/>
        </w:rPr>
        <w:footnoteReference w:id="260"/>
      </w:r>
      <w:r w:rsidR="009760ED">
        <w:rPr>
          <w:lang w:eastAsia="nl-NL"/>
        </w:rPr>
        <w:t xml:space="preserve"> Hoewel </w:t>
      </w:r>
      <w:r w:rsidR="00691E7E">
        <w:rPr>
          <w:lang w:eastAsia="nl-NL"/>
        </w:rPr>
        <w:t>dit buiten het bereik van dit onderzoek valt, zou</w:t>
      </w:r>
      <w:r w:rsidR="00EA3D74">
        <w:rPr>
          <w:lang w:eastAsia="nl-NL"/>
        </w:rPr>
        <w:t xml:space="preserve"> </w:t>
      </w:r>
      <w:r w:rsidR="00691E7E">
        <w:rPr>
          <w:lang w:eastAsia="nl-NL"/>
        </w:rPr>
        <w:t>men zich</w:t>
      </w:r>
      <w:r w:rsidR="00EA3D74">
        <w:rPr>
          <w:lang w:eastAsia="nl-NL"/>
        </w:rPr>
        <w:t xml:space="preserve"> kunnen afvragen </w:t>
      </w:r>
      <w:r w:rsidR="009760ED">
        <w:rPr>
          <w:lang w:eastAsia="nl-NL"/>
        </w:rPr>
        <w:t>hoe deze benaderingswijze zich verdraagt met de communautaire regeling inz</w:t>
      </w:r>
      <w:r w:rsidR="00F60130">
        <w:rPr>
          <w:lang w:eastAsia="nl-NL"/>
        </w:rPr>
        <w:t>ake wederzijdse bijstand. M</w:t>
      </w:r>
      <w:r w:rsidR="009760ED">
        <w:rPr>
          <w:lang w:eastAsia="nl-NL"/>
        </w:rPr>
        <w:t>ijns inziens</w:t>
      </w:r>
      <w:r w:rsidR="007B3288">
        <w:rPr>
          <w:lang w:eastAsia="nl-NL"/>
        </w:rPr>
        <w:t xml:space="preserve"> blijkt</w:t>
      </w:r>
      <w:r w:rsidR="009760ED">
        <w:rPr>
          <w:lang w:eastAsia="nl-NL"/>
        </w:rPr>
        <w:t xml:space="preserve"> uit r.o. 100 van het Haribo arres</w:t>
      </w:r>
      <w:r w:rsidR="00F60130">
        <w:rPr>
          <w:lang w:eastAsia="nl-NL"/>
        </w:rPr>
        <w:t>t dat deze hier</w:t>
      </w:r>
      <w:r w:rsidR="007B3288">
        <w:rPr>
          <w:lang w:eastAsia="nl-NL"/>
        </w:rPr>
        <w:t xml:space="preserve"> niet </w:t>
      </w:r>
      <w:r w:rsidR="00F60130">
        <w:rPr>
          <w:lang w:eastAsia="nl-NL"/>
        </w:rPr>
        <w:t xml:space="preserve">aan </w:t>
      </w:r>
      <w:r w:rsidR="007B3288">
        <w:rPr>
          <w:lang w:eastAsia="nl-NL"/>
        </w:rPr>
        <w:t>afdoet daarentegen is dit in Vestergaard wel</w:t>
      </w:r>
      <w:r w:rsidR="00F60130">
        <w:rPr>
          <w:lang w:eastAsia="nl-NL"/>
        </w:rPr>
        <w:t>degelijk</w:t>
      </w:r>
      <w:r w:rsidR="007B3288">
        <w:rPr>
          <w:lang w:eastAsia="nl-NL"/>
        </w:rPr>
        <w:t xml:space="preserve"> van invloed.</w:t>
      </w:r>
    </w:p>
    <w:p w:rsidR="00652D1F" w:rsidRDefault="00652D1F" w:rsidP="00AC0BC5">
      <w:pPr>
        <w:spacing w:line="360" w:lineRule="auto"/>
        <w:rPr>
          <w:lang w:eastAsia="nl-NL"/>
        </w:rPr>
      </w:pPr>
    </w:p>
    <w:p w:rsidR="00652D1F" w:rsidRDefault="00652D1F" w:rsidP="00AC0BC5">
      <w:pPr>
        <w:spacing w:line="360" w:lineRule="auto"/>
        <w:rPr>
          <w:b/>
          <w:u w:val="single"/>
          <w:lang w:eastAsia="nl-NL"/>
        </w:rPr>
      </w:pPr>
      <w:r>
        <w:rPr>
          <w:b/>
          <w:u w:val="single"/>
          <w:lang w:eastAsia="nl-NL"/>
        </w:rPr>
        <w:t xml:space="preserve">6.3.3 </w:t>
      </w:r>
      <w:r w:rsidRPr="006F5C34">
        <w:rPr>
          <w:b/>
          <w:u w:val="single"/>
          <w:lang w:eastAsia="nl-NL"/>
        </w:rPr>
        <w:t>Artikel 10a en de bewijslastverdeling</w:t>
      </w:r>
    </w:p>
    <w:p w:rsidR="00652D1F" w:rsidRDefault="00652D1F" w:rsidP="00AC0BC5">
      <w:pPr>
        <w:spacing w:line="360" w:lineRule="auto"/>
        <w:rPr>
          <w:b/>
          <w:u w:val="single"/>
          <w:lang w:eastAsia="nl-NL"/>
        </w:rPr>
      </w:pPr>
    </w:p>
    <w:p w:rsidR="00652D1F" w:rsidRDefault="00652D1F" w:rsidP="00E8426D">
      <w:pPr>
        <w:spacing w:line="360" w:lineRule="auto"/>
        <w:rPr>
          <w:lang w:eastAsia="nl-NL"/>
        </w:rPr>
      </w:pPr>
      <w:r>
        <w:rPr>
          <w:lang w:eastAsia="nl-NL"/>
        </w:rPr>
        <w:t>Naar blijkt uit Halifax en Cadbury Schweppes is het gebruik van een bewijsvermoeden niet in strijd met het EU-recht, zolang deze bewijsregels geen afbreuk doet aan de volle werking van het EU-recht.</w:t>
      </w:r>
      <w:r>
        <w:rPr>
          <w:rStyle w:val="Voetnootmarkering"/>
          <w:lang w:eastAsia="nl-NL"/>
        </w:rPr>
        <w:footnoteReference w:id="261"/>
      </w:r>
      <w:r>
        <w:rPr>
          <w:lang w:eastAsia="nl-NL"/>
        </w:rPr>
        <w:t xml:space="preserve"> Naast de invulling van het bewijsvermoeden van artikel 10a is het derhalve ook van belang om vast te stellen of de uitvoering daarvan in overeenstemming is met het EU-recht. Bij artikel 10a ligt de bewijslast in beginsel bij de inspecteur, echter, zoals eerder naar voren is gekomen, wordt deze bewijslast op twee punten bij de belanghebbende gelegd, namelijk bij het aantonen van een compenserende heffing alsmede in het geval van de zakelijke overwegingen in het geval van een belanghebbende welke niet voldoet aan de compenserende heffingstoets. In beide gevallen draait het om het opleggen van een zwaardere bewijslast aan belanghebbenden in situaties die zich enkel in de grensoverschrijdende gevallen zal voordoen. De vragen die derhalve dienen te worden beantwoord zijn; is het in overeenstemming met het EU-recht om de belanghebbende de bewijslast op te leggen met betrekking tot de compenserende heffing bij het renteontvangende lichaam? Alsmede, is het in overeenstemming met het EU-recht om de belanghebbende een zwaardere bewijslast op te leggen op basis van het op het renteontvangende lichaam van toepassing zijnde tarief?</w:t>
      </w:r>
    </w:p>
    <w:p w:rsidR="00652D1F" w:rsidRDefault="00652D1F" w:rsidP="00AC0BC5">
      <w:pPr>
        <w:spacing w:line="360" w:lineRule="auto"/>
        <w:rPr>
          <w:lang w:eastAsia="nl-NL"/>
        </w:rPr>
      </w:pPr>
    </w:p>
    <w:p w:rsidR="00652D1F" w:rsidRDefault="00652D1F" w:rsidP="00D6144E">
      <w:pPr>
        <w:spacing w:line="360" w:lineRule="auto"/>
        <w:rPr>
          <w:lang w:eastAsia="nl-NL"/>
        </w:rPr>
      </w:pPr>
      <w:r>
        <w:rPr>
          <w:lang w:eastAsia="nl-NL"/>
        </w:rPr>
        <w:t xml:space="preserve">Het feit dat de bewijslast wordt verzwaard ten gevolge van de mate van onderworpenheid van het renteontvangende lichaam, is mijns inziens in beginsel in strijd met het gelijkwaardigheidsbeginsel. Namelijk, in het geval dat het renteontvangende lichaam is gevestigd in een staat met een tarief onder de 10% dient het rentebetalende lichaam de zakelijkheid van de transacties aan te tonen ten einde aan de aftrekbeperking te ontkomen. Dit terwijl, wanneer deze in een hoger belast land zou zijn gevestigd het enkele bewijs van een heffing gelijk dan wel boven de 10% naar Nederlandse maatstaven toereikend is om te ontkomen aan de uitsluiting van aftrek. Dit onderscheid in behandeling is mijns inziens te rechtvaardigen vanuit doel en strekking van de regeling. Het aanbrengen van een dergelijk onderscheid valt derhalve binnen de discretionaire bevoegdheid van de lidstaat, aangezien deze aangrijpt bij een van belang zijnde objectieve omstandigheid. </w:t>
      </w:r>
    </w:p>
    <w:p w:rsidR="00652D1F" w:rsidRDefault="00652D1F" w:rsidP="00AC0BC5">
      <w:pPr>
        <w:spacing w:line="360" w:lineRule="auto"/>
        <w:rPr>
          <w:lang w:eastAsia="nl-NL"/>
        </w:rPr>
      </w:pPr>
    </w:p>
    <w:p w:rsidR="00652D1F" w:rsidRDefault="00652D1F" w:rsidP="00346807">
      <w:pPr>
        <w:spacing w:line="360" w:lineRule="auto"/>
        <w:rPr>
          <w:lang w:eastAsia="nl-NL"/>
        </w:rPr>
      </w:pPr>
      <w:r>
        <w:rPr>
          <w:lang w:eastAsia="nl-NL"/>
        </w:rPr>
        <w:t>Daarnaast zijn er vraagtekens te plaatsen bij de verdeling van de bewijslast met betrekking tot de heffing over de rentebetalingen. Vooral vanwege het feit dat dit zich enkel in de grensoverschrijdende situatie voordoet, in de interne situatie beschikt de belastingdienst namelijk zelf over deze gegevens. Het tarief is een onderdeel van de objectieve omstandigheden aan de hand waarvan het bewijsvermoeden mag ontstaan. Door de methode die artikel 10a hanteert wordt er vanuit gegaan dat het tarief niet voldoet, waarna men aannemelijk dient te maken dat dit wel zo is. In een dergelijk geval heeft de inspectie derhalve nog niet de aanwezigheid van deze objectieve omstandigheid aannemelijk gemaakt. De vraag is dus of deze manier van verdeling strijdig moet worden geacht met het effectiviteitsbeginsel alsmede het gelijkwaardigheidsbeginsel. Want hoewel de rentebetalingen natuurlijk plaatsvinden ten gunste van een groepslichaam, betekent zulks niet dat een eventueel onderliggend lichaam toegang kan krijgen tot alle gegevens van een dergelijke groep.</w:t>
      </w:r>
      <w:r w:rsidR="004B6166">
        <w:rPr>
          <w:rStyle w:val="Voetnootmarkering"/>
          <w:lang w:eastAsia="nl-NL"/>
        </w:rPr>
        <w:footnoteReference w:id="262"/>
      </w:r>
      <w:r>
        <w:rPr>
          <w:lang w:eastAsia="nl-NL"/>
        </w:rPr>
        <w:t xml:space="preserve"> Daarentegen kan men vanuit de ‘economische eenheid’-gedachte, welke de vrijheid van vestiging wenst te beschermen, ook beredeneren dat het lichaam welke diens vestigingsvrijheid uitoefent bij machte is dit bewijs te leveren. Als men dit in verband</w:t>
      </w:r>
      <w:r w:rsidR="004B6166">
        <w:rPr>
          <w:lang w:eastAsia="nl-NL"/>
        </w:rPr>
        <w:t xml:space="preserve"> brengt met Pusa </w:t>
      </w:r>
      <w:r>
        <w:rPr>
          <w:lang w:eastAsia="nl-NL"/>
        </w:rPr>
        <w:t xml:space="preserve">volgt hieruit mijns inziens dat de </w:t>
      </w:r>
      <w:r w:rsidR="00E02B59">
        <w:rPr>
          <w:lang w:eastAsia="nl-NL"/>
        </w:rPr>
        <w:t>belastingplichtige het best bij machte is het vereiste bewijs te leveren</w:t>
      </w:r>
      <w:r>
        <w:rPr>
          <w:lang w:eastAsia="nl-NL"/>
        </w:rPr>
        <w:t xml:space="preserve">. De ongelijke behandeling op basis van tarief is, zoals in de vorige paragraaf is aangegeven, niet strijdig, mits ook aan de andere vereisten van misbruik is voldaan, </w:t>
      </w:r>
      <w:r w:rsidRPr="008C3733">
        <w:rPr>
          <w:lang w:eastAsia="nl-NL"/>
        </w:rPr>
        <w:t>aangezien dit een van de objectieve omstandigheden is ten einde misbruik vast te kunnen stellen.</w:t>
      </w:r>
      <w:r w:rsidR="004B6166" w:rsidRPr="008C3733">
        <w:rPr>
          <w:rStyle w:val="Voetnootmarkering"/>
          <w:lang w:eastAsia="nl-NL"/>
        </w:rPr>
        <w:footnoteReference w:id="263"/>
      </w:r>
    </w:p>
    <w:p w:rsidR="00652D1F" w:rsidRDefault="00652D1F" w:rsidP="00AC0BC5">
      <w:pPr>
        <w:spacing w:line="360" w:lineRule="auto"/>
        <w:rPr>
          <w:lang w:eastAsia="nl-NL"/>
        </w:rPr>
      </w:pPr>
    </w:p>
    <w:p w:rsidR="00652D1F" w:rsidRDefault="00652D1F" w:rsidP="00AC0BC5">
      <w:pPr>
        <w:spacing w:line="360" w:lineRule="auto"/>
        <w:rPr>
          <w:lang w:eastAsia="nl-NL"/>
        </w:rPr>
      </w:pPr>
    </w:p>
    <w:p w:rsidR="00652D1F" w:rsidRPr="0007674D" w:rsidRDefault="00652D1F" w:rsidP="00AC0BC5">
      <w:pPr>
        <w:spacing w:line="360" w:lineRule="auto"/>
        <w:rPr>
          <w:lang w:eastAsia="nl-NL"/>
        </w:rPr>
      </w:pPr>
      <w:r>
        <w:rPr>
          <w:b/>
          <w:bCs/>
          <w:u w:val="single"/>
          <w:lang w:eastAsia="nl-NL"/>
        </w:rPr>
        <w:t xml:space="preserve">6.4 </w:t>
      </w:r>
      <w:r w:rsidRPr="00497B2F">
        <w:rPr>
          <w:b/>
          <w:bCs/>
          <w:u w:val="single"/>
          <w:lang w:eastAsia="nl-NL"/>
        </w:rPr>
        <w:t>Sanctie</w:t>
      </w:r>
    </w:p>
    <w:p w:rsidR="00652D1F" w:rsidRDefault="00652D1F" w:rsidP="00AC0BC5">
      <w:pPr>
        <w:spacing w:line="360" w:lineRule="auto"/>
        <w:rPr>
          <w:b/>
          <w:bCs/>
          <w:u w:val="single"/>
          <w:lang w:eastAsia="nl-NL"/>
        </w:rPr>
      </w:pPr>
    </w:p>
    <w:p w:rsidR="00652D1F" w:rsidRDefault="00652D1F" w:rsidP="00AC0BC5">
      <w:pPr>
        <w:spacing w:line="360" w:lineRule="auto"/>
      </w:pPr>
      <w:r>
        <w:rPr>
          <w:lang w:eastAsia="nl-NL"/>
        </w:rPr>
        <w:t>De sanctie die artikel 10a oplegt, namelijk de uitsluiting van aftrek zonder dat hiertegenover een vrijstelling staat bij het ontvangende lichaam, is niet in strijd met het evenredigheidsbeginsel en meer in het bijzonder de noodzakelijkheidstoets. Zoals de Cursus Belastingrecht</w:t>
      </w:r>
      <w:r>
        <w:rPr>
          <w:rStyle w:val="Voetnootmarkering"/>
          <w:lang w:eastAsia="nl-NL"/>
        </w:rPr>
        <w:footnoteReference w:id="264"/>
      </w:r>
      <w:r>
        <w:rPr>
          <w:lang w:eastAsia="nl-NL"/>
        </w:rPr>
        <w:t xml:space="preserve"> aanhaalt heeft het HvJ EG een dergelijke uitsluiting van aftrek expliciet </w:t>
      </w:r>
      <w:r w:rsidRPr="009A0BF0">
        <w:rPr>
          <w:lang w:eastAsia="nl-NL"/>
        </w:rPr>
        <w:t xml:space="preserve">goedgekeurd in het arrest Thin Cap GLO. Het </w:t>
      </w:r>
      <w:r>
        <w:rPr>
          <w:lang w:eastAsia="nl-NL"/>
        </w:rPr>
        <w:t>HvJ EG</w:t>
      </w:r>
      <w:r w:rsidRPr="009A0BF0">
        <w:rPr>
          <w:lang w:eastAsia="nl-NL"/>
        </w:rPr>
        <w:t xml:space="preserve"> oordeelt hierin; dat van de lidstaat niet kan</w:t>
      </w:r>
      <w:r w:rsidRPr="009A0BF0">
        <w:t xml:space="preserve"> “</w:t>
      </w:r>
      <w:r w:rsidRPr="00C523D1">
        <w:rPr>
          <w:i/>
          <w:iCs/>
        </w:rPr>
        <w:t>worden verlangd dat hij ervoor zorgt dat de staat van vestiging van die tweede vennootschap het nodige doet om te vermijden dat de als dividend aangemerkte betaling als zodanig op het niveau van die vennootschapsgroep zowel in de lidstaat van vestiging van de eerste als in die van de tweede vennootschap wordt belast</w:t>
      </w:r>
      <w:r w:rsidRPr="009A0BF0">
        <w:t>.”</w:t>
      </w:r>
      <w:r w:rsidRPr="009A0BF0">
        <w:rPr>
          <w:rStyle w:val="Voetnootmarkering"/>
        </w:rPr>
        <w:footnoteReference w:id="265"/>
      </w:r>
      <w:r>
        <w:t xml:space="preserve"> Hieruit blijkt duidelijk dat de dubbele heffing die in de grensoverschrijdende situatie ontstaat niet strijdig is met het EU-recht.</w:t>
      </w:r>
      <w:r>
        <w:rPr>
          <w:rStyle w:val="Voetnootmarkering"/>
        </w:rPr>
        <w:footnoteReference w:id="266"/>
      </w:r>
    </w:p>
    <w:p w:rsidR="00652D1F" w:rsidRDefault="00652D1F" w:rsidP="00AC0BC5">
      <w:pPr>
        <w:spacing w:line="360" w:lineRule="auto"/>
      </w:pPr>
    </w:p>
    <w:p w:rsidR="00652D1F" w:rsidRDefault="00652D1F" w:rsidP="00346807">
      <w:pPr>
        <w:spacing w:line="360" w:lineRule="auto"/>
      </w:pPr>
      <w:r>
        <w:t>Ook de mate van sanctionering is mijns inziens in overeenstemming met het EU-recht. De wettekst geeft in lid 1 aan dat een lening enkel in aanmerking zal komen voor toepassing van artikel 10a in zoverre deze verband houdt met een besmettende rechtshandeling.</w:t>
      </w:r>
      <w:r w:rsidR="004B6166">
        <w:rPr>
          <w:rStyle w:val="Voetnootmarkering"/>
        </w:rPr>
        <w:footnoteReference w:id="267"/>
      </w:r>
      <w:r>
        <w:t xml:space="preserve"> Hetzelfde geldt voor de mate van initiële uitsluiting van aftrek op basis van het tarief. De staatsecretaris heeft namelijk goedgekeurd dat als er over een deel van de rente wel voldoende wordt geheven, dit dan wel in aftrek wordt toegestaan.</w:t>
      </w:r>
      <w:r>
        <w:rPr>
          <w:rStyle w:val="Voetnootmarkering"/>
        </w:rPr>
        <w:footnoteReference w:id="268"/>
      </w:r>
      <w:r>
        <w:t xml:space="preserve"> Dat dit naast schappelijk ook is vereist uit hoofde van het EU-recht blijkt uit r.o. 83 van Thin Cap GLO, waarin het HvJ EG oordeelt:</w:t>
      </w:r>
    </w:p>
    <w:p w:rsidR="00652D1F" w:rsidRPr="00007E3C" w:rsidRDefault="00652D1F" w:rsidP="00AC0BC5">
      <w:pPr>
        <w:spacing w:line="360" w:lineRule="auto"/>
      </w:pPr>
    </w:p>
    <w:p w:rsidR="00652D1F" w:rsidRPr="00007E3C" w:rsidRDefault="00652D1F" w:rsidP="00AC0BC5">
      <w:pPr>
        <w:spacing w:line="360" w:lineRule="auto"/>
      </w:pPr>
      <w:r w:rsidRPr="00007E3C">
        <w:t>“</w:t>
      </w:r>
      <w:r w:rsidRPr="00C523D1">
        <w:rPr>
          <w:i/>
          <w:iCs/>
        </w:rPr>
        <w:t>r.o. 83 (..) Wil een dergelijke wettelijke regeling in overeenstemming met het evenredigheidsbeginsel blijven, dan is het in de tweede plaats van belang dat, wanneer onderzoek van dat bewijs tot de conclusie leidt dat de betrokken transactie een louter kunstmatige constructie is waaraan geen echte commerciële redenen ten grondslag liggen, slechts dat deel van de betaalde rente als winstuitkering wordt geherkwalificeerd dat boven het bedrag ligt dat bij gebreke van een bijzondere relatie tussen de partijen of tussen de partijen en een derde zou zijn overeengekomen</w:t>
      </w:r>
      <w:r w:rsidRPr="00007E3C">
        <w:t>.”</w:t>
      </w:r>
    </w:p>
    <w:p w:rsidR="00652D1F" w:rsidRDefault="00652D1F" w:rsidP="00AC0BC5">
      <w:pPr>
        <w:spacing w:line="360" w:lineRule="auto"/>
        <w:rPr>
          <w:lang w:eastAsia="nl-NL"/>
        </w:rPr>
      </w:pPr>
      <w:r>
        <w:rPr>
          <w:lang w:eastAsia="nl-NL"/>
        </w:rPr>
        <w:t xml:space="preserve"> </w:t>
      </w:r>
    </w:p>
    <w:p w:rsidR="00652D1F" w:rsidRDefault="00652D1F" w:rsidP="00AC0BC5">
      <w:pPr>
        <w:spacing w:line="360" w:lineRule="auto"/>
        <w:rPr>
          <w:b/>
          <w:u w:val="single"/>
        </w:rPr>
      </w:pPr>
    </w:p>
    <w:p w:rsidR="00652D1F" w:rsidRPr="002A2B62" w:rsidRDefault="00652D1F" w:rsidP="00AC0BC5">
      <w:pPr>
        <w:spacing w:line="360" w:lineRule="auto"/>
        <w:rPr>
          <w:b/>
          <w:u w:val="single"/>
        </w:rPr>
      </w:pPr>
      <w:r>
        <w:rPr>
          <w:b/>
          <w:u w:val="single"/>
        </w:rPr>
        <w:t xml:space="preserve">6.5 </w:t>
      </w:r>
      <w:r w:rsidRPr="002A2B62">
        <w:rPr>
          <w:b/>
          <w:u w:val="single"/>
        </w:rPr>
        <w:t>conclusie</w:t>
      </w:r>
    </w:p>
    <w:p w:rsidR="00652D1F" w:rsidRDefault="00652D1F" w:rsidP="00AC0BC5">
      <w:pPr>
        <w:spacing w:line="360" w:lineRule="auto"/>
        <w:rPr>
          <w:b/>
          <w:u w:val="single"/>
        </w:rPr>
      </w:pPr>
    </w:p>
    <w:p w:rsidR="00652D1F" w:rsidRDefault="00652D1F" w:rsidP="00D6144E">
      <w:pPr>
        <w:spacing w:line="360" w:lineRule="auto"/>
        <w:rPr>
          <w:b/>
          <w:u w:val="single"/>
        </w:rPr>
      </w:pPr>
      <w:r>
        <w:rPr>
          <w:lang w:eastAsia="nl-NL"/>
        </w:rPr>
        <w:t>Uit het voorgaande hoofdstuk blijkt dat artikel 10a zeer zeker geschikt is zijn gerechtvaardigde doel te bereiken, echter streeft deze op een aantal punten zijn doel voorbij. De verrekening van verliezen, niet doorslaggevende belangen alsmede doorslaggevende belangen zonder financieel belang en het verband als in de context van artikel 10a rechtvaardigen mijns inziens niet de vaststelling van het vermoeden van misbruik. Daarentegen zijn het zakelijkheidscriterium, de toepassing van de ‘verschillende wegen’-leer, de toepassing op basis van tarief alsmede de wijze waarop de bewijslast is verdeeld wel in overeenstemming met het EU-recht. De wijze van sanctionering kan ook in overeenstemming met het EU-recht worden geacht aangezien de partiële toepassing daarvan wordt toegestaan.</w:t>
      </w: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652D1F" w:rsidRDefault="00652D1F" w:rsidP="00AC0BC5">
      <w:pPr>
        <w:spacing w:line="360" w:lineRule="auto"/>
        <w:rPr>
          <w:b/>
          <w:u w:val="single"/>
        </w:rPr>
      </w:pPr>
    </w:p>
    <w:p w:rsidR="00B43BEB" w:rsidRDefault="00B43BEB" w:rsidP="00AC0BC5">
      <w:pPr>
        <w:spacing w:line="360" w:lineRule="auto"/>
        <w:rPr>
          <w:b/>
          <w:u w:val="single"/>
        </w:rPr>
      </w:pPr>
    </w:p>
    <w:p w:rsidR="00B43BEB" w:rsidRDefault="00B43BEB" w:rsidP="00AC0BC5">
      <w:pPr>
        <w:spacing w:line="360" w:lineRule="auto"/>
        <w:rPr>
          <w:b/>
          <w:u w:val="single"/>
        </w:rPr>
      </w:pPr>
    </w:p>
    <w:p w:rsidR="00B43BEB" w:rsidRDefault="00B43BEB" w:rsidP="00AC0BC5">
      <w:pPr>
        <w:spacing w:line="360" w:lineRule="auto"/>
        <w:rPr>
          <w:b/>
          <w:u w:val="single"/>
        </w:rPr>
      </w:pPr>
    </w:p>
    <w:p w:rsidR="00652D1F" w:rsidRDefault="00652D1F" w:rsidP="00AC0BC5">
      <w:pPr>
        <w:spacing w:line="360" w:lineRule="auto"/>
        <w:rPr>
          <w:b/>
          <w:u w:val="single"/>
        </w:rPr>
      </w:pPr>
      <w:r>
        <w:rPr>
          <w:b/>
          <w:u w:val="single"/>
        </w:rPr>
        <w:t>7.</w:t>
      </w:r>
      <w:r w:rsidRPr="00554DD6">
        <w:rPr>
          <w:b/>
          <w:u w:val="single"/>
        </w:rPr>
        <w:t>Conclusie</w:t>
      </w:r>
    </w:p>
    <w:p w:rsidR="00652D1F" w:rsidRDefault="00652D1F" w:rsidP="00AC0BC5">
      <w:pPr>
        <w:spacing w:line="360" w:lineRule="auto"/>
        <w:rPr>
          <w:b/>
          <w:u w:val="single"/>
        </w:rPr>
      </w:pPr>
    </w:p>
    <w:p w:rsidR="00652D1F" w:rsidRPr="000E6EC0" w:rsidRDefault="00652D1F" w:rsidP="00AC0BC5">
      <w:pPr>
        <w:spacing w:line="360" w:lineRule="auto"/>
      </w:pPr>
      <w:r>
        <w:t>Dit onderzoek heeft zich tot doel gesteld om te analyseren of artikel 10a Wet VpB in overeenstemming is met het VwEU. In de conclusie zal aan de hand van het beslisschema van het HvJ EG worden vastgesteld of de probleemstelling bevestigd dient te worden.</w:t>
      </w:r>
    </w:p>
    <w:p w:rsidR="00652D1F" w:rsidRDefault="00652D1F" w:rsidP="00AC0BC5">
      <w:pPr>
        <w:spacing w:line="360" w:lineRule="auto"/>
        <w:rPr>
          <w:b/>
          <w:u w:val="single"/>
        </w:rPr>
      </w:pPr>
    </w:p>
    <w:p w:rsidR="00652D1F" w:rsidRDefault="00652D1F" w:rsidP="00E07446">
      <w:pPr>
        <w:spacing w:line="360" w:lineRule="auto"/>
        <w:rPr>
          <w:bCs/>
        </w:rPr>
      </w:pPr>
      <w:r w:rsidRPr="00F57B51">
        <w:rPr>
          <w:bCs/>
        </w:rPr>
        <w:t xml:space="preserve">Is er toegang tot het </w:t>
      </w:r>
      <w:r>
        <w:rPr>
          <w:bCs/>
        </w:rPr>
        <w:t>VwEU</w:t>
      </w:r>
      <w:r w:rsidRPr="00F57B51">
        <w:rPr>
          <w:bCs/>
        </w:rPr>
        <w:t xml:space="preserve"> in de gevallen waar artikel 10a op ziet?</w:t>
      </w:r>
    </w:p>
    <w:p w:rsidR="00652D1F" w:rsidRDefault="00652D1F" w:rsidP="00AC0BC5">
      <w:pPr>
        <w:spacing w:line="360" w:lineRule="auto"/>
        <w:rPr>
          <w:bCs/>
        </w:rPr>
      </w:pPr>
    </w:p>
    <w:p w:rsidR="00652D1F" w:rsidRPr="00F57B51" w:rsidRDefault="00652D1F" w:rsidP="00AC0BC5">
      <w:pPr>
        <w:spacing w:line="360" w:lineRule="auto"/>
        <w:rPr>
          <w:bCs/>
        </w:rPr>
      </w:pPr>
      <w:r>
        <w:rPr>
          <w:bCs/>
        </w:rPr>
        <w:t>Ja, de belanghebbenden die door artikel 10a worden getroffen kunnen in grensoverschrijdende gevallen toegang krijgen tot het VwEU. De aanwezigheid van misbruik doet hier niet aan af, wel dient op materieel niveau aan alle objectieve factoren te zijn voldaan..</w:t>
      </w:r>
    </w:p>
    <w:p w:rsidR="00652D1F" w:rsidRDefault="00652D1F" w:rsidP="00AC0BC5">
      <w:pPr>
        <w:spacing w:line="360" w:lineRule="auto"/>
        <w:rPr>
          <w:bCs/>
        </w:rPr>
      </w:pPr>
    </w:p>
    <w:p w:rsidR="00652D1F" w:rsidRDefault="00652D1F" w:rsidP="00AC0BC5">
      <w:pPr>
        <w:spacing w:line="360" w:lineRule="auto"/>
        <w:rPr>
          <w:bCs/>
        </w:rPr>
      </w:pPr>
      <w:r>
        <w:rPr>
          <w:bCs/>
        </w:rPr>
        <w:t>W</w:t>
      </w:r>
      <w:r w:rsidRPr="00F57B51">
        <w:rPr>
          <w:bCs/>
        </w:rPr>
        <w:t>elke verdragsvrijheid is van toepassing op de gevallen waar artikel 10a op ziet?</w:t>
      </w:r>
    </w:p>
    <w:p w:rsidR="00652D1F" w:rsidRDefault="00652D1F" w:rsidP="00AC0BC5">
      <w:pPr>
        <w:spacing w:line="360" w:lineRule="auto"/>
        <w:rPr>
          <w:bCs/>
        </w:rPr>
      </w:pPr>
    </w:p>
    <w:p w:rsidR="00652D1F" w:rsidRDefault="00652D1F" w:rsidP="00E07446">
      <w:pPr>
        <w:spacing w:line="360" w:lineRule="auto"/>
        <w:rPr>
          <w:bCs/>
        </w:rPr>
      </w:pPr>
      <w:r>
        <w:rPr>
          <w:bCs/>
        </w:rPr>
        <w:t>Artikel 10a kan enkel aan de vrijheid van vestiging worden getoetst, aangezien zij gericht is op deelnemingsrelaties met beslissende invloed. Derhalve is het van belang dat het controlerende lichaam</w:t>
      </w:r>
      <w:r w:rsidRPr="00E07446">
        <w:rPr>
          <w:bCs/>
        </w:rPr>
        <w:t xml:space="preserve"> </w:t>
      </w:r>
      <w:r>
        <w:rPr>
          <w:bCs/>
        </w:rPr>
        <w:t>alsmede het lenende lichaam in een lidstaat zijn gevestigd, aangezien artikel 10a enkel aan de vrijheid van vestiging kan worden getoetst welke geen werking heeft jegens derde landen.</w:t>
      </w:r>
    </w:p>
    <w:p w:rsidR="00652D1F" w:rsidRDefault="00652D1F" w:rsidP="00AC0BC5">
      <w:pPr>
        <w:spacing w:line="360" w:lineRule="auto"/>
        <w:rPr>
          <w:bCs/>
        </w:rPr>
      </w:pPr>
    </w:p>
    <w:p w:rsidR="00652D1F" w:rsidRDefault="00652D1F" w:rsidP="00AC0BC5">
      <w:pPr>
        <w:spacing w:line="360" w:lineRule="auto"/>
        <w:rPr>
          <w:bCs/>
        </w:rPr>
      </w:pPr>
      <w:r>
        <w:rPr>
          <w:bCs/>
        </w:rPr>
        <w:t>Is er sprake van een belemmering ten gevolge van de toepassing van artikel 10a?</w:t>
      </w:r>
    </w:p>
    <w:p w:rsidR="00652D1F" w:rsidRDefault="00652D1F" w:rsidP="00AC0BC5">
      <w:pPr>
        <w:spacing w:line="360" w:lineRule="auto"/>
        <w:rPr>
          <w:bCs/>
        </w:rPr>
      </w:pPr>
    </w:p>
    <w:p w:rsidR="00652D1F" w:rsidRDefault="00652D1F" w:rsidP="00E07446">
      <w:pPr>
        <w:spacing w:line="360" w:lineRule="auto"/>
        <w:rPr>
          <w:bCs/>
        </w:rPr>
      </w:pPr>
      <w:r>
        <w:rPr>
          <w:bCs/>
        </w:rPr>
        <w:t>Ja, zoals is gebleken is bevat artikel 10a drie belemmeringen. Twee indirect discriminerende belemmeringen op basis van het tarief waaraan het renteontvangende lichaam is onderworpen. Namelijk, de zwaardere bewijslast alsmede de algehele toepassing van artikel 10a in het geval van aan de winstbelasting onderworpen lichamen in de afwezigheid van compensabele verliezen. Daarnaast bevat artikel 10a ook een element dat zonder onderscheid wordt toegepast echter in de grensoverschrijdende situatie tot een ongunstiger resultaat leidt, namelijk de wijze waarop in de compenserende heffingstoets wordt omgegaan met de compensabele verliezen. In de interne situatie kan de belanghebbende hieraan ontkomen door middel van het aangaan van een fiscale eenheid, hetgeen in de grensoverschrijdende niet tot de mogelijkheden behoort.</w:t>
      </w:r>
    </w:p>
    <w:p w:rsidR="00652D1F" w:rsidRDefault="00652D1F" w:rsidP="00AC0BC5">
      <w:pPr>
        <w:spacing w:line="360" w:lineRule="auto"/>
        <w:rPr>
          <w:bCs/>
        </w:rPr>
      </w:pPr>
    </w:p>
    <w:p w:rsidR="00652D1F" w:rsidRDefault="00652D1F" w:rsidP="00AC0BC5">
      <w:pPr>
        <w:spacing w:line="360" w:lineRule="auto"/>
        <w:rPr>
          <w:bCs/>
        </w:rPr>
      </w:pPr>
      <w:r>
        <w:rPr>
          <w:bCs/>
        </w:rPr>
        <w:t>B</w:t>
      </w:r>
      <w:r w:rsidRPr="00121E06">
        <w:rPr>
          <w:bCs/>
        </w:rPr>
        <w:t>estaat er een rechtvaardigingsgrond voor de aanwezige belemmering?</w:t>
      </w:r>
    </w:p>
    <w:p w:rsidR="00652D1F" w:rsidRDefault="00652D1F" w:rsidP="00AC0BC5">
      <w:pPr>
        <w:spacing w:line="360" w:lineRule="auto"/>
        <w:rPr>
          <w:bCs/>
        </w:rPr>
      </w:pPr>
    </w:p>
    <w:p w:rsidR="00652D1F" w:rsidRDefault="00652D1F" w:rsidP="0016257F">
      <w:pPr>
        <w:spacing w:line="360" w:lineRule="auto"/>
        <w:rPr>
          <w:bCs/>
        </w:rPr>
      </w:pPr>
      <w:r>
        <w:rPr>
          <w:bCs/>
        </w:rPr>
        <w:t xml:space="preserve">Ja, de belemmeringen van artikel 10a kunnen primair worden gerechtvaardigd uit hoofde van de strijd tegen misbruik. Artikel 10a wenst namelijk te voorkomen dat er door middel van kunstmatig geconstrueerde opzetjes onrechtmatige voordelen worden behaald. Met betrekking tot de behandeling van de compensabele verliezen kan een beroep worden gedaan op de ‘fiscale cohesie’ rechtvaardigingsgrond. Dit omdat hier geen sprake is van misbruik, aangezien hier geen onrechtmatig voordeel wordt behaald. </w:t>
      </w:r>
    </w:p>
    <w:p w:rsidR="00652D1F" w:rsidRDefault="00652D1F" w:rsidP="00AC0BC5">
      <w:pPr>
        <w:spacing w:line="360" w:lineRule="auto"/>
        <w:rPr>
          <w:bCs/>
        </w:rPr>
      </w:pPr>
    </w:p>
    <w:p w:rsidR="00652D1F" w:rsidRDefault="00652D1F" w:rsidP="00AC0BC5">
      <w:pPr>
        <w:spacing w:line="360" w:lineRule="auto"/>
        <w:rPr>
          <w:bCs/>
        </w:rPr>
      </w:pPr>
      <w:r>
        <w:rPr>
          <w:bCs/>
        </w:rPr>
        <w:t>V</w:t>
      </w:r>
      <w:r w:rsidRPr="00121E06">
        <w:rPr>
          <w:bCs/>
        </w:rPr>
        <w:t>oldoet de belemmering aan het evenredigheidbeginsel?</w:t>
      </w:r>
    </w:p>
    <w:p w:rsidR="00652D1F" w:rsidRDefault="00652D1F" w:rsidP="00AC0BC5">
      <w:pPr>
        <w:spacing w:line="360" w:lineRule="auto"/>
        <w:rPr>
          <w:bCs/>
        </w:rPr>
      </w:pPr>
    </w:p>
    <w:p w:rsidR="00652D1F" w:rsidRDefault="00652D1F" w:rsidP="00D6144E">
      <w:pPr>
        <w:spacing w:line="360" w:lineRule="auto"/>
        <w:rPr>
          <w:bCs/>
        </w:rPr>
      </w:pPr>
      <w:r>
        <w:rPr>
          <w:bCs/>
        </w:rPr>
        <w:t>Na alle positieve antwoorden dient er een negatief staartje aan verbonden te worden, want artikel 10a voldoet niet aan de evenredigheidsbeginsel. Hoewel zij geschikt is haar doel te bereiken streeft zij dit veelvuldig voorbij, derhalve dient zij op de volgende punten te worden aangepast.</w:t>
      </w:r>
    </w:p>
    <w:p w:rsidR="00652D1F" w:rsidRDefault="00652D1F" w:rsidP="00AC0BC5">
      <w:pPr>
        <w:spacing w:line="360" w:lineRule="auto"/>
        <w:rPr>
          <w:bCs/>
        </w:rPr>
      </w:pPr>
    </w:p>
    <w:p w:rsidR="00652D1F" w:rsidRPr="00E36E11" w:rsidRDefault="00652D1F" w:rsidP="00AC0BC5">
      <w:pPr>
        <w:pStyle w:val="Lijstalinea"/>
        <w:numPr>
          <w:ilvl w:val="0"/>
          <w:numId w:val="15"/>
        </w:numPr>
        <w:spacing w:line="360" w:lineRule="auto"/>
        <w:rPr>
          <w:bCs/>
        </w:rPr>
      </w:pPr>
      <w:r w:rsidRPr="00E36E11">
        <w:rPr>
          <w:bCs/>
        </w:rPr>
        <w:t>Het vereiste belang dient te worden opgerekt naar een belang met beslissende invloed. Ook dient het vereist te zijn dat hier een financieel belang aan gekoppeld is.</w:t>
      </w:r>
      <w:r>
        <w:rPr>
          <w:bCs/>
        </w:rPr>
        <w:t xml:space="preserve"> Als men geen voordeel kan afdwingen, dan wel kan genieten, kan er geen sprake zijn van misbruik.</w:t>
      </w:r>
    </w:p>
    <w:p w:rsidR="00652D1F" w:rsidRDefault="00652D1F" w:rsidP="00AC0BC5">
      <w:pPr>
        <w:pStyle w:val="Lijstalinea"/>
        <w:numPr>
          <w:ilvl w:val="0"/>
          <w:numId w:val="15"/>
        </w:numPr>
        <w:spacing w:line="360" w:lineRule="auto"/>
        <w:rPr>
          <w:bCs/>
        </w:rPr>
      </w:pPr>
      <w:r>
        <w:rPr>
          <w:bCs/>
        </w:rPr>
        <w:t>In het geval dat rentebetalingen worden gebruikt om verliezen te compenseren die dreigen te verdampen dient dit te worden toegestaan. Er is in deze geen sprake van misbruik, daarentegen mag de fiscale cohesie tot op bepaalde hoogte worden beschermd.</w:t>
      </w:r>
    </w:p>
    <w:p w:rsidR="00652D1F" w:rsidRDefault="00652D1F" w:rsidP="00AC0BC5">
      <w:pPr>
        <w:pStyle w:val="Lijstalinea"/>
        <w:numPr>
          <w:ilvl w:val="0"/>
          <w:numId w:val="15"/>
        </w:numPr>
        <w:spacing w:line="360" w:lineRule="auto"/>
        <w:rPr>
          <w:bCs/>
        </w:rPr>
      </w:pPr>
      <w:r>
        <w:rPr>
          <w:bCs/>
        </w:rPr>
        <w:t>Er dient een concreet verband te zijn tussen de beide handelingen. Als de handelingen waaruit het voordeel voortvloeit niet in samenspel zijn opgezet, kan er geen sprake zijn van een misbruikintentie.</w:t>
      </w:r>
    </w:p>
    <w:p w:rsidR="00652D1F" w:rsidRDefault="00652D1F" w:rsidP="00AC0BC5">
      <w:pPr>
        <w:pStyle w:val="Lijstalinea"/>
        <w:numPr>
          <w:ilvl w:val="0"/>
          <w:numId w:val="15"/>
        </w:numPr>
        <w:spacing w:line="360" w:lineRule="auto"/>
        <w:rPr>
          <w:bCs/>
        </w:rPr>
      </w:pPr>
      <w:r>
        <w:rPr>
          <w:bCs/>
        </w:rPr>
        <w:t>Handelingen in het belang van de aandeelhouder dienen als zakelijk te worden gezien. De aandeelhouder is namelijk onderdeel van de economische eenheid, mits hij een belang met beslissende invloed houdt.</w:t>
      </w:r>
    </w:p>
    <w:p w:rsidR="00652D1F" w:rsidRDefault="00652D1F" w:rsidP="00AC0BC5">
      <w:pPr>
        <w:spacing w:line="360" w:lineRule="auto"/>
        <w:rPr>
          <w:bCs/>
        </w:rPr>
      </w:pPr>
    </w:p>
    <w:p w:rsidR="00652D1F" w:rsidRDefault="00652D1F" w:rsidP="00AC0BC5">
      <w:pPr>
        <w:spacing w:line="360" w:lineRule="auto"/>
        <w:rPr>
          <w:bCs/>
        </w:rPr>
      </w:pPr>
      <w:r>
        <w:rPr>
          <w:bCs/>
        </w:rPr>
        <w:t>Artikel 10a is derhalve in strijd met het Verdrag betreffende de Werking van de Europese Unie en dient dienovereenkomstig de bovengenoemde punten te worden aangepast.</w:t>
      </w:r>
    </w:p>
    <w:p w:rsidR="00652D1F" w:rsidRDefault="00652D1F" w:rsidP="00AC0BC5">
      <w:pPr>
        <w:spacing w:line="360" w:lineRule="auto"/>
        <w:rPr>
          <w:b/>
          <w:u w:val="single"/>
        </w:rPr>
      </w:pPr>
      <w:r w:rsidRPr="002D73B1">
        <w:rPr>
          <w:b/>
          <w:u w:val="single"/>
        </w:rPr>
        <w:t>Literatuurlijst:</w:t>
      </w:r>
    </w:p>
    <w:p w:rsidR="00652D1F" w:rsidRPr="00AC0BC5" w:rsidRDefault="00652D1F" w:rsidP="00AC0BC5">
      <w:pPr>
        <w:spacing w:line="360" w:lineRule="auto"/>
        <w:rPr>
          <w:bCs/>
        </w:rPr>
      </w:pPr>
    </w:p>
    <w:p w:rsidR="00652D1F" w:rsidRPr="002D73B1" w:rsidRDefault="00652D1F" w:rsidP="00AC0BC5">
      <w:pPr>
        <w:rPr>
          <w:b/>
          <w:u w:val="single"/>
        </w:rPr>
      </w:pPr>
    </w:p>
    <w:p w:rsidR="00652D1F" w:rsidRDefault="00652D1F" w:rsidP="00AC0BC5">
      <w:pPr>
        <w:rPr>
          <w:b/>
        </w:rPr>
      </w:pPr>
      <w:r>
        <w:rPr>
          <w:b/>
        </w:rPr>
        <w:t>Boeken</w:t>
      </w:r>
      <w:r w:rsidR="00D53DCA">
        <w:rPr>
          <w:b/>
        </w:rPr>
        <w:t xml:space="preserve"> en naslagwerken</w:t>
      </w:r>
    </w:p>
    <w:p w:rsidR="00652D1F" w:rsidRPr="002D73B1" w:rsidRDefault="00652D1F" w:rsidP="00AC0BC5">
      <w:pPr>
        <w:rPr>
          <w:b/>
        </w:rPr>
      </w:pPr>
    </w:p>
    <w:p w:rsidR="00652D1F" w:rsidRDefault="00652D1F" w:rsidP="00AC0BC5">
      <w:pPr>
        <w:tabs>
          <w:tab w:val="center" w:pos="4680"/>
        </w:tabs>
      </w:pPr>
      <w:r w:rsidRPr="002D73B1">
        <w:t>Cursus Belastingrecht</w:t>
      </w:r>
      <w:r>
        <w:t>,</w:t>
      </w:r>
      <w:r w:rsidRPr="00D45124">
        <w:rPr>
          <w:i/>
        </w:rPr>
        <w:t xml:space="preserve"> </w:t>
      </w:r>
      <w:r w:rsidRPr="00DD7A05">
        <w:rPr>
          <w:i/>
        </w:rPr>
        <w:t>VpB, losbandige editie</w:t>
      </w:r>
    </w:p>
    <w:p w:rsidR="00652D1F" w:rsidRPr="002D73B1" w:rsidRDefault="00652D1F" w:rsidP="00AC0BC5">
      <w:pPr>
        <w:tabs>
          <w:tab w:val="center" w:pos="4680"/>
        </w:tabs>
      </w:pPr>
    </w:p>
    <w:p w:rsidR="00652D1F" w:rsidRDefault="00652D1F" w:rsidP="00AC0BC5">
      <w:pPr>
        <w:tabs>
          <w:tab w:val="center" w:pos="4680"/>
        </w:tabs>
      </w:pPr>
      <w:r>
        <w:t>Cursus belastingrecht, E</w:t>
      </w:r>
      <w:r w:rsidRPr="00D45124">
        <w:rPr>
          <w:i/>
        </w:rPr>
        <w:t>uropees belastingrecht, studenteneditie 2008-2009</w:t>
      </w:r>
      <w:r w:rsidRPr="002D73B1">
        <w:t>, Deventer: Kluwer</w:t>
      </w:r>
    </w:p>
    <w:p w:rsidR="00652D1F" w:rsidRDefault="00652D1F" w:rsidP="00EB3885">
      <w:pPr>
        <w:tabs>
          <w:tab w:val="center" w:pos="4680"/>
        </w:tabs>
      </w:pPr>
    </w:p>
    <w:p w:rsidR="00652D1F" w:rsidRDefault="00652D1F" w:rsidP="00EB3885">
      <w:pPr>
        <w:tabs>
          <w:tab w:val="center" w:pos="4680"/>
        </w:tabs>
      </w:pPr>
      <w:r w:rsidRPr="00DD7A05">
        <w:t xml:space="preserve">Cursus Belastingrecht, </w:t>
      </w:r>
      <w:r w:rsidRPr="00DD7A05">
        <w:rPr>
          <w:i/>
          <w:iCs/>
        </w:rPr>
        <w:t>Europees Belastingrecht, losbandige editie</w:t>
      </w:r>
    </w:p>
    <w:p w:rsidR="00652D1F" w:rsidRPr="002D73B1" w:rsidRDefault="00652D1F" w:rsidP="00EB3885">
      <w:pPr>
        <w:tabs>
          <w:tab w:val="center" w:pos="4680"/>
        </w:tabs>
      </w:pPr>
    </w:p>
    <w:p w:rsidR="00652D1F" w:rsidRDefault="00652D1F" w:rsidP="00EB3885">
      <w:r w:rsidRPr="002D73B1">
        <w:t xml:space="preserve">B. Kiekebeld en A. van Eijsden, </w:t>
      </w:r>
      <w:r w:rsidRPr="00D45124">
        <w:rPr>
          <w:i/>
        </w:rPr>
        <w:t>Nederlands belastingrecht in Europees perspectief</w:t>
      </w:r>
      <w:r w:rsidRPr="002D73B1">
        <w:t>, Deventer: Kluwer, 2009</w:t>
      </w:r>
    </w:p>
    <w:p w:rsidR="00652D1F" w:rsidRPr="002D73B1" w:rsidRDefault="00652D1F" w:rsidP="00EB3885"/>
    <w:p w:rsidR="00652D1F" w:rsidRPr="002D73B1" w:rsidRDefault="00652D1F" w:rsidP="00EB3885">
      <w:pPr>
        <w:pStyle w:val="Voetnoottekst"/>
        <w:rPr>
          <w:sz w:val="24"/>
          <w:szCs w:val="24"/>
        </w:rPr>
      </w:pPr>
      <w:r w:rsidRPr="002D73B1">
        <w:rPr>
          <w:sz w:val="24"/>
          <w:szCs w:val="24"/>
        </w:rPr>
        <w:t xml:space="preserve">O.C.R. Marres, </w:t>
      </w:r>
      <w:r w:rsidRPr="00D45124">
        <w:rPr>
          <w:i/>
          <w:sz w:val="24"/>
          <w:szCs w:val="24"/>
        </w:rPr>
        <w:t>Winstdrainage door Renteaftrek (beoordeling van artikel 10a Wet op de vennootschapsbelasting),</w:t>
      </w:r>
      <w:r>
        <w:rPr>
          <w:sz w:val="24"/>
          <w:szCs w:val="24"/>
        </w:rPr>
        <w:t xml:space="preserve"> Fiscale Monografieën nr. 113,</w:t>
      </w:r>
      <w:r w:rsidRPr="002D73B1">
        <w:rPr>
          <w:sz w:val="24"/>
          <w:szCs w:val="24"/>
        </w:rPr>
        <w:t xml:space="preserve"> Deventer: Kluwer 2005 </w:t>
      </w:r>
    </w:p>
    <w:p w:rsidR="00652D1F" w:rsidRPr="002D73B1" w:rsidRDefault="00652D1F" w:rsidP="00EB3885">
      <w:pPr>
        <w:pStyle w:val="Voetnoottekst"/>
        <w:rPr>
          <w:sz w:val="24"/>
          <w:szCs w:val="24"/>
        </w:rPr>
      </w:pPr>
    </w:p>
    <w:p w:rsidR="00652D1F" w:rsidRPr="002D73B1" w:rsidRDefault="00652D1F" w:rsidP="00EB3885">
      <w:pPr>
        <w:pStyle w:val="Voetnoottekst"/>
        <w:rPr>
          <w:sz w:val="24"/>
          <w:szCs w:val="24"/>
        </w:rPr>
      </w:pPr>
      <w:r w:rsidRPr="002D73B1">
        <w:rPr>
          <w:sz w:val="24"/>
          <w:szCs w:val="24"/>
        </w:rPr>
        <w:t xml:space="preserve">A.J. van Soest, </w:t>
      </w:r>
      <w:r>
        <w:rPr>
          <w:i/>
          <w:sz w:val="24"/>
          <w:szCs w:val="24"/>
        </w:rPr>
        <w:t>Belastingen, 2007,</w:t>
      </w:r>
      <w:r w:rsidRPr="00D45124">
        <w:rPr>
          <w:i/>
          <w:sz w:val="24"/>
          <w:szCs w:val="24"/>
        </w:rPr>
        <w:t xml:space="preserve"> (Inkomstenbelasting Vennootschapsbelasting Besluit voorkoming dubbele belasting 2001 Nederlands Standaardverdrag belastingen)</w:t>
      </w:r>
      <w:r w:rsidRPr="002D73B1">
        <w:rPr>
          <w:sz w:val="24"/>
          <w:szCs w:val="24"/>
        </w:rPr>
        <w:t xml:space="preserve"> Deventer: Kluwer</w:t>
      </w:r>
    </w:p>
    <w:p w:rsidR="00652D1F" w:rsidRPr="002D73B1" w:rsidRDefault="00652D1F" w:rsidP="00EB3885">
      <w:pPr>
        <w:pStyle w:val="Voetnoottekst"/>
        <w:rPr>
          <w:sz w:val="24"/>
          <w:szCs w:val="24"/>
        </w:rPr>
      </w:pPr>
    </w:p>
    <w:p w:rsidR="00652D1F" w:rsidRPr="002D73B1" w:rsidRDefault="00652D1F" w:rsidP="00EB3885">
      <w:pPr>
        <w:pStyle w:val="Voetnoottekst"/>
        <w:rPr>
          <w:sz w:val="24"/>
          <w:szCs w:val="24"/>
        </w:rPr>
      </w:pPr>
      <w:r w:rsidRPr="002D73B1">
        <w:rPr>
          <w:sz w:val="24"/>
          <w:szCs w:val="24"/>
        </w:rPr>
        <w:t xml:space="preserve">J. van Strien, 2008, </w:t>
      </w:r>
      <w:r w:rsidRPr="00D45124">
        <w:rPr>
          <w:i/>
          <w:sz w:val="24"/>
          <w:szCs w:val="24"/>
        </w:rPr>
        <w:t>Renteaftrekbeperkingen in de vennootschapsbelasting</w:t>
      </w:r>
      <w:r w:rsidRPr="002D73B1">
        <w:rPr>
          <w:sz w:val="24"/>
          <w:szCs w:val="24"/>
        </w:rPr>
        <w:t>, fiscale monografieën nr. 119, Deventer: Kluwer</w:t>
      </w:r>
    </w:p>
    <w:p w:rsidR="00652D1F" w:rsidRPr="002D73B1" w:rsidRDefault="00652D1F" w:rsidP="00EB3885">
      <w:pPr>
        <w:pStyle w:val="Voetnoottekst"/>
        <w:rPr>
          <w:sz w:val="24"/>
          <w:szCs w:val="24"/>
        </w:rPr>
      </w:pPr>
    </w:p>
    <w:p w:rsidR="00652D1F" w:rsidRDefault="00652D1F" w:rsidP="00EB3885">
      <w:r w:rsidRPr="002D73B1">
        <w:t xml:space="preserve">Terra B.J.M. Wattel P.J. Terra, 2008, </w:t>
      </w:r>
      <w:r w:rsidRPr="00D45124">
        <w:rPr>
          <w:i/>
        </w:rPr>
        <w:t>European Tax Law</w:t>
      </w:r>
      <w:r w:rsidRPr="002D73B1">
        <w:t>, student edition, Kluwer</w:t>
      </w:r>
    </w:p>
    <w:p w:rsidR="00652D1F" w:rsidRPr="002D73B1" w:rsidRDefault="00652D1F" w:rsidP="00EB3885"/>
    <w:p w:rsidR="00652D1F" w:rsidRDefault="00652D1F" w:rsidP="00EB3885">
      <w:r>
        <w:t xml:space="preserve"> J. Vleggeert, </w:t>
      </w:r>
      <w:r w:rsidRPr="00D45124">
        <w:rPr>
          <w:i/>
        </w:rPr>
        <w:t>Aftrekbeperkingen in het internationale belastingrecht</w:t>
      </w:r>
      <w:r w:rsidRPr="002D73B1">
        <w:t>, fiscale monografieën nr. 132, 2009, Deventer: Kluwer</w:t>
      </w:r>
    </w:p>
    <w:p w:rsidR="00652D1F" w:rsidRPr="002D73B1" w:rsidRDefault="00652D1F" w:rsidP="00EB3885"/>
    <w:p w:rsidR="00652D1F" w:rsidRDefault="00652D1F" w:rsidP="00EB3885">
      <w:r w:rsidRPr="002D73B1">
        <w:t xml:space="preserve">VS 05 </w:t>
      </w:r>
      <w:r w:rsidRPr="00D45124">
        <w:rPr>
          <w:i/>
        </w:rPr>
        <w:t>Vennootschapsbelasting 1969</w:t>
      </w:r>
    </w:p>
    <w:p w:rsidR="00652D1F" w:rsidRPr="002D73B1" w:rsidRDefault="00652D1F" w:rsidP="00EB3885"/>
    <w:p w:rsidR="00652D1F" w:rsidRDefault="00652D1F" w:rsidP="00EB3885">
      <w:r w:rsidRPr="002D73B1">
        <w:t xml:space="preserve">VS 08 </w:t>
      </w:r>
      <w:r w:rsidRPr="00D45124">
        <w:rPr>
          <w:i/>
        </w:rPr>
        <w:t>Nederlands Internationaal Belastingrecht</w:t>
      </w:r>
    </w:p>
    <w:p w:rsidR="00652D1F" w:rsidRPr="002D73B1" w:rsidRDefault="00652D1F" w:rsidP="00EB3885"/>
    <w:p w:rsidR="00652D1F" w:rsidRDefault="00652D1F" w:rsidP="00EB3885">
      <w:r w:rsidRPr="002D73B1">
        <w:t xml:space="preserve">D.M. Weber, 2003, </w:t>
      </w:r>
      <w:r w:rsidRPr="00D45124">
        <w:rPr>
          <w:i/>
        </w:rPr>
        <w:t>Belastingontwijking en de EG verdragsvrijheden (een onderzoek naar de Europees</w:t>
      </w:r>
      <w:r>
        <w:rPr>
          <w:i/>
        </w:rPr>
        <w:t>rechtelijke</w:t>
      </w:r>
      <w:r w:rsidRPr="00D45124">
        <w:rPr>
          <w:i/>
        </w:rPr>
        <w:t xml:space="preserve"> grenzen van belastingontwijking)</w:t>
      </w:r>
      <w:r w:rsidRPr="002D73B1">
        <w:t xml:space="preserve"> Fiscale monografieën nr. 105, Deventer: Kluwer</w:t>
      </w:r>
    </w:p>
    <w:p w:rsidR="00652D1F" w:rsidRPr="002D73B1" w:rsidRDefault="00652D1F" w:rsidP="00EB3885"/>
    <w:p w:rsidR="00652D1F" w:rsidRDefault="00652D1F" w:rsidP="00EB3885">
      <w:r>
        <w:t xml:space="preserve">J. Wouters, 1996, </w:t>
      </w:r>
      <w:r w:rsidRPr="00D45124">
        <w:rPr>
          <w:i/>
        </w:rPr>
        <w:t>Het Europese vestigingsrecht voor ondernemingen herbekeken</w:t>
      </w:r>
      <w:r w:rsidRPr="002D73B1">
        <w:t>, Ph.D. thesis K.U.Leuven</w:t>
      </w:r>
    </w:p>
    <w:p w:rsidR="00652D1F" w:rsidRDefault="00652D1F" w:rsidP="00EB3885"/>
    <w:p w:rsidR="00652D1F" w:rsidRPr="002D73B1" w:rsidRDefault="00652D1F" w:rsidP="00EB3885"/>
    <w:p w:rsidR="00652D1F" w:rsidRDefault="00652D1F" w:rsidP="00EB3885">
      <w:pPr>
        <w:rPr>
          <w:b/>
        </w:rPr>
      </w:pPr>
    </w:p>
    <w:p w:rsidR="00652D1F" w:rsidRDefault="00652D1F" w:rsidP="00EB3885">
      <w:pPr>
        <w:rPr>
          <w:b/>
        </w:rPr>
      </w:pPr>
    </w:p>
    <w:p w:rsidR="00652D1F" w:rsidRDefault="00652D1F" w:rsidP="00EB3885">
      <w:pPr>
        <w:rPr>
          <w:b/>
        </w:rPr>
      </w:pPr>
    </w:p>
    <w:p w:rsidR="00652D1F" w:rsidRDefault="00652D1F" w:rsidP="00EB3885">
      <w:pPr>
        <w:rPr>
          <w:b/>
        </w:rPr>
      </w:pPr>
    </w:p>
    <w:p w:rsidR="00652D1F" w:rsidRDefault="00D53DCA" w:rsidP="00EB3885">
      <w:pPr>
        <w:rPr>
          <w:b/>
        </w:rPr>
      </w:pPr>
      <w:r>
        <w:rPr>
          <w:b/>
        </w:rPr>
        <w:t>Artikelen</w:t>
      </w:r>
    </w:p>
    <w:p w:rsidR="00652D1F" w:rsidRPr="002D73B1" w:rsidRDefault="00652D1F" w:rsidP="00EB3885">
      <w:pPr>
        <w:rPr>
          <w:b/>
        </w:rPr>
      </w:pPr>
    </w:p>
    <w:p w:rsidR="00652D1F" w:rsidRDefault="00652D1F" w:rsidP="00EB3885">
      <w:pPr>
        <w:pStyle w:val="Voetnoottekst"/>
        <w:rPr>
          <w:sz w:val="24"/>
          <w:szCs w:val="24"/>
        </w:rPr>
      </w:pPr>
      <w:r>
        <w:rPr>
          <w:sz w:val="24"/>
          <w:szCs w:val="24"/>
        </w:rPr>
        <w:t xml:space="preserve"> G.M.R. Blokland,</w:t>
      </w:r>
      <w:r w:rsidRPr="002D73B1">
        <w:rPr>
          <w:sz w:val="24"/>
          <w:szCs w:val="24"/>
        </w:rPr>
        <w:t xml:space="preserve"> </w:t>
      </w:r>
      <w:r w:rsidRPr="006356A9">
        <w:rPr>
          <w:i/>
          <w:sz w:val="24"/>
          <w:szCs w:val="24"/>
        </w:rPr>
        <w:t>Compenserende heffingstoets EU-proof</w:t>
      </w:r>
      <w:r w:rsidRPr="002D73B1">
        <w:rPr>
          <w:sz w:val="24"/>
          <w:szCs w:val="24"/>
        </w:rPr>
        <w:t>, WFR 2005/1125</w:t>
      </w:r>
    </w:p>
    <w:p w:rsidR="00652D1F" w:rsidRPr="002D73B1" w:rsidRDefault="00652D1F" w:rsidP="00EB3885">
      <w:pPr>
        <w:pStyle w:val="Voetnoottekst"/>
        <w:rPr>
          <w:sz w:val="24"/>
          <w:szCs w:val="24"/>
        </w:rPr>
      </w:pPr>
    </w:p>
    <w:p w:rsidR="00652D1F" w:rsidRDefault="00652D1F" w:rsidP="00EB3885">
      <w:r w:rsidRPr="002D73B1">
        <w:t xml:space="preserve"> Dr. R.P.C.W.M. Brandsma en  S.H. Boers, </w:t>
      </w:r>
      <w:r w:rsidRPr="006356A9">
        <w:rPr>
          <w:i/>
        </w:rPr>
        <w:t>De nieuwe bijzin in art. 10a, derde lid Wet VpB 1969</w:t>
      </w:r>
      <w:r w:rsidRPr="002D73B1">
        <w:t>, WFR 2007/1369</w:t>
      </w:r>
    </w:p>
    <w:p w:rsidR="00652D1F" w:rsidRPr="002D73B1" w:rsidRDefault="00652D1F" w:rsidP="00EB3885">
      <w:pPr>
        <w:rPr>
          <w:b/>
          <w:u w:val="single"/>
        </w:rPr>
      </w:pPr>
    </w:p>
    <w:p w:rsidR="00652D1F" w:rsidRDefault="00652D1F" w:rsidP="00EB3885">
      <w:r>
        <w:t xml:space="preserve">Dr. J. Doornebal, </w:t>
      </w:r>
      <w:r w:rsidRPr="006356A9">
        <w:rPr>
          <w:i/>
        </w:rPr>
        <w:t>De opmars van het zakelijkheidscriterium</w:t>
      </w:r>
      <w:r w:rsidRPr="002D73B1">
        <w:t>, TFO 2001/153</w:t>
      </w:r>
    </w:p>
    <w:p w:rsidR="00652D1F" w:rsidRPr="002D73B1" w:rsidRDefault="00652D1F" w:rsidP="00EB3885"/>
    <w:p w:rsidR="00652D1F" w:rsidRDefault="00652D1F" w:rsidP="00EB3885">
      <w:r w:rsidRPr="002D73B1">
        <w:t xml:space="preserve">Douma, </w:t>
      </w:r>
      <w:r w:rsidRPr="006356A9">
        <w:rPr>
          <w:i/>
        </w:rPr>
        <w:t>Het evenredigheidsbeginsel structo sensu als belangenafweging tussen nationale fiscale soevereiniteit en vrij verkeer</w:t>
      </w:r>
      <w:r w:rsidRPr="002D73B1">
        <w:t>, WFR 2007/247</w:t>
      </w:r>
    </w:p>
    <w:p w:rsidR="00652D1F" w:rsidRPr="002D73B1" w:rsidRDefault="00652D1F" w:rsidP="00EB3885"/>
    <w:p w:rsidR="00652D1F" w:rsidRDefault="004B6166" w:rsidP="00EB3885">
      <w:r>
        <w:t xml:space="preserve"> S.E.Faber en J.A.G. van der Geld, “</w:t>
      </w:r>
      <w:r>
        <w:rPr>
          <w:i/>
          <w:iCs/>
        </w:rPr>
        <w:t xml:space="preserve">Het wetsvoorstel tegen winstdrainage en ter versterking van de fiscale </w:t>
      </w:r>
      <w:r w:rsidRPr="00071577">
        <w:t>infrastructuur</w:t>
      </w:r>
      <w:r>
        <w:t xml:space="preserve">”, </w:t>
      </w:r>
      <w:r w:rsidRPr="00071577">
        <w:t>WFR</w:t>
      </w:r>
      <w:r w:rsidRPr="00454805">
        <w:t xml:space="preserve"> 1996/749</w:t>
      </w:r>
    </w:p>
    <w:p w:rsidR="00652D1F" w:rsidRPr="002D73B1" w:rsidRDefault="00652D1F" w:rsidP="00EB3885"/>
    <w:p w:rsidR="00652D1F" w:rsidRDefault="00652D1F" w:rsidP="00EB3885">
      <w:r w:rsidRPr="002D73B1">
        <w:t xml:space="preserve"> A.A. Fase, </w:t>
      </w:r>
      <w:r w:rsidRPr="006356A9">
        <w:rPr>
          <w:i/>
        </w:rPr>
        <w:t>Het rangorde vraagstuk in derdelandenverhoudingen</w:t>
      </w:r>
      <w:r w:rsidRPr="002D73B1">
        <w:t>, WFR 2008/687</w:t>
      </w:r>
    </w:p>
    <w:p w:rsidR="00652D1F" w:rsidRPr="002D73B1" w:rsidRDefault="00652D1F" w:rsidP="00EB3885"/>
    <w:p w:rsidR="00652D1F" w:rsidRDefault="00652D1F" w:rsidP="00EB3885">
      <w:r w:rsidRPr="002D73B1">
        <w:t xml:space="preserve">S.J.C. Hemels en J.W. Rompen, </w:t>
      </w:r>
      <w:r w:rsidRPr="006356A9">
        <w:rPr>
          <w:i/>
        </w:rPr>
        <w:t>Vestiging of kapitaalverkeer: welke vrijheid heeft prioriteit?,</w:t>
      </w:r>
      <w:r w:rsidRPr="002D73B1">
        <w:t xml:space="preserve"> WFR 2010/1058</w:t>
      </w:r>
    </w:p>
    <w:p w:rsidR="00652D1F" w:rsidRPr="002D73B1" w:rsidRDefault="00652D1F" w:rsidP="00EB3885"/>
    <w:p w:rsidR="00652D1F" w:rsidRDefault="00652D1F" w:rsidP="00EB3885">
      <w:r w:rsidRPr="002D73B1">
        <w:t xml:space="preserve"> B.J. Kiekebeld, </w:t>
      </w:r>
      <w:r w:rsidRPr="006356A9">
        <w:rPr>
          <w:i/>
        </w:rPr>
        <w:t>De (on)mogelijkheden van compenserende heffing binnen EU-verband</w:t>
      </w:r>
      <w:r w:rsidRPr="002D73B1">
        <w:t>, WFR 2003/914</w:t>
      </w:r>
    </w:p>
    <w:p w:rsidR="00652D1F" w:rsidRPr="002D73B1" w:rsidRDefault="00652D1F" w:rsidP="00EB3885"/>
    <w:p w:rsidR="00652D1F" w:rsidRDefault="00652D1F" w:rsidP="00EB3885">
      <w:r w:rsidRPr="00D376E4">
        <w:t xml:space="preserve"> B.J. Kiekebeld,  </w:t>
      </w:r>
      <w:r w:rsidRPr="002D73B1">
        <w:t xml:space="preserve">P.F.E.M. Merks en D.S. Smit, </w:t>
      </w:r>
      <w:r w:rsidRPr="006356A9">
        <w:rPr>
          <w:i/>
        </w:rPr>
        <w:t>Cadbury Schweppes: analyse en de gevolgen voor de fiscale behandeling van buitenlandse concernfinanciering onder de huidige Wet VPB 1969</w:t>
      </w:r>
      <w:r>
        <w:t xml:space="preserve">, </w:t>
      </w:r>
      <w:r w:rsidRPr="002D73B1">
        <w:t>WFR 2007/129</w:t>
      </w:r>
    </w:p>
    <w:p w:rsidR="00652D1F" w:rsidRPr="002D73B1" w:rsidRDefault="00652D1F" w:rsidP="00EB3885"/>
    <w:p w:rsidR="00652D1F" w:rsidRDefault="00652D1F" w:rsidP="00EB3885">
      <w:r w:rsidRPr="002D73B1">
        <w:t xml:space="preserve">  M.G.H. van der Kroon, </w:t>
      </w:r>
      <w:r w:rsidRPr="006356A9">
        <w:rPr>
          <w:i/>
        </w:rPr>
        <w:t>het Baarscriterium krijgt invulling</w:t>
      </w:r>
      <w:r w:rsidRPr="002D73B1">
        <w:t>, WFR 2010/229</w:t>
      </w:r>
    </w:p>
    <w:p w:rsidR="00652D1F" w:rsidRPr="002D73B1" w:rsidRDefault="00652D1F" w:rsidP="00EB3885">
      <w:pPr>
        <w:rPr>
          <w:b/>
          <w:u w:val="single"/>
        </w:rPr>
      </w:pPr>
    </w:p>
    <w:p w:rsidR="00652D1F" w:rsidRDefault="00652D1F" w:rsidP="00EB3885">
      <w:r w:rsidRPr="002D73B1">
        <w:t xml:space="preserve">  A. Kruiswijk, </w:t>
      </w:r>
      <w:r w:rsidRPr="006356A9">
        <w:rPr>
          <w:i/>
        </w:rPr>
        <w:t>De winstdrainageregelingen en het leerstuk van de wetsontduikingen</w:t>
      </w:r>
      <w:r w:rsidRPr="002D73B1">
        <w:t xml:space="preserve"> WFR 2002/1501</w:t>
      </w:r>
    </w:p>
    <w:p w:rsidR="00652D1F" w:rsidRPr="002D73B1" w:rsidRDefault="00652D1F" w:rsidP="00EB3885"/>
    <w:p w:rsidR="00652D1F" w:rsidRDefault="00652D1F" w:rsidP="00EB3885">
      <w:pPr>
        <w:pStyle w:val="Voetnoottekst"/>
        <w:rPr>
          <w:sz w:val="24"/>
          <w:szCs w:val="24"/>
        </w:rPr>
      </w:pPr>
      <w:r w:rsidRPr="002D73B1">
        <w:rPr>
          <w:sz w:val="24"/>
          <w:szCs w:val="24"/>
        </w:rPr>
        <w:t xml:space="preserve"> P.J.J.M. Peeters, </w:t>
      </w:r>
      <w:r w:rsidRPr="006356A9">
        <w:rPr>
          <w:i/>
          <w:sz w:val="24"/>
          <w:szCs w:val="24"/>
        </w:rPr>
        <w:t>Meerderheidsdeelnemingen: bestaat er een rangorde tussen art. 43 en art. 56 EG?</w:t>
      </w:r>
      <w:r w:rsidRPr="002D73B1">
        <w:rPr>
          <w:sz w:val="24"/>
          <w:szCs w:val="24"/>
        </w:rPr>
        <w:t xml:space="preserve"> WFR 2007/777</w:t>
      </w:r>
    </w:p>
    <w:p w:rsidR="00652D1F" w:rsidRDefault="00652D1F" w:rsidP="00EB3885">
      <w:pPr>
        <w:pStyle w:val="Voetnoottekst"/>
        <w:rPr>
          <w:sz w:val="24"/>
          <w:szCs w:val="24"/>
        </w:rPr>
      </w:pPr>
    </w:p>
    <w:p w:rsidR="00652D1F" w:rsidRDefault="00652D1F" w:rsidP="00EB3885">
      <w:r w:rsidRPr="002D73B1">
        <w:t xml:space="preserve"> G.H. de Soeten, </w:t>
      </w:r>
      <w:r w:rsidRPr="006356A9">
        <w:rPr>
          <w:i/>
        </w:rPr>
        <w:t>Winstdrainage en fraus legis</w:t>
      </w:r>
      <w:r w:rsidRPr="002D73B1">
        <w:t>, WFR 2003/256</w:t>
      </w:r>
    </w:p>
    <w:p w:rsidR="00652D1F" w:rsidRPr="002D73B1" w:rsidRDefault="00652D1F" w:rsidP="00EB3885"/>
    <w:p w:rsidR="00652D1F" w:rsidRDefault="00652D1F" w:rsidP="00EB3885">
      <w:r w:rsidRPr="002D73B1">
        <w:t xml:space="preserve">  R.J. de Vries, </w:t>
      </w:r>
      <w:r w:rsidRPr="006356A9">
        <w:rPr>
          <w:i/>
        </w:rPr>
        <w:t>Kwaliteit van fiscale rechtsvinding en fiscale regelgeving</w:t>
      </w:r>
      <w:r w:rsidRPr="002D73B1">
        <w:t>, WFR 2010/114</w:t>
      </w:r>
    </w:p>
    <w:p w:rsidR="00652D1F" w:rsidRPr="002D73B1" w:rsidRDefault="00652D1F" w:rsidP="00EB3885"/>
    <w:p w:rsidR="00652D1F" w:rsidRDefault="00652D1F" w:rsidP="00EB3885">
      <w:r w:rsidRPr="00EC18F1">
        <w:rPr>
          <w:lang w:val="de-DE"/>
        </w:rPr>
        <w:t xml:space="preserve">Dr. D.M. Weber, VPB 2007. </w:t>
      </w:r>
      <w:r w:rsidRPr="006356A9">
        <w:rPr>
          <w:i/>
        </w:rPr>
        <w:t>Opruimen van EG-rechtelijke knelpunten</w:t>
      </w:r>
      <w:r w:rsidRPr="002D73B1">
        <w:t>, WFR 2004/1251</w:t>
      </w:r>
    </w:p>
    <w:p w:rsidR="00652D1F" w:rsidRPr="002D73B1" w:rsidRDefault="00652D1F" w:rsidP="00EB3885"/>
    <w:p w:rsidR="00652D1F" w:rsidRDefault="00652D1F" w:rsidP="00EB3885">
      <w:r w:rsidRPr="002D73B1">
        <w:t xml:space="preserve">dr.  A.W. van der Woude, </w:t>
      </w:r>
      <w:r w:rsidRPr="006356A9">
        <w:rPr>
          <w:i/>
        </w:rPr>
        <w:t>EG-rechten, discriminaties en belemmeringen</w:t>
      </w:r>
      <w:r w:rsidRPr="002D73B1">
        <w:t>, WFR 2000/1471</w:t>
      </w:r>
    </w:p>
    <w:p w:rsidR="00652D1F" w:rsidRDefault="00652D1F" w:rsidP="00EB3885"/>
    <w:p w:rsidR="00652D1F" w:rsidRDefault="00652D1F" w:rsidP="00EB3885"/>
    <w:p w:rsidR="00652D1F" w:rsidRDefault="00652D1F" w:rsidP="00EB3885"/>
    <w:p w:rsidR="00652D1F" w:rsidRDefault="00652D1F" w:rsidP="00EB3885"/>
    <w:p w:rsidR="00652D1F" w:rsidRDefault="00652D1F" w:rsidP="00EB3885">
      <w:pPr>
        <w:rPr>
          <w:b/>
        </w:rPr>
      </w:pPr>
      <w:r w:rsidRPr="002D73B1">
        <w:rPr>
          <w:b/>
        </w:rPr>
        <w:t>Wetsgeschiedenis</w:t>
      </w:r>
    </w:p>
    <w:p w:rsidR="00652D1F" w:rsidRPr="002D73B1" w:rsidRDefault="00652D1F" w:rsidP="00EB3885">
      <w:pPr>
        <w:rPr>
          <w:b/>
        </w:rPr>
      </w:pPr>
    </w:p>
    <w:p w:rsidR="00652D1F" w:rsidRDefault="00652D1F" w:rsidP="00EB3885">
      <w:r w:rsidRPr="002D73B1">
        <w:t xml:space="preserve">MvA, </w:t>
      </w:r>
      <w:r w:rsidRPr="006356A9">
        <w:rPr>
          <w:i/>
        </w:rPr>
        <w:t>Kamerstukken II</w:t>
      </w:r>
      <w:r w:rsidRPr="002D73B1">
        <w:t xml:space="preserve"> 1988/89, 20 603</w:t>
      </w:r>
    </w:p>
    <w:p w:rsidR="00652D1F" w:rsidRPr="002D73B1" w:rsidRDefault="00652D1F" w:rsidP="00EB3885">
      <w:pPr>
        <w:rPr>
          <w:b/>
          <w:u w:val="single"/>
        </w:rPr>
      </w:pPr>
    </w:p>
    <w:p w:rsidR="00652D1F" w:rsidRDefault="00652D1F" w:rsidP="00EB3885">
      <w:r w:rsidRPr="002D73B1">
        <w:t xml:space="preserve">MvT, </w:t>
      </w:r>
      <w:r w:rsidRPr="006356A9">
        <w:rPr>
          <w:i/>
        </w:rPr>
        <w:t>Kamerstukken II</w:t>
      </w:r>
      <w:r>
        <w:t xml:space="preserve"> 1995/96, 24 696, nr. 3</w:t>
      </w:r>
    </w:p>
    <w:p w:rsidR="00652D1F" w:rsidRPr="002D73B1" w:rsidRDefault="00652D1F" w:rsidP="00EB3885"/>
    <w:p w:rsidR="00652D1F" w:rsidRDefault="00652D1F" w:rsidP="00EB3885">
      <w:r w:rsidRPr="002D73B1">
        <w:t xml:space="preserve">NV </w:t>
      </w:r>
      <w:r w:rsidRPr="006356A9">
        <w:rPr>
          <w:i/>
        </w:rPr>
        <w:t>Kamerstukken II</w:t>
      </w:r>
      <w:r w:rsidRPr="002D73B1">
        <w:t xml:space="preserve"> 1995/96, 24 696, nr. 5</w:t>
      </w:r>
    </w:p>
    <w:p w:rsidR="00652D1F" w:rsidRDefault="00652D1F" w:rsidP="00EB3885"/>
    <w:p w:rsidR="00652D1F" w:rsidRDefault="00652D1F" w:rsidP="00EB3885">
      <w:r w:rsidRPr="002D73B1">
        <w:t xml:space="preserve">NV </w:t>
      </w:r>
      <w:r w:rsidRPr="006356A9">
        <w:rPr>
          <w:i/>
        </w:rPr>
        <w:t>Kamerstukken II</w:t>
      </w:r>
      <w:r>
        <w:t xml:space="preserve"> 1995/96, 24 696, nr. 8</w:t>
      </w:r>
    </w:p>
    <w:p w:rsidR="00652D1F" w:rsidRPr="002D73B1" w:rsidRDefault="00652D1F" w:rsidP="00EB3885"/>
    <w:p w:rsidR="00652D1F" w:rsidRDefault="00652D1F" w:rsidP="00EB3885">
      <w:r w:rsidRPr="002D73B1">
        <w:t xml:space="preserve">MvT, </w:t>
      </w:r>
      <w:r w:rsidRPr="006356A9">
        <w:rPr>
          <w:i/>
        </w:rPr>
        <w:t>Kamerstukken II</w:t>
      </w:r>
      <w:r w:rsidRPr="002D73B1">
        <w:t xml:space="preserve"> 2005/06, 30572, nr.3</w:t>
      </w:r>
    </w:p>
    <w:p w:rsidR="00652D1F" w:rsidRPr="002D73B1" w:rsidRDefault="00652D1F" w:rsidP="00EB3885"/>
    <w:p w:rsidR="00652D1F" w:rsidRDefault="00652D1F" w:rsidP="00EB3885">
      <w:r w:rsidRPr="002D73B1">
        <w:t xml:space="preserve">NV, </w:t>
      </w:r>
      <w:r w:rsidRPr="006356A9">
        <w:rPr>
          <w:i/>
        </w:rPr>
        <w:t>Kamerstukken II</w:t>
      </w:r>
      <w:r>
        <w:t xml:space="preserve"> 2005/06, 30 572, nr. 8</w:t>
      </w:r>
    </w:p>
    <w:p w:rsidR="00652D1F" w:rsidRPr="002D73B1" w:rsidRDefault="00652D1F" w:rsidP="00EB3885"/>
    <w:p w:rsidR="00652D1F" w:rsidRDefault="00652D1F" w:rsidP="00EB3885">
      <w:r w:rsidRPr="003065BF">
        <w:rPr>
          <w:i/>
        </w:rPr>
        <w:t>Kamerstukken II</w:t>
      </w:r>
      <w:r w:rsidRPr="002D73B1">
        <w:t xml:space="preserve"> 2007/08, 31205, nr.25</w:t>
      </w:r>
    </w:p>
    <w:p w:rsidR="00652D1F" w:rsidRPr="002D73B1" w:rsidRDefault="00652D1F" w:rsidP="00EB3885"/>
    <w:p w:rsidR="00652D1F" w:rsidRDefault="00652D1F" w:rsidP="00EB3885">
      <w:r w:rsidRPr="006356A9">
        <w:rPr>
          <w:i/>
        </w:rPr>
        <w:t>Kamerstukken II</w:t>
      </w:r>
      <w:r w:rsidRPr="002D73B1">
        <w:t xml:space="preserve"> 2007/2008, 31206, nr. 7</w:t>
      </w:r>
    </w:p>
    <w:p w:rsidR="00652D1F" w:rsidRDefault="00652D1F" w:rsidP="00EB3885"/>
    <w:p w:rsidR="00652D1F" w:rsidRPr="002D73B1" w:rsidRDefault="00652D1F" w:rsidP="00EB3885">
      <w:pPr>
        <w:rPr>
          <w:b/>
          <w:u w:val="single"/>
        </w:rPr>
      </w:pPr>
    </w:p>
    <w:p w:rsidR="00652D1F" w:rsidRDefault="00652D1F" w:rsidP="00EB3885">
      <w:pPr>
        <w:rPr>
          <w:b/>
        </w:rPr>
      </w:pPr>
      <w:r w:rsidRPr="002D73B1">
        <w:rPr>
          <w:b/>
        </w:rPr>
        <w:t>Beleid</w:t>
      </w:r>
    </w:p>
    <w:p w:rsidR="00652D1F" w:rsidRPr="002D73B1" w:rsidRDefault="00652D1F" w:rsidP="00EB3885">
      <w:pPr>
        <w:rPr>
          <w:b/>
        </w:rPr>
      </w:pPr>
    </w:p>
    <w:p w:rsidR="00652D1F" w:rsidRDefault="00652D1F" w:rsidP="00EB3885">
      <w:pPr>
        <w:tabs>
          <w:tab w:val="center" w:pos="4680"/>
        </w:tabs>
      </w:pPr>
      <w:r w:rsidRPr="002D73B1">
        <w:t xml:space="preserve">Besluit </w:t>
      </w:r>
      <w:r>
        <w:t xml:space="preserve">Staatssecretaris van Financiën </w:t>
      </w:r>
      <w:r w:rsidRPr="002D73B1">
        <w:t>van 4 april 2001, nr. CPP2001/765M</w:t>
      </w:r>
    </w:p>
    <w:p w:rsidR="00652D1F" w:rsidRPr="002D73B1" w:rsidRDefault="00652D1F" w:rsidP="00EB3885">
      <w:pPr>
        <w:tabs>
          <w:tab w:val="center" w:pos="4680"/>
        </w:tabs>
      </w:pPr>
    </w:p>
    <w:p w:rsidR="00652D1F" w:rsidRDefault="00652D1F" w:rsidP="00EB3885">
      <w:pPr>
        <w:pStyle w:val="Voetnoottekst"/>
        <w:rPr>
          <w:sz w:val="24"/>
          <w:szCs w:val="24"/>
        </w:rPr>
      </w:pPr>
      <w:r w:rsidRPr="002D73B1">
        <w:rPr>
          <w:sz w:val="24"/>
          <w:szCs w:val="24"/>
        </w:rPr>
        <w:t xml:space="preserve">Besluit </w:t>
      </w:r>
      <w:r>
        <w:rPr>
          <w:sz w:val="24"/>
          <w:szCs w:val="24"/>
        </w:rPr>
        <w:t>Staatssecretaris</w:t>
      </w:r>
      <w:r w:rsidRPr="002D73B1">
        <w:rPr>
          <w:sz w:val="24"/>
          <w:szCs w:val="24"/>
        </w:rPr>
        <w:t xml:space="preserve"> van Financiën van 2 november 2001, nr. CPP2001/2359M, BNB 2002/59</w:t>
      </w:r>
    </w:p>
    <w:p w:rsidR="00652D1F" w:rsidRDefault="00652D1F" w:rsidP="00EB3885">
      <w:pPr>
        <w:pStyle w:val="Voetnoottekst"/>
        <w:rPr>
          <w:sz w:val="24"/>
          <w:szCs w:val="24"/>
        </w:rPr>
      </w:pPr>
    </w:p>
    <w:p w:rsidR="00652D1F" w:rsidRDefault="00652D1F" w:rsidP="00EB3885">
      <w:pPr>
        <w:tabs>
          <w:tab w:val="center" w:pos="4680"/>
        </w:tabs>
      </w:pPr>
      <w:r w:rsidRPr="002D73B1">
        <w:t xml:space="preserve">Brief </w:t>
      </w:r>
      <w:r>
        <w:t>Staatssecretaris</w:t>
      </w:r>
      <w:r w:rsidRPr="002D73B1">
        <w:t xml:space="preserve"> van Financiën van 11 december 2001, nr. AFP2001/920</w:t>
      </w:r>
    </w:p>
    <w:p w:rsidR="00652D1F" w:rsidRPr="002D73B1" w:rsidRDefault="00652D1F" w:rsidP="00EB3885">
      <w:pPr>
        <w:tabs>
          <w:tab w:val="center" w:pos="4680"/>
        </w:tabs>
      </w:pPr>
    </w:p>
    <w:p w:rsidR="00652D1F" w:rsidRDefault="00652D1F" w:rsidP="00EB3885">
      <w:pPr>
        <w:tabs>
          <w:tab w:val="center" w:pos="4680"/>
        </w:tabs>
      </w:pPr>
      <w:r w:rsidRPr="002D73B1">
        <w:t xml:space="preserve">Besluit </w:t>
      </w:r>
      <w:r>
        <w:t xml:space="preserve">Staatssecretaris van Financiën </w:t>
      </w:r>
      <w:r w:rsidRPr="002D73B1">
        <w:t>van 6 augustus 2002, nr. CPP2002/737, BNB 2002/59</w:t>
      </w:r>
    </w:p>
    <w:p w:rsidR="00652D1F" w:rsidRPr="002D73B1" w:rsidRDefault="00652D1F" w:rsidP="00EB3885">
      <w:pPr>
        <w:tabs>
          <w:tab w:val="center" w:pos="4680"/>
        </w:tabs>
      </w:pPr>
    </w:p>
    <w:p w:rsidR="00652D1F" w:rsidRDefault="00652D1F" w:rsidP="00EB3885">
      <w:pPr>
        <w:tabs>
          <w:tab w:val="center" w:pos="4680"/>
        </w:tabs>
      </w:pPr>
      <w:r w:rsidRPr="002D73B1">
        <w:t xml:space="preserve">Besluit </w:t>
      </w:r>
      <w:r>
        <w:t xml:space="preserve">Staatssecretaris van Financiën </w:t>
      </w:r>
      <w:r w:rsidRPr="002D73B1">
        <w:t xml:space="preserve">van 17 september 2003, </w:t>
      </w:r>
      <w:r>
        <w:t>nr. CPP 2003/1731M</w:t>
      </w:r>
    </w:p>
    <w:p w:rsidR="00652D1F" w:rsidRPr="002D73B1" w:rsidRDefault="00652D1F" w:rsidP="00EB3885">
      <w:pPr>
        <w:tabs>
          <w:tab w:val="center" w:pos="4680"/>
        </w:tabs>
        <w:rPr>
          <w:b/>
          <w:u w:val="single"/>
        </w:rPr>
      </w:pPr>
    </w:p>
    <w:p w:rsidR="00652D1F" w:rsidRDefault="00652D1F" w:rsidP="00EB3885">
      <w:r w:rsidRPr="002D73B1">
        <w:t xml:space="preserve">Besluit </w:t>
      </w:r>
      <w:r>
        <w:t>Staatssecretaris</w:t>
      </w:r>
      <w:r w:rsidRPr="002D73B1">
        <w:t xml:space="preserve"> van Financi</w:t>
      </w:r>
      <w:r>
        <w:t>ën van 23 december 2005, nr. CPP</w:t>
      </w:r>
      <w:r w:rsidRPr="002D73B1">
        <w:t>2005/2662M, BNB 2006/90</w:t>
      </w:r>
    </w:p>
    <w:p w:rsidR="00652D1F" w:rsidRDefault="00652D1F" w:rsidP="00EB3885"/>
    <w:p w:rsidR="00652D1F" w:rsidRPr="002D73B1" w:rsidRDefault="00652D1F" w:rsidP="00EB3885"/>
    <w:p w:rsidR="00652D1F" w:rsidRDefault="00652D1F" w:rsidP="00EB3885">
      <w:pPr>
        <w:rPr>
          <w:b/>
        </w:rPr>
      </w:pPr>
      <w:r w:rsidRPr="002D73B1">
        <w:rPr>
          <w:b/>
        </w:rPr>
        <w:t>Richtlijnen</w:t>
      </w:r>
    </w:p>
    <w:p w:rsidR="00652D1F" w:rsidRPr="002D73B1" w:rsidRDefault="00652D1F" w:rsidP="00EB3885">
      <w:pPr>
        <w:rPr>
          <w:b/>
        </w:rPr>
      </w:pPr>
    </w:p>
    <w:p w:rsidR="00652D1F" w:rsidRDefault="00652D1F" w:rsidP="00EB3885">
      <w:r w:rsidRPr="002D73B1">
        <w:t>Richtlijn 88/361/EEG van de Raad van 24 Juni 1988 voor de uitvoering van artikel 67 van het Verdrag</w:t>
      </w:r>
    </w:p>
    <w:p w:rsidR="00652D1F" w:rsidRDefault="00652D1F" w:rsidP="00EB3885"/>
    <w:p w:rsidR="00652D1F" w:rsidRDefault="00652D1F" w:rsidP="00EB3885">
      <w:r>
        <w:t>Richtlijn van de Raad van 23 juli 1990, Fusierichtlijn</w:t>
      </w:r>
    </w:p>
    <w:p w:rsidR="00652D1F" w:rsidRDefault="00652D1F" w:rsidP="00EB3885"/>
    <w:p w:rsidR="00652D1F" w:rsidRDefault="00652D1F" w:rsidP="00EB3885"/>
    <w:p w:rsidR="00652D1F" w:rsidRDefault="00652D1F" w:rsidP="00EB3885"/>
    <w:p w:rsidR="00652D1F" w:rsidRDefault="00652D1F" w:rsidP="00EB3885">
      <w:pPr>
        <w:rPr>
          <w:b/>
        </w:rPr>
      </w:pPr>
    </w:p>
    <w:p w:rsidR="00652D1F" w:rsidRDefault="00652D1F" w:rsidP="00EB3885">
      <w:pPr>
        <w:rPr>
          <w:b/>
        </w:rPr>
      </w:pPr>
    </w:p>
    <w:p w:rsidR="00652D1F" w:rsidRPr="006C720F" w:rsidRDefault="00D53DCA" w:rsidP="00EB3885">
      <w:pPr>
        <w:rPr>
          <w:b/>
        </w:rPr>
      </w:pPr>
      <w:r>
        <w:rPr>
          <w:b/>
        </w:rPr>
        <w:t>Jurisprudentie</w:t>
      </w:r>
    </w:p>
    <w:p w:rsidR="00652D1F" w:rsidRPr="006C720F" w:rsidRDefault="00652D1F" w:rsidP="00EB3885">
      <w:pPr>
        <w:rPr>
          <w:b/>
        </w:rPr>
      </w:pPr>
    </w:p>
    <w:p w:rsidR="00652D1F" w:rsidRPr="006C720F" w:rsidRDefault="00652D1F" w:rsidP="00EB3885">
      <w:r>
        <w:t>HvJ EG</w:t>
      </w:r>
      <w:r w:rsidRPr="006C720F">
        <w:t xml:space="preserve"> 16 februari 1978, zaak 61/77 (</w:t>
      </w:r>
      <w:r w:rsidRPr="006C720F">
        <w:rPr>
          <w:i/>
        </w:rPr>
        <w:t>Sea Fisheries Orders II</w:t>
      </w:r>
      <w:r w:rsidRPr="006C720F">
        <w:t>)</w:t>
      </w:r>
    </w:p>
    <w:p w:rsidR="00652D1F" w:rsidRPr="006C720F" w:rsidRDefault="00652D1F" w:rsidP="00EB3885"/>
    <w:p w:rsidR="00652D1F" w:rsidRPr="0022365F" w:rsidRDefault="00652D1F" w:rsidP="00EB3885">
      <w:r>
        <w:t>HvJ EG 20 februari 1979, zaak 120/78 (</w:t>
      </w:r>
      <w:r w:rsidRPr="006906BE">
        <w:rPr>
          <w:i/>
          <w:iCs/>
        </w:rPr>
        <w:t>Cassis de Dijon</w:t>
      </w:r>
      <w:r>
        <w:t>)</w:t>
      </w:r>
    </w:p>
    <w:p w:rsidR="00652D1F" w:rsidRPr="0022365F" w:rsidRDefault="00652D1F" w:rsidP="00EB3885">
      <w:pPr>
        <w:rPr>
          <w:b/>
          <w:u w:val="single"/>
        </w:rPr>
      </w:pPr>
    </w:p>
    <w:p w:rsidR="00652D1F" w:rsidRDefault="00652D1F" w:rsidP="00EB3885">
      <w:r>
        <w:t xml:space="preserve">HvJ EG </w:t>
      </w:r>
      <w:r w:rsidRPr="002D73B1">
        <w:t>7 februari 1979, zaak no. 115/78 (</w:t>
      </w:r>
      <w:r w:rsidRPr="006356A9">
        <w:rPr>
          <w:i/>
        </w:rPr>
        <w:t>Knoors</w:t>
      </w:r>
      <w:r w:rsidRPr="002D73B1">
        <w:t>)</w:t>
      </w:r>
    </w:p>
    <w:p w:rsidR="00652D1F" w:rsidRPr="002D73B1" w:rsidRDefault="00652D1F" w:rsidP="00EB3885">
      <w:pPr>
        <w:rPr>
          <w:b/>
          <w:u w:val="single"/>
        </w:rPr>
      </w:pPr>
    </w:p>
    <w:p w:rsidR="00652D1F" w:rsidRDefault="00652D1F" w:rsidP="00EB3885">
      <w:r>
        <w:t>HvJ EG 27 februari 1980, zaak 68/79 (</w:t>
      </w:r>
      <w:r w:rsidRPr="006356A9">
        <w:rPr>
          <w:i/>
        </w:rPr>
        <w:t>Just</w:t>
      </w:r>
      <w:r w:rsidRPr="002D73B1">
        <w:t>)</w:t>
      </w:r>
    </w:p>
    <w:p w:rsidR="00652D1F" w:rsidRPr="002D73B1" w:rsidRDefault="00652D1F" w:rsidP="00EB3885"/>
    <w:p w:rsidR="00652D1F" w:rsidRDefault="00652D1F" w:rsidP="00EB3885">
      <w:r>
        <w:t>HvJ EG</w:t>
      </w:r>
      <w:r w:rsidRPr="002D73B1">
        <w:t xml:space="preserve"> 21 september 1983, zaak 205 tot 215/82 ( </w:t>
      </w:r>
      <w:r w:rsidRPr="006356A9">
        <w:rPr>
          <w:i/>
        </w:rPr>
        <w:t>Deutsche Milchkontor</w:t>
      </w:r>
      <w:r w:rsidRPr="002D73B1">
        <w:t>)</w:t>
      </w:r>
    </w:p>
    <w:p w:rsidR="00652D1F" w:rsidRPr="002D73B1" w:rsidRDefault="00652D1F" w:rsidP="00EB3885">
      <w:pPr>
        <w:rPr>
          <w:b/>
          <w:u w:val="single"/>
        </w:rPr>
      </w:pPr>
    </w:p>
    <w:p w:rsidR="00652D1F" w:rsidRDefault="00652D1F" w:rsidP="00EB3885">
      <w:r>
        <w:t>HvJ EG</w:t>
      </w:r>
      <w:r w:rsidRPr="002D73B1">
        <w:t xml:space="preserve"> 15 mei 1986, zaak 222/84 (</w:t>
      </w:r>
      <w:r w:rsidRPr="006356A9">
        <w:rPr>
          <w:i/>
        </w:rPr>
        <w:t>Johnston</w:t>
      </w:r>
      <w:r w:rsidRPr="002D73B1">
        <w:t>)</w:t>
      </w:r>
    </w:p>
    <w:p w:rsidR="00652D1F" w:rsidRPr="002D73B1" w:rsidRDefault="00652D1F" w:rsidP="00EB3885">
      <w:pPr>
        <w:rPr>
          <w:b/>
          <w:u w:val="single"/>
        </w:rPr>
      </w:pPr>
    </w:p>
    <w:p w:rsidR="00652D1F" w:rsidRPr="00FD7E6F" w:rsidRDefault="00652D1F" w:rsidP="00EB3885">
      <w:pPr>
        <w:rPr>
          <w:lang w:val="en-US"/>
        </w:rPr>
      </w:pPr>
      <w:r w:rsidRPr="00FD7E6F">
        <w:rPr>
          <w:lang w:val="en-US"/>
        </w:rPr>
        <w:t xml:space="preserve">HvJ EG 27 </w:t>
      </w:r>
      <w:proofErr w:type="gramStart"/>
      <w:r w:rsidRPr="00FD7E6F">
        <w:rPr>
          <w:lang w:val="en-US"/>
        </w:rPr>
        <w:t>september</w:t>
      </w:r>
      <w:proofErr w:type="gramEnd"/>
      <w:r w:rsidRPr="00FD7E6F">
        <w:rPr>
          <w:lang w:val="en-US"/>
        </w:rPr>
        <w:t xml:space="preserve"> 1988, zaak 81/87 (</w:t>
      </w:r>
      <w:r w:rsidRPr="00FD7E6F">
        <w:rPr>
          <w:i/>
          <w:lang w:val="en-US"/>
        </w:rPr>
        <w:t>Daily Mail</w:t>
      </w:r>
      <w:r w:rsidRPr="00FD7E6F">
        <w:rPr>
          <w:lang w:val="en-US"/>
        </w:rPr>
        <w:t>)</w:t>
      </w:r>
    </w:p>
    <w:p w:rsidR="00652D1F" w:rsidRPr="00FD7E6F" w:rsidRDefault="00652D1F" w:rsidP="00EB3885">
      <w:pPr>
        <w:rPr>
          <w:b/>
          <w:u w:val="single"/>
          <w:lang w:val="en-US"/>
        </w:rPr>
      </w:pPr>
    </w:p>
    <w:p w:rsidR="00652D1F" w:rsidRPr="0035059B" w:rsidRDefault="00652D1F" w:rsidP="00EB3885">
      <w:pPr>
        <w:rPr>
          <w:lang w:val="en-US"/>
        </w:rPr>
      </w:pPr>
      <w:r w:rsidRPr="0035059B">
        <w:rPr>
          <w:lang w:val="en-US"/>
        </w:rPr>
        <w:t xml:space="preserve">HR 26 </w:t>
      </w:r>
      <w:proofErr w:type="gramStart"/>
      <w:r w:rsidRPr="0035059B">
        <w:rPr>
          <w:lang w:val="en-US"/>
        </w:rPr>
        <w:t>april</w:t>
      </w:r>
      <w:proofErr w:type="gramEnd"/>
      <w:r w:rsidRPr="0035059B">
        <w:rPr>
          <w:lang w:val="en-US"/>
        </w:rPr>
        <w:t xml:space="preserve"> 1989, BNB 1989/217 </w:t>
      </w:r>
    </w:p>
    <w:p w:rsidR="00652D1F" w:rsidRPr="0035059B" w:rsidRDefault="00652D1F" w:rsidP="00EB3885">
      <w:pPr>
        <w:rPr>
          <w:lang w:val="en-US"/>
        </w:rPr>
      </w:pPr>
    </w:p>
    <w:p w:rsidR="00652D1F" w:rsidRDefault="00652D1F" w:rsidP="00EB3885">
      <w:pPr>
        <w:rPr>
          <w:iCs/>
        </w:rPr>
      </w:pPr>
      <w:r>
        <w:rPr>
          <w:iCs/>
        </w:rPr>
        <w:t xml:space="preserve">HvJ EG </w:t>
      </w:r>
      <w:r w:rsidRPr="002D73B1">
        <w:rPr>
          <w:iCs/>
        </w:rPr>
        <w:t>3 oktober 1990, zaak C-61/89 (</w:t>
      </w:r>
      <w:r w:rsidRPr="006356A9">
        <w:rPr>
          <w:i/>
          <w:iCs/>
        </w:rPr>
        <w:t>Bouchoucha</w:t>
      </w:r>
      <w:r>
        <w:rPr>
          <w:iCs/>
        </w:rPr>
        <w:t>)</w:t>
      </w:r>
      <w:r w:rsidRPr="002D73B1">
        <w:rPr>
          <w:iCs/>
        </w:rPr>
        <w:t xml:space="preserve"> </w:t>
      </w:r>
    </w:p>
    <w:p w:rsidR="00652D1F" w:rsidRPr="002D73B1" w:rsidRDefault="00652D1F" w:rsidP="00EB3885"/>
    <w:p w:rsidR="00652D1F" w:rsidRDefault="00652D1F" w:rsidP="00EB3885">
      <w:r>
        <w:t>HvJ EG</w:t>
      </w:r>
      <w:r w:rsidRPr="002D73B1">
        <w:t xml:space="preserve"> 20 juni 1991, zaak c-60/90 (</w:t>
      </w:r>
      <w:r w:rsidRPr="006356A9">
        <w:rPr>
          <w:i/>
        </w:rPr>
        <w:t>Polysar</w:t>
      </w:r>
      <w:r>
        <w:t>)</w:t>
      </w:r>
    </w:p>
    <w:p w:rsidR="00652D1F" w:rsidRDefault="00652D1F" w:rsidP="00EB3885"/>
    <w:p w:rsidR="00652D1F" w:rsidRDefault="00652D1F" w:rsidP="00EB3885">
      <w:r>
        <w:t>HvJ EG 25 juli 1991, zaak C-221/89 (Factortame II)</w:t>
      </w:r>
    </w:p>
    <w:p w:rsidR="00652D1F" w:rsidRPr="002D73B1" w:rsidRDefault="00652D1F" w:rsidP="00EB3885"/>
    <w:p w:rsidR="00652D1F" w:rsidRDefault="00652D1F" w:rsidP="00EB3885">
      <w:r w:rsidRPr="002D73B1">
        <w:t>HR</w:t>
      </w:r>
      <w:r>
        <w:t xml:space="preserve"> </w:t>
      </w:r>
      <w:r w:rsidRPr="002D73B1">
        <w:t xml:space="preserve">10 maart 1993, BNB 1993/196 </w:t>
      </w:r>
    </w:p>
    <w:p w:rsidR="00652D1F" w:rsidRPr="002D73B1" w:rsidRDefault="00652D1F" w:rsidP="00EB3885"/>
    <w:p w:rsidR="00652D1F" w:rsidRPr="002D73B1" w:rsidRDefault="00652D1F" w:rsidP="00EB3885">
      <w:r>
        <w:t>HvJ EG</w:t>
      </w:r>
      <w:r w:rsidRPr="002D73B1">
        <w:t xml:space="preserve"> 24 maart 1994, zaak C-275/92 (</w:t>
      </w:r>
      <w:r w:rsidRPr="006356A9">
        <w:rPr>
          <w:i/>
        </w:rPr>
        <w:t>Schindler),</w:t>
      </w:r>
    </w:p>
    <w:p w:rsidR="00652D1F" w:rsidRPr="00D376E4" w:rsidRDefault="00652D1F" w:rsidP="00EB3885">
      <w:pPr>
        <w:spacing w:before="240"/>
        <w:rPr>
          <w:lang w:val="de-DE"/>
        </w:rPr>
      </w:pPr>
      <w:r w:rsidRPr="00D376E4">
        <w:rPr>
          <w:lang w:val="de-DE"/>
        </w:rPr>
        <w:t>HvJ EG 14 februari 1995, zaak C-279/93 (</w:t>
      </w:r>
      <w:r w:rsidRPr="00D376E4">
        <w:rPr>
          <w:i/>
          <w:lang w:val="de-DE"/>
        </w:rPr>
        <w:t>Schumacker</w:t>
      </w:r>
      <w:r w:rsidRPr="00D376E4">
        <w:rPr>
          <w:lang w:val="de-DE"/>
        </w:rPr>
        <w:t>)</w:t>
      </w:r>
    </w:p>
    <w:p w:rsidR="00652D1F" w:rsidRPr="00D376E4" w:rsidRDefault="00652D1F" w:rsidP="00EB3885">
      <w:pPr>
        <w:rPr>
          <w:lang w:val="de-DE"/>
        </w:rPr>
      </w:pPr>
    </w:p>
    <w:p w:rsidR="00652D1F" w:rsidRDefault="00652D1F" w:rsidP="00EB3885">
      <w:r>
        <w:t>HvJ EG 10 mei 1995, zaak C-384/93 (</w:t>
      </w:r>
      <w:r w:rsidRPr="006356A9">
        <w:rPr>
          <w:i/>
        </w:rPr>
        <w:t>Alpine</w:t>
      </w:r>
      <w:r>
        <w:t xml:space="preserve"> </w:t>
      </w:r>
      <w:r w:rsidRPr="006356A9">
        <w:rPr>
          <w:i/>
        </w:rPr>
        <w:t>Investments</w:t>
      </w:r>
      <w:r>
        <w:t>)</w:t>
      </w:r>
    </w:p>
    <w:p w:rsidR="00652D1F" w:rsidRDefault="00652D1F" w:rsidP="00EB3885"/>
    <w:p w:rsidR="00652D1F" w:rsidRPr="002D73B1" w:rsidRDefault="00652D1F" w:rsidP="00EB3885">
      <w:r w:rsidRPr="0022365F">
        <w:t>HR 23 augustus 1995, BNB 1996/5</w:t>
      </w:r>
    </w:p>
    <w:p w:rsidR="00652D1F" w:rsidRDefault="00652D1F" w:rsidP="00EB3885"/>
    <w:p w:rsidR="00652D1F" w:rsidRDefault="00652D1F" w:rsidP="00EB3885">
      <w:r w:rsidRPr="002D73B1">
        <w:t>HR 6 september 1995, BNB 1996/4*c</w:t>
      </w:r>
    </w:p>
    <w:p w:rsidR="00652D1F" w:rsidRPr="002D73B1" w:rsidRDefault="00652D1F" w:rsidP="00EB3885"/>
    <w:p w:rsidR="00652D1F" w:rsidRDefault="00652D1F" w:rsidP="00EB3885">
      <w:r>
        <w:t xml:space="preserve">HvJ EG </w:t>
      </w:r>
      <w:r w:rsidRPr="002D73B1">
        <w:t>30 november 1995, zaak C-55/94 (</w:t>
      </w:r>
      <w:r w:rsidRPr="006356A9">
        <w:rPr>
          <w:i/>
        </w:rPr>
        <w:t>Gebhard</w:t>
      </w:r>
      <w:r>
        <w:t>)</w:t>
      </w:r>
    </w:p>
    <w:p w:rsidR="00652D1F" w:rsidRPr="002D73B1" w:rsidRDefault="00652D1F" w:rsidP="00EB3885"/>
    <w:p w:rsidR="00652D1F" w:rsidRPr="002D73B1" w:rsidRDefault="00652D1F" w:rsidP="00EB3885">
      <w:pPr>
        <w:pStyle w:val="Voetnoottekst"/>
        <w:rPr>
          <w:sz w:val="24"/>
          <w:szCs w:val="24"/>
        </w:rPr>
      </w:pPr>
      <w:r>
        <w:rPr>
          <w:sz w:val="24"/>
          <w:szCs w:val="24"/>
        </w:rPr>
        <w:t>HvJ EG</w:t>
      </w:r>
      <w:r w:rsidRPr="002D73B1">
        <w:rPr>
          <w:sz w:val="24"/>
          <w:szCs w:val="24"/>
        </w:rPr>
        <w:t xml:space="preserve"> 1</w:t>
      </w:r>
      <w:r>
        <w:rPr>
          <w:sz w:val="24"/>
          <w:szCs w:val="24"/>
        </w:rPr>
        <w:t>5 december 1995, zaak C-415/93 (</w:t>
      </w:r>
      <w:r w:rsidRPr="006356A9">
        <w:rPr>
          <w:i/>
          <w:sz w:val="24"/>
          <w:szCs w:val="24"/>
        </w:rPr>
        <w:t>Bosman</w:t>
      </w:r>
      <w:r w:rsidRPr="002D73B1">
        <w:rPr>
          <w:sz w:val="24"/>
          <w:szCs w:val="24"/>
        </w:rPr>
        <w:t>)</w:t>
      </w:r>
    </w:p>
    <w:p w:rsidR="00652D1F" w:rsidRDefault="00652D1F" w:rsidP="00EB3885">
      <w:pPr>
        <w:spacing w:before="240"/>
      </w:pPr>
      <w:r>
        <w:t>HvJ EG</w:t>
      </w:r>
      <w:r w:rsidRPr="002D73B1">
        <w:t xml:space="preserve"> 8 februari 1996, zaak C-212/96 (</w:t>
      </w:r>
      <w:r w:rsidRPr="006356A9">
        <w:rPr>
          <w:i/>
        </w:rPr>
        <w:t>FMC</w:t>
      </w:r>
      <w:r>
        <w:t>)</w:t>
      </w:r>
    </w:p>
    <w:p w:rsidR="00652D1F" w:rsidRDefault="00652D1F" w:rsidP="00EB3885"/>
    <w:p w:rsidR="00652D1F" w:rsidRDefault="00652D1F" w:rsidP="00EB3885">
      <w:r>
        <w:t>HvJ EG</w:t>
      </w:r>
      <w:r w:rsidRPr="002D73B1">
        <w:t xml:space="preserve"> 17 juli 1997, zaak C28/95 (</w:t>
      </w:r>
      <w:r w:rsidRPr="006356A9">
        <w:rPr>
          <w:i/>
        </w:rPr>
        <w:t>Leur</w:t>
      </w:r>
      <w:r w:rsidRPr="002D73B1">
        <w:t xml:space="preserve"> </w:t>
      </w:r>
      <w:r w:rsidRPr="006356A9">
        <w:rPr>
          <w:i/>
        </w:rPr>
        <w:t>Bloem</w:t>
      </w:r>
      <w:r>
        <w:t>)</w:t>
      </w:r>
      <w:r w:rsidRPr="002D73B1">
        <w:t xml:space="preserve"> </w:t>
      </w:r>
    </w:p>
    <w:p w:rsidR="00652D1F" w:rsidRPr="002D73B1" w:rsidRDefault="00652D1F" w:rsidP="00EB3885"/>
    <w:p w:rsidR="00652D1F" w:rsidRDefault="00652D1F" w:rsidP="00EB3885">
      <w:pPr>
        <w:pStyle w:val="Voetnoottekst"/>
        <w:rPr>
          <w:sz w:val="24"/>
          <w:szCs w:val="24"/>
        </w:rPr>
      </w:pPr>
      <w:r>
        <w:rPr>
          <w:sz w:val="24"/>
          <w:szCs w:val="24"/>
        </w:rPr>
        <w:t>HvJ EG</w:t>
      </w:r>
      <w:r w:rsidRPr="002D73B1">
        <w:rPr>
          <w:sz w:val="24"/>
          <w:szCs w:val="24"/>
        </w:rPr>
        <w:t xml:space="preserve"> 16 juli 1998, zaak C-264/96 (</w:t>
      </w:r>
      <w:r w:rsidRPr="006356A9">
        <w:rPr>
          <w:i/>
          <w:sz w:val="24"/>
          <w:szCs w:val="24"/>
        </w:rPr>
        <w:t>ICI</w:t>
      </w:r>
      <w:r w:rsidRPr="002D73B1">
        <w:rPr>
          <w:sz w:val="24"/>
          <w:szCs w:val="24"/>
        </w:rPr>
        <w:t>)</w:t>
      </w:r>
    </w:p>
    <w:p w:rsidR="00652D1F" w:rsidRPr="002D73B1" w:rsidRDefault="00652D1F" w:rsidP="00EB3885">
      <w:pPr>
        <w:pStyle w:val="Voetnoottekst"/>
        <w:rPr>
          <w:sz w:val="24"/>
          <w:szCs w:val="24"/>
        </w:rPr>
      </w:pPr>
    </w:p>
    <w:p w:rsidR="00652D1F" w:rsidRDefault="00652D1F" w:rsidP="00EB3885">
      <w:r>
        <w:t>HvJ EG</w:t>
      </w:r>
      <w:r w:rsidRPr="002D73B1">
        <w:t xml:space="preserve"> 9 maart 1999, zaak C-212/97 (</w:t>
      </w:r>
      <w:r w:rsidRPr="006356A9">
        <w:rPr>
          <w:i/>
        </w:rPr>
        <w:t>Centros</w:t>
      </w:r>
      <w:r w:rsidRPr="002D73B1">
        <w:t>)</w:t>
      </w:r>
    </w:p>
    <w:p w:rsidR="00652D1F" w:rsidRDefault="00652D1F" w:rsidP="00EB3885"/>
    <w:p w:rsidR="00652D1F" w:rsidRDefault="00652D1F" w:rsidP="00EB3885">
      <w:pPr>
        <w:rPr>
          <w:lang w:val="en-US"/>
        </w:rPr>
      </w:pPr>
      <w:r>
        <w:rPr>
          <w:lang w:val="en-US"/>
        </w:rPr>
        <w:t>HvJ EG</w:t>
      </w:r>
      <w:r w:rsidRPr="00A22A52">
        <w:rPr>
          <w:lang w:val="en-US"/>
        </w:rPr>
        <w:t xml:space="preserve"> 29 </w:t>
      </w:r>
      <w:proofErr w:type="gramStart"/>
      <w:r w:rsidRPr="00A22A52">
        <w:rPr>
          <w:lang w:val="en-US"/>
        </w:rPr>
        <w:t>april</w:t>
      </w:r>
      <w:proofErr w:type="gramEnd"/>
      <w:r w:rsidRPr="00A22A52">
        <w:rPr>
          <w:lang w:val="en-US"/>
        </w:rPr>
        <w:t xml:space="preserve"> 1999, zaak C-311/97 (</w:t>
      </w:r>
      <w:r w:rsidRPr="006356A9">
        <w:rPr>
          <w:i/>
          <w:lang w:val="en-US"/>
        </w:rPr>
        <w:t>Royal</w:t>
      </w:r>
      <w:r w:rsidRPr="00A22A52">
        <w:rPr>
          <w:lang w:val="en-US"/>
        </w:rPr>
        <w:t xml:space="preserve"> </w:t>
      </w:r>
      <w:r w:rsidRPr="006356A9">
        <w:rPr>
          <w:i/>
          <w:lang w:val="en-US"/>
        </w:rPr>
        <w:t>Bank</w:t>
      </w:r>
      <w:r w:rsidRPr="00A22A52">
        <w:rPr>
          <w:lang w:val="en-US"/>
        </w:rPr>
        <w:t xml:space="preserve"> </w:t>
      </w:r>
      <w:r w:rsidRPr="006356A9">
        <w:rPr>
          <w:i/>
          <w:lang w:val="en-US"/>
        </w:rPr>
        <w:t>of</w:t>
      </w:r>
      <w:r w:rsidRPr="00A22A52">
        <w:rPr>
          <w:lang w:val="en-US"/>
        </w:rPr>
        <w:t xml:space="preserve"> </w:t>
      </w:r>
      <w:r w:rsidRPr="006356A9">
        <w:rPr>
          <w:i/>
          <w:lang w:val="en-US"/>
        </w:rPr>
        <w:t>Scotland</w:t>
      </w:r>
      <w:r w:rsidRPr="00A22A52">
        <w:rPr>
          <w:lang w:val="en-US"/>
        </w:rPr>
        <w:t>),</w:t>
      </w:r>
    </w:p>
    <w:p w:rsidR="00652D1F" w:rsidRDefault="00652D1F" w:rsidP="00EB3885">
      <w:pPr>
        <w:rPr>
          <w:lang w:val="en-US"/>
        </w:rPr>
      </w:pPr>
    </w:p>
    <w:p w:rsidR="00652D1F" w:rsidRPr="0023506C" w:rsidRDefault="00652D1F" w:rsidP="00EB3885">
      <w:r>
        <w:t>HR 30 juni 1999, BNB 1999/323</w:t>
      </w:r>
    </w:p>
    <w:p w:rsidR="00652D1F" w:rsidRPr="0023506C" w:rsidRDefault="00652D1F" w:rsidP="00EB3885"/>
    <w:p w:rsidR="00652D1F" w:rsidRDefault="00652D1F" w:rsidP="00EB3885">
      <w:r>
        <w:t>HvJ EG 8 juli 1999,</w:t>
      </w:r>
      <w:r w:rsidRPr="00A22A52">
        <w:t xml:space="preserve"> zaak C-254/97 (</w:t>
      </w:r>
      <w:r w:rsidRPr="006356A9">
        <w:rPr>
          <w:i/>
        </w:rPr>
        <w:t>Baxter</w:t>
      </w:r>
      <w:r w:rsidRPr="00A22A52">
        <w:t>)</w:t>
      </w:r>
    </w:p>
    <w:p w:rsidR="00652D1F" w:rsidRDefault="00652D1F" w:rsidP="00EB3885"/>
    <w:p w:rsidR="00652D1F" w:rsidRDefault="00652D1F" w:rsidP="00EB3885">
      <w:r>
        <w:t>HvJ EG</w:t>
      </w:r>
      <w:r w:rsidRPr="0035059B">
        <w:t>, 14 september 1999, (</w:t>
      </w:r>
      <w:r w:rsidRPr="0035059B">
        <w:rPr>
          <w:i/>
          <w:iCs/>
        </w:rPr>
        <w:t>Gschwind</w:t>
      </w:r>
      <w:r w:rsidRPr="0035059B">
        <w:t>)</w:t>
      </w:r>
    </w:p>
    <w:p w:rsidR="00652D1F" w:rsidRPr="00A22A52" w:rsidRDefault="00652D1F" w:rsidP="00EB3885"/>
    <w:p w:rsidR="00652D1F" w:rsidRDefault="00652D1F" w:rsidP="00EB3885">
      <w:r>
        <w:t xml:space="preserve">HvJ EG </w:t>
      </w:r>
      <w:r w:rsidRPr="002D73B1">
        <w:t>21 september 1999, zaak C-441/98 (</w:t>
      </w:r>
      <w:r w:rsidRPr="006356A9">
        <w:rPr>
          <w:i/>
        </w:rPr>
        <w:t>Kapniki</w:t>
      </w:r>
      <w:r w:rsidRPr="002D73B1">
        <w:t xml:space="preserve"> </w:t>
      </w:r>
      <w:r w:rsidRPr="006356A9">
        <w:rPr>
          <w:i/>
        </w:rPr>
        <w:t>Michailidis</w:t>
      </w:r>
      <w:r w:rsidRPr="002D73B1">
        <w:t>)</w:t>
      </w:r>
    </w:p>
    <w:p w:rsidR="00652D1F" w:rsidRPr="002D73B1" w:rsidRDefault="00652D1F" w:rsidP="00EB3885"/>
    <w:p w:rsidR="00652D1F" w:rsidRDefault="00652D1F" w:rsidP="00EB3885">
      <w:r>
        <w:t>HvJ EG</w:t>
      </w:r>
      <w:r w:rsidRPr="002D73B1">
        <w:t xml:space="preserve"> 26 oktober 1999, zaak C-294/97 (</w:t>
      </w:r>
      <w:r w:rsidRPr="006356A9">
        <w:rPr>
          <w:i/>
        </w:rPr>
        <w:t>Eurowings</w:t>
      </w:r>
      <w:r w:rsidRPr="002D73B1">
        <w:t xml:space="preserve"> </w:t>
      </w:r>
      <w:r w:rsidRPr="006356A9">
        <w:rPr>
          <w:i/>
        </w:rPr>
        <w:t>Luftverkehr</w:t>
      </w:r>
      <w:r w:rsidRPr="002D73B1">
        <w:t>)</w:t>
      </w:r>
    </w:p>
    <w:p w:rsidR="00652D1F" w:rsidRPr="002D73B1" w:rsidRDefault="00652D1F" w:rsidP="00EB3885"/>
    <w:p w:rsidR="00652D1F" w:rsidRDefault="00652D1F" w:rsidP="00EB3885">
      <w:r>
        <w:t>HvJ EG</w:t>
      </w:r>
      <w:r w:rsidRPr="002D73B1">
        <w:t>, 28 oktober 1999, zaak C-55/98 (</w:t>
      </w:r>
      <w:r w:rsidRPr="006356A9">
        <w:rPr>
          <w:i/>
        </w:rPr>
        <w:t>Vestergaard</w:t>
      </w:r>
      <w:r>
        <w:t>)</w:t>
      </w:r>
    </w:p>
    <w:p w:rsidR="00652D1F" w:rsidRPr="002D73B1" w:rsidRDefault="00652D1F" w:rsidP="00EB3885"/>
    <w:p w:rsidR="00652D1F" w:rsidRDefault="00652D1F" w:rsidP="00EB3885">
      <w:r>
        <w:t xml:space="preserve">HvJ EG </w:t>
      </w:r>
      <w:r w:rsidRPr="002D73B1">
        <w:t>13 ap</w:t>
      </w:r>
      <w:r>
        <w:t>ril 2000, zaak C-251/98 (</w:t>
      </w:r>
      <w:r w:rsidRPr="006356A9">
        <w:rPr>
          <w:i/>
        </w:rPr>
        <w:t>Baars</w:t>
      </w:r>
      <w:r>
        <w:t>)</w:t>
      </w:r>
    </w:p>
    <w:p w:rsidR="00652D1F" w:rsidRDefault="00652D1F" w:rsidP="00EB3885"/>
    <w:p w:rsidR="00652D1F" w:rsidRDefault="00652D1F" w:rsidP="00C60ECB">
      <w:r>
        <w:t>HvJ EG, 6 juni 2000, (</w:t>
      </w:r>
      <w:r>
        <w:rPr>
          <w:i/>
          <w:iCs/>
        </w:rPr>
        <w:t>Verkooijen</w:t>
      </w:r>
      <w:r>
        <w:t>)</w:t>
      </w:r>
    </w:p>
    <w:p w:rsidR="00652D1F" w:rsidRPr="002D73B1" w:rsidRDefault="00652D1F" w:rsidP="00EB3885"/>
    <w:p w:rsidR="00652D1F" w:rsidRDefault="00652D1F" w:rsidP="00EB3885">
      <w:r>
        <w:t xml:space="preserve">HvJ EG </w:t>
      </w:r>
      <w:r w:rsidRPr="002D73B1">
        <w:t>1</w:t>
      </w:r>
      <w:r>
        <w:t xml:space="preserve">2 december 2000, zaak C-324/00 </w:t>
      </w:r>
      <w:r w:rsidRPr="002D73B1">
        <w:t>(</w:t>
      </w:r>
      <w:r w:rsidRPr="006356A9">
        <w:rPr>
          <w:i/>
        </w:rPr>
        <w:t>Lankhorst</w:t>
      </w:r>
      <w:r w:rsidRPr="002D73B1">
        <w:t xml:space="preserve"> </w:t>
      </w:r>
      <w:r w:rsidRPr="006356A9">
        <w:rPr>
          <w:i/>
        </w:rPr>
        <w:t>Hohorst</w:t>
      </w:r>
      <w:r w:rsidRPr="002D73B1">
        <w:t>)</w:t>
      </w:r>
    </w:p>
    <w:p w:rsidR="00652D1F" w:rsidRPr="002D73B1" w:rsidRDefault="00652D1F" w:rsidP="00EB3885"/>
    <w:p w:rsidR="00652D1F" w:rsidRDefault="00652D1F" w:rsidP="00EB3885">
      <w:r>
        <w:t>HvJ EG</w:t>
      </w:r>
      <w:r w:rsidRPr="002D73B1">
        <w:t xml:space="preserve"> 14 december 2000, zaak c-110/99 (</w:t>
      </w:r>
      <w:r w:rsidRPr="006356A9">
        <w:rPr>
          <w:i/>
        </w:rPr>
        <w:t>Emsland</w:t>
      </w:r>
      <w:r w:rsidRPr="002D73B1">
        <w:t xml:space="preserve"> </w:t>
      </w:r>
      <w:r w:rsidRPr="006356A9">
        <w:rPr>
          <w:i/>
        </w:rPr>
        <w:t>Starke</w:t>
      </w:r>
      <w:r>
        <w:t>)</w:t>
      </w:r>
      <w:r w:rsidRPr="002D73B1">
        <w:t xml:space="preserve"> </w:t>
      </w:r>
    </w:p>
    <w:p w:rsidR="00652D1F" w:rsidRPr="002D73B1" w:rsidRDefault="00652D1F" w:rsidP="00EB3885">
      <w:r w:rsidRPr="002D73B1">
        <w:t xml:space="preserve"> </w:t>
      </w:r>
    </w:p>
    <w:p w:rsidR="00652D1F" w:rsidRDefault="00652D1F" w:rsidP="00EB3885">
      <w:r>
        <w:t>HvJ EG</w:t>
      </w:r>
      <w:r w:rsidRPr="002D73B1">
        <w:t xml:space="preserve"> 14 juni 2001, zaak C-191/99</w:t>
      </w:r>
      <w:r>
        <w:t xml:space="preserve"> (</w:t>
      </w:r>
      <w:r w:rsidRPr="006356A9">
        <w:rPr>
          <w:i/>
        </w:rPr>
        <w:t>Kvaerner</w:t>
      </w:r>
      <w:r>
        <w:t>)</w:t>
      </w:r>
    </w:p>
    <w:p w:rsidR="00652D1F" w:rsidRPr="002D73B1" w:rsidRDefault="00652D1F" w:rsidP="00EB3885">
      <w:r w:rsidRPr="002D73B1">
        <w:t xml:space="preserve"> </w:t>
      </w:r>
    </w:p>
    <w:p w:rsidR="00652D1F" w:rsidRPr="00EC18F1" w:rsidRDefault="00652D1F" w:rsidP="00EB3885">
      <w:pPr>
        <w:rPr>
          <w:lang w:val="de-DE"/>
        </w:rPr>
      </w:pPr>
      <w:r>
        <w:rPr>
          <w:lang w:val="de-DE"/>
        </w:rPr>
        <w:t>HvJ EG</w:t>
      </w:r>
      <w:r w:rsidRPr="00EC18F1">
        <w:rPr>
          <w:lang w:val="de-DE"/>
        </w:rPr>
        <w:t xml:space="preserve"> 3 augustus 2001, zaak C-410/98 (</w:t>
      </w:r>
      <w:r w:rsidRPr="00EC18F1">
        <w:rPr>
          <w:i/>
          <w:lang w:val="de-DE"/>
        </w:rPr>
        <w:t>Metallgesellschaft</w:t>
      </w:r>
      <w:r w:rsidRPr="00EC18F1">
        <w:rPr>
          <w:lang w:val="de-DE"/>
        </w:rPr>
        <w:t>)</w:t>
      </w:r>
    </w:p>
    <w:p w:rsidR="00652D1F" w:rsidRPr="00EC18F1" w:rsidRDefault="00652D1F" w:rsidP="00EB3885">
      <w:pPr>
        <w:rPr>
          <w:lang w:val="de-DE"/>
        </w:rPr>
      </w:pPr>
    </w:p>
    <w:p w:rsidR="00652D1F" w:rsidRDefault="00652D1F" w:rsidP="00EB3885">
      <w:r>
        <w:t>HvJ EG</w:t>
      </w:r>
      <w:r w:rsidRPr="002D73B1">
        <w:t xml:space="preserve"> 22 januari 2002, zaak C-390/99 (</w:t>
      </w:r>
      <w:r w:rsidRPr="006356A9">
        <w:rPr>
          <w:i/>
        </w:rPr>
        <w:t>Canal</w:t>
      </w:r>
      <w:r w:rsidRPr="002D73B1">
        <w:t xml:space="preserve"> </w:t>
      </w:r>
      <w:r w:rsidRPr="006356A9">
        <w:rPr>
          <w:i/>
        </w:rPr>
        <w:t>Satelite</w:t>
      </w:r>
      <w:r w:rsidRPr="002D73B1">
        <w:t xml:space="preserve"> </w:t>
      </w:r>
      <w:r w:rsidRPr="006356A9">
        <w:rPr>
          <w:i/>
        </w:rPr>
        <w:t>Digital</w:t>
      </w:r>
      <w:r w:rsidRPr="002D73B1">
        <w:t>)</w:t>
      </w:r>
    </w:p>
    <w:p w:rsidR="00652D1F" w:rsidRPr="002D73B1" w:rsidRDefault="00652D1F" w:rsidP="00EB3885"/>
    <w:p w:rsidR="00652D1F" w:rsidRDefault="00652D1F" w:rsidP="00EB3885">
      <w:r w:rsidRPr="002D73B1">
        <w:t>Hof Amsterdam, 30 januari 2002, VN 2002/20.10</w:t>
      </w:r>
    </w:p>
    <w:p w:rsidR="00652D1F" w:rsidRPr="002D73B1" w:rsidRDefault="00652D1F" w:rsidP="00EB3885"/>
    <w:p w:rsidR="00652D1F" w:rsidRDefault="00652D1F" w:rsidP="00EB3885">
      <w:r>
        <w:t>HvJ EG</w:t>
      </w:r>
      <w:r w:rsidRPr="002D73B1">
        <w:t xml:space="preserve"> 5 </w:t>
      </w:r>
      <w:r>
        <w:t>november 2002, zaak C-208/00 (</w:t>
      </w:r>
      <w:r w:rsidRPr="006356A9">
        <w:rPr>
          <w:i/>
        </w:rPr>
        <w:t>Überseering</w:t>
      </w:r>
      <w:r>
        <w:t>)</w:t>
      </w:r>
    </w:p>
    <w:p w:rsidR="00652D1F" w:rsidRPr="002D73B1" w:rsidRDefault="00652D1F" w:rsidP="00EB3885"/>
    <w:p w:rsidR="00652D1F" w:rsidRDefault="00652D1F" w:rsidP="00EB3885">
      <w:r>
        <w:t>HvJ EG</w:t>
      </w:r>
      <w:r w:rsidRPr="002D73B1">
        <w:t xml:space="preserve"> 21 november 2002, zaak C-436/00 (</w:t>
      </w:r>
      <w:r w:rsidRPr="006356A9">
        <w:rPr>
          <w:i/>
        </w:rPr>
        <w:t>X</w:t>
      </w:r>
      <w:r w:rsidRPr="002D73B1">
        <w:t xml:space="preserve"> </w:t>
      </w:r>
      <w:r w:rsidRPr="006356A9">
        <w:rPr>
          <w:i/>
        </w:rPr>
        <w:t>en</w:t>
      </w:r>
      <w:r w:rsidRPr="002D73B1">
        <w:t xml:space="preserve"> </w:t>
      </w:r>
      <w:r w:rsidRPr="006356A9">
        <w:rPr>
          <w:i/>
        </w:rPr>
        <w:t>Y</w:t>
      </w:r>
      <w:r w:rsidRPr="002D73B1">
        <w:t>)</w:t>
      </w:r>
    </w:p>
    <w:p w:rsidR="00652D1F" w:rsidRPr="002D73B1" w:rsidRDefault="00652D1F" w:rsidP="00EB3885"/>
    <w:p w:rsidR="00652D1F" w:rsidRDefault="00652D1F" w:rsidP="00EB3885">
      <w:r>
        <w:t xml:space="preserve">HvJ EG </w:t>
      </w:r>
      <w:r w:rsidRPr="002D73B1">
        <w:t>6 november 2003, zaak C-413/01 (</w:t>
      </w:r>
      <w:r w:rsidRPr="006356A9">
        <w:rPr>
          <w:i/>
        </w:rPr>
        <w:t>Ninni</w:t>
      </w:r>
      <w:r w:rsidRPr="002D73B1">
        <w:t>-</w:t>
      </w:r>
      <w:r w:rsidRPr="006356A9">
        <w:rPr>
          <w:i/>
        </w:rPr>
        <w:t>Orasche</w:t>
      </w:r>
      <w:r>
        <w:t>)</w:t>
      </w:r>
    </w:p>
    <w:p w:rsidR="00652D1F" w:rsidRPr="002D73B1" w:rsidRDefault="00652D1F" w:rsidP="00EB3885"/>
    <w:p w:rsidR="00652D1F" w:rsidRDefault="00652D1F" w:rsidP="00EB3885">
      <w:r>
        <w:t>HR</w:t>
      </w:r>
      <w:r w:rsidRPr="002D73B1">
        <w:t xml:space="preserve"> 23 januari 2004, BNB 2004/142</w:t>
      </w:r>
    </w:p>
    <w:p w:rsidR="00652D1F" w:rsidRPr="002D73B1" w:rsidRDefault="00652D1F" w:rsidP="00EB3885"/>
    <w:p w:rsidR="00652D1F" w:rsidRDefault="00652D1F" w:rsidP="00EB3885">
      <w:r>
        <w:t>HvJ EG</w:t>
      </w:r>
      <w:r w:rsidRPr="002D73B1">
        <w:t xml:space="preserve"> 29 april 2004, zaak C-224/02 (</w:t>
      </w:r>
      <w:r w:rsidRPr="006356A9">
        <w:rPr>
          <w:i/>
        </w:rPr>
        <w:t>Pusa</w:t>
      </w:r>
      <w:r w:rsidRPr="002D73B1">
        <w:t>)</w:t>
      </w:r>
    </w:p>
    <w:p w:rsidR="00652D1F" w:rsidRPr="002D73B1" w:rsidRDefault="00652D1F" w:rsidP="00EB3885"/>
    <w:p w:rsidR="00652D1F" w:rsidRDefault="00652D1F" w:rsidP="00EB3885">
      <w:r>
        <w:t>HvJ EG</w:t>
      </w:r>
      <w:r w:rsidRPr="002D73B1">
        <w:t xml:space="preserve"> 7 juli </w:t>
      </w:r>
      <w:r>
        <w:t>2004, zaak C-310/02 (</w:t>
      </w:r>
      <w:r w:rsidRPr="006356A9">
        <w:rPr>
          <w:i/>
        </w:rPr>
        <w:t>Manninen</w:t>
      </w:r>
      <w:r>
        <w:t>)</w:t>
      </w:r>
      <w:r w:rsidRPr="002D73B1">
        <w:t xml:space="preserve"> </w:t>
      </w:r>
    </w:p>
    <w:p w:rsidR="00652D1F" w:rsidRPr="002D73B1" w:rsidRDefault="00652D1F" w:rsidP="00EB3885"/>
    <w:p w:rsidR="00652D1F" w:rsidRDefault="00652D1F" w:rsidP="00EB3885">
      <w:r w:rsidRPr="002D73B1">
        <w:t>HR 8 oktober 2004, BNB 2005/51</w:t>
      </w:r>
    </w:p>
    <w:p w:rsidR="00652D1F" w:rsidRPr="002D73B1" w:rsidRDefault="00652D1F" w:rsidP="00EB3885"/>
    <w:p w:rsidR="00652D1F" w:rsidRDefault="00652D1F" w:rsidP="00EB3885">
      <w:r>
        <w:t>HvJ EG</w:t>
      </w:r>
      <w:r w:rsidRPr="002D73B1">
        <w:t xml:space="preserve"> 25 maart 2005, zaak C-71/02 (</w:t>
      </w:r>
      <w:r w:rsidRPr="006356A9">
        <w:rPr>
          <w:i/>
        </w:rPr>
        <w:t>Karner</w:t>
      </w:r>
      <w:r>
        <w:t>)</w:t>
      </w:r>
    </w:p>
    <w:p w:rsidR="00652D1F" w:rsidRPr="002D73B1" w:rsidRDefault="00652D1F" w:rsidP="00EB3885"/>
    <w:p w:rsidR="00652D1F" w:rsidRDefault="00652D1F" w:rsidP="00EB3885">
      <w:r w:rsidRPr="002D73B1">
        <w:t>HR 17 juni 2005, BNB 2005/304 met noot A.H.M. Daniels</w:t>
      </w:r>
    </w:p>
    <w:p w:rsidR="00652D1F" w:rsidRPr="002D73B1" w:rsidRDefault="00652D1F" w:rsidP="00EB3885"/>
    <w:p w:rsidR="00652D1F" w:rsidRDefault="00652D1F" w:rsidP="00EB3885">
      <w:r>
        <w:t xml:space="preserve">HvJ EG </w:t>
      </w:r>
      <w:r w:rsidRPr="002D73B1">
        <w:t>21 februari 2006, zaak C-255/02 (</w:t>
      </w:r>
      <w:r w:rsidRPr="006356A9">
        <w:rPr>
          <w:i/>
        </w:rPr>
        <w:t>Halifax</w:t>
      </w:r>
      <w:r>
        <w:t xml:space="preserve">) </w:t>
      </w:r>
    </w:p>
    <w:p w:rsidR="00652D1F" w:rsidRPr="002D73B1" w:rsidRDefault="00652D1F" w:rsidP="00EB3885"/>
    <w:p w:rsidR="00652D1F" w:rsidRDefault="00652D1F" w:rsidP="00EB3885">
      <w:r>
        <w:t>HvJ EG</w:t>
      </w:r>
      <w:r w:rsidRPr="002D73B1">
        <w:t xml:space="preserve"> 12 september 2006, zaak C-196/04 (</w:t>
      </w:r>
      <w:r w:rsidRPr="006356A9">
        <w:rPr>
          <w:i/>
        </w:rPr>
        <w:t>Cadbury</w:t>
      </w:r>
      <w:r w:rsidRPr="002D73B1">
        <w:t xml:space="preserve"> </w:t>
      </w:r>
      <w:r w:rsidRPr="006356A9">
        <w:rPr>
          <w:i/>
        </w:rPr>
        <w:t>Schweppes</w:t>
      </w:r>
      <w:r w:rsidRPr="002D73B1">
        <w:t>)</w:t>
      </w:r>
    </w:p>
    <w:p w:rsidR="00652D1F" w:rsidRDefault="00652D1F" w:rsidP="00EB3885"/>
    <w:p w:rsidR="00652D1F" w:rsidRDefault="00652D1F" w:rsidP="00EB3885">
      <w:r>
        <w:t>HvJ EG 14 september 2006, zaak C-386/04 (</w:t>
      </w:r>
      <w:r w:rsidRPr="000D1F0D">
        <w:rPr>
          <w:i/>
          <w:iCs/>
        </w:rPr>
        <w:t>Stauffer</w:t>
      </w:r>
      <w:r>
        <w:t>)</w:t>
      </w:r>
    </w:p>
    <w:p w:rsidR="00652D1F" w:rsidRPr="002D73B1" w:rsidRDefault="00652D1F" w:rsidP="00EB3885"/>
    <w:p w:rsidR="00652D1F" w:rsidRDefault="00652D1F" w:rsidP="00EB3885">
      <w:r>
        <w:t xml:space="preserve">HvJ EG </w:t>
      </w:r>
      <w:r w:rsidRPr="002D73B1">
        <w:t>1</w:t>
      </w:r>
      <w:r>
        <w:t>3 december 2005, zaak C446/03 (</w:t>
      </w:r>
      <w:r w:rsidRPr="006356A9">
        <w:rPr>
          <w:i/>
        </w:rPr>
        <w:t>Marks</w:t>
      </w:r>
      <w:r w:rsidRPr="002D73B1">
        <w:t xml:space="preserve"> </w:t>
      </w:r>
      <w:r w:rsidRPr="006356A9">
        <w:rPr>
          <w:i/>
        </w:rPr>
        <w:t>&amp;</w:t>
      </w:r>
      <w:r w:rsidRPr="002D73B1">
        <w:t xml:space="preserve"> </w:t>
      </w:r>
      <w:r w:rsidRPr="006356A9">
        <w:rPr>
          <w:i/>
        </w:rPr>
        <w:t>Spencer</w:t>
      </w:r>
      <w:r>
        <w:t>)</w:t>
      </w:r>
    </w:p>
    <w:p w:rsidR="00652D1F" w:rsidRPr="002D73B1" w:rsidRDefault="00652D1F" w:rsidP="00EB3885"/>
    <w:p w:rsidR="00652D1F" w:rsidRPr="002D73B1" w:rsidRDefault="00652D1F" w:rsidP="00EB3885">
      <w:pPr>
        <w:pStyle w:val="Voetnoottekst"/>
        <w:rPr>
          <w:sz w:val="24"/>
          <w:szCs w:val="24"/>
        </w:rPr>
      </w:pPr>
      <w:r>
        <w:rPr>
          <w:sz w:val="24"/>
          <w:szCs w:val="24"/>
        </w:rPr>
        <w:t>HvJ EG</w:t>
      </w:r>
      <w:r w:rsidRPr="002D73B1">
        <w:rPr>
          <w:sz w:val="24"/>
          <w:szCs w:val="24"/>
        </w:rPr>
        <w:t xml:space="preserve"> 3 oktober 2006, zaak C-452/04 (</w:t>
      </w:r>
      <w:r w:rsidRPr="006356A9">
        <w:rPr>
          <w:i/>
          <w:sz w:val="24"/>
          <w:szCs w:val="24"/>
        </w:rPr>
        <w:t>Fidium</w:t>
      </w:r>
      <w:r w:rsidRPr="002D73B1">
        <w:rPr>
          <w:sz w:val="24"/>
          <w:szCs w:val="24"/>
        </w:rPr>
        <w:t xml:space="preserve"> </w:t>
      </w:r>
      <w:r w:rsidRPr="006356A9">
        <w:rPr>
          <w:i/>
          <w:sz w:val="24"/>
          <w:szCs w:val="24"/>
        </w:rPr>
        <w:t>Finanz</w:t>
      </w:r>
      <w:r w:rsidRPr="002D73B1">
        <w:rPr>
          <w:sz w:val="24"/>
          <w:szCs w:val="24"/>
        </w:rPr>
        <w:t>)</w:t>
      </w:r>
    </w:p>
    <w:p w:rsidR="00652D1F" w:rsidRPr="002D73B1" w:rsidRDefault="00652D1F" w:rsidP="00EB3885">
      <w:pPr>
        <w:pStyle w:val="Voetnoottekst"/>
        <w:rPr>
          <w:sz w:val="24"/>
          <w:szCs w:val="24"/>
        </w:rPr>
      </w:pPr>
    </w:p>
    <w:p w:rsidR="00652D1F" w:rsidRPr="0035059B" w:rsidRDefault="00652D1F" w:rsidP="00EB3885">
      <w:pPr>
        <w:pStyle w:val="Voetnoottekst"/>
        <w:rPr>
          <w:sz w:val="24"/>
          <w:szCs w:val="24"/>
        </w:rPr>
      </w:pPr>
      <w:r>
        <w:rPr>
          <w:sz w:val="24"/>
          <w:szCs w:val="24"/>
        </w:rPr>
        <w:t>HvJ EG</w:t>
      </w:r>
      <w:r w:rsidRPr="0035059B">
        <w:rPr>
          <w:sz w:val="24"/>
          <w:szCs w:val="24"/>
        </w:rPr>
        <w:t xml:space="preserve"> 6 december 2006, zaak C-298/05 (</w:t>
      </w:r>
      <w:r w:rsidRPr="0035059B">
        <w:rPr>
          <w:i/>
          <w:sz w:val="24"/>
          <w:szCs w:val="24"/>
        </w:rPr>
        <w:t>Columbus</w:t>
      </w:r>
      <w:r w:rsidRPr="0035059B">
        <w:rPr>
          <w:sz w:val="24"/>
          <w:szCs w:val="24"/>
        </w:rPr>
        <w:t xml:space="preserve"> </w:t>
      </w:r>
      <w:r w:rsidRPr="0035059B">
        <w:rPr>
          <w:i/>
          <w:sz w:val="24"/>
          <w:szCs w:val="24"/>
        </w:rPr>
        <w:t>Container</w:t>
      </w:r>
      <w:r w:rsidRPr="0035059B">
        <w:rPr>
          <w:sz w:val="24"/>
          <w:szCs w:val="24"/>
        </w:rPr>
        <w:t xml:space="preserve"> </w:t>
      </w:r>
      <w:r w:rsidRPr="0035059B">
        <w:rPr>
          <w:i/>
          <w:sz w:val="24"/>
          <w:szCs w:val="24"/>
        </w:rPr>
        <w:t>Services</w:t>
      </w:r>
      <w:r w:rsidRPr="0035059B">
        <w:rPr>
          <w:sz w:val="24"/>
          <w:szCs w:val="24"/>
        </w:rPr>
        <w:t xml:space="preserve">) </w:t>
      </w:r>
    </w:p>
    <w:p w:rsidR="00652D1F" w:rsidRPr="0035059B" w:rsidRDefault="00652D1F" w:rsidP="00EB3885">
      <w:pPr>
        <w:pStyle w:val="Voetnoottekst"/>
        <w:rPr>
          <w:sz w:val="24"/>
          <w:szCs w:val="24"/>
        </w:rPr>
      </w:pPr>
    </w:p>
    <w:p w:rsidR="00652D1F" w:rsidRDefault="00652D1F" w:rsidP="00EB3885">
      <w:pPr>
        <w:pStyle w:val="Voetnoottekst"/>
        <w:rPr>
          <w:sz w:val="24"/>
          <w:szCs w:val="24"/>
          <w:lang w:val="en-US"/>
        </w:rPr>
      </w:pPr>
      <w:r>
        <w:rPr>
          <w:sz w:val="24"/>
          <w:szCs w:val="24"/>
          <w:lang w:val="en-US"/>
        </w:rPr>
        <w:t>HvJ EG</w:t>
      </w:r>
      <w:r w:rsidRPr="002D73B1">
        <w:rPr>
          <w:sz w:val="24"/>
          <w:szCs w:val="24"/>
          <w:lang w:val="en-US"/>
        </w:rPr>
        <w:t xml:space="preserve"> 12 </w:t>
      </w:r>
      <w:proofErr w:type="gramStart"/>
      <w:r w:rsidRPr="002D73B1">
        <w:rPr>
          <w:sz w:val="24"/>
          <w:szCs w:val="24"/>
          <w:lang w:val="en-US"/>
        </w:rPr>
        <w:t>december</w:t>
      </w:r>
      <w:proofErr w:type="gramEnd"/>
      <w:r w:rsidRPr="002D73B1">
        <w:rPr>
          <w:sz w:val="24"/>
          <w:szCs w:val="24"/>
          <w:lang w:val="en-US"/>
        </w:rPr>
        <w:t xml:space="preserve"> 2006, zaak C-446/04 (</w:t>
      </w:r>
      <w:r w:rsidRPr="006356A9">
        <w:rPr>
          <w:i/>
          <w:sz w:val="24"/>
          <w:szCs w:val="24"/>
          <w:lang w:val="en-US"/>
        </w:rPr>
        <w:t xml:space="preserve">Test Claimants in the FII </w:t>
      </w:r>
      <w:r>
        <w:rPr>
          <w:i/>
          <w:sz w:val="24"/>
          <w:szCs w:val="24"/>
          <w:lang w:val="en-US"/>
        </w:rPr>
        <w:t>Group Litigation</w:t>
      </w:r>
      <w:r>
        <w:rPr>
          <w:sz w:val="24"/>
          <w:szCs w:val="24"/>
          <w:lang w:val="en-US"/>
        </w:rPr>
        <w:t>)</w:t>
      </w:r>
    </w:p>
    <w:p w:rsidR="00652D1F" w:rsidRPr="002D73B1" w:rsidRDefault="00652D1F" w:rsidP="00EB3885">
      <w:pPr>
        <w:pStyle w:val="Voetnoottekst"/>
        <w:rPr>
          <w:sz w:val="24"/>
          <w:szCs w:val="24"/>
          <w:lang w:val="en-US"/>
        </w:rPr>
      </w:pPr>
    </w:p>
    <w:p w:rsidR="00652D1F" w:rsidRPr="00341538" w:rsidRDefault="00652D1F" w:rsidP="00EB3885">
      <w:r>
        <w:t>HvJ EG</w:t>
      </w:r>
      <w:r w:rsidRPr="00341538">
        <w:t xml:space="preserve"> 13 maart 2007, zaak C-524/04 (</w:t>
      </w:r>
      <w:r w:rsidRPr="00341538">
        <w:rPr>
          <w:i/>
        </w:rPr>
        <w:t>Test Claimants in the Thin Cap GLO</w:t>
      </w:r>
      <w:r w:rsidRPr="00341538">
        <w:t>) met conclusie A-G Geelhoed</w:t>
      </w:r>
    </w:p>
    <w:p w:rsidR="00652D1F" w:rsidRPr="00341538" w:rsidRDefault="00652D1F" w:rsidP="00EB3885"/>
    <w:p w:rsidR="00652D1F" w:rsidRDefault="00652D1F" w:rsidP="00EB3885">
      <w:r>
        <w:t xml:space="preserve">HvJ EG </w:t>
      </w:r>
      <w:r w:rsidRPr="002D73B1">
        <w:t>29 maart 2007, zaak C-347/04 (</w:t>
      </w:r>
      <w:r w:rsidRPr="006356A9">
        <w:rPr>
          <w:i/>
        </w:rPr>
        <w:t>Rewe</w:t>
      </w:r>
      <w:r w:rsidRPr="002D73B1">
        <w:t xml:space="preserve"> </w:t>
      </w:r>
      <w:r w:rsidRPr="006356A9">
        <w:rPr>
          <w:i/>
        </w:rPr>
        <w:t>Zentralfinanz</w:t>
      </w:r>
      <w:r w:rsidRPr="002D73B1">
        <w:t>)</w:t>
      </w:r>
    </w:p>
    <w:p w:rsidR="00652D1F" w:rsidRPr="002D73B1" w:rsidRDefault="00652D1F" w:rsidP="00EB3885"/>
    <w:p w:rsidR="00652D1F" w:rsidRDefault="00652D1F" w:rsidP="00EB3885">
      <w:r>
        <w:t>HvJ EG</w:t>
      </w:r>
      <w:r w:rsidRPr="002D73B1">
        <w:t xml:space="preserve"> 10 mei 2007, zaak C-492/04 (</w:t>
      </w:r>
      <w:r w:rsidRPr="006356A9">
        <w:rPr>
          <w:i/>
        </w:rPr>
        <w:t>Lasertec</w:t>
      </w:r>
      <w:r>
        <w:t>)</w:t>
      </w:r>
    </w:p>
    <w:p w:rsidR="00652D1F" w:rsidRPr="002D73B1" w:rsidRDefault="00652D1F" w:rsidP="00EB3885"/>
    <w:p w:rsidR="00652D1F" w:rsidRPr="00EC18F1" w:rsidRDefault="00652D1F" w:rsidP="00EB3885">
      <w:pPr>
        <w:rPr>
          <w:lang w:val="de-DE"/>
        </w:rPr>
      </w:pPr>
      <w:r>
        <w:rPr>
          <w:lang w:val="de-DE"/>
        </w:rPr>
        <w:t>HvJ EG</w:t>
      </w:r>
      <w:r w:rsidRPr="00EC18F1">
        <w:rPr>
          <w:lang w:val="de-DE"/>
        </w:rPr>
        <w:t xml:space="preserve"> 18 juli 2007, C231/05 (</w:t>
      </w:r>
      <w:r w:rsidRPr="00EC18F1">
        <w:rPr>
          <w:i/>
          <w:lang w:val="de-DE"/>
        </w:rPr>
        <w:t>Oy</w:t>
      </w:r>
      <w:r w:rsidRPr="00EC18F1">
        <w:rPr>
          <w:lang w:val="de-DE"/>
        </w:rPr>
        <w:t xml:space="preserve"> </w:t>
      </w:r>
      <w:r w:rsidRPr="00EC18F1">
        <w:rPr>
          <w:i/>
          <w:lang w:val="de-DE"/>
        </w:rPr>
        <w:t>AA</w:t>
      </w:r>
      <w:r w:rsidRPr="00EC18F1">
        <w:rPr>
          <w:lang w:val="de-DE"/>
        </w:rPr>
        <w:t>)</w:t>
      </w:r>
    </w:p>
    <w:p w:rsidR="00652D1F" w:rsidRPr="00EC18F1" w:rsidRDefault="00652D1F" w:rsidP="00EB3885">
      <w:pPr>
        <w:rPr>
          <w:lang w:val="de-DE"/>
        </w:rPr>
      </w:pPr>
    </w:p>
    <w:p w:rsidR="00652D1F" w:rsidRDefault="00652D1F" w:rsidP="00EB3885">
      <w:r>
        <w:t xml:space="preserve">HvJ EG </w:t>
      </w:r>
      <w:r w:rsidRPr="002D73B1">
        <w:t>7 september 2007, zaak C-470/04 (</w:t>
      </w:r>
      <w:r w:rsidRPr="006356A9">
        <w:rPr>
          <w:i/>
        </w:rPr>
        <w:t>N. vs. Inspecteur</w:t>
      </w:r>
      <w:r>
        <w:t>)</w:t>
      </w:r>
    </w:p>
    <w:p w:rsidR="00652D1F" w:rsidRDefault="00652D1F" w:rsidP="00EB3885"/>
    <w:p w:rsidR="00652D1F" w:rsidRPr="00476033" w:rsidRDefault="00652D1F" w:rsidP="00EB3885">
      <w:r>
        <w:t>HvJ EG</w:t>
      </w:r>
      <w:r w:rsidRPr="00476033">
        <w:t xml:space="preserve"> 8 november 2007, zaak C-379/05 (</w:t>
      </w:r>
      <w:r w:rsidRPr="00476033">
        <w:rPr>
          <w:i/>
        </w:rPr>
        <w:t>Amurta</w:t>
      </w:r>
      <w:r w:rsidRPr="00476033">
        <w:t>)</w:t>
      </w:r>
    </w:p>
    <w:p w:rsidR="00652D1F" w:rsidRPr="002D73B1" w:rsidRDefault="00652D1F" w:rsidP="00EB3885"/>
    <w:p w:rsidR="00652D1F" w:rsidRDefault="00652D1F" w:rsidP="00EB3885">
      <w:r>
        <w:t>HvJ EG</w:t>
      </w:r>
      <w:r w:rsidRPr="002D73B1">
        <w:t xml:space="preserve"> 31 janua</w:t>
      </w:r>
      <w:r>
        <w:t>ri 2008, zaak C-284/06 (</w:t>
      </w:r>
      <w:r w:rsidRPr="006356A9">
        <w:rPr>
          <w:i/>
        </w:rPr>
        <w:t>Burda</w:t>
      </w:r>
      <w:r>
        <w:t>)</w:t>
      </w:r>
      <w:r w:rsidRPr="002D73B1">
        <w:t xml:space="preserve"> </w:t>
      </w:r>
    </w:p>
    <w:p w:rsidR="00652D1F" w:rsidRPr="002D73B1" w:rsidRDefault="00652D1F" w:rsidP="00EB3885"/>
    <w:p w:rsidR="00652D1F" w:rsidRDefault="00652D1F" w:rsidP="00EB3885">
      <w:r w:rsidRPr="002D73B1">
        <w:t>HR 7 maart 2008, BNB 2002/118 met conclusie P-G Wattel</w:t>
      </w:r>
    </w:p>
    <w:p w:rsidR="00652D1F" w:rsidRDefault="00652D1F" w:rsidP="00EB3885"/>
    <w:p w:rsidR="00652D1F" w:rsidRDefault="00652D1F" w:rsidP="00EB3885">
      <w:pPr>
        <w:rPr>
          <w:lang w:val="de-DE"/>
        </w:rPr>
      </w:pPr>
      <w:r w:rsidRPr="008048D0">
        <w:rPr>
          <w:lang w:val="de-DE"/>
        </w:rPr>
        <w:t>HR 9 mei 2008, BNB 2008/191 m.n.</w:t>
      </w:r>
      <w:r>
        <w:rPr>
          <w:lang w:val="de-DE"/>
        </w:rPr>
        <w:t xml:space="preserve"> P.G.H. Alberts</w:t>
      </w:r>
    </w:p>
    <w:p w:rsidR="00652D1F" w:rsidRDefault="00652D1F" w:rsidP="00EB3885">
      <w:pPr>
        <w:rPr>
          <w:lang w:val="de-DE"/>
        </w:rPr>
      </w:pPr>
    </w:p>
    <w:p w:rsidR="00652D1F" w:rsidRPr="00950787" w:rsidRDefault="00652D1F" w:rsidP="00EB3885">
      <w:r>
        <w:t>HR 11 juli 2008, BNB 2008/245 annotatie J.A.G. van der Geld</w:t>
      </w:r>
    </w:p>
    <w:p w:rsidR="00652D1F" w:rsidRPr="00950787" w:rsidRDefault="00652D1F" w:rsidP="00EB3885"/>
    <w:p w:rsidR="00652D1F" w:rsidRDefault="00652D1F" w:rsidP="00EB3885">
      <w:r>
        <w:t>HvJ EG</w:t>
      </w:r>
      <w:r w:rsidRPr="002D73B1">
        <w:t xml:space="preserve"> 15 me</w:t>
      </w:r>
      <w:r>
        <w:t>i 2008, zaak C-414/06 (</w:t>
      </w:r>
      <w:r w:rsidRPr="006356A9">
        <w:rPr>
          <w:i/>
        </w:rPr>
        <w:t>Lidl</w:t>
      </w:r>
      <w:r w:rsidRPr="002D73B1">
        <w:t xml:space="preserve"> </w:t>
      </w:r>
      <w:r w:rsidRPr="006356A9">
        <w:rPr>
          <w:i/>
        </w:rPr>
        <w:t>Belgium</w:t>
      </w:r>
      <w:r w:rsidRPr="002D73B1">
        <w:t>)</w:t>
      </w:r>
    </w:p>
    <w:p w:rsidR="00652D1F" w:rsidRPr="002D73B1" w:rsidRDefault="00652D1F" w:rsidP="00EB3885"/>
    <w:p w:rsidR="00652D1F" w:rsidRDefault="00652D1F" w:rsidP="00BB6887">
      <w:r w:rsidRPr="002D73B1">
        <w:t>HR 11 juli 2008, BNB 2008/266 met conclusie P-G Wattel</w:t>
      </w:r>
    </w:p>
    <w:p w:rsidR="00652D1F" w:rsidRPr="002D73B1" w:rsidRDefault="00652D1F" w:rsidP="00EB3885"/>
    <w:p w:rsidR="00652D1F" w:rsidRDefault="00652D1F" w:rsidP="00EB3885">
      <w:r>
        <w:t>HvJ EG</w:t>
      </w:r>
      <w:r w:rsidRPr="002D73B1">
        <w:t xml:space="preserve"> 17 september 2008, zaak C-182/08 (</w:t>
      </w:r>
      <w:r w:rsidRPr="006356A9">
        <w:rPr>
          <w:i/>
        </w:rPr>
        <w:t>Glaxo</w:t>
      </w:r>
      <w:r w:rsidRPr="002D73B1">
        <w:t xml:space="preserve"> </w:t>
      </w:r>
      <w:r w:rsidRPr="006356A9">
        <w:rPr>
          <w:i/>
        </w:rPr>
        <w:t>Wellcome</w:t>
      </w:r>
      <w:r w:rsidRPr="002D73B1">
        <w:t>) met conclusie A-G Bot</w:t>
      </w:r>
    </w:p>
    <w:p w:rsidR="00652D1F" w:rsidRPr="002D73B1" w:rsidRDefault="00652D1F" w:rsidP="00EB3885"/>
    <w:p w:rsidR="00652D1F" w:rsidRDefault="00652D1F" w:rsidP="00EB3885">
      <w:r w:rsidRPr="002D73B1">
        <w:t>HR 26 september 2008, BNB 2009/24</w:t>
      </w:r>
      <w:r>
        <w:t xml:space="preserve"> met noot </w:t>
      </w:r>
      <w:r w:rsidRPr="002D73B1">
        <w:t>D.S. Smit</w:t>
      </w:r>
    </w:p>
    <w:p w:rsidR="00652D1F" w:rsidRDefault="00652D1F" w:rsidP="00EB3885"/>
    <w:p w:rsidR="00652D1F" w:rsidRDefault="00652D1F" w:rsidP="00EB3885">
      <w:r>
        <w:t>HR 20 februari 2009, V-N 2009/12.9</w:t>
      </w:r>
    </w:p>
    <w:p w:rsidR="00652D1F" w:rsidRPr="002D73B1" w:rsidRDefault="00652D1F" w:rsidP="00EB3885"/>
    <w:p w:rsidR="00652D1F" w:rsidRDefault="00652D1F" w:rsidP="00EB3885">
      <w:r>
        <w:t>HvJ EG</w:t>
      </w:r>
      <w:r w:rsidRPr="002D73B1">
        <w:t xml:space="preserve"> 25 februari 2010, zaak C-337/08 (</w:t>
      </w:r>
      <w:r w:rsidRPr="006356A9">
        <w:rPr>
          <w:i/>
        </w:rPr>
        <w:t>X Holding BV</w:t>
      </w:r>
      <w:r w:rsidRPr="002D73B1">
        <w:t>)</w:t>
      </w:r>
    </w:p>
    <w:p w:rsidR="00652D1F" w:rsidRPr="002D73B1" w:rsidRDefault="00652D1F" w:rsidP="00EB3885"/>
    <w:p w:rsidR="00652D1F" w:rsidRDefault="00652D1F" w:rsidP="00EB3885">
      <w:r w:rsidRPr="002D73B1">
        <w:t>HR 19 maart 2010, BNB 2010/215 met noot O.C.R. Marres</w:t>
      </w:r>
    </w:p>
    <w:p w:rsidR="00652D1F" w:rsidRPr="002D73B1" w:rsidRDefault="00652D1F" w:rsidP="00EB3885"/>
    <w:p w:rsidR="00652D1F" w:rsidRPr="0032065E" w:rsidRDefault="00652D1F" w:rsidP="0032065E">
      <w:pPr>
        <w:rPr>
          <w:iCs/>
        </w:rPr>
      </w:pPr>
      <w:r>
        <w:t>HvJ EG</w:t>
      </w:r>
      <w:r w:rsidRPr="002D73B1">
        <w:t xml:space="preserve"> 20 mei 2010, zaak C-352/08 (</w:t>
      </w:r>
      <w:r>
        <w:rPr>
          <w:i/>
        </w:rPr>
        <w:t>Zwijnenburg</w:t>
      </w:r>
      <w:r>
        <w:rPr>
          <w:iCs/>
        </w:rPr>
        <w:t>)</w:t>
      </w:r>
    </w:p>
    <w:p w:rsidR="00652D1F" w:rsidRPr="002D73B1" w:rsidRDefault="00652D1F" w:rsidP="00EB3885">
      <w:pPr>
        <w:spacing w:line="360" w:lineRule="auto"/>
      </w:pPr>
    </w:p>
    <w:p w:rsidR="00652D1F" w:rsidRDefault="009760ED" w:rsidP="00554DD6">
      <w:pPr>
        <w:spacing w:line="360" w:lineRule="auto"/>
        <w:rPr>
          <w:b/>
          <w:u w:val="single"/>
        </w:rPr>
      </w:pPr>
      <w:r>
        <w:t>HvJ EG 10 februari 2011, zaak C-436/08 en C-437/08 (</w:t>
      </w:r>
      <w:r w:rsidRPr="00382FAC">
        <w:rPr>
          <w:i/>
        </w:rPr>
        <w:t>Haribo)</w:t>
      </w: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Default="00652D1F" w:rsidP="00554DD6">
      <w:pPr>
        <w:spacing w:line="360" w:lineRule="auto"/>
        <w:rPr>
          <w:b/>
          <w:u w:val="single"/>
        </w:rPr>
      </w:pPr>
    </w:p>
    <w:p w:rsidR="00652D1F" w:rsidRPr="00554DD6" w:rsidRDefault="00652D1F" w:rsidP="00554DD6">
      <w:pPr>
        <w:spacing w:line="360" w:lineRule="auto"/>
        <w:rPr>
          <w:b/>
          <w:u w:val="single"/>
        </w:rPr>
      </w:pPr>
    </w:p>
    <w:p w:rsidR="00652D1F" w:rsidRDefault="00652D1F" w:rsidP="007333D5">
      <w:pPr>
        <w:spacing w:line="360" w:lineRule="auto"/>
      </w:pPr>
    </w:p>
    <w:p w:rsidR="00652D1F" w:rsidRDefault="00652D1F" w:rsidP="007333D5">
      <w:pPr>
        <w:spacing w:line="360" w:lineRule="auto"/>
      </w:pPr>
    </w:p>
    <w:p w:rsidR="00652D1F" w:rsidRDefault="00652D1F" w:rsidP="007333D5">
      <w:pPr>
        <w:spacing w:line="360" w:lineRule="auto"/>
      </w:pPr>
    </w:p>
    <w:p w:rsidR="00652D1F" w:rsidRDefault="00652D1F" w:rsidP="007333D5">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E320C4">
      <w:pPr>
        <w:spacing w:line="360" w:lineRule="auto"/>
      </w:pPr>
    </w:p>
    <w:p w:rsidR="00652D1F" w:rsidRDefault="00652D1F" w:rsidP="007333D5">
      <w:pPr>
        <w:spacing w:line="360" w:lineRule="auto"/>
        <w:rPr>
          <w:rFonts w:ascii="Verdana" w:hAnsi="Verdana"/>
          <w:color w:val="000066"/>
          <w:sz w:val="18"/>
          <w:szCs w:val="18"/>
        </w:rPr>
      </w:pPr>
    </w:p>
    <w:sectPr w:rsidR="00652D1F" w:rsidSect="00E949F0">
      <w:footerReference w:type="even"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292A58" w:rsidRDefault="00292A58" w:rsidP="00F11251">
      <w:r>
        <w:separator/>
      </w:r>
    </w:p>
  </w:endnote>
  <w:endnote w:type="continuationSeparator" w:id="1">
    <w:p w:rsidR="00292A58" w:rsidRDefault="00292A58" w:rsidP="00F112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imSun">
    <w:altName w:val="宋体"/>
    <w:panose1 w:val="00000000000000000000"/>
    <w:charset w:val="86"/>
    <w:family w:val="auto"/>
    <w:notTrueType/>
    <w:pitch w:val="variable"/>
    <w:sig w:usb0="00000001" w:usb1="080E0000" w:usb2="00000010" w:usb3="00000000" w:csb0="0004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292A58" w:rsidRDefault="00292A58" w:rsidP="00D80376">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rsidR="00292A58" w:rsidRDefault="00292A58">
    <w:pPr>
      <w:pStyle w:val="Voettekst"/>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292A58" w:rsidRDefault="00292A58" w:rsidP="00D80376">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8C3733">
      <w:rPr>
        <w:rStyle w:val="Paginanummer"/>
        <w:noProof/>
      </w:rPr>
      <w:t>2</w:t>
    </w:r>
    <w:r>
      <w:rPr>
        <w:rStyle w:val="Paginanummer"/>
      </w:rPr>
      <w:fldChar w:fldCharType="end"/>
    </w:r>
  </w:p>
  <w:p w:rsidR="00292A58" w:rsidRDefault="00292A58">
    <w:pPr>
      <w:pStyle w:val="Voettekst"/>
      <w:jc w:val="center"/>
    </w:pPr>
  </w:p>
  <w:p w:rsidR="00292A58" w:rsidRDefault="00292A58">
    <w:pPr>
      <w:pStyle w:val="Voettekst"/>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292A58" w:rsidRDefault="00292A58" w:rsidP="00F11251">
      <w:r>
        <w:separator/>
      </w:r>
    </w:p>
  </w:footnote>
  <w:footnote w:type="continuationSeparator" w:id="1">
    <w:p w:rsidR="00292A58" w:rsidRDefault="00292A58" w:rsidP="00F11251">
      <w:r>
        <w:continuationSeparator/>
      </w:r>
    </w:p>
  </w:footnote>
  <w:footnote w:id="2">
    <w:p w:rsidR="00292A58" w:rsidRDefault="00292A58">
      <w:pPr>
        <w:pStyle w:val="Voetnoottekst"/>
      </w:pPr>
      <w:r>
        <w:rPr>
          <w:rStyle w:val="Voetnootmarkering"/>
        </w:rPr>
        <w:footnoteRef/>
      </w:r>
      <w:r>
        <w:t xml:space="preserve"> Hoewel het HvJ EG per 1 december het HvJ EG EU is geworden, perscommuniqué nr. 104/09, 30 november 2009, zal, ten einde de consistentie te bewaren, in dit onderzoek de afkorting HvJ EG worden gehanteerd.</w:t>
      </w:r>
    </w:p>
  </w:footnote>
  <w:footnote w:id="3">
    <w:p w:rsidR="00292A58" w:rsidRDefault="00292A58" w:rsidP="00EE3285">
      <w:pPr>
        <w:pStyle w:val="Voetnoottekst"/>
      </w:pPr>
      <w:r>
        <w:rPr>
          <w:rStyle w:val="Voetnootmarkering"/>
        </w:rPr>
        <w:footnoteRef/>
      </w:r>
      <w:r>
        <w:t xml:space="preserve"> </w:t>
      </w:r>
      <w:r>
        <w:t xml:space="preserve">Terra B.J.M. </w:t>
      </w:r>
      <w:r w:rsidRPr="00EE3285">
        <w:t>Wattel</w:t>
      </w:r>
      <w:r>
        <w:t xml:space="preserve"> P.J. T</w:t>
      </w:r>
      <w:r w:rsidRPr="00EE3285">
        <w:t>erra</w:t>
      </w:r>
      <w:r>
        <w:t xml:space="preserve">, 2008, </w:t>
      </w:r>
      <w:r w:rsidRPr="00C52C64">
        <w:rPr>
          <w:i/>
          <w:iCs/>
        </w:rPr>
        <w:t>European Tax Law</w:t>
      </w:r>
      <w:r w:rsidRPr="00EE3285">
        <w:t>,</w:t>
      </w:r>
      <w:r>
        <w:t xml:space="preserve"> student edition, Kluwer</w:t>
      </w:r>
      <w:r w:rsidRPr="00EE3285">
        <w:t xml:space="preserve"> alsm</w:t>
      </w:r>
      <w:r>
        <w:t>ede de rechtspraak van het Hof van Justitie bijvoorbeeld onder andere HvJ EG, 12 september 2006, zaak C-196/04 (</w:t>
      </w:r>
      <w:r w:rsidRPr="00C52C64">
        <w:rPr>
          <w:i/>
          <w:iCs/>
        </w:rPr>
        <w:t>Cadbury Schweppes</w:t>
      </w:r>
      <w:r>
        <w:t>)  en HvJ EG, 12 december 2006, zaak C-446/04 (</w:t>
      </w:r>
      <w:r w:rsidRPr="00C52C64">
        <w:rPr>
          <w:i/>
          <w:iCs/>
        </w:rPr>
        <w:t>Thin Cap GLO</w:t>
      </w:r>
      <w:r>
        <w:t>)</w:t>
      </w:r>
    </w:p>
  </w:footnote>
  <w:footnote w:id="4">
    <w:p w:rsidR="00292A58" w:rsidRDefault="00292A58">
      <w:pPr>
        <w:pStyle w:val="Voetnoottekst"/>
      </w:pPr>
      <w:r>
        <w:rPr>
          <w:rStyle w:val="Voetnootmarkering"/>
        </w:rPr>
        <w:footnoteRef/>
      </w:r>
      <w:r>
        <w:t xml:space="preserve"> </w:t>
      </w:r>
      <w:r>
        <w:t>HvJ EG 20 februari 1979, zaak 120/78 (</w:t>
      </w:r>
      <w:r w:rsidRPr="00C52C64">
        <w:rPr>
          <w:i/>
          <w:iCs/>
        </w:rPr>
        <w:t>Cassis de Dijon</w:t>
      </w:r>
      <w:r>
        <w:t xml:space="preserve">), Terra B.J.M. </w:t>
      </w:r>
      <w:r w:rsidRPr="00EE3285">
        <w:t>Wattel</w:t>
      </w:r>
      <w:r>
        <w:t xml:space="preserve"> P.J. T</w:t>
      </w:r>
      <w:r w:rsidRPr="00EE3285">
        <w:t>erra</w:t>
      </w:r>
      <w:r>
        <w:t xml:space="preserve">, 2008, </w:t>
      </w:r>
      <w:r w:rsidRPr="00C52C64">
        <w:rPr>
          <w:i/>
          <w:iCs/>
        </w:rPr>
        <w:t>European Tax Law</w:t>
      </w:r>
      <w:r w:rsidRPr="00EE3285">
        <w:t>,</w:t>
      </w:r>
      <w:r>
        <w:t xml:space="preserve"> student edition, Kluwer</w:t>
      </w:r>
    </w:p>
  </w:footnote>
  <w:footnote w:id="5">
    <w:p w:rsidR="00292A58" w:rsidRDefault="00292A58">
      <w:pPr>
        <w:pStyle w:val="Voetnoottekst"/>
      </w:pPr>
      <w:r>
        <w:rPr>
          <w:rStyle w:val="Voetnootmarkering"/>
        </w:rPr>
        <w:footnoteRef/>
      </w:r>
      <w:r>
        <w:t xml:space="preserve"> </w:t>
      </w:r>
      <w:r w:rsidRPr="00454805">
        <w:t xml:space="preserve">MvT, Kamerstukken II </w:t>
      </w:r>
      <w:r>
        <w:t xml:space="preserve">1995/96, 24 696, nr. 3, blz. 11, </w:t>
      </w:r>
      <w:r w:rsidRPr="00454805">
        <w:t xml:space="preserve">O.C.R. Marres, </w:t>
      </w:r>
      <w:r>
        <w:t>“</w:t>
      </w:r>
      <w:r w:rsidRPr="00D93EF6">
        <w:rPr>
          <w:i/>
          <w:iCs/>
        </w:rPr>
        <w:t>Winstdrainage door Renteaftrek (beoordeling van artikel 10a Wet op de vennootschapsbelasting)</w:t>
      </w:r>
      <w:r>
        <w:t>”, Fiscale Monografieën nr. 113,</w:t>
      </w:r>
    </w:p>
  </w:footnote>
  <w:footnote w:id="6">
    <w:p w:rsidR="00292A58" w:rsidRDefault="00292A58" w:rsidP="00F11251">
      <w:pPr>
        <w:pStyle w:val="Voetnoottekst"/>
      </w:pPr>
      <w:r w:rsidRPr="00454805">
        <w:rPr>
          <w:rStyle w:val="Voetnootmarkering"/>
        </w:rPr>
        <w:footnoteRef/>
      </w:r>
      <w:r w:rsidRPr="00454805">
        <w:t xml:space="preserve"> </w:t>
      </w:r>
      <w:r>
        <w:t>A. Kruiswijk, “</w:t>
      </w:r>
      <w:r w:rsidRPr="00C52C64">
        <w:rPr>
          <w:i/>
          <w:iCs/>
        </w:rPr>
        <w:t>De winstdrainageregelingen en het leerstuk van de</w:t>
      </w:r>
      <w:r>
        <w:t xml:space="preserve"> </w:t>
      </w:r>
      <w:r w:rsidRPr="00C52C64">
        <w:rPr>
          <w:i/>
          <w:iCs/>
        </w:rPr>
        <w:t>wetsontduikingen</w:t>
      </w:r>
      <w:r>
        <w:t xml:space="preserve">”, </w:t>
      </w:r>
      <w:r w:rsidRPr="00454805">
        <w:t>WFR 2002/1501</w:t>
      </w:r>
      <w:r>
        <w:t>, HR 7 maart 2008, BNB 2002/118 conclusie Wattel, J. van Strien, “</w:t>
      </w:r>
      <w:r w:rsidRPr="009B211A">
        <w:rPr>
          <w:i/>
          <w:iCs/>
        </w:rPr>
        <w:t>Renteaftrekbeperkingen in de vennootschapsbelasting</w:t>
      </w:r>
      <w:r>
        <w:t>”, fiscale monografien nr. 119, Deventer: Kluwer, 2008</w:t>
      </w:r>
    </w:p>
  </w:footnote>
  <w:footnote w:id="7">
    <w:p w:rsidR="00292A58" w:rsidRDefault="00292A58" w:rsidP="00F11251">
      <w:pPr>
        <w:pStyle w:val="Voetnoottekst"/>
      </w:pPr>
      <w:r w:rsidRPr="00454805">
        <w:rPr>
          <w:rStyle w:val="Voetnootmarkering"/>
        </w:rPr>
        <w:footnoteRef/>
      </w:r>
      <w:r w:rsidRPr="00454805">
        <w:t xml:space="preserve"> </w:t>
      </w:r>
      <w:r w:rsidRPr="00454805">
        <w:t>MvT, Kamerstukken II 1995/96, 24 696, nr. 3, blz. 11.</w:t>
      </w:r>
    </w:p>
  </w:footnote>
  <w:footnote w:id="8">
    <w:p w:rsidR="00292A58" w:rsidRDefault="00292A58">
      <w:pPr>
        <w:pStyle w:val="Voetnoottekst"/>
      </w:pPr>
      <w:r>
        <w:rPr>
          <w:rStyle w:val="Voetnootmarkering"/>
        </w:rPr>
        <w:footnoteRef/>
      </w:r>
      <w:r w:rsidRPr="006906BE">
        <w:t xml:space="preserve"> </w:t>
      </w:r>
      <w:r w:rsidRPr="006906BE">
        <w:t>VS 05 Vennootschapsbelasting artikelsgewijs commentaar bij artikel 10a</w:t>
      </w:r>
    </w:p>
  </w:footnote>
  <w:footnote w:id="9">
    <w:p w:rsidR="00292A58" w:rsidRDefault="00292A58" w:rsidP="00F11251">
      <w:pPr>
        <w:pStyle w:val="Voetnoottekst"/>
      </w:pPr>
      <w:r>
        <w:rPr>
          <w:rStyle w:val="Voetnootmarkering"/>
        </w:rPr>
        <w:footnoteRef/>
      </w:r>
      <w:r w:rsidRPr="0035059B">
        <w:t xml:space="preserve"> </w:t>
      </w:r>
      <w:r w:rsidRPr="0035059B">
        <w:t>HR 26 april 1989, BNB 1989/217, r.o. 5</w:t>
      </w:r>
    </w:p>
  </w:footnote>
  <w:footnote w:id="10">
    <w:p w:rsidR="00292A58" w:rsidRDefault="00292A58" w:rsidP="00F11251">
      <w:pPr>
        <w:pStyle w:val="Voetnoottekst"/>
      </w:pPr>
      <w:r>
        <w:rPr>
          <w:rStyle w:val="Voetnootmarkering"/>
        </w:rPr>
        <w:footnoteRef/>
      </w:r>
      <w:r w:rsidRPr="0035059B">
        <w:t xml:space="preserve"> HR 26 april 1989, BNB 1989/217 r.o. 4.3.3</w:t>
      </w:r>
    </w:p>
  </w:footnote>
  <w:footnote w:id="11">
    <w:p w:rsidR="00292A58" w:rsidRDefault="00292A58" w:rsidP="00F11251">
      <w:pPr>
        <w:pStyle w:val="Voetnoottekst"/>
      </w:pPr>
      <w:r w:rsidRPr="00454805">
        <w:rPr>
          <w:rStyle w:val="Voetnootmarkering"/>
        </w:rPr>
        <w:footnoteRef/>
      </w:r>
      <w:r>
        <w:t xml:space="preserve"> </w:t>
      </w:r>
      <w:r>
        <w:t xml:space="preserve">HR 10 maart 1993, </w:t>
      </w:r>
      <w:r w:rsidRPr="00454805">
        <w:t>BNB 1993/196</w:t>
      </w:r>
      <w:r>
        <w:t xml:space="preserve"> r.o. 3.4.2. in gelijke zin HR 30 juni 1999, BNB 1999/323, </w:t>
      </w:r>
      <w:r w:rsidRPr="00454805">
        <w:t xml:space="preserve">O.C.R. Marres, </w:t>
      </w:r>
      <w:r>
        <w:t>“</w:t>
      </w:r>
      <w:r w:rsidRPr="00D93EF6">
        <w:rPr>
          <w:i/>
          <w:iCs/>
        </w:rPr>
        <w:t>Winstdrainage door Renteaftrek (beoordeling van artikel 10a Wet op de vennootschapsbelasting)</w:t>
      </w:r>
      <w:r>
        <w:t>”, Fiscale Monografieën nr. 113, blz. 254</w:t>
      </w:r>
    </w:p>
  </w:footnote>
  <w:footnote w:id="12">
    <w:p w:rsidR="00292A58" w:rsidRDefault="00292A58" w:rsidP="00F11251">
      <w:pPr>
        <w:pStyle w:val="Voetnoottekst"/>
      </w:pPr>
      <w:r>
        <w:rPr>
          <w:rStyle w:val="Voetnootmarkering"/>
        </w:rPr>
        <w:footnoteRef/>
      </w:r>
      <w:r>
        <w:t xml:space="preserve"> </w:t>
      </w:r>
      <w:r>
        <w:t xml:space="preserve">HR 10 maart 1993, </w:t>
      </w:r>
      <w:r w:rsidRPr="008746E0">
        <w:t>BNB 1993/196  r.o. 6.1</w:t>
      </w:r>
    </w:p>
  </w:footnote>
  <w:footnote w:id="13">
    <w:p w:rsidR="00292A58" w:rsidRDefault="00292A58">
      <w:pPr>
        <w:pStyle w:val="Voetnoottekst"/>
      </w:pPr>
      <w:r>
        <w:rPr>
          <w:rStyle w:val="Voetnootmarkering"/>
        </w:rPr>
        <w:footnoteRef/>
      </w:r>
      <w:r>
        <w:t xml:space="preserve"> </w:t>
      </w:r>
      <w:r w:rsidRPr="0022365F">
        <w:t>HR 23 augustus 1995, BNB 1996/5</w:t>
      </w:r>
      <w:r>
        <w:t>, J. van Strien, “</w:t>
      </w:r>
      <w:r w:rsidRPr="009B211A">
        <w:rPr>
          <w:i/>
          <w:iCs/>
        </w:rPr>
        <w:t>Renteaftrekbeperkingen in de vennootschapsbelasting</w:t>
      </w:r>
      <w:r>
        <w:t>”, fiscale monografien nr. 119, Deventer: Kluwer, 2008, blz. 256</w:t>
      </w:r>
    </w:p>
  </w:footnote>
  <w:footnote w:id="14">
    <w:p w:rsidR="00292A58" w:rsidRDefault="00292A58" w:rsidP="00F11251">
      <w:pPr>
        <w:pStyle w:val="Voetnoottekst"/>
      </w:pPr>
      <w:r w:rsidRPr="00454805">
        <w:rPr>
          <w:rStyle w:val="Voetnootmarkering"/>
        </w:rPr>
        <w:footnoteRef/>
      </w:r>
      <w:r w:rsidRPr="00454805">
        <w:t xml:space="preserve"> </w:t>
      </w:r>
      <w:r>
        <w:t>HR 7 maart 2008, BNB 2002/118 conclusie</w:t>
      </w:r>
      <w:r w:rsidRPr="00454805">
        <w:t xml:space="preserve"> Wattel</w:t>
      </w:r>
    </w:p>
  </w:footnote>
  <w:footnote w:id="15">
    <w:p w:rsidR="00292A58" w:rsidRDefault="00292A58" w:rsidP="00D376E4">
      <w:pPr>
        <w:pStyle w:val="Voetnoottekst"/>
      </w:pPr>
      <w:r w:rsidRPr="00454805">
        <w:rPr>
          <w:rStyle w:val="Voetnootmarkering"/>
        </w:rPr>
        <w:footnoteRef/>
      </w:r>
      <w:r w:rsidRPr="00454805">
        <w:t xml:space="preserve"> </w:t>
      </w:r>
      <w:r>
        <w:t>A. Kruiswijk, “</w:t>
      </w:r>
      <w:r w:rsidRPr="00C52C64">
        <w:rPr>
          <w:i/>
          <w:iCs/>
        </w:rPr>
        <w:t>De winstdrainageregelingen en het leerstuk van de</w:t>
      </w:r>
      <w:r>
        <w:t xml:space="preserve"> </w:t>
      </w:r>
      <w:r w:rsidRPr="00C52C64">
        <w:rPr>
          <w:i/>
          <w:iCs/>
        </w:rPr>
        <w:t>wetsontduikingen</w:t>
      </w:r>
      <w:r>
        <w:t>”, WFR 2002/1501, R.J. de Vries, “</w:t>
      </w:r>
      <w:r w:rsidRPr="00C52C64">
        <w:rPr>
          <w:i/>
          <w:iCs/>
        </w:rPr>
        <w:t>Kwaliteit van fiscale rechtsvinding en fiscale regelgeving</w:t>
      </w:r>
      <w:r>
        <w:t xml:space="preserve">”, </w:t>
      </w:r>
      <w:r w:rsidRPr="00454805">
        <w:t>WFR 2010/114</w:t>
      </w:r>
      <w:r>
        <w:t xml:space="preserve"> alsmede Cursus Belastingrecht VpB, losbandige editie, onderdeel 2.2.3.b1</w:t>
      </w:r>
    </w:p>
  </w:footnote>
  <w:footnote w:id="16">
    <w:p w:rsidR="00292A58" w:rsidRDefault="00292A58">
      <w:pPr>
        <w:pStyle w:val="Voetnoottekst"/>
      </w:pPr>
      <w:r>
        <w:rPr>
          <w:rStyle w:val="Voetnootmarkering"/>
        </w:rPr>
        <w:footnoteRef/>
      </w:r>
      <w:r>
        <w:t xml:space="preserve"> </w:t>
      </w:r>
      <w:r w:rsidRPr="00454805">
        <w:t xml:space="preserve">O.C.R. Marres, </w:t>
      </w:r>
      <w:r>
        <w:t>“</w:t>
      </w:r>
      <w:r w:rsidRPr="00D93EF6">
        <w:rPr>
          <w:i/>
          <w:iCs/>
        </w:rPr>
        <w:t>Winstdrainage door Renteaftrek (beoordeling van artikel 10a Wet op de vennootschapsbelasting)</w:t>
      </w:r>
      <w:r>
        <w:t>”, Fiscale Monografieën nr. 113, blz. 8</w:t>
      </w:r>
    </w:p>
  </w:footnote>
  <w:footnote w:id="17">
    <w:p w:rsidR="00292A58" w:rsidRDefault="00292A58" w:rsidP="00F11251">
      <w:pPr>
        <w:pStyle w:val="Voetnoottekst"/>
      </w:pPr>
      <w:r>
        <w:rPr>
          <w:rStyle w:val="Voetnootmarkering"/>
        </w:rPr>
        <w:footnoteRef/>
      </w:r>
      <w:r>
        <w:t xml:space="preserve"> HR 6 september 1995, BNB 1996/4 c,  r.o. 3.2.4</w:t>
      </w:r>
    </w:p>
  </w:footnote>
  <w:footnote w:id="18">
    <w:p w:rsidR="00292A58" w:rsidRDefault="00292A58">
      <w:pPr>
        <w:pStyle w:val="Voetnoottekst"/>
      </w:pPr>
      <w:r>
        <w:rPr>
          <w:rStyle w:val="Voetnootmarkering"/>
        </w:rPr>
        <w:footnoteRef/>
      </w:r>
      <w:r>
        <w:t xml:space="preserve"> </w:t>
      </w:r>
      <w:r w:rsidRPr="00622ECB">
        <w:t>NV, Kamerstukken II 2005/06, 30 572, nr. 8, blz. 45-46</w:t>
      </w:r>
    </w:p>
  </w:footnote>
  <w:footnote w:id="19">
    <w:p w:rsidR="00292A58" w:rsidRDefault="00292A58">
      <w:pPr>
        <w:pStyle w:val="Voetnoottekst"/>
      </w:pPr>
      <w:r>
        <w:rPr>
          <w:rStyle w:val="Voetnootmarkering"/>
        </w:rPr>
        <w:footnoteRef/>
      </w:r>
      <w:r>
        <w:t xml:space="preserve"> </w:t>
      </w:r>
      <w:r w:rsidRPr="00454805">
        <w:t xml:space="preserve">O.C.R. Marres, </w:t>
      </w:r>
      <w:r>
        <w:t>“</w:t>
      </w:r>
      <w:r w:rsidRPr="00D93EF6">
        <w:rPr>
          <w:i/>
          <w:iCs/>
        </w:rPr>
        <w:t>Winstdrainage door Renteaftrek (beoordeling van artikel 10a Wet op de vennootschapsbelasting)</w:t>
      </w:r>
      <w:r>
        <w:t>”, Fiscale Monografieën nr. 113, blz. 48-50</w:t>
      </w:r>
    </w:p>
  </w:footnote>
  <w:footnote w:id="20">
    <w:p w:rsidR="00292A58" w:rsidRDefault="00292A58">
      <w:pPr>
        <w:pStyle w:val="Voetnoottekst"/>
      </w:pPr>
      <w:r>
        <w:rPr>
          <w:rStyle w:val="Voetnootmarkering"/>
        </w:rPr>
        <w:footnoteRef/>
      </w:r>
      <w:r>
        <w:t xml:space="preserve"> </w:t>
      </w:r>
      <w:r>
        <w:t>G.H. de Soeten, “</w:t>
      </w:r>
      <w:r w:rsidRPr="00D93EF6">
        <w:rPr>
          <w:i/>
          <w:iCs/>
        </w:rPr>
        <w:t>Winstdrainage en fraus legis</w:t>
      </w:r>
      <w:r>
        <w:t xml:space="preserve">”, </w:t>
      </w:r>
      <w:r w:rsidRPr="00684EBB">
        <w:t>WFR 2003/256</w:t>
      </w:r>
      <w:r>
        <w:t xml:space="preserve">, </w:t>
      </w:r>
      <w:r w:rsidRPr="00454805">
        <w:t xml:space="preserve">O.C.R. Marres, </w:t>
      </w:r>
      <w:r>
        <w:t>“</w:t>
      </w:r>
      <w:r w:rsidRPr="00D93EF6">
        <w:rPr>
          <w:i/>
          <w:iCs/>
        </w:rPr>
        <w:t>Winstdrainage door Renteaftrek (beoordeling van artikel 10a Wet op de vennootschapsbelasting)</w:t>
      </w:r>
      <w:r>
        <w:t>”, Fiscale Monografieën nr. 113,</w:t>
      </w:r>
    </w:p>
  </w:footnote>
  <w:footnote w:id="21">
    <w:p w:rsidR="00292A58" w:rsidRDefault="00292A58" w:rsidP="00F11251">
      <w:pPr>
        <w:pStyle w:val="Voetnoottekst"/>
      </w:pPr>
      <w:r>
        <w:rPr>
          <w:rStyle w:val="Voetnootmarkering"/>
        </w:rPr>
        <w:footnoteRef/>
      </w:r>
      <w:r>
        <w:t xml:space="preserve"> </w:t>
      </w:r>
      <w:r>
        <w:t xml:space="preserve">HR 19 maart 2010, BNB 2010/215,  r.o. 4.1, </w:t>
      </w:r>
      <w:r w:rsidRPr="006906BE">
        <w:t>VS 05 Vennootschapsbelasting artikelsgewijs commentaar bij artikel 10a</w:t>
      </w:r>
      <w:r>
        <w:t>,</w:t>
      </w:r>
    </w:p>
  </w:footnote>
  <w:footnote w:id="22">
    <w:p w:rsidR="00292A58" w:rsidRPr="009E3A91" w:rsidRDefault="00292A58" w:rsidP="00F11251">
      <w:pPr>
        <w:pStyle w:val="Voetnoottekst"/>
      </w:pPr>
      <w:r>
        <w:rPr>
          <w:rStyle w:val="Voetnootmarkering"/>
        </w:rPr>
        <w:footnoteRef/>
      </w:r>
      <w:r>
        <w:t xml:space="preserve"> </w:t>
      </w:r>
      <w:r w:rsidRPr="008746E0">
        <w:t xml:space="preserve">Hiermee worden niet enkel lichamen welke zijn onderworpen aan een belastingheffing naar de winst bedoeld, zie </w:t>
      </w:r>
      <w:r>
        <w:t xml:space="preserve">HR 8 oktober 2004, </w:t>
      </w:r>
      <w:r w:rsidRPr="008746E0">
        <w:t>BNB 2005/</w:t>
      </w:r>
      <w:r w:rsidRPr="009E3A91">
        <w:t>51 met betrekking tot een niet onderworpen stichting</w:t>
      </w:r>
    </w:p>
  </w:footnote>
  <w:footnote w:id="23">
    <w:p w:rsidR="00292A58" w:rsidRPr="009E3A91" w:rsidRDefault="00292A58">
      <w:pPr>
        <w:pStyle w:val="Voetnoottekst"/>
      </w:pPr>
      <w:r w:rsidRPr="009E3A91">
        <w:rPr>
          <w:rStyle w:val="Voetnootmarkering"/>
        </w:rPr>
        <w:footnoteRef/>
      </w:r>
      <w:r w:rsidRPr="009E3A91">
        <w:t xml:space="preserve"> </w:t>
      </w:r>
      <w:r w:rsidRPr="009E3A91">
        <w:t>Artikel 10a van de Wet op de Vennootschapsbelasting 1969</w:t>
      </w:r>
    </w:p>
  </w:footnote>
  <w:footnote w:id="24">
    <w:p w:rsidR="00292A58" w:rsidRDefault="00292A58" w:rsidP="00F11251">
      <w:pPr>
        <w:pStyle w:val="Voetnoottekst"/>
      </w:pPr>
      <w:r w:rsidRPr="009E3A91">
        <w:rPr>
          <w:rStyle w:val="Voetnootmarkering"/>
        </w:rPr>
        <w:footnoteRef/>
      </w:r>
      <w:r w:rsidRPr="009E3A91">
        <w:t xml:space="preserve"> </w:t>
      </w:r>
      <w:r w:rsidRPr="009E3A91">
        <w:t>MvT, Kamerstukken II 1995/1996, 24 696, nr. 3, blz. 17</w:t>
      </w:r>
    </w:p>
  </w:footnote>
  <w:footnote w:id="25">
    <w:p w:rsidR="00292A58" w:rsidRDefault="00292A58" w:rsidP="00436BDD">
      <w:pPr>
        <w:pStyle w:val="Voetnoottekst"/>
      </w:pPr>
      <w:r>
        <w:rPr>
          <w:rStyle w:val="Voetnootmarkering"/>
        </w:rPr>
        <w:footnoteRef/>
      </w:r>
      <w:r>
        <w:t xml:space="preserve"> </w:t>
      </w:r>
      <w:r w:rsidRPr="006906BE">
        <w:t>VS 05 Vennootschapsbelasting artikelsgewijs commentaar bij artikel 10a</w:t>
      </w:r>
      <w:r>
        <w:t>, onderdeel 2.5</w:t>
      </w:r>
    </w:p>
  </w:footnote>
  <w:footnote w:id="26">
    <w:p w:rsidR="00292A58" w:rsidRDefault="00292A58" w:rsidP="00F11251">
      <w:pPr>
        <w:pStyle w:val="Voetnoottekst"/>
      </w:pPr>
      <w:r w:rsidRPr="00454805">
        <w:rPr>
          <w:rStyle w:val="Voetnootmarkering"/>
        </w:rPr>
        <w:footnoteRef/>
      </w:r>
      <w:r w:rsidRPr="00454805">
        <w:t xml:space="preserve"> </w:t>
      </w:r>
      <w:r w:rsidRPr="00454805">
        <w:t xml:space="preserve">Besluit </w:t>
      </w:r>
      <w:r>
        <w:t>Staatssecretaris</w:t>
      </w:r>
      <w:r w:rsidRPr="00454805">
        <w:t xml:space="preserve"> van Financiën van 23 december 2005, nr. Cpp2005/2662M</w:t>
      </w:r>
    </w:p>
  </w:footnote>
  <w:footnote w:id="27">
    <w:p w:rsidR="00292A58" w:rsidRDefault="00292A58" w:rsidP="00F11251">
      <w:pPr>
        <w:pStyle w:val="Voetnoottekst"/>
      </w:pPr>
      <w:r>
        <w:rPr>
          <w:rStyle w:val="Voetnootmarkering"/>
        </w:rPr>
        <w:footnoteRef/>
      </w:r>
      <w:r>
        <w:t xml:space="preserve"> </w:t>
      </w:r>
      <w:r w:rsidRPr="008746E0">
        <w:t>Besluit van 4 april 2001, nr. CPP2001/765M</w:t>
      </w:r>
      <w:r>
        <w:t xml:space="preserve">, </w:t>
      </w:r>
      <w:r w:rsidRPr="00454805">
        <w:t xml:space="preserve">O.C.R. Marres, </w:t>
      </w:r>
      <w:r>
        <w:t>“</w:t>
      </w:r>
      <w:r w:rsidRPr="00D93EF6">
        <w:rPr>
          <w:i/>
          <w:iCs/>
        </w:rPr>
        <w:t>Winstdrainage door Renteaftrek (beoordeling van artikel 10a Wet op de vennootschapsbelasting)</w:t>
      </w:r>
      <w:r>
        <w:t>”, Fiscale Monografieën nr. 113, blz 197</w:t>
      </w:r>
    </w:p>
  </w:footnote>
  <w:footnote w:id="28">
    <w:p w:rsidR="00292A58" w:rsidRDefault="00292A58" w:rsidP="00F11251">
      <w:pPr>
        <w:pStyle w:val="Voetnoottekst"/>
      </w:pPr>
      <w:r>
        <w:rPr>
          <w:rStyle w:val="Voetnootmarkering"/>
        </w:rPr>
        <w:footnoteRef/>
      </w:r>
      <w:r>
        <w:t xml:space="preserve"> </w:t>
      </w:r>
      <w:r w:rsidRPr="008746E0">
        <w:t>NV Kamerstukken II 1995/96, 24 696, nr. 5, blz. 35</w:t>
      </w:r>
    </w:p>
  </w:footnote>
  <w:footnote w:id="29">
    <w:p w:rsidR="00292A58" w:rsidRDefault="00292A58" w:rsidP="00F11251">
      <w:pPr>
        <w:pStyle w:val="Voetnoottekst"/>
      </w:pPr>
      <w:r>
        <w:rPr>
          <w:rStyle w:val="Voetnootmarkering"/>
        </w:rPr>
        <w:footnoteRef/>
      </w:r>
      <w:r>
        <w:t xml:space="preserve"> </w:t>
      </w:r>
      <w:r w:rsidRPr="008746E0">
        <w:t>MvA, Kamerstukken II 1988/89, 20 603</w:t>
      </w:r>
    </w:p>
  </w:footnote>
  <w:footnote w:id="30">
    <w:p w:rsidR="00292A58" w:rsidRDefault="00292A58" w:rsidP="00F11251">
      <w:pPr>
        <w:pStyle w:val="Voetnoottekst"/>
      </w:pPr>
      <w:r>
        <w:rPr>
          <w:rStyle w:val="Voetnootmarkering"/>
        </w:rPr>
        <w:footnoteRef/>
      </w:r>
      <w:r>
        <w:t xml:space="preserve"> </w:t>
      </w:r>
      <w:r>
        <w:t>Brief Staatssecretaris van Financiën van 11 december 2001, nr. AFP2001/920</w:t>
      </w:r>
    </w:p>
  </w:footnote>
  <w:footnote w:id="31">
    <w:p w:rsidR="00292A58" w:rsidRDefault="00292A58" w:rsidP="00F11251">
      <w:pPr>
        <w:pStyle w:val="Voetnoottekst"/>
      </w:pPr>
      <w:r>
        <w:rPr>
          <w:rStyle w:val="Voetnootmarkering"/>
        </w:rPr>
        <w:footnoteRef/>
      </w:r>
      <w:r>
        <w:t xml:space="preserve"> </w:t>
      </w:r>
      <w:r w:rsidRPr="008746E0">
        <w:t>Besluit van 17 september 2003</w:t>
      </w:r>
      <w:r>
        <w:t xml:space="preserve">, nr. CPP 2003/1731M, </w:t>
      </w:r>
    </w:p>
  </w:footnote>
  <w:footnote w:id="32">
    <w:p w:rsidR="00292A58" w:rsidRDefault="00292A58">
      <w:pPr>
        <w:pStyle w:val="Voetnoottekst"/>
      </w:pPr>
      <w:r>
        <w:rPr>
          <w:rStyle w:val="Voetnootmarkering"/>
        </w:rPr>
        <w:footnoteRef/>
      </w:r>
      <w:r>
        <w:t xml:space="preserve"> </w:t>
      </w:r>
      <w:r w:rsidRPr="00454805">
        <w:t xml:space="preserve">O.C.R. Marres, </w:t>
      </w:r>
      <w:r>
        <w:t>“</w:t>
      </w:r>
      <w:r w:rsidRPr="00D93EF6">
        <w:rPr>
          <w:i/>
          <w:iCs/>
        </w:rPr>
        <w:t>Winstdrainage door Renteaftrek (beoordeling van artikel 10a Wet op de vennootschapsbelasting)</w:t>
      </w:r>
      <w:r>
        <w:t>”, Fiscale Monografieën nr. 113,  blz. 199</w:t>
      </w:r>
    </w:p>
  </w:footnote>
  <w:footnote w:id="33">
    <w:p w:rsidR="00292A58" w:rsidRDefault="00292A58">
      <w:pPr>
        <w:pStyle w:val="Voetnoottekst"/>
      </w:pPr>
      <w:r>
        <w:rPr>
          <w:rStyle w:val="Voetnootmarkering"/>
        </w:rPr>
        <w:footnoteRef/>
      </w:r>
      <w:r>
        <w:t xml:space="preserve"> </w:t>
      </w:r>
      <w:r w:rsidRPr="00454805">
        <w:t xml:space="preserve">O.C.R. Marres, </w:t>
      </w:r>
      <w:r>
        <w:t>“</w:t>
      </w:r>
      <w:r w:rsidRPr="00D93EF6">
        <w:rPr>
          <w:i/>
          <w:iCs/>
        </w:rPr>
        <w:t>Winstdrainage door Renteaftrek (beoordeling van artikel 10a Wet op de vennootschapsbelasting)</w:t>
      </w:r>
      <w:r>
        <w:t>”, Fiscale Monografieën nr. 113, J. van Strien, “</w:t>
      </w:r>
      <w:r w:rsidRPr="009B211A">
        <w:rPr>
          <w:i/>
          <w:iCs/>
        </w:rPr>
        <w:t>Renteaftrekbeperkingen in de vennootschapsbelasting</w:t>
      </w:r>
      <w:r>
        <w:t>”, fiscale monografien nr. 119, Deventer: Kluwer, 2008, blz. 330</w:t>
      </w:r>
    </w:p>
  </w:footnote>
  <w:footnote w:id="34">
    <w:p w:rsidR="00292A58" w:rsidRDefault="00292A58">
      <w:pPr>
        <w:pStyle w:val="Voetnoottekst"/>
      </w:pPr>
      <w:r>
        <w:rPr>
          <w:rStyle w:val="Voetnootmarkering"/>
        </w:rPr>
        <w:footnoteRef/>
      </w:r>
      <w:r>
        <w:t xml:space="preserve"> </w:t>
      </w:r>
      <w:r>
        <w:t>Artikel 10a van de Wet op de Vennootschapsbelasting 1969</w:t>
      </w:r>
    </w:p>
  </w:footnote>
  <w:footnote w:id="35">
    <w:p w:rsidR="00292A58" w:rsidRDefault="00292A58">
      <w:pPr>
        <w:pStyle w:val="Voetnoottekst"/>
      </w:pPr>
      <w:r>
        <w:rPr>
          <w:rStyle w:val="Voetnootmarkering"/>
        </w:rPr>
        <w:footnoteRef/>
      </w:r>
      <w:r>
        <w:t xml:space="preserve"> </w:t>
      </w:r>
      <w:r>
        <w:t>Artikel 10a van de Wet op de Vennootschapsbelasting lid 1 sub c</w:t>
      </w:r>
    </w:p>
  </w:footnote>
  <w:footnote w:id="36">
    <w:p w:rsidR="00292A58" w:rsidRDefault="00292A58">
      <w:pPr>
        <w:pStyle w:val="Voetnoottekst"/>
      </w:pPr>
      <w:r>
        <w:rPr>
          <w:rStyle w:val="Voetnootmarkering"/>
        </w:rPr>
        <w:footnoteRef/>
      </w:r>
      <w:r>
        <w:t xml:space="preserve"> </w:t>
      </w:r>
      <w:r>
        <w:t xml:space="preserve">Kamerstukken II, 1995-1996, 24 696, nr.3, blz. 17, </w:t>
      </w:r>
      <w:r w:rsidRPr="006906BE">
        <w:t>VS 05 Vennootschapsbelasting artikelsgewijs commentaar bij artikel 10a</w:t>
      </w:r>
    </w:p>
  </w:footnote>
  <w:footnote w:id="37">
    <w:p w:rsidR="00292A58" w:rsidRDefault="00292A58" w:rsidP="00F11251">
      <w:pPr>
        <w:pStyle w:val="Voetnoottekst"/>
      </w:pPr>
      <w:r>
        <w:rPr>
          <w:rStyle w:val="Voetnootmarkering"/>
        </w:rPr>
        <w:footnoteRef/>
      </w:r>
      <w:r>
        <w:t xml:space="preserve"> </w:t>
      </w:r>
      <w:r w:rsidRPr="00454805">
        <w:t>MvT, Kamerstukken II 2005/06, 30572, nr.3, blz. 19</w:t>
      </w:r>
      <w:r>
        <w:t xml:space="preserve">, Kamerstukken II, 1995-1996, 24 696, nr.5, blz 43, </w:t>
      </w:r>
      <w:r w:rsidRPr="00454805">
        <w:t xml:space="preserve">O.C.R. Marres, </w:t>
      </w:r>
      <w:r>
        <w:t>“</w:t>
      </w:r>
      <w:r w:rsidRPr="00D93EF6">
        <w:rPr>
          <w:i/>
          <w:iCs/>
        </w:rPr>
        <w:t>Winstdrainage door Renteaftrek (beoordeling van artikel 10a Wet op de vennootschapsbelasting)</w:t>
      </w:r>
      <w:r>
        <w:t>”, Fiscale Monografieën nr. 113,</w:t>
      </w:r>
    </w:p>
  </w:footnote>
  <w:footnote w:id="38">
    <w:p w:rsidR="00292A58" w:rsidRDefault="00292A58" w:rsidP="00F11251">
      <w:pPr>
        <w:pStyle w:val="Voetnoottekst"/>
      </w:pPr>
      <w:r w:rsidRPr="00454805">
        <w:rPr>
          <w:rStyle w:val="Voetnootmarkering"/>
        </w:rPr>
        <w:footnoteRef/>
      </w:r>
      <w:r w:rsidRPr="00454805">
        <w:t xml:space="preserve"> </w:t>
      </w:r>
      <w:r w:rsidRPr="00454805">
        <w:t xml:space="preserve">c.q. hadden de handelingen “ook plaatsgevonden zonder de fiscale motieven”, O.C.R. Marres, </w:t>
      </w:r>
      <w:r>
        <w:t>“</w:t>
      </w:r>
      <w:r w:rsidRPr="00D93EF6">
        <w:rPr>
          <w:i/>
          <w:iCs/>
        </w:rPr>
        <w:t>Winstdrainage door Renteaftrek (beoordeling van artikel 10a Wet op de vennootschapsbelasting)</w:t>
      </w:r>
      <w:r>
        <w:t xml:space="preserve">”, Fiscale Monografieën nr. 113,  Deventer: Kluwer 2005, blz. 107 </w:t>
      </w:r>
    </w:p>
  </w:footnote>
  <w:footnote w:id="39">
    <w:p w:rsidR="00292A58" w:rsidRDefault="00292A58" w:rsidP="006B5F93">
      <w:pPr>
        <w:pStyle w:val="Voetnoottekst"/>
      </w:pPr>
      <w:r>
        <w:rPr>
          <w:rStyle w:val="Voetnootmarkering"/>
        </w:rPr>
        <w:footnoteRef/>
      </w:r>
      <w:r>
        <w:t xml:space="preserve"> </w:t>
      </w:r>
      <w:r>
        <w:t>Artikel 10a van de Wet op de Vennootschapsbelasting 1969 lid 3</w:t>
      </w:r>
    </w:p>
  </w:footnote>
  <w:footnote w:id="40">
    <w:p w:rsidR="00292A58" w:rsidRDefault="00292A58" w:rsidP="00F11251">
      <w:pPr>
        <w:pStyle w:val="Voetnoottekst"/>
      </w:pPr>
      <w:r w:rsidRPr="00454805">
        <w:rPr>
          <w:rStyle w:val="Voetnootmarkering"/>
        </w:rPr>
        <w:footnoteRef/>
      </w:r>
      <w:r w:rsidRPr="00454805">
        <w:t xml:space="preserve"> </w:t>
      </w:r>
      <w:r w:rsidRPr="00454805">
        <w:t>Kamerstukken II 2005/06, 30572, nr.8, blz. 45-46</w:t>
      </w:r>
    </w:p>
  </w:footnote>
  <w:footnote w:id="41">
    <w:p w:rsidR="00292A58" w:rsidRDefault="00292A58" w:rsidP="00F11251">
      <w:pPr>
        <w:pStyle w:val="Voetnoottekst"/>
      </w:pPr>
      <w:r w:rsidRPr="00454805">
        <w:rPr>
          <w:rStyle w:val="Voetnootmarkering"/>
        </w:rPr>
        <w:footnoteRef/>
      </w:r>
      <w:r w:rsidRPr="00454805">
        <w:t xml:space="preserve"> </w:t>
      </w:r>
      <w:r w:rsidRPr="00454805">
        <w:t>Kamerstukken II 2007/08, 31205, nr.25</w:t>
      </w:r>
    </w:p>
  </w:footnote>
  <w:footnote w:id="42">
    <w:p w:rsidR="00292A58" w:rsidRDefault="00292A58" w:rsidP="00F11251">
      <w:pPr>
        <w:pStyle w:val="Voetnoottekst"/>
      </w:pPr>
      <w:r w:rsidRPr="00454805">
        <w:rPr>
          <w:rStyle w:val="Voetnootmarkering"/>
        </w:rPr>
        <w:footnoteRef/>
      </w:r>
      <w:r w:rsidRPr="00454805">
        <w:t xml:space="preserve"> </w:t>
      </w:r>
      <w:r w:rsidRPr="00454805">
        <w:t>Kamerstukken II 1995/96, 24 696, nr.5, blz. 32</w:t>
      </w:r>
    </w:p>
  </w:footnote>
  <w:footnote w:id="43">
    <w:p w:rsidR="00292A58" w:rsidRDefault="00292A58" w:rsidP="00F11251">
      <w:pPr>
        <w:pStyle w:val="Voetnoottekst"/>
      </w:pPr>
      <w:r w:rsidRPr="00454805">
        <w:rPr>
          <w:rStyle w:val="Voetnootmarkering"/>
        </w:rPr>
        <w:footnoteRef/>
      </w:r>
      <w:r w:rsidRPr="00454805">
        <w:t xml:space="preserve"> </w:t>
      </w:r>
      <w:r w:rsidRPr="00454805">
        <w:t xml:space="preserve">Besluit </w:t>
      </w:r>
      <w:r>
        <w:t>Staatssecretaris</w:t>
      </w:r>
      <w:r w:rsidRPr="00454805">
        <w:t xml:space="preserve"> van Financiën van 2 november 2001, nr. CPP2001/2359M</w:t>
      </w:r>
      <w:r>
        <w:t>, BNB 2002/59</w:t>
      </w:r>
    </w:p>
  </w:footnote>
  <w:footnote w:id="44">
    <w:p w:rsidR="00292A58" w:rsidRDefault="00292A58" w:rsidP="00F11251">
      <w:pPr>
        <w:pStyle w:val="Voetnoottekst"/>
      </w:pPr>
      <w:r w:rsidRPr="00454805">
        <w:rPr>
          <w:rStyle w:val="Voetnootmarkering"/>
        </w:rPr>
        <w:footnoteRef/>
      </w:r>
      <w:r w:rsidRPr="00454805">
        <w:t xml:space="preserve"> </w:t>
      </w:r>
      <w:r w:rsidRPr="00454805">
        <w:t>MvT, Kamerstukken II 1995/96, 24696, nr. 3, blz. 20</w:t>
      </w:r>
    </w:p>
  </w:footnote>
  <w:footnote w:id="45">
    <w:p w:rsidR="00292A58" w:rsidRDefault="00292A58" w:rsidP="00F11251">
      <w:pPr>
        <w:pStyle w:val="Voetnoottekst"/>
      </w:pPr>
      <w:r w:rsidRPr="00454805">
        <w:rPr>
          <w:rStyle w:val="Voetnootmarkering"/>
        </w:rPr>
        <w:footnoteRef/>
      </w:r>
      <w:r w:rsidRPr="00454805">
        <w:t xml:space="preserve"> </w:t>
      </w:r>
      <w:r>
        <w:t xml:space="preserve">HR 11 juli 2008, </w:t>
      </w:r>
      <w:r w:rsidRPr="00454805">
        <w:t>BNB 2008/266</w:t>
      </w:r>
      <w:r>
        <w:t xml:space="preserve">, </w:t>
      </w:r>
      <w:r w:rsidRPr="006906BE">
        <w:t>VS 05 Vennootschapsbelasting artikelsgewijs commentaar bij artikel 10a</w:t>
      </w:r>
      <w:r>
        <w:t>,</w:t>
      </w:r>
    </w:p>
  </w:footnote>
  <w:footnote w:id="46">
    <w:p w:rsidR="00292A58" w:rsidRDefault="00292A58" w:rsidP="00F11251">
      <w:pPr>
        <w:pStyle w:val="Voetnoottekst"/>
      </w:pPr>
      <w:r w:rsidRPr="00454805">
        <w:rPr>
          <w:rStyle w:val="Voetnootmarkering"/>
        </w:rPr>
        <w:footnoteRef/>
      </w:r>
      <w:r w:rsidRPr="00454805">
        <w:t xml:space="preserve"> </w:t>
      </w:r>
      <w:r w:rsidRPr="00454805">
        <w:t>MvT Kamerstukken II 2005/06</w:t>
      </w:r>
      <w:r>
        <w:t>,</w:t>
      </w:r>
      <w:r w:rsidRPr="00454805">
        <w:t xml:space="preserve"> 30 572, nr. 3, blz. 58-59</w:t>
      </w:r>
    </w:p>
  </w:footnote>
  <w:footnote w:id="47">
    <w:p w:rsidR="00292A58" w:rsidRDefault="00292A58" w:rsidP="00F11251">
      <w:pPr>
        <w:pStyle w:val="Voetnoottekst"/>
      </w:pPr>
      <w:r w:rsidRPr="007D096A">
        <w:rPr>
          <w:rStyle w:val="Voetnootmarkering"/>
        </w:rPr>
        <w:footnoteRef/>
      </w:r>
      <w:r w:rsidRPr="007D096A">
        <w:t xml:space="preserve"> </w:t>
      </w:r>
      <w:r w:rsidRPr="007D096A">
        <w:t>Dit oogmerk dient aannemelijk te worden gemaakt door de inspecteur</w:t>
      </w:r>
      <w:r>
        <w:t xml:space="preserve">, </w:t>
      </w:r>
      <w:r w:rsidRPr="006906BE">
        <w:t>VS 05 Vennootschapsbelasting artikelsgewijs commentaar bij artikel 10a</w:t>
      </w:r>
    </w:p>
  </w:footnote>
  <w:footnote w:id="48">
    <w:p w:rsidR="00292A58" w:rsidRDefault="00292A58" w:rsidP="00F11251">
      <w:pPr>
        <w:pStyle w:val="Voetnoottekst"/>
      </w:pPr>
      <w:r w:rsidRPr="00454805">
        <w:rPr>
          <w:rStyle w:val="Voetnootmarkering"/>
        </w:rPr>
        <w:footnoteRef/>
      </w:r>
      <w:r w:rsidRPr="00454805">
        <w:t xml:space="preserve"> </w:t>
      </w:r>
      <w:r w:rsidRPr="00454805">
        <w:t xml:space="preserve">VS </w:t>
      </w:r>
      <w:r>
        <w:t xml:space="preserve">05 Vennootschapsbelasting 1969, </w:t>
      </w:r>
      <w:r w:rsidRPr="00454805">
        <w:t xml:space="preserve">artikelsgewijs commentaar art 10a Vpb, </w:t>
      </w:r>
      <w:r>
        <w:t>aantekening 4</w:t>
      </w:r>
    </w:p>
  </w:footnote>
  <w:footnote w:id="49">
    <w:p w:rsidR="00292A58" w:rsidRDefault="00292A58" w:rsidP="00F11251">
      <w:pPr>
        <w:pStyle w:val="Voetnoottekst"/>
      </w:pPr>
      <w:r w:rsidRPr="00454805">
        <w:rPr>
          <w:rStyle w:val="Voetnootmarkering"/>
        </w:rPr>
        <w:footnoteRef/>
      </w:r>
      <w:r>
        <w:t xml:space="preserve"> </w:t>
      </w:r>
      <w:r>
        <w:t>Kamerstukken II 2007/</w:t>
      </w:r>
      <w:r w:rsidRPr="00454805">
        <w:t xml:space="preserve">2008, 31206, nr. 7 </w:t>
      </w:r>
      <w:r>
        <w:t>blz.</w:t>
      </w:r>
      <w:r w:rsidRPr="00454805">
        <w:t xml:space="preserve"> 8 en 12</w:t>
      </w:r>
    </w:p>
  </w:footnote>
  <w:footnote w:id="50">
    <w:p w:rsidR="00292A58" w:rsidRDefault="00292A58" w:rsidP="00F11251">
      <w:pPr>
        <w:pStyle w:val="Voetnoottekst"/>
      </w:pPr>
      <w:r>
        <w:rPr>
          <w:rStyle w:val="Voetnootmarkering"/>
        </w:rPr>
        <w:footnoteRef/>
      </w:r>
      <w:r w:rsidRPr="00B63965">
        <w:t xml:space="preserve"> </w:t>
      </w:r>
      <w:r>
        <w:t>HvJ EG</w:t>
      </w:r>
      <w:r w:rsidRPr="00B63965">
        <w:t>, 12 september 2006, zaak c-196/04 (</w:t>
      </w:r>
      <w:r w:rsidRPr="00D93EF6">
        <w:rPr>
          <w:i/>
          <w:iCs/>
        </w:rPr>
        <w:t>Cadbury Schweppes</w:t>
      </w:r>
      <w:r w:rsidRPr="00B63965">
        <w:t>)  r.o. 72</w:t>
      </w:r>
    </w:p>
  </w:footnote>
  <w:footnote w:id="51">
    <w:p w:rsidR="00292A58" w:rsidRDefault="00292A58" w:rsidP="00F11251">
      <w:pPr>
        <w:pStyle w:val="Voetnoottekst"/>
      </w:pPr>
      <w:r>
        <w:rPr>
          <w:rStyle w:val="Voetnootmarkering"/>
        </w:rPr>
        <w:footnoteRef/>
      </w:r>
      <w:r>
        <w:t xml:space="preserve"> </w:t>
      </w:r>
      <w:r w:rsidRPr="008746E0">
        <w:t>MvT, Kamerstukken II 1995/96, 24 696, nr. 3</w:t>
      </w:r>
    </w:p>
  </w:footnote>
  <w:footnote w:id="52">
    <w:p w:rsidR="00292A58" w:rsidRDefault="00292A58" w:rsidP="00F11251">
      <w:pPr>
        <w:pStyle w:val="Voetnoottekst"/>
      </w:pPr>
      <w:r>
        <w:rPr>
          <w:rStyle w:val="Voetnootmarkering"/>
        </w:rPr>
        <w:footnoteRef/>
      </w:r>
      <w:r>
        <w:t xml:space="preserve"> </w:t>
      </w:r>
      <w:r w:rsidRPr="008746E0">
        <w:t>NV, Kamerstukken II 2005/06, 30 572, nr. 8</w:t>
      </w:r>
    </w:p>
  </w:footnote>
  <w:footnote w:id="53">
    <w:p w:rsidR="00292A58" w:rsidRDefault="00292A58">
      <w:pPr>
        <w:pStyle w:val="Voetnoottekst"/>
      </w:pPr>
      <w:r>
        <w:rPr>
          <w:rStyle w:val="Voetnootmarkering"/>
        </w:rPr>
        <w:footnoteRef/>
      </w:r>
      <w:r>
        <w:t xml:space="preserve"> </w:t>
      </w:r>
      <w:r w:rsidRPr="006906BE">
        <w:t>VS 05 Vennootschapsbelasting artikelsgewijs commentaar bij artikel 10a</w:t>
      </w:r>
      <w:r>
        <w:t>,</w:t>
      </w:r>
    </w:p>
  </w:footnote>
  <w:footnote w:id="54">
    <w:p w:rsidR="00292A58" w:rsidRDefault="00292A58">
      <w:pPr>
        <w:pStyle w:val="Voetnoottekst"/>
      </w:pPr>
      <w:r>
        <w:rPr>
          <w:rStyle w:val="Voetnootmarkering"/>
        </w:rPr>
        <w:footnoteRef/>
      </w:r>
      <w:r>
        <w:t xml:space="preserve"> </w:t>
      </w:r>
      <w:r>
        <w:t>. Doornebal, “</w:t>
      </w:r>
      <w:r>
        <w:rPr>
          <w:i/>
          <w:iCs/>
        </w:rPr>
        <w:t>D</w:t>
      </w:r>
      <w:r w:rsidRPr="009B211A">
        <w:rPr>
          <w:i/>
          <w:iCs/>
        </w:rPr>
        <w:t>e opmars van het zakelijkheidscriterium</w:t>
      </w:r>
      <w:r>
        <w:t>”,</w:t>
      </w:r>
      <w:r w:rsidRPr="00274432">
        <w:t xml:space="preserve"> </w:t>
      </w:r>
      <w:r w:rsidRPr="008746E0">
        <w:t>TFO 2001/153</w:t>
      </w:r>
      <w:r>
        <w:t>, J</w:t>
      </w:r>
      <w:r w:rsidRPr="007F0C65">
        <w:t xml:space="preserve"> </w:t>
      </w:r>
      <w:r>
        <w:t>van Strien, “</w:t>
      </w:r>
      <w:r w:rsidRPr="009B211A">
        <w:rPr>
          <w:i/>
          <w:iCs/>
        </w:rPr>
        <w:t>Renteaftrekbeperkingen in de vennootschapsbelasting</w:t>
      </w:r>
      <w:r>
        <w:t>”, fiscale monografien nr. 119, Deventer: Kluwer, 2008.</w:t>
      </w:r>
    </w:p>
  </w:footnote>
  <w:footnote w:id="55">
    <w:p w:rsidR="00292A58" w:rsidRDefault="00292A58" w:rsidP="00075252">
      <w:pPr>
        <w:pStyle w:val="Voetnoottekst"/>
      </w:pPr>
      <w:r>
        <w:rPr>
          <w:rStyle w:val="Voetnootmarkering"/>
        </w:rPr>
        <w:footnoteRef/>
      </w:r>
      <w:r>
        <w:t xml:space="preserve"> </w:t>
      </w:r>
      <w:r>
        <w:t>J. Doornebal, “</w:t>
      </w:r>
      <w:r>
        <w:rPr>
          <w:i/>
          <w:iCs/>
        </w:rPr>
        <w:t>D</w:t>
      </w:r>
      <w:r w:rsidRPr="009B211A">
        <w:rPr>
          <w:i/>
          <w:iCs/>
        </w:rPr>
        <w:t>e opmars van het zakelijkheidscriterium</w:t>
      </w:r>
      <w:r>
        <w:t>”,</w:t>
      </w:r>
      <w:r w:rsidRPr="00274432">
        <w:t xml:space="preserve"> </w:t>
      </w:r>
      <w:r w:rsidRPr="008746E0">
        <w:t>TFO 2001/153</w:t>
      </w:r>
    </w:p>
  </w:footnote>
  <w:footnote w:id="56">
    <w:p w:rsidR="00292A58" w:rsidRDefault="00292A58" w:rsidP="008048D0">
      <w:pPr>
        <w:pStyle w:val="Voetnoottekst"/>
      </w:pPr>
      <w:r>
        <w:rPr>
          <w:rStyle w:val="Voetnootmarkering"/>
        </w:rPr>
        <w:footnoteRef/>
      </w:r>
      <w:r>
        <w:t xml:space="preserve"> </w:t>
      </w:r>
      <w:r>
        <w:t>In de literatuur is naar aanleiding van het arrest van de HR 9 mei 2008, BNB 2008/191 discussie ontstaan over de correcte gevolgtrekking omtrent de status van een geldverstrekking ten gevolge van de vaststelling van onzakelijke omstandigheden. Mijns inziens doet dit, vanwege het tweede argument met betrekking tot de Fusierichtlijn alsmede de bij het bovengenoemde arrest behorende noot van P.G.H. Alberts, echter niet af aan de uiteindelijke conclusie omtrent de invulling van het zakelijkheidscriterium in de context van art. 10a Wet VpB.</w:t>
      </w:r>
    </w:p>
  </w:footnote>
  <w:footnote w:id="57">
    <w:p w:rsidR="00292A58" w:rsidRDefault="00292A58" w:rsidP="00F11251">
      <w:pPr>
        <w:pStyle w:val="Voetnoottekst"/>
      </w:pPr>
      <w:r>
        <w:rPr>
          <w:rStyle w:val="Voetnootmarkering"/>
        </w:rPr>
        <w:footnoteRef/>
      </w:r>
      <w:r>
        <w:t xml:space="preserve"> </w:t>
      </w:r>
      <w:r>
        <w:t>Kamerstukken II 1996/97, 24 6969, nr. 8, p. 7 en 8</w:t>
      </w:r>
    </w:p>
  </w:footnote>
  <w:footnote w:id="58">
    <w:p w:rsidR="00292A58" w:rsidRDefault="00292A58" w:rsidP="00F11251">
      <w:pPr>
        <w:pStyle w:val="Voetnoottekst"/>
      </w:pPr>
      <w:r>
        <w:rPr>
          <w:rStyle w:val="Voetnootmarkering"/>
        </w:rPr>
        <w:footnoteRef/>
      </w:r>
      <w:r>
        <w:t xml:space="preserve"> </w:t>
      </w:r>
      <w:r>
        <w:t>A.J. van Soest, “</w:t>
      </w:r>
      <w:r w:rsidRPr="009B211A">
        <w:rPr>
          <w:i/>
          <w:iCs/>
        </w:rPr>
        <w:t>Belastingen, 2007,  (Inkomstenbelasting Vennootschapsbelasting Besluit voorkoming dubbele belasting 2001 Nederlands Standaardverdrag belastingen)</w:t>
      </w:r>
      <w:r>
        <w:t>” Deventer: Kluwer, 2007, J</w:t>
      </w:r>
      <w:r w:rsidRPr="007F0C65">
        <w:t xml:space="preserve"> </w:t>
      </w:r>
      <w:r>
        <w:t>van Strien, “</w:t>
      </w:r>
      <w:r w:rsidRPr="009B211A">
        <w:rPr>
          <w:i/>
          <w:iCs/>
        </w:rPr>
        <w:t>Renteaftrekbeperkingen in de vennootschapsbelasting</w:t>
      </w:r>
      <w:r>
        <w:t>”, fiscale monografien nr. 119, Deventer: Kluwer, 2008, blz. 170</w:t>
      </w:r>
    </w:p>
  </w:footnote>
  <w:footnote w:id="59">
    <w:p w:rsidR="00292A58" w:rsidRDefault="00292A58" w:rsidP="009C1BC8">
      <w:pPr>
        <w:pStyle w:val="Voetnoottekst"/>
      </w:pPr>
      <w:r>
        <w:rPr>
          <w:rStyle w:val="Voetnootmarkering"/>
        </w:rPr>
        <w:footnoteRef/>
      </w:r>
      <w:r>
        <w:t xml:space="preserve"> </w:t>
      </w:r>
      <w:r>
        <w:t>J</w:t>
      </w:r>
      <w:r w:rsidRPr="007F0C65">
        <w:t xml:space="preserve"> </w:t>
      </w:r>
      <w:r>
        <w:t>van Strien, “</w:t>
      </w:r>
      <w:r w:rsidRPr="009B211A">
        <w:rPr>
          <w:i/>
          <w:iCs/>
        </w:rPr>
        <w:t>Renteaftrekbeperkingen in de vennootschapsbelasting</w:t>
      </w:r>
      <w:r>
        <w:t xml:space="preserve">”, fiscale monografien nr. 119, Deventer: Kluwer, 2008, </w:t>
      </w:r>
      <w:r w:rsidRPr="00454805">
        <w:t xml:space="preserve">O.C.R. Marres, </w:t>
      </w:r>
      <w:r>
        <w:t>“</w:t>
      </w:r>
      <w:r w:rsidRPr="00D93EF6">
        <w:rPr>
          <w:i/>
          <w:iCs/>
        </w:rPr>
        <w:t>Winstdrainage door Renteaftrek (beoordeling van artikel 10a Wet op de vennootschapsbelasting)</w:t>
      </w:r>
      <w:r>
        <w:t>”, Fiscale Monografieën nr. 113,  Deventer: Kluwer 2005, blz. 107</w:t>
      </w:r>
    </w:p>
  </w:footnote>
  <w:footnote w:id="60">
    <w:p w:rsidR="00292A58" w:rsidRDefault="00292A58">
      <w:pPr>
        <w:pStyle w:val="Voetnoottekst"/>
      </w:pPr>
      <w:r>
        <w:rPr>
          <w:rStyle w:val="Voetnootmarkering"/>
        </w:rPr>
        <w:footnoteRef/>
      </w:r>
      <w:r>
        <w:t xml:space="preserve"> </w:t>
      </w:r>
      <w:r>
        <w:t>Richtlijn van de Raad van 23 juli 1990, (90/434/EEG)</w:t>
      </w:r>
    </w:p>
  </w:footnote>
  <w:footnote w:id="61">
    <w:p w:rsidR="00292A58" w:rsidRDefault="00292A58" w:rsidP="00F11251">
      <w:pPr>
        <w:pStyle w:val="Voetnoottekst"/>
      </w:pPr>
      <w:r>
        <w:rPr>
          <w:rStyle w:val="Voetnootmarkering"/>
        </w:rPr>
        <w:footnoteRef/>
      </w:r>
      <w:r>
        <w:t xml:space="preserve"> </w:t>
      </w:r>
      <w:r>
        <w:t>Hof Amsterdam, 30 januari 2002, VN 2002/20.10 alsmede HvJ EG</w:t>
      </w:r>
      <w:r w:rsidRPr="002D73B1">
        <w:t xml:space="preserve"> 20 mei 2010, zaak C-352/08 (</w:t>
      </w:r>
      <w:r>
        <w:rPr>
          <w:i/>
        </w:rPr>
        <w:t>Zwijnenburg</w:t>
      </w:r>
      <w:r>
        <w:rPr>
          <w:iCs/>
        </w:rPr>
        <w:t>)</w:t>
      </w:r>
    </w:p>
  </w:footnote>
  <w:footnote w:id="62">
    <w:p w:rsidR="00292A58" w:rsidRDefault="00292A58" w:rsidP="00BB6887">
      <w:pPr>
        <w:pStyle w:val="Voetnoottekst"/>
      </w:pPr>
      <w:r>
        <w:rPr>
          <w:rStyle w:val="Voetnootmarkering"/>
        </w:rPr>
        <w:footnoteRef/>
      </w:r>
      <w:r>
        <w:t xml:space="preserve"> </w:t>
      </w:r>
      <w:r>
        <w:t>HvJ EG, 17 juli 1997, zaak C28/95 (</w:t>
      </w:r>
      <w:r>
        <w:rPr>
          <w:i/>
          <w:iCs/>
        </w:rPr>
        <w:t>Leur-</w:t>
      </w:r>
      <w:r w:rsidRPr="00D93EF6">
        <w:rPr>
          <w:i/>
          <w:iCs/>
        </w:rPr>
        <w:t>Bloem</w:t>
      </w:r>
      <w:r>
        <w:t xml:space="preserve">), </w:t>
      </w:r>
      <w:r w:rsidRPr="00DB0C9F">
        <w:t xml:space="preserve"> r.o. 34</w:t>
      </w:r>
      <w:r>
        <w:t xml:space="preserve">, HR 11 juli 2008 annotatie J.A.G. van der Geld </w:t>
      </w:r>
    </w:p>
  </w:footnote>
  <w:footnote w:id="63">
    <w:p w:rsidR="00292A58" w:rsidRDefault="00292A58">
      <w:pPr>
        <w:pStyle w:val="Voetnoottekst"/>
      </w:pPr>
      <w:r>
        <w:rPr>
          <w:rStyle w:val="Voetnootmarkering"/>
        </w:rPr>
        <w:footnoteRef/>
      </w:r>
      <w:r>
        <w:t xml:space="preserve"> </w:t>
      </w:r>
      <w:r w:rsidRPr="00454805">
        <w:t xml:space="preserve">MvT, Kamerstukken II </w:t>
      </w:r>
      <w:r>
        <w:t xml:space="preserve">1995/96, 24 696, nr. 3, blz. 11, </w:t>
      </w:r>
      <w:r w:rsidRPr="006906BE">
        <w:t>VS 05 Vennootschapsbelasting artikelsgewijs commentaar bij artikel 10a</w:t>
      </w:r>
    </w:p>
  </w:footnote>
  <w:footnote w:id="64">
    <w:p w:rsidR="00292A58" w:rsidRDefault="00292A58" w:rsidP="00F11251">
      <w:pPr>
        <w:pStyle w:val="Voetnoottekst"/>
      </w:pPr>
      <w:r>
        <w:rPr>
          <w:rStyle w:val="Voetnootmarkering"/>
        </w:rPr>
        <w:footnoteRef/>
      </w:r>
      <w:r>
        <w:t xml:space="preserve">Besluit van 6 augustus 2002, nr. CPP2002/737, </w:t>
      </w:r>
      <w:r w:rsidRPr="008746E0">
        <w:t>BNB 2002/59</w:t>
      </w:r>
    </w:p>
  </w:footnote>
  <w:footnote w:id="65">
    <w:p w:rsidR="00292A58" w:rsidRDefault="00292A58">
      <w:pPr>
        <w:pStyle w:val="Voetnoottekst"/>
      </w:pPr>
      <w:r>
        <w:rPr>
          <w:rStyle w:val="Voetnootmarkering"/>
        </w:rPr>
        <w:footnoteRef/>
      </w:r>
      <w:r>
        <w:t xml:space="preserve"> </w:t>
      </w:r>
      <w:r w:rsidRPr="006906BE">
        <w:t>VS 05 Vennootschapsbelasting artikelsgewijs commentaar bij artikel 10a</w:t>
      </w:r>
    </w:p>
  </w:footnote>
  <w:footnote w:id="66">
    <w:p w:rsidR="00292A58" w:rsidRDefault="00292A58" w:rsidP="00F11251">
      <w:pPr>
        <w:pStyle w:val="Voetnoottekst"/>
      </w:pPr>
      <w:r>
        <w:rPr>
          <w:rStyle w:val="Voetnootmarkering"/>
        </w:rPr>
        <w:footnoteRef/>
      </w:r>
      <w:r>
        <w:t xml:space="preserve"> </w:t>
      </w:r>
      <w:r>
        <w:t>HR 11 juli 2008, BNB 2008/266 conclusie A-G W</w:t>
      </w:r>
      <w:r w:rsidRPr="008746E0">
        <w:t>attel</w:t>
      </w:r>
      <w:r>
        <w:t>,</w:t>
      </w:r>
      <w:r w:rsidRPr="008746E0">
        <w:t xml:space="preserve"> </w:t>
      </w:r>
      <w:r>
        <w:t xml:space="preserve">r.o. </w:t>
      </w:r>
      <w:r w:rsidRPr="008746E0">
        <w:t>5.24</w:t>
      </w:r>
    </w:p>
  </w:footnote>
  <w:footnote w:id="67">
    <w:p w:rsidR="00292A58" w:rsidRDefault="00292A58" w:rsidP="00BB6887">
      <w:pPr>
        <w:pStyle w:val="Voetnoottekst"/>
      </w:pPr>
      <w:r>
        <w:rPr>
          <w:rStyle w:val="Voetnootmarkering"/>
        </w:rPr>
        <w:footnoteRef/>
      </w:r>
      <w:r w:rsidRPr="00BB6887">
        <w:t xml:space="preserve"> </w:t>
      </w:r>
      <w:r w:rsidRPr="00BB6887">
        <w:t xml:space="preserve">HR 11 juli 2008, BNB 2008/266,  r.o. 3.4.2., </w:t>
      </w:r>
      <w:r w:rsidRPr="00CB6594">
        <w:t>HR 19 maart 2010,</w:t>
      </w:r>
      <w:r>
        <w:t xml:space="preserve"> BNB 2010/215, m.n. noot Marres</w:t>
      </w:r>
    </w:p>
  </w:footnote>
  <w:footnote w:id="68">
    <w:p w:rsidR="00292A58" w:rsidRDefault="00292A58" w:rsidP="00F11251">
      <w:pPr>
        <w:pStyle w:val="Voetnoottekst"/>
      </w:pPr>
      <w:r>
        <w:rPr>
          <w:rStyle w:val="Voetnootmarkering"/>
        </w:rPr>
        <w:footnoteRef/>
      </w:r>
      <w:r>
        <w:t xml:space="preserve"> </w:t>
      </w:r>
      <w:r>
        <w:t xml:space="preserve">HR 19 maart 2010, </w:t>
      </w:r>
      <w:r w:rsidRPr="008746E0">
        <w:t>BNB 2010/215 r.o. 4.1.2</w:t>
      </w:r>
    </w:p>
  </w:footnote>
  <w:footnote w:id="69">
    <w:p w:rsidR="00292A58" w:rsidRDefault="00292A58" w:rsidP="00F11251">
      <w:pPr>
        <w:pStyle w:val="Voetnoottekst"/>
      </w:pPr>
      <w:r>
        <w:rPr>
          <w:rStyle w:val="Voetnootmarkering"/>
        </w:rPr>
        <w:footnoteRef/>
      </w:r>
      <w:r w:rsidRPr="00CB6594">
        <w:t xml:space="preserve"> </w:t>
      </w:r>
      <w:r w:rsidRPr="00CB6594">
        <w:t>HR 19 maart 2010, BNB 2010/215, m.n. noot Marres r.o. 3</w:t>
      </w:r>
    </w:p>
  </w:footnote>
  <w:footnote w:id="70">
    <w:p w:rsidR="00292A58" w:rsidRDefault="00292A58">
      <w:pPr>
        <w:pStyle w:val="Voetnoottekst"/>
      </w:pPr>
      <w:r>
        <w:rPr>
          <w:rStyle w:val="Voetnootmarkering"/>
        </w:rPr>
        <w:footnoteRef/>
      </w:r>
      <w:r>
        <w:t xml:space="preserve"> </w:t>
      </w:r>
      <w:r w:rsidRPr="00622ECB">
        <w:t>Kamerstukken II</w:t>
      </w:r>
      <w:r>
        <w:t xml:space="preserve"> </w:t>
      </w:r>
      <w:r w:rsidRPr="00622ECB">
        <w:t xml:space="preserve"> 2007/08 31 206</w:t>
      </w:r>
      <w:r>
        <w:t xml:space="preserve"> nr.7,  blz. 8 en 12</w:t>
      </w:r>
    </w:p>
  </w:footnote>
  <w:footnote w:id="71">
    <w:p w:rsidR="00292A58" w:rsidRDefault="00292A58" w:rsidP="00F11251">
      <w:pPr>
        <w:pStyle w:val="Voetnoottekst"/>
      </w:pPr>
      <w:r w:rsidRPr="00454805">
        <w:rPr>
          <w:rStyle w:val="Voetnootmarkering"/>
        </w:rPr>
        <w:footnoteRef/>
      </w:r>
      <w:r w:rsidRPr="00454805">
        <w:t xml:space="preserve"> </w:t>
      </w:r>
      <w:r w:rsidRPr="00454805">
        <w:t>Kamerstukken II 2007/08,</w:t>
      </w:r>
      <w:r>
        <w:t xml:space="preserve"> 31 205, </w:t>
      </w:r>
      <w:r w:rsidRPr="00454805">
        <w:t>nr. 25</w:t>
      </w:r>
    </w:p>
  </w:footnote>
  <w:footnote w:id="72">
    <w:p w:rsidR="00292A58" w:rsidRDefault="00292A58" w:rsidP="00F11251">
      <w:pPr>
        <w:pStyle w:val="Voetnoottekst"/>
      </w:pPr>
      <w:r w:rsidRPr="00454805">
        <w:rPr>
          <w:rStyle w:val="Voetnootmarkering"/>
        </w:rPr>
        <w:footnoteRef/>
      </w:r>
      <w:r>
        <w:t xml:space="preserve"> </w:t>
      </w:r>
      <w:r>
        <w:t>R.P.C.W.M. Brandsma en  S.H. Boers, “</w:t>
      </w:r>
      <w:r w:rsidRPr="009B211A">
        <w:rPr>
          <w:i/>
          <w:iCs/>
        </w:rPr>
        <w:t>De nieuwe bijzin in art. 10a, derde lid Wet VpB 1969</w:t>
      </w:r>
      <w:r>
        <w:t xml:space="preserve">”, </w:t>
      </w:r>
      <w:r w:rsidRPr="00454805">
        <w:t>WFR 2007/1369</w:t>
      </w:r>
    </w:p>
  </w:footnote>
  <w:footnote w:id="73">
    <w:p w:rsidR="00292A58" w:rsidRDefault="00292A58">
      <w:pPr>
        <w:pStyle w:val="Voetnoottekst"/>
      </w:pPr>
      <w:r>
        <w:rPr>
          <w:rStyle w:val="Voetnootmarkering"/>
        </w:rPr>
        <w:footnoteRef/>
      </w:r>
      <w:r>
        <w:t xml:space="preserve"> </w:t>
      </w:r>
      <w:r w:rsidRPr="00454805">
        <w:t xml:space="preserve">O.C.R. Marres, </w:t>
      </w:r>
      <w:r>
        <w:t>“</w:t>
      </w:r>
      <w:r w:rsidRPr="00D93EF6">
        <w:rPr>
          <w:i/>
          <w:iCs/>
        </w:rPr>
        <w:t>Winstdrainage door Renteaftrek (beoordeling van artikel 10a Wet op de vennootschapsbelasting)</w:t>
      </w:r>
      <w:r>
        <w:t>”, Fiscale Monografieën nr. 113</w:t>
      </w:r>
    </w:p>
  </w:footnote>
  <w:footnote w:id="74">
    <w:p w:rsidR="00292A58" w:rsidRDefault="00292A58">
      <w:pPr>
        <w:pStyle w:val="Voetnoottekst"/>
      </w:pPr>
      <w:r>
        <w:rPr>
          <w:rStyle w:val="Voetnootmarkering"/>
        </w:rPr>
        <w:footnoteRef/>
      </w:r>
      <w:r>
        <w:t xml:space="preserve"> </w:t>
      </w:r>
      <w:r>
        <w:t>S.E.Faber en J.A.G. van der Geld, “</w:t>
      </w:r>
      <w:r>
        <w:rPr>
          <w:i/>
          <w:iCs/>
        </w:rPr>
        <w:t xml:space="preserve">Het wetsvoorstel tegen winstdrainage en ter versterking van de fiscale </w:t>
      </w:r>
      <w:r w:rsidRPr="00071577">
        <w:t>infrastructuur</w:t>
      </w:r>
      <w:r>
        <w:t xml:space="preserve">”, </w:t>
      </w:r>
      <w:r w:rsidRPr="00071577">
        <w:t>WFR</w:t>
      </w:r>
      <w:r w:rsidRPr="00454805">
        <w:t xml:space="preserve"> 1996/749</w:t>
      </w:r>
    </w:p>
  </w:footnote>
  <w:footnote w:id="75">
    <w:p w:rsidR="00292A58" w:rsidRDefault="00292A58">
      <w:pPr>
        <w:pStyle w:val="Voetnoottekst"/>
      </w:pPr>
      <w:r>
        <w:rPr>
          <w:rStyle w:val="Voetnootmarkering"/>
        </w:rPr>
        <w:footnoteRef/>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r>
        <w:t>, blz. 151</w:t>
      </w:r>
    </w:p>
  </w:footnote>
  <w:footnote w:id="76">
    <w:p w:rsidR="00292A58" w:rsidRPr="00347436" w:rsidRDefault="00292A58" w:rsidP="00DF0760">
      <w:pPr>
        <w:spacing w:line="360" w:lineRule="auto"/>
        <w:rPr>
          <w:bCs/>
          <w:lang w:eastAsia="nl-NL"/>
        </w:rPr>
      </w:pPr>
      <w:r>
        <w:rPr>
          <w:rStyle w:val="Voetnootmarkering"/>
        </w:rPr>
        <w:footnoteRef/>
      </w:r>
      <w:r>
        <w:t xml:space="preserve"> </w:t>
      </w:r>
      <w:r>
        <w:rPr>
          <w:bCs/>
          <w:sz w:val="20"/>
          <w:szCs w:val="20"/>
          <w:lang w:eastAsia="nl-NL"/>
        </w:rPr>
        <w:t>Kamerstukken II 1995/96, 24696, nr 3 blz</w:t>
      </w:r>
      <w:r w:rsidRPr="00DF0760">
        <w:rPr>
          <w:bCs/>
          <w:sz w:val="20"/>
          <w:szCs w:val="20"/>
          <w:lang w:eastAsia="nl-NL"/>
        </w:rPr>
        <w:t>. 22</w:t>
      </w:r>
    </w:p>
    <w:p w:rsidR="00292A58" w:rsidRDefault="00292A58" w:rsidP="00DF0760">
      <w:pPr>
        <w:spacing w:line="360" w:lineRule="auto"/>
      </w:pPr>
    </w:p>
  </w:footnote>
  <w:footnote w:id="77">
    <w:p w:rsidR="00292A58" w:rsidRDefault="00292A58" w:rsidP="00122561">
      <w:pPr>
        <w:pStyle w:val="Voetnoottekst"/>
      </w:pPr>
      <w:r w:rsidRPr="0052437C">
        <w:rPr>
          <w:rStyle w:val="Voetnootmarkering"/>
        </w:rPr>
        <w:footnoteRef/>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 </w:t>
      </w:r>
    </w:p>
  </w:footnote>
  <w:footnote w:id="78">
    <w:p w:rsidR="00292A58" w:rsidRDefault="00292A58" w:rsidP="00F11251">
      <w:pPr>
        <w:pStyle w:val="Voetnoottekst"/>
      </w:pPr>
      <w:r w:rsidRPr="00454805">
        <w:rPr>
          <w:rStyle w:val="Voetnootmarkering"/>
        </w:rPr>
        <w:footnoteRef/>
      </w:r>
      <w:r w:rsidRPr="00454805">
        <w:t xml:space="preserve"> </w:t>
      </w:r>
      <w:r w:rsidRPr="00454805">
        <w:t>MvT, Kamerstuk</w:t>
      </w:r>
      <w:r>
        <w:t>ken II 2005/06, 30572, nr.3, blz.</w:t>
      </w:r>
      <w:r w:rsidRPr="00454805">
        <w:t xml:space="preserve"> 19</w:t>
      </w:r>
    </w:p>
  </w:footnote>
  <w:footnote w:id="79">
    <w:p w:rsidR="00292A58" w:rsidRDefault="00292A58" w:rsidP="00F11251">
      <w:pPr>
        <w:pStyle w:val="Voetnoottekst"/>
      </w:pPr>
      <w:r w:rsidRPr="00454805">
        <w:rPr>
          <w:rStyle w:val="Voetnootmarkering"/>
        </w:rPr>
        <w:footnoteRef/>
      </w:r>
      <w:r w:rsidRPr="00454805">
        <w:t xml:space="preserve"> </w:t>
      </w:r>
      <w:r w:rsidRPr="00454805">
        <w:t xml:space="preserve">Besluit </w:t>
      </w:r>
      <w:r>
        <w:t>Staatssecretaris</w:t>
      </w:r>
      <w:r w:rsidRPr="00454805">
        <w:t xml:space="preserve"> van Financiën van 2 november</w:t>
      </w:r>
      <w:r>
        <w:t xml:space="preserve"> 2001, nr. CPP2001/2359M, BNB 2002/59</w:t>
      </w:r>
    </w:p>
  </w:footnote>
  <w:footnote w:id="80">
    <w:p w:rsidR="00292A58" w:rsidRDefault="00292A58">
      <w:pPr>
        <w:pStyle w:val="Voetnoottekst"/>
      </w:pPr>
      <w:r>
        <w:rPr>
          <w:rStyle w:val="Voetnootmarkering"/>
        </w:rPr>
        <w:footnoteRef/>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r>
        <w:t>, blz. 115</w:t>
      </w:r>
    </w:p>
  </w:footnote>
  <w:footnote w:id="81">
    <w:p w:rsidR="00292A58" w:rsidRDefault="00292A58" w:rsidP="00F11251">
      <w:pPr>
        <w:pStyle w:val="Voetnoottekst"/>
      </w:pPr>
      <w:r>
        <w:rPr>
          <w:rStyle w:val="Voetnootmarkering"/>
        </w:rPr>
        <w:footnoteRef/>
      </w:r>
      <w:r w:rsidRPr="00EC18F1">
        <w:rPr>
          <w:lang w:val="de-DE"/>
        </w:rPr>
        <w:t xml:space="preserve"> HR 8 oktober 2004, BNB 2005/51,  r.o. 3.1</w:t>
      </w:r>
    </w:p>
  </w:footnote>
  <w:footnote w:id="82">
    <w:p w:rsidR="00292A58" w:rsidRDefault="00292A58" w:rsidP="00F11251">
      <w:pPr>
        <w:pStyle w:val="Voetnoottekst"/>
      </w:pPr>
      <w:r>
        <w:rPr>
          <w:rStyle w:val="Voetnootmarkering"/>
        </w:rPr>
        <w:footnoteRef/>
      </w:r>
      <w:r w:rsidRPr="00EC18F1">
        <w:rPr>
          <w:lang w:val="de-DE"/>
        </w:rPr>
        <w:t xml:space="preserve"> HR 8 oktober 2004, BNB 2005/51 r.o. 3.3</w:t>
      </w:r>
    </w:p>
  </w:footnote>
  <w:footnote w:id="83">
    <w:p w:rsidR="00292A58" w:rsidRDefault="00292A58">
      <w:pPr>
        <w:pStyle w:val="Voetnoottekst"/>
      </w:pPr>
      <w:r>
        <w:rPr>
          <w:rStyle w:val="Voetnootmarkering"/>
        </w:rPr>
        <w:footnoteRef/>
      </w:r>
      <w:r w:rsidRPr="00633FA2">
        <w:t xml:space="preserve"> </w:t>
      </w:r>
      <w:r w:rsidRPr="00633FA2">
        <w:t xml:space="preserve">HR 8 oktober 2004, BNB 2005/51, uitspraak Hof Den Haag r.o. </w:t>
      </w:r>
      <w:r>
        <w:t>6.11</w:t>
      </w:r>
    </w:p>
  </w:footnote>
  <w:footnote w:id="84">
    <w:p w:rsidR="00292A58" w:rsidRDefault="00292A58">
      <w:pPr>
        <w:pStyle w:val="Voetnoottekst"/>
      </w:pPr>
      <w:r>
        <w:rPr>
          <w:rStyle w:val="Voetnootmarkering"/>
        </w:rPr>
        <w:footnoteRef/>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r>
        <w:t>, blz 115</w:t>
      </w:r>
    </w:p>
  </w:footnote>
  <w:footnote w:id="85">
    <w:p w:rsidR="00292A58" w:rsidRDefault="00292A58" w:rsidP="00F11251">
      <w:pPr>
        <w:pStyle w:val="Voetnoottekst"/>
      </w:pPr>
      <w:r>
        <w:rPr>
          <w:rStyle w:val="Voetnootmarkering"/>
        </w:rPr>
        <w:footnoteRef/>
      </w:r>
      <w:r w:rsidRPr="00950787">
        <w:t xml:space="preserve"> </w:t>
      </w:r>
      <w:r w:rsidRPr="00950787">
        <w:t>HR 17 juni 2005, BNB 2005/304 r.o. Hof Arnhem 4.4</w:t>
      </w:r>
    </w:p>
  </w:footnote>
  <w:footnote w:id="86">
    <w:p w:rsidR="00292A58" w:rsidRDefault="00292A58" w:rsidP="00F11251">
      <w:pPr>
        <w:pStyle w:val="Voetnoottekst"/>
      </w:pPr>
      <w:r>
        <w:rPr>
          <w:rStyle w:val="Voetnootmarkering"/>
        </w:rPr>
        <w:footnoteRef/>
      </w:r>
      <w:r>
        <w:t xml:space="preserve"> </w:t>
      </w:r>
      <w:r>
        <w:t>HR 17 juni 2005, BNB 2005/304 r.o. 3.4</w:t>
      </w:r>
    </w:p>
  </w:footnote>
  <w:footnote w:id="87">
    <w:p w:rsidR="00292A58" w:rsidRDefault="00292A58" w:rsidP="00F11251">
      <w:pPr>
        <w:pStyle w:val="Voetnoottekst"/>
      </w:pPr>
      <w:r w:rsidRPr="00454805">
        <w:rPr>
          <w:rStyle w:val="Voetnootmarkering"/>
        </w:rPr>
        <w:footnoteRef/>
      </w:r>
      <w:r w:rsidRPr="00454805">
        <w:t xml:space="preserve"> </w:t>
      </w:r>
      <w:r w:rsidRPr="00454805">
        <w:t xml:space="preserve">A.H.M. Daniels </w:t>
      </w:r>
      <w:r>
        <w:t xml:space="preserve">in </w:t>
      </w:r>
      <w:r w:rsidRPr="00454805">
        <w:t xml:space="preserve">noot bij </w:t>
      </w:r>
      <w:r>
        <w:t xml:space="preserve">HR 17 juni 2005, </w:t>
      </w:r>
      <w:r w:rsidRPr="00454805">
        <w:t>BNB 2005/304</w:t>
      </w:r>
    </w:p>
  </w:footnote>
  <w:footnote w:id="88">
    <w:p w:rsidR="00292A58" w:rsidRDefault="00292A58">
      <w:pPr>
        <w:pStyle w:val="Voetnoottekst"/>
      </w:pPr>
      <w:r>
        <w:rPr>
          <w:rStyle w:val="Voetnootmarkering"/>
        </w:rPr>
        <w:footnoteRef/>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p>
  </w:footnote>
  <w:footnote w:id="89">
    <w:p w:rsidR="00292A58" w:rsidRDefault="00292A58" w:rsidP="00F11251">
      <w:pPr>
        <w:pStyle w:val="Voetnoottekst"/>
      </w:pPr>
      <w:r>
        <w:rPr>
          <w:rStyle w:val="Voetnootmarkering"/>
        </w:rPr>
        <w:footnoteRef/>
      </w:r>
      <w:r w:rsidRPr="00AE64C7">
        <w:t xml:space="preserve"> </w:t>
      </w:r>
      <w:r>
        <w:t>HvJ EG, 9 maart 1999, zaak C-212/97 (</w:t>
      </w:r>
      <w:r w:rsidRPr="00AE64C7">
        <w:t>Centros</w:t>
      </w:r>
      <w:r>
        <w:t>), HvJ EG, 6 november 2003, zaak C-413/01 (</w:t>
      </w:r>
      <w:r w:rsidRPr="00341A3A">
        <w:rPr>
          <w:i/>
          <w:iCs/>
        </w:rPr>
        <w:t>Ninni-Orasche</w:t>
      </w:r>
      <w:r>
        <w:t>),</w:t>
      </w:r>
    </w:p>
  </w:footnote>
  <w:footnote w:id="90">
    <w:p w:rsidR="00292A58" w:rsidRDefault="00292A58" w:rsidP="00F11251">
      <w:pPr>
        <w:pStyle w:val="Voetnoottekst"/>
      </w:pPr>
      <w:r>
        <w:rPr>
          <w:rStyle w:val="Voetnootmarkering"/>
        </w:rPr>
        <w:footnoteRef/>
      </w:r>
      <w:r>
        <w:t xml:space="preserve"> </w:t>
      </w:r>
      <w:r>
        <w:t>Vw</w:t>
      </w:r>
      <w:r w:rsidRPr="00C60045">
        <w:t>EU artikel 49 lid 1</w:t>
      </w:r>
    </w:p>
  </w:footnote>
  <w:footnote w:id="91">
    <w:p w:rsidR="00292A58" w:rsidRDefault="00292A58" w:rsidP="00BD407A">
      <w:pPr>
        <w:pStyle w:val="Voetnoottekst"/>
      </w:pPr>
      <w:r w:rsidRPr="00454805">
        <w:rPr>
          <w:rStyle w:val="Voetnootmarkering"/>
        </w:rPr>
        <w:footnoteRef/>
      </w:r>
      <w:r w:rsidRPr="00C60045">
        <w:t xml:space="preserve"> </w:t>
      </w:r>
      <w:r w:rsidRPr="00C60045">
        <w:t xml:space="preserve">Non cumulatieve vereisten, </w:t>
      </w:r>
      <w:r>
        <w:t>HvJ EG, 27 september 1988, zaak 81/87 (</w:t>
      </w:r>
      <w:r w:rsidRPr="00071577">
        <w:rPr>
          <w:i/>
          <w:iCs/>
        </w:rPr>
        <w:t>Daily Mail</w:t>
      </w:r>
      <w:r>
        <w:t>)</w:t>
      </w:r>
      <w:r w:rsidRPr="00C60045">
        <w:t xml:space="preserve"> r.o. 21</w:t>
      </w:r>
      <w:r>
        <w:t xml:space="preserve"> alsmede VwEU artikel 54 lid 1</w:t>
      </w:r>
    </w:p>
  </w:footnote>
  <w:footnote w:id="92">
    <w:p w:rsidR="00292A58" w:rsidRDefault="00292A58" w:rsidP="00F11251">
      <w:pPr>
        <w:pStyle w:val="Voetnoottekst"/>
      </w:pPr>
      <w:r w:rsidRPr="00454805">
        <w:rPr>
          <w:rStyle w:val="Voetnootmarkering"/>
        </w:rPr>
        <w:footnoteRef/>
      </w:r>
      <w:r>
        <w:t xml:space="preserve"> </w:t>
      </w:r>
      <w:r>
        <w:t>J. W</w:t>
      </w:r>
      <w:r w:rsidRPr="00454805">
        <w:t>outers</w:t>
      </w:r>
      <w:r>
        <w:t>, 1996,  “</w:t>
      </w:r>
      <w:r w:rsidRPr="00071577">
        <w:rPr>
          <w:i/>
          <w:iCs/>
        </w:rPr>
        <w:t>Het europese vestigingsrecht voor ondernemingen herbekeken</w:t>
      </w:r>
      <w:r>
        <w:t>”, Ph.D. thesis K.U.Leuven, D.M. Weber</w:t>
      </w:r>
      <w:r w:rsidRPr="001E7CE8">
        <w:t xml:space="preserve">, </w:t>
      </w:r>
      <w:r>
        <w:t>“</w:t>
      </w:r>
      <w:r w:rsidRPr="00071577">
        <w:rPr>
          <w:i/>
          <w:iCs/>
        </w:rPr>
        <w:t>Belastingontwijking en de EG verdragsvrijheden (een onderzoek naar de Europeesrechtelijke grenzen van belastingontwijking)</w:t>
      </w:r>
      <w:r>
        <w:t xml:space="preserve">”, Fiscale monografieën nr. 105, Deeventer: Kluwer,  blz. 40, </w:t>
      </w:r>
      <w:r w:rsidRPr="001E7CE8">
        <w:t>2003</w:t>
      </w:r>
    </w:p>
  </w:footnote>
  <w:footnote w:id="93">
    <w:p w:rsidR="00292A58" w:rsidRDefault="00292A58" w:rsidP="009C1BC8">
      <w:pPr>
        <w:pStyle w:val="Voetnoottekst"/>
      </w:pPr>
      <w:r w:rsidRPr="00454805">
        <w:rPr>
          <w:rStyle w:val="Voetnootmarkering"/>
        </w:rPr>
        <w:footnoteRef/>
      </w:r>
      <w:r>
        <w:t xml:space="preserve"> </w:t>
      </w:r>
      <w:r>
        <w:t>D.M. Weber</w:t>
      </w:r>
      <w:r w:rsidRPr="001E7CE8">
        <w:t xml:space="preserve">, </w:t>
      </w:r>
      <w:r>
        <w:t>“</w:t>
      </w:r>
      <w:r w:rsidRPr="00071577">
        <w:rPr>
          <w:i/>
          <w:iCs/>
        </w:rPr>
        <w:t>Belastingontwijking en de EG verdragsvrijheden (een onderzoek naar de Europeesrechtelijke grenzen van belastingontwijking)</w:t>
      </w:r>
      <w:r>
        <w:t>”, Fiscale monografieën nr. 105, Deeventer: Kluwer,  blz.</w:t>
      </w:r>
      <w:r w:rsidRPr="001E7CE8">
        <w:t xml:space="preserve"> 40</w:t>
      </w:r>
      <w:r>
        <w:t xml:space="preserve">, </w:t>
      </w:r>
      <w:r w:rsidRPr="001E7CE8">
        <w:t>2003</w:t>
      </w:r>
    </w:p>
  </w:footnote>
  <w:footnote w:id="94">
    <w:p w:rsidR="00292A58" w:rsidRDefault="00292A58" w:rsidP="008744A3">
      <w:pPr>
        <w:pStyle w:val="Voetnoottekst"/>
      </w:pPr>
      <w:r>
        <w:rPr>
          <w:rStyle w:val="Voetnootmarkering"/>
        </w:rPr>
        <w:footnoteRef/>
      </w:r>
      <w:r>
        <w:t xml:space="preserve"> </w:t>
      </w:r>
      <w:r>
        <w:t>D</w:t>
      </w:r>
      <w:r w:rsidRPr="001E7CE8">
        <w:t xml:space="preserve">.M. Weber, </w:t>
      </w:r>
      <w:r>
        <w:t>“</w:t>
      </w:r>
      <w:r w:rsidRPr="00071577">
        <w:rPr>
          <w:i/>
          <w:iCs/>
        </w:rPr>
        <w:t>Belastingontwijking en de EG verdragsvrijheden (een onderzoek naar de Europeesrechtelijke grenzen van belastingontwijking)</w:t>
      </w:r>
      <w:r>
        <w:t xml:space="preserve">”, Fiscale monografieën nr. 105, Deeventer: Kluwer,  blz. 43-36, </w:t>
      </w:r>
      <w:r w:rsidRPr="001E7CE8">
        <w:t>2003</w:t>
      </w:r>
    </w:p>
  </w:footnote>
  <w:footnote w:id="95">
    <w:p w:rsidR="00292A58" w:rsidRDefault="00292A58" w:rsidP="004765DA">
      <w:pPr>
        <w:pStyle w:val="Voetnoottekst"/>
      </w:pPr>
      <w:r>
        <w:rPr>
          <w:rStyle w:val="Voetnootmarkering"/>
        </w:rPr>
        <w:footnoteRef/>
      </w:r>
      <w:r w:rsidRPr="001E7CE8">
        <w:t xml:space="preserve"> </w:t>
      </w:r>
      <w:r>
        <w:t>HvJ EG 25 juli 1991, zaak C-221/89 (</w:t>
      </w:r>
      <w:r w:rsidRPr="00071577">
        <w:rPr>
          <w:i/>
          <w:iCs/>
        </w:rPr>
        <w:t>Factortame II</w:t>
      </w:r>
      <w:r>
        <w:t>) r.o. 20 alsmede HvJ EG</w:t>
      </w:r>
      <w:r w:rsidRPr="00BA53C7">
        <w:t>, 30 november 1995, zaak C-55/94 (</w:t>
      </w:r>
      <w:r w:rsidRPr="00071577">
        <w:rPr>
          <w:i/>
          <w:iCs/>
        </w:rPr>
        <w:t>Gebhard</w:t>
      </w:r>
      <w:r w:rsidRPr="00BA53C7">
        <w:t>),</w:t>
      </w:r>
      <w:r>
        <w:t xml:space="preserve"> r.o. 25</w:t>
      </w:r>
    </w:p>
  </w:footnote>
  <w:footnote w:id="96">
    <w:p w:rsidR="00292A58" w:rsidRDefault="00292A58">
      <w:pPr>
        <w:pStyle w:val="Voetnoottekst"/>
      </w:pPr>
      <w:r>
        <w:rPr>
          <w:rStyle w:val="Voetnootmarkering"/>
        </w:rPr>
        <w:footnoteRef/>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r>
        <w:t>, blz 236</w:t>
      </w:r>
    </w:p>
  </w:footnote>
  <w:footnote w:id="97">
    <w:p w:rsidR="00292A58" w:rsidRDefault="00292A58" w:rsidP="00F11251">
      <w:pPr>
        <w:pStyle w:val="Voetnoottekst"/>
      </w:pPr>
      <w:r>
        <w:rPr>
          <w:rStyle w:val="Voetnootmarkering"/>
        </w:rPr>
        <w:footnoteRef/>
      </w:r>
      <w:r w:rsidRPr="001E7CE8">
        <w:t xml:space="preserve"> </w:t>
      </w:r>
      <w:r>
        <w:t>HvJ EG</w:t>
      </w:r>
      <w:r w:rsidRPr="001E7CE8">
        <w:t>, 20 juni 1991, zaak c-60/90 (</w:t>
      </w:r>
      <w:r w:rsidRPr="00071577">
        <w:rPr>
          <w:i/>
          <w:iCs/>
        </w:rPr>
        <w:t>Polysar</w:t>
      </w:r>
      <w:r w:rsidRPr="001E7CE8">
        <w:t>), r.o. 13</w:t>
      </w:r>
    </w:p>
  </w:footnote>
  <w:footnote w:id="98">
    <w:p w:rsidR="00292A58" w:rsidRDefault="00292A58" w:rsidP="000D1F0D">
      <w:pPr>
        <w:pStyle w:val="Voetnoottekst"/>
      </w:pPr>
      <w:r>
        <w:rPr>
          <w:rStyle w:val="Voetnootmarkering"/>
        </w:rPr>
        <w:footnoteRef/>
      </w:r>
      <w:r>
        <w:t xml:space="preserve"> </w:t>
      </w:r>
      <w:r>
        <w:t>Hoewel Polysar gewezen met betrekking tot de BTW ben ik van mening dat een het HvJ EG een soortgelijke mening toegedaan zal zijn met betrekking tot de vrijheid van vestiging en de directe belastingheffing. Dit beredeneert vanuit de arresten Factortame II en Stauffer en het gebruik van het woord ‘actief’ in r.o. 19 in het laatstgenoemde arrest. Ik deel dan ook de mening van de Cursus Belastingrecht, in Europees Belastingrecht losbandige editie 5.0.2.c,  dat de HR in V-N 2009/12.9 een te ruime interpretatie toepast.</w:t>
      </w:r>
    </w:p>
  </w:footnote>
  <w:footnote w:id="99">
    <w:p w:rsidR="00292A58" w:rsidRDefault="00292A58" w:rsidP="00F11251">
      <w:pPr>
        <w:pStyle w:val="Voetnoottekst"/>
      </w:pPr>
      <w:r w:rsidRPr="00454805">
        <w:rPr>
          <w:rStyle w:val="Voetnootmarkering"/>
        </w:rPr>
        <w:footnoteRef/>
      </w:r>
      <w:r>
        <w:t>HvJ EG</w:t>
      </w:r>
      <w:r w:rsidRPr="0035059B">
        <w:t>, 27 september 1988, zaak 81/87  (</w:t>
      </w:r>
      <w:r w:rsidRPr="0035059B">
        <w:rPr>
          <w:i/>
          <w:iCs/>
        </w:rPr>
        <w:t>Daily Mail</w:t>
      </w:r>
      <w:r w:rsidRPr="0035059B">
        <w:t>)</w:t>
      </w:r>
    </w:p>
  </w:footnote>
  <w:footnote w:id="100">
    <w:p w:rsidR="00292A58" w:rsidRDefault="00292A58">
      <w:pPr>
        <w:pStyle w:val="Voetnoottekst"/>
      </w:pPr>
      <w:r>
        <w:rPr>
          <w:rStyle w:val="Voetnootmarkering"/>
        </w:rPr>
        <w:footnoteRef/>
      </w:r>
      <w:r>
        <w:t xml:space="preserve"> </w:t>
      </w:r>
      <w:r>
        <w:t>Als in artikel 3.2</w:t>
      </w:r>
      <w:r w:rsidRPr="00684EBB">
        <w:t xml:space="preserve"> </w:t>
      </w:r>
      <w:r>
        <w:t xml:space="preserve">Wet </w:t>
      </w:r>
      <w:r w:rsidRPr="00684EBB">
        <w:t>IB</w:t>
      </w:r>
      <w:r>
        <w:t xml:space="preserve"> 2001</w:t>
      </w:r>
    </w:p>
  </w:footnote>
  <w:footnote w:id="101">
    <w:p w:rsidR="00292A58" w:rsidRDefault="00292A58">
      <w:pPr>
        <w:pStyle w:val="Voetnoottekst"/>
      </w:pPr>
      <w:r>
        <w:rPr>
          <w:rStyle w:val="Voetnootmarkering"/>
        </w:rPr>
        <w:footnoteRef/>
      </w:r>
      <w:r>
        <w:t xml:space="preserve"> </w:t>
      </w:r>
      <w:r>
        <w:t>HvJ EG</w:t>
      </w:r>
      <w:r w:rsidRPr="00BA53C7">
        <w:t>, 30 november 1995, zaak C-55/94 (</w:t>
      </w:r>
      <w:r w:rsidRPr="00D6663E">
        <w:rPr>
          <w:i/>
          <w:iCs/>
        </w:rPr>
        <w:t>Gebhard</w:t>
      </w:r>
      <w:r w:rsidRPr="00BA53C7">
        <w:t>), r.o. 25</w:t>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r>
        <w:t>, blz 236</w:t>
      </w:r>
    </w:p>
  </w:footnote>
  <w:footnote w:id="102">
    <w:p w:rsidR="00292A58" w:rsidRDefault="00292A58" w:rsidP="00F11251">
      <w:pPr>
        <w:pStyle w:val="Voetnoottekst"/>
      </w:pPr>
      <w:r>
        <w:rPr>
          <w:rStyle w:val="Voetnootmarkering"/>
        </w:rPr>
        <w:footnoteRef/>
      </w:r>
      <w:r>
        <w:t xml:space="preserve"> </w:t>
      </w:r>
      <w:r>
        <w:t>HvJ EG, 14 juni 2001, zaak C</w:t>
      </w:r>
      <w:r w:rsidRPr="00C60045">
        <w:t>-191/99</w:t>
      </w:r>
      <w:r>
        <w:t xml:space="preserve"> (</w:t>
      </w:r>
      <w:r w:rsidRPr="00071577">
        <w:rPr>
          <w:i/>
          <w:iCs/>
        </w:rPr>
        <w:t>Kvaerner</w:t>
      </w:r>
      <w:r>
        <w:t>),</w:t>
      </w:r>
      <w:r w:rsidRPr="00C60045">
        <w:t xml:space="preserve">  r.o. </w:t>
      </w:r>
      <w:r>
        <w:t>7</w:t>
      </w:r>
    </w:p>
  </w:footnote>
  <w:footnote w:id="103">
    <w:p w:rsidR="00292A58" w:rsidRDefault="00292A58" w:rsidP="00F11251">
      <w:pPr>
        <w:pStyle w:val="Voetnoottekst"/>
      </w:pPr>
      <w:r>
        <w:rPr>
          <w:rStyle w:val="Voetnootmarkering"/>
        </w:rPr>
        <w:footnoteRef/>
      </w:r>
      <w:r>
        <w:t xml:space="preserve"> </w:t>
      </w:r>
      <w:r w:rsidRPr="00C60045">
        <w:t>OECD</w:t>
      </w:r>
      <w:r>
        <w:t xml:space="preserve"> commentaar bij artikel 5 OECD M</w:t>
      </w:r>
      <w:r w:rsidRPr="00C60045">
        <w:t>odelverdrag</w:t>
      </w:r>
    </w:p>
  </w:footnote>
  <w:footnote w:id="104">
    <w:p w:rsidR="00292A58" w:rsidRDefault="00292A58">
      <w:pPr>
        <w:pStyle w:val="Voetnoottekst"/>
      </w:pPr>
      <w:r>
        <w:rPr>
          <w:rStyle w:val="Voetnootmarkering"/>
        </w:rPr>
        <w:footnoteRef/>
      </w:r>
      <w:r>
        <w:t xml:space="preserve"> </w:t>
      </w:r>
      <w:r>
        <w:t>D</w:t>
      </w:r>
      <w:r w:rsidRPr="001E7CE8">
        <w:t xml:space="preserve">.M. Weber, </w:t>
      </w:r>
      <w:r>
        <w:t>“</w:t>
      </w:r>
      <w:r w:rsidRPr="00071577">
        <w:rPr>
          <w:i/>
          <w:iCs/>
        </w:rPr>
        <w:t>Belastingontwijking en de EG verdragsvrijheden (een onderzoek naar de Europeesrechtelijke grenzen van belastingontwijking)</w:t>
      </w:r>
      <w:r>
        <w:t>”, Fiscale monografieën nr. 105, Deeventer: Kluwer,</w:t>
      </w:r>
    </w:p>
  </w:footnote>
  <w:footnote w:id="105">
    <w:p w:rsidR="00292A58" w:rsidRDefault="00292A58" w:rsidP="00F11251">
      <w:pPr>
        <w:pStyle w:val="Voetnoottekst"/>
      </w:pPr>
      <w:r w:rsidRPr="00454805">
        <w:rPr>
          <w:rStyle w:val="Voetnootmarkering"/>
        </w:rPr>
        <w:footnoteRef/>
      </w:r>
      <w:r w:rsidRPr="00AE64C7">
        <w:t xml:space="preserve"> </w:t>
      </w:r>
      <w:r>
        <w:t>HvJ EG, 9 maart 1999, zaak C-212/97 (</w:t>
      </w:r>
      <w:r w:rsidRPr="00071577">
        <w:rPr>
          <w:i/>
          <w:iCs/>
        </w:rPr>
        <w:t>Centros</w:t>
      </w:r>
      <w:r>
        <w:t xml:space="preserve">), </w:t>
      </w:r>
      <w:r w:rsidRPr="00AE64C7">
        <w:t xml:space="preserve"> r.o. 27</w:t>
      </w:r>
    </w:p>
  </w:footnote>
  <w:footnote w:id="106">
    <w:p w:rsidR="00292A58" w:rsidRDefault="00292A58" w:rsidP="00AE6C0B">
      <w:pPr>
        <w:pStyle w:val="Voetnoottekst"/>
      </w:pPr>
      <w:r w:rsidRPr="00454805">
        <w:rPr>
          <w:rStyle w:val="Voetnootmarkering"/>
        </w:rPr>
        <w:footnoteRef/>
      </w:r>
      <w:r w:rsidRPr="00AE64C7">
        <w:t xml:space="preserve"> </w:t>
      </w:r>
      <w:r>
        <w:t>HvJ EG, 3 oktober 2006, zaak C-452/04 (</w:t>
      </w:r>
      <w:r w:rsidRPr="00071577">
        <w:rPr>
          <w:i/>
          <w:iCs/>
        </w:rPr>
        <w:t>Fidium Finanz</w:t>
      </w:r>
      <w:r>
        <w:t>), alsmede HvJ EG</w:t>
      </w:r>
      <w:r w:rsidRPr="00EC18F1">
        <w:t>, 13 maart 2007, zaak C-524/04 (</w:t>
      </w:r>
      <w:r w:rsidRPr="00071577">
        <w:rPr>
          <w:i/>
          <w:iCs/>
        </w:rPr>
        <w:t xml:space="preserve">Test Claimants in the Thin Cap </w:t>
      </w:r>
      <w:r>
        <w:rPr>
          <w:i/>
          <w:iCs/>
        </w:rPr>
        <w:t>GLO</w:t>
      </w:r>
      <w:r w:rsidRPr="00EC18F1">
        <w:t>)</w:t>
      </w:r>
    </w:p>
  </w:footnote>
  <w:footnote w:id="107">
    <w:p w:rsidR="00292A58" w:rsidRDefault="00292A58">
      <w:pPr>
        <w:pStyle w:val="Voetnoottekst"/>
      </w:pPr>
      <w:r>
        <w:rPr>
          <w:rStyle w:val="Voetnootmarkering"/>
        </w:rPr>
        <w:footnoteRef/>
      </w:r>
      <w:r>
        <w:t>HvJ EG, 6 juni 2000, (</w:t>
      </w:r>
      <w:r>
        <w:rPr>
          <w:i/>
          <w:iCs/>
        </w:rPr>
        <w:t>Verkooijen</w:t>
      </w:r>
      <w:r>
        <w:t>), r.o. 27</w:t>
      </w:r>
    </w:p>
  </w:footnote>
  <w:footnote w:id="108">
    <w:p w:rsidR="00292A58" w:rsidRDefault="00292A58" w:rsidP="00F11251">
      <w:pPr>
        <w:pStyle w:val="Voetnoottekst"/>
      </w:pPr>
      <w:r>
        <w:rPr>
          <w:rStyle w:val="Voetnootmarkering"/>
        </w:rPr>
        <w:footnoteRef/>
      </w:r>
      <w:r>
        <w:t xml:space="preserve"> </w:t>
      </w:r>
      <w:r w:rsidRPr="0018302C">
        <w:t>Richtlijn 88/361/EEG</w:t>
      </w:r>
      <w:r>
        <w:t xml:space="preserve"> van de Raad van 24 Juni 1988 voor de uitvoering van artikel 67 van het Verdrag</w:t>
      </w:r>
    </w:p>
  </w:footnote>
  <w:footnote w:id="109">
    <w:p w:rsidR="00292A58" w:rsidRDefault="00292A58" w:rsidP="008744A3">
      <w:pPr>
        <w:pStyle w:val="Voetnoottekst"/>
      </w:pPr>
      <w:r w:rsidRPr="00454805">
        <w:rPr>
          <w:rStyle w:val="Voetnootmarkering"/>
        </w:rPr>
        <w:footnoteRef/>
      </w:r>
      <w:r w:rsidRPr="00EC18F1">
        <w:rPr>
          <w:lang w:val="de-DE"/>
        </w:rPr>
        <w:t xml:space="preserve"> </w:t>
      </w:r>
      <w:r>
        <w:rPr>
          <w:lang w:val="de-DE"/>
        </w:rPr>
        <w:t>HvJ EG</w:t>
      </w:r>
      <w:r w:rsidRPr="00EC18F1">
        <w:rPr>
          <w:lang w:val="de-DE"/>
        </w:rPr>
        <w:t>, 3 oktober 2006, zaak C-452/04 (</w:t>
      </w:r>
      <w:r w:rsidRPr="00071577">
        <w:rPr>
          <w:i/>
          <w:iCs/>
          <w:lang w:val="de-DE"/>
        </w:rPr>
        <w:t>Fidium Finanz</w:t>
      </w:r>
      <w:r w:rsidRPr="00EC18F1">
        <w:rPr>
          <w:lang w:val="de-DE"/>
        </w:rPr>
        <w:t>) r.o. 41</w:t>
      </w:r>
    </w:p>
  </w:footnote>
  <w:footnote w:id="110">
    <w:p w:rsidR="00292A58" w:rsidRDefault="00292A58" w:rsidP="00F11251">
      <w:pPr>
        <w:pStyle w:val="Voetnoottekst"/>
      </w:pPr>
      <w:r>
        <w:rPr>
          <w:rStyle w:val="Voetnootmarkering"/>
        </w:rPr>
        <w:footnoteRef/>
      </w:r>
      <w:r w:rsidRPr="00EC18F1">
        <w:rPr>
          <w:lang w:val="de-DE"/>
        </w:rPr>
        <w:t xml:space="preserve"> VwEU art. 56</w:t>
      </w:r>
    </w:p>
  </w:footnote>
  <w:footnote w:id="111">
    <w:p w:rsidR="00292A58" w:rsidRDefault="00292A58" w:rsidP="00F11251">
      <w:pPr>
        <w:pStyle w:val="Voetnoottekst"/>
      </w:pPr>
      <w:r>
        <w:rPr>
          <w:rStyle w:val="Voetnootmarkering"/>
        </w:rPr>
        <w:footnoteRef/>
      </w:r>
      <w:r w:rsidRPr="00EC18F1">
        <w:rPr>
          <w:lang w:val="de-DE"/>
        </w:rPr>
        <w:t xml:space="preserve"> VwEU art. 57</w:t>
      </w:r>
    </w:p>
  </w:footnote>
  <w:footnote w:id="112">
    <w:p w:rsidR="00292A58" w:rsidRDefault="00292A58">
      <w:pPr>
        <w:pStyle w:val="Voetnoottekst"/>
      </w:pPr>
      <w:r>
        <w:rPr>
          <w:rStyle w:val="Voetnootmarkering"/>
        </w:rPr>
        <w:footnoteRef/>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r>
        <w:t>, blz 238</w:t>
      </w:r>
    </w:p>
  </w:footnote>
  <w:footnote w:id="113">
    <w:p w:rsidR="00292A58" w:rsidRDefault="00292A58" w:rsidP="00F11251">
      <w:pPr>
        <w:pStyle w:val="Voetnoottekst"/>
      </w:pPr>
      <w:r w:rsidRPr="00454805">
        <w:rPr>
          <w:rStyle w:val="Voetnootmarkering"/>
        </w:rPr>
        <w:footnoteRef/>
      </w:r>
      <w:r w:rsidRPr="00EC18F1">
        <w:rPr>
          <w:lang w:val="de-DE"/>
        </w:rPr>
        <w:t xml:space="preserve"> </w:t>
      </w:r>
      <w:r>
        <w:rPr>
          <w:lang w:val="de-DE"/>
        </w:rPr>
        <w:t>HvJ EG</w:t>
      </w:r>
      <w:r w:rsidRPr="00EC18F1">
        <w:rPr>
          <w:lang w:val="de-DE"/>
        </w:rPr>
        <w:t>, 3 oktober 2006, zaak C-452/04 (</w:t>
      </w:r>
      <w:r w:rsidRPr="00071577">
        <w:rPr>
          <w:i/>
          <w:iCs/>
          <w:lang w:val="de-DE"/>
        </w:rPr>
        <w:t>Fidium Finanz</w:t>
      </w:r>
      <w:r w:rsidRPr="00EC18F1">
        <w:rPr>
          <w:lang w:val="de-DE"/>
        </w:rPr>
        <w:t>), r.o. 7 t/m 13</w:t>
      </w:r>
    </w:p>
  </w:footnote>
  <w:footnote w:id="114">
    <w:p w:rsidR="00292A58" w:rsidRDefault="00292A58" w:rsidP="00F11251">
      <w:pPr>
        <w:pStyle w:val="Voetnoottekst"/>
      </w:pPr>
      <w:r>
        <w:rPr>
          <w:rStyle w:val="Voetnootmarkering"/>
        </w:rPr>
        <w:footnoteRef/>
      </w:r>
      <w:r w:rsidRPr="00EC18F1">
        <w:rPr>
          <w:lang w:val="de-DE"/>
        </w:rPr>
        <w:t xml:space="preserve"> </w:t>
      </w:r>
      <w:r>
        <w:rPr>
          <w:lang w:val="de-DE"/>
        </w:rPr>
        <w:t>HvJ EG</w:t>
      </w:r>
      <w:r w:rsidRPr="00EC18F1">
        <w:rPr>
          <w:lang w:val="de-DE"/>
        </w:rPr>
        <w:t>, 3 oktober 2006, zaak C-452/04 (</w:t>
      </w:r>
      <w:r w:rsidRPr="00071577">
        <w:rPr>
          <w:i/>
          <w:iCs/>
          <w:lang w:val="de-DE"/>
        </w:rPr>
        <w:t>Fidum Finanz</w:t>
      </w:r>
      <w:r>
        <w:rPr>
          <w:lang w:val="de-DE"/>
        </w:rPr>
        <w:t>),  r.o. 32</w:t>
      </w:r>
    </w:p>
  </w:footnote>
  <w:footnote w:id="115">
    <w:p w:rsidR="00292A58" w:rsidRDefault="00292A58" w:rsidP="00F11251">
      <w:pPr>
        <w:pStyle w:val="Voetnoottekst"/>
      </w:pPr>
      <w:r>
        <w:rPr>
          <w:rStyle w:val="Voetnootmarkering"/>
        </w:rPr>
        <w:footnoteRef/>
      </w:r>
      <w:r w:rsidRPr="00EC18F1">
        <w:rPr>
          <w:lang w:val="de-DE"/>
        </w:rPr>
        <w:t xml:space="preserve"> </w:t>
      </w:r>
      <w:r>
        <w:rPr>
          <w:lang w:val="de-DE"/>
        </w:rPr>
        <w:t>HvJ EG</w:t>
      </w:r>
      <w:r w:rsidRPr="00EC18F1">
        <w:rPr>
          <w:lang w:val="de-DE"/>
        </w:rPr>
        <w:t>, 3 oktober 2006, zaak C-452/04 (</w:t>
      </w:r>
      <w:r w:rsidRPr="00071577">
        <w:rPr>
          <w:i/>
          <w:iCs/>
          <w:lang w:val="de-DE"/>
        </w:rPr>
        <w:t>Fidium Finanz</w:t>
      </w:r>
      <w:r w:rsidRPr="00EC18F1">
        <w:rPr>
          <w:lang w:val="de-DE"/>
        </w:rPr>
        <w:t>),  r.o. 41</w:t>
      </w:r>
    </w:p>
  </w:footnote>
  <w:footnote w:id="116">
    <w:p w:rsidR="00292A58" w:rsidRDefault="00292A58" w:rsidP="00F11251">
      <w:pPr>
        <w:pStyle w:val="Voetnoottekst"/>
      </w:pPr>
      <w:r w:rsidRPr="00454805">
        <w:rPr>
          <w:rStyle w:val="Voetnootmarkering"/>
        </w:rPr>
        <w:footnoteRef/>
      </w:r>
      <w:r w:rsidRPr="00EC18F1">
        <w:rPr>
          <w:lang w:val="de-DE"/>
        </w:rPr>
        <w:t xml:space="preserve"> </w:t>
      </w:r>
      <w:r>
        <w:rPr>
          <w:lang w:val="de-DE"/>
        </w:rPr>
        <w:t>HvJ EG</w:t>
      </w:r>
      <w:r w:rsidRPr="00EC18F1">
        <w:rPr>
          <w:lang w:val="de-DE"/>
        </w:rPr>
        <w:t>, 3 oktober 2006, zaak C-452/04 (</w:t>
      </w:r>
      <w:r w:rsidRPr="00071577">
        <w:rPr>
          <w:i/>
          <w:iCs/>
          <w:lang w:val="de-DE"/>
        </w:rPr>
        <w:t>Fidium Finanz</w:t>
      </w:r>
      <w:r w:rsidRPr="00EC18F1">
        <w:rPr>
          <w:lang w:val="de-DE"/>
        </w:rPr>
        <w:t>), r.o. 45</w:t>
      </w:r>
    </w:p>
  </w:footnote>
  <w:footnote w:id="117">
    <w:p w:rsidR="00292A58" w:rsidRDefault="00292A58">
      <w:pPr>
        <w:pStyle w:val="Voetnoottekst"/>
      </w:pPr>
      <w:r>
        <w:rPr>
          <w:rStyle w:val="Voetnootmarkering"/>
        </w:rPr>
        <w:footnoteRef/>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r>
        <w:t>, blz 242</w:t>
      </w:r>
    </w:p>
  </w:footnote>
  <w:footnote w:id="118">
    <w:p w:rsidR="00292A58" w:rsidRPr="005D59C2" w:rsidRDefault="00292A58" w:rsidP="00F11251">
      <w:pPr>
        <w:pStyle w:val="Voetnoottekst"/>
      </w:pPr>
      <w:r w:rsidRPr="00454805">
        <w:rPr>
          <w:rStyle w:val="Voetnootmarkering"/>
        </w:rPr>
        <w:footnoteRef/>
      </w:r>
      <w:r w:rsidRPr="00532016">
        <w:t xml:space="preserve"> </w:t>
      </w:r>
      <w:r w:rsidRPr="00532016">
        <w:t xml:space="preserve">S.J.C. </w:t>
      </w:r>
      <w:r>
        <w:t>Hemels</w:t>
      </w:r>
      <w:r w:rsidRPr="00532016">
        <w:t xml:space="preserve"> en J.</w:t>
      </w:r>
      <w:r>
        <w:t>W. Rompen</w:t>
      </w:r>
      <w:r w:rsidRPr="00532016">
        <w:t xml:space="preserve">, </w:t>
      </w:r>
      <w:r>
        <w:t>“</w:t>
      </w:r>
      <w:r w:rsidRPr="005D59C2">
        <w:rPr>
          <w:i/>
          <w:iCs/>
        </w:rPr>
        <w:t>Vestiging of kapitaalverkeer: welke vrijheid heeft prioriteit?</w:t>
      </w:r>
      <w:r w:rsidRPr="005D59C2">
        <w:t>”</w:t>
      </w:r>
      <w:r w:rsidRPr="005D59C2">
        <w:rPr>
          <w:i/>
          <w:iCs/>
        </w:rPr>
        <w:t>,</w:t>
      </w:r>
      <w:r w:rsidRPr="005D59C2">
        <w:t xml:space="preserve"> WFR 2010/1058, alsmede  P.J.J.M. Peeters, “</w:t>
      </w:r>
      <w:r w:rsidRPr="005D59C2">
        <w:rPr>
          <w:i/>
          <w:iCs/>
        </w:rPr>
        <w:t>Meerderheidsdeelnemingen: bestaat er een rangorde tussen art. 43 en art. 56 EG?</w:t>
      </w:r>
      <w:r w:rsidRPr="005D59C2">
        <w:t>”, WFR 2007/777</w:t>
      </w:r>
    </w:p>
  </w:footnote>
  <w:footnote w:id="119">
    <w:p w:rsidR="00292A58" w:rsidRDefault="00292A58">
      <w:pPr>
        <w:pStyle w:val="Voetnoottekst"/>
      </w:pPr>
      <w:r w:rsidRPr="005D59C2">
        <w:rPr>
          <w:rStyle w:val="Voetnootmarkering"/>
        </w:rPr>
        <w:footnoteRef/>
      </w:r>
      <w:r w:rsidRPr="005D59C2">
        <w:t xml:space="preserve"> </w:t>
      </w:r>
      <w:r w:rsidRPr="005D59C2">
        <w:rPr>
          <w:lang w:val="de-DE"/>
        </w:rPr>
        <w:t>HvJ EG, 3 oktober 2006, zaak C-452/04 (</w:t>
      </w:r>
      <w:r w:rsidRPr="005D59C2">
        <w:rPr>
          <w:i/>
          <w:iCs/>
          <w:lang w:val="de-DE"/>
        </w:rPr>
        <w:t>Fidium Finanz</w:t>
      </w:r>
      <w:r w:rsidRPr="005D59C2">
        <w:rPr>
          <w:lang w:val="de-DE"/>
        </w:rPr>
        <w:t>), r.o. 34</w:t>
      </w:r>
    </w:p>
  </w:footnote>
  <w:footnote w:id="120">
    <w:p w:rsidR="00292A58" w:rsidRDefault="00292A58" w:rsidP="00F11251">
      <w:pPr>
        <w:pStyle w:val="Voetnoottekst"/>
      </w:pPr>
      <w:r>
        <w:rPr>
          <w:rStyle w:val="Voetnootmarkering"/>
        </w:rPr>
        <w:footnoteRef/>
      </w:r>
      <w:r w:rsidRPr="00AE64C7">
        <w:t xml:space="preserve"> </w:t>
      </w:r>
      <w:r>
        <w:t>HvJ EG, 24 maart 1994, zaak C-275/92 (</w:t>
      </w:r>
      <w:r w:rsidRPr="00071577">
        <w:rPr>
          <w:i/>
          <w:iCs/>
        </w:rPr>
        <w:t>Schindler</w:t>
      </w:r>
      <w:r>
        <w:t>),</w:t>
      </w:r>
      <w:r w:rsidRPr="00AE64C7">
        <w:t xml:space="preserve"> r.o. 22</w:t>
      </w:r>
    </w:p>
  </w:footnote>
  <w:footnote w:id="121">
    <w:p w:rsidR="00292A58" w:rsidRDefault="00292A58" w:rsidP="00F11251">
      <w:pPr>
        <w:pStyle w:val="Voetnoottekst"/>
      </w:pPr>
      <w:r w:rsidRPr="00454805">
        <w:rPr>
          <w:rStyle w:val="Voetnootmarkering"/>
        </w:rPr>
        <w:footnoteRef/>
      </w:r>
      <w:r w:rsidRPr="00AE64C7">
        <w:t xml:space="preserve"> </w:t>
      </w:r>
      <w:r>
        <w:t>HvJ EG, 25 maart 2005, zaak C-71/02 (</w:t>
      </w:r>
      <w:r w:rsidRPr="00071577">
        <w:rPr>
          <w:i/>
          <w:iCs/>
        </w:rPr>
        <w:t>Karner</w:t>
      </w:r>
      <w:r>
        <w:t>), r.o. 46 alsmede HvJ EG, 22 januari 2002, zaak C-390/99 (</w:t>
      </w:r>
      <w:r w:rsidRPr="00071577">
        <w:rPr>
          <w:i/>
          <w:iCs/>
        </w:rPr>
        <w:t>Canal Satelite Digital</w:t>
      </w:r>
      <w:r>
        <w:t>),</w:t>
      </w:r>
      <w:r w:rsidRPr="00AE64C7">
        <w:t xml:space="preserve"> r.o.</w:t>
      </w:r>
      <w:r>
        <w:t xml:space="preserve"> </w:t>
      </w:r>
      <w:r w:rsidRPr="00AE64C7">
        <w:t>31</w:t>
      </w:r>
    </w:p>
  </w:footnote>
  <w:footnote w:id="122">
    <w:p w:rsidR="00292A58" w:rsidRDefault="00292A58" w:rsidP="00F11251">
      <w:pPr>
        <w:pStyle w:val="Voetnoottekst"/>
      </w:pPr>
      <w:r w:rsidRPr="00454805">
        <w:rPr>
          <w:rStyle w:val="Voetnootmarkering"/>
        </w:rPr>
        <w:footnoteRef/>
      </w:r>
      <w:r w:rsidRPr="00454805">
        <w:t xml:space="preserve"> </w:t>
      </w:r>
      <w:r>
        <w:t>HvJ EG, 31 januari 2008, zaak C-284/06 (</w:t>
      </w:r>
      <w:r w:rsidRPr="00071577">
        <w:rPr>
          <w:i/>
          <w:iCs/>
        </w:rPr>
        <w:t>Burda</w:t>
      </w:r>
      <w:r>
        <w:t xml:space="preserve">),  r.o. 74 in gelijke zin </w:t>
      </w:r>
      <w:r w:rsidRPr="00454805">
        <w:t xml:space="preserve">o.a. </w:t>
      </w:r>
      <w:r>
        <w:t>HvJ EG, 18 juli 2007, C231/05 (</w:t>
      </w:r>
      <w:r w:rsidRPr="00071577">
        <w:rPr>
          <w:i/>
          <w:iCs/>
        </w:rPr>
        <w:t>Oy AA</w:t>
      </w:r>
      <w:r>
        <w:t>)</w:t>
      </w:r>
    </w:p>
  </w:footnote>
  <w:footnote w:id="123">
    <w:p w:rsidR="00292A58" w:rsidRDefault="00292A58" w:rsidP="00F11251">
      <w:pPr>
        <w:pStyle w:val="Voetnoottekst"/>
      </w:pPr>
      <w:r w:rsidRPr="00454805">
        <w:rPr>
          <w:rStyle w:val="Voetnootmarkering"/>
        </w:rPr>
        <w:footnoteRef/>
      </w:r>
      <w:r w:rsidRPr="00454805">
        <w:rPr>
          <w:lang w:val="en-US"/>
        </w:rPr>
        <w:t xml:space="preserve"> o.a. </w:t>
      </w:r>
      <w:r>
        <w:rPr>
          <w:lang w:val="en-US"/>
        </w:rPr>
        <w:t>HvJ EG, 12 december 2006, zaak C-446/04 (</w:t>
      </w:r>
      <w:r w:rsidRPr="00071577">
        <w:rPr>
          <w:i/>
          <w:iCs/>
          <w:lang w:val="en-US"/>
        </w:rPr>
        <w:t xml:space="preserve">Test Claimants in the FII </w:t>
      </w:r>
      <w:r>
        <w:rPr>
          <w:i/>
          <w:iCs/>
          <w:lang w:val="en-US"/>
        </w:rPr>
        <w:t>GLO</w:t>
      </w:r>
      <w:r>
        <w:rPr>
          <w:lang w:val="en-US"/>
        </w:rPr>
        <w:t>)</w:t>
      </w:r>
      <w:r w:rsidRPr="00454805">
        <w:rPr>
          <w:lang w:val="en-US"/>
        </w:rPr>
        <w:t xml:space="preserve">, </w:t>
      </w:r>
      <w:r>
        <w:rPr>
          <w:lang w:val="en-US"/>
        </w:rPr>
        <w:t>HvJ EG, 13 maart 2007, zaak C-524/04 (</w:t>
      </w:r>
      <w:r w:rsidRPr="00071577">
        <w:rPr>
          <w:i/>
          <w:iCs/>
          <w:lang w:val="en-US"/>
        </w:rPr>
        <w:t xml:space="preserve">Test Claimants in the Thin Cap </w:t>
      </w:r>
      <w:r>
        <w:rPr>
          <w:i/>
          <w:iCs/>
          <w:lang w:val="en-US"/>
        </w:rPr>
        <w:t>GLO</w:t>
      </w:r>
      <w:r>
        <w:rPr>
          <w:lang w:val="en-US"/>
        </w:rPr>
        <w:t>) en</w:t>
      </w:r>
      <w:r w:rsidRPr="00454805">
        <w:rPr>
          <w:lang w:val="en-US"/>
        </w:rPr>
        <w:t xml:space="preserve"> </w:t>
      </w:r>
      <w:r>
        <w:rPr>
          <w:lang w:val="en-US"/>
        </w:rPr>
        <w:t>HvJ EG, 12 september 2006, zaak C</w:t>
      </w:r>
      <w:r w:rsidRPr="00FD2C12">
        <w:rPr>
          <w:lang w:val="en-US"/>
        </w:rPr>
        <w:t>-196/04 (</w:t>
      </w:r>
      <w:r w:rsidRPr="00071577">
        <w:rPr>
          <w:i/>
          <w:iCs/>
          <w:lang w:val="en-US"/>
        </w:rPr>
        <w:t>Cadbury Schweppes</w:t>
      </w:r>
      <w:r>
        <w:rPr>
          <w:lang w:val="en-US"/>
        </w:rPr>
        <w:t xml:space="preserve">), </w:t>
      </w:r>
      <w:r>
        <w:t>A.A. Fase, “</w:t>
      </w:r>
      <w:r w:rsidRPr="00341A3A">
        <w:rPr>
          <w:i/>
          <w:iCs/>
        </w:rPr>
        <w:t>Het rangorde vraagstuk in derdelandenverhoudingen</w:t>
      </w:r>
      <w:r>
        <w:t>”, WFR 2008/687</w:t>
      </w:r>
    </w:p>
  </w:footnote>
  <w:footnote w:id="124">
    <w:p w:rsidR="00292A58" w:rsidRDefault="00292A58" w:rsidP="00F11251">
      <w:pPr>
        <w:pStyle w:val="Voetnoottekst"/>
      </w:pPr>
      <w:r w:rsidRPr="00454805">
        <w:rPr>
          <w:rStyle w:val="Voetnootmarkering"/>
        </w:rPr>
        <w:footnoteRef/>
      </w:r>
      <w:r>
        <w:t xml:space="preserve"> </w:t>
      </w:r>
      <w:r>
        <w:t>o.a. D.S. Smit, annotatie bij HR 26 september 2008, BNB 2009/24</w:t>
      </w:r>
      <w:r w:rsidRPr="00454805">
        <w:t xml:space="preserve">, </w:t>
      </w:r>
      <w:r>
        <w:t xml:space="preserve">alsmede </w:t>
      </w:r>
      <w:r w:rsidRPr="00532016">
        <w:t xml:space="preserve">S.J.C. </w:t>
      </w:r>
      <w:r>
        <w:t>Hemels</w:t>
      </w:r>
      <w:r w:rsidRPr="00532016">
        <w:t xml:space="preserve"> en J.</w:t>
      </w:r>
      <w:r>
        <w:t>W. Rompen</w:t>
      </w:r>
      <w:r w:rsidRPr="00532016">
        <w:t xml:space="preserve">, </w:t>
      </w:r>
      <w:r>
        <w:t>“</w:t>
      </w:r>
      <w:r w:rsidRPr="00341A3A">
        <w:rPr>
          <w:i/>
          <w:iCs/>
        </w:rPr>
        <w:t>Vestiging of kapitaalverkeer: welke vrijheid heeft prioriteit?</w:t>
      </w:r>
      <w:r w:rsidRPr="00341A3A">
        <w:t>”</w:t>
      </w:r>
      <w:r w:rsidRPr="00341A3A">
        <w:rPr>
          <w:i/>
          <w:iCs/>
        </w:rPr>
        <w:t>,</w:t>
      </w:r>
      <w:r>
        <w:t xml:space="preserve"> WFR 2010/1058</w:t>
      </w:r>
    </w:p>
  </w:footnote>
  <w:footnote w:id="125">
    <w:p w:rsidR="00292A58" w:rsidRDefault="00292A58" w:rsidP="00F11251">
      <w:pPr>
        <w:pStyle w:val="Voetnoottekst"/>
      </w:pPr>
      <w:r w:rsidRPr="00454805">
        <w:rPr>
          <w:rStyle w:val="Voetnootmarkering"/>
        </w:rPr>
        <w:footnoteRef/>
      </w:r>
      <w:r w:rsidRPr="00454805">
        <w:t xml:space="preserve"> </w:t>
      </w:r>
      <w:r>
        <w:t>HvJ EG, 13 april 2000, zaak C-251/98 (</w:t>
      </w:r>
      <w:r w:rsidRPr="00341A3A">
        <w:rPr>
          <w:i/>
          <w:iCs/>
        </w:rPr>
        <w:t>Baar</w:t>
      </w:r>
      <w:r>
        <w:t xml:space="preserve">s), </w:t>
      </w:r>
      <w:r w:rsidRPr="00454805">
        <w:t xml:space="preserve">r.o. 20 en r.o. </w:t>
      </w:r>
      <w:r>
        <w:t>21</w:t>
      </w:r>
    </w:p>
  </w:footnote>
  <w:footnote w:id="126">
    <w:p w:rsidR="00292A58" w:rsidRDefault="00292A58" w:rsidP="004A142B">
      <w:pPr>
        <w:pStyle w:val="Voetnoottekst"/>
      </w:pPr>
      <w:r>
        <w:rPr>
          <w:rStyle w:val="Voetnootmarkering"/>
        </w:rPr>
        <w:footnoteRef/>
      </w:r>
      <w:r>
        <w:t xml:space="preserve"> </w:t>
      </w:r>
      <w:r w:rsidRPr="00532016">
        <w:t xml:space="preserve">S.J.C. </w:t>
      </w:r>
      <w:r>
        <w:t>Hemels</w:t>
      </w:r>
      <w:r w:rsidRPr="00532016">
        <w:t xml:space="preserve"> en J.</w:t>
      </w:r>
      <w:r>
        <w:t>W. Rompen</w:t>
      </w:r>
      <w:r w:rsidRPr="00532016">
        <w:t xml:space="preserve">, </w:t>
      </w:r>
      <w:r w:rsidRPr="00292A58">
        <w:t>“</w:t>
      </w:r>
      <w:r w:rsidRPr="00292A58">
        <w:rPr>
          <w:i/>
          <w:iCs/>
        </w:rPr>
        <w:t>Vestiging of kapitaalverkeer:</w:t>
      </w:r>
      <w:r w:rsidRPr="00341A3A">
        <w:rPr>
          <w:i/>
          <w:iCs/>
        </w:rPr>
        <w:t xml:space="preserve"> welke vrijheid heeft prioriteit?</w:t>
      </w:r>
      <w:r w:rsidRPr="00341A3A">
        <w:t>”</w:t>
      </w:r>
      <w:r w:rsidRPr="00341A3A">
        <w:rPr>
          <w:i/>
          <w:iCs/>
        </w:rPr>
        <w:t>,</w:t>
      </w:r>
      <w:r>
        <w:t xml:space="preserve"> WFR 2010/1058</w:t>
      </w:r>
    </w:p>
    <w:p w:rsidR="00292A58" w:rsidRDefault="00292A58">
      <w:pPr>
        <w:pStyle w:val="Voetnoottekst"/>
      </w:pPr>
    </w:p>
  </w:footnote>
  <w:footnote w:id="127">
    <w:p w:rsidR="00292A58" w:rsidRDefault="00292A58" w:rsidP="00F11251">
      <w:pPr>
        <w:pStyle w:val="Voetnoottekst"/>
      </w:pPr>
      <w:r>
        <w:rPr>
          <w:rStyle w:val="Voetnootmarkering"/>
        </w:rPr>
        <w:footnoteRef/>
      </w:r>
      <w:r w:rsidRPr="00BB15E3">
        <w:t xml:space="preserve"> </w:t>
      </w:r>
      <w:r>
        <w:t>HvJ EG, 5 november 2002, zaak C-208/00 (</w:t>
      </w:r>
      <w:r w:rsidRPr="00341A3A">
        <w:rPr>
          <w:i/>
          <w:iCs/>
        </w:rPr>
        <w:t>Uberseering</w:t>
      </w:r>
      <w:r>
        <w:t>),</w:t>
      </w:r>
      <w:r w:rsidRPr="00BB15E3">
        <w:t xml:space="preserve"> r.o. 77</w:t>
      </w:r>
    </w:p>
  </w:footnote>
  <w:footnote w:id="128">
    <w:p w:rsidR="00292A58" w:rsidRDefault="00292A58" w:rsidP="00F11251">
      <w:pPr>
        <w:pStyle w:val="Voetnoottekst"/>
      </w:pPr>
      <w:r>
        <w:rPr>
          <w:rStyle w:val="Voetnootmarkering"/>
        </w:rPr>
        <w:footnoteRef/>
      </w:r>
      <w:r w:rsidRPr="00BB15E3">
        <w:t xml:space="preserve"> </w:t>
      </w:r>
      <w:r>
        <w:t>HvJ EG, 17 september 2008, zaak C-182/08 (</w:t>
      </w:r>
      <w:r w:rsidRPr="00341A3A">
        <w:rPr>
          <w:i/>
          <w:iCs/>
        </w:rPr>
        <w:t>Glaxo Wellcome</w:t>
      </w:r>
      <w:r>
        <w:t>)</w:t>
      </w:r>
      <w:r w:rsidRPr="00BB15E3">
        <w:t xml:space="preserve"> r.o. 7 en 8 alsmede conclusie </w:t>
      </w:r>
      <w:r>
        <w:t xml:space="preserve">P-G </w:t>
      </w:r>
      <w:r w:rsidRPr="00BB15E3">
        <w:t>Bot r.o. 88</w:t>
      </w:r>
      <w:r>
        <w:t xml:space="preserve"> bij dit arrest</w:t>
      </w:r>
    </w:p>
  </w:footnote>
  <w:footnote w:id="129">
    <w:p w:rsidR="00292A58" w:rsidRDefault="00292A58" w:rsidP="004A142B">
      <w:pPr>
        <w:pStyle w:val="Voetnoottekst"/>
      </w:pPr>
      <w:r w:rsidRPr="00454805">
        <w:rPr>
          <w:rStyle w:val="Voetnootmarkering"/>
        </w:rPr>
        <w:footnoteRef/>
      </w:r>
      <w:r w:rsidRPr="00454805">
        <w:t xml:space="preserve"> </w:t>
      </w:r>
      <w:r>
        <w:t xml:space="preserve">D.S. Smit, annotatie bij HR 26 september 2008, BNB 2009/24, </w:t>
      </w:r>
      <w:r w:rsidRPr="00532016">
        <w:t xml:space="preserve">S.J.C. </w:t>
      </w:r>
      <w:r>
        <w:t>Hemels</w:t>
      </w:r>
      <w:r w:rsidRPr="00532016">
        <w:t xml:space="preserve"> en J.</w:t>
      </w:r>
      <w:r>
        <w:t>W. Rompen</w:t>
      </w:r>
      <w:r w:rsidRPr="00532016">
        <w:t xml:space="preserve">, </w:t>
      </w:r>
      <w:r>
        <w:t>“</w:t>
      </w:r>
      <w:r w:rsidRPr="00341A3A">
        <w:rPr>
          <w:i/>
          <w:iCs/>
        </w:rPr>
        <w:t>Vestiging of kapitaalverkeer: welke vrijheid heeft prioriteit?</w:t>
      </w:r>
      <w:r w:rsidRPr="00341A3A">
        <w:t>”</w:t>
      </w:r>
      <w:r w:rsidRPr="00341A3A">
        <w:rPr>
          <w:i/>
          <w:iCs/>
        </w:rPr>
        <w:t>,</w:t>
      </w:r>
      <w:r>
        <w:t xml:space="preserve"> WFR 2010/1058</w:t>
      </w:r>
    </w:p>
    <w:p w:rsidR="00292A58" w:rsidRDefault="00292A58" w:rsidP="00F11251">
      <w:pPr>
        <w:pStyle w:val="Voetnoottekst"/>
      </w:pPr>
    </w:p>
  </w:footnote>
  <w:footnote w:id="130">
    <w:p w:rsidR="00292A58" w:rsidRDefault="00292A58" w:rsidP="00F11251">
      <w:pPr>
        <w:pStyle w:val="Voetnoottekst"/>
      </w:pPr>
      <w:r w:rsidRPr="00454805">
        <w:rPr>
          <w:rStyle w:val="Voetnootmarkering"/>
        </w:rPr>
        <w:footnoteRef/>
      </w:r>
      <w:r>
        <w:t xml:space="preserve">  </w:t>
      </w:r>
      <w:r>
        <w:t>A.A. Fase, “</w:t>
      </w:r>
      <w:r w:rsidRPr="00341A3A">
        <w:rPr>
          <w:i/>
          <w:iCs/>
        </w:rPr>
        <w:t>Het rangorde vraagstuk in derdelandenverhoudingen</w:t>
      </w:r>
      <w:r>
        <w:t>”, WFR 2008/687</w:t>
      </w:r>
    </w:p>
  </w:footnote>
  <w:footnote w:id="131">
    <w:p w:rsidR="00292A58" w:rsidRDefault="00292A58">
      <w:pPr>
        <w:pStyle w:val="Voetnoottekst"/>
      </w:pPr>
      <w:r>
        <w:rPr>
          <w:rStyle w:val="Voetnootmarkering"/>
        </w:rPr>
        <w:footnoteRef/>
      </w:r>
      <w:r>
        <w:t xml:space="preserve"> </w:t>
      </w:r>
      <w:r>
        <w:t>Zoals  J. Vleggeert in “</w:t>
      </w:r>
      <w:r w:rsidRPr="00341A3A">
        <w:rPr>
          <w:i/>
          <w:iCs/>
        </w:rPr>
        <w:t>Aftrekbeperkingen in het internationale belastingrecht</w:t>
      </w:r>
      <w:r w:rsidRPr="00341A3A">
        <w:t>”,</w:t>
      </w:r>
      <w:r w:rsidRPr="00341A3A">
        <w:rPr>
          <w:i/>
          <w:iCs/>
        </w:rPr>
        <w:t xml:space="preserve"> </w:t>
      </w:r>
      <w:r>
        <w:t>fiscale monografien nr. 132, 2009, Deventer: Kluwer aan</w:t>
      </w:r>
      <w:r w:rsidRPr="00083E5B">
        <w:t>geeft kan men enkel in deze omsta</w:t>
      </w:r>
      <w:r>
        <w:t>ndigheid de investeringsbesliss</w:t>
      </w:r>
      <w:r w:rsidRPr="00083E5B">
        <w:t>ingen beinvloeden</w:t>
      </w:r>
    </w:p>
  </w:footnote>
  <w:footnote w:id="132">
    <w:p w:rsidR="00292A58" w:rsidRDefault="00292A58">
      <w:pPr>
        <w:pStyle w:val="Voetnoottekst"/>
      </w:pPr>
      <w:r>
        <w:rPr>
          <w:rStyle w:val="Voetnootmarkering"/>
        </w:rPr>
        <w:footnoteRef/>
      </w:r>
      <w:r w:rsidRPr="009E2F08">
        <w:t xml:space="preserve"> </w:t>
      </w:r>
      <w:r>
        <w:t xml:space="preserve"> </w:t>
      </w:r>
      <w:r>
        <w:t xml:space="preserve">J. </w:t>
      </w:r>
      <w:r w:rsidRPr="009E2F08">
        <w:t xml:space="preserve">Vleggeert </w:t>
      </w:r>
      <w:r>
        <w:t>“</w:t>
      </w:r>
      <w:r w:rsidRPr="00341A3A">
        <w:rPr>
          <w:i/>
          <w:iCs/>
        </w:rPr>
        <w:t>Aftrekbeperkingen in het internationale belastingrecht</w:t>
      </w:r>
      <w:r>
        <w:t>”, fiscale monografien nr. 132, 2009, Deventer: Kluwer</w:t>
      </w:r>
    </w:p>
  </w:footnote>
  <w:footnote w:id="133">
    <w:p w:rsidR="00292A58" w:rsidRDefault="00292A58">
      <w:pPr>
        <w:pStyle w:val="Voetnoottekst"/>
      </w:pPr>
      <w:r>
        <w:rPr>
          <w:rStyle w:val="Voetnootmarkering"/>
        </w:rPr>
        <w:footnoteRef/>
      </w:r>
      <w:r w:rsidRPr="00DF14CE">
        <w:t xml:space="preserve"> </w:t>
      </w:r>
      <w:r>
        <w:t>HvJ EG</w:t>
      </w:r>
      <w:r w:rsidRPr="00DF14CE">
        <w:t>, 10 mei 2007, zaak C-492/04 (</w:t>
      </w:r>
      <w:r w:rsidRPr="00341A3A">
        <w:rPr>
          <w:i/>
          <w:iCs/>
        </w:rPr>
        <w:t>Lasertec</w:t>
      </w:r>
      <w:r w:rsidRPr="00DF14CE">
        <w:t>), r.o. 22</w:t>
      </w:r>
    </w:p>
  </w:footnote>
  <w:footnote w:id="134">
    <w:p w:rsidR="00292A58" w:rsidRDefault="00292A58" w:rsidP="008744A3">
      <w:pPr>
        <w:pStyle w:val="Voetnoottekst"/>
      </w:pPr>
      <w:r>
        <w:rPr>
          <w:rStyle w:val="Voetnootmarkering"/>
        </w:rPr>
        <w:footnoteRef/>
      </w:r>
      <w:r w:rsidRPr="008744A3">
        <w:t xml:space="preserve"> </w:t>
      </w:r>
      <w:r w:rsidRPr="008744A3">
        <w:t>HvJ EG, 6 december 2006, zaak C-298/05 (</w:t>
      </w:r>
      <w:r w:rsidRPr="008744A3">
        <w:rPr>
          <w:i/>
          <w:iCs/>
        </w:rPr>
        <w:t>Columbus Container Services</w:t>
      </w:r>
      <w:r>
        <w:t xml:space="preserve">)  alsmede </w:t>
      </w:r>
      <w:r w:rsidRPr="00DF14CE">
        <w:t>M.</w:t>
      </w:r>
      <w:r>
        <w:t>G.H. van der K</w:t>
      </w:r>
      <w:r w:rsidRPr="00DF14CE">
        <w:t>roon</w:t>
      </w:r>
      <w:r>
        <w:t>, “</w:t>
      </w:r>
      <w:r>
        <w:rPr>
          <w:i/>
          <w:iCs/>
        </w:rPr>
        <w:t>H</w:t>
      </w:r>
      <w:r w:rsidRPr="00341A3A">
        <w:rPr>
          <w:i/>
          <w:iCs/>
        </w:rPr>
        <w:t>et</w:t>
      </w:r>
      <w:r>
        <w:t xml:space="preserve"> </w:t>
      </w:r>
      <w:r w:rsidRPr="00341A3A">
        <w:rPr>
          <w:i/>
          <w:iCs/>
        </w:rPr>
        <w:t>Baarscriterium krijgt invulling</w:t>
      </w:r>
      <w:r>
        <w:t>”, WFR</w:t>
      </w:r>
      <w:r w:rsidRPr="00DF14CE">
        <w:t xml:space="preserve"> 2010/229</w:t>
      </w:r>
    </w:p>
  </w:footnote>
  <w:footnote w:id="135">
    <w:p w:rsidR="00292A58" w:rsidRDefault="00292A58">
      <w:pPr>
        <w:pStyle w:val="Voetnoottekst"/>
      </w:pPr>
      <w:r>
        <w:rPr>
          <w:rStyle w:val="Voetnootmarkering"/>
        </w:rPr>
        <w:footnoteRef/>
      </w:r>
      <w:r w:rsidRPr="00DF14CE">
        <w:rPr>
          <w:lang w:val="en-US"/>
        </w:rPr>
        <w:t xml:space="preserve"> </w:t>
      </w:r>
      <w:r>
        <w:rPr>
          <w:lang w:val="en-US"/>
        </w:rPr>
        <w:t>HvJ EG, 13 maart 2007, zaak C-524/04 (</w:t>
      </w:r>
      <w:r w:rsidRPr="00341A3A">
        <w:rPr>
          <w:i/>
          <w:iCs/>
          <w:lang w:val="en-US"/>
        </w:rPr>
        <w:t xml:space="preserve">Test Claimants in the Thin Cap </w:t>
      </w:r>
      <w:r>
        <w:rPr>
          <w:i/>
          <w:iCs/>
          <w:lang w:val="en-US"/>
        </w:rPr>
        <w:t>GLO</w:t>
      </w:r>
      <w:proofErr w:type="gramStart"/>
      <w:r>
        <w:rPr>
          <w:lang w:val="en-US"/>
        </w:rPr>
        <w:t xml:space="preserve">) </w:t>
      </w:r>
      <w:r w:rsidRPr="00DF14CE">
        <w:rPr>
          <w:lang w:val="en-US"/>
        </w:rPr>
        <w:t xml:space="preserve"> r.o</w:t>
      </w:r>
      <w:proofErr w:type="gramEnd"/>
      <w:r w:rsidRPr="00DF14CE">
        <w:rPr>
          <w:lang w:val="en-US"/>
        </w:rPr>
        <w:t>. 93 t/m 102</w:t>
      </w:r>
    </w:p>
  </w:footnote>
  <w:footnote w:id="136">
    <w:p w:rsidR="00292A58" w:rsidRDefault="00292A58" w:rsidP="00F11251">
      <w:pPr>
        <w:pStyle w:val="Voetnoottekst"/>
      </w:pPr>
      <w:r>
        <w:rPr>
          <w:rStyle w:val="Voetnootmarkering"/>
        </w:rPr>
        <w:footnoteRef/>
      </w:r>
      <w:r w:rsidRPr="00766A77">
        <w:t xml:space="preserve"> </w:t>
      </w:r>
      <w:r>
        <w:t xml:space="preserve">B. </w:t>
      </w:r>
      <w:r w:rsidRPr="00766A77">
        <w:t xml:space="preserve">Kiekebeld en </w:t>
      </w:r>
      <w:r>
        <w:t xml:space="preserve">A. van </w:t>
      </w:r>
      <w:r w:rsidRPr="00766A77">
        <w:t>Eijsden,</w:t>
      </w:r>
      <w:r>
        <w:t xml:space="preserve"> “</w:t>
      </w:r>
      <w:r w:rsidRPr="00341A3A">
        <w:rPr>
          <w:i/>
          <w:iCs/>
        </w:rPr>
        <w:t>Nederlands belastingrecht in Europees perspectief</w:t>
      </w:r>
      <w:r>
        <w:t>”, Deventer: Kluwer, 2009</w:t>
      </w:r>
      <w:r w:rsidRPr="00766A77">
        <w:t xml:space="preserve"> </w:t>
      </w:r>
      <w:r>
        <w:t>alsmede HvJ EG 9 maart 1999, zaak C-212/97 (</w:t>
      </w:r>
      <w:r w:rsidRPr="00341A3A">
        <w:rPr>
          <w:i/>
          <w:iCs/>
        </w:rPr>
        <w:t>Centros</w:t>
      </w:r>
      <w:r>
        <w:t>)</w:t>
      </w:r>
    </w:p>
  </w:footnote>
  <w:footnote w:id="137">
    <w:p w:rsidR="00292A58" w:rsidRDefault="00292A58" w:rsidP="00F11251">
      <w:pPr>
        <w:pStyle w:val="Voetnoottekst"/>
      </w:pPr>
      <w:r>
        <w:rPr>
          <w:rStyle w:val="Voetnootmarkering"/>
        </w:rPr>
        <w:footnoteRef/>
      </w:r>
      <w:r>
        <w:t xml:space="preserve"> B.J. Kiekebeld, “</w:t>
      </w:r>
      <w:r w:rsidRPr="00341A3A">
        <w:rPr>
          <w:i/>
          <w:iCs/>
        </w:rPr>
        <w:t>De (on)mogelijkheden van compenserende heffing binnen EU-verband</w:t>
      </w:r>
      <w:r>
        <w:t>”, WFR 2003/914 alsmede D.M. Weber, “</w:t>
      </w:r>
      <w:r w:rsidRPr="00341A3A">
        <w:rPr>
          <w:i/>
          <w:iCs/>
        </w:rPr>
        <w:t>VPB 2007. Opruimen van EG-rechtelijke knelpunten</w:t>
      </w:r>
      <w:r>
        <w:t>”, WFR 2004/1251</w:t>
      </w:r>
    </w:p>
  </w:footnote>
  <w:footnote w:id="138">
    <w:p w:rsidR="00292A58" w:rsidRDefault="00292A58" w:rsidP="00F11251">
      <w:pPr>
        <w:pStyle w:val="Voetnoottekst"/>
      </w:pPr>
      <w:r>
        <w:rPr>
          <w:rStyle w:val="Voetnootmarkering"/>
        </w:rPr>
        <w:footnoteRef/>
      </w:r>
      <w:r w:rsidRPr="00BA2EE8">
        <w:t xml:space="preserve"> </w:t>
      </w:r>
      <w:r>
        <w:t>HvJ EG, 6 november 2003, zaak C-413/01 (</w:t>
      </w:r>
      <w:r w:rsidRPr="00341A3A">
        <w:rPr>
          <w:i/>
          <w:iCs/>
        </w:rPr>
        <w:t>Ninni-Orasche</w:t>
      </w:r>
      <w:r>
        <w:t>),</w:t>
      </w:r>
      <w:r w:rsidRPr="00BA2EE8">
        <w:t xml:space="preserve"> r.o. 31</w:t>
      </w:r>
    </w:p>
  </w:footnote>
  <w:footnote w:id="139">
    <w:p w:rsidR="00292A58" w:rsidRDefault="00292A58">
      <w:pPr>
        <w:pStyle w:val="Voetnoottekst"/>
      </w:pPr>
      <w:r>
        <w:rPr>
          <w:rStyle w:val="Voetnootmarkering"/>
        </w:rPr>
        <w:footnoteRef/>
      </w:r>
      <w:r>
        <w:t xml:space="preserve"> </w:t>
      </w:r>
      <w:r w:rsidRPr="001E7CE8">
        <w:t xml:space="preserve">D.M. Weber, 2003, </w:t>
      </w:r>
      <w:r>
        <w:t>“</w:t>
      </w:r>
      <w:r w:rsidRPr="00341A3A">
        <w:rPr>
          <w:i/>
          <w:iCs/>
        </w:rPr>
        <w:t>Belastingontwijking en de EG verdragsvrijheden (een onderzoek naar de Europeesrechtelijke grenzen van belastingontwijking)</w:t>
      </w:r>
      <w:r>
        <w:t xml:space="preserve">”, Fiscale monografieën nr. 105, Deeventer: Kluwer, </w:t>
      </w:r>
    </w:p>
  </w:footnote>
  <w:footnote w:id="140">
    <w:p w:rsidR="00292A58" w:rsidRDefault="00292A58">
      <w:pPr>
        <w:pStyle w:val="Voetnoottekst"/>
      </w:pPr>
      <w:r>
        <w:rPr>
          <w:rStyle w:val="Voetnootmarkering"/>
        </w:rPr>
        <w:footnoteRef/>
      </w:r>
      <w:r>
        <w:t xml:space="preserve"> HvJ EG</w:t>
      </w:r>
      <w:r w:rsidRPr="00DF14CE">
        <w:t>, 12 september 2006, zaak C-196/04 (</w:t>
      </w:r>
      <w:r w:rsidRPr="00341A3A">
        <w:rPr>
          <w:i/>
          <w:iCs/>
        </w:rPr>
        <w:t>Cadbury Schweppes</w:t>
      </w:r>
      <w:r w:rsidRPr="00DF14CE">
        <w:t xml:space="preserve">) </w:t>
      </w:r>
      <w:r>
        <w:t xml:space="preserve"> r.o. 54</w:t>
      </w:r>
    </w:p>
  </w:footnote>
  <w:footnote w:id="141">
    <w:p w:rsidR="00292A58" w:rsidRDefault="00292A58">
      <w:pPr>
        <w:pStyle w:val="Voetnoottekst"/>
      </w:pPr>
      <w:r>
        <w:rPr>
          <w:rStyle w:val="Voetnootmarkering"/>
        </w:rPr>
        <w:footnoteRef/>
      </w:r>
      <w:r>
        <w:t xml:space="preserve">Terra B.J.M. </w:t>
      </w:r>
      <w:r w:rsidRPr="00EE3285">
        <w:t>Wattel</w:t>
      </w:r>
      <w:r>
        <w:t xml:space="preserve"> P.J. T</w:t>
      </w:r>
      <w:r w:rsidRPr="00EE3285">
        <w:t>erra</w:t>
      </w:r>
      <w:r>
        <w:t>, 2008, “</w:t>
      </w:r>
      <w:r w:rsidRPr="00341A3A">
        <w:rPr>
          <w:i/>
          <w:iCs/>
        </w:rPr>
        <w:t>European Tax Law, student edition</w:t>
      </w:r>
      <w:r>
        <w:t>”, Kluwer</w:t>
      </w:r>
      <w:r w:rsidRPr="003C22D7">
        <w:t>, zij c</w:t>
      </w:r>
      <w:r>
        <w:t>oncluderen op grond hiervan dat er in eerste instantie geen toegang bestaat</w:t>
      </w:r>
    </w:p>
  </w:footnote>
  <w:footnote w:id="142">
    <w:p w:rsidR="00292A58" w:rsidRDefault="00292A58">
      <w:pPr>
        <w:pStyle w:val="Voetnoottekst"/>
      </w:pPr>
      <w:r>
        <w:rPr>
          <w:rStyle w:val="Voetnootmarkering"/>
        </w:rPr>
        <w:footnoteRef/>
      </w:r>
      <w:r>
        <w:t xml:space="preserve"> GBV staat voor gecontroleerde buitenlandse vennootschap</w:t>
      </w:r>
    </w:p>
  </w:footnote>
  <w:footnote w:id="143">
    <w:p w:rsidR="00292A58" w:rsidRDefault="00292A58">
      <w:pPr>
        <w:pStyle w:val="Voetnoottekst"/>
      </w:pPr>
      <w:r>
        <w:rPr>
          <w:rStyle w:val="Voetnootmarkering"/>
        </w:rPr>
        <w:footnoteRef/>
      </w:r>
      <w:r>
        <w:t xml:space="preserve"> HvJ EG</w:t>
      </w:r>
      <w:r w:rsidRPr="00DF14CE">
        <w:t>, 12 september 2006, zaak C-196/04 (</w:t>
      </w:r>
      <w:r w:rsidRPr="00341A3A">
        <w:rPr>
          <w:i/>
          <w:iCs/>
        </w:rPr>
        <w:t>Cadbury Schweppes</w:t>
      </w:r>
      <w:r w:rsidRPr="00DF14CE">
        <w:t xml:space="preserve">) </w:t>
      </w:r>
      <w:r>
        <w:t xml:space="preserve"> r.o. 65 en 66</w:t>
      </w:r>
    </w:p>
  </w:footnote>
  <w:footnote w:id="144">
    <w:p w:rsidR="00292A58" w:rsidRDefault="00292A58">
      <w:pPr>
        <w:pStyle w:val="Voetnoottekst"/>
      </w:pPr>
      <w:r>
        <w:rPr>
          <w:rStyle w:val="Voetnootmarkering"/>
        </w:rPr>
        <w:footnoteRef/>
      </w:r>
      <w:r>
        <w:t xml:space="preserve"> </w:t>
      </w:r>
      <w:r w:rsidRPr="00454805">
        <w:t xml:space="preserve">O.C.R. Marres, </w:t>
      </w:r>
      <w:r>
        <w:t>“</w:t>
      </w:r>
      <w:r w:rsidRPr="00341A3A">
        <w:rPr>
          <w:i/>
          <w:iCs/>
        </w:rPr>
        <w:t>Winstdrainage door Renteaftrek (beoordeling van artikel 10a Wet op de vennootschapsbelasting)</w:t>
      </w:r>
      <w:r w:rsidRPr="00341A3A">
        <w:t xml:space="preserve">”, </w:t>
      </w:r>
      <w:r>
        <w:t>Fiscale Monografieën nr. 113,  Deventer: Kluwer 2005 , blz. 248</w:t>
      </w:r>
    </w:p>
  </w:footnote>
  <w:footnote w:id="145">
    <w:p w:rsidR="00292A58" w:rsidRDefault="00292A58" w:rsidP="00F11251">
      <w:pPr>
        <w:pStyle w:val="Voetnoottekst"/>
      </w:pPr>
      <w:r>
        <w:rPr>
          <w:rStyle w:val="Voetnootmarkering"/>
        </w:rPr>
        <w:footnoteRef/>
      </w:r>
      <w:r w:rsidRPr="00CF3421">
        <w:t xml:space="preserve"> </w:t>
      </w:r>
      <w:r>
        <w:t>HvJ EG</w:t>
      </w:r>
      <w:r w:rsidRPr="00DF14CE">
        <w:t>, 12 september 2006, zaak C-196/04 (</w:t>
      </w:r>
      <w:r w:rsidRPr="00341A3A">
        <w:rPr>
          <w:i/>
          <w:iCs/>
        </w:rPr>
        <w:t>Cadbury Schweppes</w:t>
      </w:r>
      <w:r w:rsidRPr="00DF14CE">
        <w:t xml:space="preserve">) </w:t>
      </w:r>
      <w:r>
        <w:t xml:space="preserve"> </w:t>
      </w:r>
      <w:r w:rsidRPr="00CF3421">
        <w:t xml:space="preserve">r.o. 72, </w:t>
      </w:r>
    </w:p>
  </w:footnote>
  <w:footnote w:id="146">
    <w:p w:rsidR="00292A58" w:rsidRDefault="00292A58" w:rsidP="00F11251">
      <w:pPr>
        <w:pStyle w:val="Voetnoottekst"/>
      </w:pPr>
      <w:r>
        <w:rPr>
          <w:rStyle w:val="Voetnootmarkering"/>
        </w:rPr>
        <w:footnoteRef/>
      </w:r>
      <w:r>
        <w:t xml:space="preserve"> Vakstudie N</w:t>
      </w:r>
      <w:r w:rsidRPr="00983640">
        <w:t>ieuws</w:t>
      </w:r>
      <w:r>
        <w:t xml:space="preserve">, </w:t>
      </w:r>
      <w:r w:rsidRPr="00983640">
        <w:t>commentaar bij art</w:t>
      </w:r>
      <w:r>
        <w:t>.</w:t>
      </w:r>
      <w:r w:rsidRPr="00983640">
        <w:t xml:space="preserve"> </w:t>
      </w:r>
      <w:r>
        <w:t>267 VwEU, alsmede HvJ EG, 21 november 2002, zaak C-436/00 (</w:t>
      </w:r>
      <w:r w:rsidRPr="00341A3A">
        <w:rPr>
          <w:i/>
          <w:iCs/>
        </w:rPr>
        <w:t>X en Y</w:t>
      </w:r>
      <w:r>
        <w:t>), r.o. 18</w:t>
      </w:r>
    </w:p>
  </w:footnote>
  <w:footnote w:id="147">
    <w:p w:rsidR="00292A58" w:rsidRDefault="00292A58" w:rsidP="00F11251">
      <w:pPr>
        <w:pStyle w:val="Voetnoottekst"/>
      </w:pPr>
      <w:r w:rsidRPr="00454805">
        <w:rPr>
          <w:rStyle w:val="Voetnootmarkering"/>
        </w:rPr>
        <w:footnoteRef/>
      </w:r>
      <w:r w:rsidRPr="00410CFE">
        <w:t xml:space="preserve"> </w:t>
      </w:r>
      <w:r>
        <w:t>HvJ EG</w:t>
      </w:r>
      <w:r w:rsidRPr="00410CFE">
        <w:t>, 12 september 2006, zaak C-196/04 (</w:t>
      </w:r>
      <w:r w:rsidRPr="00341A3A">
        <w:rPr>
          <w:i/>
          <w:iCs/>
        </w:rPr>
        <w:t>Cadbury Schweppes</w:t>
      </w:r>
      <w:r w:rsidRPr="00410CFE">
        <w:t xml:space="preserve">)  r.o. 40, </w:t>
      </w:r>
      <w:r>
        <w:t>HvJ EG</w:t>
      </w:r>
      <w:r w:rsidRPr="00410CFE">
        <w:t xml:space="preserve">, 29 april 1999, zaak C-311/97 (Royal Bank of Scotland), </w:t>
      </w:r>
      <w:r>
        <w:t>HvJ EG</w:t>
      </w:r>
      <w:r w:rsidRPr="00410CFE">
        <w:t>, 7 juli 2004, zaak C-310/02 (</w:t>
      </w:r>
      <w:r w:rsidRPr="00341A3A">
        <w:rPr>
          <w:i/>
          <w:iCs/>
        </w:rPr>
        <w:t>Manninen</w:t>
      </w:r>
      <w:r w:rsidRPr="00410CFE">
        <w:t xml:space="preserve">),  r.o. 19 alsmede </w:t>
      </w:r>
      <w:r>
        <w:t>HvJ EG</w:t>
      </w:r>
      <w:r w:rsidRPr="00410CFE">
        <w:t>, 1</w:t>
      </w:r>
      <w:r>
        <w:t>3 december 2005, zaak C446/03 (</w:t>
      </w:r>
      <w:r w:rsidRPr="00341A3A">
        <w:rPr>
          <w:i/>
          <w:iCs/>
        </w:rPr>
        <w:t>Marks &amp; Spencer</w:t>
      </w:r>
      <w:r>
        <w:t>),</w:t>
      </w:r>
      <w:r w:rsidRPr="00410CFE">
        <w:t xml:space="preserve"> r.o. 29</w:t>
      </w:r>
    </w:p>
  </w:footnote>
  <w:footnote w:id="148">
    <w:p w:rsidR="00292A58" w:rsidRDefault="00292A58" w:rsidP="00F11251">
      <w:pPr>
        <w:pStyle w:val="Voetnoottekst"/>
      </w:pPr>
      <w:r w:rsidRPr="00454805">
        <w:rPr>
          <w:rStyle w:val="Voetnootmarkering"/>
        </w:rPr>
        <w:footnoteRef/>
      </w:r>
      <w:r w:rsidRPr="00410CFE">
        <w:t xml:space="preserve"> </w:t>
      </w:r>
      <w:r>
        <w:t>HvJ EG</w:t>
      </w:r>
      <w:r w:rsidRPr="00410CFE">
        <w:t>, 12 september 2006, zaak C-196/04 (</w:t>
      </w:r>
      <w:r w:rsidRPr="00341A3A">
        <w:rPr>
          <w:i/>
          <w:iCs/>
        </w:rPr>
        <w:t>Cadbury Schweppes</w:t>
      </w:r>
      <w:r w:rsidRPr="00410CFE">
        <w:t xml:space="preserve">)  r.o. 52, </w:t>
      </w:r>
      <w:r>
        <w:t>HvJ EG 9 maart 1999, zaak C-212/97 (</w:t>
      </w:r>
      <w:r w:rsidRPr="00341A3A">
        <w:rPr>
          <w:i/>
          <w:iCs/>
        </w:rPr>
        <w:t>Centros</w:t>
      </w:r>
      <w:r>
        <w:t>) r.o. 25 alsmede HvJ EG, 21 november 2002, zaak C-436/00 (</w:t>
      </w:r>
      <w:r w:rsidRPr="00341A3A">
        <w:rPr>
          <w:i/>
          <w:iCs/>
        </w:rPr>
        <w:t>X en Y</w:t>
      </w:r>
      <w:r>
        <w:t xml:space="preserve">), </w:t>
      </w:r>
      <w:r w:rsidRPr="00410CFE">
        <w:t>r.o. 57</w:t>
      </w:r>
    </w:p>
  </w:footnote>
  <w:footnote w:id="149">
    <w:p w:rsidR="00292A58" w:rsidRDefault="00292A58" w:rsidP="00F11251">
      <w:pPr>
        <w:pStyle w:val="Voetnoottekst"/>
      </w:pPr>
      <w:r>
        <w:rPr>
          <w:rStyle w:val="Voetnootmarkering"/>
        </w:rPr>
        <w:footnoteRef/>
      </w:r>
      <w:r w:rsidRPr="00D376E4">
        <w:t xml:space="preserve">  B.J. Kiekebeld,  </w:t>
      </w:r>
      <w:r>
        <w:t>P.F.E.M. Merks en D.S. Smit, “</w:t>
      </w:r>
      <w:r w:rsidRPr="00341A3A">
        <w:rPr>
          <w:i/>
          <w:iCs/>
        </w:rPr>
        <w:t>Cadbury Schweppes: analyse en de gevolgen voor de fiscale behandeling van buitenlandse concernfinanciering onder de huidige Wet VPB 1969</w:t>
      </w:r>
      <w:r>
        <w:t xml:space="preserve">”,  </w:t>
      </w:r>
      <w:r w:rsidRPr="00410CFE">
        <w:t>WFR 2007/129</w:t>
      </w:r>
    </w:p>
  </w:footnote>
  <w:footnote w:id="150">
    <w:p w:rsidR="00292A58" w:rsidRDefault="00292A58" w:rsidP="00F11251">
      <w:pPr>
        <w:pStyle w:val="Voetnoottekst"/>
      </w:pPr>
      <w:r>
        <w:rPr>
          <w:rStyle w:val="Voetnootmarkering"/>
        </w:rPr>
        <w:footnoteRef/>
      </w:r>
      <w:r>
        <w:t>HvJ EG</w:t>
      </w:r>
      <w:r w:rsidRPr="00410CFE">
        <w:t>, 12 september 2006, zaak C-196/04 (</w:t>
      </w:r>
      <w:r w:rsidRPr="00341A3A">
        <w:rPr>
          <w:i/>
          <w:iCs/>
        </w:rPr>
        <w:t>Cadbury Schweppes</w:t>
      </w:r>
      <w:r w:rsidRPr="00410CFE">
        <w:t>)  r.o. 34</w:t>
      </w:r>
    </w:p>
  </w:footnote>
  <w:footnote w:id="151">
    <w:p w:rsidR="00292A58" w:rsidRDefault="00292A58" w:rsidP="00F11251">
      <w:pPr>
        <w:pStyle w:val="Voetnoottekst"/>
      </w:pPr>
      <w:r>
        <w:rPr>
          <w:rStyle w:val="Voetnootmarkering"/>
        </w:rPr>
        <w:footnoteRef/>
      </w:r>
      <w:r w:rsidRPr="00410CFE">
        <w:t xml:space="preserve"> </w:t>
      </w:r>
      <w:r>
        <w:t>HvJ EG</w:t>
      </w:r>
      <w:r w:rsidRPr="00410CFE">
        <w:t>, 12 september 2006, zaak C-196/04 (</w:t>
      </w:r>
      <w:r w:rsidRPr="00341A3A">
        <w:rPr>
          <w:i/>
          <w:iCs/>
        </w:rPr>
        <w:t>Cadbury Schweppes</w:t>
      </w:r>
      <w:r w:rsidRPr="00410CFE">
        <w:t>)  r.o. 35</w:t>
      </w:r>
      <w:r>
        <w:t xml:space="preserve"> alsmede</w:t>
      </w:r>
      <w:r w:rsidRPr="00410CFE">
        <w:t xml:space="preserve"> </w:t>
      </w:r>
      <w:r>
        <w:t>HvJ EG 9 maart 1999, zaak C-212/97 (</w:t>
      </w:r>
      <w:r w:rsidRPr="00341A3A">
        <w:rPr>
          <w:i/>
          <w:iCs/>
        </w:rPr>
        <w:t>Centros</w:t>
      </w:r>
      <w:r>
        <w:t>)</w:t>
      </w:r>
      <w:r w:rsidRPr="00410CFE">
        <w:t xml:space="preserve"> </w:t>
      </w:r>
    </w:p>
  </w:footnote>
  <w:footnote w:id="152">
    <w:p w:rsidR="00292A58" w:rsidRDefault="00292A58" w:rsidP="00F11251">
      <w:pPr>
        <w:pStyle w:val="Voetnoottekst"/>
      </w:pPr>
      <w:r>
        <w:rPr>
          <w:rStyle w:val="Voetnootmarkering"/>
        </w:rPr>
        <w:footnoteRef/>
      </w:r>
      <w:r w:rsidRPr="00BA2EE8">
        <w:t xml:space="preserve"> </w:t>
      </w:r>
      <w:r>
        <w:t>HvJ EG 9 maart 1999, zaak C-212/97 (</w:t>
      </w:r>
      <w:r w:rsidRPr="00341A3A">
        <w:rPr>
          <w:i/>
          <w:iCs/>
        </w:rPr>
        <w:t>Centros</w:t>
      </w:r>
      <w:r>
        <w:t xml:space="preserve">), </w:t>
      </w:r>
      <w:r w:rsidRPr="00BA2EE8">
        <w:t>r.o. 25</w:t>
      </w:r>
    </w:p>
  </w:footnote>
  <w:footnote w:id="153">
    <w:p w:rsidR="00292A58" w:rsidRDefault="00292A58" w:rsidP="00F11251">
      <w:pPr>
        <w:pStyle w:val="Voetnoottekst"/>
      </w:pPr>
      <w:r>
        <w:rPr>
          <w:rStyle w:val="Voetnootmarkering"/>
        </w:rPr>
        <w:footnoteRef/>
      </w:r>
      <w:r>
        <w:t xml:space="preserve"> HvJ EG, 7 februari 1979, zaak no. 115/78 (</w:t>
      </w:r>
      <w:r w:rsidRPr="00341A3A">
        <w:rPr>
          <w:i/>
          <w:iCs/>
        </w:rPr>
        <w:t>Knoors</w:t>
      </w:r>
      <w:r>
        <w:t>)</w:t>
      </w:r>
      <w:r w:rsidRPr="00022345">
        <w:t xml:space="preserve"> </w:t>
      </w:r>
      <w:r>
        <w:t xml:space="preserve">m.b.t. </w:t>
      </w:r>
      <w:r>
        <w:rPr>
          <w:iCs/>
        </w:rPr>
        <w:t xml:space="preserve">Richtlijn nr . 64/427 alsmede </w:t>
      </w:r>
      <w:r w:rsidRPr="00022345">
        <w:rPr>
          <w:iCs/>
        </w:rPr>
        <w:t xml:space="preserve"> </w:t>
      </w:r>
      <w:r>
        <w:rPr>
          <w:iCs/>
        </w:rPr>
        <w:t>HvJ EG, 3 oktober 1990, zaak C-61/89 (</w:t>
      </w:r>
      <w:r w:rsidRPr="00341A3A">
        <w:rPr>
          <w:i/>
        </w:rPr>
        <w:t>Bouchoucha</w:t>
      </w:r>
      <w:r>
        <w:rPr>
          <w:iCs/>
        </w:rPr>
        <w:t>)  m.b.t.</w:t>
      </w:r>
      <w:r w:rsidRPr="00022345">
        <w:rPr>
          <w:iCs/>
        </w:rPr>
        <w:t xml:space="preserve"> </w:t>
      </w:r>
      <w:r>
        <w:rPr>
          <w:iCs/>
        </w:rPr>
        <w:t>R</w:t>
      </w:r>
      <w:r w:rsidRPr="00022345">
        <w:rPr>
          <w:iCs/>
        </w:rPr>
        <w:t>ichtlijn 75/362/EEG</w:t>
      </w:r>
    </w:p>
  </w:footnote>
  <w:footnote w:id="154">
    <w:p w:rsidR="00292A58" w:rsidRDefault="00292A58" w:rsidP="00301E22">
      <w:pPr>
        <w:pStyle w:val="Voetnoottekst"/>
      </w:pPr>
      <w:r w:rsidRPr="00454805">
        <w:rPr>
          <w:rStyle w:val="Voetnootmarkering"/>
        </w:rPr>
        <w:footnoteRef/>
      </w:r>
      <w:r w:rsidRPr="00454805">
        <w:t xml:space="preserve"> </w:t>
      </w:r>
      <w:r>
        <w:t>P.J.G. Kapteyn en P.Verloren van Themaat,  2008, “</w:t>
      </w:r>
      <w:r w:rsidRPr="00341A3A">
        <w:rPr>
          <w:i/>
          <w:iCs/>
        </w:rPr>
        <w:t>Inleiding tot het recht van de Europese Gemeenschappen</w:t>
      </w:r>
      <w:r>
        <w:t xml:space="preserve">”, Deventer: Kluwer </w:t>
      </w:r>
      <w:r w:rsidRPr="00454805">
        <w:t xml:space="preserve">Alsmede </w:t>
      </w:r>
      <w:r>
        <w:t xml:space="preserve"> A.W. van der Woude, “</w:t>
      </w:r>
      <w:r w:rsidRPr="00341A3A">
        <w:rPr>
          <w:i/>
          <w:iCs/>
        </w:rPr>
        <w:t>EG-rechten, discriminaties en belemmeringen</w:t>
      </w:r>
      <w:r>
        <w:t xml:space="preserve">”, </w:t>
      </w:r>
      <w:r w:rsidRPr="00454805">
        <w:t xml:space="preserve">WFR </w:t>
      </w:r>
      <w:r>
        <w:t>2000/1471</w:t>
      </w:r>
    </w:p>
  </w:footnote>
  <w:footnote w:id="155">
    <w:p w:rsidR="00292A58" w:rsidRDefault="00292A58" w:rsidP="00301E22">
      <w:pPr>
        <w:pStyle w:val="Voetnoottekst"/>
      </w:pPr>
      <w:r w:rsidRPr="00454805">
        <w:rPr>
          <w:rStyle w:val="Voetnootmarkering"/>
        </w:rPr>
        <w:footnoteRef/>
      </w:r>
      <w:r w:rsidRPr="00454805">
        <w:t xml:space="preserve"> Vakstudie nieuws Nederlands Internationaal Belastingrecht, onderdeel 4</w:t>
      </w:r>
      <w:r>
        <w:t>. fiscale implicaties van het EG-</w:t>
      </w:r>
      <w:r w:rsidRPr="00454805">
        <w:t>recht, algemeen commentaar. 8 Non Discriminatie naar nationaliteit en de v</w:t>
      </w:r>
      <w:r>
        <w:t>ier vrijheden aantekening 8.1.7</w:t>
      </w:r>
    </w:p>
  </w:footnote>
  <w:footnote w:id="156">
    <w:p w:rsidR="00292A58" w:rsidRDefault="00292A58" w:rsidP="00F11251">
      <w:pPr>
        <w:pStyle w:val="Voetnoottekst"/>
      </w:pPr>
      <w:r w:rsidRPr="00454805">
        <w:rPr>
          <w:rStyle w:val="Voetnootmarkering"/>
        </w:rPr>
        <w:footnoteRef/>
      </w:r>
      <w:r w:rsidRPr="00454805">
        <w:t xml:space="preserve"> Deze categorie wordt ook opgemerkt door </w:t>
      </w:r>
      <w:r>
        <w:t xml:space="preserve"> G.M.R. </w:t>
      </w:r>
      <w:r w:rsidRPr="00454805">
        <w:t xml:space="preserve">Blokland in </w:t>
      </w:r>
      <w:r>
        <w:t>“</w:t>
      </w:r>
      <w:r w:rsidRPr="00837602">
        <w:rPr>
          <w:i/>
          <w:iCs/>
        </w:rPr>
        <w:t>Compenserende heffingstoets EU-proof</w:t>
      </w:r>
      <w:r>
        <w:t xml:space="preserve">”, </w:t>
      </w:r>
      <w:r w:rsidRPr="00454805">
        <w:t>WFR 2005/11</w:t>
      </w:r>
      <w:r>
        <w:t>2</w:t>
      </w:r>
      <w:r w:rsidRPr="00454805">
        <w:t>5</w:t>
      </w:r>
    </w:p>
  </w:footnote>
  <w:footnote w:id="157">
    <w:p w:rsidR="00292A58" w:rsidRDefault="00292A58">
      <w:pPr>
        <w:pStyle w:val="Voetnoottekst"/>
      </w:pPr>
      <w:r>
        <w:rPr>
          <w:rStyle w:val="Voetnootmarkering"/>
        </w:rPr>
        <w:footnoteRef/>
      </w:r>
      <w:r>
        <w:t xml:space="preserve"> Terra B.J.M. </w:t>
      </w:r>
      <w:r w:rsidRPr="00EE3285">
        <w:t>Wattel</w:t>
      </w:r>
      <w:r>
        <w:t xml:space="preserve"> P.J. T</w:t>
      </w:r>
      <w:r w:rsidRPr="00EE3285">
        <w:t>erra</w:t>
      </w:r>
      <w:r>
        <w:t>, 2008, “</w:t>
      </w:r>
      <w:r w:rsidRPr="00837602">
        <w:rPr>
          <w:i/>
          <w:iCs/>
        </w:rPr>
        <w:t>European Tax Law, student edition</w:t>
      </w:r>
      <w:r>
        <w:t xml:space="preserve">”, Kluwer alsmede  J. </w:t>
      </w:r>
      <w:r w:rsidRPr="009E2F08">
        <w:t xml:space="preserve">Vleggeert </w:t>
      </w:r>
      <w:r>
        <w:t>“</w:t>
      </w:r>
      <w:r w:rsidRPr="00837602">
        <w:rPr>
          <w:i/>
          <w:iCs/>
        </w:rPr>
        <w:t>Aftrekbeperkingen in het internationale belastingrecht</w:t>
      </w:r>
      <w:r>
        <w:t>”, fiscale monografien nr. 132, 2009, Deventer: Kluwer</w:t>
      </w:r>
    </w:p>
  </w:footnote>
  <w:footnote w:id="158">
    <w:p w:rsidR="00292A58" w:rsidRDefault="00292A58">
      <w:pPr>
        <w:pStyle w:val="Voetnoottekst"/>
      </w:pPr>
      <w:r>
        <w:rPr>
          <w:rStyle w:val="Voetnootmarkering"/>
        </w:rPr>
        <w:footnoteRef/>
      </w:r>
      <w:r>
        <w:t xml:space="preserve"> </w:t>
      </w:r>
      <w:r w:rsidRPr="0052437C">
        <w:t xml:space="preserve">O.C.R. Marres, </w:t>
      </w:r>
      <w:r w:rsidRPr="0052437C">
        <w:rPr>
          <w:i/>
        </w:rPr>
        <w:t>Winstdrainage door Renteaftrek (beoordeling van artikel 10a Wet op de vennootschapsbelasting),</w:t>
      </w:r>
      <w:r w:rsidRPr="0052437C">
        <w:t xml:space="preserve"> Fiscale Monografieën nr. 113,  Deventer: Kluwer 2005</w:t>
      </w:r>
      <w:r>
        <w:t>, blz 250</w:t>
      </w:r>
    </w:p>
  </w:footnote>
  <w:footnote w:id="159">
    <w:p w:rsidR="00292A58" w:rsidRDefault="00292A58">
      <w:pPr>
        <w:pStyle w:val="Voetnoottekst"/>
      </w:pPr>
      <w:r>
        <w:rPr>
          <w:rStyle w:val="Voetnootmarkering"/>
        </w:rPr>
        <w:footnoteRef/>
      </w:r>
      <w:r>
        <w:t xml:space="preserve"> </w:t>
      </w:r>
      <w:r w:rsidRPr="001E7CE8">
        <w:t xml:space="preserve">D.M. Weber, 2003, </w:t>
      </w:r>
      <w:r>
        <w:t>“</w:t>
      </w:r>
      <w:r w:rsidRPr="00837602">
        <w:rPr>
          <w:i/>
          <w:iCs/>
        </w:rPr>
        <w:t>Belastingontwijking en de EG verdragsvrijheden (een onderzoek naar de Europeesrechtelijke grenzen van belastingontwijking)</w:t>
      </w:r>
      <w:r w:rsidRPr="00837602">
        <w:t>”</w:t>
      </w:r>
      <w:r>
        <w:t xml:space="preserve"> Fiscale monografieën nr. 105, Deeventer: Kluwer, blz. 201-212</w:t>
      </w:r>
    </w:p>
  </w:footnote>
  <w:footnote w:id="160">
    <w:p w:rsidR="00292A58" w:rsidRDefault="00292A58">
      <w:pPr>
        <w:pStyle w:val="Voetnoottekst"/>
      </w:pPr>
      <w:r>
        <w:rPr>
          <w:rStyle w:val="Voetnootmarkering"/>
        </w:rPr>
        <w:footnoteRef/>
      </w:r>
      <w:r>
        <w:t xml:space="preserve"> HvJ EG 8 november 2007, zaak C-379/05 (</w:t>
      </w:r>
      <w:r w:rsidRPr="00837602">
        <w:rPr>
          <w:i/>
          <w:iCs/>
        </w:rPr>
        <w:t>Amurta</w:t>
      </w:r>
      <w:r>
        <w:t>) r.o. 70</w:t>
      </w:r>
    </w:p>
  </w:footnote>
  <w:footnote w:id="161">
    <w:p w:rsidR="00292A58" w:rsidRPr="004A142B" w:rsidRDefault="00292A58" w:rsidP="00346083">
      <w:pPr>
        <w:rPr>
          <w:sz w:val="20"/>
        </w:rPr>
      </w:pPr>
      <w:r w:rsidRPr="00476033">
        <w:rPr>
          <w:rStyle w:val="Voetnootmarkering"/>
          <w:sz w:val="20"/>
        </w:rPr>
        <w:footnoteRef/>
      </w:r>
      <w:r w:rsidRPr="00476033">
        <w:rPr>
          <w:sz w:val="20"/>
        </w:rPr>
        <w:t xml:space="preserve">  J. Vleggeert, </w:t>
      </w:r>
      <w:r w:rsidRPr="00476033">
        <w:rPr>
          <w:i/>
          <w:sz w:val="20"/>
        </w:rPr>
        <w:t>Aftrekbeperkingen in het internationale belastingrecht</w:t>
      </w:r>
      <w:r w:rsidRPr="00476033">
        <w:rPr>
          <w:sz w:val="20"/>
        </w:rPr>
        <w:t xml:space="preserve">, fiscale monografieën nr. 132, 2009, Deventer: Kluwer, </w:t>
      </w:r>
      <w:r>
        <w:rPr>
          <w:sz w:val="20"/>
        </w:rPr>
        <w:t>blz.</w:t>
      </w:r>
      <w:r w:rsidRPr="00476033">
        <w:rPr>
          <w:sz w:val="20"/>
        </w:rPr>
        <w:t xml:space="preserve"> 267, </w:t>
      </w:r>
      <w:r>
        <w:rPr>
          <w:sz w:val="20"/>
        </w:rPr>
        <w:t>HvJ EG</w:t>
      </w:r>
      <w:r w:rsidRPr="00476033">
        <w:rPr>
          <w:sz w:val="20"/>
        </w:rPr>
        <w:t>, 13 maart 2007, zaak C-524/04 (</w:t>
      </w:r>
      <w:r w:rsidRPr="00837602">
        <w:rPr>
          <w:i/>
          <w:iCs/>
          <w:sz w:val="20"/>
        </w:rPr>
        <w:t xml:space="preserve">Test Claimants in the Thin Cap </w:t>
      </w:r>
      <w:r>
        <w:rPr>
          <w:i/>
          <w:iCs/>
          <w:sz w:val="20"/>
        </w:rPr>
        <w:t>GLO</w:t>
      </w:r>
      <w:r w:rsidRPr="00476033">
        <w:rPr>
          <w:sz w:val="20"/>
        </w:rPr>
        <w:t xml:space="preserve">) alsmede </w:t>
      </w:r>
      <w:r>
        <w:rPr>
          <w:sz w:val="20"/>
        </w:rPr>
        <w:t>HvJ EG</w:t>
      </w:r>
      <w:r w:rsidRPr="00476033">
        <w:rPr>
          <w:sz w:val="20"/>
        </w:rPr>
        <w:t xml:space="preserve"> 8 november 2007, zaak C-379/05 (</w:t>
      </w:r>
      <w:r w:rsidRPr="00837602">
        <w:rPr>
          <w:i/>
          <w:iCs/>
          <w:sz w:val="20"/>
        </w:rPr>
        <w:t>Amurta</w:t>
      </w:r>
      <w:r w:rsidRPr="00476033">
        <w:rPr>
          <w:sz w:val="20"/>
        </w:rPr>
        <w:t xml:space="preserve">) </w:t>
      </w:r>
    </w:p>
  </w:footnote>
  <w:footnote w:id="162">
    <w:p w:rsidR="00292A58" w:rsidRDefault="00292A58">
      <w:pPr>
        <w:pStyle w:val="Voetnoottekst"/>
      </w:pPr>
      <w:r>
        <w:rPr>
          <w:rStyle w:val="Voetnootmarkering"/>
        </w:rPr>
        <w:footnoteRef/>
      </w:r>
      <w:r>
        <w:t xml:space="preserve"> </w:t>
      </w:r>
      <w:r w:rsidRPr="001E7CE8">
        <w:t xml:space="preserve">D.M. Weber, 2003, </w:t>
      </w:r>
      <w:r>
        <w:t>“</w:t>
      </w:r>
      <w:r w:rsidRPr="00837602">
        <w:rPr>
          <w:i/>
          <w:iCs/>
        </w:rPr>
        <w:t>Belastingontwijking en de EG verdragsvrijheden (een onderzoek naar de Europeesrechtelijke grenzen van belastingontwijking)</w:t>
      </w:r>
      <w:r w:rsidRPr="00837602">
        <w:t>”</w:t>
      </w:r>
      <w:r>
        <w:t xml:space="preserve"> Fiscale monografieën nr. 105, Deeventer: Kluwer, blz. 94-95</w:t>
      </w:r>
    </w:p>
  </w:footnote>
  <w:footnote w:id="163">
    <w:p w:rsidR="00292A58" w:rsidRDefault="00292A58">
      <w:pPr>
        <w:pStyle w:val="Voetnoottekst"/>
      </w:pPr>
      <w:r>
        <w:rPr>
          <w:rStyle w:val="Voetnootmarkering"/>
        </w:rPr>
        <w:footnoteRef/>
      </w:r>
      <w:r w:rsidRPr="00792C1A">
        <w:rPr>
          <w:lang w:val="de-DE"/>
        </w:rPr>
        <w:t xml:space="preserve"> </w:t>
      </w:r>
      <w:r>
        <w:rPr>
          <w:lang w:val="de-DE"/>
        </w:rPr>
        <w:t>HvJ EG, 14 september 1999, (</w:t>
      </w:r>
      <w:r w:rsidRPr="00792C1A">
        <w:rPr>
          <w:i/>
          <w:iCs/>
          <w:lang w:val="de-DE"/>
        </w:rPr>
        <w:t>Gschwind</w:t>
      </w:r>
      <w:r>
        <w:rPr>
          <w:lang w:val="de-DE"/>
        </w:rPr>
        <w:t>)</w:t>
      </w:r>
    </w:p>
  </w:footnote>
  <w:footnote w:id="164">
    <w:p w:rsidR="00292A58" w:rsidRPr="00292A58" w:rsidRDefault="00292A58" w:rsidP="00C24922">
      <w:pPr>
        <w:pStyle w:val="Voetnoottekst"/>
      </w:pPr>
      <w:r>
        <w:rPr>
          <w:rStyle w:val="Voetnootmarkering"/>
        </w:rPr>
        <w:footnoteRef/>
      </w:r>
      <w:r>
        <w:t xml:space="preserve"> </w:t>
      </w:r>
      <w:r w:rsidRPr="00292A58">
        <w:t>Cursus Belastingrecht, “</w:t>
      </w:r>
      <w:r w:rsidRPr="00292A58">
        <w:rPr>
          <w:i/>
          <w:iCs/>
        </w:rPr>
        <w:t>Europees Belastingrecht</w:t>
      </w:r>
      <w:r w:rsidRPr="00292A58">
        <w:t>”, losbandige editie, onderdeel  5.0.9.E</w:t>
      </w:r>
    </w:p>
  </w:footnote>
  <w:footnote w:id="165">
    <w:p w:rsidR="00292A58" w:rsidRDefault="00292A58" w:rsidP="00F11251">
      <w:pPr>
        <w:pStyle w:val="Voetnoottekst"/>
      </w:pPr>
      <w:r w:rsidRPr="00292A58">
        <w:rPr>
          <w:rStyle w:val="Voetnootmarkering"/>
        </w:rPr>
        <w:footnoteRef/>
      </w:r>
      <w:r w:rsidRPr="00292A58">
        <w:rPr>
          <w:lang w:val="de-DE"/>
        </w:rPr>
        <w:t xml:space="preserve"> HvJ EG, 14 februari 1995, zaak c-279/93 (</w:t>
      </w:r>
      <w:r w:rsidRPr="00292A58">
        <w:rPr>
          <w:i/>
          <w:iCs/>
          <w:lang w:val="de-DE"/>
        </w:rPr>
        <w:t>Schumacker</w:t>
      </w:r>
      <w:r w:rsidRPr="00292A58">
        <w:rPr>
          <w:lang w:val="de-DE"/>
        </w:rPr>
        <w:t>), r.o. 36</w:t>
      </w:r>
    </w:p>
  </w:footnote>
  <w:footnote w:id="166">
    <w:p w:rsidR="00292A58" w:rsidRDefault="00292A58">
      <w:pPr>
        <w:pStyle w:val="Voetnoottekst"/>
      </w:pPr>
      <w:r>
        <w:rPr>
          <w:rStyle w:val="Voetnootmarkering"/>
        </w:rPr>
        <w:footnoteRef/>
      </w:r>
      <w:r w:rsidRPr="00EC18F1">
        <w:rPr>
          <w:lang w:val="de-DE"/>
        </w:rPr>
        <w:t xml:space="preserve"> </w:t>
      </w:r>
      <w:r>
        <w:rPr>
          <w:lang w:val="de-DE"/>
        </w:rPr>
        <w:t>HvJ EG</w:t>
      </w:r>
      <w:r w:rsidRPr="00EC18F1">
        <w:rPr>
          <w:lang w:val="de-DE"/>
        </w:rPr>
        <w:t>, 25 februari 2010, zaak C-337/08 (</w:t>
      </w:r>
      <w:r w:rsidRPr="00837602">
        <w:rPr>
          <w:i/>
          <w:iCs/>
          <w:lang w:val="de-DE"/>
        </w:rPr>
        <w:t>X Holding BV</w:t>
      </w:r>
      <w:r w:rsidRPr="00EC18F1">
        <w:rPr>
          <w:lang w:val="de-DE"/>
        </w:rPr>
        <w:t>) r.o. 22</w:t>
      </w:r>
    </w:p>
  </w:footnote>
  <w:footnote w:id="167">
    <w:p w:rsidR="00292A58" w:rsidRDefault="00292A58">
      <w:pPr>
        <w:pStyle w:val="Voetnoottekst"/>
      </w:pPr>
      <w:r>
        <w:rPr>
          <w:rStyle w:val="Voetnootmarkering"/>
        </w:rPr>
        <w:footnoteRef/>
      </w:r>
      <w:r w:rsidRPr="00EC18F1">
        <w:rPr>
          <w:lang w:val="de-DE"/>
        </w:rPr>
        <w:t xml:space="preserve"> Terra </w:t>
      </w:r>
      <w:r>
        <w:rPr>
          <w:lang w:val="de-DE"/>
        </w:rPr>
        <w:t>B.J.M. Wattel P.J. Terra, 2008, “</w:t>
      </w:r>
      <w:r w:rsidRPr="00433ABB">
        <w:rPr>
          <w:i/>
          <w:iCs/>
          <w:lang w:val="de-DE"/>
        </w:rPr>
        <w:t>European Tax Law</w:t>
      </w:r>
      <w:r w:rsidRPr="00EC18F1">
        <w:rPr>
          <w:lang w:val="de-DE"/>
        </w:rPr>
        <w:t xml:space="preserve">, </w:t>
      </w:r>
      <w:r w:rsidRPr="00433ABB">
        <w:rPr>
          <w:i/>
          <w:iCs/>
          <w:lang w:val="de-DE"/>
        </w:rPr>
        <w:t>student edition</w:t>
      </w:r>
      <w:r>
        <w:rPr>
          <w:lang w:val="de-DE"/>
        </w:rPr>
        <w:t>“</w:t>
      </w:r>
      <w:r w:rsidRPr="00EC18F1">
        <w:rPr>
          <w:lang w:val="de-DE"/>
        </w:rPr>
        <w:t>, Kluwer</w:t>
      </w:r>
    </w:p>
  </w:footnote>
  <w:footnote w:id="168">
    <w:p w:rsidR="00292A58" w:rsidRPr="005E3382" w:rsidRDefault="00292A58" w:rsidP="005F75B4">
      <w:pPr>
        <w:pStyle w:val="Voetnoottekst"/>
        <w:rPr>
          <w:lang w:val="de-DE"/>
        </w:rPr>
      </w:pPr>
      <w:r>
        <w:rPr>
          <w:rStyle w:val="Voetnootmarkering"/>
        </w:rPr>
        <w:footnoteRef/>
      </w:r>
      <w:r>
        <w:rPr>
          <w:lang w:val="de-DE"/>
        </w:rPr>
        <w:t>HvJ EG</w:t>
      </w:r>
      <w:r w:rsidRPr="005E3382">
        <w:rPr>
          <w:lang w:val="de-DE"/>
        </w:rPr>
        <w:t xml:space="preserve">, 13 december 2005, zaak C446/03 ( </w:t>
      </w:r>
      <w:r w:rsidRPr="005E3382">
        <w:rPr>
          <w:i/>
          <w:iCs/>
          <w:lang w:val="de-DE"/>
        </w:rPr>
        <w:t>Marks &amp; Spencer</w:t>
      </w:r>
      <w:r w:rsidRPr="005E3382">
        <w:rPr>
          <w:lang w:val="de-DE"/>
        </w:rPr>
        <w:t xml:space="preserve">), </w:t>
      </w:r>
      <w:r>
        <w:rPr>
          <w:lang w:val="de-DE"/>
        </w:rPr>
        <w:t>HvJ EG</w:t>
      </w:r>
      <w:r w:rsidRPr="005E3382">
        <w:rPr>
          <w:lang w:val="de-DE"/>
        </w:rPr>
        <w:t>, 25 februari 2010, zaak C-337/08 (</w:t>
      </w:r>
      <w:r w:rsidRPr="005E3382">
        <w:rPr>
          <w:i/>
          <w:iCs/>
          <w:lang w:val="de-DE"/>
        </w:rPr>
        <w:t>X Holding BV</w:t>
      </w:r>
      <w:r w:rsidRPr="005E3382">
        <w:rPr>
          <w:lang w:val="de-DE"/>
        </w:rPr>
        <w:t xml:space="preserve">),  </w:t>
      </w:r>
      <w:r>
        <w:rPr>
          <w:lang w:val="de-DE"/>
        </w:rPr>
        <w:t>HvJ EG</w:t>
      </w:r>
      <w:r w:rsidRPr="005E3382">
        <w:rPr>
          <w:lang w:val="de-DE"/>
        </w:rPr>
        <w:t>, 13 maart 2007, zaak C-524/04 (</w:t>
      </w:r>
      <w:r w:rsidRPr="005E3382">
        <w:rPr>
          <w:i/>
          <w:iCs/>
          <w:lang w:val="de-DE"/>
        </w:rPr>
        <w:t>Test Claimants in the Thin Cap GLO</w:t>
      </w:r>
      <w:r w:rsidRPr="005E3382">
        <w:rPr>
          <w:lang w:val="de-DE"/>
        </w:rPr>
        <w:t xml:space="preserve">) </w:t>
      </w:r>
    </w:p>
    <w:p w:rsidR="00292A58" w:rsidRDefault="00292A58">
      <w:pPr>
        <w:pStyle w:val="Voetnoottekst"/>
      </w:pPr>
      <w:r w:rsidRPr="00D376E4">
        <w:rPr>
          <w:lang w:val="de-DE"/>
        </w:rPr>
        <w:t xml:space="preserve">  </w:t>
      </w:r>
      <w:r>
        <w:t xml:space="preserve">alsmede  J. </w:t>
      </w:r>
      <w:r w:rsidRPr="009E2F08">
        <w:t xml:space="preserve">Vleggeert </w:t>
      </w:r>
      <w:r>
        <w:t>“</w:t>
      </w:r>
      <w:r w:rsidRPr="00837602">
        <w:rPr>
          <w:i/>
          <w:iCs/>
        </w:rPr>
        <w:t>Aftrekbeperkingen in het internationale belastingrecht</w:t>
      </w:r>
      <w:r>
        <w:t>”, fiscale monografien nr. 132, 2009, Deventer: Kluwer, blz. 257</w:t>
      </w:r>
    </w:p>
  </w:footnote>
  <w:footnote w:id="169">
    <w:p w:rsidR="00292A58" w:rsidRDefault="00292A58">
      <w:pPr>
        <w:pStyle w:val="Voetnoottekst"/>
      </w:pPr>
      <w:r>
        <w:rPr>
          <w:rStyle w:val="Voetnootmarkering"/>
        </w:rPr>
        <w:footnoteRef/>
      </w:r>
      <w:r w:rsidRPr="00DF14CE">
        <w:t xml:space="preserve"> </w:t>
      </w:r>
      <w:r>
        <w:t>HvJ EG</w:t>
      </w:r>
      <w:r w:rsidRPr="00DF14CE">
        <w:t>, 12 september 2006, zaak C-196/04 (</w:t>
      </w:r>
      <w:r w:rsidRPr="00837602">
        <w:rPr>
          <w:i/>
          <w:iCs/>
        </w:rPr>
        <w:t>Cadbury Schweppes</w:t>
      </w:r>
      <w:r w:rsidRPr="00DF14CE">
        <w:t>)</w:t>
      </w:r>
      <w:r>
        <w:t xml:space="preserve">, </w:t>
      </w:r>
      <w:r w:rsidRPr="001E7CE8">
        <w:t xml:space="preserve">M. Weber, 2003, </w:t>
      </w:r>
      <w:r>
        <w:t>“</w:t>
      </w:r>
      <w:r w:rsidRPr="00837602">
        <w:rPr>
          <w:i/>
          <w:iCs/>
        </w:rPr>
        <w:t>Belastingontwijking en de EG verdragsvrijheden (een onderzoek naar de Europeesrechtelijke grenzen van belastingontwijking)</w:t>
      </w:r>
      <w:r w:rsidRPr="00837602">
        <w:t>”</w:t>
      </w:r>
      <w:r>
        <w:t xml:space="preserve"> Fiscale monografieën nr. 105, Deeventer: Kluwer, blz. 201-202</w:t>
      </w:r>
    </w:p>
  </w:footnote>
  <w:footnote w:id="170">
    <w:p w:rsidR="00292A58" w:rsidRDefault="00292A58">
      <w:pPr>
        <w:pStyle w:val="Voetnoottekst"/>
      </w:pPr>
      <w:r>
        <w:rPr>
          <w:rStyle w:val="Voetnootmarkering"/>
        </w:rPr>
        <w:footnoteRef/>
      </w:r>
      <w:r w:rsidRPr="00EC18F1">
        <w:rPr>
          <w:lang w:val="de-DE"/>
        </w:rPr>
        <w:t xml:space="preserve"> </w:t>
      </w:r>
      <w:r>
        <w:rPr>
          <w:lang w:val="de-DE"/>
        </w:rPr>
        <w:t>HvJ EG</w:t>
      </w:r>
      <w:r w:rsidRPr="00EC18F1">
        <w:rPr>
          <w:lang w:val="de-DE"/>
        </w:rPr>
        <w:t xml:space="preserve"> 12 juli 2005, zaak  C-403/03 (</w:t>
      </w:r>
      <w:r w:rsidRPr="00433ABB">
        <w:rPr>
          <w:i/>
          <w:iCs/>
          <w:lang w:val="de-DE"/>
        </w:rPr>
        <w:t>Schempp</w:t>
      </w:r>
      <w:r w:rsidRPr="00EC18F1">
        <w:rPr>
          <w:lang w:val="de-DE"/>
        </w:rPr>
        <w:t>) r.o. 39</w:t>
      </w:r>
    </w:p>
  </w:footnote>
  <w:footnote w:id="171">
    <w:p w:rsidR="00292A58" w:rsidRDefault="00292A58" w:rsidP="00F11251">
      <w:pPr>
        <w:pStyle w:val="Voetnoottekst"/>
      </w:pPr>
      <w:r w:rsidRPr="00454805">
        <w:rPr>
          <w:rStyle w:val="Voetnootmarkering"/>
        </w:rPr>
        <w:footnoteRef/>
      </w:r>
      <w:r>
        <w:t xml:space="preserve"> </w:t>
      </w:r>
      <w:r w:rsidRPr="00454805">
        <w:t>Vakstudie nieuws Nederlands Internationaal Belastingrecht, onderdeel 4</w:t>
      </w:r>
      <w:r>
        <w:t>. fiscale implicaties van het EG-</w:t>
      </w:r>
      <w:r w:rsidRPr="00454805">
        <w:t>recht, algemeen commentaar. 8 Non Discriminatie naar nationaliteit en de vier vrijhede</w:t>
      </w:r>
      <w:r>
        <w:t>n</w:t>
      </w:r>
    </w:p>
  </w:footnote>
  <w:footnote w:id="172">
    <w:p w:rsidR="00292A58" w:rsidRDefault="00292A58" w:rsidP="00F11251">
      <w:pPr>
        <w:pStyle w:val="Voetnoottekst"/>
      </w:pPr>
      <w:r w:rsidRPr="00454805">
        <w:rPr>
          <w:rStyle w:val="Voetnootmarkering"/>
        </w:rPr>
        <w:footnoteRef/>
      </w:r>
      <w:r w:rsidRPr="00BA53C7">
        <w:t xml:space="preserve"> </w:t>
      </w:r>
      <w:r>
        <w:t>HvJ EG</w:t>
      </w:r>
      <w:r w:rsidRPr="00BA53C7">
        <w:t>, 16 februari 1978, zaak 61/77 (</w:t>
      </w:r>
      <w:r w:rsidRPr="00433ABB">
        <w:rPr>
          <w:i/>
          <w:iCs/>
        </w:rPr>
        <w:t>Sea Fisheries Orders II</w:t>
      </w:r>
      <w:r w:rsidRPr="00BA53C7">
        <w:t>), r.o. 14</w:t>
      </w:r>
    </w:p>
  </w:footnote>
  <w:footnote w:id="173">
    <w:p w:rsidR="00292A58" w:rsidRDefault="00292A58" w:rsidP="00F11251">
      <w:pPr>
        <w:pStyle w:val="Voetnoottekst"/>
      </w:pPr>
      <w:r w:rsidRPr="00454805">
        <w:rPr>
          <w:rStyle w:val="Voetnootmarkering"/>
        </w:rPr>
        <w:footnoteRef/>
      </w:r>
      <w:r w:rsidRPr="0035059B">
        <w:t xml:space="preserve"> </w:t>
      </w:r>
      <w:r>
        <w:t>HvJ EG</w:t>
      </w:r>
      <w:r w:rsidRPr="0035059B">
        <w:t>, 16 februari 1978, zaak 61/77 (</w:t>
      </w:r>
      <w:r w:rsidRPr="0035059B">
        <w:rPr>
          <w:i/>
          <w:iCs/>
        </w:rPr>
        <w:t>Sea Fisheries Orders II</w:t>
      </w:r>
      <w:r w:rsidRPr="0035059B">
        <w:t xml:space="preserve">), r.o. 70 </w:t>
      </w:r>
    </w:p>
  </w:footnote>
  <w:footnote w:id="174">
    <w:p w:rsidR="00292A58" w:rsidRDefault="00292A58" w:rsidP="00F11251">
      <w:pPr>
        <w:pStyle w:val="Voetnoottekst"/>
      </w:pPr>
      <w:r w:rsidRPr="00454805">
        <w:rPr>
          <w:rStyle w:val="Voetnootmarkering"/>
        </w:rPr>
        <w:footnoteRef/>
      </w:r>
      <w:r w:rsidRPr="0035059B">
        <w:t xml:space="preserve"> </w:t>
      </w:r>
      <w:r>
        <w:t>HvJ EG</w:t>
      </w:r>
      <w:r w:rsidRPr="0035059B">
        <w:t>, 16 februari 1978, zaak 61/77 (</w:t>
      </w:r>
      <w:r w:rsidRPr="0035059B">
        <w:rPr>
          <w:i/>
          <w:iCs/>
        </w:rPr>
        <w:t>Sea Fisheries Orders II</w:t>
      </w:r>
      <w:r w:rsidRPr="0035059B">
        <w:t>), r.o.71</w:t>
      </w:r>
    </w:p>
  </w:footnote>
  <w:footnote w:id="175">
    <w:p w:rsidR="00292A58" w:rsidRDefault="00292A58" w:rsidP="00F11251">
      <w:pPr>
        <w:pStyle w:val="Voetnoottekst"/>
      </w:pPr>
      <w:r w:rsidRPr="00454805">
        <w:rPr>
          <w:rStyle w:val="Voetnootmarkering"/>
        </w:rPr>
        <w:footnoteRef/>
      </w:r>
      <w:r w:rsidRPr="0035059B">
        <w:t xml:space="preserve"> </w:t>
      </w:r>
      <w:r>
        <w:t>HvJ EG</w:t>
      </w:r>
      <w:r w:rsidRPr="0035059B">
        <w:t>, 16 februari 1978, zaak 61/77 (</w:t>
      </w:r>
      <w:r w:rsidRPr="0035059B">
        <w:rPr>
          <w:i/>
          <w:iCs/>
        </w:rPr>
        <w:t>Sea Fisheries Orders II</w:t>
      </w:r>
      <w:r w:rsidRPr="0035059B">
        <w:t>), r.o. 78-80</w:t>
      </w:r>
    </w:p>
  </w:footnote>
  <w:footnote w:id="176">
    <w:p w:rsidR="00292A58" w:rsidRDefault="00292A58" w:rsidP="00F11251">
      <w:pPr>
        <w:pStyle w:val="Voetnoottekst"/>
      </w:pPr>
      <w:r w:rsidRPr="00454805">
        <w:rPr>
          <w:rStyle w:val="Voetnootmarkering"/>
        </w:rPr>
        <w:footnoteRef/>
      </w:r>
      <w:r w:rsidRPr="00454805">
        <w:t xml:space="preserve"> </w:t>
      </w:r>
      <w:r>
        <w:t>HvJ EG, 8 juli 1999,  zaak C-254/97 (</w:t>
      </w:r>
      <w:r w:rsidRPr="00433ABB">
        <w:rPr>
          <w:i/>
          <w:iCs/>
        </w:rPr>
        <w:t>Baxter</w:t>
      </w:r>
      <w:r>
        <w:t xml:space="preserve">), </w:t>
      </w:r>
      <w:r w:rsidRPr="00454805">
        <w:t xml:space="preserve">r.o. 3 </w:t>
      </w:r>
    </w:p>
  </w:footnote>
  <w:footnote w:id="177">
    <w:p w:rsidR="00292A58" w:rsidRDefault="00292A58" w:rsidP="00F11251">
      <w:pPr>
        <w:pStyle w:val="Voetnoottekst"/>
      </w:pPr>
      <w:r w:rsidRPr="00454805">
        <w:rPr>
          <w:rStyle w:val="Voetnootmarkering"/>
        </w:rPr>
        <w:footnoteRef/>
      </w:r>
      <w:r w:rsidRPr="00454805">
        <w:t xml:space="preserve"> </w:t>
      </w:r>
      <w:r>
        <w:t>HvJ EG, 8 juli 1999,  zaak C-254/97 (</w:t>
      </w:r>
      <w:r w:rsidRPr="00433ABB">
        <w:rPr>
          <w:i/>
          <w:iCs/>
        </w:rPr>
        <w:t>Baxter</w:t>
      </w:r>
      <w:r>
        <w:t>), r.o. 12-13</w:t>
      </w:r>
    </w:p>
  </w:footnote>
  <w:footnote w:id="178">
    <w:p w:rsidR="00292A58" w:rsidRDefault="00292A58" w:rsidP="00F11251">
      <w:pPr>
        <w:pStyle w:val="Voetnoottekst"/>
      </w:pPr>
      <w:r w:rsidRPr="00454805">
        <w:rPr>
          <w:rStyle w:val="Voetnootmarkering"/>
        </w:rPr>
        <w:footnoteRef/>
      </w:r>
      <w:r>
        <w:t xml:space="preserve"> Vakstudie N</w:t>
      </w:r>
      <w:r w:rsidRPr="00454805">
        <w:t>ieuws Nederlands Internationaal Belastingrecht, onderdeel 4</w:t>
      </w:r>
      <w:r>
        <w:t>. fiscale implicaties van het EG</w:t>
      </w:r>
      <w:r w:rsidRPr="00454805">
        <w:t xml:space="preserve"> recht, algemeen commentaar. 8 Non Discriminati</w:t>
      </w:r>
      <w:r>
        <w:t xml:space="preserve">e naar nationaliteit en de vier </w:t>
      </w:r>
      <w:r w:rsidRPr="00454805">
        <w:t>vrijheden</w:t>
      </w:r>
    </w:p>
  </w:footnote>
  <w:footnote w:id="179">
    <w:p w:rsidR="00292A58" w:rsidRDefault="00292A58">
      <w:pPr>
        <w:pStyle w:val="Voetnoottekst"/>
      </w:pPr>
      <w:r>
        <w:rPr>
          <w:rStyle w:val="Voetnootmarkering"/>
        </w:rPr>
        <w:footnoteRef/>
      </w:r>
      <w:r w:rsidRPr="00DD7A05">
        <w:t xml:space="preserve">Cursus Belastingrecht, </w:t>
      </w:r>
      <w:r>
        <w:t>“</w:t>
      </w:r>
      <w:r w:rsidRPr="00433ABB">
        <w:rPr>
          <w:i/>
          <w:iCs/>
        </w:rPr>
        <w:t>Europees Belastingrecht</w:t>
      </w:r>
      <w:r>
        <w:t>”</w:t>
      </w:r>
      <w:r w:rsidRPr="00433ABB">
        <w:t>,</w:t>
      </w:r>
      <w:r w:rsidRPr="00DD7A05">
        <w:t xml:space="preserve"> losbandige editie, onderdeel </w:t>
      </w:r>
      <w:r>
        <w:t xml:space="preserve"> </w:t>
      </w:r>
      <w:r w:rsidRPr="00DD7A05">
        <w:t>5.1.0</w:t>
      </w:r>
      <w:r>
        <w:t xml:space="preserve"> </w:t>
      </w:r>
    </w:p>
  </w:footnote>
  <w:footnote w:id="180">
    <w:p w:rsidR="00292A58" w:rsidRDefault="00292A58">
      <w:pPr>
        <w:pStyle w:val="Voetnoottekst"/>
      </w:pPr>
      <w:r>
        <w:rPr>
          <w:rStyle w:val="Voetnootmarkering"/>
        </w:rPr>
        <w:footnoteRef/>
      </w:r>
      <w:r>
        <w:t xml:space="preserve"> </w:t>
      </w:r>
      <w:r w:rsidRPr="001E7CE8">
        <w:t xml:space="preserve">.M. Weber, 2003, </w:t>
      </w:r>
      <w:r>
        <w:t>“</w:t>
      </w:r>
      <w:r w:rsidRPr="00837602">
        <w:rPr>
          <w:i/>
          <w:iCs/>
        </w:rPr>
        <w:t>Belastingontwijking en de EG verdragsvrijheden (een onderzoek naar de Europeesrechtelijke grenzen van belastingontwijking)</w:t>
      </w:r>
      <w:r w:rsidRPr="00837602">
        <w:t>”</w:t>
      </w:r>
      <w:r>
        <w:t xml:space="preserve"> Fiscale monografieën nr. 105, Deeventer: Kluwer, blz. 221, in gelijke zin HvJ EG, 15 december 1995, zaak C-415/93 (</w:t>
      </w:r>
      <w:r w:rsidRPr="00433ABB">
        <w:rPr>
          <w:i/>
          <w:iCs/>
        </w:rPr>
        <w:t>Bosman</w:t>
      </w:r>
      <w:r>
        <w:t>)</w:t>
      </w:r>
    </w:p>
  </w:footnote>
  <w:footnote w:id="181">
    <w:p w:rsidR="00292A58" w:rsidRDefault="00292A58" w:rsidP="00F11251">
      <w:pPr>
        <w:pStyle w:val="Voetnoottekst"/>
      </w:pPr>
      <w:r>
        <w:rPr>
          <w:rStyle w:val="Voetnootmarkering"/>
        </w:rPr>
        <w:footnoteRef/>
      </w:r>
      <w:r w:rsidRPr="00AE64C7">
        <w:t xml:space="preserve"> </w:t>
      </w:r>
      <w:r>
        <w:t>HvJ EG, 10 mei 1995, zaak C-384/93 (</w:t>
      </w:r>
      <w:r w:rsidRPr="00433ABB">
        <w:rPr>
          <w:i/>
          <w:iCs/>
        </w:rPr>
        <w:t>Alpine Investments</w:t>
      </w:r>
      <w:r>
        <w:t>)</w:t>
      </w:r>
      <w:r w:rsidRPr="00AE64C7">
        <w:t xml:space="preserve">  r.o. 38-39</w:t>
      </w:r>
    </w:p>
  </w:footnote>
  <w:footnote w:id="182">
    <w:p w:rsidR="00292A58" w:rsidRDefault="00292A58">
      <w:pPr>
        <w:pStyle w:val="Voetnoottekst"/>
      </w:pPr>
      <w:r>
        <w:rPr>
          <w:rStyle w:val="Voetnootmarkering"/>
        </w:rPr>
        <w:footnoteRef/>
      </w:r>
      <w:r w:rsidRPr="00EC18F1">
        <w:rPr>
          <w:lang w:val="de-DE"/>
        </w:rPr>
        <w:t xml:space="preserve"> W</w:t>
      </w:r>
      <w:r>
        <w:rPr>
          <w:lang w:val="de-DE"/>
        </w:rPr>
        <w:t>. Kessler, K. Eicker, R. Obser, “</w:t>
      </w:r>
      <w:r w:rsidRPr="00433ABB">
        <w:rPr>
          <w:i/>
          <w:iCs/>
          <w:lang w:val="de-DE"/>
        </w:rPr>
        <w:t>Die Gesellschafter-Fremdfinanzierung im Lichte der Kapitalverkehrsfreiheit</w:t>
      </w:r>
      <w:r>
        <w:rPr>
          <w:lang w:val="de-DE"/>
        </w:rPr>
        <w:t>“</w:t>
      </w:r>
      <w:r w:rsidRPr="00EC18F1">
        <w:rPr>
          <w:lang w:val="de-DE"/>
        </w:rPr>
        <w:t>, IstR 2004/10, p.328-329</w:t>
      </w:r>
    </w:p>
  </w:footnote>
  <w:footnote w:id="183">
    <w:p w:rsidR="00292A58" w:rsidRDefault="00292A58">
      <w:pPr>
        <w:pStyle w:val="Voetnoottekst"/>
      </w:pPr>
      <w:r>
        <w:rPr>
          <w:rStyle w:val="Voetnootmarkering"/>
        </w:rPr>
        <w:footnoteRef/>
      </w:r>
      <w:r>
        <w:rPr>
          <w:lang w:val="de-DE"/>
        </w:rPr>
        <w:t xml:space="preserve"> A. Schnitger, “</w:t>
      </w:r>
      <w:r w:rsidRPr="00433ABB">
        <w:rPr>
          <w:i/>
          <w:iCs/>
          <w:lang w:val="de-DE"/>
        </w:rPr>
        <w:t>Mogliche Wirkunggrenzen der Grundfreiheiten derEG-Vertrags am Beispiel des §8a KStG</w:t>
      </w:r>
      <w:r>
        <w:rPr>
          <w:lang w:val="de-DE"/>
        </w:rPr>
        <w:t>“</w:t>
      </w:r>
      <w:r w:rsidRPr="00EC18F1">
        <w:rPr>
          <w:lang w:val="de-DE"/>
        </w:rPr>
        <w:t xml:space="preserve">, IstR 2004/18, </w:t>
      </w:r>
      <w:r>
        <w:rPr>
          <w:lang w:val="de-DE"/>
        </w:rPr>
        <w:t>blz.</w:t>
      </w:r>
      <w:r w:rsidRPr="00EC18F1">
        <w:rPr>
          <w:lang w:val="de-DE"/>
        </w:rPr>
        <w:t>636</w:t>
      </w:r>
    </w:p>
  </w:footnote>
  <w:footnote w:id="184">
    <w:p w:rsidR="00292A58" w:rsidRDefault="00292A58">
      <w:pPr>
        <w:pStyle w:val="Voetnoottekst"/>
      </w:pPr>
      <w:r>
        <w:rPr>
          <w:rStyle w:val="Voetnootmarkering"/>
        </w:rPr>
        <w:footnoteRef/>
      </w:r>
      <w:r>
        <w:t xml:space="preserve">  J. </w:t>
      </w:r>
      <w:r w:rsidRPr="009E2F08">
        <w:t xml:space="preserve">Vleggeert </w:t>
      </w:r>
      <w:r>
        <w:t>“</w:t>
      </w:r>
      <w:r w:rsidRPr="00433ABB">
        <w:rPr>
          <w:i/>
          <w:iCs/>
        </w:rPr>
        <w:t>Aftrekbeperkingen in het internationale belastingrecht</w:t>
      </w:r>
      <w:r>
        <w:t>”, fiscale monografien nr. 132, 2009, Deventer: Kluwer,</w:t>
      </w:r>
      <w:r w:rsidRPr="00083E5B">
        <w:t xml:space="preserve"> </w:t>
      </w:r>
      <w:r>
        <w:t>blz.</w:t>
      </w:r>
      <w:r w:rsidRPr="00083E5B">
        <w:t xml:space="preserve"> 267</w:t>
      </w:r>
    </w:p>
  </w:footnote>
  <w:footnote w:id="185">
    <w:p w:rsidR="00292A58" w:rsidRDefault="00292A58" w:rsidP="00DD7A05">
      <w:pPr>
        <w:pStyle w:val="Voetnoottekst"/>
      </w:pPr>
      <w:r>
        <w:rPr>
          <w:rStyle w:val="Voetnootmarkering"/>
        </w:rPr>
        <w:footnoteRef/>
      </w:r>
      <w:r w:rsidRPr="00C81BE6">
        <w:rPr>
          <w:lang w:val="en-US"/>
        </w:rPr>
        <w:t xml:space="preserve"> </w:t>
      </w:r>
      <w:r>
        <w:rPr>
          <w:lang w:val="en-US"/>
        </w:rPr>
        <w:t>HvJ EG</w:t>
      </w:r>
      <w:r w:rsidRPr="00C81BE6">
        <w:rPr>
          <w:lang w:val="en-US"/>
        </w:rPr>
        <w:t>, 13 maart 2007, zaak C-524/04 (</w:t>
      </w:r>
      <w:r w:rsidRPr="00433ABB">
        <w:rPr>
          <w:i/>
          <w:iCs/>
          <w:lang w:val="en-US"/>
        </w:rPr>
        <w:t xml:space="preserve">Test Claimants in the Thin Cap </w:t>
      </w:r>
      <w:r>
        <w:rPr>
          <w:i/>
          <w:iCs/>
          <w:lang w:val="en-US"/>
        </w:rPr>
        <w:t>GLO</w:t>
      </w:r>
      <w:r w:rsidRPr="00C81BE6">
        <w:rPr>
          <w:lang w:val="en-US"/>
        </w:rPr>
        <w:t>)</w:t>
      </w:r>
      <w:r>
        <w:rPr>
          <w:lang w:val="en-US"/>
        </w:rPr>
        <w:t>, r.o. 92</w:t>
      </w:r>
      <w:r w:rsidRPr="00C81BE6">
        <w:rPr>
          <w:lang w:val="en-US"/>
        </w:rPr>
        <w:t xml:space="preserve"> </w:t>
      </w:r>
    </w:p>
  </w:footnote>
  <w:footnote w:id="186">
    <w:p w:rsidR="00292A58" w:rsidRDefault="00292A58">
      <w:pPr>
        <w:pStyle w:val="Voetnoottekst"/>
      </w:pPr>
      <w:r>
        <w:rPr>
          <w:rStyle w:val="Voetnootmarkering"/>
        </w:rPr>
        <w:footnoteRef/>
      </w:r>
      <w:r w:rsidRPr="00DD7A05">
        <w:t xml:space="preserve"> Cursus Belastingrecht, </w:t>
      </w:r>
      <w:r>
        <w:t>“</w:t>
      </w:r>
      <w:r w:rsidRPr="00433ABB">
        <w:rPr>
          <w:i/>
          <w:iCs/>
        </w:rPr>
        <w:t>Europees Belastingrecht</w:t>
      </w:r>
      <w:r>
        <w:t>”</w:t>
      </w:r>
      <w:r w:rsidRPr="00433ABB">
        <w:t>,</w:t>
      </w:r>
      <w:r w:rsidRPr="00DD7A05">
        <w:t xml:space="preserve"> losbandige editie, onderdeel </w:t>
      </w:r>
      <w:r>
        <w:t xml:space="preserve"> </w:t>
      </w:r>
      <w:r w:rsidRPr="00DD7A05">
        <w:t>5.1.0</w:t>
      </w:r>
      <w:r>
        <w:t>.c</w:t>
      </w:r>
    </w:p>
  </w:footnote>
  <w:footnote w:id="187">
    <w:p w:rsidR="00292A58" w:rsidRDefault="00292A58">
      <w:pPr>
        <w:pStyle w:val="Voetnoottekst"/>
      </w:pPr>
      <w:r>
        <w:rPr>
          <w:rStyle w:val="Voetnootmarkering"/>
        </w:rPr>
        <w:footnoteRef/>
      </w:r>
      <w:r w:rsidRPr="00DD7A05">
        <w:t xml:space="preserve">Cursus Belastingrecht, </w:t>
      </w:r>
      <w:r>
        <w:t>“</w:t>
      </w:r>
      <w:r w:rsidRPr="00433ABB">
        <w:rPr>
          <w:i/>
          <w:iCs/>
        </w:rPr>
        <w:t>Europees Belastingrecht</w:t>
      </w:r>
      <w:r>
        <w:t>”</w:t>
      </w:r>
      <w:r w:rsidRPr="00433ABB">
        <w:t>,</w:t>
      </w:r>
      <w:r w:rsidRPr="00DD7A05">
        <w:t xml:space="preserve"> losbandige editie, onderdeel </w:t>
      </w:r>
      <w:r>
        <w:t xml:space="preserve"> </w:t>
      </w:r>
      <w:r w:rsidRPr="00DD7A05">
        <w:t>5.1.0</w:t>
      </w:r>
      <w:r>
        <w:t xml:space="preserve">  </w:t>
      </w:r>
    </w:p>
  </w:footnote>
  <w:footnote w:id="188">
    <w:p w:rsidR="00292A58" w:rsidRDefault="00292A58">
      <w:pPr>
        <w:pStyle w:val="Voetnoottekst"/>
      </w:pPr>
      <w:r>
        <w:rPr>
          <w:rStyle w:val="Voetnootmarkering"/>
        </w:rPr>
        <w:footnoteRef/>
      </w:r>
      <w:r w:rsidRPr="00346083">
        <w:t xml:space="preserve"> </w:t>
      </w:r>
      <w:r>
        <w:t>HvJ EG</w:t>
      </w:r>
      <w:r w:rsidRPr="00346083">
        <w:t xml:space="preserve"> 17 juni 2003, zaak C-383/01 (</w:t>
      </w:r>
      <w:r w:rsidRPr="00433ABB">
        <w:rPr>
          <w:i/>
          <w:iCs/>
        </w:rPr>
        <w:t>Danske Bilimportorer</w:t>
      </w:r>
      <w:r w:rsidRPr="00346083">
        <w:t xml:space="preserve">) r.o. </w:t>
      </w:r>
      <w:r>
        <w:t>39-41</w:t>
      </w:r>
    </w:p>
  </w:footnote>
  <w:footnote w:id="189">
    <w:p w:rsidR="00292A58" w:rsidRDefault="00292A58">
      <w:pPr>
        <w:pStyle w:val="Voetnoottekst"/>
      </w:pPr>
      <w:r>
        <w:rPr>
          <w:rStyle w:val="Voetnootmarkering"/>
        </w:rPr>
        <w:footnoteRef/>
      </w:r>
      <w:r w:rsidRPr="0022365F">
        <w:rPr>
          <w:lang w:val="en-US"/>
        </w:rPr>
        <w:t xml:space="preserve"> </w:t>
      </w:r>
      <w:r>
        <w:rPr>
          <w:lang w:val="en-US"/>
        </w:rPr>
        <w:t>HvJ EG</w:t>
      </w:r>
      <w:r w:rsidRPr="0022365F">
        <w:rPr>
          <w:lang w:val="en-US"/>
        </w:rPr>
        <w:t xml:space="preserve"> 12 december 2006, zaak C-446/04 (</w:t>
      </w:r>
      <w:r w:rsidRPr="00433ABB">
        <w:rPr>
          <w:i/>
          <w:iCs/>
          <w:lang w:val="en-US"/>
        </w:rPr>
        <w:t xml:space="preserve">Test Claimants in the FII </w:t>
      </w:r>
      <w:r>
        <w:rPr>
          <w:i/>
          <w:iCs/>
          <w:lang w:val="en-US"/>
        </w:rPr>
        <w:t>GLO</w:t>
      </w:r>
      <w:r w:rsidRPr="0022365F">
        <w:rPr>
          <w:lang w:val="en-US"/>
        </w:rPr>
        <w:t>)</w:t>
      </w:r>
    </w:p>
  </w:footnote>
  <w:footnote w:id="190">
    <w:p w:rsidR="00292A58" w:rsidRDefault="00292A58">
      <w:pPr>
        <w:pStyle w:val="Voetnoottekst"/>
      </w:pPr>
      <w:r>
        <w:rPr>
          <w:rStyle w:val="Voetnootmarkering"/>
        </w:rPr>
        <w:footnoteRef/>
      </w:r>
      <w:r>
        <w:t xml:space="preserve"> Cursus belastingrecht, “</w:t>
      </w:r>
      <w:r w:rsidRPr="00433ABB">
        <w:rPr>
          <w:i/>
          <w:iCs/>
        </w:rPr>
        <w:t>Europees Belastingrecht</w:t>
      </w:r>
      <w:r w:rsidRPr="00433ABB">
        <w:t xml:space="preserve">”, </w:t>
      </w:r>
      <w:r>
        <w:t>losbandige editie</w:t>
      </w:r>
    </w:p>
  </w:footnote>
  <w:footnote w:id="191">
    <w:p w:rsidR="00292A58" w:rsidRDefault="00292A58">
      <w:pPr>
        <w:pStyle w:val="Voetnoottekst"/>
      </w:pPr>
      <w:r>
        <w:rPr>
          <w:rStyle w:val="Voetnootmarkering"/>
        </w:rPr>
        <w:footnoteRef/>
      </w:r>
      <w:r>
        <w:t xml:space="preserve"> HvJ EG 8 september 2005, zaak C-4544/03 (</w:t>
      </w:r>
      <w:r w:rsidRPr="00433ABB">
        <w:rPr>
          <w:i/>
          <w:iCs/>
        </w:rPr>
        <w:t>Mobistar</w:t>
      </w:r>
      <w:r>
        <w:t>) r.o. 31</w:t>
      </w:r>
    </w:p>
  </w:footnote>
  <w:footnote w:id="192">
    <w:p w:rsidR="00292A58" w:rsidRDefault="00292A58" w:rsidP="00F11251">
      <w:pPr>
        <w:pStyle w:val="Voetnoottekst"/>
      </w:pPr>
      <w:r w:rsidRPr="00454805">
        <w:rPr>
          <w:rStyle w:val="Voetnootmarkering"/>
        </w:rPr>
        <w:footnoteRef/>
      </w:r>
      <w:r w:rsidRPr="00AE64C7">
        <w:t xml:space="preserve"> </w:t>
      </w:r>
      <w:r>
        <w:t xml:space="preserve"> G.M.R. Blokland,</w:t>
      </w:r>
      <w:r w:rsidRPr="00454805">
        <w:t xml:space="preserve"> </w:t>
      </w:r>
      <w:r>
        <w:t>“</w:t>
      </w:r>
      <w:r w:rsidRPr="00433ABB">
        <w:rPr>
          <w:i/>
          <w:iCs/>
        </w:rPr>
        <w:t>Compenserende heffingstoets EU-proof</w:t>
      </w:r>
      <w:r>
        <w:t xml:space="preserve">”, </w:t>
      </w:r>
      <w:r w:rsidRPr="00454805">
        <w:t>WFR 2005/11</w:t>
      </w:r>
      <w:r>
        <w:t>2</w:t>
      </w:r>
      <w:r w:rsidRPr="00454805">
        <w:t>5</w:t>
      </w:r>
      <w:r w:rsidRPr="00AE64C7">
        <w:t xml:space="preserve">, </w:t>
      </w:r>
      <w:r>
        <w:t xml:space="preserve"> B.J. Kiekebeld, “</w:t>
      </w:r>
      <w:r w:rsidRPr="00433ABB">
        <w:rPr>
          <w:i/>
          <w:iCs/>
        </w:rPr>
        <w:t>De (on)mogelijkheden van compenserende heffing binnen EU-verband</w:t>
      </w:r>
      <w:r>
        <w:t>”, WFR 2003/914 alsmede D.M. Weber, “</w:t>
      </w:r>
      <w:r w:rsidRPr="00433ABB">
        <w:rPr>
          <w:i/>
          <w:iCs/>
        </w:rPr>
        <w:t>VPB 2007. Opruimen van EG-rechtelijke knelpunten</w:t>
      </w:r>
      <w:r>
        <w:t>”, WFR 2004/1251</w:t>
      </w:r>
    </w:p>
  </w:footnote>
  <w:footnote w:id="193">
    <w:p w:rsidR="00292A58" w:rsidRDefault="00292A58">
      <w:pPr>
        <w:pStyle w:val="Voetnoottekst"/>
      </w:pPr>
      <w:r>
        <w:rPr>
          <w:rStyle w:val="Voetnootmarkering"/>
        </w:rPr>
        <w:footnoteRef/>
      </w:r>
      <w:r>
        <w:t xml:space="preserve"> </w:t>
      </w:r>
      <w:r w:rsidRPr="000E0A6A">
        <w:t>Het feit dat</w:t>
      </w:r>
      <w:r>
        <w:t xml:space="preserve"> e</w:t>
      </w:r>
      <w:r w:rsidRPr="000E0A6A">
        <w:t>en lichaam wordt uitgesloten op basis van de vestigingsplaats van een ander lichaam doet hier niet aan af</w:t>
      </w:r>
      <w:r>
        <w:t>,</w:t>
      </w:r>
      <w:r w:rsidRPr="000E0A6A">
        <w:t xml:space="preserve"> zie </w:t>
      </w:r>
      <w:r>
        <w:t>in deze zin HvJ EG, 3 augustus 2001, zaak C-410/98 (</w:t>
      </w:r>
      <w:r w:rsidRPr="00433ABB">
        <w:rPr>
          <w:i/>
          <w:iCs/>
        </w:rPr>
        <w:t>Metallgesellschaft</w:t>
      </w:r>
      <w:r>
        <w:t>),</w:t>
      </w:r>
      <w:r w:rsidRPr="000E0A6A">
        <w:t xml:space="preserve"> </w:t>
      </w:r>
      <w:r>
        <w:t>HvJ EG, 12 december 2000, zaak C-324/00  (</w:t>
      </w:r>
      <w:r w:rsidRPr="00433ABB">
        <w:rPr>
          <w:i/>
          <w:iCs/>
        </w:rPr>
        <w:t>L</w:t>
      </w:r>
      <w:r>
        <w:rPr>
          <w:i/>
          <w:iCs/>
        </w:rPr>
        <w:t>ankhorst-</w:t>
      </w:r>
      <w:r w:rsidRPr="00433ABB">
        <w:rPr>
          <w:i/>
          <w:iCs/>
        </w:rPr>
        <w:t>Hohorst</w:t>
      </w:r>
      <w:r>
        <w:t xml:space="preserve">) </w:t>
      </w:r>
      <w:r w:rsidRPr="000E0A6A">
        <w:t xml:space="preserve">alsmede </w:t>
      </w:r>
      <w:r>
        <w:t>HvJ EG</w:t>
      </w:r>
      <w:r w:rsidRPr="00DF14CE">
        <w:t>, 13 maart 2007, zaak C-524/04 (</w:t>
      </w:r>
      <w:r w:rsidRPr="00433ABB">
        <w:rPr>
          <w:i/>
          <w:iCs/>
        </w:rPr>
        <w:t xml:space="preserve">Test Claimants in the Thin Cap </w:t>
      </w:r>
      <w:r>
        <w:rPr>
          <w:i/>
          <w:iCs/>
        </w:rPr>
        <w:t>GLO</w:t>
      </w:r>
      <w:r w:rsidRPr="00DF14CE">
        <w:t xml:space="preserve">) </w:t>
      </w:r>
    </w:p>
  </w:footnote>
  <w:footnote w:id="194">
    <w:p w:rsidR="00292A58" w:rsidRDefault="00292A58">
      <w:pPr>
        <w:pStyle w:val="Voetnoottekst"/>
      </w:pPr>
      <w:r>
        <w:rPr>
          <w:rStyle w:val="Voetnootmarkering"/>
        </w:rPr>
        <w:footnoteRef/>
      </w:r>
      <w:r>
        <w:t xml:space="preserve"> </w:t>
      </w:r>
      <w:r w:rsidRPr="001E7CE8">
        <w:t xml:space="preserve">D.M. Weber, 2003, </w:t>
      </w:r>
      <w:r>
        <w:t>“</w:t>
      </w:r>
      <w:r w:rsidRPr="00837602">
        <w:rPr>
          <w:i/>
          <w:iCs/>
        </w:rPr>
        <w:t>Belastingontwijking en de EG verdragsvrijheden (een onderzoek naar de Europeesrechtelijke grenzen van belastingontwijking)</w:t>
      </w:r>
      <w:r w:rsidRPr="00837602">
        <w:t>”</w:t>
      </w:r>
      <w:r>
        <w:t xml:space="preserve"> Fiscale monografieën nr. 105, Deventer: Kluwer,  blz. 234</w:t>
      </w:r>
    </w:p>
  </w:footnote>
  <w:footnote w:id="195">
    <w:p w:rsidR="00292A58" w:rsidRDefault="00292A58" w:rsidP="00F11251">
      <w:pPr>
        <w:pStyle w:val="Voetnoottekst"/>
      </w:pPr>
      <w:r>
        <w:rPr>
          <w:rStyle w:val="Voetnootmarkering"/>
        </w:rPr>
        <w:footnoteRef/>
      </w:r>
      <w:r>
        <w:t xml:space="preserve"> HvJ EG, 28 oktober 1999, zaak C-55/98 (</w:t>
      </w:r>
      <w:r w:rsidRPr="007538BA">
        <w:rPr>
          <w:i/>
          <w:iCs/>
        </w:rPr>
        <w:t>Vestergaard</w:t>
      </w:r>
      <w:r>
        <w:t xml:space="preserve">), </w:t>
      </w:r>
      <w:r w:rsidRPr="00AE64C7">
        <w:t>r.o. 22</w:t>
      </w:r>
    </w:p>
  </w:footnote>
  <w:footnote w:id="196">
    <w:p w:rsidR="00292A58" w:rsidRDefault="00292A58">
      <w:pPr>
        <w:pStyle w:val="Voetnoottekst"/>
      </w:pPr>
      <w:r>
        <w:rPr>
          <w:rStyle w:val="Voetnootmarkering"/>
        </w:rPr>
        <w:footnoteRef/>
      </w:r>
      <w:r>
        <w:t xml:space="preserve"> J. </w:t>
      </w:r>
      <w:r w:rsidRPr="009E2F08">
        <w:t xml:space="preserve">Vleggeert </w:t>
      </w:r>
      <w:r>
        <w:t>“</w:t>
      </w:r>
      <w:r w:rsidRPr="007538BA">
        <w:rPr>
          <w:i/>
          <w:iCs/>
        </w:rPr>
        <w:t>Aftrekbeperkingen in het internationale belastingrecht</w:t>
      </w:r>
      <w:r>
        <w:t>”, fiscale monografien nr. 132, 2009, Deventer: Kluwer,</w:t>
      </w:r>
      <w:r w:rsidRPr="00083E5B">
        <w:t xml:space="preserve"> </w:t>
      </w:r>
      <w:r>
        <w:t>blz. 513</w:t>
      </w:r>
    </w:p>
  </w:footnote>
  <w:footnote w:id="197">
    <w:p w:rsidR="00292A58" w:rsidRDefault="00292A58">
      <w:pPr>
        <w:pStyle w:val="Voetnoottekst"/>
      </w:pPr>
      <w:r>
        <w:rPr>
          <w:rStyle w:val="Voetnootmarkering"/>
        </w:rPr>
        <w:footnoteRef/>
      </w:r>
      <w:r>
        <w:t xml:space="preserve"> Terra B.J.M. </w:t>
      </w:r>
      <w:r w:rsidRPr="00EE3285">
        <w:t>Wattel</w:t>
      </w:r>
      <w:r>
        <w:t xml:space="preserve"> P.J. T</w:t>
      </w:r>
      <w:r w:rsidRPr="00EE3285">
        <w:t>erra</w:t>
      </w:r>
      <w:r>
        <w:t>, 2008, “</w:t>
      </w:r>
      <w:r w:rsidRPr="007538BA">
        <w:rPr>
          <w:i/>
          <w:iCs/>
        </w:rPr>
        <w:t>European Tax Law, student edition</w:t>
      </w:r>
      <w:r>
        <w:t>”, Kluwer,</w:t>
      </w:r>
    </w:p>
  </w:footnote>
  <w:footnote w:id="198">
    <w:p w:rsidR="00292A58" w:rsidRDefault="00292A58">
      <w:pPr>
        <w:pStyle w:val="Voetnoottekst"/>
      </w:pPr>
      <w:r>
        <w:rPr>
          <w:rStyle w:val="Voetnootmarkering"/>
        </w:rPr>
        <w:footnoteRef/>
      </w:r>
      <w:r>
        <w:t>HvJ EG</w:t>
      </w:r>
      <w:r w:rsidRPr="009D17A9">
        <w:t>, 25 februari 2010, zaak C-337/08 (</w:t>
      </w:r>
      <w:r w:rsidRPr="007538BA">
        <w:rPr>
          <w:i/>
          <w:iCs/>
        </w:rPr>
        <w:t>X Holding BV</w:t>
      </w:r>
      <w:r>
        <w:t>)</w:t>
      </w:r>
      <w:r w:rsidRPr="00684EBB">
        <w:t xml:space="preserve">, r.o. 28-30 </w:t>
      </w:r>
      <w:r>
        <w:t xml:space="preserve">zie </w:t>
      </w:r>
      <w:r w:rsidRPr="00684EBB">
        <w:t>in gelijke zin,</w:t>
      </w:r>
      <w:r w:rsidRPr="00FC1DA8">
        <w:t xml:space="preserve"> </w:t>
      </w:r>
      <w:r>
        <w:t>HvJ EG</w:t>
      </w:r>
      <w:r w:rsidRPr="00410CFE">
        <w:t>, 13 december 2005, zaak C</w:t>
      </w:r>
      <w:r>
        <w:t>-</w:t>
      </w:r>
      <w:r w:rsidRPr="00410CFE">
        <w:t xml:space="preserve">446/03 ( </w:t>
      </w:r>
      <w:r w:rsidRPr="007538BA">
        <w:rPr>
          <w:i/>
          <w:iCs/>
        </w:rPr>
        <w:t>Marks &amp; Spencer</w:t>
      </w:r>
      <w:r>
        <w:t>)</w:t>
      </w:r>
      <w:r w:rsidRPr="00785461">
        <w:t xml:space="preserve">, </w:t>
      </w:r>
      <w:r w:rsidRPr="00684EBB">
        <w:t xml:space="preserve"> </w:t>
      </w:r>
      <w:r>
        <w:t>HvJ EG, 18 juli 2007, C-231/05 (</w:t>
      </w:r>
      <w:r w:rsidRPr="007538BA">
        <w:rPr>
          <w:i/>
          <w:iCs/>
        </w:rPr>
        <w:t>Oy AA</w:t>
      </w:r>
      <w:r>
        <w:t>), HvJ EG, 15 mei 2008, zaak C-414/06 (</w:t>
      </w:r>
      <w:r w:rsidRPr="007538BA">
        <w:rPr>
          <w:i/>
          <w:iCs/>
        </w:rPr>
        <w:t>Lidl Belgium</w:t>
      </w:r>
      <w:r>
        <w:t>)</w:t>
      </w:r>
      <w:r w:rsidRPr="00684EBB">
        <w:t xml:space="preserve"> en </w:t>
      </w:r>
      <w:r>
        <w:t>HvJ EG, 29 maart 2007, zaak C-347/04 (</w:t>
      </w:r>
      <w:r w:rsidRPr="007538BA">
        <w:rPr>
          <w:i/>
          <w:iCs/>
        </w:rPr>
        <w:t>Rewe Zentralfinanz</w:t>
      </w:r>
      <w:r>
        <w:t>)</w:t>
      </w:r>
    </w:p>
  </w:footnote>
  <w:footnote w:id="199">
    <w:p w:rsidR="00292A58" w:rsidRDefault="00292A58">
      <w:pPr>
        <w:pStyle w:val="Voetnoottekst"/>
      </w:pPr>
      <w:r>
        <w:rPr>
          <w:rStyle w:val="Voetnootmarkering"/>
        </w:rPr>
        <w:footnoteRef/>
      </w:r>
      <w:r>
        <w:t xml:space="preserve"> HvJ EG</w:t>
      </w:r>
      <w:r w:rsidRPr="00410CFE">
        <w:t>, 13 december 2005, zaak C</w:t>
      </w:r>
      <w:r>
        <w:t>-446/03 (</w:t>
      </w:r>
      <w:r w:rsidRPr="007538BA">
        <w:rPr>
          <w:i/>
          <w:iCs/>
        </w:rPr>
        <w:t>Marks &amp; Spencer</w:t>
      </w:r>
      <w:r>
        <w:t>),</w:t>
      </w:r>
      <w:r w:rsidRPr="00083E5B">
        <w:t xml:space="preserve"> r.o. 49</w:t>
      </w:r>
    </w:p>
  </w:footnote>
  <w:footnote w:id="200">
    <w:p w:rsidR="00292A58" w:rsidRDefault="00292A58">
      <w:pPr>
        <w:pStyle w:val="Voetnoottekst"/>
      </w:pPr>
      <w:r>
        <w:rPr>
          <w:rStyle w:val="Voetnootmarkering"/>
        </w:rPr>
        <w:footnoteRef/>
      </w:r>
      <w:r>
        <w:t xml:space="preserve"> Terra B.J.M. </w:t>
      </w:r>
      <w:r w:rsidRPr="00EE3285">
        <w:t>Wattel</w:t>
      </w:r>
      <w:r>
        <w:t xml:space="preserve"> P.J. T</w:t>
      </w:r>
      <w:r w:rsidRPr="00EE3285">
        <w:t>erra</w:t>
      </w:r>
      <w:r>
        <w:t>, 2008, “</w:t>
      </w:r>
      <w:r w:rsidRPr="007538BA">
        <w:rPr>
          <w:i/>
          <w:iCs/>
        </w:rPr>
        <w:t>European Tax Law, student edition</w:t>
      </w:r>
      <w:r>
        <w:t>”, Kluwer, blz. 374</w:t>
      </w:r>
    </w:p>
  </w:footnote>
  <w:footnote w:id="201">
    <w:p w:rsidR="00292A58" w:rsidRDefault="00292A58">
      <w:pPr>
        <w:pStyle w:val="Voetnoottekst"/>
      </w:pPr>
      <w:r>
        <w:rPr>
          <w:rStyle w:val="Voetnootmarkering"/>
        </w:rPr>
        <w:footnoteRef/>
      </w:r>
      <w:r>
        <w:t xml:space="preserve"> </w:t>
      </w:r>
      <w:r w:rsidRPr="001E7CE8">
        <w:t xml:space="preserve">D.M. Weber, 2003, </w:t>
      </w:r>
      <w:r>
        <w:t>“</w:t>
      </w:r>
      <w:r w:rsidRPr="007538BA">
        <w:rPr>
          <w:i/>
          <w:iCs/>
        </w:rPr>
        <w:t>Belastingontwijking en de EG verdragsvrijheden (een onderzoek naar de Europeesrechtelijke grenzen van belastingontwijking)</w:t>
      </w:r>
      <w:r>
        <w:t>”, Fiscale monografieën nr. 105, Deventer: Kluwer, blz. 198</w:t>
      </w:r>
    </w:p>
  </w:footnote>
  <w:footnote w:id="202">
    <w:p w:rsidR="00292A58" w:rsidRDefault="00292A58" w:rsidP="00F11251">
      <w:pPr>
        <w:pStyle w:val="Voetnoottekst"/>
      </w:pPr>
      <w:r>
        <w:rPr>
          <w:rStyle w:val="Voetnootmarkering"/>
        </w:rPr>
        <w:footnoteRef/>
      </w:r>
      <w:r w:rsidRPr="00322130">
        <w:t xml:space="preserve"> </w:t>
      </w:r>
      <w:r>
        <w:t>HvJ EG</w:t>
      </w:r>
      <w:r w:rsidRPr="00110248">
        <w:t>, 12 september 2006, zaak C-196/04 (</w:t>
      </w:r>
      <w:r w:rsidRPr="007538BA">
        <w:rPr>
          <w:i/>
          <w:iCs/>
        </w:rPr>
        <w:t>Cadbury Schweppes</w:t>
      </w:r>
      <w:r w:rsidRPr="00110248">
        <w:t>)</w:t>
      </w:r>
      <w:r>
        <w:t xml:space="preserve">  </w:t>
      </w:r>
      <w:r w:rsidRPr="00322130">
        <w:t>r.o. 63, in gelijke zin o.a.</w:t>
      </w:r>
      <w:r w:rsidRPr="00DF14CE">
        <w:t xml:space="preserve"> </w:t>
      </w:r>
      <w:r>
        <w:t>HvJ EG</w:t>
      </w:r>
      <w:r w:rsidRPr="00DF14CE">
        <w:t>, 13 maart 2007, zaak C-524/04 (</w:t>
      </w:r>
      <w:r w:rsidRPr="007538BA">
        <w:rPr>
          <w:i/>
          <w:iCs/>
        </w:rPr>
        <w:t xml:space="preserve">Test Claimants in the Thin Cap </w:t>
      </w:r>
      <w:r>
        <w:rPr>
          <w:i/>
          <w:iCs/>
        </w:rPr>
        <w:t>GLO</w:t>
      </w:r>
      <w:r w:rsidRPr="00DF14CE">
        <w:t>)</w:t>
      </w:r>
      <w:r w:rsidRPr="00322130">
        <w:t xml:space="preserve">, </w:t>
      </w:r>
      <w:r>
        <w:t>HvJ EG, 12 december 2000, zaak C-324/00  (</w:t>
      </w:r>
      <w:r w:rsidRPr="007538BA">
        <w:rPr>
          <w:i/>
          <w:iCs/>
        </w:rPr>
        <w:t>Lankhorst-Hohorst</w:t>
      </w:r>
      <w:r>
        <w:t>) alsmede HvJ EG, 16 juli 1998, zaak C-264/96 (</w:t>
      </w:r>
      <w:r w:rsidRPr="007538BA">
        <w:rPr>
          <w:i/>
          <w:iCs/>
        </w:rPr>
        <w:t>ICI</w:t>
      </w:r>
      <w:r>
        <w:t>)</w:t>
      </w:r>
    </w:p>
  </w:footnote>
  <w:footnote w:id="203">
    <w:p w:rsidR="00292A58" w:rsidRDefault="00292A58" w:rsidP="00F11251">
      <w:pPr>
        <w:pStyle w:val="Voetnoottekst"/>
      </w:pPr>
      <w:r>
        <w:rPr>
          <w:rStyle w:val="Voetnootmarkering"/>
        </w:rPr>
        <w:footnoteRef/>
      </w:r>
      <w:r>
        <w:t xml:space="preserve"> HvJ EG, 14 december 2000, zaak c-110/99 (</w:t>
      </w:r>
      <w:r w:rsidRPr="007538BA">
        <w:rPr>
          <w:i/>
          <w:iCs/>
        </w:rPr>
        <w:t>Emsland Starke</w:t>
      </w:r>
      <w:r>
        <w:t xml:space="preserve">), </w:t>
      </w:r>
      <w:r w:rsidRPr="00A25BF8">
        <w:t xml:space="preserve"> r.o.</w:t>
      </w:r>
      <w:r>
        <w:t xml:space="preserve"> 52 en r.o. 53</w:t>
      </w:r>
    </w:p>
  </w:footnote>
  <w:footnote w:id="204">
    <w:p w:rsidR="00292A58" w:rsidRDefault="00292A58" w:rsidP="00F11251">
      <w:pPr>
        <w:pStyle w:val="Voetnoottekst"/>
      </w:pPr>
      <w:r>
        <w:rPr>
          <w:rStyle w:val="Voetnootmarkering"/>
        </w:rPr>
        <w:footnoteRef/>
      </w:r>
      <w:r>
        <w:t xml:space="preserve"> </w:t>
      </w:r>
      <w:r w:rsidRPr="001E7CE8">
        <w:t xml:space="preserve">D.M. Weber, 2003, </w:t>
      </w:r>
      <w:r>
        <w:t>“</w:t>
      </w:r>
      <w:r w:rsidRPr="007538BA">
        <w:rPr>
          <w:i/>
          <w:iCs/>
        </w:rPr>
        <w:t>Belastingontwijking en de EG verdragsvrijheden (een onderzoek naar de Europeesrechtelijke grenzen van belastingontwijking)</w:t>
      </w:r>
      <w:r>
        <w:t>”, Fiscale monografieën nr. 105, Deventer: Kluwer onder verwijzing naar HvJ EG, 12 december 2000, zaak C-324/00  (</w:t>
      </w:r>
      <w:r w:rsidRPr="007538BA">
        <w:rPr>
          <w:i/>
          <w:iCs/>
        </w:rPr>
        <w:t>L</w:t>
      </w:r>
      <w:r>
        <w:rPr>
          <w:i/>
          <w:iCs/>
        </w:rPr>
        <w:t>ankhorst-</w:t>
      </w:r>
      <w:r w:rsidRPr="007538BA">
        <w:rPr>
          <w:i/>
          <w:iCs/>
        </w:rPr>
        <w:t>Hohorst</w:t>
      </w:r>
      <w:r>
        <w:t>),  r.o. 37 -38</w:t>
      </w:r>
    </w:p>
  </w:footnote>
  <w:footnote w:id="205">
    <w:p w:rsidR="00292A58" w:rsidRDefault="00292A58">
      <w:pPr>
        <w:pStyle w:val="Voetnoottekst"/>
      </w:pPr>
      <w:r>
        <w:rPr>
          <w:rStyle w:val="Voetnootmarkering"/>
        </w:rPr>
        <w:footnoteRef/>
      </w:r>
      <w:r w:rsidRPr="00BA3E65">
        <w:t xml:space="preserve"> HR, 10 maart 1993, BNB 1993/196</w:t>
      </w:r>
    </w:p>
  </w:footnote>
  <w:footnote w:id="206">
    <w:p w:rsidR="00292A58" w:rsidRDefault="00292A58" w:rsidP="004F5D0C">
      <w:r>
        <w:rPr>
          <w:rStyle w:val="Voetnootmarkering"/>
        </w:rPr>
        <w:footnoteRef/>
      </w:r>
      <w:r>
        <w:t xml:space="preserve"> </w:t>
      </w:r>
      <w:r w:rsidRPr="001911CE">
        <w:rPr>
          <w:sz w:val="20"/>
        </w:rPr>
        <w:t xml:space="preserve">VS 08 </w:t>
      </w:r>
      <w:r w:rsidRPr="001911CE">
        <w:rPr>
          <w:i/>
          <w:sz w:val="20"/>
        </w:rPr>
        <w:t>Nederlands Internationaal Belastingrecht</w:t>
      </w:r>
    </w:p>
  </w:footnote>
  <w:footnote w:id="207">
    <w:p w:rsidR="00292A58" w:rsidRDefault="00292A58" w:rsidP="00F11251">
      <w:pPr>
        <w:pStyle w:val="Voetnoottekst"/>
      </w:pPr>
      <w:r>
        <w:rPr>
          <w:rStyle w:val="Voetnootmarkering"/>
        </w:rPr>
        <w:footnoteRef/>
      </w:r>
      <w:r>
        <w:t>HvJ EG, 12 december 2000, zaak C-324/00  (</w:t>
      </w:r>
      <w:r w:rsidRPr="007538BA">
        <w:rPr>
          <w:i/>
          <w:iCs/>
        </w:rPr>
        <w:t>Lankhorst-Hohorst</w:t>
      </w:r>
      <w:r>
        <w:t>),  r.o. 35</w:t>
      </w:r>
    </w:p>
  </w:footnote>
  <w:footnote w:id="208">
    <w:p w:rsidR="00292A58" w:rsidRDefault="00292A58">
      <w:pPr>
        <w:pStyle w:val="Voetnoottekst"/>
      </w:pPr>
      <w:r>
        <w:rPr>
          <w:rStyle w:val="Voetnootmarkering"/>
        </w:rPr>
        <w:footnoteRef/>
      </w:r>
      <w:r>
        <w:t xml:space="preserve"> HvJ EG, 12 december 2000, zaak C-324/00  (</w:t>
      </w:r>
      <w:r w:rsidRPr="007538BA">
        <w:rPr>
          <w:i/>
          <w:iCs/>
        </w:rPr>
        <w:t>Lankhorst-Hohorst</w:t>
      </w:r>
    </w:p>
  </w:footnote>
  <w:footnote w:id="209">
    <w:p w:rsidR="00292A58" w:rsidRDefault="00292A58" w:rsidP="00F11251">
      <w:pPr>
        <w:pStyle w:val="Voetnoottekst"/>
      </w:pPr>
      <w:r>
        <w:rPr>
          <w:rStyle w:val="Voetnootmarkering"/>
        </w:rPr>
        <w:footnoteRef/>
      </w:r>
      <w:r w:rsidRPr="00BA3E65">
        <w:t xml:space="preserve"> </w:t>
      </w:r>
      <w:r>
        <w:t>HvJ EG, 12 december 2000, zaak C-324/00  (</w:t>
      </w:r>
      <w:r w:rsidRPr="007538BA">
        <w:rPr>
          <w:i/>
          <w:iCs/>
        </w:rPr>
        <w:t>Lankhorst-Hohorst</w:t>
      </w:r>
      <w:r>
        <w:t xml:space="preserve">),  </w:t>
      </w:r>
      <w:r w:rsidRPr="00BA3E65">
        <w:t>r.o. 36</w:t>
      </w:r>
    </w:p>
  </w:footnote>
  <w:footnote w:id="210">
    <w:p w:rsidR="00292A58" w:rsidRDefault="00292A58" w:rsidP="00F11251">
      <w:pPr>
        <w:pStyle w:val="Voetnoottekst"/>
      </w:pPr>
      <w:r>
        <w:rPr>
          <w:rStyle w:val="Voetnootmarkering"/>
        </w:rPr>
        <w:footnoteRef/>
      </w:r>
      <w:r w:rsidRPr="00BA3E65">
        <w:t xml:space="preserve"> </w:t>
      </w:r>
      <w:r>
        <w:t>HvJ EG, 13 april 2000, zaak C-251/98 (</w:t>
      </w:r>
      <w:r w:rsidRPr="007538BA">
        <w:rPr>
          <w:i/>
          <w:iCs/>
        </w:rPr>
        <w:t>Baars</w:t>
      </w:r>
      <w:r>
        <w:t xml:space="preserve">), </w:t>
      </w:r>
      <w:r w:rsidRPr="00BA3E65">
        <w:t xml:space="preserve">r.o. 71, </w:t>
      </w:r>
      <w:r>
        <w:t>HvJ EG</w:t>
      </w:r>
      <w:r w:rsidRPr="00BA3E65">
        <w:t>, 12 september 2006, zaak C-196/04 (</w:t>
      </w:r>
      <w:r w:rsidRPr="007538BA">
        <w:rPr>
          <w:i/>
          <w:iCs/>
        </w:rPr>
        <w:t>Cadbury Schweppes</w:t>
      </w:r>
      <w:r w:rsidRPr="00BA3E65">
        <w:t>)  r.o. 36</w:t>
      </w:r>
      <w:r>
        <w:t xml:space="preserve">, </w:t>
      </w:r>
      <w:r w:rsidRPr="001E7CE8">
        <w:t xml:space="preserve">D.M. Weber, 2003, </w:t>
      </w:r>
      <w:r>
        <w:t>“</w:t>
      </w:r>
      <w:r w:rsidRPr="00D6663E">
        <w:rPr>
          <w:i/>
          <w:iCs/>
        </w:rPr>
        <w:t>Belastingontwijking en de EG verdragsvrijheden (een onderzoek naar de Europeesrechtelijke grenzen van belastingontwijking</w:t>
      </w:r>
      <w:r>
        <w:t>)”, Fiscale monografieën nr. 105, Deventer: Kluwer</w:t>
      </w:r>
    </w:p>
  </w:footnote>
  <w:footnote w:id="211">
    <w:p w:rsidR="00292A58" w:rsidRDefault="00292A58" w:rsidP="00F11251">
      <w:pPr>
        <w:pStyle w:val="Voetnoottekst"/>
      </w:pPr>
      <w:r>
        <w:rPr>
          <w:rStyle w:val="Voetnootmarkering"/>
        </w:rPr>
        <w:footnoteRef/>
      </w:r>
      <w:r w:rsidRPr="00BA3E65">
        <w:t xml:space="preserve"> </w:t>
      </w:r>
      <w:r>
        <w:t>HvJ EG, 16 juli 1998, zaak C-264/96 (</w:t>
      </w:r>
      <w:r w:rsidRPr="007538BA">
        <w:rPr>
          <w:i/>
          <w:iCs/>
        </w:rPr>
        <w:t>ICI</w:t>
      </w:r>
      <w:r>
        <w:t xml:space="preserve">) </w:t>
      </w:r>
      <w:r w:rsidRPr="00BA3E65">
        <w:t xml:space="preserve"> r.o. 26</w:t>
      </w:r>
    </w:p>
  </w:footnote>
  <w:footnote w:id="212">
    <w:p w:rsidR="00292A58" w:rsidRDefault="00292A58" w:rsidP="00F11251">
      <w:pPr>
        <w:pStyle w:val="Voetnoottekst"/>
      </w:pPr>
      <w:r>
        <w:rPr>
          <w:rStyle w:val="Voetnootmarkering"/>
        </w:rPr>
        <w:footnoteRef/>
      </w:r>
      <w:r w:rsidRPr="00341538">
        <w:t xml:space="preserve"> A-G Geelhoed opinie bij </w:t>
      </w:r>
      <w:r>
        <w:t>HvJ EG</w:t>
      </w:r>
      <w:r w:rsidRPr="00341538">
        <w:t>, 13 maart 2007, zaak C-524/04 (</w:t>
      </w:r>
      <w:r w:rsidRPr="00341538">
        <w:rPr>
          <w:i/>
          <w:iCs/>
        </w:rPr>
        <w:t>Test Claimants in the Thin Cap GLO</w:t>
      </w:r>
      <w:r w:rsidRPr="00341538">
        <w:t>)</w:t>
      </w:r>
    </w:p>
  </w:footnote>
  <w:footnote w:id="213">
    <w:p w:rsidR="00292A58" w:rsidRDefault="00292A58" w:rsidP="00F11251">
      <w:pPr>
        <w:pStyle w:val="Voetnoottekst"/>
      </w:pPr>
      <w:r>
        <w:rPr>
          <w:rStyle w:val="Voetnootmarkering"/>
        </w:rPr>
        <w:footnoteRef/>
      </w:r>
      <w:r w:rsidRPr="00BA53C7">
        <w:t xml:space="preserve"> </w:t>
      </w:r>
      <w:r>
        <w:t>HvJ EG</w:t>
      </w:r>
      <w:r w:rsidRPr="00BA53C7">
        <w:t>, 12 september 2006, zaak C-196/04 (</w:t>
      </w:r>
      <w:r w:rsidRPr="00D6663E">
        <w:rPr>
          <w:i/>
          <w:iCs/>
        </w:rPr>
        <w:t>Cadbury Schweppes</w:t>
      </w:r>
      <w:r w:rsidRPr="00BA53C7">
        <w:t>) r.o. 52</w:t>
      </w:r>
    </w:p>
  </w:footnote>
  <w:footnote w:id="214">
    <w:p w:rsidR="00292A58" w:rsidRDefault="00292A58" w:rsidP="00F11251">
      <w:pPr>
        <w:pStyle w:val="Voetnoottekst"/>
      </w:pPr>
      <w:r>
        <w:rPr>
          <w:rStyle w:val="Voetnootmarkering"/>
        </w:rPr>
        <w:footnoteRef/>
      </w:r>
      <w:r w:rsidRPr="00BA53C7">
        <w:t xml:space="preserve"> </w:t>
      </w:r>
      <w:r>
        <w:t>HvJ EG</w:t>
      </w:r>
      <w:r w:rsidRPr="00BA53C7">
        <w:t>, 30 november 1995, zaak C-55/94 (</w:t>
      </w:r>
      <w:r w:rsidRPr="00D6663E">
        <w:rPr>
          <w:i/>
          <w:iCs/>
        </w:rPr>
        <w:t>Gebhard</w:t>
      </w:r>
      <w:r w:rsidRPr="00BA53C7">
        <w:t>), r.o. 25</w:t>
      </w:r>
    </w:p>
  </w:footnote>
  <w:footnote w:id="215">
    <w:p w:rsidR="00292A58" w:rsidRDefault="00292A58" w:rsidP="00F11251">
      <w:pPr>
        <w:pStyle w:val="Voetnoottekst"/>
      </w:pPr>
      <w:r>
        <w:rPr>
          <w:rStyle w:val="Voetnootmarkering"/>
        </w:rPr>
        <w:footnoteRef/>
      </w:r>
      <w:r w:rsidRPr="00D72528">
        <w:rPr>
          <w:lang w:val="en-US"/>
        </w:rPr>
        <w:t xml:space="preserve"> </w:t>
      </w:r>
      <w:r>
        <w:rPr>
          <w:lang w:val="en-US"/>
        </w:rPr>
        <w:t xml:space="preserve">HvJ EG, 12 </w:t>
      </w:r>
      <w:proofErr w:type="gramStart"/>
      <w:r>
        <w:rPr>
          <w:lang w:val="en-US"/>
        </w:rPr>
        <w:t>september</w:t>
      </w:r>
      <w:proofErr w:type="gramEnd"/>
      <w:r>
        <w:rPr>
          <w:lang w:val="en-US"/>
        </w:rPr>
        <w:t xml:space="preserve"> 2006, zaak C</w:t>
      </w:r>
      <w:r w:rsidRPr="00FD2C12">
        <w:rPr>
          <w:lang w:val="en-US"/>
        </w:rPr>
        <w:t>-196/04 (</w:t>
      </w:r>
      <w:r w:rsidRPr="00D6663E">
        <w:rPr>
          <w:i/>
          <w:iCs/>
          <w:lang w:val="en-US"/>
        </w:rPr>
        <w:t>Cadbury Schweppes</w:t>
      </w:r>
      <w:r>
        <w:rPr>
          <w:lang w:val="en-US"/>
        </w:rPr>
        <w:t>) r.o. 54</w:t>
      </w:r>
    </w:p>
  </w:footnote>
  <w:footnote w:id="216">
    <w:p w:rsidR="00292A58" w:rsidRDefault="00292A58">
      <w:pPr>
        <w:pStyle w:val="Voetnoottekst"/>
      </w:pPr>
      <w:r>
        <w:rPr>
          <w:rStyle w:val="Voetnootmarkering"/>
        </w:rPr>
        <w:footnoteRef/>
      </w:r>
      <w:r w:rsidRPr="00913FA5">
        <w:rPr>
          <w:lang w:val="en-US"/>
        </w:rPr>
        <w:t xml:space="preserve"> </w:t>
      </w:r>
      <w:r>
        <w:rPr>
          <w:lang w:val="en-US"/>
        </w:rPr>
        <w:t>HvJ EG, 13 maart 2007, zaak C-524/04 (</w:t>
      </w:r>
      <w:r w:rsidRPr="00D6663E">
        <w:rPr>
          <w:i/>
          <w:iCs/>
          <w:lang w:val="en-US"/>
        </w:rPr>
        <w:t xml:space="preserve">Test Claimants in the Thin Cap </w:t>
      </w:r>
      <w:r>
        <w:rPr>
          <w:i/>
          <w:iCs/>
          <w:lang w:val="en-US"/>
        </w:rPr>
        <w:t>GLO</w:t>
      </w:r>
      <w:r>
        <w:rPr>
          <w:lang w:val="en-US"/>
        </w:rPr>
        <w:t>), r.o. 81</w:t>
      </w:r>
    </w:p>
  </w:footnote>
  <w:footnote w:id="217">
    <w:p w:rsidR="00292A58" w:rsidRDefault="00292A58" w:rsidP="008D407D">
      <w:pPr>
        <w:pStyle w:val="Voetnoottekst"/>
      </w:pPr>
      <w:r w:rsidRPr="00292A58">
        <w:rPr>
          <w:rStyle w:val="Voetnootmarkering"/>
        </w:rPr>
        <w:footnoteRef/>
      </w:r>
      <w:r w:rsidRPr="00292A58">
        <w:rPr>
          <w:lang w:val="en-US"/>
        </w:rPr>
        <w:t xml:space="preserve"> HvJ EG, 13 maart 2007, zaak C-524/04 (</w:t>
      </w:r>
      <w:r w:rsidRPr="00292A58">
        <w:rPr>
          <w:i/>
          <w:iCs/>
          <w:lang w:val="en-US"/>
        </w:rPr>
        <w:t>Test Claimants in the Thin Cap GLO</w:t>
      </w:r>
      <w:r w:rsidRPr="00292A58">
        <w:rPr>
          <w:lang w:val="en-US"/>
        </w:rPr>
        <w:t>), r.o. 83</w:t>
      </w:r>
    </w:p>
  </w:footnote>
  <w:footnote w:id="218">
    <w:p w:rsidR="00292A58" w:rsidRDefault="00292A58" w:rsidP="008D407D">
      <w:pPr>
        <w:pStyle w:val="Voetnoottekst"/>
        <w:spacing w:before="240"/>
      </w:pPr>
      <w:r>
        <w:rPr>
          <w:rStyle w:val="Voetnootmarkering"/>
        </w:rPr>
        <w:footnoteRef/>
      </w:r>
      <w:r w:rsidRPr="00BA53C7">
        <w:t xml:space="preserve"> </w:t>
      </w:r>
      <w:r>
        <w:t>HvJ EG, 14 december 2000, zaak c-110/99 (</w:t>
      </w:r>
      <w:r w:rsidRPr="00D6663E">
        <w:rPr>
          <w:i/>
          <w:iCs/>
        </w:rPr>
        <w:t>Emsland Starke</w:t>
      </w:r>
      <w:r>
        <w:t xml:space="preserve">), </w:t>
      </w:r>
      <w:r w:rsidRPr="00BA53C7">
        <w:t xml:space="preserve"> r.o. 53</w:t>
      </w:r>
    </w:p>
  </w:footnote>
  <w:footnote w:id="219">
    <w:p w:rsidR="00292A58" w:rsidRDefault="00292A58" w:rsidP="00F11251">
      <w:pPr>
        <w:pStyle w:val="Voetnoottekst"/>
      </w:pPr>
      <w:r>
        <w:rPr>
          <w:rStyle w:val="Voetnootmarkering"/>
        </w:rPr>
        <w:footnoteRef/>
      </w:r>
      <w:r w:rsidRPr="003F4761">
        <w:t xml:space="preserve"> </w:t>
      </w:r>
      <w:r>
        <w:t>HvJ EG</w:t>
      </w:r>
      <w:r w:rsidRPr="003F4761">
        <w:t>, 12 september 2006, zaak C-196/04 (</w:t>
      </w:r>
      <w:r w:rsidRPr="00D6663E">
        <w:rPr>
          <w:i/>
          <w:iCs/>
        </w:rPr>
        <w:t>Cadbury Schweppes</w:t>
      </w:r>
      <w:r w:rsidRPr="003F4761">
        <w:t>),  r.o. 55</w:t>
      </w:r>
    </w:p>
  </w:footnote>
  <w:footnote w:id="220">
    <w:p w:rsidR="00292A58" w:rsidRDefault="00292A58" w:rsidP="00F11251">
      <w:pPr>
        <w:pStyle w:val="Voetnoottekst"/>
      </w:pPr>
      <w:r>
        <w:rPr>
          <w:rStyle w:val="Voetnootmarkering"/>
        </w:rPr>
        <w:footnoteRef/>
      </w:r>
      <w:r w:rsidRPr="00BA53C7">
        <w:t xml:space="preserve"> </w:t>
      </w:r>
      <w:r>
        <w:t>HvJ EG, 12 december 2000, zaak C-324/00  (</w:t>
      </w:r>
      <w:r w:rsidRPr="00D6663E">
        <w:rPr>
          <w:i/>
          <w:iCs/>
        </w:rPr>
        <w:t>Lankhorst-Hohorst</w:t>
      </w:r>
      <w:r>
        <w:t xml:space="preserve">), </w:t>
      </w:r>
      <w:r w:rsidRPr="00BA53C7">
        <w:t xml:space="preserve"> r.o. 37</w:t>
      </w:r>
    </w:p>
  </w:footnote>
  <w:footnote w:id="221">
    <w:p w:rsidR="00292A58" w:rsidRDefault="00292A58" w:rsidP="00F11251">
      <w:pPr>
        <w:pStyle w:val="Voetnoottekst"/>
      </w:pPr>
      <w:r>
        <w:rPr>
          <w:rStyle w:val="Voetnootmarkering"/>
        </w:rPr>
        <w:footnoteRef/>
      </w:r>
      <w:r w:rsidRPr="001122F7">
        <w:rPr>
          <w:lang w:val="en-US"/>
        </w:rPr>
        <w:t xml:space="preserve"> </w:t>
      </w:r>
      <w:r>
        <w:rPr>
          <w:lang w:val="en-US"/>
        </w:rPr>
        <w:t>HvJ EG, 13 maart 2007, zaak C-524/04 (</w:t>
      </w:r>
      <w:r w:rsidRPr="00D6663E">
        <w:rPr>
          <w:i/>
          <w:iCs/>
          <w:lang w:val="en-US"/>
        </w:rPr>
        <w:t xml:space="preserve">Test Claimants in the Thin Cap </w:t>
      </w:r>
      <w:r>
        <w:rPr>
          <w:i/>
          <w:iCs/>
          <w:lang w:val="en-US"/>
        </w:rPr>
        <w:t>GLO</w:t>
      </w:r>
      <w:proofErr w:type="gramStart"/>
      <w:r>
        <w:rPr>
          <w:lang w:val="en-US"/>
        </w:rPr>
        <w:t>)  r.o</w:t>
      </w:r>
      <w:proofErr w:type="gramEnd"/>
      <w:r>
        <w:rPr>
          <w:lang w:val="en-US"/>
        </w:rPr>
        <w:t>. 74</w:t>
      </w:r>
    </w:p>
  </w:footnote>
  <w:footnote w:id="222">
    <w:p w:rsidR="00292A58" w:rsidRDefault="00292A58" w:rsidP="00F11251">
      <w:pPr>
        <w:pStyle w:val="Voetnoottekst"/>
      </w:pPr>
      <w:r>
        <w:rPr>
          <w:rStyle w:val="Voetnootmarkering"/>
        </w:rPr>
        <w:footnoteRef/>
      </w:r>
      <w:r w:rsidRPr="0084297E">
        <w:t xml:space="preserve"> </w:t>
      </w:r>
      <w:r w:rsidRPr="001E7CE8">
        <w:t xml:space="preserve">D.M. Weber, 2003, </w:t>
      </w:r>
      <w:r>
        <w:t>“</w:t>
      </w:r>
      <w:r w:rsidRPr="00D6663E">
        <w:rPr>
          <w:i/>
          <w:iCs/>
        </w:rPr>
        <w:t>Belastingontwijking en de EG verdragsvrijheden (een onderzoek naar de Europeesrechtelijke grenzen van belastingontwijking</w:t>
      </w:r>
      <w:r>
        <w:t>)”, Fiscale monografieën nr. 105, Deventer: Kluwer, blz.</w:t>
      </w:r>
      <w:r w:rsidRPr="0084297E">
        <w:t xml:space="preserve"> 199</w:t>
      </w:r>
    </w:p>
  </w:footnote>
  <w:footnote w:id="223">
    <w:p w:rsidR="00292A58" w:rsidRDefault="00292A58" w:rsidP="00F11251">
      <w:pPr>
        <w:pStyle w:val="Voetnoottekst"/>
      </w:pPr>
      <w:r>
        <w:rPr>
          <w:rStyle w:val="Voetnootmarkering"/>
        </w:rPr>
        <w:footnoteRef/>
      </w:r>
      <w:r>
        <w:t xml:space="preserve"> HvJ EG, 14 december 2000, zaak c-110/99 (</w:t>
      </w:r>
      <w:r w:rsidRPr="00D6663E">
        <w:rPr>
          <w:i/>
          <w:iCs/>
        </w:rPr>
        <w:t>Emsland Starke</w:t>
      </w:r>
      <w:r>
        <w:t>)</w:t>
      </w:r>
    </w:p>
  </w:footnote>
  <w:footnote w:id="224">
    <w:p w:rsidR="00292A58" w:rsidRDefault="00292A58">
      <w:pPr>
        <w:pStyle w:val="Voetnoottekst"/>
      </w:pPr>
      <w:r>
        <w:rPr>
          <w:rStyle w:val="Voetnootmarkering"/>
        </w:rPr>
        <w:footnoteRef/>
      </w:r>
      <w:r>
        <w:t xml:space="preserve"> GBV staat voor gecontroleerde buitenlandse vennootschap</w:t>
      </w:r>
    </w:p>
  </w:footnote>
  <w:footnote w:id="225">
    <w:p w:rsidR="00292A58" w:rsidRDefault="00292A58" w:rsidP="00913FA5">
      <w:pPr>
        <w:pStyle w:val="Voetnoottekst"/>
      </w:pPr>
      <w:r>
        <w:rPr>
          <w:rStyle w:val="Voetnootmarkering"/>
        </w:rPr>
        <w:footnoteRef/>
      </w:r>
      <w:r w:rsidRPr="00FD7E6F">
        <w:rPr>
          <w:lang w:val="en-US"/>
        </w:rPr>
        <w:t xml:space="preserve"> HvJ EG, 12 september 2006, zaak C-196/04 (</w:t>
      </w:r>
      <w:r w:rsidRPr="00FD7E6F">
        <w:rPr>
          <w:i/>
          <w:iCs/>
          <w:lang w:val="en-US"/>
        </w:rPr>
        <w:t>Cadbury Schweppes</w:t>
      </w:r>
      <w:r w:rsidRPr="00FD7E6F">
        <w:rPr>
          <w:lang w:val="en-US"/>
        </w:rPr>
        <w:t>)</w:t>
      </w:r>
      <w:proofErr w:type="gramStart"/>
      <w:r w:rsidRPr="00FD7E6F">
        <w:rPr>
          <w:lang w:val="en-US"/>
        </w:rPr>
        <w:t>,  r.o</w:t>
      </w:r>
      <w:proofErr w:type="gramEnd"/>
      <w:r w:rsidRPr="00FD7E6F">
        <w:rPr>
          <w:lang w:val="en-US"/>
        </w:rPr>
        <w:t>. 63-64</w:t>
      </w:r>
    </w:p>
  </w:footnote>
  <w:footnote w:id="226">
    <w:p w:rsidR="00292A58" w:rsidRDefault="00292A58">
      <w:pPr>
        <w:pStyle w:val="Voetnoottekst"/>
      </w:pPr>
      <w:r>
        <w:rPr>
          <w:rStyle w:val="Voetnootmarkering"/>
        </w:rPr>
        <w:footnoteRef/>
      </w:r>
      <w:r>
        <w:t xml:space="preserve"> J. </w:t>
      </w:r>
      <w:r w:rsidRPr="009E2F08">
        <w:t xml:space="preserve">Vleggeert </w:t>
      </w:r>
      <w:r>
        <w:t>“</w:t>
      </w:r>
      <w:r w:rsidRPr="007538BA">
        <w:rPr>
          <w:i/>
          <w:iCs/>
        </w:rPr>
        <w:t>Aftrekbeperkingen in het internationale belastingrecht</w:t>
      </w:r>
      <w:r>
        <w:t>”, fiscale monografien nr. 132, 2009, Deventer: Kluwer,</w:t>
      </w:r>
      <w:r w:rsidRPr="00083E5B">
        <w:t xml:space="preserve"> </w:t>
      </w:r>
      <w:r>
        <w:t>blz. 258</w:t>
      </w:r>
    </w:p>
  </w:footnote>
  <w:footnote w:id="227">
    <w:p w:rsidR="00292A58" w:rsidRDefault="00292A58" w:rsidP="00F11251">
      <w:pPr>
        <w:pStyle w:val="Voetnoottekst"/>
      </w:pPr>
      <w:r>
        <w:rPr>
          <w:rStyle w:val="Voetnootmarkering"/>
        </w:rPr>
        <w:footnoteRef/>
      </w:r>
      <w:r w:rsidRPr="00B530C0">
        <w:rPr>
          <w:lang w:val="en-US"/>
        </w:rPr>
        <w:t xml:space="preserve"> </w:t>
      </w:r>
      <w:r>
        <w:rPr>
          <w:lang w:val="en-US"/>
        </w:rPr>
        <w:t>HvJ EG, 13 maart 2007, zaak C-524/04 (</w:t>
      </w:r>
      <w:r w:rsidRPr="00D6663E">
        <w:rPr>
          <w:i/>
          <w:iCs/>
          <w:lang w:val="en-US"/>
        </w:rPr>
        <w:t xml:space="preserve">Test Claimants in the Thin Cap </w:t>
      </w:r>
      <w:r>
        <w:rPr>
          <w:i/>
          <w:iCs/>
          <w:lang w:val="en-US"/>
        </w:rPr>
        <w:t>GLO</w:t>
      </w:r>
      <w:r>
        <w:rPr>
          <w:lang w:val="en-US"/>
        </w:rPr>
        <w:t>), r.o. 80</w:t>
      </w:r>
    </w:p>
  </w:footnote>
  <w:footnote w:id="228">
    <w:p w:rsidR="00292A58" w:rsidRDefault="00292A58">
      <w:pPr>
        <w:pStyle w:val="Voetnoottekst"/>
      </w:pPr>
      <w:r>
        <w:rPr>
          <w:rStyle w:val="Voetnootmarkering"/>
        </w:rPr>
        <w:footnoteRef/>
      </w:r>
      <w:r>
        <w:t xml:space="preserve"> HvJ EG, 20 mei 2010, zaak C-352/08 (</w:t>
      </w:r>
      <w:r>
        <w:rPr>
          <w:i/>
          <w:iCs/>
        </w:rPr>
        <w:t>Zwijnenb</w:t>
      </w:r>
      <w:r w:rsidRPr="00D6663E">
        <w:rPr>
          <w:i/>
          <w:iCs/>
        </w:rPr>
        <w:t>u</w:t>
      </w:r>
      <w:r>
        <w:rPr>
          <w:i/>
          <w:iCs/>
        </w:rPr>
        <w:t>rg</w:t>
      </w:r>
      <w:r>
        <w:t>), r.o. 41- 43</w:t>
      </w:r>
    </w:p>
  </w:footnote>
  <w:footnote w:id="229">
    <w:p w:rsidR="00292A58" w:rsidRDefault="00292A58" w:rsidP="0009059F">
      <w:pPr>
        <w:pStyle w:val="Voetnoottekst"/>
      </w:pPr>
      <w:r>
        <w:rPr>
          <w:rStyle w:val="Voetnootmarkering"/>
        </w:rPr>
        <w:footnoteRef/>
      </w:r>
      <w:r>
        <w:t xml:space="preserve"> </w:t>
      </w:r>
      <w:r w:rsidRPr="00651EB1">
        <w:t>Studente</w:t>
      </w:r>
      <w:r>
        <w:t>n editie Cursus belastingrecht, “</w:t>
      </w:r>
      <w:r w:rsidRPr="00D6663E">
        <w:rPr>
          <w:i/>
          <w:iCs/>
        </w:rPr>
        <w:t>Europees belastingrecht</w:t>
      </w:r>
      <w:r>
        <w:t>”,  2008-2009, Deventer: Kluwer, 4.0.7.b</w:t>
      </w:r>
    </w:p>
  </w:footnote>
  <w:footnote w:id="230">
    <w:p w:rsidR="00292A58" w:rsidRDefault="00292A58" w:rsidP="0009059F">
      <w:pPr>
        <w:pStyle w:val="Voetnoottekst"/>
      </w:pPr>
      <w:r>
        <w:rPr>
          <w:rStyle w:val="Voetnootmarkering"/>
        </w:rPr>
        <w:footnoteRef/>
      </w:r>
      <w:r>
        <w:t xml:space="preserve"> </w:t>
      </w:r>
      <w:r w:rsidRPr="00651EB1">
        <w:t>Studente</w:t>
      </w:r>
      <w:r>
        <w:t>n editie Cursus belastingrecht “</w:t>
      </w:r>
      <w:r w:rsidRPr="00D6663E">
        <w:rPr>
          <w:i/>
          <w:iCs/>
        </w:rPr>
        <w:t>Europees belastingrecht</w:t>
      </w:r>
      <w:r>
        <w:t xml:space="preserve">”, 2008-2009, Deventer: kluwer , 4.0.7.b, alsmede Terra B.J.M. </w:t>
      </w:r>
      <w:r w:rsidRPr="00EE3285">
        <w:t>Wattel</w:t>
      </w:r>
      <w:r>
        <w:t xml:space="preserve"> P.J. T</w:t>
      </w:r>
      <w:r w:rsidRPr="00EE3285">
        <w:t>erra</w:t>
      </w:r>
      <w:r>
        <w:t>, 2008, “</w:t>
      </w:r>
      <w:r w:rsidRPr="00D6663E">
        <w:rPr>
          <w:i/>
          <w:iCs/>
        </w:rPr>
        <w:t>European Tax Law, student edition</w:t>
      </w:r>
      <w:r>
        <w:t>”, Deventer: Kluwer</w:t>
      </w:r>
    </w:p>
  </w:footnote>
  <w:footnote w:id="231">
    <w:p w:rsidR="00292A58" w:rsidRDefault="00292A58">
      <w:pPr>
        <w:pStyle w:val="Voetnoottekst"/>
      </w:pPr>
      <w:r>
        <w:rPr>
          <w:rStyle w:val="Voetnootmarkering"/>
        </w:rPr>
        <w:footnoteRef/>
      </w:r>
      <w:r>
        <w:t xml:space="preserve"> HvJ EG</w:t>
      </w:r>
      <w:r w:rsidRPr="009D17A9">
        <w:t>, 12 september 2006, zaak C-196/04 (</w:t>
      </w:r>
      <w:r w:rsidRPr="00D6663E">
        <w:rPr>
          <w:i/>
          <w:iCs/>
        </w:rPr>
        <w:t>Cadbury Schweppes</w:t>
      </w:r>
      <w:r w:rsidRPr="009D17A9">
        <w:t>)</w:t>
      </w:r>
      <w:r>
        <w:t xml:space="preserve">, </w:t>
      </w:r>
      <w:r w:rsidRPr="009D17A9">
        <w:t xml:space="preserve"> </w:t>
      </w:r>
      <w:r>
        <w:t>r.o. 59</w:t>
      </w:r>
    </w:p>
  </w:footnote>
  <w:footnote w:id="232">
    <w:p w:rsidR="00292A58" w:rsidRDefault="00292A58" w:rsidP="00FF4467">
      <w:pPr>
        <w:pStyle w:val="Voetnoottekst"/>
      </w:pPr>
      <w:r>
        <w:rPr>
          <w:rStyle w:val="Voetnootmarkering"/>
        </w:rPr>
        <w:footnoteRef/>
      </w:r>
      <w:r>
        <w:t xml:space="preserve"> Studenten editie Cursus B</w:t>
      </w:r>
      <w:r w:rsidRPr="00651EB1">
        <w:t>elastingrecht</w:t>
      </w:r>
      <w:r>
        <w:t>,</w:t>
      </w:r>
      <w:r w:rsidRPr="00651EB1">
        <w:t xml:space="preserve"> </w:t>
      </w:r>
      <w:r>
        <w:t>“</w:t>
      </w:r>
      <w:r>
        <w:rPr>
          <w:i/>
          <w:iCs/>
        </w:rPr>
        <w:t>Europees B</w:t>
      </w:r>
      <w:r w:rsidRPr="00D6663E">
        <w:rPr>
          <w:i/>
          <w:iCs/>
        </w:rPr>
        <w:t>elastingrecht</w:t>
      </w:r>
      <w:r>
        <w:t>”, 2008-2009, Deventer: Kluwer</w:t>
      </w:r>
      <w:r w:rsidRPr="00153BFD">
        <w:t xml:space="preserve"> </w:t>
      </w:r>
      <w:r>
        <w:t xml:space="preserve">alsmede  Terra B.J.M. </w:t>
      </w:r>
      <w:r w:rsidRPr="00EE3285">
        <w:t>Wattel</w:t>
      </w:r>
      <w:r>
        <w:t xml:space="preserve"> P.J., 2008, “</w:t>
      </w:r>
      <w:r w:rsidRPr="00D6663E">
        <w:rPr>
          <w:i/>
          <w:iCs/>
        </w:rPr>
        <w:t>European Tax Law, student edition</w:t>
      </w:r>
      <w:r>
        <w:t>”, Kluwer</w:t>
      </w:r>
    </w:p>
  </w:footnote>
  <w:footnote w:id="233">
    <w:p w:rsidR="00292A58" w:rsidRDefault="00292A58" w:rsidP="00FF4467">
      <w:pPr>
        <w:pStyle w:val="Voetnoottekst"/>
      </w:pPr>
      <w:r>
        <w:rPr>
          <w:rStyle w:val="Voetnootmarkering"/>
        </w:rPr>
        <w:footnoteRef/>
      </w:r>
      <w:r>
        <w:t xml:space="preserve"> </w:t>
      </w:r>
      <w:r w:rsidRPr="00651EB1">
        <w:t>Studenten editie Cursus belastingrecht</w:t>
      </w:r>
      <w:r>
        <w:t>,</w:t>
      </w:r>
      <w:r w:rsidRPr="00651EB1">
        <w:t xml:space="preserve"> </w:t>
      </w:r>
      <w:r>
        <w:t>“</w:t>
      </w:r>
      <w:r w:rsidRPr="00D6663E">
        <w:rPr>
          <w:i/>
          <w:iCs/>
        </w:rPr>
        <w:t>Europees Belastingrecht</w:t>
      </w:r>
      <w:r>
        <w:t>”, 2008-2009, Deventer: Kluwer</w:t>
      </w:r>
    </w:p>
  </w:footnote>
  <w:footnote w:id="234">
    <w:p w:rsidR="00292A58" w:rsidRDefault="00292A58" w:rsidP="00533614">
      <w:pPr>
        <w:pStyle w:val="Voetnoottekst"/>
      </w:pPr>
      <w:r>
        <w:rPr>
          <w:rStyle w:val="Voetnootmarkering"/>
        </w:rPr>
        <w:footnoteRef/>
      </w:r>
      <w:r>
        <w:t xml:space="preserve"> </w:t>
      </w:r>
      <w:r w:rsidRPr="00BA3E65">
        <w:t>HR, 10 maart 1993</w:t>
      </w:r>
      <w:r>
        <w:t>, BNB</w:t>
      </w:r>
      <w:r w:rsidRPr="008F14CA">
        <w:t xml:space="preserve"> 1993/196</w:t>
      </w:r>
      <w:r>
        <w:t>,</w:t>
      </w:r>
      <w:r w:rsidRPr="008F14CA">
        <w:t xml:space="preserve"> r.o. 3.4.2.</w:t>
      </w:r>
    </w:p>
  </w:footnote>
  <w:footnote w:id="235">
    <w:p w:rsidR="00292A58" w:rsidRDefault="00292A58" w:rsidP="00533614">
      <w:pPr>
        <w:pStyle w:val="Voetnoottekst"/>
      </w:pPr>
      <w:r>
        <w:rPr>
          <w:rStyle w:val="Voetnootmarkering"/>
        </w:rPr>
        <w:footnoteRef/>
      </w:r>
      <w:r>
        <w:t xml:space="preserve"> HvJ EG</w:t>
      </w:r>
      <w:r w:rsidRPr="00410CFE">
        <w:t>, 13 december 2005, zaak C</w:t>
      </w:r>
      <w:r>
        <w:t>-446/03 (</w:t>
      </w:r>
      <w:r w:rsidRPr="00D6663E">
        <w:rPr>
          <w:i/>
          <w:iCs/>
        </w:rPr>
        <w:t>Marks &amp; Spencer</w:t>
      </w:r>
      <w:r>
        <w:t>), HvJ EG, 18 juli 2007, C231/05 (</w:t>
      </w:r>
      <w:r w:rsidRPr="00D6663E">
        <w:rPr>
          <w:i/>
          <w:iCs/>
        </w:rPr>
        <w:t>Oy AA</w:t>
      </w:r>
      <w:r>
        <w:t>)</w:t>
      </w:r>
    </w:p>
  </w:footnote>
  <w:footnote w:id="236">
    <w:p w:rsidR="00292A58" w:rsidRDefault="00292A58">
      <w:pPr>
        <w:pStyle w:val="Voetnoottekst"/>
      </w:pPr>
      <w:r>
        <w:rPr>
          <w:rStyle w:val="Voetnootmarkering"/>
        </w:rPr>
        <w:footnoteRef/>
      </w:r>
      <w:r>
        <w:t xml:space="preserve"> HvJ EG</w:t>
      </w:r>
      <w:r w:rsidRPr="009D17A9">
        <w:t>, 25 februari 2010, zaak C-337/08 (</w:t>
      </w:r>
      <w:r w:rsidRPr="00D6663E">
        <w:rPr>
          <w:i/>
          <w:iCs/>
        </w:rPr>
        <w:t>X Holding BV</w:t>
      </w:r>
      <w:r w:rsidRPr="009D17A9">
        <w:t>)</w:t>
      </w:r>
      <w:r>
        <w:t>, r.o. 35-38</w:t>
      </w:r>
    </w:p>
  </w:footnote>
  <w:footnote w:id="237">
    <w:p w:rsidR="00292A58" w:rsidRDefault="00292A58">
      <w:pPr>
        <w:pStyle w:val="Voetnoottekst"/>
      </w:pPr>
      <w:r>
        <w:rPr>
          <w:rStyle w:val="Voetnootmarkering"/>
        </w:rPr>
        <w:footnoteRef/>
      </w:r>
      <w:r>
        <w:t xml:space="preserve"> Terra B.J.M. </w:t>
      </w:r>
      <w:r w:rsidRPr="00EE3285">
        <w:t>Wattel</w:t>
      </w:r>
      <w:r>
        <w:t xml:space="preserve"> P.J., 2008, “</w:t>
      </w:r>
      <w:r w:rsidRPr="00D6663E">
        <w:rPr>
          <w:i/>
          <w:iCs/>
        </w:rPr>
        <w:t>European Tax Law, student edition</w:t>
      </w:r>
      <w:r>
        <w:t>”, Kluwer</w:t>
      </w:r>
    </w:p>
  </w:footnote>
  <w:footnote w:id="238">
    <w:p w:rsidR="00292A58" w:rsidRDefault="00292A58">
      <w:pPr>
        <w:pStyle w:val="Voetnoottekst"/>
      </w:pPr>
      <w:r>
        <w:rPr>
          <w:rStyle w:val="Voetnootmarkering"/>
        </w:rPr>
        <w:footnoteRef/>
      </w:r>
      <w:r>
        <w:t xml:space="preserve"> HvJ EG</w:t>
      </w:r>
      <w:r w:rsidRPr="009D17A9">
        <w:t>, 25 februari 2010, zaak C-337/08 (</w:t>
      </w:r>
      <w:r w:rsidRPr="00D6663E">
        <w:rPr>
          <w:i/>
          <w:iCs/>
        </w:rPr>
        <w:t>X Holding BV</w:t>
      </w:r>
      <w:r w:rsidRPr="009D17A9">
        <w:t>)</w:t>
      </w:r>
      <w:r>
        <w:t>, r.o. 33</w:t>
      </w:r>
    </w:p>
  </w:footnote>
  <w:footnote w:id="239">
    <w:p w:rsidR="00292A58" w:rsidRDefault="00292A58" w:rsidP="00533614">
      <w:pPr>
        <w:pStyle w:val="Voetnoottekst"/>
      </w:pPr>
      <w:r>
        <w:rPr>
          <w:rStyle w:val="Voetnootmarkering"/>
        </w:rPr>
        <w:footnoteRef/>
      </w:r>
      <w:r>
        <w:t xml:space="preserve"> HvJ EG, 15 mei 2008, zaak C-414/06 (</w:t>
      </w:r>
      <w:r w:rsidRPr="00D6663E">
        <w:rPr>
          <w:i/>
          <w:iCs/>
        </w:rPr>
        <w:t>Lidl Belgium</w:t>
      </w:r>
      <w:r>
        <w:t>) alsmede HvJ EG</w:t>
      </w:r>
      <w:r w:rsidRPr="00410CFE">
        <w:t>, 13 december 2005, zaak C</w:t>
      </w:r>
      <w:r>
        <w:t>-446/03 (</w:t>
      </w:r>
      <w:r w:rsidRPr="00D6663E">
        <w:rPr>
          <w:i/>
          <w:iCs/>
        </w:rPr>
        <w:t>Marks &amp; Spencer</w:t>
      </w:r>
      <w:r>
        <w:t xml:space="preserve">), </w:t>
      </w:r>
      <w:r w:rsidRPr="001911CE">
        <w:t xml:space="preserve">VS 08 </w:t>
      </w:r>
      <w:r w:rsidRPr="001911CE">
        <w:rPr>
          <w:i/>
        </w:rPr>
        <w:t>Nederlands Internationaal Belastingrecht</w:t>
      </w:r>
    </w:p>
  </w:footnote>
  <w:footnote w:id="240">
    <w:p w:rsidR="00292A58" w:rsidRDefault="00292A58" w:rsidP="00533614">
      <w:pPr>
        <w:pStyle w:val="Voetnoottekst"/>
      </w:pPr>
      <w:r>
        <w:rPr>
          <w:rStyle w:val="Voetnootmarkering"/>
        </w:rPr>
        <w:footnoteRef/>
      </w:r>
      <w:r>
        <w:t xml:space="preserve">  HvJ EG</w:t>
      </w:r>
      <w:r w:rsidRPr="00410CFE">
        <w:t>, 13 december 2005, zaak C</w:t>
      </w:r>
      <w:r>
        <w:t>-446/03 (</w:t>
      </w:r>
      <w:r w:rsidRPr="00410CFE">
        <w:t>Marks &amp; Spencer</w:t>
      </w:r>
      <w:r>
        <w:t>), r</w:t>
      </w:r>
      <w:r w:rsidRPr="00651EB1">
        <w:t>.o. 4</w:t>
      </w:r>
    </w:p>
  </w:footnote>
  <w:footnote w:id="241">
    <w:p w:rsidR="00292A58" w:rsidRDefault="00292A58" w:rsidP="004860EF">
      <w:pPr>
        <w:pStyle w:val="Voetnoottekst"/>
      </w:pPr>
      <w:r>
        <w:rPr>
          <w:rStyle w:val="Voetnootmarkering"/>
        </w:rPr>
        <w:footnoteRef/>
      </w:r>
      <w:r>
        <w:t xml:space="preserve">  S.C.W. Douma, “</w:t>
      </w:r>
      <w:r w:rsidRPr="00D6663E">
        <w:rPr>
          <w:i/>
          <w:iCs/>
        </w:rPr>
        <w:t>Het evenredigheidsbeginsel structo sensu als belangenafweging tussen nationale fiscale soevereiniteit en vrij verkeer</w:t>
      </w:r>
      <w:r>
        <w:t>”, WFR</w:t>
      </w:r>
      <w:r w:rsidRPr="00896172">
        <w:t xml:space="preserve"> 2007/247</w:t>
      </w:r>
      <w:r>
        <w:t>, Cursus belastingrecht, “</w:t>
      </w:r>
      <w:r w:rsidRPr="000A2A2A">
        <w:rPr>
          <w:i/>
          <w:iCs/>
        </w:rPr>
        <w:t>Europees Belastingrecht</w:t>
      </w:r>
      <w:r>
        <w:t>”, losbandige editie</w:t>
      </w:r>
    </w:p>
  </w:footnote>
  <w:footnote w:id="242">
    <w:p w:rsidR="00292A58" w:rsidRDefault="00292A58" w:rsidP="00013654">
      <w:pPr>
        <w:pStyle w:val="Voetnoottekst"/>
      </w:pPr>
      <w:r w:rsidRPr="00292A58">
        <w:rPr>
          <w:rStyle w:val="Voetnootmarkering"/>
        </w:rPr>
        <w:footnoteRef/>
      </w:r>
      <w:r w:rsidRPr="00292A58">
        <w:t xml:space="preserve"> Cursus belastingrecht, “</w:t>
      </w:r>
      <w:r w:rsidRPr="00292A58">
        <w:rPr>
          <w:i/>
          <w:iCs/>
        </w:rPr>
        <w:t>Europees Belastingrecht</w:t>
      </w:r>
      <w:r w:rsidRPr="00292A58">
        <w:t>”, losbandige editie, onderdeel 5.1.7.</w:t>
      </w:r>
    </w:p>
  </w:footnote>
  <w:footnote w:id="243">
    <w:p w:rsidR="00292A58" w:rsidRDefault="00292A58">
      <w:pPr>
        <w:pStyle w:val="Voetnoottekst"/>
      </w:pPr>
      <w:r>
        <w:rPr>
          <w:rStyle w:val="Voetnootmarkering"/>
        </w:rPr>
        <w:footnoteRef/>
      </w:r>
      <w:r w:rsidRPr="00EC18F1">
        <w:rPr>
          <w:lang w:val="de-DE"/>
        </w:rPr>
        <w:t xml:space="preserve"> HR, 23 januari 2004, BNB 2004/142</w:t>
      </w:r>
      <w:r>
        <w:rPr>
          <w:lang w:val="de-DE"/>
        </w:rPr>
        <w:t xml:space="preserve">, </w:t>
      </w:r>
      <w:r>
        <w:t>J. van Strien, “</w:t>
      </w:r>
      <w:r w:rsidRPr="009B211A">
        <w:rPr>
          <w:i/>
          <w:iCs/>
        </w:rPr>
        <w:t>Renteaftrekbeperkingen in de vennootschapsbelasting</w:t>
      </w:r>
      <w:r>
        <w:t>”, fiscale monografien nr. 119, Deventer: Kluwer, 2008, blz. 330</w:t>
      </w:r>
    </w:p>
  </w:footnote>
  <w:footnote w:id="244">
    <w:p w:rsidR="00292A58" w:rsidRDefault="00292A58" w:rsidP="00013654">
      <w:pPr>
        <w:pStyle w:val="Voetnoottekst"/>
      </w:pPr>
      <w:r>
        <w:rPr>
          <w:rStyle w:val="Voetnootmarkering"/>
        </w:rPr>
        <w:footnoteRef/>
      </w:r>
      <w:r w:rsidRPr="00EC18F1">
        <w:rPr>
          <w:lang w:val="de-DE"/>
        </w:rPr>
        <w:t xml:space="preserve"> Art. 2:24b BW</w:t>
      </w:r>
    </w:p>
  </w:footnote>
  <w:footnote w:id="245">
    <w:p w:rsidR="00292A58" w:rsidRDefault="00292A58">
      <w:pPr>
        <w:pStyle w:val="Voetnoottekst"/>
      </w:pPr>
      <w:r>
        <w:rPr>
          <w:rStyle w:val="Voetnootmarkering"/>
        </w:rPr>
        <w:footnoteRef/>
      </w:r>
      <w:r w:rsidRPr="00083D01">
        <w:t xml:space="preserve"> </w:t>
      </w:r>
      <w:r>
        <w:t>R.J. de Vries, “</w:t>
      </w:r>
      <w:r w:rsidRPr="00C523D1">
        <w:rPr>
          <w:i/>
          <w:iCs/>
        </w:rPr>
        <w:t>Kwaliteit van fiscale rechtsvinding en fiscale regelgeving</w:t>
      </w:r>
      <w:r>
        <w:t xml:space="preserve">”, </w:t>
      </w:r>
      <w:r w:rsidRPr="00083D01">
        <w:t>WFR 2010/114</w:t>
      </w:r>
    </w:p>
  </w:footnote>
  <w:footnote w:id="246">
    <w:p w:rsidR="00292A58" w:rsidRDefault="00292A58">
      <w:pPr>
        <w:pStyle w:val="Voetnoottekst"/>
      </w:pPr>
      <w:r>
        <w:rPr>
          <w:rStyle w:val="Voetnootmarkering"/>
        </w:rPr>
        <w:footnoteRef/>
      </w:r>
      <w:r w:rsidRPr="00DF14CE">
        <w:rPr>
          <w:lang w:val="en-US"/>
        </w:rPr>
        <w:t xml:space="preserve"> </w:t>
      </w:r>
      <w:r>
        <w:rPr>
          <w:lang w:val="en-US"/>
        </w:rPr>
        <w:t>HvJ EG, 13 maart 2007, zaak C-524/04 (</w:t>
      </w:r>
      <w:r w:rsidRPr="00C523D1">
        <w:rPr>
          <w:i/>
          <w:iCs/>
          <w:lang w:val="en-US"/>
        </w:rPr>
        <w:t xml:space="preserve">Test Claimants in the Thin Cap </w:t>
      </w:r>
      <w:r>
        <w:rPr>
          <w:i/>
          <w:iCs/>
          <w:lang w:val="en-US"/>
        </w:rPr>
        <w:t>GLO</w:t>
      </w:r>
      <w:r>
        <w:rPr>
          <w:lang w:val="en-US"/>
        </w:rPr>
        <w:t>)</w:t>
      </w:r>
    </w:p>
  </w:footnote>
  <w:footnote w:id="247">
    <w:p w:rsidR="00292A58" w:rsidRDefault="00292A58">
      <w:pPr>
        <w:pStyle w:val="Voetnoottekst"/>
      </w:pPr>
      <w:r>
        <w:rPr>
          <w:rStyle w:val="Voetnootmarkering"/>
        </w:rPr>
        <w:footnoteRef/>
      </w:r>
      <w:r w:rsidRPr="00083D01">
        <w:t xml:space="preserve"> </w:t>
      </w:r>
      <w:r>
        <w:t>HvJ EG</w:t>
      </w:r>
      <w:r w:rsidRPr="00083D01">
        <w:t>, 21 februari 2006, zaak C-255/02 (</w:t>
      </w:r>
      <w:r w:rsidRPr="00C523D1">
        <w:rPr>
          <w:i/>
          <w:iCs/>
        </w:rPr>
        <w:t>Halifax</w:t>
      </w:r>
      <w:r w:rsidRPr="00083D01">
        <w:t>),  r.o. 94</w:t>
      </w:r>
    </w:p>
  </w:footnote>
  <w:footnote w:id="248">
    <w:p w:rsidR="00292A58" w:rsidRDefault="00292A58">
      <w:pPr>
        <w:pStyle w:val="Voetnoottekst"/>
      </w:pPr>
      <w:r>
        <w:rPr>
          <w:rStyle w:val="Voetnootmarkering"/>
        </w:rPr>
        <w:footnoteRef/>
      </w:r>
      <w:r w:rsidRPr="00083D01">
        <w:t xml:space="preserve"> </w:t>
      </w:r>
      <w:r>
        <w:t>HvJ EG</w:t>
      </w:r>
      <w:r w:rsidRPr="00083D01">
        <w:t xml:space="preserve">, 7 september 2007, zaak C-470/04 </w:t>
      </w:r>
      <w:r>
        <w:t>(</w:t>
      </w:r>
      <w:r w:rsidRPr="00C523D1">
        <w:rPr>
          <w:i/>
          <w:iCs/>
        </w:rPr>
        <w:t>N. vs. Inspecteur</w:t>
      </w:r>
      <w:r>
        <w:t>),</w:t>
      </w:r>
      <w:r w:rsidRPr="00083D01">
        <w:t xml:space="preserve"> </w:t>
      </w:r>
      <w:r>
        <w:t>r</w:t>
      </w:r>
      <w:r w:rsidRPr="00441B50">
        <w:t>.o. 27</w:t>
      </w:r>
    </w:p>
  </w:footnote>
  <w:footnote w:id="249">
    <w:p w:rsidR="00292A58" w:rsidRDefault="00292A58">
      <w:pPr>
        <w:pStyle w:val="Voetnoottekst"/>
      </w:pPr>
      <w:r>
        <w:rPr>
          <w:rStyle w:val="Voetnootmarkering"/>
        </w:rPr>
        <w:footnoteRef/>
      </w:r>
      <w:r>
        <w:t xml:space="preserve"> In g</w:t>
      </w:r>
      <w:r w:rsidRPr="00083E5B">
        <w:t xml:space="preserve">elijke zin </w:t>
      </w:r>
      <w:r>
        <w:t>HvJ EG, 16 juli 1998, zaak C-264/96 (</w:t>
      </w:r>
      <w:r w:rsidRPr="00C523D1">
        <w:rPr>
          <w:i/>
          <w:iCs/>
        </w:rPr>
        <w:t>ICI</w:t>
      </w:r>
      <w:r>
        <w:t>), HvJ EG, 26 oktober 1999, zaak C-294/97 (</w:t>
      </w:r>
      <w:r w:rsidRPr="00C523D1">
        <w:rPr>
          <w:i/>
          <w:iCs/>
        </w:rPr>
        <w:t>Eurowings Luftverkehr</w:t>
      </w:r>
      <w:r>
        <w:t xml:space="preserve">) alsmede </w:t>
      </w:r>
      <w:r w:rsidRPr="001E7CE8">
        <w:t xml:space="preserve">D.M. Weber, 2003, </w:t>
      </w:r>
      <w:r>
        <w:t>“</w:t>
      </w:r>
      <w:r w:rsidRPr="00C523D1">
        <w:rPr>
          <w:i/>
          <w:iCs/>
        </w:rPr>
        <w:t>Belastingontwijking en de EG verdragsvrijheden (een onderzoek naar de Europeesrechtelijke grenzen van belastingontwijking</w:t>
      </w:r>
      <w:r w:rsidRPr="00C523D1">
        <w:t>)”,</w:t>
      </w:r>
      <w:r>
        <w:t xml:space="preserve"> Fiscale monografieën nr. 105, Deventer: Kluwer, blz. 159 betreffende het principe van </w:t>
      </w:r>
      <w:r w:rsidRPr="00083E5B">
        <w:t xml:space="preserve">wederzijdse erkenning </w:t>
      </w:r>
      <w:r>
        <w:t>inzake belastingheffing</w:t>
      </w:r>
      <w:r w:rsidRPr="00083E5B">
        <w:t xml:space="preserve"> </w:t>
      </w:r>
    </w:p>
  </w:footnote>
  <w:footnote w:id="250">
    <w:p w:rsidR="00292A58" w:rsidRPr="00C24922" w:rsidRDefault="00292A58" w:rsidP="001E00C4">
      <w:pPr>
        <w:pStyle w:val="Voetnoottekst"/>
        <w:rPr>
          <w:sz w:val="24"/>
          <w:szCs w:val="24"/>
        </w:rPr>
      </w:pPr>
      <w:r>
        <w:rPr>
          <w:rStyle w:val="Voetnootmarkering"/>
        </w:rPr>
        <w:footnoteRef/>
      </w:r>
      <w:r>
        <w:t xml:space="preserve"> </w:t>
      </w:r>
      <w:r w:rsidRPr="001E00C4">
        <w:rPr>
          <w:szCs w:val="24"/>
        </w:rPr>
        <w:t xml:space="preserve">O.C.R. Marres, </w:t>
      </w:r>
      <w:r>
        <w:rPr>
          <w:szCs w:val="24"/>
        </w:rPr>
        <w:t>“</w:t>
      </w:r>
      <w:r w:rsidRPr="001E00C4">
        <w:rPr>
          <w:i/>
          <w:szCs w:val="24"/>
        </w:rPr>
        <w:t>Winstdrainage door Renteaftrek (beoordeling van artikel 10a Wet op de vennootschapsbelasting</w:t>
      </w:r>
      <w:r>
        <w:rPr>
          <w:iCs/>
          <w:szCs w:val="24"/>
        </w:rPr>
        <w:t>)”</w:t>
      </w:r>
      <w:r w:rsidRPr="001E00C4">
        <w:rPr>
          <w:i/>
          <w:szCs w:val="24"/>
        </w:rPr>
        <w:t>,</w:t>
      </w:r>
      <w:r w:rsidRPr="001E00C4">
        <w:rPr>
          <w:szCs w:val="24"/>
        </w:rPr>
        <w:t xml:space="preserve"> Fiscale Monografieën nr. 113,  Deventer: Kluwer 2005, </w:t>
      </w:r>
      <w:r>
        <w:rPr>
          <w:szCs w:val="24"/>
        </w:rPr>
        <w:t>blz.</w:t>
      </w:r>
      <w:r w:rsidRPr="001E00C4">
        <w:rPr>
          <w:szCs w:val="24"/>
        </w:rPr>
        <w:t xml:space="preserve"> 259</w:t>
      </w:r>
      <w:r>
        <w:rPr>
          <w:sz w:val="24"/>
          <w:szCs w:val="24"/>
        </w:rPr>
        <w:t xml:space="preserve"> </w:t>
      </w:r>
    </w:p>
  </w:footnote>
  <w:footnote w:id="251">
    <w:p w:rsidR="00292A58" w:rsidRDefault="00292A58">
      <w:pPr>
        <w:pStyle w:val="Voetnoottekst"/>
      </w:pPr>
      <w:r>
        <w:rPr>
          <w:rStyle w:val="Voetnootmarkering"/>
        </w:rPr>
        <w:footnoteRef/>
      </w:r>
      <w:r>
        <w:t xml:space="preserve"> HvJ EG, 26 oktober 1999, zaak C-294/97 (</w:t>
      </w:r>
      <w:r w:rsidRPr="00C523D1">
        <w:rPr>
          <w:i/>
          <w:iCs/>
        </w:rPr>
        <w:t>Eurowings Luftverkehr</w:t>
      </w:r>
      <w:r>
        <w:t xml:space="preserve">) r.o. 40 </w:t>
      </w:r>
    </w:p>
  </w:footnote>
  <w:footnote w:id="252">
    <w:p w:rsidR="00292A58" w:rsidRDefault="00292A58" w:rsidP="00DA21D3">
      <w:pPr>
        <w:pStyle w:val="Voetnoottekst"/>
      </w:pPr>
      <w:r>
        <w:rPr>
          <w:rStyle w:val="Voetnootmarkering"/>
        </w:rPr>
        <w:footnoteRef/>
      </w:r>
      <w:r w:rsidRPr="0084297E">
        <w:t xml:space="preserve"> </w:t>
      </w:r>
      <w:r>
        <w:t>HvJ EG, 14 december 2000, zaak C-110/99 (</w:t>
      </w:r>
      <w:r w:rsidRPr="00C523D1">
        <w:rPr>
          <w:i/>
          <w:iCs/>
        </w:rPr>
        <w:t>Emsland Starke</w:t>
      </w:r>
      <w:r>
        <w:t xml:space="preserve">), </w:t>
      </w:r>
      <w:r w:rsidRPr="0084297E">
        <w:t>r.o. 54</w:t>
      </w:r>
      <w:r>
        <w:t xml:space="preserve"> alsmede Cursus belastingrecht, “</w:t>
      </w:r>
      <w:r w:rsidRPr="00C523D1">
        <w:rPr>
          <w:i/>
          <w:iCs/>
        </w:rPr>
        <w:t>Europees Belastingrecht</w:t>
      </w:r>
      <w:r>
        <w:t>”, losbandige editie, onderdeel 5.1.7</w:t>
      </w:r>
    </w:p>
  </w:footnote>
  <w:footnote w:id="253">
    <w:p w:rsidR="00292A58" w:rsidRDefault="00292A58" w:rsidP="00DA21D3">
      <w:pPr>
        <w:pStyle w:val="Voetnoottekst"/>
      </w:pPr>
      <w:r>
        <w:rPr>
          <w:rStyle w:val="Voetnootmarkering"/>
        </w:rPr>
        <w:footnoteRef/>
      </w:r>
      <w:r w:rsidRPr="0084297E">
        <w:t xml:space="preserve"> </w:t>
      </w:r>
      <w:r w:rsidRPr="001E7CE8">
        <w:t xml:space="preserve">D.M. Weber, 2003, </w:t>
      </w:r>
      <w:r>
        <w:t>“</w:t>
      </w:r>
      <w:r w:rsidRPr="00C523D1">
        <w:rPr>
          <w:i/>
          <w:iCs/>
        </w:rPr>
        <w:t>Belastingontwijking en de EG verdragsvrijheden (een onderzoek naar de Europeesrechtelijke grenzen van belastingontwijking)</w:t>
      </w:r>
      <w:r>
        <w:t xml:space="preserve">”, Fiscale monografieën nr. 105, Deventer: Kluwer, B. </w:t>
      </w:r>
      <w:r w:rsidRPr="00766A77">
        <w:t xml:space="preserve">Kiekebeld en </w:t>
      </w:r>
      <w:r>
        <w:t xml:space="preserve">A. van </w:t>
      </w:r>
      <w:r w:rsidRPr="00766A77">
        <w:t>Eijsden,</w:t>
      </w:r>
      <w:r>
        <w:t xml:space="preserve"> “</w:t>
      </w:r>
      <w:r w:rsidRPr="00C523D1">
        <w:rPr>
          <w:i/>
          <w:iCs/>
        </w:rPr>
        <w:t>Nederlands belastingrecht in Europees perspectief</w:t>
      </w:r>
      <w:r>
        <w:t>”, Deventer: Kluwer, 2009</w:t>
      </w:r>
    </w:p>
  </w:footnote>
  <w:footnote w:id="254">
    <w:p w:rsidR="00292A58" w:rsidRDefault="00292A58">
      <w:pPr>
        <w:pStyle w:val="Voetnoottekst"/>
      </w:pPr>
      <w:r>
        <w:rPr>
          <w:rStyle w:val="Voetnootmarkering"/>
        </w:rPr>
        <w:footnoteRef/>
      </w:r>
      <w:r>
        <w:t xml:space="preserve"> </w:t>
      </w:r>
      <w:r w:rsidRPr="001E7CE8">
        <w:t xml:space="preserve">D.M. Weber, 2003, </w:t>
      </w:r>
      <w:r>
        <w:t>“</w:t>
      </w:r>
      <w:r w:rsidRPr="00C523D1">
        <w:rPr>
          <w:i/>
          <w:iCs/>
        </w:rPr>
        <w:t>Belastingontwijking en de EG verdragsvrijheden (een onderzoek naar de Europeesrechtelijke grenzen van belastingontwijking)</w:t>
      </w:r>
      <w:r>
        <w:t>”, Fiscale monografieën nr. 105, Deventer: Kluwer, blz. 232</w:t>
      </w:r>
    </w:p>
  </w:footnote>
  <w:footnote w:id="255">
    <w:p w:rsidR="00292A58" w:rsidRDefault="00292A58" w:rsidP="00292A58">
      <w:pPr>
        <w:pStyle w:val="Voetnoottekst"/>
      </w:pPr>
      <w:r>
        <w:rPr>
          <w:rStyle w:val="Voetnootmarkering"/>
        </w:rPr>
        <w:footnoteRef/>
      </w:r>
      <w:r w:rsidRPr="00637C9E">
        <w:t xml:space="preserve"> </w:t>
      </w:r>
      <w:r>
        <w:t>HvJ EG</w:t>
      </w:r>
      <w:r w:rsidRPr="00637C9E">
        <w:t>,</w:t>
      </w:r>
      <w:r>
        <w:t xml:space="preserve"> 27 februari 1980, zaak 68/79 (</w:t>
      </w:r>
      <w:r w:rsidRPr="00C523D1">
        <w:rPr>
          <w:i/>
          <w:iCs/>
        </w:rPr>
        <w:t>Just</w:t>
      </w:r>
      <w:r w:rsidRPr="00637C9E">
        <w:t xml:space="preserve">), </w:t>
      </w:r>
      <w:r>
        <w:t>HvJ EG, 8 februari 1996, zaak C-212/96 (</w:t>
      </w:r>
      <w:r w:rsidRPr="00C523D1">
        <w:rPr>
          <w:i/>
          <w:iCs/>
        </w:rPr>
        <w:t>FMC</w:t>
      </w:r>
      <w:r>
        <w:t>)</w:t>
      </w:r>
      <w:r w:rsidRPr="00637C9E">
        <w:t xml:space="preserve">, </w:t>
      </w:r>
      <w:r>
        <w:t>HvJ EG, 15 mei 1986, zaak 222/84 (</w:t>
      </w:r>
      <w:r w:rsidRPr="00C523D1">
        <w:rPr>
          <w:i/>
          <w:iCs/>
        </w:rPr>
        <w:t>Johnston</w:t>
      </w:r>
      <w:r>
        <w:t>) alsmede HvJ EG, 21 september 1983, zaak 205 tot 215/82 (</w:t>
      </w:r>
      <w:r w:rsidRPr="00C523D1">
        <w:rPr>
          <w:i/>
          <w:iCs/>
        </w:rPr>
        <w:t>Deutsche Milchkontor</w:t>
      </w:r>
      <w:r>
        <w:t>)</w:t>
      </w:r>
    </w:p>
  </w:footnote>
  <w:footnote w:id="256">
    <w:p w:rsidR="00292A58" w:rsidRDefault="00292A58" w:rsidP="00DA21D3">
      <w:pPr>
        <w:pStyle w:val="Voetnoottekst"/>
      </w:pPr>
      <w:r>
        <w:rPr>
          <w:rStyle w:val="Voetnootmarkering"/>
        </w:rPr>
        <w:footnoteRef/>
      </w:r>
      <w:r w:rsidRPr="00D87E64">
        <w:t xml:space="preserve"> </w:t>
      </w:r>
      <w:r>
        <w:t>HvJ EG</w:t>
      </w:r>
      <w:r w:rsidRPr="00D87E64">
        <w:t>, 29 april 2004, zaak C-224/02 (</w:t>
      </w:r>
      <w:r w:rsidRPr="00C523D1">
        <w:rPr>
          <w:i/>
          <w:iCs/>
        </w:rPr>
        <w:t>Pusa</w:t>
      </w:r>
      <w:r w:rsidRPr="00D87E64">
        <w:t>)</w:t>
      </w:r>
    </w:p>
  </w:footnote>
  <w:footnote w:id="257">
    <w:p w:rsidR="00292A58" w:rsidRDefault="00292A58" w:rsidP="00DA21D3">
      <w:pPr>
        <w:pStyle w:val="Voetnoottekst"/>
      </w:pPr>
      <w:r>
        <w:rPr>
          <w:rStyle w:val="Voetnootmarkering"/>
        </w:rPr>
        <w:footnoteRef/>
      </w:r>
      <w:r>
        <w:t xml:space="preserve"> HvJ EG, 21 september 1999, zaak C-441/98 (</w:t>
      </w:r>
      <w:r w:rsidRPr="00C523D1">
        <w:rPr>
          <w:i/>
          <w:iCs/>
        </w:rPr>
        <w:t>Kapniki Michailidis</w:t>
      </w:r>
      <w:r>
        <w:t>)</w:t>
      </w:r>
    </w:p>
  </w:footnote>
  <w:footnote w:id="258">
    <w:p w:rsidR="00292A58" w:rsidRDefault="00292A58" w:rsidP="00DA21D3">
      <w:pPr>
        <w:pStyle w:val="Voetnoottekst"/>
      </w:pPr>
      <w:r>
        <w:rPr>
          <w:rStyle w:val="Voetnootmarkering"/>
        </w:rPr>
        <w:footnoteRef/>
      </w:r>
      <w:r>
        <w:t xml:space="preserve"> HvJ EG, 21 september 1983, zaak 205 tot 215/82 (</w:t>
      </w:r>
      <w:r w:rsidRPr="00C523D1">
        <w:rPr>
          <w:i/>
          <w:iCs/>
        </w:rPr>
        <w:t>Deutsche Milchkontor</w:t>
      </w:r>
      <w:r>
        <w:t>), r.o. 19</w:t>
      </w:r>
    </w:p>
  </w:footnote>
  <w:footnote w:id="259">
    <w:p w:rsidR="00292A58" w:rsidRDefault="00292A58" w:rsidP="00DA21D3">
      <w:pPr>
        <w:pStyle w:val="Voetnoottekst"/>
      </w:pPr>
      <w:r>
        <w:rPr>
          <w:rStyle w:val="Voetnootmarkering"/>
        </w:rPr>
        <w:footnoteRef/>
      </w:r>
      <w:r>
        <w:t xml:space="preserve"> HvJ EG</w:t>
      </w:r>
      <w:r w:rsidRPr="00D87E64">
        <w:t>, 29 april 2004, zaak C-224/02 (</w:t>
      </w:r>
      <w:r w:rsidRPr="00C523D1">
        <w:rPr>
          <w:i/>
          <w:iCs/>
        </w:rPr>
        <w:t>Pusa</w:t>
      </w:r>
      <w:r w:rsidRPr="00D87E64">
        <w:t>)</w:t>
      </w:r>
    </w:p>
  </w:footnote>
  <w:footnote w:id="260">
    <w:p w:rsidR="00292A58" w:rsidRDefault="00292A58">
      <w:pPr>
        <w:pStyle w:val="Voetnoottekst"/>
      </w:pPr>
      <w:r>
        <w:rPr>
          <w:rStyle w:val="Voetnootmarkering"/>
        </w:rPr>
        <w:footnoteRef/>
      </w:r>
      <w:r>
        <w:t xml:space="preserve"> HvJ EG 10 februari 2011, zaak C-436/08 en C-437/08 (Haribo)</w:t>
      </w:r>
    </w:p>
  </w:footnote>
  <w:footnote w:id="261">
    <w:p w:rsidR="00292A58" w:rsidRDefault="00292A58" w:rsidP="0055636A">
      <w:pPr>
        <w:pStyle w:val="Voetnoottekst"/>
      </w:pPr>
      <w:r>
        <w:rPr>
          <w:rStyle w:val="Voetnootmarkering"/>
        </w:rPr>
        <w:footnoteRef/>
      </w:r>
      <w:r>
        <w:t xml:space="preserve"> Cursus belastingrecht, “</w:t>
      </w:r>
      <w:r w:rsidRPr="00C523D1">
        <w:rPr>
          <w:i/>
          <w:iCs/>
        </w:rPr>
        <w:t>Europees Belastingrecht</w:t>
      </w:r>
      <w:r>
        <w:t>”, losbandige editie, onderdeel 5.1.7</w:t>
      </w:r>
    </w:p>
  </w:footnote>
  <w:footnote w:id="262">
    <w:p w:rsidR="00292A58" w:rsidRDefault="00292A58">
      <w:pPr>
        <w:pStyle w:val="Voetnoottekst"/>
      </w:pPr>
      <w:r>
        <w:rPr>
          <w:rStyle w:val="Voetnootmarkering"/>
        </w:rPr>
        <w:footnoteRef/>
      </w:r>
      <w:r>
        <w:t xml:space="preserve"> J. van Strien, “</w:t>
      </w:r>
      <w:r w:rsidRPr="009B211A">
        <w:rPr>
          <w:i/>
          <w:iCs/>
        </w:rPr>
        <w:t>Renteaftrekbeperkingen in de vennootschapsbelasting</w:t>
      </w:r>
      <w:r>
        <w:t>”, fiscale monografien nr. 119, Deventer: Kluwer, 2008, blz. 335</w:t>
      </w:r>
    </w:p>
  </w:footnote>
  <w:footnote w:id="263">
    <w:p w:rsidR="00292A58" w:rsidRPr="004B6166" w:rsidRDefault="00292A58">
      <w:pPr>
        <w:pStyle w:val="Voetnoottekst"/>
        <w:rPr>
          <w:sz w:val="24"/>
          <w:szCs w:val="24"/>
        </w:rPr>
      </w:pPr>
      <w:r>
        <w:rPr>
          <w:rStyle w:val="Voetnootmarkering"/>
        </w:rPr>
        <w:footnoteRef/>
      </w:r>
      <w:r>
        <w:t xml:space="preserve"> </w:t>
      </w:r>
      <w:r w:rsidRPr="001E00C4">
        <w:rPr>
          <w:szCs w:val="24"/>
        </w:rPr>
        <w:t xml:space="preserve">O.C.R. Marres, </w:t>
      </w:r>
      <w:r>
        <w:rPr>
          <w:szCs w:val="24"/>
        </w:rPr>
        <w:t>“</w:t>
      </w:r>
      <w:r w:rsidRPr="001E00C4">
        <w:rPr>
          <w:i/>
          <w:szCs w:val="24"/>
        </w:rPr>
        <w:t>Winstdrainage door Renteaftrek (beoordeling van artikel 10a Wet op de vennootschapsbelasting</w:t>
      </w:r>
      <w:r>
        <w:rPr>
          <w:iCs/>
          <w:szCs w:val="24"/>
        </w:rPr>
        <w:t>)”</w:t>
      </w:r>
      <w:r w:rsidRPr="001E00C4">
        <w:rPr>
          <w:i/>
          <w:szCs w:val="24"/>
        </w:rPr>
        <w:t>,</w:t>
      </w:r>
      <w:r w:rsidRPr="001E00C4">
        <w:rPr>
          <w:szCs w:val="24"/>
        </w:rPr>
        <w:t xml:space="preserve"> Fiscale Monografieën nr. 113,  Deventer: Kluwer 2005, </w:t>
      </w:r>
      <w:r>
        <w:rPr>
          <w:szCs w:val="24"/>
        </w:rPr>
        <w:t>blz.</w:t>
      </w:r>
      <w:r w:rsidRPr="001E00C4">
        <w:rPr>
          <w:szCs w:val="24"/>
        </w:rPr>
        <w:t xml:space="preserve"> 259</w:t>
      </w:r>
      <w:r>
        <w:rPr>
          <w:sz w:val="24"/>
          <w:szCs w:val="24"/>
        </w:rPr>
        <w:t xml:space="preserve"> </w:t>
      </w:r>
    </w:p>
  </w:footnote>
  <w:footnote w:id="264">
    <w:p w:rsidR="00292A58" w:rsidRDefault="00292A58" w:rsidP="006609AF">
      <w:pPr>
        <w:tabs>
          <w:tab w:val="center" w:pos="4680"/>
        </w:tabs>
      </w:pPr>
      <w:r>
        <w:rPr>
          <w:rStyle w:val="Voetnootmarkering"/>
        </w:rPr>
        <w:footnoteRef/>
      </w:r>
      <w:r w:rsidRPr="006609AF">
        <w:t xml:space="preserve"> </w:t>
      </w:r>
      <w:r w:rsidRPr="006609AF">
        <w:rPr>
          <w:sz w:val="20"/>
          <w:szCs w:val="20"/>
        </w:rPr>
        <w:t xml:space="preserve">Cursus Belastingrecht, </w:t>
      </w:r>
      <w:r>
        <w:rPr>
          <w:sz w:val="20"/>
          <w:szCs w:val="20"/>
        </w:rPr>
        <w:t>“</w:t>
      </w:r>
      <w:r w:rsidRPr="006609AF">
        <w:rPr>
          <w:i/>
          <w:iCs/>
          <w:sz w:val="20"/>
          <w:szCs w:val="20"/>
        </w:rPr>
        <w:t>Europees Belastingrecht</w:t>
      </w:r>
      <w:r>
        <w:rPr>
          <w:sz w:val="20"/>
          <w:szCs w:val="20"/>
        </w:rPr>
        <w:t>”,</w:t>
      </w:r>
      <w:r w:rsidRPr="006609AF">
        <w:rPr>
          <w:i/>
          <w:iCs/>
          <w:sz w:val="20"/>
          <w:szCs w:val="20"/>
        </w:rPr>
        <w:t xml:space="preserve"> </w:t>
      </w:r>
      <w:r w:rsidRPr="00C523D1">
        <w:rPr>
          <w:sz w:val="20"/>
          <w:szCs w:val="20"/>
        </w:rPr>
        <w:t>losbandige editie</w:t>
      </w:r>
    </w:p>
  </w:footnote>
  <w:footnote w:id="265">
    <w:p w:rsidR="00292A58" w:rsidRDefault="00292A58" w:rsidP="00914B96">
      <w:pPr>
        <w:pStyle w:val="Voetnoottekst"/>
      </w:pPr>
      <w:r>
        <w:rPr>
          <w:rStyle w:val="Voetnootmarkering"/>
        </w:rPr>
        <w:footnoteRef/>
      </w:r>
      <w:r w:rsidRPr="00B831A9">
        <w:rPr>
          <w:lang w:val="en-US"/>
        </w:rPr>
        <w:t xml:space="preserve"> </w:t>
      </w:r>
      <w:r>
        <w:rPr>
          <w:lang w:val="en-US"/>
        </w:rPr>
        <w:t>HvJ EG, 13 maart 2007, zaak C-524/04 (</w:t>
      </w:r>
      <w:r w:rsidRPr="00C523D1">
        <w:rPr>
          <w:i/>
          <w:iCs/>
          <w:lang w:val="en-US"/>
        </w:rPr>
        <w:t xml:space="preserve">Test Claimants in the Thin Cap </w:t>
      </w:r>
      <w:r>
        <w:rPr>
          <w:i/>
          <w:iCs/>
          <w:lang w:val="en-US"/>
        </w:rPr>
        <w:t>GLO</w:t>
      </w:r>
      <w:r>
        <w:rPr>
          <w:lang w:val="en-US"/>
        </w:rPr>
        <w:t xml:space="preserve">) r.o. </w:t>
      </w:r>
      <w:r w:rsidRPr="00B831A9">
        <w:rPr>
          <w:lang w:val="en-US"/>
        </w:rPr>
        <w:t>88</w:t>
      </w:r>
    </w:p>
  </w:footnote>
  <w:footnote w:id="266">
    <w:p w:rsidR="00292A58" w:rsidRDefault="00292A58">
      <w:pPr>
        <w:pStyle w:val="Voetnoottekst"/>
      </w:pPr>
      <w:r>
        <w:rPr>
          <w:rStyle w:val="Voetnootmarkering"/>
        </w:rPr>
        <w:footnoteRef/>
      </w:r>
      <w:r>
        <w:t xml:space="preserve">  J. Vleggeert, “</w:t>
      </w:r>
      <w:r w:rsidRPr="00C523D1">
        <w:rPr>
          <w:i/>
          <w:iCs/>
        </w:rPr>
        <w:t>Aftrekbeperkingen in het internationale</w:t>
      </w:r>
      <w:r>
        <w:t xml:space="preserve"> </w:t>
      </w:r>
      <w:r w:rsidRPr="00C523D1">
        <w:rPr>
          <w:i/>
          <w:iCs/>
        </w:rPr>
        <w:t>belastingrecht</w:t>
      </w:r>
      <w:r>
        <w:t>”, fiscale monografien nr. 132, 2009, Deventer: Kluwer</w:t>
      </w:r>
    </w:p>
  </w:footnote>
  <w:footnote w:id="267">
    <w:p w:rsidR="00292A58" w:rsidRPr="004B6166" w:rsidRDefault="00292A58">
      <w:pPr>
        <w:pStyle w:val="Voetnoottekst"/>
        <w:rPr>
          <w:sz w:val="24"/>
          <w:szCs w:val="24"/>
        </w:rPr>
      </w:pPr>
      <w:r>
        <w:rPr>
          <w:rStyle w:val="Voetnootmarkering"/>
        </w:rPr>
        <w:footnoteRef/>
      </w:r>
      <w:r>
        <w:t xml:space="preserve"> </w:t>
      </w:r>
      <w:r w:rsidRPr="001E00C4">
        <w:rPr>
          <w:szCs w:val="24"/>
        </w:rPr>
        <w:t xml:space="preserve">O.C.R. Marres, </w:t>
      </w:r>
      <w:r>
        <w:rPr>
          <w:szCs w:val="24"/>
        </w:rPr>
        <w:t>“</w:t>
      </w:r>
      <w:r w:rsidRPr="001E00C4">
        <w:rPr>
          <w:i/>
          <w:szCs w:val="24"/>
        </w:rPr>
        <w:t>Winstdrainage door Renteaftrek (beoordeling van artikel 10a Wet op de vennootschapsbelasting</w:t>
      </w:r>
      <w:r>
        <w:rPr>
          <w:iCs/>
          <w:szCs w:val="24"/>
        </w:rPr>
        <w:t>)”</w:t>
      </w:r>
      <w:r w:rsidRPr="001E00C4">
        <w:rPr>
          <w:i/>
          <w:szCs w:val="24"/>
        </w:rPr>
        <w:t>,</w:t>
      </w:r>
      <w:r w:rsidRPr="001E00C4">
        <w:rPr>
          <w:szCs w:val="24"/>
        </w:rPr>
        <w:t xml:space="preserve"> Fiscale Monografieën nr. 113,  Deventer: Kluwer 2005, </w:t>
      </w:r>
      <w:r>
        <w:rPr>
          <w:szCs w:val="24"/>
        </w:rPr>
        <w:t>blz. 11</w:t>
      </w:r>
    </w:p>
  </w:footnote>
  <w:footnote w:id="268">
    <w:p w:rsidR="00292A58" w:rsidRDefault="00292A58" w:rsidP="00914B96">
      <w:pPr>
        <w:pStyle w:val="Voetnoottekst"/>
      </w:pPr>
      <w:r>
        <w:rPr>
          <w:rStyle w:val="Voetnootmarkering"/>
        </w:rPr>
        <w:footnoteRef/>
      </w:r>
      <w:r>
        <w:t xml:space="preserve"> Cursus Belastingrecht, “</w:t>
      </w:r>
      <w:r w:rsidRPr="00C523D1">
        <w:rPr>
          <w:i/>
          <w:iCs/>
        </w:rPr>
        <w:t>Vennootschapsbelasting 1969</w:t>
      </w:r>
      <w:r>
        <w:t>”, losbandige editie alsmede het B</w:t>
      </w:r>
      <w:r w:rsidRPr="00622ECB">
        <w:t>esluit 23 december 200</w:t>
      </w:r>
      <w:r>
        <w:t>5, nr. CPP</w:t>
      </w:r>
      <w:r w:rsidRPr="00622ECB">
        <w:t>2005/266M</w:t>
      </w:r>
      <w:r>
        <w:t>,</w:t>
      </w:r>
      <w:r w:rsidRPr="00622ECB">
        <w:t xml:space="preserve"> BNB2006/90</w:t>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DDB4174"/>
    <w:multiLevelType w:val="multilevel"/>
    <w:tmpl w:val="65A84C80"/>
    <w:lvl w:ilvl="0">
      <w:start w:val="4"/>
      <w:numFmt w:val="decimal"/>
      <w:lvlText w:val="%1"/>
      <w:lvlJc w:val="left"/>
      <w:pPr>
        <w:ind w:left="360" w:hanging="360"/>
      </w:pPr>
      <w:rPr>
        <w:rFonts w:cs="Times New Roman" w:hint="default"/>
        <w:b/>
        <w:u w:val="single"/>
      </w:rPr>
    </w:lvl>
    <w:lvl w:ilvl="1">
      <w:start w:val="2"/>
      <w:numFmt w:val="decimal"/>
      <w:lvlText w:val="%1.%2"/>
      <w:lvlJc w:val="left"/>
      <w:pPr>
        <w:ind w:left="360" w:hanging="360"/>
      </w:pPr>
      <w:rPr>
        <w:rFonts w:cs="Times New Roman" w:hint="default"/>
        <w:b/>
        <w:u w:val="single"/>
      </w:rPr>
    </w:lvl>
    <w:lvl w:ilvl="2">
      <w:start w:val="1"/>
      <w:numFmt w:val="decimal"/>
      <w:lvlText w:val="%1.%2.%3"/>
      <w:lvlJc w:val="left"/>
      <w:pPr>
        <w:ind w:left="720" w:hanging="720"/>
      </w:pPr>
      <w:rPr>
        <w:rFonts w:cs="Times New Roman" w:hint="default"/>
        <w:b/>
        <w:u w:val="single"/>
      </w:rPr>
    </w:lvl>
    <w:lvl w:ilvl="3">
      <w:start w:val="1"/>
      <w:numFmt w:val="decimal"/>
      <w:lvlText w:val="%1.%2.%3.%4"/>
      <w:lvlJc w:val="left"/>
      <w:pPr>
        <w:ind w:left="720" w:hanging="720"/>
      </w:pPr>
      <w:rPr>
        <w:rFonts w:cs="Times New Roman" w:hint="default"/>
        <w:b/>
        <w:u w:val="single"/>
      </w:rPr>
    </w:lvl>
    <w:lvl w:ilvl="4">
      <w:start w:val="1"/>
      <w:numFmt w:val="decimal"/>
      <w:lvlText w:val="%1.%2.%3.%4.%5"/>
      <w:lvlJc w:val="left"/>
      <w:pPr>
        <w:ind w:left="1080" w:hanging="1080"/>
      </w:pPr>
      <w:rPr>
        <w:rFonts w:cs="Times New Roman" w:hint="default"/>
        <w:b/>
        <w:u w:val="single"/>
      </w:rPr>
    </w:lvl>
    <w:lvl w:ilvl="5">
      <w:start w:val="1"/>
      <w:numFmt w:val="decimal"/>
      <w:lvlText w:val="%1.%2.%3.%4.%5.%6"/>
      <w:lvlJc w:val="left"/>
      <w:pPr>
        <w:ind w:left="1080" w:hanging="1080"/>
      </w:pPr>
      <w:rPr>
        <w:rFonts w:cs="Times New Roman" w:hint="default"/>
        <w:b/>
        <w:u w:val="single"/>
      </w:rPr>
    </w:lvl>
    <w:lvl w:ilvl="6">
      <w:start w:val="1"/>
      <w:numFmt w:val="decimal"/>
      <w:lvlText w:val="%1.%2.%3.%4.%5.%6.%7"/>
      <w:lvlJc w:val="left"/>
      <w:pPr>
        <w:ind w:left="1440" w:hanging="1440"/>
      </w:pPr>
      <w:rPr>
        <w:rFonts w:cs="Times New Roman" w:hint="default"/>
        <w:b/>
        <w:u w:val="single"/>
      </w:rPr>
    </w:lvl>
    <w:lvl w:ilvl="7">
      <w:start w:val="1"/>
      <w:numFmt w:val="decimal"/>
      <w:lvlText w:val="%1.%2.%3.%4.%5.%6.%7.%8"/>
      <w:lvlJc w:val="left"/>
      <w:pPr>
        <w:ind w:left="1440" w:hanging="1440"/>
      </w:pPr>
      <w:rPr>
        <w:rFonts w:cs="Times New Roman" w:hint="default"/>
        <w:b/>
        <w:u w:val="single"/>
      </w:rPr>
    </w:lvl>
    <w:lvl w:ilvl="8">
      <w:start w:val="1"/>
      <w:numFmt w:val="decimal"/>
      <w:lvlText w:val="%1.%2.%3.%4.%5.%6.%7.%8.%9"/>
      <w:lvlJc w:val="left"/>
      <w:pPr>
        <w:ind w:left="1800" w:hanging="1800"/>
      </w:pPr>
      <w:rPr>
        <w:rFonts w:cs="Times New Roman" w:hint="default"/>
        <w:b/>
        <w:u w:val="single"/>
      </w:rPr>
    </w:lvl>
  </w:abstractNum>
  <w:abstractNum w:abstractNumId="1">
    <w:nsid w:val="0E73059B"/>
    <w:multiLevelType w:val="hybridMultilevel"/>
    <w:tmpl w:val="97DAFE8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9615425"/>
    <w:multiLevelType w:val="multilevel"/>
    <w:tmpl w:val="B25036F6"/>
    <w:lvl w:ilvl="0">
      <w:start w:val="6"/>
      <w:numFmt w:val="decimal"/>
      <w:lvlText w:val="%1"/>
      <w:lvlJc w:val="left"/>
      <w:pPr>
        <w:ind w:left="360" w:hanging="360"/>
      </w:pPr>
      <w:rPr>
        <w:rFonts w:cs="Times New Roman" w:hint="default"/>
      </w:rPr>
    </w:lvl>
    <w:lvl w:ilvl="1">
      <w:start w:val="5"/>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1B8A356E"/>
    <w:multiLevelType w:val="multilevel"/>
    <w:tmpl w:val="01EAE6C0"/>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4">
    <w:nsid w:val="21D17DC0"/>
    <w:multiLevelType w:val="multilevel"/>
    <w:tmpl w:val="C3F2B092"/>
    <w:lvl w:ilvl="0">
      <w:start w:val="1"/>
      <w:numFmt w:val="decimal"/>
      <w:lvlText w:val="%1."/>
      <w:lvlJc w:val="left"/>
      <w:pPr>
        <w:ind w:left="990" w:hanging="360"/>
      </w:pPr>
      <w:rPr>
        <w:rFonts w:cs="Times New Roman" w:hint="default"/>
        <w:color w:val="auto"/>
      </w:rPr>
    </w:lvl>
    <w:lvl w:ilvl="1">
      <w:start w:val="4"/>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5">
    <w:nsid w:val="22C63401"/>
    <w:multiLevelType w:val="hybridMultilevel"/>
    <w:tmpl w:val="0BA2A6EC"/>
    <w:lvl w:ilvl="0" w:tplc="5B566CB0">
      <w:numFmt w:val="bullet"/>
      <w:lvlText w:val="-"/>
      <w:lvlJc w:val="left"/>
      <w:pPr>
        <w:ind w:left="720" w:hanging="360"/>
      </w:pPr>
      <w:rPr>
        <w:rFonts w:ascii="Times New Roman" w:eastAsia="SimSu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86E0B"/>
    <w:multiLevelType w:val="hybridMultilevel"/>
    <w:tmpl w:val="E3A0EF56"/>
    <w:lvl w:ilvl="0" w:tplc="38649E36">
      <w:start w:val="64"/>
      <w:numFmt w:val="decimal"/>
      <w:lvlText w:val="%1"/>
      <w:lvlJc w:val="left"/>
      <w:pPr>
        <w:tabs>
          <w:tab w:val="num" w:pos="388"/>
        </w:tabs>
        <w:ind w:left="388" w:hanging="360"/>
      </w:pPr>
      <w:rPr>
        <w:rFonts w:cs="Times New Roman" w:hint="default"/>
      </w:rPr>
    </w:lvl>
    <w:lvl w:ilvl="1" w:tplc="04090019" w:tentative="1">
      <w:start w:val="1"/>
      <w:numFmt w:val="lowerLetter"/>
      <w:lvlText w:val="%2."/>
      <w:lvlJc w:val="left"/>
      <w:pPr>
        <w:tabs>
          <w:tab w:val="num" w:pos="1108"/>
        </w:tabs>
        <w:ind w:left="1108" w:hanging="360"/>
      </w:pPr>
      <w:rPr>
        <w:rFonts w:cs="Times New Roman"/>
      </w:rPr>
    </w:lvl>
    <w:lvl w:ilvl="2" w:tplc="0409001B" w:tentative="1">
      <w:start w:val="1"/>
      <w:numFmt w:val="lowerRoman"/>
      <w:lvlText w:val="%3."/>
      <w:lvlJc w:val="right"/>
      <w:pPr>
        <w:tabs>
          <w:tab w:val="num" w:pos="1828"/>
        </w:tabs>
        <w:ind w:left="1828" w:hanging="180"/>
      </w:pPr>
      <w:rPr>
        <w:rFonts w:cs="Times New Roman"/>
      </w:rPr>
    </w:lvl>
    <w:lvl w:ilvl="3" w:tplc="0409000F" w:tentative="1">
      <w:start w:val="1"/>
      <w:numFmt w:val="decimal"/>
      <w:lvlText w:val="%4."/>
      <w:lvlJc w:val="left"/>
      <w:pPr>
        <w:tabs>
          <w:tab w:val="num" w:pos="2548"/>
        </w:tabs>
        <w:ind w:left="2548" w:hanging="360"/>
      </w:pPr>
      <w:rPr>
        <w:rFonts w:cs="Times New Roman"/>
      </w:rPr>
    </w:lvl>
    <w:lvl w:ilvl="4" w:tplc="04090019" w:tentative="1">
      <w:start w:val="1"/>
      <w:numFmt w:val="lowerLetter"/>
      <w:lvlText w:val="%5."/>
      <w:lvlJc w:val="left"/>
      <w:pPr>
        <w:tabs>
          <w:tab w:val="num" w:pos="3268"/>
        </w:tabs>
        <w:ind w:left="3268" w:hanging="360"/>
      </w:pPr>
      <w:rPr>
        <w:rFonts w:cs="Times New Roman"/>
      </w:rPr>
    </w:lvl>
    <w:lvl w:ilvl="5" w:tplc="0409001B" w:tentative="1">
      <w:start w:val="1"/>
      <w:numFmt w:val="lowerRoman"/>
      <w:lvlText w:val="%6."/>
      <w:lvlJc w:val="right"/>
      <w:pPr>
        <w:tabs>
          <w:tab w:val="num" w:pos="3988"/>
        </w:tabs>
        <w:ind w:left="3988" w:hanging="180"/>
      </w:pPr>
      <w:rPr>
        <w:rFonts w:cs="Times New Roman"/>
      </w:rPr>
    </w:lvl>
    <w:lvl w:ilvl="6" w:tplc="0409000F" w:tentative="1">
      <w:start w:val="1"/>
      <w:numFmt w:val="decimal"/>
      <w:lvlText w:val="%7."/>
      <w:lvlJc w:val="left"/>
      <w:pPr>
        <w:tabs>
          <w:tab w:val="num" w:pos="4708"/>
        </w:tabs>
        <w:ind w:left="4708" w:hanging="360"/>
      </w:pPr>
      <w:rPr>
        <w:rFonts w:cs="Times New Roman"/>
      </w:rPr>
    </w:lvl>
    <w:lvl w:ilvl="7" w:tplc="04090019" w:tentative="1">
      <w:start w:val="1"/>
      <w:numFmt w:val="lowerLetter"/>
      <w:lvlText w:val="%8."/>
      <w:lvlJc w:val="left"/>
      <w:pPr>
        <w:tabs>
          <w:tab w:val="num" w:pos="5428"/>
        </w:tabs>
        <w:ind w:left="5428" w:hanging="360"/>
      </w:pPr>
      <w:rPr>
        <w:rFonts w:cs="Times New Roman"/>
      </w:rPr>
    </w:lvl>
    <w:lvl w:ilvl="8" w:tplc="0409001B" w:tentative="1">
      <w:start w:val="1"/>
      <w:numFmt w:val="lowerRoman"/>
      <w:lvlText w:val="%9."/>
      <w:lvlJc w:val="right"/>
      <w:pPr>
        <w:tabs>
          <w:tab w:val="num" w:pos="6148"/>
        </w:tabs>
        <w:ind w:left="6148" w:hanging="180"/>
      </w:pPr>
      <w:rPr>
        <w:rFonts w:cs="Times New Roman"/>
      </w:rPr>
    </w:lvl>
  </w:abstractNum>
  <w:abstractNum w:abstractNumId="7">
    <w:nsid w:val="2A3B4A09"/>
    <w:multiLevelType w:val="multilevel"/>
    <w:tmpl w:val="0ADCD40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8">
    <w:nsid w:val="2CA319B3"/>
    <w:multiLevelType w:val="multilevel"/>
    <w:tmpl w:val="3240076E"/>
    <w:lvl w:ilvl="0">
      <w:start w:val="4"/>
      <w:numFmt w:val="decimal"/>
      <w:lvlText w:val="%1"/>
      <w:lvlJc w:val="left"/>
      <w:pPr>
        <w:ind w:left="360" w:hanging="360"/>
      </w:pPr>
      <w:rPr>
        <w:rFonts w:cs="Times New Roman" w:hint="default"/>
        <w:b/>
        <w:u w:val="single"/>
      </w:rPr>
    </w:lvl>
    <w:lvl w:ilvl="1">
      <w:start w:val="2"/>
      <w:numFmt w:val="decimal"/>
      <w:lvlText w:val="%1.%2"/>
      <w:lvlJc w:val="left"/>
      <w:pPr>
        <w:ind w:left="360" w:hanging="360"/>
      </w:pPr>
      <w:rPr>
        <w:rFonts w:cs="Times New Roman" w:hint="default"/>
        <w:b/>
        <w:u w:val="single"/>
      </w:rPr>
    </w:lvl>
    <w:lvl w:ilvl="2">
      <w:start w:val="1"/>
      <w:numFmt w:val="decimal"/>
      <w:lvlText w:val="%1.%2.%3"/>
      <w:lvlJc w:val="left"/>
      <w:pPr>
        <w:ind w:left="720" w:hanging="720"/>
      </w:pPr>
      <w:rPr>
        <w:rFonts w:cs="Times New Roman" w:hint="default"/>
        <w:b/>
        <w:u w:val="single"/>
      </w:rPr>
    </w:lvl>
    <w:lvl w:ilvl="3">
      <w:start w:val="1"/>
      <w:numFmt w:val="decimal"/>
      <w:lvlText w:val="%1.%2.%3.%4"/>
      <w:lvlJc w:val="left"/>
      <w:pPr>
        <w:ind w:left="720" w:hanging="720"/>
      </w:pPr>
      <w:rPr>
        <w:rFonts w:cs="Times New Roman" w:hint="default"/>
        <w:b/>
        <w:u w:val="single"/>
      </w:rPr>
    </w:lvl>
    <w:lvl w:ilvl="4">
      <w:start w:val="1"/>
      <w:numFmt w:val="decimal"/>
      <w:lvlText w:val="%1.%2.%3.%4.%5"/>
      <w:lvlJc w:val="left"/>
      <w:pPr>
        <w:ind w:left="1080" w:hanging="1080"/>
      </w:pPr>
      <w:rPr>
        <w:rFonts w:cs="Times New Roman" w:hint="default"/>
        <w:b/>
        <w:u w:val="single"/>
      </w:rPr>
    </w:lvl>
    <w:lvl w:ilvl="5">
      <w:start w:val="1"/>
      <w:numFmt w:val="decimal"/>
      <w:lvlText w:val="%1.%2.%3.%4.%5.%6"/>
      <w:lvlJc w:val="left"/>
      <w:pPr>
        <w:ind w:left="1080" w:hanging="1080"/>
      </w:pPr>
      <w:rPr>
        <w:rFonts w:cs="Times New Roman" w:hint="default"/>
        <w:b/>
        <w:u w:val="single"/>
      </w:rPr>
    </w:lvl>
    <w:lvl w:ilvl="6">
      <w:start w:val="1"/>
      <w:numFmt w:val="decimal"/>
      <w:lvlText w:val="%1.%2.%3.%4.%5.%6.%7"/>
      <w:lvlJc w:val="left"/>
      <w:pPr>
        <w:ind w:left="1440" w:hanging="1440"/>
      </w:pPr>
      <w:rPr>
        <w:rFonts w:cs="Times New Roman" w:hint="default"/>
        <w:b/>
        <w:u w:val="single"/>
      </w:rPr>
    </w:lvl>
    <w:lvl w:ilvl="7">
      <w:start w:val="1"/>
      <w:numFmt w:val="decimal"/>
      <w:lvlText w:val="%1.%2.%3.%4.%5.%6.%7.%8"/>
      <w:lvlJc w:val="left"/>
      <w:pPr>
        <w:ind w:left="1440" w:hanging="1440"/>
      </w:pPr>
      <w:rPr>
        <w:rFonts w:cs="Times New Roman" w:hint="default"/>
        <w:b/>
        <w:u w:val="single"/>
      </w:rPr>
    </w:lvl>
    <w:lvl w:ilvl="8">
      <w:start w:val="1"/>
      <w:numFmt w:val="decimal"/>
      <w:lvlText w:val="%1.%2.%3.%4.%5.%6.%7.%8.%9"/>
      <w:lvlJc w:val="left"/>
      <w:pPr>
        <w:ind w:left="1800" w:hanging="1800"/>
      </w:pPr>
      <w:rPr>
        <w:rFonts w:cs="Times New Roman" w:hint="default"/>
        <w:b/>
        <w:u w:val="single"/>
      </w:rPr>
    </w:lvl>
  </w:abstractNum>
  <w:abstractNum w:abstractNumId="9">
    <w:nsid w:val="325B1A0B"/>
    <w:multiLevelType w:val="multilevel"/>
    <w:tmpl w:val="C3F2B092"/>
    <w:lvl w:ilvl="0">
      <w:start w:val="1"/>
      <w:numFmt w:val="decimal"/>
      <w:lvlText w:val="%1."/>
      <w:lvlJc w:val="left"/>
      <w:pPr>
        <w:ind w:left="990" w:hanging="360"/>
      </w:pPr>
      <w:rPr>
        <w:rFonts w:cs="Times New Roman" w:hint="default"/>
        <w:color w:val="auto"/>
      </w:rPr>
    </w:lvl>
    <w:lvl w:ilvl="1">
      <w:start w:val="4"/>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0">
    <w:nsid w:val="38F42E38"/>
    <w:multiLevelType w:val="hybridMultilevel"/>
    <w:tmpl w:val="6802AAC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DBF0351"/>
    <w:multiLevelType w:val="hybridMultilevel"/>
    <w:tmpl w:val="C38A0276"/>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44E72524"/>
    <w:multiLevelType w:val="multilevel"/>
    <w:tmpl w:val="3524302E"/>
    <w:lvl w:ilvl="0">
      <w:start w:val="4"/>
      <w:numFmt w:val="decimal"/>
      <w:lvlText w:val="%1"/>
      <w:lvlJc w:val="left"/>
      <w:pPr>
        <w:tabs>
          <w:tab w:val="num" w:pos="360"/>
        </w:tabs>
        <w:ind w:left="360" w:hanging="360"/>
      </w:pPr>
      <w:rPr>
        <w:rFonts w:cs="Times New Roman" w:hint="default"/>
        <w:b/>
        <w:u w:val="single"/>
      </w:rPr>
    </w:lvl>
    <w:lvl w:ilvl="1">
      <w:start w:val="2"/>
      <w:numFmt w:val="decimal"/>
      <w:lvlText w:val="%1.%2"/>
      <w:lvlJc w:val="left"/>
      <w:pPr>
        <w:tabs>
          <w:tab w:val="num" w:pos="360"/>
        </w:tabs>
        <w:ind w:left="360" w:hanging="360"/>
      </w:pPr>
      <w:rPr>
        <w:rFonts w:cs="Times New Roman" w:hint="default"/>
        <w:b/>
        <w:u w:val="single"/>
      </w:rPr>
    </w:lvl>
    <w:lvl w:ilvl="2">
      <w:start w:val="1"/>
      <w:numFmt w:val="decimal"/>
      <w:lvlText w:val="%1.%2.%3"/>
      <w:lvlJc w:val="left"/>
      <w:pPr>
        <w:tabs>
          <w:tab w:val="num" w:pos="720"/>
        </w:tabs>
        <w:ind w:left="720" w:hanging="720"/>
      </w:pPr>
      <w:rPr>
        <w:rFonts w:cs="Times New Roman" w:hint="default"/>
        <w:b/>
        <w:u w:val="single"/>
      </w:rPr>
    </w:lvl>
    <w:lvl w:ilvl="3">
      <w:start w:val="1"/>
      <w:numFmt w:val="decimal"/>
      <w:lvlText w:val="%1.%2.%3.%4"/>
      <w:lvlJc w:val="left"/>
      <w:pPr>
        <w:tabs>
          <w:tab w:val="num" w:pos="720"/>
        </w:tabs>
        <w:ind w:left="720" w:hanging="720"/>
      </w:pPr>
      <w:rPr>
        <w:rFonts w:cs="Times New Roman" w:hint="default"/>
        <w:b/>
        <w:u w:val="single"/>
      </w:rPr>
    </w:lvl>
    <w:lvl w:ilvl="4">
      <w:start w:val="1"/>
      <w:numFmt w:val="decimal"/>
      <w:lvlText w:val="%1.%2.%3.%4.%5"/>
      <w:lvlJc w:val="left"/>
      <w:pPr>
        <w:tabs>
          <w:tab w:val="num" w:pos="1080"/>
        </w:tabs>
        <w:ind w:left="1080" w:hanging="1080"/>
      </w:pPr>
      <w:rPr>
        <w:rFonts w:cs="Times New Roman" w:hint="default"/>
        <w:b/>
        <w:u w:val="single"/>
      </w:rPr>
    </w:lvl>
    <w:lvl w:ilvl="5">
      <w:start w:val="1"/>
      <w:numFmt w:val="decimal"/>
      <w:lvlText w:val="%1.%2.%3.%4.%5.%6"/>
      <w:lvlJc w:val="left"/>
      <w:pPr>
        <w:tabs>
          <w:tab w:val="num" w:pos="1080"/>
        </w:tabs>
        <w:ind w:left="1080" w:hanging="1080"/>
      </w:pPr>
      <w:rPr>
        <w:rFonts w:cs="Times New Roman" w:hint="default"/>
        <w:b/>
        <w:u w:val="single"/>
      </w:rPr>
    </w:lvl>
    <w:lvl w:ilvl="6">
      <w:start w:val="1"/>
      <w:numFmt w:val="decimal"/>
      <w:lvlText w:val="%1.%2.%3.%4.%5.%6.%7"/>
      <w:lvlJc w:val="left"/>
      <w:pPr>
        <w:tabs>
          <w:tab w:val="num" w:pos="1440"/>
        </w:tabs>
        <w:ind w:left="1440" w:hanging="1440"/>
      </w:pPr>
      <w:rPr>
        <w:rFonts w:cs="Times New Roman" w:hint="default"/>
        <w:b/>
        <w:u w:val="single"/>
      </w:rPr>
    </w:lvl>
    <w:lvl w:ilvl="7">
      <w:start w:val="1"/>
      <w:numFmt w:val="decimal"/>
      <w:lvlText w:val="%1.%2.%3.%4.%5.%6.%7.%8"/>
      <w:lvlJc w:val="left"/>
      <w:pPr>
        <w:tabs>
          <w:tab w:val="num" w:pos="1440"/>
        </w:tabs>
        <w:ind w:left="1440" w:hanging="1440"/>
      </w:pPr>
      <w:rPr>
        <w:rFonts w:cs="Times New Roman" w:hint="default"/>
        <w:b/>
        <w:u w:val="single"/>
      </w:rPr>
    </w:lvl>
    <w:lvl w:ilvl="8">
      <w:start w:val="1"/>
      <w:numFmt w:val="decimal"/>
      <w:lvlText w:val="%1.%2.%3.%4.%5.%6.%7.%8.%9"/>
      <w:lvlJc w:val="left"/>
      <w:pPr>
        <w:tabs>
          <w:tab w:val="num" w:pos="1800"/>
        </w:tabs>
        <w:ind w:left="1800" w:hanging="1800"/>
      </w:pPr>
      <w:rPr>
        <w:rFonts w:cs="Times New Roman" w:hint="default"/>
        <w:b/>
        <w:u w:val="single"/>
      </w:rPr>
    </w:lvl>
  </w:abstractNum>
  <w:abstractNum w:abstractNumId="13">
    <w:nsid w:val="4657444B"/>
    <w:multiLevelType w:val="hybridMultilevel"/>
    <w:tmpl w:val="0D8289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4DF15361"/>
    <w:multiLevelType w:val="multilevel"/>
    <w:tmpl w:val="EA08B246"/>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55D348A0"/>
    <w:multiLevelType w:val="multilevel"/>
    <w:tmpl w:val="C7EE9092"/>
    <w:lvl w:ilvl="0">
      <w:start w:val="4"/>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77E97557"/>
    <w:multiLevelType w:val="multilevel"/>
    <w:tmpl w:val="B9F8D91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7">
    <w:nsid w:val="79481219"/>
    <w:multiLevelType w:val="multilevel"/>
    <w:tmpl w:val="E3CE0E8E"/>
    <w:lvl w:ilvl="0">
      <w:start w:val="4"/>
      <w:numFmt w:val="decimal"/>
      <w:lvlText w:val="%1"/>
      <w:lvlJc w:val="left"/>
      <w:pPr>
        <w:ind w:left="360" w:hanging="360"/>
      </w:pPr>
      <w:rPr>
        <w:rFonts w:cs="Times New Roman" w:hint="default"/>
        <w:b/>
        <w:u w:val="single"/>
      </w:rPr>
    </w:lvl>
    <w:lvl w:ilvl="1">
      <w:start w:val="3"/>
      <w:numFmt w:val="decimal"/>
      <w:lvlText w:val="%1.%2"/>
      <w:lvlJc w:val="left"/>
      <w:pPr>
        <w:ind w:left="360" w:hanging="360"/>
      </w:pPr>
      <w:rPr>
        <w:rFonts w:cs="Times New Roman" w:hint="default"/>
        <w:b/>
        <w:u w:val="single"/>
      </w:rPr>
    </w:lvl>
    <w:lvl w:ilvl="2">
      <w:start w:val="1"/>
      <w:numFmt w:val="decimal"/>
      <w:lvlText w:val="%1.%2.%3"/>
      <w:lvlJc w:val="left"/>
      <w:pPr>
        <w:ind w:left="720" w:hanging="720"/>
      </w:pPr>
      <w:rPr>
        <w:rFonts w:cs="Times New Roman" w:hint="default"/>
        <w:b/>
        <w:u w:val="single"/>
      </w:rPr>
    </w:lvl>
    <w:lvl w:ilvl="3">
      <w:start w:val="1"/>
      <w:numFmt w:val="decimal"/>
      <w:lvlText w:val="%1.%2.%3.%4"/>
      <w:lvlJc w:val="left"/>
      <w:pPr>
        <w:ind w:left="720" w:hanging="720"/>
      </w:pPr>
      <w:rPr>
        <w:rFonts w:cs="Times New Roman" w:hint="default"/>
        <w:b/>
        <w:u w:val="single"/>
      </w:rPr>
    </w:lvl>
    <w:lvl w:ilvl="4">
      <w:start w:val="1"/>
      <w:numFmt w:val="decimal"/>
      <w:lvlText w:val="%1.%2.%3.%4.%5"/>
      <w:lvlJc w:val="left"/>
      <w:pPr>
        <w:ind w:left="1080" w:hanging="1080"/>
      </w:pPr>
      <w:rPr>
        <w:rFonts w:cs="Times New Roman" w:hint="default"/>
        <w:b/>
        <w:u w:val="single"/>
      </w:rPr>
    </w:lvl>
    <w:lvl w:ilvl="5">
      <w:start w:val="1"/>
      <w:numFmt w:val="decimal"/>
      <w:lvlText w:val="%1.%2.%3.%4.%5.%6"/>
      <w:lvlJc w:val="left"/>
      <w:pPr>
        <w:ind w:left="1080" w:hanging="1080"/>
      </w:pPr>
      <w:rPr>
        <w:rFonts w:cs="Times New Roman" w:hint="default"/>
        <w:b/>
        <w:u w:val="single"/>
      </w:rPr>
    </w:lvl>
    <w:lvl w:ilvl="6">
      <w:start w:val="1"/>
      <w:numFmt w:val="decimal"/>
      <w:lvlText w:val="%1.%2.%3.%4.%5.%6.%7"/>
      <w:lvlJc w:val="left"/>
      <w:pPr>
        <w:ind w:left="1440" w:hanging="1440"/>
      </w:pPr>
      <w:rPr>
        <w:rFonts w:cs="Times New Roman" w:hint="default"/>
        <w:b/>
        <w:u w:val="single"/>
      </w:rPr>
    </w:lvl>
    <w:lvl w:ilvl="7">
      <w:start w:val="1"/>
      <w:numFmt w:val="decimal"/>
      <w:lvlText w:val="%1.%2.%3.%4.%5.%6.%7.%8"/>
      <w:lvlJc w:val="left"/>
      <w:pPr>
        <w:ind w:left="1440" w:hanging="1440"/>
      </w:pPr>
      <w:rPr>
        <w:rFonts w:cs="Times New Roman" w:hint="default"/>
        <w:b/>
        <w:u w:val="single"/>
      </w:rPr>
    </w:lvl>
    <w:lvl w:ilvl="8">
      <w:start w:val="1"/>
      <w:numFmt w:val="decimal"/>
      <w:lvlText w:val="%1.%2.%3.%4.%5.%6.%7.%8.%9"/>
      <w:lvlJc w:val="left"/>
      <w:pPr>
        <w:ind w:left="1800" w:hanging="1800"/>
      </w:pPr>
      <w:rPr>
        <w:rFonts w:cs="Times New Roman" w:hint="default"/>
        <w:b/>
        <w:u w:val="single"/>
      </w:rPr>
    </w:lvl>
  </w:abstractNum>
  <w:num w:numId="1">
    <w:abstractNumId w:val="10"/>
  </w:num>
  <w:num w:numId="2">
    <w:abstractNumId w:val="1"/>
  </w:num>
  <w:num w:numId="3">
    <w:abstractNumId w:val="5"/>
  </w:num>
  <w:num w:numId="4">
    <w:abstractNumId w:val="4"/>
  </w:num>
  <w:num w:numId="5">
    <w:abstractNumId w:val="15"/>
  </w:num>
  <w:num w:numId="6">
    <w:abstractNumId w:val="17"/>
  </w:num>
  <w:num w:numId="7">
    <w:abstractNumId w:val="2"/>
  </w:num>
  <w:num w:numId="8">
    <w:abstractNumId w:val="16"/>
  </w:num>
  <w:num w:numId="9">
    <w:abstractNumId w:val="7"/>
  </w:num>
  <w:num w:numId="10">
    <w:abstractNumId w:val="14"/>
  </w:num>
  <w:num w:numId="11">
    <w:abstractNumId w:val="3"/>
  </w:num>
  <w:num w:numId="12">
    <w:abstractNumId w:val="0"/>
  </w:num>
  <w:num w:numId="13">
    <w:abstractNumId w:val="8"/>
  </w:num>
  <w:num w:numId="14">
    <w:abstractNumId w:val="9"/>
  </w:num>
  <w:num w:numId="15">
    <w:abstractNumId w:val="13"/>
  </w:num>
  <w:num w:numId="16">
    <w:abstractNumId w:val="12"/>
  </w:num>
  <w:num w:numId="17">
    <w:abstractNumId w:val="6"/>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grammar="clean"/>
  <w:doNotTrackMoves/>
  <w:defaultTabStop w:val="720"/>
  <w:hyphenationZone w:val="425"/>
  <w:characterSpacingControl w:val="doNotCompress"/>
  <w:doNotValidateAgainstSchema/>
  <w:doNotDemarcateInvalidXml/>
  <w:footnotePr>
    <w:footnote w:id="0"/>
    <w:footnote w:id="1"/>
  </w:footnotePr>
  <w:endnotePr>
    <w:endnote w:id="0"/>
    <w:endnote w:id="1"/>
  </w:endnotePr>
  <w:compat/>
  <w:rsids>
    <w:rsidRoot w:val="00F11251"/>
    <w:rsid w:val="000011B5"/>
    <w:rsid w:val="000023B6"/>
    <w:rsid w:val="00007E3C"/>
    <w:rsid w:val="00010A75"/>
    <w:rsid w:val="00013654"/>
    <w:rsid w:val="00013660"/>
    <w:rsid w:val="00020954"/>
    <w:rsid w:val="00022345"/>
    <w:rsid w:val="000304B5"/>
    <w:rsid w:val="00033F12"/>
    <w:rsid w:val="00037D09"/>
    <w:rsid w:val="000400D1"/>
    <w:rsid w:val="00040588"/>
    <w:rsid w:val="00042D2B"/>
    <w:rsid w:val="00045A87"/>
    <w:rsid w:val="0004757C"/>
    <w:rsid w:val="00053543"/>
    <w:rsid w:val="00055911"/>
    <w:rsid w:val="0006459E"/>
    <w:rsid w:val="000658B5"/>
    <w:rsid w:val="000701FC"/>
    <w:rsid w:val="0007105C"/>
    <w:rsid w:val="00071577"/>
    <w:rsid w:val="00073318"/>
    <w:rsid w:val="00075252"/>
    <w:rsid w:val="0007674D"/>
    <w:rsid w:val="00080B6B"/>
    <w:rsid w:val="00081EDE"/>
    <w:rsid w:val="00082889"/>
    <w:rsid w:val="00083D01"/>
    <w:rsid w:val="00083E5B"/>
    <w:rsid w:val="000870ED"/>
    <w:rsid w:val="0009059F"/>
    <w:rsid w:val="00095785"/>
    <w:rsid w:val="00096473"/>
    <w:rsid w:val="00096B85"/>
    <w:rsid w:val="00097ACF"/>
    <w:rsid w:val="000A2285"/>
    <w:rsid w:val="000A29D0"/>
    <w:rsid w:val="000A2A2A"/>
    <w:rsid w:val="000A2F35"/>
    <w:rsid w:val="000A31E9"/>
    <w:rsid w:val="000A63CE"/>
    <w:rsid w:val="000B0834"/>
    <w:rsid w:val="000B0F6C"/>
    <w:rsid w:val="000B2639"/>
    <w:rsid w:val="000B471C"/>
    <w:rsid w:val="000B6AF4"/>
    <w:rsid w:val="000C06D7"/>
    <w:rsid w:val="000C1FFF"/>
    <w:rsid w:val="000C6D65"/>
    <w:rsid w:val="000D1F0D"/>
    <w:rsid w:val="000D3037"/>
    <w:rsid w:val="000D4EB2"/>
    <w:rsid w:val="000E0A6A"/>
    <w:rsid w:val="000E2474"/>
    <w:rsid w:val="000E48A9"/>
    <w:rsid w:val="000E6E22"/>
    <w:rsid w:val="000E6EC0"/>
    <w:rsid w:val="000F01F2"/>
    <w:rsid w:val="000F052A"/>
    <w:rsid w:val="000F0AA8"/>
    <w:rsid w:val="000F22BB"/>
    <w:rsid w:val="000F2FA7"/>
    <w:rsid w:val="000F4A8D"/>
    <w:rsid w:val="00100F92"/>
    <w:rsid w:val="00102360"/>
    <w:rsid w:val="00104E58"/>
    <w:rsid w:val="00106CF9"/>
    <w:rsid w:val="00110248"/>
    <w:rsid w:val="001112FF"/>
    <w:rsid w:val="001115C8"/>
    <w:rsid w:val="00111D38"/>
    <w:rsid w:val="001122F7"/>
    <w:rsid w:val="00113765"/>
    <w:rsid w:val="001150F4"/>
    <w:rsid w:val="001168A9"/>
    <w:rsid w:val="00121E06"/>
    <w:rsid w:val="00122561"/>
    <w:rsid w:val="00125317"/>
    <w:rsid w:val="001278DD"/>
    <w:rsid w:val="00127A0A"/>
    <w:rsid w:val="00137C97"/>
    <w:rsid w:val="00140884"/>
    <w:rsid w:val="00141101"/>
    <w:rsid w:val="00143984"/>
    <w:rsid w:val="0014423A"/>
    <w:rsid w:val="00145149"/>
    <w:rsid w:val="00146399"/>
    <w:rsid w:val="00147C40"/>
    <w:rsid w:val="001529FE"/>
    <w:rsid w:val="001534F2"/>
    <w:rsid w:val="00153BFD"/>
    <w:rsid w:val="001601A6"/>
    <w:rsid w:val="0016257F"/>
    <w:rsid w:val="00162F9F"/>
    <w:rsid w:val="00170863"/>
    <w:rsid w:val="00172A9D"/>
    <w:rsid w:val="00176304"/>
    <w:rsid w:val="0017730B"/>
    <w:rsid w:val="0017756D"/>
    <w:rsid w:val="00180142"/>
    <w:rsid w:val="0018302C"/>
    <w:rsid w:val="00184174"/>
    <w:rsid w:val="00190F4C"/>
    <w:rsid w:val="001911CE"/>
    <w:rsid w:val="0019184B"/>
    <w:rsid w:val="001920FD"/>
    <w:rsid w:val="00194CDE"/>
    <w:rsid w:val="001957A0"/>
    <w:rsid w:val="001A12D9"/>
    <w:rsid w:val="001A1C81"/>
    <w:rsid w:val="001A4CE9"/>
    <w:rsid w:val="001A4FB3"/>
    <w:rsid w:val="001B3318"/>
    <w:rsid w:val="001B3ABF"/>
    <w:rsid w:val="001B40A4"/>
    <w:rsid w:val="001B7DC9"/>
    <w:rsid w:val="001C6AA4"/>
    <w:rsid w:val="001C7EE4"/>
    <w:rsid w:val="001D00F5"/>
    <w:rsid w:val="001E00C4"/>
    <w:rsid w:val="001E0EBC"/>
    <w:rsid w:val="001E1A92"/>
    <w:rsid w:val="001E2A9D"/>
    <w:rsid w:val="001E30EF"/>
    <w:rsid w:val="001E525A"/>
    <w:rsid w:val="001E5385"/>
    <w:rsid w:val="001E6EEA"/>
    <w:rsid w:val="001E77B2"/>
    <w:rsid w:val="001E7CE8"/>
    <w:rsid w:val="001F0846"/>
    <w:rsid w:val="001F09DF"/>
    <w:rsid w:val="002005A8"/>
    <w:rsid w:val="00202363"/>
    <w:rsid w:val="002144BC"/>
    <w:rsid w:val="00222840"/>
    <w:rsid w:val="0022365F"/>
    <w:rsid w:val="00223CB3"/>
    <w:rsid w:val="00225414"/>
    <w:rsid w:val="0022571C"/>
    <w:rsid w:val="00232BEF"/>
    <w:rsid w:val="0023506C"/>
    <w:rsid w:val="00235C06"/>
    <w:rsid w:val="00243598"/>
    <w:rsid w:val="002501D3"/>
    <w:rsid w:val="00252CDD"/>
    <w:rsid w:val="00262136"/>
    <w:rsid w:val="00263874"/>
    <w:rsid w:val="0026438E"/>
    <w:rsid w:val="00270A6B"/>
    <w:rsid w:val="00274432"/>
    <w:rsid w:val="00275676"/>
    <w:rsid w:val="00275806"/>
    <w:rsid w:val="00277C7D"/>
    <w:rsid w:val="00280EA9"/>
    <w:rsid w:val="00283493"/>
    <w:rsid w:val="00283DE1"/>
    <w:rsid w:val="00286169"/>
    <w:rsid w:val="00292A58"/>
    <w:rsid w:val="002A0976"/>
    <w:rsid w:val="002A2B62"/>
    <w:rsid w:val="002B086A"/>
    <w:rsid w:val="002B18AF"/>
    <w:rsid w:val="002B42BC"/>
    <w:rsid w:val="002B6A7B"/>
    <w:rsid w:val="002C49AE"/>
    <w:rsid w:val="002C502B"/>
    <w:rsid w:val="002C528E"/>
    <w:rsid w:val="002C7336"/>
    <w:rsid w:val="002D3895"/>
    <w:rsid w:val="002D73B1"/>
    <w:rsid w:val="002D7A81"/>
    <w:rsid w:val="002E1C56"/>
    <w:rsid w:val="002E2A92"/>
    <w:rsid w:val="002E51C6"/>
    <w:rsid w:val="002F27DA"/>
    <w:rsid w:val="002F2C80"/>
    <w:rsid w:val="002F3778"/>
    <w:rsid w:val="002F466B"/>
    <w:rsid w:val="002F666E"/>
    <w:rsid w:val="002F6A68"/>
    <w:rsid w:val="00301CF1"/>
    <w:rsid w:val="00301E22"/>
    <w:rsid w:val="00302405"/>
    <w:rsid w:val="003065BF"/>
    <w:rsid w:val="00307E72"/>
    <w:rsid w:val="003108FE"/>
    <w:rsid w:val="003132B7"/>
    <w:rsid w:val="0031376F"/>
    <w:rsid w:val="00313979"/>
    <w:rsid w:val="00313D93"/>
    <w:rsid w:val="00316A46"/>
    <w:rsid w:val="00316FF5"/>
    <w:rsid w:val="0032065E"/>
    <w:rsid w:val="00322130"/>
    <w:rsid w:val="003265DB"/>
    <w:rsid w:val="003274F7"/>
    <w:rsid w:val="00330BF9"/>
    <w:rsid w:val="00341538"/>
    <w:rsid w:val="00341A3A"/>
    <w:rsid w:val="00342D59"/>
    <w:rsid w:val="003445E7"/>
    <w:rsid w:val="003448EC"/>
    <w:rsid w:val="00346083"/>
    <w:rsid w:val="00346807"/>
    <w:rsid w:val="00346D01"/>
    <w:rsid w:val="00347436"/>
    <w:rsid w:val="0035002F"/>
    <w:rsid w:val="0035059B"/>
    <w:rsid w:val="003537B5"/>
    <w:rsid w:val="00364DCA"/>
    <w:rsid w:val="00365BD8"/>
    <w:rsid w:val="0036647E"/>
    <w:rsid w:val="00366D9E"/>
    <w:rsid w:val="00367EA4"/>
    <w:rsid w:val="0037092A"/>
    <w:rsid w:val="00370CD9"/>
    <w:rsid w:val="003718AD"/>
    <w:rsid w:val="0037271B"/>
    <w:rsid w:val="00373973"/>
    <w:rsid w:val="003743D4"/>
    <w:rsid w:val="00382ECC"/>
    <w:rsid w:val="00382FAC"/>
    <w:rsid w:val="00385A54"/>
    <w:rsid w:val="00393A4A"/>
    <w:rsid w:val="00394710"/>
    <w:rsid w:val="00394967"/>
    <w:rsid w:val="003A2393"/>
    <w:rsid w:val="003A2A27"/>
    <w:rsid w:val="003A44AA"/>
    <w:rsid w:val="003A6AB6"/>
    <w:rsid w:val="003A7532"/>
    <w:rsid w:val="003B3E42"/>
    <w:rsid w:val="003B44A2"/>
    <w:rsid w:val="003B67BE"/>
    <w:rsid w:val="003B6A6E"/>
    <w:rsid w:val="003C22D7"/>
    <w:rsid w:val="003C3187"/>
    <w:rsid w:val="003C606B"/>
    <w:rsid w:val="003D0E5B"/>
    <w:rsid w:val="003D4D07"/>
    <w:rsid w:val="003D5A6F"/>
    <w:rsid w:val="003D6C94"/>
    <w:rsid w:val="003E068E"/>
    <w:rsid w:val="003E484E"/>
    <w:rsid w:val="003E5631"/>
    <w:rsid w:val="003E7291"/>
    <w:rsid w:val="003E7758"/>
    <w:rsid w:val="003F06A7"/>
    <w:rsid w:val="003F06FF"/>
    <w:rsid w:val="003F427E"/>
    <w:rsid w:val="003F4761"/>
    <w:rsid w:val="003F6EA6"/>
    <w:rsid w:val="00406574"/>
    <w:rsid w:val="00410CFE"/>
    <w:rsid w:val="00414F21"/>
    <w:rsid w:val="004260A8"/>
    <w:rsid w:val="00432C15"/>
    <w:rsid w:val="00433ABB"/>
    <w:rsid w:val="004353E3"/>
    <w:rsid w:val="00436BDD"/>
    <w:rsid w:val="004374C2"/>
    <w:rsid w:val="00437548"/>
    <w:rsid w:val="00437CFA"/>
    <w:rsid w:val="00441B50"/>
    <w:rsid w:val="00446222"/>
    <w:rsid w:val="00454805"/>
    <w:rsid w:val="00455E16"/>
    <w:rsid w:val="00460671"/>
    <w:rsid w:val="00474BEE"/>
    <w:rsid w:val="00476033"/>
    <w:rsid w:val="004765DA"/>
    <w:rsid w:val="00476B17"/>
    <w:rsid w:val="0047705F"/>
    <w:rsid w:val="00477185"/>
    <w:rsid w:val="00477AA1"/>
    <w:rsid w:val="00481BD7"/>
    <w:rsid w:val="004827A8"/>
    <w:rsid w:val="004860EF"/>
    <w:rsid w:val="0048738C"/>
    <w:rsid w:val="004969B4"/>
    <w:rsid w:val="00497B2F"/>
    <w:rsid w:val="004A142B"/>
    <w:rsid w:val="004A6270"/>
    <w:rsid w:val="004A7FCD"/>
    <w:rsid w:val="004B1BC4"/>
    <w:rsid w:val="004B448E"/>
    <w:rsid w:val="004B6166"/>
    <w:rsid w:val="004B631C"/>
    <w:rsid w:val="004B6F02"/>
    <w:rsid w:val="004B7F3F"/>
    <w:rsid w:val="004C15E8"/>
    <w:rsid w:val="004C33CF"/>
    <w:rsid w:val="004D39AF"/>
    <w:rsid w:val="004D5332"/>
    <w:rsid w:val="004D5B52"/>
    <w:rsid w:val="004D70F9"/>
    <w:rsid w:val="004E042D"/>
    <w:rsid w:val="004E145E"/>
    <w:rsid w:val="004E35A2"/>
    <w:rsid w:val="004E7DFF"/>
    <w:rsid w:val="004F091A"/>
    <w:rsid w:val="004F0F4A"/>
    <w:rsid w:val="004F17DC"/>
    <w:rsid w:val="004F3FAF"/>
    <w:rsid w:val="004F5D0C"/>
    <w:rsid w:val="004F73DE"/>
    <w:rsid w:val="004F7AED"/>
    <w:rsid w:val="00502D29"/>
    <w:rsid w:val="00511730"/>
    <w:rsid w:val="00520F9C"/>
    <w:rsid w:val="0052437C"/>
    <w:rsid w:val="00532016"/>
    <w:rsid w:val="00532C3E"/>
    <w:rsid w:val="00533614"/>
    <w:rsid w:val="00540C39"/>
    <w:rsid w:val="00545D47"/>
    <w:rsid w:val="00547529"/>
    <w:rsid w:val="00554DD6"/>
    <w:rsid w:val="0055636A"/>
    <w:rsid w:val="00556380"/>
    <w:rsid w:val="00560976"/>
    <w:rsid w:val="005616F8"/>
    <w:rsid w:val="005655D4"/>
    <w:rsid w:val="00566978"/>
    <w:rsid w:val="0057013E"/>
    <w:rsid w:val="00574D2F"/>
    <w:rsid w:val="00574EB7"/>
    <w:rsid w:val="00576414"/>
    <w:rsid w:val="0057689B"/>
    <w:rsid w:val="00577B6F"/>
    <w:rsid w:val="00581396"/>
    <w:rsid w:val="00583015"/>
    <w:rsid w:val="00585008"/>
    <w:rsid w:val="00590BD0"/>
    <w:rsid w:val="005A0D4E"/>
    <w:rsid w:val="005A14FC"/>
    <w:rsid w:val="005A25DD"/>
    <w:rsid w:val="005A4E11"/>
    <w:rsid w:val="005A7787"/>
    <w:rsid w:val="005B271A"/>
    <w:rsid w:val="005B2875"/>
    <w:rsid w:val="005C0038"/>
    <w:rsid w:val="005C64A3"/>
    <w:rsid w:val="005D007E"/>
    <w:rsid w:val="005D0493"/>
    <w:rsid w:val="005D2C32"/>
    <w:rsid w:val="005D3BE0"/>
    <w:rsid w:val="005D59C2"/>
    <w:rsid w:val="005D7C3F"/>
    <w:rsid w:val="005E09FD"/>
    <w:rsid w:val="005E0C0C"/>
    <w:rsid w:val="005E2491"/>
    <w:rsid w:val="005E3382"/>
    <w:rsid w:val="005E38FB"/>
    <w:rsid w:val="005E4EF7"/>
    <w:rsid w:val="005E650D"/>
    <w:rsid w:val="005E65F0"/>
    <w:rsid w:val="005F49DD"/>
    <w:rsid w:val="005F75B4"/>
    <w:rsid w:val="00600DB7"/>
    <w:rsid w:val="006023AC"/>
    <w:rsid w:val="00611D27"/>
    <w:rsid w:val="00615215"/>
    <w:rsid w:val="0061576B"/>
    <w:rsid w:val="00616998"/>
    <w:rsid w:val="006212EE"/>
    <w:rsid w:val="00622ECB"/>
    <w:rsid w:val="0062312B"/>
    <w:rsid w:val="00623B21"/>
    <w:rsid w:val="00623CEB"/>
    <w:rsid w:val="00627E98"/>
    <w:rsid w:val="00633FA2"/>
    <w:rsid w:val="006341DB"/>
    <w:rsid w:val="006356A9"/>
    <w:rsid w:val="00637C9E"/>
    <w:rsid w:val="006405A8"/>
    <w:rsid w:val="006405B6"/>
    <w:rsid w:val="006411FC"/>
    <w:rsid w:val="00650645"/>
    <w:rsid w:val="00651EB1"/>
    <w:rsid w:val="00652D1F"/>
    <w:rsid w:val="00655FAE"/>
    <w:rsid w:val="00660002"/>
    <w:rsid w:val="006609AF"/>
    <w:rsid w:val="00661E82"/>
    <w:rsid w:val="006664FC"/>
    <w:rsid w:val="00667504"/>
    <w:rsid w:val="006700EB"/>
    <w:rsid w:val="0067558B"/>
    <w:rsid w:val="00680259"/>
    <w:rsid w:val="00683B04"/>
    <w:rsid w:val="00684432"/>
    <w:rsid w:val="00684EBB"/>
    <w:rsid w:val="00686296"/>
    <w:rsid w:val="006906BE"/>
    <w:rsid w:val="00691E7E"/>
    <w:rsid w:val="006A251C"/>
    <w:rsid w:val="006A6B7D"/>
    <w:rsid w:val="006B0F46"/>
    <w:rsid w:val="006B1D92"/>
    <w:rsid w:val="006B236A"/>
    <w:rsid w:val="006B4608"/>
    <w:rsid w:val="006B5F93"/>
    <w:rsid w:val="006B6A12"/>
    <w:rsid w:val="006C1B43"/>
    <w:rsid w:val="006C21EA"/>
    <w:rsid w:val="006C68B3"/>
    <w:rsid w:val="006C720F"/>
    <w:rsid w:val="006D456D"/>
    <w:rsid w:val="006D4AE0"/>
    <w:rsid w:val="006D4B27"/>
    <w:rsid w:val="006D56EE"/>
    <w:rsid w:val="006D5C24"/>
    <w:rsid w:val="006E0C96"/>
    <w:rsid w:val="006E1454"/>
    <w:rsid w:val="006E1B64"/>
    <w:rsid w:val="006E2CBF"/>
    <w:rsid w:val="006F0DA7"/>
    <w:rsid w:val="006F1465"/>
    <w:rsid w:val="006F5C34"/>
    <w:rsid w:val="006F766B"/>
    <w:rsid w:val="00700B14"/>
    <w:rsid w:val="007032F9"/>
    <w:rsid w:val="00703928"/>
    <w:rsid w:val="0070493F"/>
    <w:rsid w:val="00712183"/>
    <w:rsid w:val="00722A21"/>
    <w:rsid w:val="0072392E"/>
    <w:rsid w:val="00725F01"/>
    <w:rsid w:val="007267EC"/>
    <w:rsid w:val="00732431"/>
    <w:rsid w:val="007326FC"/>
    <w:rsid w:val="007333D5"/>
    <w:rsid w:val="007373B9"/>
    <w:rsid w:val="00740315"/>
    <w:rsid w:val="00746184"/>
    <w:rsid w:val="00746F3F"/>
    <w:rsid w:val="007538BA"/>
    <w:rsid w:val="00753E02"/>
    <w:rsid w:val="00757C45"/>
    <w:rsid w:val="00764988"/>
    <w:rsid w:val="00766A77"/>
    <w:rsid w:val="00767D1F"/>
    <w:rsid w:val="00781035"/>
    <w:rsid w:val="00784562"/>
    <w:rsid w:val="00785461"/>
    <w:rsid w:val="00792C1A"/>
    <w:rsid w:val="007A4F92"/>
    <w:rsid w:val="007A52A9"/>
    <w:rsid w:val="007A74E0"/>
    <w:rsid w:val="007B3288"/>
    <w:rsid w:val="007B5B96"/>
    <w:rsid w:val="007B5FF3"/>
    <w:rsid w:val="007B6424"/>
    <w:rsid w:val="007B6474"/>
    <w:rsid w:val="007B69F6"/>
    <w:rsid w:val="007C20B6"/>
    <w:rsid w:val="007C6A08"/>
    <w:rsid w:val="007D096A"/>
    <w:rsid w:val="007D7D9E"/>
    <w:rsid w:val="007E1A90"/>
    <w:rsid w:val="007E25C9"/>
    <w:rsid w:val="007E2992"/>
    <w:rsid w:val="007E3363"/>
    <w:rsid w:val="007E3639"/>
    <w:rsid w:val="007E5ACE"/>
    <w:rsid w:val="007E793B"/>
    <w:rsid w:val="007F0076"/>
    <w:rsid w:val="007F0C65"/>
    <w:rsid w:val="008048D0"/>
    <w:rsid w:val="008069E4"/>
    <w:rsid w:val="008078B5"/>
    <w:rsid w:val="00807F82"/>
    <w:rsid w:val="00810DE7"/>
    <w:rsid w:val="00814A0D"/>
    <w:rsid w:val="00816AFB"/>
    <w:rsid w:val="008171BE"/>
    <w:rsid w:val="00837602"/>
    <w:rsid w:val="008378FC"/>
    <w:rsid w:val="008424AB"/>
    <w:rsid w:val="0084297E"/>
    <w:rsid w:val="0084377A"/>
    <w:rsid w:val="00845923"/>
    <w:rsid w:val="008512E4"/>
    <w:rsid w:val="00853AF1"/>
    <w:rsid w:val="008560A0"/>
    <w:rsid w:val="00856734"/>
    <w:rsid w:val="008621BE"/>
    <w:rsid w:val="00863097"/>
    <w:rsid w:val="00864B9B"/>
    <w:rsid w:val="008744A3"/>
    <w:rsid w:val="008746E0"/>
    <w:rsid w:val="00875F4E"/>
    <w:rsid w:val="008809D4"/>
    <w:rsid w:val="00883C05"/>
    <w:rsid w:val="0088495C"/>
    <w:rsid w:val="00885CE1"/>
    <w:rsid w:val="00886C1F"/>
    <w:rsid w:val="00887558"/>
    <w:rsid w:val="0089109F"/>
    <w:rsid w:val="008924D9"/>
    <w:rsid w:val="00893709"/>
    <w:rsid w:val="00896172"/>
    <w:rsid w:val="00896EC6"/>
    <w:rsid w:val="008A22EB"/>
    <w:rsid w:val="008B2B6A"/>
    <w:rsid w:val="008B454D"/>
    <w:rsid w:val="008B47EE"/>
    <w:rsid w:val="008C0D04"/>
    <w:rsid w:val="008C3733"/>
    <w:rsid w:val="008C5989"/>
    <w:rsid w:val="008C7240"/>
    <w:rsid w:val="008D30C3"/>
    <w:rsid w:val="008D407D"/>
    <w:rsid w:val="008D5AAB"/>
    <w:rsid w:val="008E0289"/>
    <w:rsid w:val="008E2D21"/>
    <w:rsid w:val="008E36BA"/>
    <w:rsid w:val="008E42F7"/>
    <w:rsid w:val="008E4D7C"/>
    <w:rsid w:val="008E62EB"/>
    <w:rsid w:val="008E7431"/>
    <w:rsid w:val="008F14CA"/>
    <w:rsid w:val="008F3F3C"/>
    <w:rsid w:val="009033FA"/>
    <w:rsid w:val="00913FA5"/>
    <w:rsid w:val="00914B96"/>
    <w:rsid w:val="00915978"/>
    <w:rsid w:val="00917F80"/>
    <w:rsid w:val="0092395C"/>
    <w:rsid w:val="0092468A"/>
    <w:rsid w:val="009317E2"/>
    <w:rsid w:val="00935E01"/>
    <w:rsid w:val="009444A5"/>
    <w:rsid w:val="00946DA1"/>
    <w:rsid w:val="00950241"/>
    <w:rsid w:val="00950787"/>
    <w:rsid w:val="009507F1"/>
    <w:rsid w:val="00951107"/>
    <w:rsid w:val="0095543B"/>
    <w:rsid w:val="009602FF"/>
    <w:rsid w:val="009666FD"/>
    <w:rsid w:val="00972341"/>
    <w:rsid w:val="00974122"/>
    <w:rsid w:val="009752A9"/>
    <w:rsid w:val="009757AF"/>
    <w:rsid w:val="009760ED"/>
    <w:rsid w:val="009761FA"/>
    <w:rsid w:val="00976FD6"/>
    <w:rsid w:val="0097735E"/>
    <w:rsid w:val="00981AB3"/>
    <w:rsid w:val="0098325A"/>
    <w:rsid w:val="00983640"/>
    <w:rsid w:val="00992700"/>
    <w:rsid w:val="009A0BF0"/>
    <w:rsid w:val="009A7BF2"/>
    <w:rsid w:val="009B211A"/>
    <w:rsid w:val="009B356D"/>
    <w:rsid w:val="009B5308"/>
    <w:rsid w:val="009B6226"/>
    <w:rsid w:val="009B6542"/>
    <w:rsid w:val="009C1BC8"/>
    <w:rsid w:val="009C28B6"/>
    <w:rsid w:val="009D029C"/>
    <w:rsid w:val="009D17A9"/>
    <w:rsid w:val="009E2F08"/>
    <w:rsid w:val="009E3A91"/>
    <w:rsid w:val="009F75F0"/>
    <w:rsid w:val="009F7B94"/>
    <w:rsid w:val="00A034DF"/>
    <w:rsid w:val="00A044A4"/>
    <w:rsid w:val="00A10966"/>
    <w:rsid w:val="00A136C2"/>
    <w:rsid w:val="00A2275F"/>
    <w:rsid w:val="00A22A52"/>
    <w:rsid w:val="00A22BB0"/>
    <w:rsid w:val="00A25BF8"/>
    <w:rsid w:val="00A314AA"/>
    <w:rsid w:val="00A33E4F"/>
    <w:rsid w:val="00A40082"/>
    <w:rsid w:val="00A40884"/>
    <w:rsid w:val="00A42FBE"/>
    <w:rsid w:val="00A43414"/>
    <w:rsid w:val="00A478A2"/>
    <w:rsid w:val="00A56715"/>
    <w:rsid w:val="00A56B37"/>
    <w:rsid w:val="00A652C7"/>
    <w:rsid w:val="00A70D75"/>
    <w:rsid w:val="00A7253F"/>
    <w:rsid w:val="00A726BE"/>
    <w:rsid w:val="00A7289F"/>
    <w:rsid w:val="00A74AA0"/>
    <w:rsid w:val="00A77735"/>
    <w:rsid w:val="00A82068"/>
    <w:rsid w:val="00A83199"/>
    <w:rsid w:val="00A90C04"/>
    <w:rsid w:val="00A9317E"/>
    <w:rsid w:val="00A93D4F"/>
    <w:rsid w:val="00AA2D40"/>
    <w:rsid w:val="00AA3208"/>
    <w:rsid w:val="00AA598C"/>
    <w:rsid w:val="00AA7BC3"/>
    <w:rsid w:val="00AB0211"/>
    <w:rsid w:val="00AB1009"/>
    <w:rsid w:val="00AB1C3E"/>
    <w:rsid w:val="00AB49B3"/>
    <w:rsid w:val="00AB4BD2"/>
    <w:rsid w:val="00AB65C0"/>
    <w:rsid w:val="00AC0BC5"/>
    <w:rsid w:val="00AC180F"/>
    <w:rsid w:val="00AC2BD5"/>
    <w:rsid w:val="00AC3E6F"/>
    <w:rsid w:val="00AD16B8"/>
    <w:rsid w:val="00AD38B2"/>
    <w:rsid w:val="00AD415A"/>
    <w:rsid w:val="00AD6CE7"/>
    <w:rsid w:val="00AE2AA2"/>
    <w:rsid w:val="00AE34CA"/>
    <w:rsid w:val="00AE4A67"/>
    <w:rsid w:val="00AE4E95"/>
    <w:rsid w:val="00AE64C7"/>
    <w:rsid w:val="00AE6C0B"/>
    <w:rsid w:val="00B02F2A"/>
    <w:rsid w:val="00B043A8"/>
    <w:rsid w:val="00B046FE"/>
    <w:rsid w:val="00B11E01"/>
    <w:rsid w:val="00B13254"/>
    <w:rsid w:val="00B139B6"/>
    <w:rsid w:val="00B2202F"/>
    <w:rsid w:val="00B2316F"/>
    <w:rsid w:val="00B23E73"/>
    <w:rsid w:val="00B354D9"/>
    <w:rsid w:val="00B370FC"/>
    <w:rsid w:val="00B4162B"/>
    <w:rsid w:val="00B4254C"/>
    <w:rsid w:val="00B43BEB"/>
    <w:rsid w:val="00B45D91"/>
    <w:rsid w:val="00B46016"/>
    <w:rsid w:val="00B47903"/>
    <w:rsid w:val="00B518FC"/>
    <w:rsid w:val="00B52B41"/>
    <w:rsid w:val="00B530C0"/>
    <w:rsid w:val="00B53648"/>
    <w:rsid w:val="00B543A7"/>
    <w:rsid w:val="00B61BD3"/>
    <w:rsid w:val="00B63965"/>
    <w:rsid w:val="00B70159"/>
    <w:rsid w:val="00B745FC"/>
    <w:rsid w:val="00B7532A"/>
    <w:rsid w:val="00B76120"/>
    <w:rsid w:val="00B8252D"/>
    <w:rsid w:val="00B831A9"/>
    <w:rsid w:val="00B90525"/>
    <w:rsid w:val="00B91784"/>
    <w:rsid w:val="00B95126"/>
    <w:rsid w:val="00B9672E"/>
    <w:rsid w:val="00BA2EE8"/>
    <w:rsid w:val="00BA384B"/>
    <w:rsid w:val="00BA3E65"/>
    <w:rsid w:val="00BA53C7"/>
    <w:rsid w:val="00BA759D"/>
    <w:rsid w:val="00BB15E3"/>
    <w:rsid w:val="00BB6887"/>
    <w:rsid w:val="00BB72F8"/>
    <w:rsid w:val="00BC1F3A"/>
    <w:rsid w:val="00BC3EFA"/>
    <w:rsid w:val="00BC5AF0"/>
    <w:rsid w:val="00BC6EDE"/>
    <w:rsid w:val="00BD2F5D"/>
    <w:rsid w:val="00BD407A"/>
    <w:rsid w:val="00BD4601"/>
    <w:rsid w:val="00BE25B8"/>
    <w:rsid w:val="00BE27B8"/>
    <w:rsid w:val="00BE444F"/>
    <w:rsid w:val="00BF2A9A"/>
    <w:rsid w:val="00BF6412"/>
    <w:rsid w:val="00C00D49"/>
    <w:rsid w:val="00C00EEB"/>
    <w:rsid w:val="00C03D32"/>
    <w:rsid w:val="00C05177"/>
    <w:rsid w:val="00C10D4A"/>
    <w:rsid w:val="00C10FB4"/>
    <w:rsid w:val="00C1103D"/>
    <w:rsid w:val="00C13EAF"/>
    <w:rsid w:val="00C14C1A"/>
    <w:rsid w:val="00C1585F"/>
    <w:rsid w:val="00C20EAD"/>
    <w:rsid w:val="00C219F2"/>
    <w:rsid w:val="00C2333B"/>
    <w:rsid w:val="00C24922"/>
    <w:rsid w:val="00C277A4"/>
    <w:rsid w:val="00C40D7B"/>
    <w:rsid w:val="00C4329D"/>
    <w:rsid w:val="00C4364C"/>
    <w:rsid w:val="00C523D1"/>
    <w:rsid w:val="00C52C64"/>
    <w:rsid w:val="00C530E0"/>
    <w:rsid w:val="00C54EC5"/>
    <w:rsid w:val="00C60045"/>
    <w:rsid w:val="00C60ECB"/>
    <w:rsid w:val="00C66427"/>
    <w:rsid w:val="00C677B3"/>
    <w:rsid w:val="00C73F62"/>
    <w:rsid w:val="00C80899"/>
    <w:rsid w:val="00C81A01"/>
    <w:rsid w:val="00C81BE6"/>
    <w:rsid w:val="00C87802"/>
    <w:rsid w:val="00C91F5B"/>
    <w:rsid w:val="00C954C7"/>
    <w:rsid w:val="00C97424"/>
    <w:rsid w:val="00C97D04"/>
    <w:rsid w:val="00CA3D04"/>
    <w:rsid w:val="00CA4C7E"/>
    <w:rsid w:val="00CB01CB"/>
    <w:rsid w:val="00CB3BBF"/>
    <w:rsid w:val="00CB3EC6"/>
    <w:rsid w:val="00CB6594"/>
    <w:rsid w:val="00CC08D9"/>
    <w:rsid w:val="00CC0B2A"/>
    <w:rsid w:val="00CC2B57"/>
    <w:rsid w:val="00CC37D6"/>
    <w:rsid w:val="00CD2C96"/>
    <w:rsid w:val="00CE1D78"/>
    <w:rsid w:val="00CF3421"/>
    <w:rsid w:val="00CF3718"/>
    <w:rsid w:val="00CF4079"/>
    <w:rsid w:val="00D02F35"/>
    <w:rsid w:val="00D03E14"/>
    <w:rsid w:val="00D1602D"/>
    <w:rsid w:val="00D164E4"/>
    <w:rsid w:val="00D22A07"/>
    <w:rsid w:val="00D26B26"/>
    <w:rsid w:val="00D26CAC"/>
    <w:rsid w:val="00D376E4"/>
    <w:rsid w:val="00D4220E"/>
    <w:rsid w:val="00D45124"/>
    <w:rsid w:val="00D472AA"/>
    <w:rsid w:val="00D47DAF"/>
    <w:rsid w:val="00D51F62"/>
    <w:rsid w:val="00D53042"/>
    <w:rsid w:val="00D53DCA"/>
    <w:rsid w:val="00D6144E"/>
    <w:rsid w:val="00D646D8"/>
    <w:rsid w:val="00D6663E"/>
    <w:rsid w:val="00D71859"/>
    <w:rsid w:val="00D72528"/>
    <w:rsid w:val="00D73272"/>
    <w:rsid w:val="00D747F7"/>
    <w:rsid w:val="00D7656D"/>
    <w:rsid w:val="00D768E8"/>
    <w:rsid w:val="00D80376"/>
    <w:rsid w:val="00D821BA"/>
    <w:rsid w:val="00D821C1"/>
    <w:rsid w:val="00D87E64"/>
    <w:rsid w:val="00D939F6"/>
    <w:rsid w:val="00D93EF6"/>
    <w:rsid w:val="00D94839"/>
    <w:rsid w:val="00DA0A09"/>
    <w:rsid w:val="00DA21D3"/>
    <w:rsid w:val="00DA26EF"/>
    <w:rsid w:val="00DA33E8"/>
    <w:rsid w:val="00DA4E78"/>
    <w:rsid w:val="00DA6536"/>
    <w:rsid w:val="00DA7570"/>
    <w:rsid w:val="00DB0C9F"/>
    <w:rsid w:val="00DC2257"/>
    <w:rsid w:val="00DC4E2C"/>
    <w:rsid w:val="00DC6555"/>
    <w:rsid w:val="00DD01E7"/>
    <w:rsid w:val="00DD0716"/>
    <w:rsid w:val="00DD7A05"/>
    <w:rsid w:val="00DE30DD"/>
    <w:rsid w:val="00DE48DE"/>
    <w:rsid w:val="00DF0760"/>
    <w:rsid w:val="00DF14CE"/>
    <w:rsid w:val="00DF2761"/>
    <w:rsid w:val="00DF40B6"/>
    <w:rsid w:val="00E00127"/>
    <w:rsid w:val="00E02B59"/>
    <w:rsid w:val="00E07446"/>
    <w:rsid w:val="00E125E9"/>
    <w:rsid w:val="00E15EC6"/>
    <w:rsid w:val="00E2059C"/>
    <w:rsid w:val="00E20B25"/>
    <w:rsid w:val="00E21160"/>
    <w:rsid w:val="00E22604"/>
    <w:rsid w:val="00E320C4"/>
    <w:rsid w:val="00E35621"/>
    <w:rsid w:val="00E36E11"/>
    <w:rsid w:val="00E419B9"/>
    <w:rsid w:val="00E43BA8"/>
    <w:rsid w:val="00E451A7"/>
    <w:rsid w:val="00E474BA"/>
    <w:rsid w:val="00E51602"/>
    <w:rsid w:val="00E55A5C"/>
    <w:rsid w:val="00E63C31"/>
    <w:rsid w:val="00E64DE9"/>
    <w:rsid w:val="00E67BF9"/>
    <w:rsid w:val="00E765E8"/>
    <w:rsid w:val="00E77AA9"/>
    <w:rsid w:val="00E80B9B"/>
    <w:rsid w:val="00E81349"/>
    <w:rsid w:val="00E82B7A"/>
    <w:rsid w:val="00E8337D"/>
    <w:rsid w:val="00E8426D"/>
    <w:rsid w:val="00E843E0"/>
    <w:rsid w:val="00E90761"/>
    <w:rsid w:val="00E949F0"/>
    <w:rsid w:val="00EA00A8"/>
    <w:rsid w:val="00EA0A96"/>
    <w:rsid w:val="00EA3D74"/>
    <w:rsid w:val="00EA503A"/>
    <w:rsid w:val="00EA6BDE"/>
    <w:rsid w:val="00EA6EF7"/>
    <w:rsid w:val="00EA7C59"/>
    <w:rsid w:val="00EB1FC4"/>
    <w:rsid w:val="00EB24B2"/>
    <w:rsid w:val="00EB3885"/>
    <w:rsid w:val="00EC0D54"/>
    <w:rsid w:val="00EC18F1"/>
    <w:rsid w:val="00EC4B76"/>
    <w:rsid w:val="00ED53C5"/>
    <w:rsid w:val="00ED60A2"/>
    <w:rsid w:val="00EE119B"/>
    <w:rsid w:val="00EE2C45"/>
    <w:rsid w:val="00EE3285"/>
    <w:rsid w:val="00EE4E44"/>
    <w:rsid w:val="00EE4F7A"/>
    <w:rsid w:val="00EE69B7"/>
    <w:rsid w:val="00F07278"/>
    <w:rsid w:val="00F11251"/>
    <w:rsid w:val="00F14EC1"/>
    <w:rsid w:val="00F16A9D"/>
    <w:rsid w:val="00F21CB6"/>
    <w:rsid w:val="00F30474"/>
    <w:rsid w:val="00F33566"/>
    <w:rsid w:val="00F352C6"/>
    <w:rsid w:val="00F42AC1"/>
    <w:rsid w:val="00F51160"/>
    <w:rsid w:val="00F5347A"/>
    <w:rsid w:val="00F53E06"/>
    <w:rsid w:val="00F57B51"/>
    <w:rsid w:val="00F60130"/>
    <w:rsid w:val="00F6039F"/>
    <w:rsid w:val="00F636A6"/>
    <w:rsid w:val="00F64F4B"/>
    <w:rsid w:val="00F707E8"/>
    <w:rsid w:val="00F740D7"/>
    <w:rsid w:val="00F81DA6"/>
    <w:rsid w:val="00F83DA4"/>
    <w:rsid w:val="00F903AA"/>
    <w:rsid w:val="00F9061C"/>
    <w:rsid w:val="00F90BE3"/>
    <w:rsid w:val="00FA2099"/>
    <w:rsid w:val="00FA3FF5"/>
    <w:rsid w:val="00FA4904"/>
    <w:rsid w:val="00FA5F9C"/>
    <w:rsid w:val="00FB229D"/>
    <w:rsid w:val="00FB3491"/>
    <w:rsid w:val="00FB49EC"/>
    <w:rsid w:val="00FB7C9A"/>
    <w:rsid w:val="00FC1DA8"/>
    <w:rsid w:val="00FC5B05"/>
    <w:rsid w:val="00FD0870"/>
    <w:rsid w:val="00FD2C12"/>
    <w:rsid w:val="00FD35FA"/>
    <w:rsid w:val="00FD7E6F"/>
    <w:rsid w:val="00FE2611"/>
    <w:rsid w:val="00FF01C3"/>
    <w:rsid w:val="00FF2CE1"/>
    <w:rsid w:val="00FF4467"/>
    <w:rsid w:val="00FF60E8"/>
    <w:rsid w:val="00FF745C"/>
  </w:rsids>
  <m:mathPr>
    <m:mathFont m:val="Wingdings 2"/>
    <m:brkBin m:val="before"/>
    <m:brkBinSub m:val="--"/>
    <m:smallFrac m:val="off"/>
    <m:dispDef/>
    <m:lMargin m:val="0"/>
    <m:rMargin m:val="0"/>
    <m:defJc m:val="centerGroup"/>
    <m:wrapIndent m:val="1440"/>
    <m:intLim m:val="subSup"/>
    <m:naryLim m:val="undOvr"/>
  </m:mathPr>
  <w:attachedSchema w:val="urn:schemas-microsoft-com:office:smarttags"/>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0" w:defSemiHidden="0" w:defUnhideWhenUsed="0" w:defQFormat="0" w:count="276"/>
  <w:style w:type="paragraph" w:default="1" w:styleId="Normaal">
    <w:name w:val="Normal"/>
    <w:qFormat/>
    <w:rsid w:val="005D0493"/>
    <w:rPr>
      <w:rFonts w:ascii="Times New Roman" w:eastAsia="SimSun" w:hAnsi="Times New Roman" w:cs="Times New Roman"/>
      <w:sz w:val="24"/>
      <w:szCs w:val="24"/>
      <w:lang w:val="nl-NL" w:eastAsia="zh-CN"/>
    </w:rPr>
  </w:style>
  <w:style w:type="paragraph" w:styleId="Kop1">
    <w:name w:val="heading 1"/>
    <w:basedOn w:val="Normaal"/>
    <w:next w:val="Normaal"/>
    <w:link w:val="Kop1Teken"/>
    <w:uiPriority w:val="99"/>
    <w:qFormat/>
    <w:rsid w:val="00364DCA"/>
    <w:pPr>
      <w:keepNext/>
      <w:keepLines/>
      <w:spacing w:before="480"/>
      <w:outlineLvl w:val="0"/>
    </w:pPr>
    <w:rPr>
      <w:rFonts w:ascii="Cambria" w:eastAsia="Times New Roman" w:hAnsi="Cambria"/>
      <w:b/>
      <w:bCs/>
      <w:color w:val="365F91"/>
      <w:sz w:val="28"/>
      <w:szCs w:val="28"/>
    </w:rPr>
  </w:style>
  <w:style w:type="character" w:default="1" w:styleId="Standaardalinea-lettertype">
    <w:name w:val="Default Paragraph Font"/>
    <w:semiHidden/>
    <w:unhideWhenUsed/>
  </w:style>
  <w:style w:type="table" w:default="1" w:styleId="Standaardtabel">
    <w:name w:val="Normal Table"/>
    <w:semiHidden/>
    <w:unhideWhenUsed/>
    <w:qFormat/>
    <w:tblPr>
      <w:tblInd w:w="0" w:type="dxa"/>
      <w:tblCellMar>
        <w:top w:w="0" w:type="dxa"/>
        <w:left w:w="108" w:type="dxa"/>
        <w:bottom w:w="0" w:type="dxa"/>
        <w:right w:w="108" w:type="dxa"/>
      </w:tblCellMar>
    </w:tblPr>
  </w:style>
  <w:style w:type="numbering" w:default="1" w:styleId="Geenlijst">
    <w:name w:val="No List"/>
    <w:semiHidden/>
    <w:unhideWhenUsed/>
  </w:style>
  <w:style w:type="character" w:customStyle="1" w:styleId="Kop1Teken">
    <w:name w:val="Kop 1 Teken"/>
    <w:basedOn w:val="Standaardalinea-lettertype"/>
    <w:link w:val="Kop1"/>
    <w:uiPriority w:val="99"/>
    <w:locked/>
    <w:rsid w:val="00364DCA"/>
    <w:rPr>
      <w:rFonts w:ascii="Cambria" w:hAnsi="Cambria" w:cs="Times New Roman"/>
      <w:b/>
      <w:bCs/>
      <w:color w:val="365F91"/>
      <w:sz w:val="28"/>
      <w:szCs w:val="28"/>
      <w:lang w:eastAsia="zh-CN"/>
    </w:rPr>
  </w:style>
  <w:style w:type="paragraph" w:styleId="Voetnoottekst">
    <w:name w:val="footnote text"/>
    <w:basedOn w:val="Normaal"/>
    <w:link w:val="VoetnoottekstTeken"/>
    <w:uiPriority w:val="99"/>
    <w:semiHidden/>
    <w:rsid w:val="00F11251"/>
    <w:rPr>
      <w:sz w:val="20"/>
      <w:szCs w:val="20"/>
    </w:rPr>
  </w:style>
  <w:style w:type="character" w:customStyle="1" w:styleId="VoetnoottekstTeken">
    <w:name w:val="Voetnoottekst Teken"/>
    <w:basedOn w:val="Standaardalinea-lettertype"/>
    <w:link w:val="Voetnoottekst"/>
    <w:uiPriority w:val="99"/>
    <w:semiHidden/>
    <w:locked/>
    <w:rsid w:val="00F11251"/>
    <w:rPr>
      <w:rFonts w:ascii="Times New Roman" w:eastAsia="SimSun" w:hAnsi="Times New Roman" w:cs="Times New Roman"/>
      <w:sz w:val="20"/>
      <w:szCs w:val="20"/>
      <w:lang w:val="nl-NL" w:eastAsia="zh-CN"/>
    </w:rPr>
  </w:style>
  <w:style w:type="character" w:styleId="Voetnootmarkering">
    <w:name w:val="footnote reference"/>
    <w:basedOn w:val="Standaardalinea-lettertype"/>
    <w:uiPriority w:val="99"/>
    <w:semiHidden/>
    <w:rsid w:val="00F11251"/>
    <w:rPr>
      <w:rFonts w:cs="Times New Roman"/>
      <w:vertAlign w:val="superscript"/>
    </w:rPr>
  </w:style>
  <w:style w:type="paragraph" w:customStyle="1" w:styleId="c01pointnumerotealtn">
    <w:name w:val="c01pointnumerotealtn"/>
    <w:basedOn w:val="Normaal"/>
    <w:uiPriority w:val="99"/>
    <w:rsid w:val="00275806"/>
    <w:pPr>
      <w:spacing w:before="100" w:beforeAutospacing="1" w:after="240"/>
      <w:ind w:left="567" w:hanging="539"/>
      <w:jc w:val="both"/>
    </w:pPr>
    <w:rPr>
      <w:rFonts w:eastAsia="Times New Roman"/>
      <w:lang w:val="en-US" w:eastAsia="en-US"/>
    </w:rPr>
  </w:style>
  <w:style w:type="paragraph" w:styleId="Koptekst">
    <w:name w:val="header"/>
    <w:basedOn w:val="Normaal"/>
    <w:link w:val="KoptekstTeken"/>
    <w:uiPriority w:val="99"/>
    <w:semiHidden/>
    <w:rsid w:val="00AD6CE7"/>
    <w:pPr>
      <w:tabs>
        <w:tab w:val="center" w:pos="4680"/>
        <w:tab w:val="right" w:pos="9360"/>
      </w:tabs>
    </w:pPr>
  </w:style>
  <w:style w:type="character" w:customStyle="1" w:styleId="KoptekstTeken">
    <w:name w:val="Koptekst Teken"/>
    <w:basedOn w:val="Standaardalinea-lettertype"/>
    <w:link w:val="Koptekst"/>
    <w:uiPriority w:val="99"/>
    <w:semiHidden/>
    <w:locked/>
    <w:rsid w:val="00AD6CE7"/>
    <w:rPr>
      <w:rFonts w:ascii="Times New Roman" w:eastAsia="SimSun" w:hAnsi="Times New Roman" w:cs="Times New Roman"/>
      <w:sz w:val="24"/>
      <w:szCs w:val="24"/>
      <w:lang w:val="nl-NL" w:eastAsia="zh-CN"/>
    </w:rPr>
  </w:style>
  <w:style w:type="paragraph" w:styleId="Voettekst">
    <w:name w:val="footer"/>
    <w:basedOn w:val="Normaal"/>
    <w:link w:val="VoettekstTeken"/>
    <w:uiPriority w:val="99"/>
    <w:rsid w:val="00AD6CE7"/>
    <w:pPr>
      <w:tabs>
        <w:tab w:val="center" w:pos="4680"/>
        <w:tab w:val="right" w:pos="9360"/>
      </w:tabs>
    </w:pPr>
  </w:style>
  <w:style w:type="character" w:customStyle="1" w:styleId="VoettekstTeken">
    <w:name w:val="Voettekst Teken"/>
    <w:basedOn w:val="Standaardalinea-lettertype"/>
    <w:link w:val="Voettekst"/>
    <w:uiPriority w:val="99"/>
    <w:locked/>
    <w:rsid w:val="00AD6CE7"/>
    <w:rPr>
      <w:rFonts w:ascii="Times New Roman" w:eastAsia="SimSun" w:hAnsi="Times New Roman" w:cs="Times New Roman"/>
      <w:sz w:val="24"/>
      <w:szCs w:val="24"/>
      <w:lang w:val="nl-NL" w:eastAsia="zh-CN"/>
    </w:rPr>
  </w:style>
  <w:style w:type="paragraph" w:styleId="Lijstalinea">
    <w:name w:val="List Paragraph"/>
    <w:basedOn w:val="Normaal"/>
    <w:uiPriority w:val="99"/>
    <w:qFormat/>
    <w:rsid w:val="005616F8"/>
    <w:pPr>
      <w:ind w:left="720"/>
      <w:contextualSpacing/>
    </w:pPr>
  </w:style>
  <w:style w:type="paragraph" w:styleId="Kopvaninhoudsopgave">
    <w:name w:val="TOC Heading"/>
    <w:basedOn w:val="Kop1"/>
    <w:next w:val="Normaal"/>
    <w:uiPriority w:val="99"/>
    <w:qFormat/>
    <w:rsid w:val="00364DCA"/>
    <w:pPr>
      <w:spacing w:line="276" w:lineRule="auto"/>
      <w:outlineLvl w:val="9"/>
    </w:pPr>
    <w:rPr>
      <w:lang w:val="en-US" w:eastAsia="en-US"/>
    </w:rPr>
  </w:style>
  <w:style w:type="paragraph" w:styleId="Inhopg2">
    <w:name w:val="toc 2"/>
    <w:basedOn w:val="Normaal"/>
    <w:next w:val="Normaal"/>
    <w:autoRedefine/>
    <w:uiPriority w:val="99"/>
    <w:semiHidden/>
    <w:rsid w:val="00364DCA"/>
    <w:pPr>
      <w:spacing w:after="100" w:line="276" w:lineRule="auto"/>
      <w:ind w:left="220"/>
    </w:pPr>
    <w:rPr>
      <w:rFonts w:ascii="Calibri" w:eastAsia="Times New Roman" w:hAnsi="Calibri" w:cs="Arial"/>
      <w:sz w:val="22"/>
      <w:szCs w:val="22"/>
      <w:lang w:val="en-US" w:eastAsia="en-US"/>
    </w:rPr>
  </w:style>
  <w:style w:type="paragraph" w:styleId="Inhopg1">
    <w:name w:val="toc 1"/>
    <w:basedOn w:val="Normaal"/>
    <w:next w:val="Normaal"/>
    <w:autoRedefine/>
    <w:uiPriority w:val="99"/>
    <w:semiHidden/>
    <w:rsid w:val="00364DCA"/>
    <w:pPr>
      <w:spacing w:after="100" w:line="276" w:lineRule="auto"/>
    </w:pPr>
    <w:rPr>
      <w:rFonts w:ascii="Calibri" w:eastAsia="Times New Roman" w:hAnsi="Calibri" w:cs="Arial"/>
      <w:sz w:val="22"/>
      <w:szCs w:val="22"/>
      <w:lang w:val="en-US" w:eastAsia="en-US"/>
    </w:rPr>
  </w:style>
  <w:style w:type="paragraph" w:styleId="Inhopg3">
    <w:name w:val="toc 3"/>
    <w:basedOn w:val="Normaal"/>
    <w:next w:val="Normaal"/>
    <w:autoRedefine/>
    <w:uiPriority w:val="99"/>
    <w:semiHidden/>
    <w:rsid w:val="00364DCA"/>
    <w:pPr>
      <w:spacing w:after="100" w:line="276" w:lineRule="auto"/>
      <w:ind w:left="440"/>
    </w:pPr>
    <w:rPr>
      <w:rFonts w:ascii="Calibri" w:eastAsia="Times New Roman" w:hAnsi="Calibri" w:cs="Arial"/>
      <w:sz w:val="22"/>
      <w:szCs w:val="22"/>
      <w:lang w:val="en-US" w:eastAsia="en-US"/>
    </w:rPr>
  </w:style>
  <w:style w:type="paragraph" w:styleId="Ballontekst">
    <w:name w:val="Balloon Text"/>
    <w:basedOn w:val="Normaal"/>
    <w:link w:val="BallontekstTeken"/>
    <w:uiPriority w:val="99"/>
    <w:semiHidden/>
    <w:rsid w:val="00364DCA"/>
    <w:rPr>
      <w:rFonts w:ascii="Tahoma" w:hAnsi="Tahoma" w:cs="Tahoma"/>
      <w:sz w:val="16"/>
      <w:szCs w:val="16"/>
    </w:rPr>
  </w:style>
  <w:style w:type="character" w:customStyle="1" w:styleId="BallontekstTeken">
    <w:name w:val="Ballontekst Teken"/>
    <w:basedOn w:val="Standaardalinea-lettertype"/>
    <w:link w:val="Ballontekst"/>
    <w:uiPriority w:val="99"/>
    <w:semiHidden/>
    <w:locked/>
    <w:rsid w:val="00364DCA"/>
    <w:rPr>
      <w:rFonts w:ascii="Tahoma" w:eastAsia="SimSun" w:hAnsi="Tahoma" w:cs="Tahoma"/>
      <w:sz w:val="16"/>
      <w:szCs w:val="16"/>
      <w:lang w:eastAsia="zh-CN"/>
    </w:rPr>
  </w:style>
  <w:style w:type="character" w:styleId="Hyperlink">
    <w:name w:val="Hyperlink"/>
    <w:basedOn w:val="Standaardalinea-lettertype"/>
    <w:uiPriority w:val="99"/>
    <w:rsid w:val="004B7F3F"/>
    <w:rPr>
      <w:rFonts w:cs="Times New Roman"/>
      <w:color w:val="183470"/>
      <w:u w:val="single"/>
    </w:rPr>
  </w:style>
  <w:style w:type="character" w:customStyle="1" w:styleId="nadrukb">
    <w:name w:val="nadrukb"/>
    <w:basedOn w:val="Standaardalinea-lettertype"/>
    <w:uiPriority w:val="99"/>
    <w:rsid w:val="004B7F3F"/>
    <w:rPr>
      <w:rFonts w:cs="Times New Roman"/>
    </w:rPr>
  </w:style>
  <w:style w:type="character" w:customStyle="1" w:styleId="voetnootnr">
    <w:name w:val="voetnootnr"/>
    <w:basedOn w:val="Standaardalinea-lettertype"/>
    <w:uiPriority w:val="99"/>
    <w:rsid w:val="004B7F3F"/>
    <w:rPr>
      <w:rFonts w:cs="Times New Roman"/>
    </w:rPr>
  </w:style>
  <w:style w:type="character" w:styleId="Paginanummer">
    <w:name w:val="page number"/>
    <w:basedOn w:val="Standaardalinea-lettertype"/>
    <w:uiPriority w:val="99"/>
    <w:rsid w:val="00E949F0"/>
    <w:rPr>
      <w:rFonts w:cs="Times New Roman"/>
    </w:rPr>
  </w:style>
</w:styles>
</file>

<file path=word/webSettings.xml><?xml version="1.0" encoding="utf-8"?>
<w:webSettings xmlns:r="http://schemas.openxmlformats.org/officeDocument/2006/relationships" xmlns:w="http://schemas.openxmlformats.org/wordprocessingml/2006/main">
  <w:divs>
    <w:div w:id="1565674741">
      <w:marLeft w:val="0"/>
      <w:marRight w:val="0"/>
      <w:marTop w:val="0"/>
      <w:marBottom w:val="0"/>
      <w:divBdr>
        <w:top w:val="none" w:sz="0" w:space="0" w:color="auto"/>
        <w:left w:val="none" w:sz="0" w:space="0" w:color="auto"/>
        <w:bottom w:val="none" w:sz="0" w:space="0" w:color="auto"/>
        <w:right w:val="none" w:sz="0" w:space="0" w:color="auto"/>
      </w:divBdr>
    </w:div>
    <w:div w:id="1565674742">
      <w:marLeft w:val="0"/>
      <w:marRight w:val="0"/>
      <w:marTop w:val="0"/>
      <w:marBottom w:val="0"/>
      <w:divBdr>
        <w:top w:val="none" w:sz="0" w:space="0" w:color="auto"/>
        <w:left w:val="none" w:sz="0" w:space="0" w:color="auto"/>
        <w:bottom w:val="none" w:sz="0" w:space="0" w:color="auto"/>
        <w:right w:val="none" w:sz="0" w:space="0" w:color="auto"/>
      </w:divBdr>
    </w:div>
    <w:div w:id="1565674745">
      <w:marLeft w:val="0"/>
      <w:marRight w:val="0"/>
      <w:marTop w:val="0"/>
      <w:marBottom w:val="0"/>
      <w:divBdr>
        <w:top w:val="none" w:sz="0" w:space="0" w:color="auto"/>
        <w:left w:val="none" w:sz="0" w:space="0" w:color="auto"/>
        <w:bottom w:val="none" w:sz="0" w:space="0" w:color="auto"/>
        <w:right w:val="none" w:sz="0" w:space="0" w:color="auto"/>
      </w:divBdr>
      <w:divsChild>
        <w:div w:id="1565674744">
          <w:marLeft w:val="0"/>
          <w:marRight w:val="0"/>
          <w:marTop w:val="0"/>
          <w:marBottom w:val="0"/>
          <w:divBdr>
            <w:top w:val="none" w:sz="0" w:space="0" w:color="auto"/>
            <w:left w:val="none" w:sz="0" w:space="0" w:color="auto"/>
            <w:bottom w:val="none" w:sz="0" w:space="0" w:color="auto"/>
            <w:right w:val="none" w:sz="0" w:space="0" w:color="auto"/>
          </w:divBdr>
          <w:divsChild>
            <w:div w:id="156567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4" Type="http://schemas.openxmlformats.org/officeDocument/2006/relationships/settings" Target="settings.xml"/><Relationship Id="rId10" Type="http://schemas.openxmlformats.org/officeDocument/2006/relationships/fontTable" Target="fontTable.xml"/><Relationship Id="rId5" Type="http://schemas.openxmlformats.org/officeDocument/2006/relationships/webSettings" Target="webSettings.xml"/><Relationship Id="rId7" Type="http://schemas.openxmlformats.org/officeDocument/2006/relationships/endnotes" Target="endnotes.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2.xml"/><Relationship Id="rId3" Type="http://schemas.openxmlformats.org/officeDocument/2006/relationships/styles" Target="style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6A8F99-4234-4DCC-B737-D9AFAEE0C4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90</Pages>
  <Words>23654</Words>
  <Characters>134832</Characters>
  <Application>Microsoft Word 12.1.0</Application>
  <DocSecurity>0</DocSecurity>
  <Lines>1123</Lines>
  <Paragraphs>269</Paragraphs>
  <ScaleCrop>false</ScaleCrop>
  <Company>Faculty of Law, R.U.</Company>
  <LinksUpToDate>false</LinksUpToDate>
  <CharactersWithSpaces>165583</CharactersWithSpaces>
  <SharedDoc>false</SharedDoc>
  <HyperlinksChanged>false</HyperlinksChanged>
  <AppVersion>12.0256</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Inleiding</dc:title>
  <dc:subject/>
  <dc:creator>0602396</dc:creator>
  <cp:keywords/>
  <dc:description/>
  <cp:lastModifiedBy>carl  von meyenfeldt</cp:lastModifiedBy>
  <cp:revision>2</cp:revision>
  <cp:lastPrinted>2010-11-11T11:33:00Z</cp:lastPrinted>
  <dcterms:created xsi:type="dcterms:W3CDTF">2011-01-03T22:11:00Z</dcterms:created>
  <dcterms:modified xsi:type="dcterms:W3CDTF">2011-01-03T22:11:00Z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